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D3E202" w14:textId="77777777" w:rsidR="009C7F55" w:rsidRPr="00F1537F" w:rsidRDefault="009C7F55" w:rsidP="00BD0F89">
      <w:pPr>
        <w:spacing w:after="0" w:line="240" w:lineRule="auto"/>
        <w:jc w:val="center"/>
        <w:rPr>
          <w:rFonts w:ascii="Times New Roman" w:hAnsi="Times New Roman"/>
          <w:sz w:val="24"/>
          <w:szCs w:val="24"/>
        </w:rPr>
      </w:pPr>
      <w:bookmarkStart w:id="0" w:name="_GoBack"/>
      <w:bookmarkEnd w:id="0"/>
      <w:r w:rsidRPr="00F1537F">
        <w:rPr>
          <w:rFonts w:ascii="Times New Roman" w:hAnsi="Times New Roman"/>
          <w:sz w:val="24"/>
          <w:szCs w:val="24"/>
        </w:rPr>
        <w:t>Supporting Statement</w:t>
      </w:r>
      <w:r w:rsidR="002953E1">
        <w:rPr>
          <w:rFonts w:ascii="Times New Roman" w:hAnsi="Times New Roman"/>
          <w:sz w:val="24"/>
          <w:szCs w:val="24"/>
        </w:rPr>
        <w:t xml:space="preserve"> for</w:t>
      </w:r>
    </w:p>
    <w:p w14:paraId="3692328E" w14:textId="77777777" w:rsidR="001263E8" w:rsidRDefault="00D13613" w:rsidP="00BD0F89">
      <w:pPr>
        <w:spacing w:after="0" w:line="240" w:lineRule="auto"/>
        <w:jc w:val="center"/>
        <w:rPr>
          <w:rFonts w:ascii="Times New Roman" w:hAnsi="Times New Roman"/>
          <w:b/>
          <w:sz w:val="24"/>
          <w:szCs w:val="24"/>
        </w:rPr>
      </w:pPr>
      <w:r>
        <w:rPr>
          <w:rFonts w:ascii="Times New Roman" w:hAnsi="Times New Roman"/>
          <w:b/>
          <w:sz w:val="24"/>
          <w:szCs w:val="24"/>
        </w:rPr>
        <w:t xml:space="preserve">Modifications </w:t>
      </w:r>
      <w:r w:rsidR="00DB2809">
        <w:rPr>
          <w:rFonts w:ascii="Times New Roman" w:hAnsi="Times New Roman"/>
          <w:b/>
          <w:sz w:val="24"/>
          <w:szCs w:val="24"/>
        </w:rPr>
        <w:t>to 10 Information Collections</w:t>
      </w:r>
      <w:r w:rsidR="009D3942">
        <w:rPr>
          <w:rFonts w:ascii="Times New Roman" w:hAnsi="Times New Roman"/>
          <w:b/>
          <w:sz w:val="24"/>
          <w:szCs w:val="24"/>
        </w:rPr>
        <w:t>,</w:t>
      </w:r>
      <w:r w:rsidR="00DB2809">
        <w:rPr>
          <w:rFonts w:ascii="Times New Roman" w:hAnsi="Times New Roman"/>
          <w:b/>
          <w:sz w:val="24"/>
          <w:szCs w:val="24"/>
        </w:rPr>
        <w:t xml:space="preserve"> </w:t>
      </w:r>
      <w:r w:rsidR="00A10FBC">
        <w:rPr>
          <w:rFonts w:ascii="Times New Roman" w:hAnsi="Times New Roman"/>
          <w:b/>
          <w:sz w:val="24"/>
          <w:szCs w:val="24"/>
        </w:rPr>
        <w:t xml:space="preserve">Due to </w:t>
      </w:r>
      <w:r w:rsidR="00DB2809">
        <w:rPr>
          <w:rFonts w:ascii="Times New Roman" w:hAnsi="Times New Roman"/>
          <w:b/>
          <w:sz w:val="24"/>
          <w:szCs w:val="24"/>
        </w:rPr>
        <w:t>NOPR</w:t>
      </w:r>
      <w:r>
        <w:rPr>
          <w:rFonts w:ascii="Times New Roman" w:hAnsi="Times New Roman"/>
          <w:b/>
          <w:sz w:val="24"/>
          <w:szCs w:val="24"/>
        </w:rPr>
        <w:t xml:space="preserve"> in Docket No. RM1</w:t>
      </w:r>
      <w:r w:rsidR="00DB2809">
        <w:rPr>
          <w:rFonts w:ascii="Times New Roman" w:hAnsi="Times New Roman"/>
          <w:b/>
          <w:sz w:val="24"/>
          <w:szCs w:val="24"/>
        </w:rPr>
        <w:t>9-</w:t>
      </w:r>
      <w:r w:rsidR="009D3942">
        <w:rPr>
          <w:rFonts w:ascii="Times New Roman" w:hAnsi="Times New Roman"/>
          <w:b/>
          <w:sz w:val="24"/>
          <w:szCs w:val="24"/>
        </w:rPr>
        <w:t>12</w:t>
      </w:r>
    </w:p>
    <w:p w14:paraId="21AA4489" w14:textId="77777777" w:rsidR="009D3942" w:rsidRDefault="009D3942" w:rsidP="00BD0F89">
      <w:pPr>
        <w:spacing w:after="0" w:line="240" w:lineRule="auto"/>
        <w:jc w:val="center"/>
        <w:rPr>
          <w:rFonts w:ascii="Times New Roman" w:hAnsi="Times New Roman"/>
          <w:b/>
          <w:sz w:val="24"/>
          <w:szCs w:val="24"/>
        </w:rPr>
      </w:pPr>
    </w:p>
    <w:p w14:paraId="1C13F22C" w14:textId="77777777" w:rsidR="009D3942" w:rsidRPr="00F1537F" w:rsidRDefault="009D3942" w:rsidP="00BD0F89">
      <w:pPr>
        <w:spacing w:after="0" w:line="240" w:lineRule="auto"/>
        <w:jc w:val="center"/>
        <w:rPr>
          <w:rFonts w:ascii="Times New Roman" w:hAnsi="Times New Roman"/>
          <w:b/>
          <w:sz w:val="24"/>
          <w:szCs w:val="24"/>
        </w:rPr>
      </w:pPr>
    </w:p>
    <w:p w14:paraId="443E3084" w14:textId="77777777" w:rsidR="00856707" w:rsidRDefault="009C7F55" w:rsidP="00BD0F89">
      <w:pPr>
        <w:spacing w:after="0" w:line="240" w:lineRule="auto"/>
        <w:rPr>
          <w:rFonts w:ascii="Times New Roman" w:hAnsi="Times New Roman"/>
          <w:sz w:val="24"/>
          <w:szCs w:val="24"/>
        </w:rPr>
      </w:pPr>
      <w:r w:rsidRPr="00F1537F">
        <w:rPr>
          <w:rFonts w:ascii="Times New Roman" w:hAnsi="Times New Roman"/>
          <w:sz w:val="24"/>
          <w:szCs w:val="24"/>
        </w:rPr>
        <w:t xml:space="preserve">The Federal </w:t>
      </w:r>
      <w:r w:rsidRPr="007E7453">
        <w:rPr>
          <w:rFonts w:ascii="Times New Roman" w:hAnsi="Times New Roman"/>
          <w:sz w:val="24"/>
          <w:szCs w:val="24"/>
        </w:rPr>
        <w:t>Energy Regulatory Commission (</w:t>
      </w:r>
      <w:r w:rsidR="00D13613" w:rsidRPr="007E7453">
        <w:rPr>
          <w:rFonts w:ascii="Times New Roman" w:hAnsi="Times New Roman"/>
          <w:sz w:val="24"/>
          <w:szCs w:val="24"/>
        </w:rPr>
        <w:t xml:space="preserve">Commission or </w:t>
      </w:r>
      <w:r w:rsidRPr="007E7453">
        <w:rPr>
          <w:rFonts w:ascii="Times New Roman" w:hAnsi="Times New Roman"/>
          <w:sz w:val="24"/>
          <w:szCs w:val="24"/>
        </w:rPr>
        <w:t>FERC) requests the Office of Management and Budget (OMB) approv</w:t>
      </w:r>
      <w:r w:rsidR="00EB790F" w:rsidRPr="007E7453">
        <w:rPr>
          <w:rFonts w:ascii="Times New Roman" w:hAnsi="Times New Roman"/>
          <w:sz w:val="24"/>
          <w:szCs w:val="24"/>
        </w:rPr>
        <w:t>e</w:t>
      </w:r>
      <w:r w:rsidRPr="007E7453">
        <w:rPr>
          <w:rFonts w:ascii="Times New Roman" w:hAnsi="Times New Roman"/>
          <w:sz w:val="24"/>
          <w:szCs w:val="24"/>
        </w:rPr>
        <w:t xml:space="preserve"> </w:t>
      </w:r>
      <w:r w:rsidR="00EB790F" w:rsidRPr="007E7453">
        <w:rPr>
          <w:rFonts w:ascii="Times New Roman" w:hAnsi="Times New Roman"/>
          <w:sz w:val="24"/>
          <w:szCs w:val="24"/>
        </w:rPr>
        <w:t xml:space="preserve">the modifications </w:t>
      </w:r>
      <w:r w:rsidR="00A962BC">
        <w:rPr>
          <w:rFonts w:ascii="Times New Roman" w:hAnsi="Times New Roman"/>
          <w:sz w:val="24"/>
          <w:szCs w:val="24"/>
        </w:rPr>
        <w:t>proposed in</w:t>
      </w:r>
      <w:r w:rsidR="00613ECA" w:rsidRPr="007E7453">
        <w:rPr>
          <w:rFonts w:ascii="Times New Roman" w:hAnsi="Times New Roman"/>
          <w:sz w:val="24"/>
          <w:szCs w:val="24"/>
        </w:rPr>
        <w:t xml:space="preserve"> the </w:t>
      </w:r>
      <w:r w:rsidR="008F711B">
        <w:rPr>
          <w:rFonts w:ascii="Times New Roman" w:hAnsi="Times New Roman"/>
          <w:sz w:val="24"/>
          <w:szCs w:val="24"/>
        </w:rPr>
        <w:t xml:space="preserve">Notice of Proposed Rulemaking (NOPR) </w:t>
      </w:r>
      <w:r w:rsidR="002C6711">
        <w:rPr>
          <w:rFonts w:ascii="Times New Roman" w:hAnsi="Times New Roman"/>
          <w:sz w:val="24"/>
          <w:szCs w:val="24"/>
        </w:rPr>
        <w:t xml:space="preserve">issued 1/17/2019 </w:t>
      </w:r>
      <w:r w:rsidR="008F711B">
        <w:rPr>
          <w:rFonts w:ascii="Times New Roman" w:hAnsi="Times New Roman"/>
          <w:sz w:val="24"/>
          <w:szCs w:val="24"/>
        </w:rPr>
        <w:t>in Docket No. RM19-12</w:t>
      </w:r>
      <w:r w:rsidR="009F1CCD" w:rsidRPr="00A962BC">
        <w:rPr>
          <w:rStyle w:val="FootnoteReference"/>
          <w:rFonts w:ascii="Times New Roman" w:hAnsi="Times New Roman"/>
          <w:sz w:val="24"/>
          <w:szCs w:val="24"/>
          <w:vertAlign w:val="superscript"/>
        </w:rPr>
        <w:footnoteReference w:id="2"/>
      </w:r>
      <w:r w:rsidR="008F711B">
        <w:rPr>
          <w:rFonts w:ascii="Times New Roman" w:hAnsi="Times New Roman"/>
          <w:sz w:val="24"/>
          <w:szCs w:val="24"/>
        </w:rPr>
        <w:t xml:space="preserve">.  </w:t>
      </w:r>
    </w:p>
    <w:p w14:paraId="20D80A14" w14:textId="77777777" w:rsidR="00856707" w:rsidRDefault="00856707" w:rsidP="00BD0F89">
      <w:pPr>
        <w:spacing w:after="0" w:line="240" w:lineRule="auto"/>
        <w:rPr>
          <w:rFonts w:ascii="Times New Roman" w:hAnsi="Times New Roman"/>
          <w:sz w:val="24"/>
          <w:szCs w:val="24"/>
        </w:rPr>
      </w:pPr>
    </w:p>
    <w:p w14:paraId="1B0757BE" w14:textId="02605500" w:rsidR="00613ECA" w:rsidRDefault="008F711B" w:rsidP="001D0B5C">
      <w:pPr>
        <w:tabs>
          <w:tab w:val="left" w:pos="450"/>
        </w:tabs>
        <w:spacing w:after="0" w:line="240" w:lineRule="auto"/>
        <w:rPr>
          <w:rFonts w:ascii="Times New Roman" w:hAnsi="Times New Roman"/>
          <w:sz w:val="24"/>
          <w:szCs w:val="24"/>
        </w:rPr>
      </w:pPr>
      <w:r>
        <w:rPr>
          <w:rFonts w:ascii="Times New Roman" w:hAnsi="Times New Roman"/>
          <w:sz w:val="24"/>
          <w:szCs w:val="24"/>
        </w:rPr>
        <w:t>The</w:t>
      </w:r>
      <w:r w:rsidR="0008302B">
        <w:rPr>
          <w:rFonts w:ascii="Times New Roman" w:hAnsi="Times New Roman"/>
          <w:sz w:val="24"/>
          <w:szCs w:val="24"/>
        </w:rPr>
        <w:t xml:space="preserve"> Revisions to the Filing Process for Commission Forms (</w:t>
      </w:r>
      <w:r>
        <w:rPr>
          <w:rFonts w:ascii="Times New Roman" w:hAnsi="Times New Roman"/>
          <w:sz w:val="24"/>
          <w:szCs w:val="24"/>
        </w:rPr>
        <w:t>Forms Refresh</w:t>
      </w:r>
      <w:r w:rsidR="0008302B">
        <w:rPr>
          <w:rFonts w:ascii="Times New Roman" w:hAnsi="Times New Roman"/>
          <w:sz w:val="24"/>
          <w:szCs w:val="24"/>
        </w:rPr>
        <w:t>)</w:t>
      </w:r>
      <w:r>
        <w:rPr>
          <w:rFonts w:ascii="Times New Roman" w:hAnsi="Times New Roman"/>
          <w:sz w:val="24"/>
          <w:szCs w:val="24"/>
        </w:rPr>
        <w:t xml:space="preserve"> NOPR affects the following 10 information collections</w:t>
      </w:r>
      <w:r w:rsidR="00A962BC">
        <w:rPr>
          <w:rFonts w:ascii="Times New Roman" w:hAnsi="Times New Roman"/>
          <w:sz w:val="24"/>
          <w:szCs w:val="24"/>
        </w:rPr>
        <w:t xml:space="preserve"> (covered by </w:t>
      </w:r>
      <w:r w:rsidR="002B4655">
        <w:rPr>
          <w:rFonts w:ascii="Times New Roman" w:hAnsi="Times New Roman"/>
          <w:sz w:val="24"/>
          <w:szCs w:val="24"/>
        </w:rPr>
        <w:t>nine</w:t>
      </w:r>
      <w:r w:rsidR="00A962BC">
        <w:rPr>
          <w:rFonts w:ascii="Times New Roman" w:hAnsi="Times New Roman"/>
          <w:sz w:val="24"/>
          <w:szCs w:val="24"/>
        </w:rPr>
        <w:t xml:space="preserve"> OMB Control Nos.)</w:t>
      </w:r>
      <w:r w:rsidR="00856707">
        <w:rPr>
          <w:rFonts w:ascii="Times New Roman" w:hAnsi="Times New Roman"/>
          <w:sz w:val="24"/>
          <w:szCs w:val="24"/>
        </w:rPr>
        <w:t>, addressed by this consolidated supporting statement</w:t>
      </w:r>
      <w:r>
        <w:rPr>
          <w:rFonts w:ascii="Times New Roman" w:hAnsi="Times New Roman"/>
          <w:sz w:val="24"/>
          <w:szCs w:val="24"/>
        </w:rPr>
        <w:t>:</w:t>
      </w:r>
    </w:p>
    <w:p w14:paraId="03BDC987" w14:textId="77777777" w:rsidR="00613ECA" w:rsidRDefault="00613ECA" w:rsidP="00BD0F89">
      <w:pPr>
        <w:spacing w:after="0" w:line="240" w:lineRule="auto"/>
        <w:rPr>
          <w:rFonts w:ascii="Times New Roman" w:hAnsi="Times New Roman"/>
          <w:sz w:val="24"/>
          <w:szCs w:val="24"/>
        </w:rPr>
      </w:pPr>
    </w:p>
    <w:p w14:paraId="22E8E7AF" w14:textId="44A998E6" w:rsidR="008F711B" w:rsidRPr="008F711B" w:rsidRDefault="00532CEA" w:rsidP="00BD0F89">
      <w:pPr>
        <w:pStyle w:val="ListParagraph"/>
        <w:numPr>
          <w:ilvl w:val="0"/>
          <w:numId w:val="18"/>
        </w:numPr>
        <w:spacing w:line="240" w:lineRule="auto"/>
        <w:rPr>
          <w:rFonts w:ascii="Times New Roman" w:hAnsi="Times New Roman"/>
          <w:sz w:val="24"/>
          <w:szCs w:val="24"/>
        </w:rPr>
      </w:pPr>
      <w:r>
        <w:rPr>
          <w:rFonts w:ascii="Times New Roman" w:hAnsi="Times New Roman"/>
          <w:sz w:val="24"/>
          <w:szCs w:val="24"/>
        </w:rPr>
        <w:t xml:space="preserve">FERC Form </w:t>
      </w:r>
      <w:r w:rsidR="0008302B">
        <w:rPr>
          <w:rFonts w:ascii="Times New Roman" w:hAnsi="Times New Roman"/>
          <w:sz w:val="24"/>
          <w:szCs w:val="24"/>
        </w:rPr>
        <w:t xml:space="preserve">No. </w:t>
      </w:r>
      <w:r>
        <w:rPr>
          <w:rFonts w:ascii="Times New Roman" w:hAnsi="Times New Roman"/>
          <w:sz w:val="24"/>
          <w:szCs w:val="24"/>
        </w:rPr>
        <w:t>1 (also called FERC-1) (</w:t>
      </w:r>
      <w:r w:rsidR="008F711B" w:rsidRPr="008F711B">
        <w:rPr>
          <w:rFonts w:ascii="Times New Roman" w:hAnsi="Times New Roman"/>
          <w:sz w:val="24"/>
          <w:szCs w:val="24"/>
        </w:rPr>
        <w:t>Annual Report of Major Electric Utilities, Licensees and Others and Supplemental</w:t>
      </w:r>
      <w:r w:rsidR="00DE1ED3">
        <w:rPr>
          <w:rFonts w:ascii="Times New Roman" w:hAnsi="Times New Roman"/>
          <w:sz w:val="24"/>
          <w:szCs w:val="24"/>
        </w:rPr>
        <w:t>;</w:t>
      </w:r>
      <w:r>
        <w:rPr>
          <w:rFonts w:ascii="Times New Roman" w:hAnsi="Times New Roman"/>
          <w:sz w:val="24"/>
          <w:szCs w:val="24"/>
        </w:rPr>
        <w:t xml:space="preserve"> OMB Control No. 1902-00</w:t>
      </w:r>
      <w:r w:rsidR="008F711B" w:rsidRPr="008F711B">
        <w:rPr>
          <w:rFonts w:ascii="Times New Roman" w:hAnsi="Times New Roman"/>
          <w:sz w:val="24"/>
          <w:szCs w:val="24"/>
        </w:rPr>
        <w:t>21</w:t>
      </w:r>
      <w:r>
        <w:rPr>
          <w:rFonts w:ascii="Times New Roman" w:hAnsi="Times New Roman"/>
          <w:sz w:val="24"/>
          <w:szCs w:val="24"/>
        </w:rPr>
        <w:t>)</w:t>
      </w:r>
    </w:p>
    <w:p w14:paraId="5C0CDB6C" w14:textId="77777777" w:rsidR="00532CEA" w:rsidRPr="008F711B" w:rsidRDefault="00532CEA" w:rsidP="00BD0F89">
      <w:pPr>
        <w:pStyle w:val="ListParagraph"/>
        <w:numPr>
          <w:ilvl w:val="0"/>
          <w:numId w:val="18"/>
        </w:numPr>
        <w:spacing w:line="240" w:lineRule="auto"/>
        <w:rPr>
          <w:rFonts w:ascii="Times New Roman" w:hAnsi="Times New Roman"/>
          <w:sz w:val="24"/>
          <w:szCs w:val="24"/>
        </w:rPr>
      </w:pPr>
      <w:r>
        <w:rPr>
          <w:rFonts w:ascii="Times New Roman" w:hAnsi="Times New Roman"/>
          <w:sz w:val="24"/>
          <w:szCs w:val="24"/>
        </w:rPr>
        <w:t xml:space="preserve">FERC Form </w:t>
      </w:r>
      <w:r w:rsidR="0008302B">
        <w:rPr>
          <w:rFonts w:ascii="Times New Roman" w:hAnsi="Times New Roman"/>
          <w:sz w:val="24"/>
          <w:szCs w:val="24"/>
        </w:rPr>
        <w:t xml:space="preserve">No. </w:t>
      </w:r>
      <w:r w:rsidRPr="008F711B">
        <w:rPr>
          <w:rFonts w:ascii="Times New Roman" w:hAnsi="Times New Roman"/>
          <w:sz w:val="24"/>
          <w:szCs w:val="24"/>
        </w:rPr>
        <w:t>1F</w:t>
      </w:r>
      <w:r>
        <w:rPr>
          <w:rFonts w:ascii="Times New Roman" w:hAnsi="Times New Roman"/>
          <w:sz w:val="24"/>
          <w:szCs w:val="24"/>
        </w:rPr>
        <w:t xml:space="preserve"> (also called FERC-1F) (</w:t>
      </w:r>
      <w:r w:rsidRPr="008F711B">
        <w:rPr>
          <w:rFonts w:ascii="Times New Roman" w:hAnsi="Times New Roman"/>
          <w:sz w:val="24"/>
          <w:szCs w:val="24"/>
        </w:rPr>
        <w:t>Annual Report for Nonmajor Public Utilities and Licensees</w:t>
      </w:r>
      <w:r w:rsidR="00DE1ED3">
        <w:rPr>
          <w:rFonts w:ascii="Times New Roman" w:hAnsi="Times New Roman"/>
          <w:sz w:val="24"/>
          <w:szCs w:val="24"/>
        </w:rPr>
        <w:t>;</w:t>
      </w:r>
      <w:r>
        <w:rPr>
          <w:rFonts w:ascii="Times New Roman" w:hAnsi="Times New Roman"/>
          <w:sz w:val="24"/>
          <w:szCs w:val="24"/>
        </w:rPr>
        <w:t xml:space="preserve"> OMB Control No. 1902-00</w:t>
      </w:r>
      <w:r w:rsidRPr="008F711B">
        <w:rPr>
          <w:rFonts w:ascii="Times New Roman" w:hAnsi="Times New Roman"/>
          <w:sz w:val="24"/>
          <w:szCs w:val="24"/>
        </w:rPr>
        <w:t>29</w:t>
      </w:r>
      <w:r>
        <w:rPr>
          <w:rFonts w:ascii="Times New Roman" w:hAnsi="Times New Roman"/>
          <w:sz w:val="24"/>
          <w:szCs w:val="24"/>
        </w:rPr>
        <w:t>)</w:t>
      </w:r>
    </w:p>
    <w:p w14:paraId="744A9692" w14:textId="77777777" w:rsidR="00A962BC" w:rsidRPr="00594E71" w:rsidRDefault="00A962BC" w:rsidP="00BD0F89">
      <w:pPr>
        <w:pStyle w:val="ListParagraph"/>
        <w:numPr>
          <w:ilvl w:val="0"/>
          <w:numId w:val="18"/>
        </w:numPr>
        <w:spacing w:line="240" w:lineRule="auto"/>
        <w:rPr>
          <w:rFonts w:ascii="Times New Roman" w:hAnsi="Times New Roman"/>
          <w:sz w:val="24"/>
          <w:szCs w:val="24"/>
        </w:rPr>
      </w:pPr>
      <w:r w:rsidRPr="00594E71">
        <w:rPr>
          <w:rFonts w:ascii="Times New Roman" w:hAnsi="Times New Roman"/>
          <w:sz w:val="24"/>
          <w:szCs w:val="24"/>
        </w:rPr>
        <w:t xml:space="preserve">FERC Form </w:t>
      </w:r>
      <w:r w:rsidR="0008302B">
        <w:rPr>
          <w:rFonts w:ascii="Times New Roman" w:hAnsi="Times New Roman"/>
          <w:sz w:val="24"/>
          <w:szCs w:val="24"/>
        </w:rPr>
        <w:t xml:space="preserve">No. </w:t>
      </w:r>
      <w:r w:rsidRPr="00594E71">
        <w:rPr>
          <w:rFonts w:ascii="Times New Roman" w:hAnsi="Times New Roman"/>
          <w:sz w:val="24"/>
          <w:szCs w:val="24"/>
        </w:rPr>
        <w:t xml:space="preserve">2 (also called FERC-2) (Major Natural Gas Pipeline </w:t>
      </w:r>
      <w:r w:rsidR="00DE1ED3">
        <w:rPr>
          <w:rFonts w:ascii="Times New Roman" w:hAnsi="Times New Roman"/>
          <w:sz w:val="24"/>
          <w:szCs w:val="24"/>
        </w:rPr>
        <w:t>Annual Report;</w:t>
      </w:r>
      <w:r w:rsidRPr="00594E71">
        <w:rPr>
          <w:rFonts w:ascii="Times New Roman" w:hAnsi="Times New Roman"/>
          <w:sz w:val="24"/>
          <w:szCs w:val="24"/>
        </w:rPr>
        <w:t xml:space="preserve"> OMB Control No. 1902-0028)</w:t>
      </w:r>
    </w:p>
    <w:p w14:paraId="6C7F6529" w14:textId="77777777" w:rsidR="00532CEA" w:rsidRDefault="00532CEA" w:rsidP="00BD0F89">
      <w:pPr>
        <w:pStyle w:val="ListParagraph"/>
        <w:numPr>
          <w:ilvl w:val="0"/>
          <w:numId w:val="18"/>
        </w:numPr>
        <w:spacing w:line="240" w:lineRule="auto"/>
        <w:rPr>
          <w:rFonts w:ascii="Times New Roman" w:hAnsi="Times New Roman"/>
          <w:sz w:val="24"/>
          <w:szCs w:val="24"/>
        </w:rPr>
      </w:pPr>
      <w:r w:rsidRPr="00594E71">
        <w:rPr>
          <w:rFonts w:ascii="Times New Roman" w:hAnsi="Times New Roman"/>
          <w:sz w:val="24"/>
          <w:szCs w:val="24"/>
        </w:rPr>
        <w:t xml:space="preserve">FERC Form </w:t>
      </w:r>
      <w:r w:rsidR="0008302B">
        <w:rPr>
          <w:rFonts w:ascii="Times New Roman" w:hAnsi="Times New Roman"/>
          <w:sz w:val="24"/>
          <w:szCs w:val="24"/>
        </w:rPr>
        <w:t xml:space="preserve">No. </w:t>
      </w:r>
      <w:r w:rsidRPr="00594E71">
        <w:rPr>
          <w:rFonts w:ascii="Times New Roman" w:hAnsi="Times New Roman"/>
          <w:sz w:val="24"/>
          <w:szCs w:val="24"/>
        </w:rPr>
        <w:t>2A (also called FERC-2A</w:t>
      </w:r>
      <w:r w:rsidR="00A962BC" w:rsidRPr="00594E71">
        <w:rPr>
          <w:rFonts w:ascii="Times New Roman" w:hAnsi="Times New Roman"/>
          <w:sz w:val="24"/>
          <w:szCs w:val="24"/>
        </w:rPr>
        <w:t>)</w:t>
      </w:r>
      <w:r w:rsidRPr="00594E71">
        <w:rPr>
          <w:rFonts w:ascii="Times New Roman" w:hAnsi="Times New Roman"/>
          <w:sz w:val="24"/>
          <w:szCs w:val="24"/>
        </w:rPr>
        <w:t xml:space="preserve"> (Non- Major Natural Gas Pipeline Annual Report</w:t>
      </w:r>
      <w:r w:rsidR="00DE1ED3">
        <w:rPr>
          <w:rFonts w:ascii="Times New Roman" w:hAnsi="Times New Roman"/>
          <w:sz w:val="24"/>
          <w:szCs w:val="24"/>
        </w:rPr>
        <w:t>;</w:t>
      </w:r>
      <w:r w:rsidR="00A962BC" w:rsidRPr="00594E71">
        <w:rPr>
          <w:rFonts w:ascii="Times New Roman" w:hAnsi="Times New Roman"/>
          <w:sz w:val="24"/>
          <w:szCs w:val="24"/>
        </w:rPr>
        <w:t xml:space="preserve"> OMB Control No. 1902-00</w:t>
      </w:r>
      <w:r w:rsidRPr="00594E71">
        <w:rPr>
          <w:rFonts w:ascii="Times New Roman" w:hAnsi="Times New Roman"/>
          <w:sz w:val="24"/>
          <w:szCs w:val="24"/>
        </w:rPr>
        <w:t>30</w:t>
      </w:r>
    </w:p>
    <w:p w14:paraId="6E58B520" w14:textId="77777777" w:rsidR="003E74C9" w:rsidRDefault="003E74C9" w:rsidP="003E74C9">
      <w:pPr>
        <w:pStyle w:val="ListParagraph"/>
        <w:numPr>
          <w:ilvl w:val="0"/>
          <w:numId w:val="18"/>
        </w:numPr>
        <w:spacing w:line="240" w:lineRule="auto"/>
        <w:rPr>
          <w:rFonts w:ascii="Times New Roman" w:hAnsi="Times New Roman"/>
          <w:sz w:val="24"/>
          <w:szCs w:val="24"/>
        </w:rPr>
      </w:pPr>
      <w:r>
        <w:rPr>
          <w:rFonts w:ascii="Times New Roman" w:hAnsi="Times New Roman"/>
          <w:sz w:val="24"/>
          <w:szCs w:val="24"/>
        </w:rPr>
        <w:t xml:space="preserve">FERC Form </w:t>
      </w:r>
      <w:r w:rsidR="0008302B">
        <w:rPr>
          <w:rFonts w:ascii="Times New Roman" w:hAnsi="Times New Roman"/>
          <w:sz w:val="24"/>
          <w:szCs w:val="24"/>
        </w:rPr>
        <w:t xml:space="preserve">No. </w:t>
      </w:r>
      <w:r>
        <w:rPr>
          <w:rFonts w:ascii="Times New Roman" w:hAnsi="Times New Roman"/>
          <w:sz w:val="24"/>
          <w:szCs w:val="24"/>
        </w:rPr>
        <w:t xml:space="preserve">3-Q (also called FERC-3Q, </w:t>
      </w:r>
      <w:r w:rsidRPr="008F711B">
        <w:rPr>
          <w:rFonts w:ascii="Times New Roman" w:hAnsi="Times New Roman"/>
          <w:sz w:val="24"/>
          <w:szCs w:val="24"/>
        </w:rPr>
        <w:t>Quarterly Financial Report-Electric and Gas</w:t>
      </w:r>
      <w:r>
        <w:rPr>
          <w:rFonts w:ascii="Times New Roman" w:hAnsi="Times New Roman"/>
          <w:sz w:val="24"/>
          <w:szCs w:val="24"/>
        </w:rPr>
        <w:t>; OMB Control No. 1902-0205)</w:t>
      </w:r>
    </w:p>
    <w:p w14:paraId="5C2987BB" w14:textId="77777777" w:rsidR="003E74C9" w:rsidRDefault="003E74C9" w:rsidP="003E74C9">
      <w:pPr>
        <w:pStyle w:val="ListParagraph"/>
        <w:numPr>
          <w:ilvl w:val="1"/>
          <w:numId w:val="18"/>
        </w:numPr>
        <w:spacing w:line="240" w:lineRule="auto"/>
        <w:rPr>
          <w:rFonts w:ascii="Times New Roman" w:hAnsi="Times New Roman"/>
          <w:sz w:val="24"/>
          <w:szCs w:val="24"/>
        </w:rPr>
      </w:pPr>
      <w:r w:rsidRPr="00532CEA">
        <w:rPr>
          <w:rFonts w:ascii="Times New Roman" w:hAnsi="Times New Roman"/>
          <w:sz w:val="24"/>
          <w:szCs w:val="24"/>
        </w:rPr>
        <w:t xml:space="preserve">Form </w:t>
      </w:r>
      <w:r w:rsidR="0008302B">
        <w:rPr>
          <w:rFonts w:ascii="Times New Roman" w:hAnsi="Times New Roman"/>
          <w:sz w:val="24"/>
          <w:szCs w:val="24"/>
        </w:rPr>
        <w:t xml:space="preserve">No. </w:t>
      </w:r>
      <w:r w:rsidRPr="00532CEA">
        <w:rPr>
          <w:rFonts w:ascii="Times New Roman" w:hAnsi="Times New Roman"/>
          <w:sz w:val="24"/>
          <w:szCs w:val="24"/>
        </w:rPr>
        <w:t xml:space="preserve">3-Q </w:t>
      </w:r>
      <w:r>
        <w:rPr>
          <w:rFonts w:ascii="Times New Roman" w:hAnsi="Times New Roman"/>
          <w:sz w:val="24"/>
          <w:szCs w:val="24"/>
        </w:rPr>
        <w:t>for natural gas entities</w:t>
      </w:r>
    </w:p>
    <w:p w14:paraId="4048FB8F" w14:textId="77777777" w:rsidR="003E74C9" w:rsidRPr="008F711B" w:rsidRDefault="003E74C9" w:rsidP="003E74C9">
      <w:pPr>
        <w:pStyle w:val="ListParagraph"/>
        <w:numPr>
          <w:ilvl w:val="1"/>
          <w:numId w:val="18"/>
        </w:numPr>
        <w:spacing w:line="240" w:lineRule="auto"/>
        <w:rPr>
          <w:rFonts w:ascii="Times New Roman" w:hAnsi="Times New Roman"/>
          <w:sz w:val="24"/>
          <w:szCs w:val="24"/>
        </w:rPr>
      </w:pPr>
      <w:r w:rsidRPr="00532CEA">
        <w:rPr>
          <w:rFonts w:ascii="Times New Roman" w:hAnsi="Times New Roman"/>
          <w:sz w:val="24"/>
          <w:szCs w:val="24"/>
        </w:rPr>
        <w:t xml:space="preserve">Form </w:t>
      </w:r>
      <w:r w:rsidR="0008302B">
        <w:rPr>
          <w:rFonts w:ascii="Times New Roman" w:hAnsi="Times New Roman"/>
          <w:sz w:val="24"/>
          <w:szCs w:val="24"/>
        </w:rPr>
        <w:t xml:space="preserve">No. </w:t>
      </w:r>
      <w:r w:rsidRPr="00532CEA">
        <w:rPr>
          <w:rFonts w:ascii="Times New Roman" w:hAnsi="Times New Roman"/>
          <w:sz w:val="24"/>
          <w:szCs w:val="24"/>
        </w:rPr>
        <w:t xml:space="preserve">3-Q </w:t>
      </w:r>
      <w:r>
        <w:rPr>
          <w:rFonts w:ascii="Times New Roman" w:hAnsi="Times New Roman"/>
          <w:sz w:val="24"/>
          <w:szCs w:val="24"/>
        </w:rPr>
        <w:t>for electric entities</w:t>
      </w:r>
    </w:p>
    <w:p w14:paraId="4AE762A2" w14:textId="77777777" w:rsidR="00532CEA" w:rsidRPr="00594E71" w:rsidRDefault="00A962BC" w:rsidP="00BD0F89">
      <w:pPr>
        <w:pStyle w:val="ListParagraph"/>
        <w:numPr>
          <w:ilvl w:val="0"/>
          <w:numId w:val="18"/>
        </w:numPr>
        <w:spacing w:line="240" w:lineRule="auto"/>
        <w:rPr>
          <w:rFonts w:ascii="Times New Roman" w:hAnsi="Times New Roman"/>
          <w:sz w:val="24"/>
          <w:szCs w:val="24"/>
        </w:rPr>
      </w:pPr>
      <w:r w:rsidRPr="00594E71">
        <w:rPr>
          <w:rFonts w:ascii="Times New Roman" w:hAnsi="Times New Roman"/>
          <w:sz w:val="24"/>
          <w:szCs w:val="24"/>
        </w:rPr>
        <w:t xml:space="preserve">FERC Form </w:t>
      </w:r>
      <w:r w:rsidR="00C54986">
        <w:rPr>
          <w:rFonts w:ascii="Times New Roman" w:hAnsi="Times New Roman"/>
          <w:sz w:val="24"/>
          <w:szCs w:val="24"/>
        </w:rPr>
        <w:t xml:space="preserve">No. </w:t>
      </w:r>
      <w:r w:rsidR="008F711B" w:rsidRPr="00594E71">
        <w:rPr>
          <w:rFonts w:ascii="Times New Roman" w:hAnsi="Times New Roman"/>
          <w:sz w:val="24"/>
          <w:szCs w:val="24"/>
        </w:rPr>
        <w:t>6</w:t>
      </w:r>
      <w:r w:rsidR="00C54986">
        <w:rPr>
          <w:rFonts w:ascii="Times New Roman" w:hAnsi="Times New Roman"/>
          <w:sz w:val="24"/>
          <w:szCs w:val="24"/>
        </w:rPr>
        <w:t xml:space="preserve"> </w:t>
      </w:r>
      <w:r w:rsidRPr="00594E71">
        <w:rPr>
          <w:rFonts w:ascii="Times New Roman" w:hAnsi="Times New Roman"/>
          <w:sz w:val="24"/>
          <w:szCs w:val="24"/>
        </w:rPr>
        <w:t>(also called FERC-6) (</w:t>
      </w:r>
      <w:r w:rsidR="008F711B" w:rsidRPr="00594E71">
        <w:rPr>
          <w:rFonts w:ascii="Times New Roman" w:hAnsi="Times New Roman"/>
          <w:sz w:val="24"/>
          <w:szCs w:val="24"/>
        </w:rPr>
        <w:t>Annual Report of Oil Pipeline Companies</w:t>
      </w:r>
      <w:r w:rsidR="00DE1ED3">
        <w:rPr>
          <w:rFonts w:ascii="Times New Roman" w:hAnsi="Times New Roman"/>
          <w:sz w:val="24"/>
          <w:szCs w:val="24"/>
        </w:rPr>
        <w:t>;</w:t>
      </w:r>
      <w:r w:rsidRPr="00594E71">
        <w:rPr>
          <w:rFonts w:ascii="Times New Roman" w:hAnsi="Times New Roman"/>
          <w:sz w:val="24"/>
          <w:szCs w:val="24"/>
        </w:rPr>
        <w:t xml:space="preserve"> OMB Control No. 1902-00</w:t>
      </w:r>
      <w:r w:rsidR="008F711B" w:rsidRPr="00594E71">
        <w:rPr>
          <w:rFonts w:ascii="Times New Roman" w:hAnsi="Times New Roman"/>
          <w:sz w:val="24"/>
          <w:szCs w:val="24"/>
        </w:rPr>
        <w:t>22</w:t>
      </w:r>
      <w:r w:rsidRPr="00594E71">
        <w:rPr>
          <w:rFonts w:ascii="Times New Roman" w:hAnsi="Times New Roman"/>
          <w:sz w:val="24"/>
          <w:szCs w:val="24"/>
        </w:rPr>
        <w:t>)</w:t>
      </w:r>
    </w:p>
    <w:p w14:paraId="29BFB7D8" w14:textId="77777777" w:rsidR="00594E71" w:rsidRPr="00357252" w:rsidRDefault="00A962BC" w:rsidP="00BD0F89">
      <w:pPr>
        <w:pStyle w:val="ListParagraph"/>
        <w:numPr>
          <w:ilvl w:val="0"/>
          <w:numId w:val="18"/>
        </w:numPr>
        <w:spacing w:line="240" w:lineRule="auto"/>
        <w:rPr>
          <w:rFonts w:ascii="Times New Roman" w:hAnsi="Times New Roman"/>
          <w:i/>
          <w:sz w:val="24"/>
          <w:szCs w:val="24"/>
        </w:rPr>
      </w:pPr>
      <w:r w:rsidRPr="00594E71">
        <w:rPr>
          <w:rFonts w:ascii="Times New Roman" w:hAnsi="Times New Roman"/>
          <w:sz w:val="24"/>
          <w:szCs w:val="24"/>
        </w:rPr>
        <w:t xml:space="preserve">FERC Form </w:t>
      </w:r>
      <w:r w:rsidR="00C54986">
        <w:rPr>
          <w:rFonts w:ascii="Times New Roman" w:hAnsi="Times New Roman"/>
          <w:sz w:val="24"/>
          <w:szCs w:val="24"/>
        </w:rPr>
        <w:t xml:space="preserve">No. </w:t>
      </w:r>
      <w:r w:rsidRPr="00594E71">
        <w:rPr>
          <w:rFonts w:ascii="Times New Roman" w:hAnsi="Times New Roman"/>
          <w:sz w:val="24"/>
          <w:szCs w:val="24"/>
        </w:rPr>
        <w:t xml:space="preserve">6Q (also called </w:t>
      </w:r>
      <w:r w:rsidR="00532CEA" w:rsidRPr="00594E71">
        <w:rPr>
          <w:rFonts w:ascii="Times New Roman" w:hAnsi="Times New Roman"/>
          <w:sz w:val="24"/>
          <w:szCs w:val="24"/>
        </w:rPr>
        <w:t>FERC-6Q</w:t>
      </w:r>
      <w:r w:rsidRPr="00594E71">
        <w:rPr>
          <w:rFonts w:ascii="Times New Roman" w:hAnsi="Times New Roman"/>
          <w:sz w:val="24"/>
          <w:szCs w:val="24"/>
        </w:rPr>
        <w:t>)</w:t>
      </w:r>
      <w:r w:rsidR="00532CEA" w:rsidRPr="00594E71">
        <w:rPr>
          <w:rFonts w:ascii="Times New Roman" w:hAnsi="Times New Roman"/>
          <w:sz w:val="24"/>
          <w:szCs w:val="24"/>
        </w:rPr>
        <w:t xml:space="preserve"> (Quarterly Report of Oil Pipeline Companies</w:t>
      </w:r>
      <w:r w:rsidR="00DE1ED3">
        <w:rPr>
          <w:rFonts w:ascii="Times New Roman" w:hAnsi="Times New Roman"/>
          <w:sz w:val="24"/>
          <w:szCs w:val="24"/>
        </w:rPr>
        <w:t>;</w:t>
      </w:r>
      <w:r w:rsidR="00532CEA" w:rsidRPr="00594E71">
        <w:rPr>
          <w:rFonts w:ascii="Times New Roman" w:hAnsi="Times New Roman"/>
          <w:sz w:val="24"/>
          <w:szCs w:val="24"/>
        </w:rPr>
        <w:t xml:space="preserve"> OMB Control No. 1902-</w:t>
      </w:r>
      <w:r w:rsidR="002F405E">
        <w:rPr>
          <w:rFonts w:ascii="Times New Roman" w:hAnsi="Times New Roman"/>
          <w:sz w:val="24"/>
          <w:szCs w:val="24"/>
        </w:rPr>
        <w:t>0</w:t>
      </w:r>
      <w:r w:rsidR="00532CEA" w:rsidRPr="00594E71">
        <w:rPr>
          <w:rFonts w:ascii="Times New Roman" w:hAnsi="Times New Roman"/>
          <w:sz w:val="24"/>
          <w:szCs w:val="24"/>
        </w:rPr>
        <w:t>206)</w:t>
      </w:r>
    </w:p>
    <w:p w14:paraId="3AFCAEE3" w14:textId="77777777" w:rsidR="009658D5" w:rsidRPr="00594E71" w:rsidRDefault="009658D5" w:rsidP="00BD0F89">
      <w:pPr>
        <w:pStyle w:val="ListParagraph"/>
        <w:numPr>
          <w:ilvl w:val="0"/>
          <w:numId w:val="18"/>
        </w:numPr>
        <w:spacing w:line="240" w:lineRule="auto"/>
        <w:rPr>
          <w:rFonts w:ascii="Times New Roman" w:hAnsi="Times New Roman"/>
          <w:i/>
          <w:sz w:val="24"/>
          <w:szCs w:val="24"/>
        </w:rPr>
      </w:pPr>
      <w:r w:rsidRPr="00677D55">
        <w:rPr>
          <w:rFonts w:ascii="Times New Roman" w:hAnsi="Times New Roman"/>
          <w:sz w:val="24"/>
          <w:szCs w:val="24"/>
        </w:rPr>
        <w:t>FERC Form No. 60A (also called FERC-60A) (Annual Report of Centralized Service Cos.), OMB Control No. TBD)</w:t>
      </w:r>
      <w:r w:rsidRPr="00BA47E0">
        <w:t xml:space="preserve"> </w:t>
      </w:r>
      <w:r>
        <w:t xml:space="preserve"> </w:t>
      </w:r>
      <w:r w:rsidRPr="00677D55">
        <w:rPr>
          <w:rFonts w:ascii="Times New Roman" w:hAnsi="Times New Roman"/>
          <w:i/>
          <w:sz w:val="24"/>
          <w:szCs w:val="24"/>
        </w:rPr>
        <w:t>Note that the NOPR discusses the FERC Form No. 60 (also called FERC</w:t>
      </w:r>
      <w:r>
        <w:rPr>
          <w:rFonts w:ascii="Times New Roman" w:hAnsi="Times New Roman"/>
          <w:i/>
          <w:sz w:val="24"/>
          <w:szCs w:val="24"/>
        </w:rPr>
        <w:t>-</w:t>
      </w:r>
      <w:r w:rsidRPr="00677D55">
        <w:rPr>
          <w:rFonts w:ascii="Times New Roman" w:hAnsi="Times New Roman"/>
          <w:i/>
          <w:sz w:val="24"/>
          <w:szCs w:val="24"/>
        </w:rPr>
        <w:t>60) (Annual Reports of Centralized Service Cos., OMB Control No. 1902-0215)</w:t>
      </w:r>
      <w:r w:rsidRPr="00677D55">
        <w:rPr>
          <w:rStyle w:val="FootnoteReference"/>
          <w:rFonts w:ascii="Times New Roman" w:hAnsi="Times New Roman"/>
          <w:i/>
          <w:sz w:val="24"/>
          <w:szCs w:val="24"/>
          <w:vertAlign w:val="superscript"/>
        </w:rPr>
        <w:footnoteReference w:id="3"/>
      </w:r>
      <w:r w:rsidRPr="00677D55">
        <w:rPr>
          <w:rFonts w:ascii="Times New Roman" w:hAnsi="Times New Roman"/>
          <w:i/>
          <w:sz w:val="24"/>
          <w:szCs w:val="24"/>
        </w:rPr>
        <w:t xml:space="preserve"> for which the OMB expiration date is 5/31/2019.  Due to </w:t>
      </w:r>
      <w:r w:rsidR="00C27D83">
        <w:rPr>
          <w:rFonts w:ascii="Times New Roman" w:hAnsi="Times New Roman"/>
          <w:i/>
          <w:sz w:val="24"/>
          <w:szCs w:val="24"/>
        </w:rPr>
        <w:t xml:space="preserve">separate </w:t>
      </w:r>
      <w:r w:rsidRPr="00677D55">
        <w:rPr>
          <w:rFonts w:ascii="Times New Roman" w:hAnsi="Times New Roman"/>
          <w:i/>
          <w:sz w:val="24"/>
          <w:szCs w:val="24"/>
        </w:rPr>
        <w:t xml:space="preserve">activity to </w:t>
      </w:r>
      <w:r w:rsidRPr="00677D55">
        <w:rPr>
          <w:rFonts w:ascii="Times New Roman" w:hAnsi="Times New Roman"/>
          <w:i/>
          <w:sz w:val="24"/>
          <w:szCs w:val="24"/>
        </w:rPr>
        <w:lastRenderedPageBreak/>
        <w:t>renew the FERC-60 before the expiration date, we are using a temporary information collection number (FERC-60A) for this supporting statement for the related components in the NOPR in Docket RM19-12.</w:t>
      </w:r>
      <w:r w:rsidRPr="003056DE">
        <w:rPr>
          <w:rStyle w:val="FootnoteReference"/>
          <w:rFonts w:ascii="Times New Roman" w:hAnsi="Times New Roman"/>
          <w:i/>
          <w:sz w:val="24"/>
          <w:szCs w:val="24"/>
          <w:vertAlign w:val="superscript"/>
        </w:rPr>
        <w:footnoteReference w:id="4"/>
      </w:r>
    </w:p>
    <w:p w14:paraId="0ACE1701" w14:textId="691BA233" w:rsidR="00532CEA" w:rsidRPr="00594E71" w:rsidRDefault="00532CEA" w:rsidP="00BD0F89">
      <w:pPr>
        <w:pStyle w:val="ListParagraph"/>
        <w:numPr>
          <w:ilvl w:val="0"/>
          <w:numId w:val="18"/>
        </w:numPr>
        <w:spacing w:line="240" w:lineRule="auto"/>
        <w:rPr>
          <w:rFonts w:ascii="Times New Roman" w:hAnsi="Times New Roman"/>
          <w:i/>
          <w:sz w:val="24"/>
          <w:szCs w:val="24"/>
        </w:rPr>
      </w:pPr>
      <w:r w:rsidRPr="00594E71">
        <w:rPr>
          <w:rFonts w:ascii="Times New Roman" w:hAnsi="Times New Roman"/>
          <w:sz w:val="24"/>
          <w:szCs w:val="24"/>
        </w:rPr>
        <w:t>FERC</w:t>
      </w:r>
      <w:r w:rsidR="00C54986">
        <w:rPr>
          <w:rFonts w:ascii="Times New Roman" w:hAnsi="Times New Roman"/>
          <w:sz w:val="24"/>
          <w:szCs w:val="24"/>
        </w:rPr>
        <w:t xml:space="preserve"> Form No. </w:t>
      </w:r>
      <w:r w:rsidRPr="00594E71">
        <w:rPr>
          <w:rFonts w:ascii="Times New Roman" w:hAnsi="Times New Roman"/>
          <w:sz w:val="24"/>
          <w:szCs w:val="24"/>
        </w:rPr>
        <w:t>714</w:t>
      </w:r>
      <w:r w:rsidR="00673209" w:rsidRPr="00594E71">
        <w:rPr>
          <w:rFonts w:ascii="Times New Roman" w:hAnsi="Times New Roman"/>
          <w:sz w:val="24"/>
          <w:szCs w:val="24"/>
        </w:rPr>
        <w:t>A</w:t>
      </w:r>
      <w:r w:rsidRPr="00594E71">
        <w:rPr>
          <w:rFonts w:ascii="Times New Roman" w:hAnsi="Times New Roman"/>
          <w:sz w:val="24"/>
          <w:szCs w:val="24"/>
        </w:rPr>
        <w:t xml:space="preserve"> </w:t>
      </w:r>
      <w:r w:rsidR="002B4655">
        <w:rPr>
          <w:rFonts w:ascii="Times New Roman" w:hAnsi="Times New Roman"/>
          <w:sz w:val="24"/>
          <w:szCs w:val="24"/>
        </w:rPr>
        <w:t xml:space="preserve">(also called FERC-714A) </w:t>
      </w:r>
      <w:r w:rsidRPr="00594E71">
        <w:rPr>
          <w:rFonts w:ascii="Times New Roman" w:hAnsi="Times New Roman"/>
          <w:sz w:val="24"/>
          <w:szCs w:val="24"/>
        </w:rPr>
        <w:t>(Annual Electric Balancing Authority Area and Planning Area Report</w:t>
      </w:r>
      <w:r w:rsidR="00DE1ED3">
        <w:rPr>
          <w:rFonts w:ascii="Times New Roman" w:hAnsi="Times New Roman"/>
          <w:sz w:val="24"/>
          <w:szCs w:val="24"/>
        </w:rPr>
        <w:t>, for RM19-12;</w:t>
      </w:r>
      <w:r w:rsidRPr="00594E71">
        <w:rPr>
          <w:rFonts w:ascii="Times New Roman" w:hAnsi="Times New Roman"/>
          <w:sz w:val="24"/>
          <w:szCs w:val="24"/>
        </w:rPr>
        <w:t xml:space="preserve"> OMB Control No. </w:t>
      </w:r>
      <w:r w:rsidR="00673209" w:rsidRPr="00594E71">
        <w:rPr>
          <w:rFonts w:ascii="Times New Roman" w:hAnsi="Times New Roman"/>
          <w:sz w:val="24"/>
          <w:szCs w:val="24"/>
        </w:rPr>
        <w:t>TBD</w:t>
      </w:r>
      <w:r w:rsidRPr="00594E71">
        <w:rPr>
          <w:rFonts w:ascii="Times New Roman" w:hAnsi="Times New Roman"/>
          <w:sz w:val="24"/>
          <w:szCs w:val="24"/>
        </w:rPr>
        <w:t>)</w:t>
      </w:r>
      <w:r w:rsidR="00673209" w:rsidRPr="00594E71">
        <w:rPr>
          <w:rFonts w:ascii="Times New Roman" w:hAnsi="Times New Roman"/>
          <w:sz w:val="24"/>
          <w:szCs w:val="24"/>
        </w:rPr>
        <w:t>--</w:t>
      </w:r>
      <w:r w:rsidR="00673209" w:rsidRPr="00594E71">
        <w:rPr>
          <w:rFonts w:ascii="Times New Roman" w:hAnsi="Times New Roman"/>
          <w:i/>
          <w:sz w:val="24"/>
          <w:szCs w:val="24"/>
        </w:rPr>
        <w:t>Note that the NOPR discusses the FERC</w:t>
      </w:r>
      <w:r w:rsidR="00C54986">
        <w:rPr>
          <w:rFonts w:ascii="Times New Roman" w:hAnsi="Times New Roman"/>
          <w:i/>
          <w:sz w:val="24"/>
          <w:szCs w:val="24"/>
        </w:rPr>
        <w:t xml:space="preserve"> Form No. </w:t>
      </w:r>
      <w:r w:rsidR="00673209" w:rsidRPr="00594E71">
        <w:rPr>
          <w:rFonts w:ascii="Times New Roman" w:hAnsi="Times New Roman"/>
          <w:i/>
          <w:sz w:val="24"/>
          <w:szCs w:val="24"/>
        </w:rPr>
        <w:t>714 (Annual Electric Balancing Authority Area and Planning Area Report, OMB Control No. 1902-0140) for which t</w:t>
      </w:r>
      <w:r w:rsidR="00E6521C">
        <w:rPr>
          <w:rFonts w:ascii="Times New Roman" w:hAnsi="Times New Roman"/>
          <w:i/>
          <w:sz w:val="24"/>
          <w:szCs w:val="24"/>
        </w:rPr>
        <w:t>he OMB expiration date is 5/31/</w:t>
      </w:r>
      <w:r w:rsidR="00673209" w:rsidRPr="00594E71">
        <w:rPr>
          <w:rFonts w:ascii="Times New Roman" w:hAnsi="Times New Roman"/>
          <w:i/>
          <w:sz w:val="24"/>
          <w:szCs w:val="24"/>
        </w:rPr>
        <w:t>2019.  Due to activity in a separate pending docket (Docket No. IC19-4) to renew the FERC</w:t>
      </w:r>
      <w:r w:rsidR="00C54986">
        <w:rPr>
          <w:rFonts w:ascii="Times New Roman" w:hAnsi="Times New Roman"/>
          <w:i/>
          <w:sz w:val="24"/>
          <w:szCs w:val="24"/>
        </w:rPr>
        <w:t xml:space="preserve"> Form No. </w:t>
      </w:r>
      <w:r w:rsidR="00673209" w:rsidRPr="00594E71">
        <w:rPr>
          <w:rFonts w:ascii="Times New Roman" w:hAnsi="Times New Roman"/>
          <w:i/>
          <w:sz w:val="24"/>
          <w:szCs w:val="24"/>
        </w:rPr>
        <w:t>714</w:t>
      </w:r>
      <w:r w:rsidR="00031C79">
        <w:rPr>
          <w:rFonts w:ascii="Times New Roman" w:hAnsi="Times New Roman"/>
          <w:i/>
          <w:sz w:val="24"/>
          <w:szCs w:val="24"/>
        </w:rPr>
        <w:t xml:space="preserve"> before the expiration date</w:t>
      </w:r>
      <w:r w:rsidR="00673209" w:rsidRPr="00594E71">
        <w:rPr>
          <w:rFonts w:ascii="Times New Roman" w:hAnsi="Times New Roman"/>
          <w:i/>
          <w:sz w:val="24"/>
          <w:szCs w:val="24"/>
        </w:rPr>
        <w:t>, we are using a temporary information collection number (FERC</w:t>
      </w:r>
      <w:r w:rsidR="00C54986">
        <w:rPr>
          <w:rFonts w:ascii="Times New Roman" w:hAnsi="Times New Roman"/>
          <w:i/>
          <w:sz w:val="24"/>
          <w:szCs w:val="24"/>
        </w:rPr>
        <w:t xml:space="preserve"> Form No. </w:t>
      </w:r>
      <w:r w:rsidR="00673209" w:rsidRPr="00594E71">
        <w:rPr>
          <w:rFonts w:ascii="Times New Roman" w:hAnsi="Times New Roman"/>
          <w:i/>
          <w:sz w:val="24"/>
          <w:szCs w:val="24"/>
        </w:rPr>
        <w:t>714A) for this supporting statement for</w:t>
      </w:r>
      <w:r w:rsidR="00E6521C">
        <w:rPr>
          <w:rFonts w:ascii="Times New Roman" w:hAnsi="Times New Roman"/>
          <w:i/>
          <w:sz w:val="24"/>
          <w:szCs w:val="24"/>
        </w:rPr>
        <w:t xml:space="preserve"> the related components in</w:t>
      </w:r>
      <w:r w:rsidR="00673209" w:rsidRPr="00594E71">
        <w:rPr>
          <w:rFonts w:ascii="Times New Roman" w:hAnsi="Times New Roman"/>
          <w:i/>
          <w:sz w:val="24"/>
          <w:szCs w:val="24"/>
        </w:rPr>
        <w:t xml:space="preserve"> the NOPR in Docket RM19-12.</w:t>
      </w:r>
      <w:r w:rsidR="00594E71" w:rsidRPr="00031C79">
        <w:rPr>
          <w:rStyle w:val="FootnoteReference"/>
          <w:rFonts w:ascii="Times New Roman" w:hAnsi="Times New Roman"/>
          <w:i/>
          <w:sz w:val="24"/>
          <w:szCs w:val="24"/>
          <w:vertAlign w:val="superscript"/>
        </w:rPr>
        <w:footnoteReference w:id="5"/>
      </w:r>
      <w:r w:rsidR="00673209" w:rsidRPr="00031C79">
        <w:rPr>
          <w:rFonts w:ascii="Times New Roman" w:hAnsi="Times New Roman"/>
          <w:i/>
          <w:sz w:val="24"/>
          <w:szCs w:val="24"/>
          <w:vertAlign w:val="superscript"/>
        </w:rPr>
        <w:t xml:space="preserve"> </w:t>
      </w:r>
    </w:p>
    <w:p w14:paraId="1F55415B" w14:textId="77777777" w:rsidR="008F711B" w:rsidRPr="00677D55" w:rsidRDefault="008F711B" w:rsidP="00493DD9">
      <w:pPr>
        <w:pStyle w:val="ListParagraph"/>
        <w:spacing w:after="160" w:line="240" w:lineRule="auto"/>
        <w:rPr>
          <w:rFonts w:ascii="Times New Roman" w:hAnsi="Times New Roman"/>
          <w:i/>
          <w:sz w:val="24"/>
          <w:szCs w:val="24"/>
        </w:rPr>
      </w:pPr>
    </w:p>
    <w:p w14:paraId="24B8F82F" w14:textId="77777777" w:rsidR="001C2900" w:rsidRPr="00BA47E0" w:rsidRDefault="001C2900" w:rsidP="00BD0F89">
      <w:pPr>
        <w:pStyle w:val="ListParagraph"/>
        <w:spacing w:line="240" w:lineRule="auto"/>
        <w:ind w:left="0"/>
        <w:rPr>
          <w:rFonts w:ascii="Times New Roman" w:hAnsi="Times New Roman"/>
          <w:i/>
          <w:sz w:val="24"/>
          <w:szCs w:val="24"/>
        </w:rPr>
      </w:pPr>
    </w:p>
    <w:p w14:paraId="6715D86C" w14:textId="238E8839" w:rsidR="008F711B" w:rsidRDefault="001C2900" w:rsidP="00BD0F89">
      <w:pPr>
        <w:pStyle w:val="ListParagraph"/>
        <w:spacing w:line="240" w:lineRule="auto"/>
        <w:ind w:left="0"/>
        <w:rPr>
          <w:rFonts w:ascii="Times New Roman" w:hAnsi="Times New Roman"/>
          <w:sz w:val="24"/>
          <w:szCs w:val="24"/>
        </w:rPr>
      </w:pPr>
      <w:r>
        <w:rPr>
          <w:rFonts w:ascii="Times New Roman" w:hAnsi="Times New Roman"/>
          <w:sz w:val="24"/>
          <w:szCs w:val="24"/>
        </w:rPr>
        <w:t>When the 10 information collections are being discussed as a group here, we will refer to them as the ‘VFP Forms</w:t>
      </w:r>
      <w:r w:rsidR="002B4655">
        <w:rPr>
          <w:rFonts w:ascii="Times New Roman" w:hAnsi="Times New Roman"/>
          <w:sz w:val="24"/>
          <w:szCs w:val="24"/>
        </w:rPr>
        <w:t>.</w:t>
      </w:r>
      <w:r>
        <w:rPr>
          <w:rFonts w:ascii="Times New Roman" w:hAnsi="Times New Roman"/>
          <w:sz w:val="24"/>
          <w:szCs w:val="24"/>
        </w:rPr>
        <w:t>’</w:t>
      </w:r>
    </w:p>
    <w:p w14:paraId="4C1C8DA9" w14:textId="77777777" w:rsidR="001C2900" w:rsidRDefault="001C2900" w:rsidP="00BD0F89">
      <w:pPr>
        <w:pStyle w:val="ListParagraph"/>
        <w:spacing w:line="240" w:lineRule="auto"/>
        <w:ind w:left="0"/>
        <w:rPr>
          <w:rFonts w:ascii="Times New Roman" w:hAnsi="Times New Roman"/>
          <w:sz w:val="24"/>
          <w:szCs w:val="24"/>
        </w:rPr>
      </w:pPr>
    </w:p>
    <w:p w14:paraId="7E7371D8" w14:textId="77777777" w:rsidR="00565432" w:rsidRDefault="00565432" w:rsidP="00BD0F89">
      <w:pPr>
        <w:pStyle w:val="ListParagraph"/>
        <w:spacing w:line="240" w:lineRule="auto"/>
        <w:ind w:left="0"/>
        <w:rPr>
          <w:rFonts w:ascii="Times New Roman" w:hAnsi="Times New Roman"/>
          <w:sz w:val="24"/>
          <w:szCs w:val="24"/>
        </w:rPr>
      </w:pPr>
      <w:r w:rsidRPr="00565432">
        <w:rPr>
          <w:rFonts w:ascii="Times New Roman" w:hAnsi="Times New Roman"/>
          <w:sz w:val="24"/>
          <w:szCs w:val="24"/>
        </w:rPr>
        <w:t xml:space="preserve">Currently, these </w:t>
      </w:r>
      <w:r>
        <w:rPr>
          <w:rFonts w:ascii="Times New Roman" w:hAnsi="Times New Roman"/>
          <w:sz w:val="24"/>
          <w:szCs w:val="24"/>
        </w:rPr>
        <w:t>information collections</w:t>
      </w:r>
      <w:r w:rsidRPr="00565432">
        <w:rPr>
          <w:rFonts w:ascii="Times New Roman" w:hAnsi="Times New Roman"/>
          <w:sz w:val="24"/>
          <w:szCs w:val="24"/>
        </w:rPr>
        <w:t xml:space="preserve"> use a Commission-distributed software application called Visual FoxPro</w:t>
      </w:r>
      <w:r>
        <w:rPr>
          <w:rFonts w:ascii="Times New Roman" w:hAnsi="Times New Roman"/>
          <w:sz w:val="24"/>
          <w:szCs w:val="24"/>
        </w:rPr>
        <w:t xml:space="preserve"> (VFP)</w:t>
      </w:r>
      <w:r w:rsidRPr="00565432">
        <w:rPr>
          <w:rFonts w:ascii="Times New Roman" w:hAnsi="Times New Roman"/>
          <w:sz w:val="24"/>
          <w:szCs w:val="24"/>
        </w:rPr>
        <w:t xml:space="preserve">.  Each entity is required to gather its relevant financial and other data and enter the data into </w:t>
      </w:r>
      <w:r w:rsidR="001C2900">
        <w:rPr>
          <w:rFonts w:ascii="Times New Roman" w:hAnsi="Times New Roman"/>
          <w:sz w:val="24"/>
          <w:szCs w:val="24"/>
        </w:rPr>
        <w:t>VFP</w:t>
      </w:r>
      <w:r w:rsidRPr="00565432">
        <w:rPr>
          <w:rFonts w:ascii="Times New Roman" w:hAnsi="Times New Roman"/>
          <w:sz w:val="24"/>
          <w:szCs w:val="24"/>
        </w:rPr>
        <w:t xml:space="preserve">, which the entity maintains on its own computer system.  The entity then uses the </w:t>
      </w:r>
      <w:r w:rsidR="001C2900">
        <w:rPr>
          <w:rFonts w:ascii="Times New Roman" w:hAnsi="Times New Roman"/>
          <w:sz w:val="24"/>
          <w:szCs w:val="24"/>
        </w:rPr>
        <w:t>VFP</w:t>
      </w:r>
      <w:r w:rsidRPr="00565432">
        <w:rPr>
          <w:rFonts w:ascii="Times New Roman" w:hAnsi="Times New Roman"/>
          <w:sz w:val="24"/>
          <w:szCs w:val="24"/>
        </w:rPr>
        <w:t xml:space="preserve"> software to transmit the information to the Commission.  However, Microsoft Corporation, the developer of Visual FoxPro, no longer supports this product</w:t>
      </w:r>
      <w:r>
        <w:rPr>
          <w:rFonts w:ascii="Times New Roman" w:hAnsi="Times New Roman"/>
          <w:sz w:val="24"/>
          <w:szCs w:val="24"/>
        </w:rPr>
        <w:t xml:space="preserve">.  </w:t>
      </w:r>
    </w:p>
    <w:p w14:paraId="2DE3696D" w14:textId="77777777" w:rsidR="001F096A" w:rsidRDefault="00DB4D60" w:rsidP="001F096A">
      <w:pPr>
        <w:spacing w:after="0" w:line="240" w:lineRule="auto"/>
        <w:rPr>
          <w:rFonts w:ascii="Times New Roman" w:hAnsi="Times New Roman"/>
          <w:sz w:val="24"/>
          <w:szCs w:val="24"/>
        </w:rPr>
      </w:pPr>
      <w:r>
        <w:rPr>
          <w:rFonts w:ascii="Times New Roman" w:hAnsi="Times New Roman"/>
          <w:sz w:val="24"/>
          <w:szCs w:val="24"/>
        </w:rPr>
        <w:t>In moving to a long-term solution for the VFP Forms, t</w:t>
      </w:r>
      <w:r w:rsidR="00565432">
        <w:rPr>
          <w:rFonts w:ascii="Times New Roman" w:hAnsi="Times New Roman"/>
          <w:sz w:val="24"/>
          <w:szCs w:val="24"/>
        </w:rPr>
        <w:t xml:space="preserve">he Commission has held conferences and </w:t>
      </w:r>
      <w:r w:rsidR="00331FD7">
        <w:rPr>
          <w:rFonts w:ascii="Times New Roman" w:hAnsi="Times New Roman"/>
          <w:sz w:val="24"/>
          <w:szCs w:val="24"/>
        </w:rPr>
        <w:t xml:space="preserve">discussions with </w:t>
      </w:r>
      <w:r w:rsidR="00565432">
        <w:rPr>
          <w:rFonts w:ascii="Times New Roman" w:hAnsi="Times New Roman"/>
          <w:sz w:val="24"/>
          <w:szCs w:val="24"/>
        </w:rPr>
        <w:t xml:space="preserve">industry </w:t>
      </w:r>
      <w:r w:rsidR="00331FD7">
        <w:rPr>
          <w:rFonts w:ascii="Times New Roman" w:hAnsi="Times New Roman"/>
          <w:sz w:val="24"/>
          <w:szCs w:val="24"/>
        </w:rPr>
        <w:t xml:space="preserve">members, other federal agencies, </w:t>
      </w:r>
      <w:r w:rsidR="00565432">
        <w:rPr>
          <w:rFonts w:ascii="Times New Roman" w:hAnsi="Times New Roman"/>
          <w:sz w:val="24"/>
          <w:szCs w:val="24"/>
        </w:rPr>
        <w:t>and other stakeholders</w:t>
      </w:r>
      <w:r w:rsidR="00524C2C">
        <w:rPr>
          <w:rFonts w:ascii="Times New Roman" w:hAnsi="Times New Roman"/>
          <w:sz w:val="24"/>
          <w:szCs w:val="24"/>
        </w:rPr>
        <w:t>.</w:t>
      </w:r>
      <w:r w:rsidR="00565432">
        <w:rPr>
          <w:rFonts w:ascii="Times New Roman" w:hAnsi="Times New Roman"/>
          <w:sz w:val="24"/>
          <w:szCs w:val="24"/>
        </w:rPr>
        <w:t xml:space="preserve">  </w:t>
      </w:r>
      <w:r w:rsidR="00565432" w:rsidRPr="00565432">
        <w:rPr>
          <w:rFonts w:ascii="Times New Roman" w:hAnsi="Times New Roman"/>
          <w:sz w:val="24"/>
          <w:szCs w:val="24"/>
        </w:rPr>
        <w:t xml:space="preserve">Based on these discussions, </w:t>
      </w:r>
      <w:r w:rsidR="00B66C65">
        <w:rPr>
          <w:rFonts w:ascii="Times New Roman" w:hAnsi="Times New Roman"/>
          <w:sz w:val="24"/>
          <w:szCs w:val="24"/>
        </w:rPr>
        <w:t>the Commission</w:t>
      </w:r>
      <w:r w:rsidR="00565432" w:rsidRPr="00565432">
        <w:rPr>
          <w:rFonts w:ascii="Times New Roman" w:hAnsi="Times New Roman"/>
          <w:sz w:val="24"/>
          <w:szCs w:val="24"/>
        </w:rPr>
        <w:t xml:space="preserve"> </w:t>
      </w:r>
      <w:r w:rsidR="00B66C65">
        <w:rPr>
          <w:rFonts w:ascii="Times New Roman" w:hAnsi="Times New Roman"/>
          <w:sz w:val="24"/>
          <w:szCs w:val="24"/>
        </w:rPr>
        <w:t>believes</w:t>
      </w:r>
      <w:r w:rsidR="00565432" w:rsidRPr="00565432">
        <w:rPr>
          <w:rFonts w:ascii="Times New Roman" w:hAnsi="Times New Roman"/>
          <w:sz w:val="24"/>
          <w:szCs w:val="24"/>
        </w:rPr>
        <w:t xml:space="preserve"> a standard built on </w:t>
      </w:r>
      <w:r w:rsidR="003E74C9" w:rsidRPr="00E31823">
        <w:rPr>
          <w:rFonts w:ascii="Times New Roman" w:hAnsi="Times New Roman"/>
          <w:sz w:val="24"/>
          <w:szCs w:val="24"/>
        </w:rPr>
        <w:t>Extensible Mark</w:t>
      </w:r>
      <w:r w:rsidR="003E74C9">
        <w:rPr>
          <w:rFonts w:ascii="Times New Roman" w:hAnsi="Times New Roman"/>
          <w:sz w:val="24"/>
          <w:szCs w:val="24"/>
        </w:rPr>
        <w:t>u</w:t>
      </w:r>
      <w:r w:rsidR="003E74C9" w:rsidRPr="00E31823">
        <w:rPr>
          <w:rFonts w:ascii="Times New Roman" w:hAnsi="Times New Roman"/>
          <w:sz w:val="24"/>
          <w:szCs w:val="24"/>
        </w:rPr>
        <w:t xml:space="preserve">p Language </w:t>
      </w:r>
      <w:r w:rsidR="003E74C9">
        <w:rPr>
          <w:rFonts w:ascii="Times New Roman" w:hAnsi="Times New Roman"/>
          <w:sz w:val="24"/>
          <w:szCs w:val="24"/>
        </w:rPr>
        <w:t>(</w:t>
      </w:r>
      <w:r w:rsidR="00565432" w:rsidRPr="00565432">
        <w:rPr>
          <w:rFonts w:ascii="Times New Roman" w:hAnsi="Times New Roman"/>
          <w:sz w:val="24"/>
          <w:szCs w:val="24"/>
        </w:rPr>
        <w:t>XML</w:t>
      </w:r>
      <w:r w:rsidR="003E74C9">
        <w:rPr>
          <w:rFonts w:ascii="Times New Roman" w:hAnsi="Times New Roman"/>
          <w:sz w:val="24"/>
          <w:szCs w:val="24"/>
        </w:rPr>
        <w:t>)</w:t>
      </w:r>
      <w:r w:rsidR="00565432" w:rsidRPr="00565432">
        <w:rPr>
          <w:rFonts w:ascii="Times New Roman" w:hAnsi="Times New Roman"/>
          <w:sz w:val="24"/>
          <w:szCs w:val="24"/>
        </w:rPr>
        <w:t xml:space="preserve"> called eXtensible Business Reporting Language (XBRL) would be a superior method for both the Commission and filing entities to use.  XBRL was developed specifically for reporting financial data and is used widely for reporting business and financial information.</w:t>
      </w:r>
      <w:r w:rsidR="00DA4FB1">
        <w:rPr>
          <w:rFonts w:ascii="Times New Roman" w:hAnsi="Times New Roman"/>
          <w:sz w:val="24"/>
          <w:szCs w:val="24"/>
        </w:rPr>
        <w:t xml:space="preserve">  </w:t>
      </w:r>
      <w:r w:rsidR="001F096A">
        <w:rPr>
          <w:rFonts w:ascii="Times New Roman" w:hAnsi="Times New Roman"/>
          <w:sz w:val="24"/>
          <w:szCs w:val="24"/>
        </w:rPr>
        <w:t>Under the NOPR, the Commission is not proposing to change the information currently collected in the VFP Forms, but rather to change the format of the information that is being collected from VFP to XBRL.</w:t>
      </w:r>
    </w:p>
    <w:p w14:paraId="08503B1D" w14:textId="77777777" w:rsidR="001F096A" w:rsidRDefault="001F096A" w:rsidP="001F096A">
      <w:pPr>
        <w:spacing w:after="0" w:line="240" w:lineRule="auto"/>
        <w:rPr>
          <w:rFonts w:ascii="Times New Roman" w:hAnsi="Times New Roman"/>
          <w:sz w:val="24"/>
          <w:szCs w:val="24"/>
        </w:rPr>
      </w:pPr>
    </w:p>
    <w:p w14:paraId="41D5B9C4" w14:textId="77777777" w:rsidR="009C7F55" w:rsidRPr="00EB790F" w:rsidRDefault="009C7F55" w:rsidP="00BD0F89">
      <w:pPr>
        <w:pStyle w:val="ListParagraph"/>
        <w:numPr>
          <w:ilvl w:val="0"/>
          <w:numId w:val="14"/>
        </w:numPr>
        <w:spacing w:after="0" w:line="240" w:lineRule="auto"/>
        <w:rPr>
          <w:rFonts w:ascii="Times New Roman" w:hAnsi="Times New Roman"/>
          <w:b/>
          <w:sz w:val="24"/>
          <w:szCs w:val="24"/>
        </w:rPr>
      </w:pPr>
      <w:r w:rsidRPr="00EB790F">
        <w:rPr>
          <w:rFonts w:ascii="Times New Roman" w:hAnsi="Times New Roman"/>
          <w:b/>
          <w:sz w:val="24"/>
          <w:szCs w:val="24"/>
        </w:rPr>
        <w:t xml:space="preserve">CIRCUMSTANCES THAT MAKE THE COLLECTION OF INFORMATION NECESSARY </w:t>
      </w:r>
    </w:p>
    <w:p w14:paraId="3F447D41" w14:textId="77777777" w:rsidR="002953E1" w:rsidRDefault="002953E1" w:rsidP="00BD0F89">
      <w:pPr>
        <w:spacing w:after="0" w:line="240" w:lineRule="auto"/>
        <w:rPr>
          <w:rFonts w:ascii="Times New Roman" w:hAnsi="Times New Roman"/>
          <w:sz w:val="24"/>
          <w:szCs w:val="24"/>
        </w:rPr>
      </w:pPr>
    </w:p>
    <w:p w14:paraId="4185F36A" w14:textId="77777777" w:rsidR="00CC72A5" w:rsidRPr="00CC72A5" w:rsidRDefault="00CC72A5" w:rsidP="00BD0F89">
      <w:pPr>
        <w:spacing w:after="0" w:line="240" w:lineRule="auto"/>
        <w:rPr>
          <w:rFonts w:ascii="Times New Roman" w:eastAsia="Times New Roman" w:hAnsi="Times New Roman"/>
          <w:sz w:val="24"/>
          <w:szCs w:val="24"/>
        </w:rPr>
      </w:pPr>
      <w:r w:rsidRPr="00CC72A5">
        <w:rPr>
          <w:rFonts w:ascii="Times New Roman" w:eastAsia="Times New Roman" w:hAnsi="Times New Roman"/>
          <w:b/>
          <w:sz w:val="24"/>
          <w:szCs w:val="24"/>
        </w:rPr>
        <w:t>FERC</w:t>
      </w:r>
      <w:r w:rsidR="002123B8">
        <w:rPr>
          <w:rFonts w:ascii="Times New Roman" w:eastAsia="Times New Roman" w:hAnsi="Times New Roman"/>
          <w:b/>
          <w:sz w:val="24"/>
          <w:szCs w:val="24"/>
        </w:rPr>
        <w:t xml:space="preserve"> Form Nos. </w:t>
      </w:r>
      <w:r w:rsidRPr="00CC72A5">
        <w:rPr>
          <w:rFonts w:ascii="Times New Roman" w:eastAsia="Times New Roman" w:hAnsi="Times New Roman"/>
          <w:b/>
          <w:sz w:val="24"/>
          <w:szCs w:val="24"/>
        </w:rPr>
        <w:t>1, 1F, and 3Q</w:t>
      </w:r>
      <w:r>
        <w:rPr>
          <w:rFonts w:ascii="Times New Roman" w:eastAsia="Times New Roman" w:hAnsi="Times New Roman"/>
          <w:b/>
          <w:sz w:val="24"/>
          <w:szCs w:val="24"/>
        </w:rPr>
        <w:t>.</w:t>
      </w:r>
      <w:r w:rsidRPr="00CC72A5">
        <w:rPr>
          <w:rStyle w:val="FootnoteReference"/>
          <w:rFonts w:ascii="Times New Roman" w:eastAsia="Times New Roman" w:hAnsi="Times New Roman"/>
          <w:b/>
          <w:sz w:val="24"/>
          <w:szCs w:val="24"/>
          <w:vertAlign w:val="superscript"/>
        </w:rPr>
        <w:footnoteReference w:id="6"/>
      </w:r>
      <w:r>
        <w:rPr>
          <w:rFonts w:ascii="Times New Roman" w:eastAsia="Times New Roman" w:hAnsi="Times New Roman"/>
          <w:b/>
          <w:sz w:val="24"/>
          <w:szCs w:val="24"/>
        </w:rPr>
        <w:t xml:space="preserve">  </w:t>
      </w:r>
      <w:r w:rsidRPr="00CC72A5">
        <w:rPr>
          <w:rFonts w:ascii="Times New Roman" w:eastAsia="Times New Roman" w:hAnsi="Times New Roman"/>
          <w:sz w:val="24"/>
          <w:szCs w:val="24"/>
        </w:rPr>
        <w:t xml:space="preserve">In accordance with </w:t>
      </w:r>
      <w:r w:rsidRPr="00E96DA4">
        <w:rPr>
          <w:rFonts w:ascii="Times New Roman" w:eastAsia="Times New Roman" w:hAnsi="Times New Roman"/>
          <w:sz w:val="24"/>
          <w:szCs w:val="24"/>
        </w:rPr>
        <w:t>sections 304 and 309 of the Federal Power Act and section 10(a) of the Natural Gas Act</w:t>
      </w:r>
      <w:r w:rsidRPr="00CC72A5">
        <w:rPr>
          <w:rFonts w:ascii="Times New Roman" w:eastAsia="Times New Roman" w:hAnsi="Times New Roman"/>
          <w:sz w:val="24"/>
          <w:szCs w:val="24"/>
        </w:rPr>
        <w:t xml:space="preserve">, FERC is authorized to collect and record data to the extent it considers necessary, and to prescribe rules and regulations concerning accounts, records and memoranda.  </w:t>
      </w:r>
    </w:p>
    <w:p w14:paraId="4AD80A51" w14:textId="77777777" w:rsidR="00CC72A5" w:rsidRPr="00CC72A5" w:rsidRDefault="00CC72A5" w:rsidP="00BD0F89">
      <w:pPr>
        <w:spacing w:after="0" w:line="240" w:lineRule="auto"/>
        <w:rPr>
          <w:rFonts w:ascii="Times New Roman" w:eastAsia="Times New Roman" w:hAnsi="Times New Roman"/>
          <w:sz w:val="24"/>
          <w:szCs w:val="24"/>
        </w:rPr>
      </w:pPr>
    </w:p>
    <w:p w14:paraId="5D1092FA" w14:textId="77777777" w:rsidR="00CC72A5" w:rsidRPr="00CC72A5" w:rsidRDefault="00CC72A5" w:rsidP="00BD0F89">
      <w:pPr>
        <w:spacing w:after="0" w:line="240" w:lineRule="auto"/>
        <w:rPr>
          <w:rFonts w:ascii="Times New Roman" w:eastAsia="Times New Roman" w:hAnsi="Times New Roman"/>
          <w:sz w:val="24"/>
          <w:szCs w:val="24"/>
        </w:rPr>
      </w:pPr>
      <w:r w:rsidRPr="00CC72A5">
        <w:rPr>
          <w:rFonts w:ascii="Times New Roman" w:eastAsia="Times New Roman" w:hAnsi="Times New Roman"/>
          <w:sz w:val="24"/>
          <w:szCs w:val="24"/>
        </w:rPr>
        <w:t xml:space="preserve">Under the existing regulations, FERC jurisdictional entities subject to its Uniform System of Accounts </w:t>
      </w:r>
      <w:r w:rsidR="0092238A">
        <w:rPr>
          <w:rFonts w:ascii="Times New Roman" w:eastAsia="Times New Roman" w:hAnsi="Times New Roman"/>
          <w:sz w:val="24"/>
          <w:szCs w:val="24"/>
        </w:rPr>
        <w:t xml:space="preserve">(USofA) </w:t>
      </w:r>
      <w:r w:rsidRPr="00CC72A5">
        <w:rPr>
          <w:rFonts w:ascii="Times New Roman" w:eastAsia="Times New Roman" w:hAnsi="Times New Roman"/>
          <w:sz w:val="24"/>
          <w:szCs w:val="24"/>
        </w:rPr>
        <w:t xml:space="preserve">must annually file with the Commission a complete set of financial statements, along with other selected financial and non-financial data through the submission of FERC Annual Report Forms </w:t>
      </w:r>
      <w:r w:rsidR="009F6CFB">
        <w:rPr>
          <w:rFonts w:ascii="Times New Roman" w:eastAsia="Times New Roman" w:hAnsi="Times New Roman"/>
          <w:sz w:val="24"/>
          <w:szCs w:val="24"/>
        </w:rPr>
        <w:t>No</w:t>
      </w:r>
      <w:r w:rsidR="00FD1DA6">
        <w:rPr>
          <w:rFonts w:ascii="Times New Roman" w:eastAsia="Times New Roman" w:hAnsi="Times New Roman"/>
          <w:sz w:val="24"/>
          <w:szCs w:val="24"/>
        </w:rPr>
        <w:t>s</w:t>
      </w:r>
      <w:r w:rsidR="009F6CFB">
        <w:rPr>
          <w:rFonts w:ascii="Times New Roman" w:eastAsia="Times New Roman" w:hAnsi="Times New Roman"/>
          <w:sz w:val="24"/>
          <w:szCs w:val="24"/>
        </w:rPr>
        <w:t xml:space="preserve">. </w:t>
      </w:r>
      <w:r w:rsidRPr="00CC72A5">
        <w:rPr>
          <w:rFonts w:ascii="Times New Roman" w:eastAsia="Times New Roman" w:hAnsi="Times New Roman"/>
          <w:sz w:val="24"/>
          <w:szCs w:val="24"/>
        </w:rPr>
        <w:t xml:space="preserve">1 and 1-F.  The Form </w:t>
      </w:r>
      <w:r w:rsidR="00FD1DA6">
        <w:rPr>
          <w:rFonts w:ascii="Times New Roman" w:eastAsia="Times New Roman" w:hAnsi="Times New Roman"/>
          <w:sz w:val="24"/>
          <w:szCs w:val="24"/>
        </w:rPr>
        <w:t xml:space="preserve">No. </w:t>
      </w:r>
      <w:r w:rsidRPr="00CC72A5">
        <w:rPr>
          <w:rFonts w:ascii="Times New Roman" w:eastAsia="Times New Roman" w:hAnsi="Times New Roman"/>
          <w:sz w:val="24"/>
          <w:szCs w:val="24"/>
        </w:rPr>
        <w:t>1 is a comprehensive financial and operating report submitted for electric rate regulation, market oversight analysis, and financial audits.  Major pertains to utilities and licensees that have, in each of the three previous calendar years, sales or transmission services that exceed one of the following:  (1) one million megawatt hours of total annual sales; (2) 100 megawatt hours of annual sales for resale; (3) 500 megawatt hours of annual power exchanges delivered; or (4) 500 megawatt hours of annual wheeling for others (deliveries plus losses).</w:t>
      </w:r>
      <w:r w:rsidRPr="00CC72A5">
        <w:rPr>
          <w:rFonts w:ascii="Times New Roman" w:eastAsia="Times New Roman" w:hAnsi="Times New Roman"/>
          <w:b/>
          <w:sz w:val="24"/>
          <w:szCs w:val="24"/>
          <w:vertAlign w:val="superscript"/>
        </w:rPr>
        <w:footnoteReference w:id="7"/>
      </w:r>
      <w:r w:rsidRPr="00CC72A5">
        <w:rPr>
          <w:rFonts w:ascii="Times New Roman" w:eastAsia="Times New Roman" w:hAnsi="Times New Roman"/>
          <w:sz w:val="24"/>
          <w:szCs w:val="24"/>
        </w:rPr>
        <w:t xml:space="preserve">  Form </w:t>
      </w:r>
      <w:r w:rsidR="00FD1DA6">
        <w:rPr>
          <w:rFonts w:ascii="Times New Roman" w:eastAsia="Times New Roman" w:hAnsi="Times New Roman"/>
          <w:sz w:val="24"/>
          <w:szCs w:val="24"/>
        </w:rPr>
        <w:t xml:space="preserve">No. </w:t>
      </w:r>
      <w:r w:rsidRPr="00CC72A5">
        <w:rPr>
          <w:rFonts w:ascii="Times New Roman" w:eastAsia="Times New Roman" w:hAnsi="Times New Roman"/>
          <w:sz w:val="24"/>
          <w:szCs w:val="24"/>
        </w:rPr>
        <w:t>1-F is designed to collect financial and operational information from Nonmajor public utilities and licensees.  Nonmajor pertains to utilities and licensees that have total annual sales of 10,000 megawatt-hours or more in the previous calendar year and that are not classified as Major.</w:t>
      </w:r>
      <w:r w:rsidRPr="00CC72A5">
        <w:rPr>
          <w:rFonts w:ascii="Times New Roman" w:eastAsia="Times New Roman" w:hAnsi="Times New Roman"/>
          <w:b/>
          <w:sz w:val="24"/>
          <w:szCs w:val="24"/>
          <w:vertAlign w:val="superscript"/>
        </w:rPr>
        <w:footnoteReference w:id="8"/>
      </w:r>
    </w:p>
    <w:p w14:paraId="5FE35A95" w14:textId="77777777" w:rsidR="00CC72A5" w:rsidRPr="00CC72A5" w:rsidRDefault="00CC72A5" w:rsidP="00BD0F89">
      <w:pPr>
        <w:spacing w:after="0" w:line="240" w:lineRule="auto"/>
        <w:rPr>
          <w:rFonts w:ascii="Times New Roman" w:eastAsia="Times New Roman" w:hAnsi="Times New Roman"/>
          <w:sz w:val="24"/>
          <w:szCs w:val="24"/>
        </w:rPr>
      </w:pPr>
      <w:r w:rsidRPr="00CC72A5">
        <w:rPr>
          <w:rFonts w:ascii="Times New Roman" w:eastAsia="Times New Roman" w:hAnsi="Times New Roman"/>
          <w:sz w:val="24"/>
          <w:szCs w:val="24"/>
        </w:rPr>
        <w:t xml:space="preserve">  </w:t>
      </w:r>
    </w:p>
    <w:p w14:paraId="3016F732" w14:textId="1A9AB6A2" w:rsidR="00CC72A5" w:rsidRPr="00CC72A5" w:rsidRDefault="00CC72A5" w:rsidP="00BD0F89">
      <w:pPr>
        <w:spacing w:after="0" w:line="240" w:lineRule="auto"/>
        <w:rPr>
          <w:rFonts w:ascii="Times New Roman" w:eastAsia="Times New Roman" w:hAnsi="Times New Roman"/>
          <w:sz w:val="24"/>
          <w:szCs w:val="24"/>
        </w:rPr>
      </w:pPr>
      <w:r w:rsidRPr="00CC72A5">
        <w:rPr>
          <w:rFonts w:ascii="Times New Roman" w:eastAsia="Times New Roman" w:hAnsi="Times New Roman"/>
          <w:sz w:val="24"/>
          <w:szCs w:val="24"/>
        </w:rPr>
        <w:t xml:space="preserve">The FERC Form </w:t>
      </w:r>
      <w:r w:rsidR="00FD1DA6">
        <w:rPr>
          <w:rFonts w:ascii="Times New Roman" w:eastAsia="Times New Roman" w:hAnsi="Times New Roman"/>
          <w:sz w:val="24"/>
          <w:szCs w:val="24"/>
        </w:rPr>
        <w:t xml:space="preserve">No. </w:t>
      </w:r>
      <w:r w:rsidRPr="00CC72A5">
        <w:rPr>
          <w:rFonts w:ascii="Times New Roman" w:eastAsia="Times New Roman" w:hAnsi="Times New Roman"/>
          <w:sz w:val="24"/>
          <w:szCs w:val="24"/>
        </w:rPr>
        <w:t>3-Q is a quarterly financial and operating report for rate regulation, market oversight analysis, and financial audits which supplements the (a) Forms</w:t>
      </w:r>
      <w:r w:rsidR="00FD1DA6">
        <w:rPr>
          <w:rFonts w:ascii="Times New Roman" w:eastAsia="Times New Roman" w:hAnsi="Times New Roman"/>
          <w:sz w:val="24"/>
          <w:szCs w:val="24"/>
        </w:rPr>
        <w:t xml:space="preserve"> Nos. </w:t>
      </w:r>
      <w:r w:rsidRPr="00CC72A5">
        <w:rPr>
          <w:rFonts w:ascii="Times New Roman" w:eastAsia="Times New Roman" w:hAnsi="Times New Roman"/>
          <w:sz w:val="24"/>
          <w:szCs w:val="24"/>
        </w:rPr>
        <w:t xml:space="preserve">1 and 1-F for the electric industry, or the (b) Form </w:t>
      </w:r>
      <w:r w:rsidR="00FD1DA6">
        <w:rPr>
          <w:rFonts w:ascii="Times New Roman" w:eastAsia="Times New Roman" w:hAnsi="Times New Roman"/>
          <w:sz w:val="24"/>
          <w:szCs w:val="24"/>
        </w:rPr>
        <w:t>No</w:t>
      </w:r>
      <w:r w:rsidR="002B4655">
        <w:rPr>
          <w:rFonts w:ascii="Times New Roman" w:eastAsia="Times New Roman" w:hAnsi="Times New Roman"/>
          <w:sz w:val="24"/>
          <w:szCs w:val="24"/>
        </w:rPr>
        <w:t>s</w:t>
      </w:r>
      <w:r w:rsidR="00FD1DA6">
        <w:rPr>
          <w:rFonts w:ascii="Times New Roman" w:eastAsia="Times New Roman" w:hAnsi="Times New Roman"/>
          <w:sz w:val="24"/>
          <w:szCs w:val="24"/>
        </w:rPr>
        <w:t xml:space="preserve">. </w:t>
      </w:r>
      <w:r w:rsidRPr="00CC72A5">
        <w:rPr>
          <w:rFonts w:ascii="Times New Roman" w:eastAsia="Times New Roman" w:hAnsi="Times New Roman"/>
          <w:sz w:val="24"/>
          <w:szCs w:val="24"/>
        </w:rPr>
        <w:t>2</w:t>
      </w:r>
      <w:r w:rsidR="00FD1DA6">
        <w:rPr>
          <w:rFonts w:ascii="Times New Roman" w:eastAsia="Times New Roman" w:hAnsi="Times New Roman"/>
          <w:sz w:val="24"/>
          <w:szCs w:val="24"/>
        </w:rPr>
        <w:t xml:space="preserve"> </w:t>
      </w:r>
      <w:r w:rsidR="002B4655">
        <w:rPr>
          <w:rFonts w:ascii="Times New Roman" w:eastAsia="Times New Roman" w:hAnsi="Times New Roman"/>
          <w:sz w:val="24"/>
          <w:szCs w:val="24"/>
        </w:rPr>
        <w:t xml:space="preserve">and </w:t>
      </w:r>
      <w:r w:rsidRPr="00CC72A5">
        <w:rPr>
          <w:rFonts w:ascii="Times New Roman" w:eastAsia="Times New Roman" w:hAnsi="Times New Roman"/>
          <w:sz w:val="24"/>
          <w:szCs w:val="24"/>
        </w:rPr>
        <w:t>2-A for the natural gas industry.  The FERC</w:t>
      </w:r>
      <w:r w:rsidR="009F6CFB">
        <w:rPr>
          <w:rFonts w:ascii="Times New Roman" w:eastAsia="Times New Roman" w:hAnsi="Times New Roman"/>
          <w:sz w:val="24"/>
          <w:szCs w:val="24"/>
        </w:rPr>
        <w:t xml:space="preserve"> Form</w:t>
      </w:r>
      <w:r w:rsidR="000076FA">
        <w:rPr>
          <w:rFonts w:ascii="Times New Roman" w:eastAsia="Times New Roman" w:hAnsi="Times New Roman"/>
          <w:sz w:val="24"/>
          <w:szCs w:val="24"/>
        </w:rPr>
        <w:t xml:space="preserve"> </w:t>
      </w:r>
      <w:r w:rsidR="009852B7">
        <w:rPr>
          <w:rFonts w:ascii="Times New Roman" w:eastAsia="Times New Roman" w:hAnsi="Times New Roman"/>
          <w:sz w:val="24"/>
          <w:szCs w:val="24"/>
        </w:rPr>
        <w:t>No.</w:t>
      </w:r>
      <w:r w:rsidR="009F6CFB">
        <w:rPr>
          <w:rFonts w:ascii="Times New Roman" w:eastAsia="Times New Roman" w:hAnsi="Times New Roman"/>
          <w:sz w:val="24"/>
          <w:szCs w:val="24"/>
        </w:rPr>
        <w:t xml:space="preserve"> </w:t>
      </w:r>
      <w:r w:rsidRPr="00CC72A5">
        <w:rPr>
          <w:rFonts w:ascii="Times New Roman" w:eastAsia="Times New Roman" w:hAnsi="Times New Roman"/>
          <w:sz w:val="24"/>
          <w:szCs w:val="24"/>
        </w:rPr>
        <w:t xml:space="preserve">3-Q is submitted for electric utilities and licensees reporting Forms </w:t>
      </w:r>
      <w:r w:rsidR="009852B7">
        <w:rPr>
          <w:rFonts w:ascii="Times New Roman" w:eastAsia="Times New Roman" w:hAnsi="Times New Roman"/>
          <w:sz w:val="24"/>
          <w:szCs w:val="24"/>
        </w:rPr>
        <w:t xml:space="preserve">No. </w:t>
      </w:r>
      <w:r w:rsidRPr="00CC72A5">
        <w:rPr>
          <w:rFonts w:ascii="Times New Roman" w:eastAsia="Times New Roman" w:hAnsi="Times New Roman"/>
          <w:sz w:val="24"/>
          <w:szCs w:val="24"/>
        </w:rPr>
        <w:t xml:space="preserve">1 or 1-F and natural gas companies reporting Forms </w:t>
      </w:r>
      <w:r w:rsidR="009852B7">
        <w:rPr>
          <w:rFonts w:ascii="Times New Roman" w:eastAsia="Times New Roman" w:hAnsi="Times New Roman"/>
          <w:sz w:val="24"/>
          <w:szCs w:val="24"/>
        </w:rPr>
        <w:t xml:space="preserve">No. </w:t>
      </w:r>
      <w:r w:rsidRPr="00CC72A5">
        <w:rPr>
          <w:rFonts w:ascii="Times New Roman" w:eastAsia="Times New Roman" w:hAnsi="Times New Roman"/>
          <w:sz w:val="24"/>
          <w:szCs w:val="24"/>
        </w:rPr>
        <w:t>2 or 2A.</w:t>
      </w:r>
      <w:r w:rsidRPr="00CC72A5">
        <w:rPr>
          <w:rFonts w:ascii="Times New Roman" w:eastAsia="Times New Roman" w:hAnsi="Times New Roman"/>
          <w:b/>
          <w:sz w:val="24"/>
          <w:szCs w:val="24"/>
          <w:vertAlign w:val="superscript"/>
        </w:rPr>
        <w:footnoteReference w:id="9"/>
      </w:r>
      <w:r w:rsidRPr="00CC72A5">
        <w:rPr>
          <w:rFonts w:ascii="Times New Roman" w:eastAsia="Times New Roman" w:hAnsi="Times New Roman"/>
          <w:sz w:val="24"/>
          <w:szCs w:val="24"/>
        </w:rPr>
        <w:t xml:space="preserve">   </w:t>
      </w:r>
    </w:p>
    <w:p w14:paraId="7C1616AC" w14:textId="77777777" w:rsidR="00CC72A5" w:rsidRPr="00CC72A5" w:rsidRDefault="00CC72A5" w:rsidP="00BD0F89">
      <w:pPr>
        <w:spacing w:after="0" w:line="240" w:lineRule="auto"/>
        <w:rPr>
          <w:rFonts w:ascii="Times New Roman" w:eastAsia="Times New Roman" w:hAnsi="Times New Roman"/>
          <w:sz w:val="24"/>
          <w:szCs w:val="24"/>
        </w:rPr>
      </w:pPr>
    </w:p>
    <w:p w14:paraId="7670B8B2" w14:textId="3C5D19FA" w:rsidR="00CC72A5" w:rsidRPr="00CC72A5" w:rsidRDefault="00CC72A5" w:rsidP="00BD0F89">
      <w:pPr>
        <w:spacing w:after="0" w:line="240" w:lineRule="auto"/>
        <w:rPr>
          <w:rFonts w:ascii="Times New Roman" w:eastAsia="Times New Roman" w:hAnsi="Times New Roman"/>
          <w:sz w:val="24"/>
          <w:szCs w:val="24"/>
        </w:rPr>
      </w:pPr>
      <w:r w:rsidRPr="00CC72A5">
        <w:rPr>
          <w:rFonts w:ascii="Times New Roman" w:eastAsia="Times New Roman" w:hAnsi="Times New Roman"/>
          <w:sz w:val="24"/>
          <w:szCs w:val="24"/>
        </w:rPr>
        <w:t xml:space="preserve">The Commission collects Forms </w:t>
      </w:r>
      <w:r w:rsidR="00FD1DA6">
        <w:rPr>
          <w:rFonts w:ascii="Times New Roman" w:eastAsia="Times New Roman" w:hAnsi="Times New Roman"/>
          <w:sz w:val="24"/>
          <w:szCs w:val="24"/>
        </w:rPr>
        <w:t xml:space="preserve">Nos. </w:t>
      </w:r>
      <w:r w:rsidRPr="00CC72A5">
        <w:rPr>
          <w:rFonts w:ascii="Times New Roman" w:eastAsia="Times New Roman" w:hAnsi="Times New Roman"/>
          <w:sz w:val="24"/>
          <w:szCs w:val="24"/>
        </w:rPr>
        <w:t xml:space="preserve">1, 1-F, and 3-Q as prescribed in Title 18 CFR (Code of Federal Regulations) Parts 141.1, 141.2, and 141.400 and 260.300.  The FERC Forms </w:t>
      </w:r>
      <w:r w:rsidR="00FD1DA6">
        <w:rPr>
          <w:rFonts w:ascii="Times New Roman" w:eastAsia="Times New Roman" w:hAnsi="Times New Roman"/>
          <w:sz w:val="24"/>
          <w:szCs w:val="24"/>
        </w:rPr>
        <w:t xml:space="preserve">Nos. </w:t>
      </w:r>
      <w:r w:rsidRPr="00CC72A5">
        <w:rPr>
          <w:rFonts w:ascii="Times New Roman" w:eastAsia="Times New Roman" w:hAnsi="Times New Roman"/>
          <w:sz w:val="24"/>
          <w:szCs w:val="24"/>
        </w:rPr>
        <w:t xml:space="preserve">1, 1-F, and 3-Q provide an informative picture of the jurisdictional entities’ financial conditions and other relevant data that are used by FERC and others in making economic judgments about the entity or its industry. </w:t>
      </w:r>
    </w:p>
    <w:p w14:paraId="5D6A7A60" w14:textId="77777777" w:rsidR="006E5D79" w:rsidRPr="00CC72A5" w:rsidRDefault="006E5D79" w:rsidP="00BD0F89">
      <w:pPr>
        <w:spacing w:after="0" w:line="240" w:lineRule="auto"/>
        <w:rPr>
          <w:rFonts w:ascii="Times New Roman" w:eastAsia="Times New Roman" w:hAnsi="Times New Roman"/>
          <w:b/>
          <w:sz w:val="24"/>
          <w:szCs w:val="24"/>
        </w:rPr>
      </w:pPr>
    </w:p>
    <w:p w14:paraId="58E59C80" w14:textId="03717966" w:rsidR="006E5D79" w:rsidRDefault="002C0DA6" w:rsidP="00BD0F89">
      <w:pPr>
        <w:spacing w:after="0" w:line="240" w:lineRule="auto"/>
        <w:rPr>
          <w:rFonts w:ascii="Times New Roman" w:hAnsi="Times New Roman"/>
          <w:b/>
          <w:sz w:val="24"/>
          <w:szCs w:val="24"/>
        </w:rPr>
      </w:pPr>
      <w:r w:rsidRPr="002D7472">
        <w:rPr>
          <w:rFonts w:ascii="Times New Roman" w:hAnsi="Times New Roman"/>
          <w:b/>
          <w:sz w:val="24"/>
          <w:szCs w:val="24"/>
        </w:rPr>
        <w:t>FERC</w:t>
      </w:r>
      <w:r w:rsidR="002123B8" w:rsidRPr="002D7472">
        <w:rPr>
          <w:rFonts w:ascii="Times New Roman" w:hAnsi="Times New Roman"/>
          <w:b/>
          <w:sz w:val="24"/>
          <w:szCs w:val="24"/>
        </w:rPr>
        <w:t xml:space="preserve"> Form No. </w:t>
      </w:r>
      <w:r w:rsidRPr="002D7472">
        <w:rPr>
          <w:rFonts w:ascii="Times New Roman" w:hAnsi="Times New Roman"/>
          <w:b/>
          <w:sz w:val="24"/>
          <w:szCs w:val="24"/>
        </w:rPr>
        <w:t>2</w:t>
      </w:r>
      <w:r w:rsidR="0062523A" w:rsidRPr="002D7472">
        <w:rPr>
          <w:rFonts w:ascii="Times New Roman" w:hAnsi="Times New Roman"/>
          <w:b/>
          <w:sz w:val="24"/>
          <w:szCs w:val="24"/>
        </w:rPr>
        <w:t xml:space="preserve"> and FERC</w:t>
      </w:r>
      <w:r w:rsidR="002123B8" w:rsidRPr="002D7472">
        <w:rPr>
          <w:rFonts w:ascii="Times New Roman" w:hAnsi="Times New Roman"/>
          <w:b/>
          <w:sz w:val="24"/>
          <w:szCs w:val="24"/>
        </w:rPr>
        <w:t xml:space="preserve"> Form No. </w:t>
      </w:r>
      <w:r w:rsidR="0062523A" w:rsidRPr="002D7472">
        <w:rPr>
          <w:rFonts w:ascii="Times New Roman" w:hAnsi="Times New Roman"/>
          <w:b/>
          <w:sz w:val="24"/>
          <w:szCs w:val="24"/>
        </w:rPr>
        <w:t>2A</w:t>
      </w:r>
      <w:r w:rsidRPr="002D7472">
        <w:rPr>
          <w:rFonts w:ascii="Times New Roman" w:hAnsi="Times New Roman"/>
          <w:b/>
          <w:sz w:val="24"/>
          <w:szCs w:val="24"/>
        </w:rPr>
        <w:t>.</w:t>
      </w:r>
      <w:r w:rsidRPr="002D7472">
        <w:rPr>
          <w:rFonts w:ascii="Times New Roman" w:hAnsi="Times New Roman"/>
          <w:sz w:val="24"/>
          <w:szCs w:val="24"/>
        </w:rPr>
        <w:t xml:space="preserve">  Pursuant to sections 8, 10 and 14 of the National Gas Act (NGA), (15 U.S.C. 717g-717m),</w:t>
      </w:r>
      <w:r w:rsidR="002D7472" w:rsidRPr="002D7472">
        <w:rPr>
          <w:rFonts w:ascii="Times New Roman" w:hAnsi="Times New Roman"/>
          <w:sz w:val="24"/>
          <w:szCs w:val="24"/>
        </w:rPr>
        <w:t xml:space="preserve"> </w:t>
      </w:r>
      <w:r w:rsidRPr="002D7472">
        <w:rPr>
          <w:rFonts w:ascii="Times New Roman" w:hAnsi="Times New Roman"/>
          <w:sz w:val="24"/>
          <w:szCs w:val="24"/>
        </w:rPr>
        <w:t xml:space="preserve">the Commission is authorized to </w:t>
      </w:r>
      <w:r w:rsidR="00512214" w:rsidRPr="002D7472">
        <w:rPr>
          <w:rFonts w:ascii="Times New Roman" w:hAnsi="Times New Roman"/>
          <w:sz w:val="24"/>
          <w:szCs w:val="24"/>
        </w:rPr>
        <w:t>conduct</w:t>
      </w:r>
      <w:r w:rsidR="002D7472" w:rsidRPr="002D7472">
        <w:rPr>
          <w:rFonts w:ascii="Times New Roman" w:hAnsi="Times New Roman"/>
          <w:sz w:val="24"/>
          <w:szCs w:val="24"/>
        </w:rPr>
        <w:t xml:space="preserve"> </w:t>
      </w:r>
      <w:r w:rsidRPr="002D7472">
        <w:rPr>
          <w:rFonts w:ascii="Times New Roman" w:hAnsi="Times New Roman"/>
          <w:sz w:val="24"/>
          <w:szCs w:val="24"/>
        </w:rPr>
        <w:t xml:space="preserve">investigations and collect and record data, </w:t>
      </w:r>
      <w:r w:rsidR="009F6CFB" w:rsidRPr="002D7472">
        <w:rPr>
          <w:rFonts w:ascii="Times New Roman" w:hAnsi="Times New Roman"/>
          <w:sz w:val="24"/>
          <w:szCs w:val="24"/>
        </w:rPr>
        <w:t xml:space="preserve">and </w:t>
      </w:r>
      <w:r w:rsidRPr="002D7472">
        <w:rPr>
          <w:rFonts w:ascii="Times New Roman" w:hAnsi="Times New Roman"/>
          <w:sz w:val="24"/>
          <w:szCs w:val="24"/>
        </w:rPr>
        <w:t>to prescribe rules and regulations concerning accounts, records and memoranda as necessary or appropriate for purposes of administering the NGA.  The Commission may prescribe a system of accounts for jurisdictional companies and</w:t>
      </w:r>
      <w:r w:rsidR="009F6CFB" w:rsidRPr="002D7472">
        <w:rPr>
          <w:rFonts w:ascii="Times New Roman" w:hAnsi="Times New Roman"/>
          <w:sz w:val="24"/>
          <w:szCs w:val="24"/>
        </w:rPr>
        <w:t>,</w:t>
      </w:r>
      <w:r w:rsidRPr="002D7472">
        <w:rPr>
          <w:rFonts w:ascii="Times New Roman" w:hAnsi="Times New Roman"/>
          <w:sz w:val="24"/>
          <w:szCs w:val="24"/>
        </w:rPr>
        <w:t xml:space="preserve"> after notice and opportunity for hearing, may determine the accounts in which particular outlays and receipts will be entered, charged or credited.  The Commission collects Form No</w:t>
      </w:r>
      <w:r w:rsidR="00156589">
        <w:rPr>
          <w:rFonts w:ascii="Times New Roman" w:hAnsi="Times New Roman"/>
          <w:sz w:val="24"/>
          <w:szCs w:val="24"/>
        </w:rPr>
        <w:t>s</w:t>
      </w:r>
      <w:r w:rsidRPr="002D7472">
        <w:rPr>
          <w:rFonts w:ascii="Times New Roman" w:hAnsi="Times New Roman"/>
          <w:sz w:val="24"/>
          <w:szCs w:val="24"/>
        </w:rPr>
        <w:t xml:space="preserve">. 2 </w:t>
      </w:r>
      <w:r w:rsidR="00156589">
        <w:rPr>
          <w:rFonts w:ascii="Times New Roman" w:hAnsi="Times New Roman"/>
          <w:sz w:val="24"/>
          <w:szCs w:val="24"/>
        </w:rPr>
        <w:t xml:space="preserve">and 2A </w:t>
      </w:r>
      <w:r w:rsidRPr="002D7472">
        <w:rPr>
          <w:rFonts w:ascii="Times New Roman" w:hAnsi="Times New Roman"/>
          <w:sz w:val="24"/>
          <w:szCs w:val="24"/>
        </w:rPr>
        <w:t>informatio</w:t>
      </w:r>
      <w:r w:rsidR="0062523A" w:rsidRPr="002D7472">
        <w:rPr>
          <w:rFonts w:ascii="Times New Roman" w:hAnsi="Times New Roman"/>
          <w:sz w:val="24"/>
          <w:szCs w:val="24"/>
        </w:rPr>
        <w:t>n as prescribed in 18 CFR 260.1</w:t>
      </w:r>
      <w:r w:rsidR="00156589">
        <w:rPr>
          <w:rFonts w:ascii="Times New Roman" w:hAnsi="Times New Roman"/>
          <w:sz w:val="24"/>
          <w:szCs w:val="24"/>
        </w:rPr>
        <w:t xml:space="preserve"> and</w:t>
      </w:r>
      <w:r w:rsidR="0062523A">
        <w:rPr>
          <w:rFonts w:ascii="Times New Roman" w:hAnsi="Times New Roman"/>
          <w:sz w:val="24"/>
          <w:szCs w:val="24"/>
        </w:rPr>
        <w:t xml:space="preserve"> 18 CFR 260.2.</w:t>
      </w:r>
    </w:p>
    <w:p w14:paraId="7BB1BC5A" w14:textId="77777777" w:rsidR="002C0DA6" w:rsidRDefault="002C0DA6" w:rsidP="00BD0F89">
      <w:pPr>
        <w:spacing w:after="0" w:line="240" w:lineRule="auto"/>
        <w:rPr>
          <w:rFonts w:ascii="Times New Roman" w:hAnsi="Times New Roman"/>
          <w:b/>
          <w:sz w:val="24"/>
          <w:szCs w:val="24"/>
        </w:rPr>
      </w:pPr>
    </w:p>
    <w:p w14:paraId="6C93D170" w14:textId="77777777" w:rsidR="004F0530" w:rsidRDefault="002F405E" w:rsidP="00BD0F89">
      <w:pPr>
        <w:widowControl w:val="0"/>
        <w:autoSpaceDE w:val="0"/>
        <w:autoSpaceDN w:val="0"/>
        <w:adjustRightInd w:val="0"/>
        <w:spacing w:after="0" w:line="240" w:lineRule="auto"/>
        <w:rPr>
          <w:rFonts w:ascii="Times New Roman" w:eastAsia="Times New Roman" w:hAnsi="Times New Roman"/>
          <w:color w:val="000000"/>
          <w:sz w:val="24"/>
          <w:szCs w:val="24"/>
        </w:rPr>
      </w:pPr>
      <w:r>
        <w:rPr>
          <w:rFonts w:ascii="Times New Roman" w:hAnsi="Times New Roman"/>
          <w:b/>
          <w:sz w:val="24"/>
          <w:szCs w:val="24"/>
        </w:rPr>
        <w:t>FERC</w:t>
      </w:r>
      <w:r w:rsidR="002123B8">
        <w:rPr>
          <w:rFonts w:ascii="Times New Roman" w:hAnsi="Times New Roman"/>
          <w:b/>
          <w:sz w:val="24"/>
          <w:szCs w:val="24"/>
        </w:rPr>
        <w:t xml:space="preserve"> Form No. </w:t>
      </w:r>
      <w:r>
        <w:rPr>
          <w:rFonts w:ascii="Times New Roman" w:hAnsi="Times New Roman"/>
          <w:b/>
          <w:sz w:val="24"/>
          <w:szCs w:val="24"/>
        </w:rPr>
        <w:t>6</w:t>
      </w:r>
      <w:r w:rsidR="00E0190B">
        <w:rPr>
          <w:rFonts w:ascii="Times New Roman" w:hAnsi="Times New Roman"/>
          <w:b/>
          <w:sz w:val="24"/>
          <w:szCs w:val="24"/>
        </w:rPr>
        <w:t xml:space="preserve"> and FERC</w:t>
      </w:r>
      <w:r w:rsidR="002123B8">
        <w:rPr>
          <w:rFonts w:ascii="Times New Roman" w:hAnsi="Times New Roman"/>
          <w:b/>
          <w:sz w:val="24"/>
          <w:szCs w:val="24"/>
        </w:rPr>
        <w:t xml:space="preserve"> Form No. </w:t>
      </w:r>
      <w:r w:rsidR="00E0190B">
        <w:rPr>
          <w:rFonts w:ascii="Times New Roman" w:hAnsi="Times New Roman"/>
          <w:b/>
          <w:sz w:val="24"/>
          <w:szCs w:val="24"/>
        </w:rPr>
        <w:t>6Q</w:t>
      </w:r>
      <w:r>
        <w:rPr>
          <w:rFonts w:ascii="Times New Roman" w:hAnsi="Times New Roman"/>
          <w:b/>
          <w:sz w:val="24"/>
          <w:szCs w:val="24"/>
        </w:rPr>
        <w:t xml:space="preserve">.  </w:t>
      </w:r>
      <w:r w:rsidR="00DA4FB1">
        <w:rPr>
          <w:rFonts w:ascii="Times New Roman" w:eastAsia="Times New Roman" w:hAnsi="Times New Roman"/>
          <w:color w:val="000000"/>
          <w:sz w:val="24"/>
          <w:szCs w:val="24"/>
        </w:rPr>
        <w:t>Sections 13 and 15 of the</w:t>
      </w:r>
      <w:r w:rsidR="004F0530" w:rsidRPr="004F0530">
        <w:rPr>
          <w:rFonts w:ascii="Times New Roman" w:eastAsia="Times New Roman" w:hAnsi="Times New Roman"/>
          <w:color w:val="000000"/>
          <w:sz w:val="24"/>
          <w:szCs w:val="24"/>
        </w:rPr>
        <w:t xml:space="preserve"> Interstate Commerce Act (ICA) authorize the Commission to </w:t>
      </w:r>
      <w:r w:rsidR="006E4F89">
        <w:rPr>
          <w:rFonts w:ascii="Times New Roman" w:eastAsia="Times New Roman" w:hAnsi="Times New Roman"/>
          <w:color w:val="000000"/>
          <w:sz w:val="24"/>
          <w:szCs w:val="24"/>
        </w:rPr>
        <w:t>conduct</w:t>
      </w:r>
      <w:r w:rsidR="004F0530" w:rsidRPr="004F0530">
        <w:rPr>
          <w:rFonts w:ascii="Times New Roman" w:eastAsia="Times New Roman" w:hAnsi="Times New Roman"/>
          <w:color w:val="000000"/>
          <w:sz w:val="24"/>
          <w:szCs w:val="24"/>
        </w:rPr>
        <w:t xml:space="preserve"> investigations, collect, and record data in order to carry out certain necessary and useful provisions.  The information collected from oil pipeline companies under the requirements of the FERC Form No</w:t>
      </w:r>
      <w:r w:rsidR="004F0530">
        <w:rPr>
          <w:rFonts w:ascii="Times New Roman" w:eastAsia="Times New Roman" w:hAnsi="Times New Roman"/>
          <w:color w:val="000000"/>
          <w:sz w:val="24"/>
          <w:szCs w:val="24"/>
        </w:rPr>
        <w:t>s</w:t>
      </w:r>
      <w:r w:rsidR="004F0530" w:rsidRPr="004F0530">
        <w:rPr>
          <w:rFonts w:ascii="Times New Roman" w:eastAsia="Times New Roman" w:hAnsi="Times New Roman"/>
          <w:color w:val="000000"/>
          <w:sz w:val="24"/>
          <w:szCs w:val="24"/>
        </w:rPr>
        <w:t xml:space="preserve">. </w:t>
      </w:r>
      <w:r w:rsidR="004F0530">
        <w:rPr>
          <w:rFonts w:ascii="Times New Roman" w:eastAsia="Times New Roman" w:hAnsi="Times New Roman"/>
          <w:color w:val="000000"/>
          <w:sz w:val="24"/>
          <w:szCs w:val="24"/>
        </w:rPr>
        <w:t xml:space="preserve">6 and </w:t>
      </w:r>
      <w:r w:rsidR="004F0530" w:rsidRPr="004F0530">
        <w:rPr>
          <w:rFonts w:ascii="Times New Roman" w:eastAsia="Times New Roman" w:hAnsi="Times New Roman"/>
          <w:color w:val="000000"/>
          <w:sz w:val="24"/>
          <w:szCs w:val="24"/>
        </w:rPr>
        <w:t xml:space="preserve">6-Q provide the Commission the ability to implement the statutory provisions of the ICA including the authority to prescribe rules, regulations concerning accounts, records, </w:t>
      </w:r>
      <w:r w:rsidR="007C5E46">
        <w:rPr>
          <w:rFonts w:ascii="Times New Roman" w:eastAsia="Times New Roman" w:hAnsi="Times New Roman"/>
          <w:color w:val="000000"/>
          <w:sz w:val="24"/>
          <w:szCs w:val="24"/>
        </w:rPr>
        <w:t xml:space="preserve">and </w:t>
      </w:r>
      <w:r w:rsidR="004F0530" w:rsidRPr="004F0530">
        <w:rPr>
          <w:rFonts w:ascii="Times New Roman" w:eastAsia="Times New Roman" w:hAnsi="Times New Roman"/>
          <w:color w:val="000000"/>
          <w:sz w:val="24"/>
          <w:szCs w:val="24"/>
        </w:rPr>
        <w:t>memoranda as necessary.  The ICA also allows the Commission to prescribe a system of accounts for jurisdictional companies and (after notice) an opportunity for hearing can determine the accounts in which particular outlays and receipts can be entered, charged, or credited.</w:t>
      </w:r>
    </w:p>
    <w:p w14:paraId="7DD6A28E" w14:textId="77777777" w:rsidR="004F0530" w:rsidRDefault="004F0530" w:rsidP="00BD0F89">
      <w:pPr>
        <w:widowControl w:val="0"/>
        <w:autoSpaceDE w:val="0"/>
        <w:autoSpaceDN w:val="0"/>
        <w:adjustRightInd w:val="0"/>
        <w:spacing w:after="0" w:line="240" w:lineRule="auto"/>
        <w:rPr>
          <w:rFonts w:ascii="Times New Roman" w:eastAsia="Times New Roman" w:hAnsi="Times New Roman"/>
          <w:color w:val="000000"/>
          <w:sz w:val="24"/>
          <w:szCs w:val="24"/>
        </w:rPr>
      </w:pPr>
    </w:p>
    <w:p w14:paraId="2E271EF1" w14:textId="2536BD2F" w:rsidR="002F405E" w:rsidRPr="002F405E" w:rsidRDefault="002F405E" w:rsidP="00BD0F89">
      <w:pPr>
        <w:widowControl w:val="0"/>
        <w:tabs>
          <w:tab w:val="left" w:pos="-1440"/>
        </w:tabs>
        <w:autoSpaceDE w:val="0"/>
        <w:autoSpaceDN w:val="0"/>
        <w:adjustRightInd w:val="0"/>
        <w:spacing w:after="0" w:line="240" w:lineRule="auto"/>
        <w:rPr>
          <w:rFonts w:ascii="Times New Roman" w:eastAsia="Times New Roman" w:hAnsi="Times New Roman"/>
          <w:sz w:val="24"/>
          <w:szCs w:val="24"/>
        </w:rPr>
      </w:pPr>
      <w:r w:rsidRPr="002F405E">
        <w:rPr>
          <w:rFonts w:ascii="Times New Roman" w:eastAsia="Times New Roman" w:hAnsi="Times New Roman"/>
          <w:sz w:val="24"/>
          <w:szCs w:val="24"/>
        </w:rPr>
        <w:t xml:space="preserve">In 1994, the Commission addressed additional revisions to the Form </w:t>
      </w:r>
      <w:r w:rsidR="00156589">
        <w:rPr>
          <w:rFonts w:ascii="Times New Roman" w:eastAsia="Times New Roman" w:hAnsi="Times New Roman"/>
          <w:sz w:val="24"/>
          <w:szCs w:val="24"/>
        </w:rPr>
        <w:t xml:space="preserve">No. </w:t>
      </w:r>
      <w:r w:rsidRPr="002F405E">
        <w:rPr>
          <w:rFonts w:ascii="Times New Roman" w:eastAsia="Times New Roman" w:hAnsi="Times New Roman"/>
          <w:sz w:val="24"/>
          <w:szCs w:val="24"/>
        </w:rPr>
        <w:t>6 in Order Nos. 571 and 571-A, including a new Page 700 (Annual Cost of Service).</w:t>
      </w:r>
      <w:r w:rsidRPr="002F405E">
        <w:rPr>
          <w:rFonts w:ascii="Times New Roman" w:eastAsia="Times New Roman" w:hAnsi="Times New Roman"/>
          <w:sz w:val="24"/>
          <w:szCs w:val="24"/>
          <w:vertAlign w:val="superscript"/>
        </w:rPr>
        <w:footnoteReference w:id="10"/>
      </w:r>
      <w:r w:rsidRPr="002F405E">
        <w:rPr>
          <w:rFonts w:ascii="Times New Roman" w:eastAsia="Times New Roman" w:hAnsi="Times New Roman"/>
          <w:sz w:val="24"/>
          <w:szCs w:val="24"/>
        </w:rPr>
        <w:t xml:space="preserve"> </w:t>
      </w:r>
      <w:r w:rsidR="00151068">
        <w:rPr>
          <w:rFonts w:ascii="Times New Roman" w:eastAsia="Times New Roman" w:hAnsi="Times New Roman"/>
          <w:sz w:val="24"/>
          <w:szCs w:val="24"/>
        </w:rPr>
        <w:t xml:space="preserve"> </w:t>
      </w:r>
      <w:r w:rsidRPr="002F405E">
        <w:rPr>
          <w:rFonts w:ascii="Times New Roman" w:eastAsia="Times New Roman" w:hAnsi="Times New Roman"/>
          <w:sz w:val="24"/>
          <w:szCs w:val="24"/>
        </w:rPr>
        <w:t xml:space="preserve">Data collected on page 700 is the basis for determining a pipeline’s cost of service and rate base, which are used in tariff filings </w:t>
      </w:r>
      <w:r w:rsidR="009F6CFB">
        <w:rPr>
          <w:rFonts w:ascii="Times New Roman" w:eastAsia="Times New Roman" w:hAnsi="Times New Roman"/>
          <w:sz w:val="24"/>
          <w:szCs w:val="24"/>
        </w:rPr>
        <w:t xml:space="preserve">and </w:t>
      </w:r>
      <w:r w:rsidRPr="002F405E">
        <w:rPr>
          <w:rFonts w:ascii="Times New Roman" w:eastAsia="Times New Roman" w:hAnsi="Times New Roman"/>
          <w:sz w:val="24"/>
          <w:szCs w:val="24"/>
        </w:rPr>
        <w:t>the 5-year index.</w:t>
      </w:r>
      <w:r w:rsidR="00A94966" w:rsidRPr="002D7472">
        <w:rPr>
          <w:rStyle w:val="FootnoteReference"/>
          <w:rFonts w:ascii="Times New Roman" w:eastAsia="Times New Roman" w:hAnsi="Times New Roman"/>
          <w:sz w:val="24"/>
          <w:szCs w:val="24"/>
          <w:vertAlign w:val="superscript"/>
        </w:rPr>
        <w:footnoteReference w:id="11"/>
      </w:r>
    </w:p>
    <w:p w14:paraId="2DDAD90C" w14:textId="77777777" w:rsidR="00CC72A5" w:rsidRDefault="00CC72A5" w:rsidP="00BD0F89">
      <w:pPr>
        <w:spacing w:after="0" w:line="240" w:lineRule="auto"/>
        <w:rPr>
          <w:rFonts w:ascii="Times New Roman" w:hAnsi="Times New Roman"/>
          <w:b/>
          <w:sz w:val="24"/>
          <w:szCs w:val="24"/>
        </w:rPr>
      </w:pPr>
    </w:p>
    <w:p w14:paraId="3FC55E80" w14:textId="40047CC1" w:rsidR="00133311" w:rsidRPr="00133311" w:rsidRDefault="00133311">
      <w:pPr>
        <w:spacing w:after="0" w:line="240" w:lineRule="auto"/>
        <w:rPr>
          <w:rFonts w:ascii="Times New Roman" w:hAnsi="Times New Roman"/>
          <w:sz w:val="24"/>
          <w:szCs w:val="24"/>
        </w:rPr>
      </w:pPr>
      <w:r>
        <w:rPr>
          <w:rFonts w:ascii="Times New Roman" w:hAnsi="Times New Roman"/>
          <w:b/>
          <w:sz w:val="24"/>
          <w:szCs w:val="24"/>
        </w:rPr>
        <w:t>FERC</w:t>
      </w:r>
      <w:r w:rsidR="002123B8">
        <w:rPr>
          <w:rFonts w:ascii="Times New Roman" w:hAnsi="Times New Roman"/>
          <w:b/>
          <w:sz w:val="24"/>
          <w:szCs w:val="24"/>
        </w:rPr>
        <w:t xml:space="preserve"> Form No. </w:t>
      </w:r>
      <w:r>
        <w:rPr>
          <w:rFonts w:ascii="Times New Roman" w:hAnsi="Times New Roman"/>
          <w:b/>
          <w:sz w:val="24"/>
          <w:szCs w:val="24"/>
        </w:rPr>
        <w:t>60</w:t>
      </w:r>
      <w:r w:rsidR="004C5451">
        <w:rPr>
          <w:rFonts w:ascii="Times New Roman" w:hAnsi="Times New Roman"/>
          <w:b/>
          <w:sz w:val="24"/>
          <w:szCs w:val="24"/>
        </w:rPr>
        <w:t>A</w:t>
      </w:r>
      <w:r>
        <w:rPr>
          <w:rFonts w:ascii="Times New Roman" w:hAnsi="Times New Roman"/>
          <w:b/>
          <w:sz w:val="24"/>
          <w:szCs w:val="24"/>
        </w:rPr>
        <w:t xml:space="preserve">.  </w:t>
      </w:r>
      <w:r w:rsidRPr="00133311">
        <w:rPr>
          <w:rFonts w:ascii="Times New Roman" w:hAnsi="Times New Roman"/>
          <w:sz w:val="24"/>
          <w:szCs w:val="24"/>
        </w:rPr>
        <w:t xml:space="preserve">In accordance with the Energy Policy Act of 2005 (EPAct 2005), the Commission implemented the repeal of </w:t>
      </w:r>
      <w:r w:rsidR="00044A19">
        <w:rPr>
          <w:rFonts w:ascii="Times New Roman" w:hAnsi="Times New Roman"/>
          <w:sz w:val="24"/>
          <w:szCs w:val="24"/>
        </w:rPr>
        <w:t>the Public Utility Holding Company Act of 1935 (</w:t>
      </w:r>
      <w:r w:rsidRPr="00133311">
        <w:rPr>
          <w:rFonts w:ascii="Times New Roman" w:hAnsi="Times New Roman"/>
          <w:sz w:val="24"/>
          <w:szCs w:val="24"/>
        </w:rPr>
        <w:t>PUHCA 1935</w:t>
      </w:r>
      <w:r w:rsidR="00044A19">
        <w:rPr>
          <w:rFonts w:ascii="Times New Roman" w:hAnsi="Times New Roman"/>
          <w:sz w:val="24"/>
          <w:szCs w:val="24"/>
        </w:rPr>
        <w:t>)</w:t>
      </w:r>
      <w:r w:rsidRPr="00133311">
        <w:rPr>
          <w:rFonts w:ascii="Times New Roman" w:hAnsi="Times New Roman"/>
          <w:sz w:val="24"/>
          <w:szCs w:val="24"/>
        </w:rPr>
        <w:t xml:space="preserve"> and implemented the provisions of a new</w:t>
      </w:r>
      <w:r w:rsidR="00044A19">
        <w:rPr>
          <w:rFonts w:ascii="Times New Roman" w:hAnsi="Times New Roman"/>
          <w:sz w:val="24"/>
          <w:szCs w:val="24"/>
        </w:rPr>
        <w:t>ly enacted</w:t>
      </w:r>
      <w:r w:rsidRPr="00133311">
        <w:rPr>
          <w:rFonts w:ascii="Times New Roman" w:hAnsi="Times New Roman"/>
          <w:sz w:val="24"/>
          <w:szCs w:val="24"/>
        </w:rPr>
        <w:t xml:space="preserve"> </w:t>
      </w:r>
      <w:r w:rsidR="00044A19">
        <w:rPr>
          <w:rFonts w:ascii="Times New Roman" w:hAnsi="Times New Roman"/>
          <w:sz w:val="24"/>
          <w:szCs w:val="24"/>
        </w:rPr>
        <w:t>Public Utility Holding Company Act 2005 (</w:t>
      </w:r>
      <w:r w:rsidRPr="00133311">
        <w:rPr>
          <w:rFonts w:ascii="Times New Roman" w:hAnsi="Times New Roman"/>
          <w:sz w:val="24"/>
          <w:szCs w:val="24"/>
        </w:rPr>
        <w:t>PUHCA 2005</w:t>
      </w:r>
      <w:r w:rsidR="00044A19">
        <w:rPr>
          <w:rFonts w:ascii="Times New Roman" w:hAnsi="Times New Roman"/>
          <w:sz w:val="24"/>
          <w:szCs w:val="24"/>
        </w:rPr>
        <w:t>)</w:t>
      </w:r>
      <w:r w:rsidRPr="00133311">
        <w:rPr>
          <w:rFonts w:ascii="Times New Roman" w:hAnsi="Times New Roman"/>
          <w:sz w:val="24"/>
          <w:szCs w:val="24"/>
        </w:rPr>
        <w:t xml:space="preserve">. </w:t>
      </w:r>
      <w:r w:rsidR="00044A19">
        <w:rPr>
          <w:rFonts w:ascii="Times New Roman" w:hAnsi="Times New Roman"/>
          <w:sz w:val="24"/>
          <w:szCs w:val="24"/>
        </w:rPr>
        <w:t xml:space="preserve"> </w:t>
      </w:r>
      <w:r w:rsidR="00201EDE">
        <w:rPr>
          <w:rFonts w:ascii="Times New Roman" w:hAnsi="Times New Roman"/>
          <w:sz w:val="24"/>
          <w:szCs w:val="24"/>
        </w:rPr>
        <w:t>Pursuant to PUHCA 2005, the Commission requires</w:t>
      </w:r>
      <w:r w:rsidR="00066375">
        <w:rPr>
          <w:rFonts w:ascii="Times New Roman" w:hAnsi="Times New Roman"/>
          <w:sz w:val="24"/>
          <w:szCs w:val="24"/>
        </w:rPr>
        <w:t xml:space="preserve"> centralized service companies to file </w:t>
      </w:r>
      <w:r w:rsidR="00156589">
        <w:rPr>
          <w:rFonts w:ascii="Times New Roman" w:hAnsi="Times New Roman"/>
          <w:sz w:val="24"/>
          <w:szCs w:val="24"/>
        </w:rPr>
        <w:t xml:space="preserve">the </w:t>
      </w:r>
      <w:r w:rsidR="00066375">
        <w:rPr>
          <w:rFonts w:ascii="Times New Roman" w:hAnsi="Times New Roman"/>
          <w:sz w:val="24"/>
          <w:szCs w:val="24"/>
        </w:rPr>
        <w:t xml:space="preserve">Form No. 60.  The information collected in Form No. 60 </w:t>
      </w:r>
      <w:r w:rsidR="009E14B3">
        <w:rPr>
          <w:rFonts w:ascii="Times New Roman" w:hAnsi="Times New Roman"/>
          <w:sz w:val="24"/>
          <w:szCs w:val="24"/>
        </w:rPr>
        <w:t xml:space="preserve">enables </w:t>
      </w:r>
      <w:r w:rsidR="00066375">
        <w:rPr>
          <w:rFonts w:ascii="Times New Roman" w:hAnsi="Times New Roman"/>
          <w:sz w:val="24"/>
          <w:szCs w:val="24"/>
        </w:rPr>
        <w:t>better monitoring for cross-subsidization</w:t>
      </w:r>
      <w:r w:rsidR="00295EB7">
        <w:rPr>
          <w:rFonts w:ascii="Times New Roman" w:hAnsi="Times New Roman"/>
          <w:sz w:val="24"/>
          <w:szCs w:val="24"/>
        </w:rPr>
        <w:t>,</w:t>
      </w:r>
      <w:r w:rsidR="00066375">
        <w:rPr>
          <w:rFonts w:ascii="Times New Roman" w:hAnsi="Times New Roman"/>
          <w:sz w:val="24"/>
          <w:szCs w:val="24"/>
        </w:rPr>
        <w:t xml:space="preserve"> and aids the Commission in carrying out its statutory responsibilities.  </w:t>
      </w:r>
    </w:p>
    <w:p w14:paraId="11C736BC" w14:textId="77777777" w:rsidR="00CC72A5" w:rsidRDefault="00CC72A5" w:rsidP="00BD0F89">
      <w:pPr>
        <w:spacing w:after="0" w:line="240" w:lineRule="auto"/>
        <w:rPr>
          <w:rFonts w:ascii="Times New Roman" w:hAnsi="Times New Roman"/>
          <w:b/>
          <w:sz w:val="24"/>
          <w:szCs w:val="24"/>
        </w:rPr>
      </w:pPr>
    </w:p>
    <w:p w14:paraId="228B82CC" w14:textId="334AEAB7" w:rsidR="002476F2" w:rsidRPr="00BA412D" w:rsidRDefault="002476F2" w:rsidP="002476F2">
      <w:pPr>
        <w:spacing w:after="0" w:line="240" w:lineRule="auto"/>
        <w:rPr>
          <w:rFonts w:ascii="Times New Roman" w:hAnsi="Times New Roman"/>
          <w:sz w:val="24"/>
          <w:szCs w:val="24"/>
        </w:rPr>
      </w:pPr>
      <w:r w:rsidRPr="00BA412D">
        <w:rPr>
          <w:rFonts w:ascii="Times New Roman" w:hAnsi="Times New Roman"/>
          <w:b/>
          <w:sz w:val="24"/>
          <w:szCs w:val="24"/>
        </w:rPr>
        <w:t>FERC</w:t>
      </w:r>
      <w:r w:rsidR="002123B8">
        <w:rPr>
          <w:rFonts w:ascii="Times New Roman" w:hAnsi="Times New Roman"/>
          <w:b/>
          <w:sz w:val="24"/>
          <w:szCs w:val="24"/>
        </w:rPr>
        <w:t xml:space="preserve"> Form No. </w:t>
      </w:r>
      <w:r w:rsidRPr="00BA412D">
        <w:rPr>
          <w:rFonts w:ascii="Times New Roman" w:hAnsi="Times New Roman"/>
          <w:b/>
          <w:sz w:val="24"/>
          <w:szCs w:val="24"/>
        </w:rPr>
        <w:t>714</w:t>
      </w:r>
      <w:r w:rsidR="00156589">
        <w:rPr>
          <w:rFonts w:ascii="Times New Roman" w:hAnsi="Times New Roman"/>
          <w:b/>
          <w:sz w:val="24"/>
          <w:szCs w:val="24"/>
        </w:rPr>
        <w:t>A</w:t>
      </w:r>
      <w:r w:rsidRPr="00BA412D">
        <w:rPr>
          <w:rFonts w:ascii="Times New Roman" w:hAnsi="Times New Roman"/>
          <w:b/>
          <w:sz w:val="24"/>
          <w:szCs w:val="24"/>
        </w:rPr>
        <w:t>.</w:t>
      </w:r>
      <w:r>
        <w:rPr>
          <w:rFonts w:ascii="Times New Roman" w:hAnsi="Times New Roman"/>
          <w:sz w:val="24"/>
          <w:szCs w:val="24"/>
        </w:rPr>
        <w:t xml:space="preserve">  </w:t>
      </w:r>
      <w:r w:rsidRPr="00BA412D">
        <w:rPr>
          <w:rFonts w:ascii="Times New Roman" w:hAnsi="Times New Roman"/>
          <w:sz w:val="24"/>
          <w:szCs w:val="24"/>
        </w:rPr>
        <w:t>The Federal Power Act authorizes the Commission to collect information from electric utility balancing authorities and planning areas in the United States</w:t>
      </w:r>
      <w:r>
        <w:rPr>
          <w:rFonts w:ascii="Times New Roman" w:hAnsi="Times New Roman"/>
          <w:sz w:val="24"/>
          <w:szCs w:val="24"/>
        </w:rPr>
        <w:t xml:space="preserve"> for the purpose of analyzing</w:t>
      </w:r>
      <w:r w:rsidRPr="00BA412D">
        <w:rPr>
          <w:rFonts w:ascii="Times New Roman" w:hAnsi="Times New Roman"/>
          <w:sz w:val="24"/>
          <w:szCs w:val="24"/>
        </w:rPr>
        <w:t xml:space="preserve"> power system operations.  These analyses estimate the effect of changes in power system operations resulting from the installation of a new generating unit</w:t>
      </w:r>
      <w:r>
        <w:rPr>
          <w:rFonts w:ascii="Times New Roman" w:hAnsi="Times New Roman"/>
          <w:sz w:val="24"/>
          <w:szCs w:val="24"/>
        </w:rPr>
        <w:t>,</w:t>
      </w:r>
      <w:r w:rsidRPr="00BA412D">
        <w:rPr>
          <w:rFonts w:ascii="Times New Roman" w:hAnsi="Times New Roman"/>
          <w:sz w:val="24"/>
          <w:szCs w:val="24"/>
        </w:rPr>
        <w:t xml:space="preserve"> plant, </w:t>
      </w:r>
      <w:r>
        <w:rPr>
          <w:rFonts w:ascii="Times New Roman" w:hAnsi="Times New Roman"/>
          <w:sz w:val="24"/>
          <w:szCs w:val="24"/>
        </w:rPr>
        <w:t xml:space="preserve">or </w:t>
      </w:r>
      <w:r w:rsidRPr="00BA412D">
        <w:rPr>
          <w:rFonts w:ascii="Times New Roman" w:hAnsi="Times New Roman"/>
          <w:sz w:val="24"/>
          <w:szCs w:val="24"/>
        </w:rPr>
        <w:t xml:space="preserve">transmission facilities, </w:t>
      </w:r>
      <w:r>
        <w:rPr>
          <w:rFonts w:ascii="Times New Roman" w:hAnsi="Times New Roman"/>
          <w:sz w:val="24"/>
          <w:szCs w:val="24"/>
        </w:rPr>
        <w:t xml:space="preserve">as well as the effects of </w:t>
      </w:r>
      <w:r w:rsidRPr="00BA412D">
        <w:rPr>
          <w:rFonts w:ascii="Times New Roman" w:hAnsi="Times New Roman"/>
          <w:sz w:val="24"/>
          <w:szCs w:val="24"/>
        </w:rPr>
        <w:t xml:space="preserve">energy transfers between systems and/or new points of interconnection.  Also, these analyses </w:t>
      </w:r>
      <w:r>
        <w:rPr>
          <w:rFonts w:ascii="Times New Roman" w:hAnsi="Times New Roman"/>
          <w:sz w:val="24"/>
          <w:szCs w:val="24"/>
        </w:rPr>
        <w:t>assist with evaluating</w:t>
      </w:r>
      <w:r w:rsidRPr="00BA412D">
        <w:rPr>
          <w:rFonts w:ascii="Times New Roman" w:hAnsi="Times New Roman"/>
          <w:sz w:val="24"/>
          <w:szCs w:val="24"/>
        </w:rPr>
        <w:t xml:space="preserve"> rates and charges, assess</w:t>
      </w:r>
      <w:r>
        <w:rPr>
          <w:rFonts w:ascii="Times New Roman" w:hAnsi="Times New Roman"/>
          <w:sz w:val="24"/>
          <w:szCs w:val="24"/>
        </w:rPr>
        <w:t>ing</w:t>
      </w:r>
      <w:r w:rsidRPr="00BA412D">
        <w:rPr>
          <w:rFonts w:ascii="Times New Roman" w:hAnsi="Times New Roman"/>
          <w:sz w:val="24"/>
          <w:szCs w:val="24"/>
        </w:rPr>
        <w:t xml:space="preserve"> reliability and other operating attributes in regulatory proceedings, monitor</w:t>
      </w:r>
      <w:r>
        <w:rPr>
          <w:rFonts w:ascii="Times New Roman" w:hAnsi="Times New Roman"/>
          <w:sz w:val="24"/>
          <w:szCs w:val="24"/>
        </w:rPr>
        <w:t>ing</w:t>
      </w:r>
      <w:r w:rsidRPr="00BA412D">
        <w:rPr>
          <w:rFonts w:ascii="Times New Roman" w:hAnsi="Times New Roman"/>
          <w:sz w:val="24"/>
          <w:szCs w:val="24"/>
        </w:rPr>
        <w:t xml:space="preserve"> market trends and behaviors, and determin</w:t>
      </w:r>
      <w:r>
        <w:rPr>
          <w:rFonts w:ascii="Times New Roman" w:hAnsi="Times New Roman"/>
          <w:sz w:val="24"/>
          <w:szCs w:val="24"/>
        </w:rPr>
        <w:t>ing</w:t>
      </w:r>
      <w:r w:rsidRPr="00BA412D">
        <w:rPr>
          <w:rFonts w:ascii="Times New Roman" w:hAnsi="Times New Roman"/>
          <w:sz w:val="24"/>
          <w:szCs w:val="24"/>
        </w:rPr>
        <w:t xml:space="preserve"> the competitive impacts of proposed mergers, acquisitions, and dispositions.  The Commission </w:t>
      </w:r>
      <w:r w:rsidR="00156589">
        <w:rPr>
          <w:rFonts w:ascii="Times New Roman" w:hAnsi="Times New Roman"/>
          <w:sz w:val="24"/>
          <w:szCs w:val="24"/>
        </w:rPr>
        <w:t xml:space="preserve">collects the Form No. 714A information as prescribed </w:t>
      </w:r>
      <w:r w:rsidRPr="00BA412D">
        <w:rPr>
          <w:rFonts w:ascii="Times New Roman" w:hAnsi="Times New Roman"/>
          <w:sz w:val="24"/>
          <w:szCs w:val="24"/>
        </w:rPr>
        <w:t xml:space="preserve">in 18 CFR 141.51. </w:t>
      </w:r>
    </w:p>
    <w:p w14:paraId="5D257DEF" w14:textId="77777777" w:rsidR="00471F97" w:rsidRPr="00F1537F" w:rsidRDefault="00471F97" w:rsidP="00BD0F89">
      <w:pPr>
        <w:spacing w:after="0" w:line="240" w:lineRule="auto"/>
        <w:rPr>
          <w:rFonts w:ascii="Times New Roman" w:hAnsi="Times New Roman"/>
          <w:sz w:val="24"/>
          <w:szCs w:val="24"/>
        </w:rPr>
      </w:pPr>
    </w:p>
    <w:p w14:paraId="025D3203" w14:textId="77777777" w:rsidR="00471F97" w:rsidRPr="00F1537F" w:rsidRDefault="00471F97" w:rsidP="00BD0F89">
      <w:pPr>
        <w:pStyle w:val="ListParagraph"/>
        <w:numPr>
          <w:ilvl w:val="0"/>
          <w:numId w:val="14"/>
        </w:numPr>
        <w:spacing w:after="0" w:line="240" w:lineRule="auto"/>
        <w:rPr>
          <w:rFonts w:ascii="Times New Roman" w:hAnsi="Times New Roman"/>
          <w:b/>
          <w:sz w:val="24"/>
          <w:szCs w:val="24"/>
        </w:rPr>
      </w:pPr>
      <w:r w:rsidRPr="00F1537F">
        <w:rPr>
          <w:rFonts w:ascii="Times New Roman" w:hAnsi="Times New Roman"/>
          <w:b/>
          <w:sz w:val="24"/>
          <w:szCs w:val="24"/>
        </w:rPr>
        <w:t>HOW, BY WHOM, AND FOR WHAT PURPOSE THE INFORMATION IS TO BE USED AND THE CONSEQUENCES OF NOT COLLECTING THE INFORMATION</w:t>
      </w:r>
    </w:p>
    <w:p w14:paraId="4C545E0D" w14:textId="77777777" w:rsidR="007445A8" w:rsidRDefault="007445A8" w:rsidP="00BD0F89">
      <w:pPr>
        <w:spacing w:after="0" w:line="240" w:lineRule="auto"/>
        <w:rPr>
          <w:rFonts w:ascii="Times New Roman" w:hAnsi="Times New Roman"/>
          <w:sz w:val="24"/>
          <w:szCs w:val="24"/>
        </w:rPr>
      </w:pPr>
    </w:p>
    <w:p w14:paraId="5BA90512" w14:textId="77777777" w:rsidR="00CD2ED1" w:rsidRDefault="001F096A" w:rsidP="00BD0F89">
      <w:pPr>
        <w:spacing w:after="0" w:line="240" w:lineRule="auto"/>
        <w:rPr>
          <w:rFonts w:ascii="Times New Roman" w:hAnsi="Times New Roman"/>
          <w:sz w:val="24"/>
          <w:szCs w:val="24"/>
        </w:rPr>
      </w:pPr>
      <w:r>
        <w:rPr>
          <w:rFonts w:ascii="Times New Roman" w:hAnsi="Times New Roman"/>
          <w:sz w:val="24"/>
          <w:szCs w:val="24"/>
        </w:rPr>
        <w:t>Under the NOPR, the Commission is not proposing to change the information currently collected in the VFP Forms, but rather to change the format of the information that is being collected from VFP to XBRL.</w:t>
      </w:r>
      <w:r w:rsidR="00CD2ED1">
        <w:rPr>
          <w:rFonts w:ascii="Times New Roman" w:hAnsi="Times New Roman"/>
          <w:sz w:val="24"/>
          <w:szCs w:val="24"/>
        </w:rPr>
        <w:t xml:space="preserve">  </w:t>
      </w:r>
    </w:p>
    <w:p w14:paraId="7E34670A" w14:textId="77777777" w:rsidR="00CD2ED1" w:rsidRDefault="00CD2ED1" w:rsidP="00BD0F89">
      <w:pPr>
        <w:spacing w:after="0" w:line="240" w:lineRule="auto"/>
        <w:rPr>
          <w:rFonts w:ascii="Times New Roman" w:hAnsi="Times New Roman"/>
          <w:sz w:val="24"/>
          <w:szCs w:val="24"/>
        </w:rPr>
      </w:pPr>
    </w:p>
    <w:p w14:paraId="3B61F33A" w14:textId="77777777" w:rsidR="001F096A" w:rsidRDefault="00CD2ED1" w:rsidP="00BD0F89">
      <w:pPr>
        <w:spacing w:after="0" w:line="240" w:lineRule="auto"/>
        <w:rPr>
          <w:rFonts w:ascii="Times New Roman" w:hAnsi="Times New Roman"/>
          <w:sz w:val="24"/>
          <w:szCs w:val="24"/>
        </w:rPr>
      </w:pPr>
      <w:r>
        <w:rPr>
          <w:rFonts w:ascii="Times New Roman" w:hAnsi="Times New Roman"/>
          <w:sz w:val="24"/>
          <w:szCs w:val="24"/>
        </w:rPr>
        <w:t xml:space="preserve">A description of how, by whom, and for what purpose the information collected in the VFP Forms is used and the consequences of not collecting the information is provided below.  </w:t>
      </w:r>
    </w:p>
    <w:p w14:paraId="37BCD701" w14:textId="77777777" w:rsidR="001F096A" w:rsidRDefault="001F096A" w:rsidP="00BD0F89">
      <w:pPr>
        <w:spacing w:after="0" w:line="240" w:lineRule="auto"/>
        <w:rPr>
          <w:rFonts w:ascii="Times New Roman" w:hAnsi="Times New Roman"/>
          <w:sz w:val="24"/>
          <w:szCs w:val="24"/>
        </w:rPr>
      </w:pPr>
    </w:p>
    <w:p w14:paraId="62912085" w14:textId="77777777" w:rsidR="00CC72A5" w:rsidRPr="00CC72A5" w:rsidRDefault="00CC72A5" w:rsidP="00BD0F89">
      <w:pPr>
        <w:spacing w:after="0" w:line="240" w:lineRule="auto"/>
        <w:rPr>
          <w:rFonts w:ascii="Times New Roman" w:hAnsi="Times New Roman"/>
          <w:sz w:val="24"/>
          <w:szCs w:val="24"/>
        </w:rPr>
      </w:pPr>
      <w:r w:rsidRPr="00CC72A5">
        <w:rPr>
          <w:rFonts w:ascii="Times New Roman" w:hAnsi="Times New Roman"/>
          <w:b/>
          <w:sz w:val="24"/>
          <w:szCs w:val="24"/>
        </w:rPr>
        <w:t>F</w:t>
      </w:r>
      <w:r w:rsidR="009E14B3">
        <w:rPr>
          <w:rFonts w:ascii="Times New Roman" w:hAnsi="Times New Roman"/>
          <w:b/>
          <w:sz w:val="24"/>
          <w:szCs w:val="24"/>
        </w:rPr>
        <w:t>ERC</w:t>
      </w:r>
      <w:r w:rsidR="002123B8">
        <w:rPr>
          <w:rFonts w:ascii="Times New Roman" w:hAnsi="Times New Roman"/>
          <w:b/>
          <w:sz w:val="24"/>
          <w:szCs w:val="24"/>
        </w:rPr>
        <w:t xml:space="preserve"> Form Nos. </w:t>
      </w:r>
      <w:r w:rsidRPr="00CC72A5">
        <w:rPr>
          <w:rFonts w:ascii="Times New Roman" w:hAnsi="Times New Roman"/>
          <w:b/>
          <w:sz w:val="24"/>
          <w:szCs w:val="24"/>
        </w:rPr>
        <w:t xml:space="preserve">1, 1-F, and 3-Q.  </w:t>
      </w:r>
      <w:r w:rsidRPr="00CC72A5">
        <w:rPr>
          <w:rFonts w:ascii="Times New Roman" w:hAnsi="Times New Roman"/>
          <w:sz w:val="24"/>
          <w:szCs w:val="24"/>
        </w:rPr>
        <w:t>These forms provide information concerning a company’s current performance, compiled using the Commission’s USofA.</w:t>
      </w:r>
      <w:r w:rsidRPr="00CC72A5">
        <w:rPr>
          <w:rFonts w:ascii="Times New Roman" w:hAnsi="Times New Roman"/>
          <w:b/>
          <w:sz w:val="24"/>
          <w:szCs w:val="24"/>
          <w:vertAlign w:val="superscript"/>
        </w:rPr>
        <w:footnoteReference w:id="12"/>
      </w:r>
      <w:r w:rsidRPr="00CC72A5">
        <w:rPr>
          <w:rFonts w:ascii="Times New Roman" w:hAnsi="Times New Roman"/>
          <w:sz w:val="24"/>
          <w:szCs w:val="24"/>
        </w:rPr>
        <w:t xml:space="preserve">  The forms include a basic set of financial statements:  Comparative Balance Sheet, Statement of Income and Statement of Retained Earnings, Statement of Cash Flows, and the Statement of Comprehensive Income and Hedging Activities and supporting schedules containing supplementary information.  Electric respondents report revenues and the related quantities of electric sales and electricity transmitted; account balances for all electric operation and maintenance expenses; selected plant cost data; and other statistical information.  </w:t>
      </w:r>
    </w:p>
    <w:p w14:paraId="74998261" w14:textId="77777777" w:rsidR="00CC72A5" w:rsidRPr="00CC72A5" w:rsidRDefault="00CC72A5" w:rsidP="00BD0F89">
      <w:pPr>
        <w:spacing w:after="0" w:line="240" w:lineRule="auto"/>
        <w:rPr>
          <w:rFonts w:ascii="Times New Roman" w:hAnsi="Times New Roman"/>
          <w:sz w:val="24"/>
          <w:szCs w:val="24"/>
        </w:rPr>
      </w:pPr>
    </w:p>
    <w:p w14:paraId="402BAAF0" w14:textId="196DF49B" w:rsidR="00CC72A5" w:rsidRPr="00CC72A5" w:rsidRDefault="00CC72A5" w:rsidP="00BD0F89">
      <w:pPr>
        <w:spacing w:after="0" w:line="240" w:lineRule="auto"/>
        <w:rPr>
          <w:rFonts w:ascii="Times New Roman" w:hAnsi="Times New Roman"/>
          <w:sz w:val="24"/>
          <w:szCs w:val="24"/>
        </w:rPr>
      </w:pPr>
      <w:r w:rsidRPr="00CC72A5">
        <w:rPr>
          <w:rFonts w:ascii="Times New Roman" w:hAnsi="Times New Roman"/>
          <w:sz w:val="24"/>
          <w:szCs w:val="24"/>
        </w:rPr>
        <w:t xml:space="preserve">Information in the forms is used by </w:t>
      </w:r>
      <w:r w:rsidR="00156589">
        <w:rPr>
          <w:rFonts w:ascii="Times New Roman" w:hAnsi="Times New Roman"/>
          <w:sz w:val="24"/>
          <w:szCs w:val="24"/>
        </w:rPr>
        <w:t>the Commission,</w:t>
      </w:r>
      <w:r w:rsidRPr="00CC72A5">
        <w:rPr>
          <w:rFonts w:ascii="Times New Roman" w:hAnsi="Times New Roman"/>
          <w:sz w:val="24"/>
          <w:szCs w:val="24"/>
        </w:rPr>
        <w:t xml:space="preserve"> state regulatory agencies</w:t>
      </w:r>
      <w:r w:rsidR="00A326E2">
        <w:rPr>
          <w:rFonts w:ascii="Times New Roman" w:hAnsi="Times New Roman"/>
          <w:sz w:val="24"/>
          <w:szCs w:val="24"/>
        </w:rPr>
        <w:t>,</w:t>
      </w:r>
      <w:r w:rsidRPr="00CC72A5">
        <w:rPr>
          <w:rFonts w:ascii="Times New Roman" w:hAnsi="Times New Roman"/>
          <w:sz w:val="24"/>
          <w:szCs w:val="24"/>
        </w:rPr>
        <w:t xml:space="preserve"> and others in the review of the financial condition of regulated companies.  The information is also used in various rate proceedings, market oversight,</w:t>
      </w:r>
      <w:r w:rsidR="008E6E94">
        <w:rPr>
          <w:rFonts w:ascii="Times New Roman" w:hAnsi="Times New Roman"/>
          <w:sz w:val="24"/>
          <w:szCs w:val="24"/>
        </w:rPr>
        <w:t xml:space="preserve"> </w:t>
      </w:r>
      <w:r w:rsidR="00156589">
        <w:rPr>
          <w:rFonts w:ascii="Times New Roman" w:hAnsi="Times New Roman"/>
          <w:sz w:val="24"/>
          <w:szCs w:val="24"/>
        </w:rPr>
        <w:t>the Commission’s</w:t>
      </w:r>
      <w:r w:rsidRPr="00CC72A5">
        <w:rPr>
          <w:rFonts w:ascii="Times New Roman" w:hAnsi="Times New Roman"/>
          <w:sz w:val="24"/>
          <w:szCs w:val="24"/>
        </w:rPr>
        <w:t xml:space="preserve"> audit programs, and the computation of annual charges based on certain schedules contained on the forms.  </w:t>
      </w:r>
    </w:p>
    <w:p w14:paraId="6649A203" w14:textId="77777777" w:rsidR="00BE75DC" w:rsidRDefault="00BE75DC" w:rsidP="00BD0F89">
      <w:pPr>
        <w:spacing w:after="0" w:line="240" w:lineRule="auto"/>
        <w:rPr>
          <w:rFonts w:ascii="Times New Roman" w:hAnsi="Times New Roman"/>
          <w:sz w:val="24"/>
          <w:szCs w:val="24"/>
        </w:rPr>
      </w:pPr>
    </w:p>
    <w:p w14:paraId="31D92B5A" w14:textId="5933A76C" w:rsidR="003A3DE2" w:rsidRPr="00CC72A5" w:rsidRDefault="0062523A" w:rsidP="003A3DE2">
      <w:pPr>
        <w:spacing w:after="0" w:line="240" w:lineRule="auto"/>
        <w:rPr>
          <w:rFonts w:ascii="Times New Roman" w:hAnsi="Times New Roman"/>
          <w:sz w:val="24"/>
          <w:szCs w:val="24"/>
        </w:rPr>
      </w:pPr>
      <w:r>
        <w:rPr>
          <w:rFonts w:ascii="Times New Roman" w:hAnsi="Times New Roman"/>
          <w:b/>
          <w:sz w:val="24"/>
          <w:szCs w:val="24"/>
        </w:rPr>
        <w:t>FERC</w:t>
      </w:r>
      <w:r w:rsidR="002123B8">
        <w:rPr>
          <w:rFonts w:ascii="Times New Roman" w:hAnsi="Times New Roman"/>
          <w:b/>
          <w:sz w:val="24"/>
          <w:szCs w:val="24"/>
        </w:rPr>
        <w:t xml:space="preserve"> Form Nos. </w:t>
      </w:r>
      <w:r>
        <w:rPr>
          <w:rFonts w:ascii="Times New Roman" w:hAnsi="Times New Roman"/>
          <w:b/>
          <w:sz w:val="24"/>
          <w:szCs w:val="24"/>
        </w:rPr>
        <w:t>2</w:t>
      </w:r>
      <w:r w:rsidR="00A326E2">
        <w:rPr>
          <w:rFonts w:ascii="Times New Roman" w:hAnsi="Times New Roman"/>
          <w:b/>
          <w:sz w:val="24"/>
          <w:szCs w:val="24"/>
        </w:rPr>
        <w:t>,</w:t>
      </w:r>
      <w:r>
        <w:rPr>
          <w:rFonts w:ascii="Times New Roman" w:hAnsi="Times New Roman"/>
          <w:b/>
          <w:sz w:val="24"/>
          <w:szCs w:val="24"/>
        </w:rPr>
        <w:t xml:space="preserve"> 2A</w:t>
      </w:r>
      <w:r w:rsidR="00A326E2">
        <w:rPr>
          <w:rFonts w:ascii="Times New Roman" w:hAnsi="Times New Roman"/>
          <w:b/>
          <w:sz w:val="24"/>
          <w:szCs w:val="24"/>
        </w:rPr>
        <w:t>, and 3Q (gas)</w:t>
      </w:r>
      <w:r>
        <w:rPr>
          <w:rFonts w:ascii="Times New Roman" w:hAnsi="Times New Roman"/>
          <w:b/>
          <w:sz w:val="24"/>
          <w:szCs w:val="24"/>
        </w:rPr>
        <w:t xml:space="preserve">.  </w:t>
      </w:r>
      <w:r w:rsidR="00A326E2" w:rsidRPr="00A326E2">
        <w:rPr>
          <w:rFonts w:ascii="Times New Roman" w:hAnsi="Times New Roman"/>
          <w:sz w:val="24"/>
          <w:szCs w:val="24"/>
        </w:rPr>
        <w:t>These forms provide information concerning a company’s current performance, compiled using the Commission’s USofA.</w:t>
      </w:r>
      <w:r w:rsidR="00A326E2" w:rsidRPr="00A326E2">
        <w:rPr>
          <w:rFonts w:ascii="Times New Roman" w:hAnsi="Times New Roman"/>
          <w:b/>
          <w:sz w:val="24"/>
          <w:szCs w:val="24"/>
          <w:vertAlign w:val="superscript"/>
        </w:rPr>
        <w:footnoteReference w:id="13"/>
      </w:r>
      <w:r w:rsidR="00A326E2" w:rsidRPr="00A326E2">
        <w:rPr>
          <w:rFonts w:ascii="Times New Roman" w:hAnsi="Times New Roman"/>
          <w:sz w:val="24"/>
          <w:szCs w:val="24"/>
        </w:rPr>
        <w:t xml:space="preserve">  </w:t>
      </w:r>
      <w:r w:rsidR="002C0DA6" w:rsidRPr="0062523A">
        <w:rPr>
          <w:rFonts w:ascii="Times New Roman" w:hAnsi="Times New Roman"/>
          <w:sz w:val="24"/>
          <w:szCs w:val="24"/>
        </w:rPr>
        <w:t>Form No. 2</w:t>
      </w:r>
      <w:r w:rsidR="002C0DA6" w:rsidRPr="002C0DA6">
        <w:rPr>
          <w:rFonts w:ascii="Times New Roman" w:hAnsi="Times New Roman"/>
          <w:b/>
          <w:sz w:val="24"/>
          <w:szCs w:val="24"/>
        </w:rPr>
        <w:t xml:space="preserve"> </w:t>
      </w:r>
      <w:r w:rsidR="002C0DA6" w:rsidRPr="002C0DA6">
        <w:rPr>
          <w:rFonts w:ascii="Times New Roman" w:hAnsi="Times New Roman"/>
          <w:sz w:val="24"/>
          <w:szCs w:val="24"/>
        </w:rPr>
        <w:t>is filed by "</w:t>
      </w:r>
      <w:r w:rsidR="00156589">
        <w:rPr>
          <w:rFonts w:ascii="Times New Roman" w:hAnsi="Times New Roman"/>
          <w:sz w:val="24"/>
          <w:szCs w:val="24"/>
        </w:rPr>
        <w:t>M</w:t>
      </w:r>
      <w:r w:rsidR="002C0DA6" w:rsidRPr="002C0DA6">
        <w:rPr>
          <w:rFonts w:ascii="Times New Roman" w:hAnsi="Times New Roman"/>
          <w:sz w:val="24"/>
          <w:szCs w:val="24"/>
        </w:rPr>
        <w:t xml:space="preserve">ajor" natural gas companies that have combined gas transported or stored for a fee that exceeds 50 million Dekatherms in each of the three previous calendar years.  </w:t>
      </w:r>
      <w:r w:rsidRPr="0062523A">
        <w:rPr>
          <w:rFonts w:ascii="Times New Roman" w:hAnsi="Times New Roman"/>
          <w:sz w:val="24"/>
          <w:szCs w:val="24"/>
        </w:rPr>
        <w:t>Form No. 2-A is filed by "Non-Major" natural gas companies that have total gas sales or volume transactions that exceeds 200,000 Dekatherms, but does not qualify as</w:t>
      </w:r>
      <w:r w:rsidR="00156589">
        <w:rPr>
          <w:rFonts w:ascii="Times New Roman" w:hAnsi="Times New Roman"/>
          <w:sz w:val="24"/>
          <w:szCs w:val="24"/>
        </w:rPr>
        <w:t xml:space="preserve"> Major</w:t>
      </w:r>
      <w:r w:rsidRPr="0062523A">
        <w:rPr>
          <w:rFonts w:ascii="Times New Roman" w:hAnsi="Times New Roman"/>
          <w:sz w:val="24"/>
          <w:szCs w:val="24"/>
        </w:rPr>
        <w:t>.</w:t>
      </w:r>
      <w:r w:rsidR="003A3DE2">
        <w:rPr>
          <w:rFonts w:ascii="Times New Roman" w:hAnsi="Times New Roman"/>
          <w:sz w:val="24"/>
          <w:szCs w:val="24"/>
        </w:rPr>
        <w:t xml:space="preserve">  3-Q n</w:t>
      </w:r>
      <w:r w:rsidR="003A3DE2" w:rsidRPr="00CC72A5">
        <w:rPr>
          <w:rFonts w:ascii="Times New Roman" w:hAnsi="Times New Roman"/>
          <w:sz w:val="24"/>
          <w:szCs w:val="24"/>
        </w:rPr>
        <w:t xml:space="preserve">atural gas </w:t>
      </w:r>
      <w:r w:rsidR="003A3DE2">
        <w:rPr>
          <w:rFonts w:ascii="Times New Roman" w:hAnsi="Times New Roman"/>
          <w:sz w:val="24"/>
          <w:szCs w:val="24"/>
        </w:rPr>
        <w:t xml:space="preserve">quarterly </w:t>
      </w:r>
      <w:r w:rsidR="003A3DE2" w:rsidRPr="00CC72A5">
        <w:rPr>
          <w:rFonts w:ascii="Times New Roman" w:hAnsi="Times New Roman"/>
          <w:sz w:val="24"/>
          <w:szCs w:val="24"/>
        </w:rPr>
        <w:t>respondents include monthly and quarterly quantities of gas transported and associated revenues; storage, terminaling, and processing services; natural gas customer accounts and details of service; and operational expenses, depreciation, depletion and amortization of gas plant.</w:t>
      </w:r>
    </w:p>
    <w:p w14:paraId="7360E280" w14:textId="77777777" w:rsidR="002C0DA6" w:rsidRPr="002C0DA6" w:rsidRDefault="002C0DA6" w:rsidP="00BD0F89">
      <w:pPr>
        <w:spacing w:after="0" w:line="240" w:lineRule="auto"/>
        <w:rPr>
          <w:rFonts w:ascii="Times New Roman" w:hAnsi="Times New Roman"/>
          <w:sz w:val="24"/>
          <w:szCs w:val="24"/>
        </w:rPr>
      </w:pPr>
    </w:p>
    <w:p w14:paraId="66DE3B4A" w14:textId="2DAAD079" w:rsidR="002C0DA6" w:rsidRPr="002C0DA6" w:rsidRDefault="002C0DA6" w:rsidP="00BD0F89">
      <w:pPr>
        <w:spacing w:after="0" w:line="240" w:lineRule="auto"/>
        <w:rPr>
          <w:rFonts w:ascii="Times New Roman" w:hAnsi="Times New Roman"/>
          <w:sz w:val="24"/>
          <w:szCs w:val="24"/>
        </w:rPr>
      </w:pPr>
      <w:r w:rsidRPr="002C0DA6">
        <w:rPr>
          <w:rFonts w:ascii="Times New Roman" w:hAnsi="Times New Roman"/>
          <w:sz w:val="24"/>
          <w:szCs w:val="24"/>
        </w:rPr>
        <w:t>Th</w:t>
      </w:r>
      <w:r w:rsidR="0062523A">
        <w:rPr>
          <w:rFonts w:ascii="Times New Roman" w:hAnsi="Times New Roman"/>
          <w:sz w:val="24"/>
          <w:szCs w:val="24"/>
        </w:rPr>
        <w:t>e</w:t>
      </w:r>
      <w:r w:rsidRPr="002C0DA6">
        <w:rPr>
          <w:rFonts w:ascii="Times New Roman" w:hAnsi="Times New Roman"/>
          <w:sz w:val="24"/>
          <w:szCs w:val="24"/>
        </w:rPr>
        <w:t xml:space="preserve"> form</w:t>
      </w:r>
      <w:r w:rsidR="0062523A">
        <w:rPr>
          <w:rFonts w:ascii="Times New Roman" w:hAnsi="Times New Roman"/>
          <w:sz w:val="24"/>
          <w:szCs w:val="24"/>
        </w:rPr>
        <w:t>s</w:t>
      </w:r>
      <w:r w:rsidRPr="002C0DA6">
        <w:rPr>
          <w:rFonts w:ascii="Times New Roman" w:hAnsi="Times New Roman"/>
          <w:sz w:val="24"/>
          <w:szCs w:val="24"/>
        </w:rPr>
        <w:t xml:space="preserve"> provide information concerning a company’s past performance and its future prospects</w:t>
      </w:r>
      <w:r w:rsidR="006540D2">
        <w:rPr>
          <w:rFonts w:ascii="Times New Roman" w:hAnsi="Times New Roman"/>
          <w:sz w:val="24"/>
          <w:szCs w:val="24"/>
        </w:rPr>
        <w:t xml:space="preserve"> and </w:t>
      </w:r>
      <w:r w:rsidRPr="002C0DA6">
        <w:rPr>
          <w:rFonts w:ascii="Times New Roman" w:hAnsi="Times New Roman"/>
          <w:sz w:val="24"/>
          <w:szCs w:val="24"/>
        </w:rPr>
        <w:t>is based on the companies’ financial and other information.   The form</w:t>
      </w:r>
      <w:r w:rsidR="0062523A">
        <w:rPr>
          <w:rFonts w:ascii="Times New Roman" w:hAnsi="Times New Roman"/>
          <w:sz w:val="24"/>
          <w:szCs w:val="24"/>
        </w:rPr>
        <w:t>s</w:t>
      </w:r>
      <w:r w:rsidRPr="002C0DA6">
        <w:rPr>
          <w:rFonts w:ascii="Times New Roman" w:hAnsi="Times New Roman"/>
          <w:sz w:val="24"/>
          <w:szCs w:val="24"/>
        </w:rPr>
        <w:t xml:space="preserve"> contain schedules which include a basic set of financial statements:  Comparative Balance Sheet, Statement of Income and Retained Earnings, Statement of Cash Flows, and the Statement of Comprehensive Income and Hedging Activities.  Supporting schedules containing supplementary information are filed, including revenues and the related quantities of products sold or transported; account balances for various operating and maintenance expenses; selected plant cost data; and other information.</w:t>
      </w:r>
    </w:p>
    <w:p w14:paraId="76956A35" w14:textId="77777777" w:rsidR="002C0DA6" w:rsidRPr="002C0DA6" w:rsidRDefault="002C0DA6" w:rsidP="00BD0F89">
      <w:pPr>
        <w:spacing w:after="0" w:line="240" w:lineRule="auto"/>
        <w:rPr>
          <w:rFonts w:ascii="Times New Roman" w:hAnsi="Times New Roman"/>
          <w:sz w:val="24"/>
          <w:szCs w:val="24"/>
        </w:rPr>
      </w:pPr>
    </w:p>
    <w:p w14:paraId="5D187BC6" w14:textId="77777777" w:rsidR="002C0DA6" w:rsidRPr="002C0DA6" w:rsidRDefault="002C0DA6" w:rsidP="00BD0F89">
      <w:pPr>
        <w:spacing w:after="0" w:line="240" w:lineRule="auto"/>
        <w:rPr>
          <w:rFonts w:ascii="Times New Roman" w:hAnsi="Times New Roman"/>
          <w:sz w:val="24"/>
          <w:szCs w:val="24"/>
        </w:rPr>
      </w:pPr>
      <w:r w:rsidRPr="002C0DA6">
        <w:rPr>
          <w:rFonts w:ascii="Times New Roman" w:hAnsi="Times New Roman"/>
          <w:sz w:val="24"/>
          <w:szCs w:val="24"/>
        </w:rPr>
        <w:t>The i</w:t>
      </w:r>
      <w:r w:rsidR="003C0E57">
        <w:rPr>
          <w:rFonts w:ascii="Times New Roman" w:hAnsi="Times New Roman"/>
          <w:sz w:val="24"/>
          <w:szCs w:val="24"/>
        </w:rPr>
        <w:t>nformation collected</w:t>
      </w:r>
      <w:r w:rsidRPr="002C0DA6">
        <w:rPr>
          <w:rFonts w:ascii="Times New Roman" w:hAnsi="Times New Roman"/>
          <w:sz w:val="24"/>
          <w:szCs w:val="24"/>
        </w:rPr>
        <w:t xml:space="preserve"> assists the Commission in the administration of its jurisdictional responsibilities and is used by Commission staff, state regulatory agencies, customers, financial analysts and others in the review of the financial condition of regulated companies.  The information is also used in various rate proceedings, industry analyses and in the Commission's audit programs and as appropriate, for the computation of annual charges based on Page No. 520 of the </w:t>
      </w:r>
      <w:r w:rsidR="003A3DE2">
        <w:rPr>
          <w:rFonts w:ascii="Times New Roman" w:hAnsi="Times New Roman"/>
          <w:sz w:val="24"/>
          <w:szCs w:val="24"/>
        </w:rPr>
        <w:t xml:space="preserve">Form No. </w:t>
      </w:r>
      <w:r w:rsidR="003C0E57">
        <w:rPr>
          <w:rFonts w:ascii="Times New Roman" w:hAnsi="Times New Roman"/>
          <w:sz w:val="24"/>
          <w:szCs w:val="24"/>
        </w:rPr>
        <w:t>2</w:t>
      </w:r>
      <w:r w:rsidRPr="002C0DA6">
        <w:rPr>
          <w:rFonts w:ascii="Times New Roman" w:hAnsi="Times New Roman"/>
          <w:sz w:val="24"/>
          <w:szCs w:val="24"/>
        </w:rPr>
        <w:t xml:space="preserve">.  The Commission provides the information to the public, interveners and all interested parties to assist in the proceedings before the Commission. </w:t>
      </w:r>
    </w:p>
    <w:p w14:paraId="0F5132F9" w14:textId="77777777" w:rsidR="002C0DA6" w:rsidRPr="002C0DA6" w:rsidRDefault="002C0DA6" w:rsidP="00BD0F89">
      <w:pPr>
        <w:spacing w:after="0" w:line="240" w:lineRule="auto"/>
        <w:rPr>
          <w:rFonts w:ascii="Times New Roman" w:hAnsi="Times New Roman"/>
          <w:sz w:val="24"/>
          <w:szCs w:val="24"/>
        </w:rPr>
      </w:pPr>
    </w:p>
    <w:p w14:paraId="391D3E58" w14:textId="77777777" w:rsidR="002C0DA6" w:rsidRPr="002C0DA6" w:rsidRDefault="003C0E57" w:rsidP="00BD0F89">
      <w:pPr>
        <w:spacing w:after="0" w:line="240" w:lineRule="auto"/>
        <w:rPr>
          <w:rFonts w:ascii="Times New Roman" w:hAnsi="Times New Roman"/>
          <w:sz w:val="24"/>
          <w:szCs w:val="24"/>
        </w:rPr>
      </w:pPr>
      <w:r>
        <w:rPr>
          <w:rFonts w:ascii="Times New Roman" w:hAnsi="Times New Roman"/>
          <w:sz w:val="24"/>
          <w:szCs w:val="24"/>
        </w:rPr>
        <w:t xml:space="preserve">In addition, the </w:t>
      </w:r>
      <w:r w:rsidR="002C0DA6" w:rsidRPr="002C0DA6">
        <w:rPr>
          <w:rFonts w:ascii="Times New Roman" w:hAnsi="Times New Roman"/>
          <w:sz w:val="24"/>
          <w:szCs w:val="24"/>
        </w:rPr>
        <w:t>form</w:t>
      </w:r>
      <w:r>
        <w:rPr>
          <w:rFonts w:ascii="Times New Roman" w:hAnsi="Times New Roman"/>
          <w:sz w:val="24"/>
          <w:szCs w:val="24"/>
        </w:rPr>
        <w:t>s</w:t>
      </w:r>
      <w:r w:rsidR="002C0DA6" w:rsidRPr="002C0DA6">
        <w:rPr>
          <w:rFonts w:ascii="Times New Roman" w:hAnsi="Times New Roman"/>
          <w:sz w:val="24"/>
          <w:szCs w:val="24"/>
        </w:rPr>
        <w:t xml:space="preserve"> provide the Commission, as well as others, with an informative picture of the jurisdictional entities' financial condition along with other relevant data that is used by the Commission in making economic judgments about the entity or its industry.  For financial information to be useful to the Commission, it must be understandable, relevant, reliable and timely.   The </w:t>
      </w:r>
      <w:r>
        <w:rPr>
          <w:rFonts w:ascii="Times New Roman" w:hAnsi="Times New Roman"/>
          <w:sz w:val="24"/>
          <w:szCs w:val="24"/>
        </w:rPr>
        <w:t>F</w:t>
      </w:r>
      <w:r w:rsidR="003A3DE2">
        <w:rPr>
          <w:rFonts w:ascii="Times New Roman" w:hAnsi="Times New Roman"/>
          <w:sz w:val="24"/>
          <w:szCs w:val="24"/>
        </w:rPr>
        <w:t xml:space="preserve">orm Nos. </w:t>
      </w:r>
      <w:r>
        <w:rPr>
          <w:rFonts w:ascii="Times New Roman" w:hAnsi="Times New Roman"/>
          <w:sz w:val="24"/>
          <w:szCs w:val="24"/>
        </w:rPr>
        <w:t>2 and 2</w:t>
      </w:r>
      <w:r w:rsidR="003A3DE2">
        <w:rPr>
          <w:rFonts w:ascii="Times New Roman" w:hAnsi="Times New Roman"/>
          <w:sz w:val="24"/>
          <w:szCs w:val="24"/>
        </w:rPr>
        <w:t>-</w:t>
      </w:r>
      <w:r>
        <w:rPr>
          <w:rFonts w:ascii="Times New Roman" w:hAnsi="Times New Roman"/>
          <w:sz w:val="24"/>
          <w:szCs w:val="24"/>
        </w:rPr>
        <w:t>A</w:t>
      </w:r>
      <w:r w:rsidR="002C0DA6" w:rsidRPr="002C0DA6">
        <w:rPr>
          <w:rFonts w:ascii="Times New Roman" w:hAnsi="Times New Roman"/>
          <w:sz w:val="24"/>
          <w:szCs w:val="24"/>
        </w:rPr>
        <w:t xml:space="preserve"> financial statements are prepared in accordance with the Commission’s USofA and related regulations, and provide data that enables the Commission to develop and monitor cost-based rates, analyze costs of different services and classes of assets, and compare costs across lines of business. The use of a uniform system of accounts permits natural gas companies to account for similar transactions and events in a consistent manner, and communicate those results to the Commission on a periodic basis.</w:t>
      </w:r>
    </w:p>
    <w:p w14:paraId="31ED7F2D" w14:textId="77777777" w:rsidR="002C0DA6" w:rsidRPr="002C0DA6" w:rsidRDefault="002C0DA6" w:rsidP="00BD0F89">
      <w:pPr>
        <w:spacing w:after="0" w:line="240" w:lineRule="auto"/>
        <w:rPr>
          <w:rFonts w:ascii="Times New Roman" w:hAnsi="Times New Roman"/>
          <w:sz w:val="24"/>
          <w:szCs w:val="24"/>
        </w:rPr>
      </w:pPr>
    </w:p>
    <w:p w14:paraId="7F34A694" w14:textId="77777777" w:rsidR="002C0DA6" w:rsidRPr="002C0DA6" w:rsidRDefault="002C0DA6" w:rsidP="00BD0F89">
      <w:pPr>
        <w:spacing w:after="0" w:line="240" w:lineRule="auto"/>
        <w:rPr>
          <w:rFonts w:ascii="Times New Roman" w:hAnsi="Times New Roman"/>
          <w:sz w:val="24"/>
          <w:szCs w:val="24"/>
        </w:rPr>
      </w:pPr>
      <w:r w:rsidRPr="002C0DA6">
        <w:rPr>
          <w:rFonts w:ascii="Times New Roman" w:hAnsi="Times New Roman"/>
          <w:sz w:val="24"/>
          <w:szCs w:val="24"/>
        </w:rPr>
        <w:t xml:space="preserve">Additionally, the uniformity helps to present accurately the entity's financial condition and produces comprehensive data related to the entity's financial history helping to act as a guide for future action.  The uniformity provided by the Commission's </w:t>
      </w:r>
      <w:r w:rsidR="0092238A">
        <w:rPr>
          <w:rFonts w:ascii="Times New Roman" w:hAnsi="Times New Roman"/>
          <w:sz w:val="24"/>
          <w:szCs w:val="24"/>
        </w:rPr>
        <w:t>USofA</w:t>
      </w:r>
      <w:r w:rsidRPr="002C0DA6">
        <w:rPr>
          <w:rFonts w:ascii="Times New Roman" w:hAnsi="Times New Roman"/>
          <w:sz w:val="24"/>
          <w:szCs w:val="24"/>
        </w:rPr>
        <w:t xml:space="preserve"> and related accounting instructions permits comparability and financial statement analysis of data provided by jurisdictional entities.  Comparability of data and financial statement analysis for a particular entity from one period to the next, or between entities, within the same industry, would be difficult to achieve if each company maintained its own accounting records using dissimilar accounting methods and classifications to record similar transactions and events.</w:t>
      </w:r>
    </w:p>
    <w:p w14:paraId="21E775AD" w14:textId="77777777" w:rsidR="002C0DA6" w:rsidRPr="002C0DA6" w:rsidRDefault="002C0DA6" w:rsidP="00BD0F89">
      <w:pPr>
        <w:spacing w:after="0" w:line="240" w:lineRule="auto"/>
        <w:rPr>
          <w:rFonts w:ascii="Times New Roman" w:hAnsi="Times New Roman"/>
          <w:sz w:val="24"/>
          <w:szCs w:val="24"/>
        </w:rPr>
      </w:pPr>
    </w:p>
    <w:p w14:paraId="479A35B4" w14:textId="77777777" w:rsidR="00BA412D" w:rsidRDefault="002C0DA6" w:rsidP="00BD0F89">
      <w:pPr>
        <w:spacing w:after="0" w:line="240" w:lineRule="auto"/>
        <w:rPr>
          <w:rFonts w:ascii="Times New Roman" w:hAnsi="Times New Roman"/>
          <w:sz w:val="24"/>
          <w:szCs w:val="24"/>
        </w:rPr>
      </w:pPr>
      <w:r w:rsidRPr="002C0DA6">
        <w:rPr>
          <w:rFonts w:ascii="Times New Roman" w:hAnsi="Times New Roman"/>
          <w:sz w:val="24"/>
          <w:szCs w:val="24"/>
        </w:rPr>
        <w:t>In summary, without the information collected in th</w:t>
      </w:r>
      <w:r w:rsidR="000C0209">
        <w:rPr>
          <w:rFonts w:ascii="Times New Roman" w:hAnsi="Times New Roman"/>
          <w:sz w:val="24"/>
          <w:szCs w:val="24"/>
        </w:rPr>
        <w:t>e</w:t>
      </w:r>
      <w:r w:rsidRPr="002C0DA6">
        <w:rPr>
          <w:rFonts w:ascii="Times New Roman" w:hAnsi="Times New Roman"/>
          <w:sz w:val="24"/>
          <w:szCs w:val="24"/>
        </w:rPr>
        <w:t xml:space="preserve"> form</w:t>
      </w:r>
      <w:r w:rsidR="000C0209">
        <w:rPr>
          <w:rFonts w:ascii="Times New Roman" w:hAnsi="Times New Roman"/>
          <w:sz w:val="24"/>
          <w:szCs w:val="24"/>
        </w:rPr>
        <w:t>s,</w:t>
      </w:r>
      <w:r w:rsidRPr="002C0DA6">
        <w:rPr>
          <w:rFonts w:ascii="Times New Roman" w:hAnsi="Times New Roman"/>
          <w:sz w:val="24"/>
          <w:szCs w:val="24"/>
        </w:rPr>
        <w:t xml:space="preserve"> </w:t>
      </w:r>
      <w:r w:rsidR="000F448F">
        <w:rPr>
          <w:rFonts w:ascii="Times New Roman" w:hAnsi="Times New Roman"/>
          <w:sz w:val="24"/>
          <w:szCs w:val="24"/>
        </w:rPr>
        <w:t xml:space="preserve">it would be difficult for </w:t>
      </w:r>
      <w:r w:rsidRPr="002C0DA6">
        <w:rPr>
          <w:rFonts w:ascii="Times New Roman" w:hAnsi="Times New Roman"/>
          <w:sz w:val="24"/>
          <w:szCs w:val="24"/>
        </w:rPr>
        <w:t>the Commission to ensure, as required by the NGA, that a pipeline’s rates remain just and reasonable, respond to Congressional and outside inquires and make decisions in a timely manner, particularly to rapidly changing financial conditions of entities subject to its jurisdiction.</w:t>
      </w:r>
    </w:p>
    <w:p w14:paraId="020B1BA7" w14:textId="77777777" w:rsidR="00BA412D" w:rsidRDefault="00BA412D" w:rsidP="00BD0F89">
      <w:pPr>
        <w:spacing w:after="0" w:line="240" w:lineRule="auto"/>
        <w:rPr>
          <w:rFonts w:ascii="Times New Roman" w:hAnsi="Times New Roman"/>
          <w:sz w:val="24"/>
          <w:szCs w:val="24"/>
        </w:rPr>
      </w:pPr>
    </w:p>
    <w:p w14:paraId="7F30804C" w14:textId="77777777" w:rsidR="00BD0F89" w:rsidRPr="00BD0F89" w:rsidRDefault="00BD0F89" w:rsidP="00BD0F89">
      <w:pPr>
        <w:spacing w:line="240" w:lineRule="auto"/>
        <w:rPr>
          <w:rFonts w:ascii="Times New Roman" w:eastAsia="Times New Roman" w:hAnsi="Times New Roman"/>
          <w:sz w:val="24"/>
          <w:szCs w:val="24"/>
        </w:rPr>
      </w:pPr>
      <w:r>
        <w:rPr>
          <w:rFonts w:ascii="Times New Roman" w:hAnsi="Times New Roman"/>
          <w:b/>
          <w:sz w:val="24"/>
          <w:szCs w:val="24"/>
        </w:rPr>
        <w:t>FERC</w:t>
      </w:r>
      <w:r w:rsidR="00923E07">
        <w:rPr>
          <w:rFonts w:ascii="Times New Roman" w:hAnsi="Times New Roman"/>
          <w:b/>
          <w:sz w:val="24"/>
          <w:szCs w:val="24"/>
        </w:rPr>
        <w:t xml:space="preserve"> Form Nos. </w:t>
      </w:r>
      <w:r>
        <w:rPr>
          <w:rFonts w:ascii="Times New Roman" w:hAnsi="Times New Roman"/>
          <w:b/>
          <w:sz w:val="24"/>
          <w:szCs w:val="24"/>
        </w:rPr>
        <w:t>6</w:t>
      </w:r>
      <w:r w:rsidR="005A007F">
        <w:rPr>
          <w:rFonts w:ascii="Times New Roman" w:hAnsi="Times New Roman"/>
          <w:b/>
          <w:sz w:val="24"/>
          <w:szCs w:val="24"/>
        </w:rPr>
        <w:t xml:space="preserve"> and 6Q</w:t>
      </w:r>
      <w:r>
        <w:rPr>
          <w:rFonts w:ascii="Times New Roman" w:hAnsi="Times New Roman"/>
          <w:b/>
          <w:sz w:val="24"/>
          <w:szCs w:val="24"/>
        </w:rPr>
        <w:t xml:space="preserve">.  </w:t>
      </w:r>
      <w:r w:rsidRPr="00BD0F89">
        <w:rPr>
          <w:rFonts w:ascii="Times New Roman" w:eastAsia="Times New Roman" w:hAnsi="Times New Roman"/>
          <w:sz w:val="24"/>
          <w:szCs w:val="24"/>
        </w:rPr>
        <w:t>In order to reduce burden while obtaining the data the Commission needs, there are three thresholds related to the material respondents must file.</w:t>
      </w:r>
    </w:p>
    <w:p w14:paraId="02B6F161" w14:textId="42E5C930" w:rsidR="00BD0F89" w:rsidRPr="00BD0F89" w:rsidRDefault="00BD0F89" w:rsidP="00BD0F89">
      <w:pPr>
        <w:widowControl w:val="0"/>
        <w:numPr>
          <w:ilvl w:val="0"/>
          <w:numId w:val="24"/>
        </w:numPr>
        <w:autoSpaceDE w:val="0"/>
        <w:autoSpaceDN w:val="0"/>
        <w:adjustRightInd w:val="0"/>
        <w:spacing w:after="0" w:line="240" w:lineRule="auto"/>
        <w:contextualSpacing/>
        <w:rPr>
          <w:rFonts w:ascii="Times New Roman" w:eastAsia="Times New Roman" w:hAnsi="Times New Roman"/>
          <w:sz w:val="24"/>
          <w:szCs w:val="24"/>
        </w:rPr>
      </w:pPr>
      <w:r w:rsidRPr="00BD0F89">
        <w:rPr>
          <w:rFonts w:ascii="Times New Roman" w:eastAsia="Times New Roman" w:hAnsi="Times New Roman"/>
          <w:sz w:val="24"/>
          <w:szCs w:val="24"/>
        </w:rPr>
        <w:t xml:space="preserve">Each oil pipeline carrier whose annual jurisdictional operating revenues has been $500,000 or more for each of the three previous calendar years must file </w:t>
      </w:r>
      <w:r w:rsidR="0027683E">
        <w:rPr>
          <w:rFonts w:ascii="Times New Roman" w:eastAsia="Times New Roman" w:hAnsi="Times New Roman"/>
          <w:sz w:val="24"/>
          <w:szCs w:val="24"/>
        </w:rPr>
        <w:t xml:space="preserve">the </w:t>
      </w:r>
      <w:r w:rsidRPr="00BD0F89">
        <w:rPr>
          <w:rFonts w:ascii="Times New Roman" w:eastAsia="Times New Roman" w:hAnsi="Times New Roman"/>
          <w:sz w:val="24"/>
          <w:szCs w:val="24"/>
        </w:rPr>
        <w:t xml:space="preserve">Form </w:t>
      </w:r>
      <w:r w:rsidR="0027683E">
        <w:rPr>
          <w:rFonts w:ascii="Times New Roman" w:eastAsia="Times New Roman" w:hAnsi="Times New Roman"/>
          <w:sz w:val="24"/>
          <w:szCs w:val="24"/>
        </w:rPr>
        <w:t xml:space="preserve">No. </w:t>
      </w:r>
      <w:r w:rsidRPr="00BD0F89">
        <w:rPr>
          <w:rFonts w:ascii="Times New Roman" w:eastAsia="Times New Roman" w:hAnsi="Times New Roman"/>
          <w:sz w:val="24"/>
          <w:szCs w:val="24"/>
        </w:rPr>
        <w:t xml:space="preserve">6 (18 C.F.R. § 357.2 (a)). </w:t>
      </w:r>
      <w:r w:rsidR="006540D2" w:rsidRPr="00BD0F89">
        <w:rPr>
          <w:rFonts w:ascii="Times New Roman" w:eastAsia="Times New Roman" w:hAnsi="Times New Roman"/>
          <w:sz w:val="24"/>
          <w:szCs w:val="24"/>
        </w:rPr>
        <w:t>Newly established entities must use projected data to determine whether FERC Form No. 6 must be filed.</w:t>
      </w:r>
      <w:r w:rsidR="006540D2">
        <w:rPr>
          <w:rFonts w:ascii="Times New Roman" w:eastAsia="Times New Roman" w:hAnsi="Times New Roman"/>
          <w:sz w:val="24"/>
          <w:szCs w:val="24"/>
        </w:rPr>
        <w:t xml:space="preserve">  </w:t>
      </w:r>
      <w:r w:rsidRPr="00BD0F89">
        <w:rPr>
          <w:rFonts w:ascii="Times New Roman" w:eastAsia="Times New Roman" w:hAnsi="Times New Roman"/>
          <w:sz w:val="24"/>
          <w:szCs w:val="24"/>
        </w:rPr>
        <w:t>Oil pipeline c</w:t>
      </w:r>
      <w:r w:rsidR="006540D2">
        <w:rPr>
          <w:rFonts w:ascii="Times New Roman" w:eastAsia="Times New Roman" w:hAnsi="Times New Roman"/>
          <w:sz w:val="24"/>
          <w:szCs w:val="24"/>
        </w:rPr>
        <w:t>ompanies subject to the provisions of section 20 of the ICA</w:t>
      </w:r>
      <w:r w:rsidRPr="00BD0F89">
        <w:rPr>
          <w:rFonts w:ascii="Times New Roman" w:eastAsia="Times New Roman" w:hAnsi="Times New Roman"/>
          <w:sz w:val="24"/>
          <w:szCs w:val="24"/>
        </w:rPr>
        <w:t xml:space="preserve"> must submit </w:t>
      </w:r>
      <w:r w:rsidR="0027683E">
        <w:rPr>
          <w:rFonts w:ascii="Times New Roman" w:eastAsia="Times New Roman" w:hAnsi="Times New Roman"/>
          <w:sz w:val="24"/>
          <w:szCs w:val="24"/>
        </w:rPr>
        <w:t xml:space="preserve">the </w:t>
      </w:r>
      <w:r w:rsidRPr="00BD0F89">
        <w:rPr>
          <w:rFonts w:ascii="Times New Roman" w:eastAsia="Times New Roman" w:hAnsi="Times New Roman"/>
          <w:sz w:val="24"/>
          <w:szCs w:val="24"/>
        </w:rPr>
        <w:t xml:space="preserve">Form </w:t>
      </w:r>
      <w:r w:rsidR="0027683E">
        <w:rPr>
          <w:rFonts w:ascii="Times New Roman" w:eastAsia="Times New Roman" w:hAnsi="Times New Roman"/>
          <w:sz w:val="24"/>
          <w:szCs w:val="24"/>
        </w:rPr>
        <w:t xml:space="preserve">No. </w:t>
      </w:r>
      <w:r w:rsidRPr="00BD0F89">
        <w:rPr>
          <w:rFonts w:ascii="Times New Roman" w:eastAsia="Times New Roman" w:hAnsi="Times New Roman"/>
          <w:sz w:val="24"/>
          <w:szCs w:val="24"/>
        </w:rPr>
        <w:t>6-Q</w:t>
      </w:r>
      <w:r w:rsidR="006540D2">
        <w:rPr>
          <w:rFonts w:ascii="Times New Roman" w:eastAsia="Times New Roman" w:hAnsi="Times New Roman"/>
          <w:sz w:val="24"/>
          <w:szCs w:val="24"/>
        </w:rPr>
        <w:t>.</w:t>
      </w:r>
      <w:r w:rsidRPr="00BD0F89">
        <w:rPr>
          <w:rFonts w:ascii="Times New Roman" w:eastAsia="Times New Roman" w:hAnsi="Times New Roman"/>
          <w:sz w:val="24"/>
          <w:szCs w:val="24"/>
          <w:vertAlign w:val="superscript"/>
        </w:rPr>
        <w:t xml:space="preserve"> </w:t>
      </w:r>
      <w:r w:rsidR="006540D2">
        <w:rPr>
          <w:rFonts w:ascii="Times New Roman" w:eastAsia="Times New Roman" w:hAnsi="Times New Roman"/>
          <w:sz w:val="24"/>
          <w:szCs w:val="24"/>
        </w:rPr>
        <w:t xml:space="preserve"> </w:t>
      </w:r>
      <w:r w:rsidRPr="00BD0F89">
        <w:rPr>
          <w:rFonts w:ascii="Times New Roman" w:eastAsia="Times New Roman" w:hAnsi="Times New Roman"/>
          <w:sz w:val="24"/>
          <w:szCs w:val="24"/>
        </w:rPr>
        <w:t>18 C.F.R. § 357.4(</w:t>
      </w:r>
      <w:r w:rsidR="006540D2">
        <w:rPr>
          <w:rFonts w:ascii="Times New Roman" w:eastAsia="Times New Roman" w:hAnsi="Times New Roman"/>
          <w:sz w:val="24"/>
          <w:szCs w:val="24"/>
        </w:rPr>
        <w:t>b</w:t>
      </w:r>
      <w:r w:rsidRPr="00BD0F89">
        <w:rPr>
          <w:rFonts w:ascii="Times New Roman" w:eastAsia="Times New Roman" w:hAnsi="Times New Roman"/>
          <w:sz w:val="24"/>
          <w:szCs w:val="24"/>
        </w:rPr>
        <w:t xml:space="preserve">).  </w:t>
      </w:r>
    </w:p>
    <w:p w14:paraId="3F56D3E8" w14:textId="77777777" w:rsidR="00BD0F89" w:rsidRPr="00BD0F89" w:rsidRDefault="00BD0F89" w:rsidP="00BD0F89">
      <w:pPr>
        <w:autoSpaceDE w:val="0"/>
        <w:autoSpaceDN w:val="0"/>
        <w:adjustRightInd w:val="0"/>
        <w:spacing w:after="0" w:line="240" w:lineRule="auto"/>
        <w:rPr>
          <w:rFonts w:ascii="Times New Roman" w:eastAsia="Times New Roman" w:hAnsi="Times New Roman"/>
          <w:sz w:val="24"/>
          <w:szCs w:val="24"/>
        </w:rPr>
      </w:pPr>
    </w:p>
    <w:p w14:paraId="010C3192" w14:textId="1FF14116" w:rsidR="00BD0F89" w:rsidRPr="00BD0F89" w:rsidRDefault="00BD0F89" w:rsidP="00BD0F89">
      <w:pPr>
        <w:widowControl w:val="0"/>
        <w:numPr>
          <w:ilvl w:val="0"/>
          <w:numId w:val="24"/>
        </w:numPr>
        <w:autoSpaceDE w:val="0"/>
        <w:autoSpaceDN w:val="0"/>
        <w:adjustRightInd w:val="0"/>
        <w:spacing w:after="0" w:line="240" w:lineRule="auto"/>
        <w:contextualSpacing/>
        <w:rPr>
          <w:rFonts w:ascii="Times New Roman" w:eastAsia="Times New Roman" w:hAnsi="Times New Roman"/>
          <w:sz w:val="24"/>
          <w:szCs w:val="24"/>
        </w:rPr>
      </w:pPr>
      <w:r w:rsidRPr="00BD0F89">
        <w:rPr>
          <w:rFonts w:ascii="Times New Roman" w:eastAsia="Times New Roman" w:hAnsi="Times New Roman"/>
          <w:sz w:val="24"/>
          <w:szCs w:val="24"/>
        </w:rPr>
        <w:t xml:space="preserve">Oil pipeline carriers exempt from filing </w:t>
      </w:r>
      <w:r w:rsidR="0027683E">
        <w:rPr>
          <w:rFonts w:ascii="Times New Roman" w:eastAsia="Times New Roman" w:hAnsi="Times New Roman"/>
          <w:sz w:val="24"/>
          <w:szCs w:val="24"/>
        </w:rPr>
        <w:t xml:space="preserve">the </w:t>
      </w:r>
      <w:r w:rsidRPr="00BD0F89">
        <w:rPr>
          <w:rFonts w:ascii="Times New Roman" w:eastAsia="Times New Roman" w:hAnsi="Times New Roman"/>
          <w:sz w:val="24"/>
          <w:szCs w:val="24"/>
        </w:rPr>
        <w:t xml:space="preserve">Form </w:t>
      </w:r>
      <w:r w:rsidR="0027683E">
        <w:rPr>
          <w:rFonts w:ascii="Times New Roman" w:eastAsia="Times New Roman" w:hAnsi="Times New Roman"/>
          <w:sz w:val="24"/>
          <w:szCs w:val="24"/>
        </w:rPr>
        <w:t xml:space="preserve">No. </w:t>
      </w:r>
      <w:r w:rsidRPr="00BD0F89">
        <w:rPr>
          <w:rFonts w:ascii="Times New Roman" w:eastAsia="Times New Roman" w:hAnsi="Times New Roman"/>
          <w:sz w:val="24"/>
          <w:szCs w:val="24"/>
        </w:rPr>
        <w:t xml:space="preserve">6 whose annual jurisdictional operating revenues have been more than $350,000 but less than $500,000 for each of the three previous calendar years must prepare and file page 301, “Operating Revenue Accounts (Account 600), and page 700, “Annual Cost of Service Based Analysis Schedule,” of </w:t>
      </w:r>
      <w:r w:rsidR="0027683E">
        <w:rPr>
          <w:rFonts w:ascii="Times New Roman" w:eastAsia="Times New Roman" w:hAnsi="Times New Roman"/>
          <w:sz w:val="24"/>
          <w:szCs w:val="24"/>
        </w:rPr>
        <w:t>the</w:t>
      </w:r>
      <w:r w:rsidRPr="00BD0F89">
        <w:rPr>
          <w:rFonts w:ascii="Times New Roman" w:eastAsia="Times New Roman" w:hAnsi="Times New Roman"/>
          <w:sz w:val="24"/>
          <w:szCs w:val="24"/>
        </w:rPr>
        <w:t xml:space="preserve"> Form </w:t>
      </w:r>
      <w:r w:rsidR="003A3DE2">
        <w:rPr>
          <w:rFonts w:ascii="Times New Roman" w:eastAsia="Times New Roman" w:hAnsi="Times New Roman"/>
          <w:sz w:val="24"/>
          <w:szCs w:val="24"/>
        </w:rPr>
        <w:t xml:space="preserve">No. </w:t>
      </w:r>
      <w:r w:rsidRPr="00BD0F89">
        <w:rPr>
          <w:rFonts w:ascii="Times New Roman" w:eastAsia="Times New Roman" w:hAnsi="Times New Roman"/>
          <w:sz w:val="24"/>
          <w:szCs w:val="24"/>
        </w:rPr>
        <w:t xml:space="preserve">6.  When submitting pages 301 and 700, each exempt oil pipeline carrier must include page 1 of the Form </w:t>
      </w:r>
      <w:r w:rsidR="0027683E">
        <w:rPr>
          <w:rFonts w:ascii="Times New Roman" w:eastAsia="Times New Roman" w:hAnsi="Times New Roman"/>
          <w:sz w:val="24"/>
          <w:szCs w:val="24"/>
        </w:rPr>
        <w:t xml:space="preserve">No. </w:t>
      </w:r>
      <w:r w:rsidRPr="00BD0F89">
        <w:rPr>
          <w:rFonts w:ascii="Times New Roman" w:eastAsia="Times New Roman" w:hAnsi="Times New Roman"/>
          <w:sz w:val="24"/>
          <w:szCs w:val="24"/>
        </w:rPr>
        <w:t>6, the Identification and Attestation schedules (18 C.F.R. § 357.2 (a)(2)).</w:t>
      </w:r>
    </w:p>
    <w:p w14:paraId="4BD660B1" w14:textId="77777777" w:rsidR="00BD0F89" w:rsidRPr="00BD0F89" w:rsidRDefault="00BD0F89" w:rsidP="00BD0F89">
      <w:pPr>
        <w:autoSpaceDE w:val="0"/>
        <w:autoSpaceDN w:val="0"/>
        <w:adjustRightInd w:val="0"/>
        <w:spacing w:after="0" w:line="240" w:lineRule="auto"/>
        <w:rPr>
          <w:rFonts w:ascii="Times New Roman" w:eastAsia="Times New Roman" w:hAnsi="Times New Roman"/>
          <w:sz w:val="24"/>
          <w:szCs w:val="24"/>
        </w:rPr>
      </w:pPr>
    </w:p>
    <w:p w14:paraId="7A48380C" w14:textId="036A7427" w:rsidR="00BD0F89" w:rsidRPr="00BD0F89" w:rsidRDefault="00BD0F89" w:rsidP="00BD0F89">
      <w:pPr>
        <w:widowControl w:val="0"/>
        <w:numPr>
          <w:ilvl w:val="0"/>
          <w:numId w:val="24"/>
        </w:numPr>
        <w:autoSpaceDE w:val="0"/>
        <w:autoSpaceDN w:val="0"/>
        <w:adjustRightInd w:val="0"/>
        <w:spacing w:after="0" w:line="240" w:lineRule="auto"/>
        <w:contextualSpacing/>
        <w:rPr>
          <w:rFonts w:ascii="Times New Roman" w:eastAsia="Times New Roman" w:hAnsi="Times New Roman"/>
          <w:sz w:val="24"/>
          <w:szCs w:val="24"/>
        </w:rPr>
      </w:pPr>
      <w:r w:rsidRPr="00BD0F89">
        <w:rPr>
          <w:rFonts w:ascii="Times New Roman" w:eastAsia="Times New Roman" w:hAnsi="Times New Roman"/>
          <w:sz w:val="24"/>
          <w:szCs w:val="24"/>
        </w:rPr>
        <w:t xml:space="preserve">Oil pipeline carriers exempt from filing </w:t>
      </w:r>
      <w:r w:rsidR="0027683E">
        <w:rPr>
          <w:rFonts w:ascii="Times New Roman" w:eastAsia="Times New Roman" w:hAnsi="Times New Roman"/>
          <w:sz w:val="24"/>
          <w:szCs w:val="24"/>
        </w:rPr>
        <w:t>the F</w:t>
      </w:r>
      <w:r w:rsidRPr="00BD0F89">
        <w:rPr>
          <w:rFonts w:ascii="Times New Roman" w:eastAsia="Times New Roman" w:hAnsi="Times New Roman"/>
          <w:sz w:val="24"/>
          <w:szCs w:val="24"/>
        </w:rPr>
        <w:t xml:space="preserve">orm </w:t>
      </w:r>
      <w:r w:rsidR="0027683E">
        <w:rPr>
          <w:rFonts w:ascii="Times New Roman" w:eastAsia="Times New Roman" w:hAnsi="Times New Roman"/>
          <w:sz w:val="24"/>
          <w:szCs w:val="24"/>
        </w:rPr>
        <w:t xml:space="preserve">No. </w:t>
      </w:r>
      <w:r w:rsidRPr="00BD0F89">
        <w:rPr>
          <w:rFonts w:ascii="Times New Roman" w:eastAsia="Times New Roman" w:hAnsi="Times New Roman"/>
          <w:sz w:val="24"/>
          <w:szCs w:val="24"/>
        </w:rPr>
        <w:t xml:space="preserve">6 and page 301 and whose annual jurisdictional operating revenues were $350,000 or less for each of the three previous calendar years must prepare and file page 700, “Annual Cost of Service Based Analysis Schedule,” of </w:t>
      </w:r>
      <w:r w:rsidR="0027683E">
        <w:rPr>
          <w:rFonts w:ascii="Times New Roman" w:eastAsia="Times New Roman" w:hAnsi="Times New Roman"/>
          <w:sz w:val="24"/>
          <w:szCs w:val="24"/>
        </w:rPr>
        <w:t xml:space="preserve">the </w:t>
      </w:r>
      <w:r w:rsidRPr="00BD0F89">
        <w:rPr>
          <w:rFonts w:ascii="Times New Roman" w:eastAsia="Times New Roman" w:hAnsi="Times New Roman"/>
          <w:sz w:val="24"/>
          <w:szCs w:val="24"/>
        </w:rPr>
        <w:t xml:space="preserve">Form </w:t>
      </w:r>
      <w:r w:rsidR="0027683E">
        <w:rPr>
          <w:rFonts w:ascii="Times New Roman" w:eastAsia="Times New Roman" w:hAnsi="Times New Roman"/>
          <w:sz w:val="24"/>
          <w:szCs w:val="24"/>
        </w:rPr>
        <w:t xml:space="preserve">No. </w:t>
      </w:r>
      <w:r w:rsidRPr="00BD0F89">
        <w:rPr>
          <w:rFonts w:ascii="Times New Roman" w:eastAsia="Times New Roman" w:hAnsi="Times New Roman"/>
          <w:sz w:val="24"/>
          <w:szCs w:val="24"/>
        </w:rPr>
        <w:t xml:space="preserve">6. </w:t>
      </w:r>
    </w:p>
    <w:p w14:paraId="3F9B102E" w14:textId="77777777" w:rsidR="00BD0F89" w:rsidRPr="00BD0F89" w:rsidRDefault="00BD0F89" w:rsidP="00BD0F89">
      <w:pPr>
        <w:autoSpaceDE w:val="0"/>
        <w:autoSpaceDN w:val="0"/>
        <w:adjustRightInd w:val="0"/>
        <w:spacing w:after="0" w:line="240" w:lineRule="auto"/>
        <w:rPr>
          <w:rFonts w:ascii="Times New Roman" w:eastAsia="Times New Roman" w:hAnsi="Times New Roman"/>
          <w:sz w:val="24"/>
          <w:szCs w:val="24"/>
        </w:rPr>
      </w:pPr>
    </w:p>
    <w:p w14:paraId="3AC89D3D" w14:textId="25F6B5B7" w:rsidR="00BD0F89" w:rsidRPr="00BD0F89" w:rsidRDefault="00BD0F89" w:rsidP="00BD0F89">
      <w:pPr>
        <w:autoSpaceDE w:val="0"/>
        <w:autoSpaceDN w:val="0"/>
        <w:adjustRightInd w:val="0"/>
        <w:spacing w:after="0" w:line="240" w:lineRule="auto"/>
        <w:rPr>
          <w:rFonts w:ascii="Times New Roman" w:eastAsia="Times New Roman" w:hAnsi="Times New Roman"/>
          <w:sz w:val="24"/>
          <w:szCs w:val="24"/>
        </w:rPr>
      </w:pPr>
      <w:r w:rsidRPr="00BD0F89">
        <w:rPr>
          <w:rFonts w:ascii="Times New Roman" w:eastAsia="Times New Roman" w:hAnsi="Times New Roman"/>
          <w:sz w:val="24"/>
          <w:szCs w:val="24"/>
        </w:rPr>
        <w:t xml:space="preserve">When submitting page 700, each exempt oil pipeline carrier must include page 1 of </w:t>
      </w:r>
      <w:r w:rsidR="0027683E">
        <w:rPr>
          <w:rFonts w:ascii="Times New Roman" w:eastAsia="Times New Roman" w:hAnsi="Times New Roman"/>
          <w:sz w:val="24"/>
          <w:szCs w:val="24"/>
        </w:rPr>
        <w:t xml:space="preserve">the </w:t>
      </w:r>
      <w:r w:rsidRPr="00BD0F89">
        <w:rPr>
          <w:rFonts w:ascii="Times New Roman" w:eastAsia="Times New Roman" w:hAnsi="Times New Roman"/>
          <w:sz w:val="24"/>
          <w:szCs w:val="24"/>
        </w:rPr>
        <w:t xml:space="preserve">Form </w:t>
      </w:r>
      <w:r w:rsidR="0027683E">
        <w:rPr>
          <w:rFonts w:ascii="Times New Roman" w:eastAsia="Times New Roman" w:hAnsi="Times New Roman"/>
          <w:sz w:val="24"/>
          <w:szCs w:val="24"/>
        </w:rPr>
        <w:t xml:space="preserve">No. </w:t>
      </w:r>
      <w:r w:rsidRPr="00BD0F89">
        <w:rPr>
          <w:rFonts w:ascii="Times New Roman" w:eastAsia="Times New Roman" w:hAnsi="Times New Roman"/>
          <w:sz w:val="24"/>
          <w:szCs w:val="24"/>
        </w:rPr>
        <w:t>6, the</w:t>
      </w:r>
      <w:r>
        <w:rPr>
          <w:rFonts w:ascii="Times New Roman" w:eastAsia="Times New Roman" w:hAnsi="Times New Roman"/>
          <w:sz w:val="24"/>
          <w:szCs w:val="24"/>
        </w:rPr>
        <w:t xml:space="preserve"> </w:t>
      </w:r>
      <w:r w:rsidRPr="00BD0F89">
        <w:rPr>
          <w:rFonts w:ascii="Times New Roman" w:eastAsia="Times New Roman" w:hAnsi="Times New Roman"/>
          <w:sz w:val="24"/>
          <w:szCs w:val="24"/>
        </w:rPr>
        <w:t>Identification and Attestation schedule (18 C.F.R. § 357.2 (a)(3)).</w:t>
      </w:r>
    </w:p>
    <w:p w14:paraId="3D44EF8C" w14:textId="77777777" w:rsidR="00BD0F89" w:rsidRPr="00BD0F89" w:rsidRDefault="00BD0F89" w:rsidP="00BD0F89">
      <w:pPr>
        <w:widowControl w:val="0"/>
        <w:autoSpaceDE w:val="0"/>
        <w:autoSpaceDN w:val="0"/>
        <w:adjustRightInd w:val="0"/>
        <w:spacing w:after="0" w:line="240" w:lineRule="auto"/>
        <w:rPr>
          <w:rFonts w:ascii="Times New Roman" w:eastAsia="Times New Roman" w:hAnsi="Times New Roman"/>
          <w:sz w:val="24"/>
          <w:szCs w:val="24"/>
        </w:rPr>
      </w:pPr>
    </w:p>
    <w:p w14:paraId="4C1A9419" w14:textId="77777777" w:rsidR="00BD0F89" w:rsidRDefault="00BD0F89" w:rsidP="00973DE4">
      <w:pPr>
        <w:widowControl w:val="0"/>
        <w:tabs>
          <w:tab w:val="left" w:pos="-1440"/>
        </w:tabs>
        <w:autoSpaceDE w:val="0"/>
        <w:autoSpaceDN w:val="0"/>
        <w:adjustRightInd w:val="0"/>
        <w:spacing w:after="0" w:line="240" w:lineRule="auto"/>
        <w:rPr>
          <w:rFonts w:ascii="Times New Roman" w:eastAsia="Times New Roman" w:hAnsi="Times New Roman" w:cs="Melior"/>
          <w:sz w:val="24"/>
          <w:szCs w:val="24"/>
        </w:rPr>
      </w:pPr>
      <w:r w:rsidRPr="00BD0F89">
        <w:rPr>
          <w:rFonts w:ascii="Times New Roman" w:eastAsia="Times New Roman" w:hAnsi="Times New Roman" w:cs="Melior"/>
          <w:sz w:val="24"/>
          <w:szCs w:val="24"/>
        </w:rPr>
        <w:t xml:space="preserve">The Commission’s Office of Enforcement (OE) uses the Form </w:t>
      </w:r>
      <w:r w:rsidR="003A3DE2">
        <w:rPr>
          <w:rFonts w:ascii="Times New Roman" w:eastAsia="Times New Roman" w:hAnsi="Times New Roman" w:cs="Melior"/>
          <w:sz w:val="24"/>
          <w:szCs w:val="24"/>
        </w:rPr>
        <w:t xml:space="preserve">Nos. </w:t>
      </w:r>
      <w:r w:rsidRPr="00BD0F89">
        <w:rPr>
          <w:rFonts w:ascii="Times New Roman" w:eastAsia="Times New Roman" w:hAnsi="Times New Roman" w:cs="Melior"/>
          <w:sz w:val="24"/>
          <w:szCs w:val="24"/>
        </w:rPr>
        <w:t xml:space="preserve">6 </w:t>
      </w:r>
      <w:r w:rsidR="00C8596E">
        <w:rPr>
          <w:rFonts w:ascii="Times New Roman" w:eastAsia="Times New Roman" w:hAnsi="Times New Roman" w:cs="Melior"/>
          <w:sz w:val="24"/>
          <w:szCs w:val="24"/>
        </w:rPr>
        <w:t xml:space="preserve">and 6Q </w:t>
      </w:r>
      <w:r w:rsidRPr="00BD0F89">
        <w:rPr>
          <w:rFonts w:ascii="Times New Roman" w:eastAsia="Times New Roman" w:hAnsi="Times New Roman" w:cs="Melior"/>
          <w:sz w:val="24"/>
          <w:szCs w:val="24"/>
        </w:rPr>
        <w:t xml:space="preserve">data to assist in the implementation of its financial audits and programs, in the continuous review of the financial condition of regulated companies and in the assessment of energy markets. The Office of Energy Markets Regulation (OEMR) uses the data collected for various rate proceedings and economic analyses.  The Office of Administrative Litigation (OAL) uses the data collected for background research for use in litigation. The Office of the General Counsel (OGC) uses the data in its programs relating to the administration of the ICA.  </w:t>
      </w:r>
    </w:p>
    <w:p w14:paraId="72554294" w14:textId="77777777" w:rsidR="006540D2" w:rsidRPr="00BD0F89" w:rsidRDefault="006540D2" w:rsidP="00973DE4">
      <w:pPr>
        <w:widowControl w:val="0"/>
        <w:tabs>
          <w:tab w:val="left" w:pos="-1440"/>
        </w:tabs>
        <w:autoSpaceDE w:val="0"/>
        <w:autoSpaceDN w:val="0"/>
        <w:adjustRightInd w:val="0"/>
        <w:spacing w:after="0" w:line="240" w:lineRule="auto"/>
        <w:rPr>
          <w:rFonts w:ascii="Times New Roman" w:eastAsia="Times New Roman" w:hAnsi="Times New Roman"/>
          <w:sz w:val="24"/>
          <w:szCs w:val="24"/>
        </w:rPr>
      </w:pPr>
    </w:p>
    <w:p w14:paraId="32B04F23" w14:textId="39C50056" w:rsidR="00BD0F89" w:rsidRPr="00BD0F89" w:rsidRDefault="00BD0F89" w:rsidP="00973DE4">
      <w:pPr>
        <w:widowControl w:val="0"/>
        <w:tabs>
          <w:tab w:val="left" w:pos="-1440"/>
        </w:tabs>
        <w:autoSpaceDE w:val="0"/>
        <w:autoSpaceDN w:val="0"/>
        <w:adjustRightInd w:val="0"/>
        <w:spacing w:after="0" w:line="240" w:lineRule="auto"/>
        <w:rPr>
          <w:rFonts w:ascii="Times New Roman" w:eastAsia="Times New Roman" w:hAnsi="Times New Roman"/>
          <w:sz w:val="24"/>
          <w:szCs w:val="24"/>
        </w:rPr>
      </w:pPr>
      <w:r w:rsidRPr="00BD0F89">
        <w:rPr>
          <w:rFonts w:ascii="Times New Roman" w:eastAsia="Times New Roman" w:hAnsi="Times New Roman"/>
          <w:sz w:val="24"/>
          <w:szCs w:val="24"/>
        </w:rPr>
        <w:t xml:space="preserve">The Office of the Executive Director (OED) uses data on Page 301 of the Form </w:t>
      </w:r>
      <w:r w:rsidR="0027683E">
        <w:rPr>
          <w:rFonts w:ascii="Times New Roman" w:eastAsia="Times New Roman" w:hAnsi="Times New Roman"/>
          <w:sz w:val="24"/>
          <w:szCs w:val="24"/>
        </w:rPr>
        <w:t>No. 6</w:t>
      </w:r>
      <w:r w:rsidR="0027683E" w:rsidRPr="00BD0F89">
        <w:rPr>
          <w:rFonts w:ascii="Times New Roman" w:eastAsia="Times New Roman" w:hAnsi="Times New Roman"/>
          <w:sz w:val="24"/>
          <w:szCs w:val="24"/>
        </w:rPr>
        <w:t xml:space="preserve"> </w:t>
      </w:r>
      <w:r w:rsidRPr="00BD0F89">
        <w:rPr>
          <w:rFonts w:ascii="Times New Roman" w:eastAsia="Times New Roman" w:hAnsi="Times New Roman"/>
          <w:sz w:val="24"/>
          <w:szCs w:val="24"/>
        </w:rPr>
        <w:t>to compute annual charges which are then assessed against oil pipeline companies to recover the Commission's annual costs as mandated by Commission Order No. 472.  The annual charges are required by Section 3401 of the Omnibus Budget Reconciliation Act of 1986.</w:t>
      </w:r>
    </w:p>
    <w:p w14:paraId="4BE827F8" w14:textId="77777777" w:rsidR="006540D2" w:rsidRDefault="006540D2" w:rsidP="00973DE4">
      <w:pPr>
        <w:widowControl w:val="0"/>
        <w:tabs>
          <w:tab w:val="left" w:pos="-1440"/>
          <w:tab w:val="num" w:pos="1440"/>
        </w:tabs>
        <w:autoSpaceDE w:val="0"/>
        <w:autoSpaceDN w:val="0"/>
        <w:adjustRightInd w:val="0"/>
        <w:spacing w:after="0" w:line="240" w:lineRule="auto"/>
        <w:ind w:left="1080"/>
        <w:rPr>
          <w:rFonts w:ascii="Times New Roman" w:eastAsia="Times New Roman" w:hAnsi="Times New Roman"/>
          <w:sz w:val="24"/>
          <w:szCs w:val="24"/>
        </w:rPr>
      </w:pPr>
    </w:p>
    <w:p w14:paraId="045FA24B" w14:textId="28A11B85" w:rsidR="00BD0F89" w:rsidRPr="00BD0F89" w:rsidRDefault="00BD0F89" w:rsidP="00973DE4">
      <w:pPr>
        <w:widowControl w:val="0"/>
        <w:tabs>
          <w:tab w:val="left" w:pos="-1440"/>
          <w:tab w:val="num" w:pos="1440"/>
        </w:tabs>
        <w:autoSpaceDE w:val="0"/>
        <w:autoSpaceDN w:val="0"/>
        <w:adjustRightInd w:val="0"/>
        <w:spacing w:after="0" w:line="240" w:lineRule="auto"/>
        <w:rPr>
          <w:rFonts w:ascii="Times New Roman" w:eastAsia="Times New Roman" w:hAnsi="Times New Roman"/>
          <w:sz w:val="24"/>
          <w:szCs w:val="24"/>
        </w:rPr>
      </w:pPr>
      <w:r w:rsidRPr="00BD0F89">
        <w:rPr>
          <w:rFonts w:ascii="Times New Roman" w:eastAsia="Times New Roman" w:hAnsi="Times New Roman"/>
          <w:sz w:val="24"/>
          <w:szCs w:val="24"/>
        </w:rPr>
        <w:t>The majority of state regulatory commissions use the Form</w:t>
      </w:r>
      <w:r w:rsidR="003A3DE2">
        <w:rPr>
          <w:rFonts w:ascii="Times New Roman" w:eastAsia="Times New Roman" w:hAnsi="Times New Roman"/>
          <w:sz w:val="24"/>
          <w:szCs w:val="24"/>
        </w:rPr>
        <w:t xml:space="preserve"> No</w:t>
      </w:r>
      <w:r w:rsidR="00BF4790">
        <w:rPr>
          <w:rFonts w:ascii="Times New Roman" w:eastAsia="Times New Roman" w:hAnsi="Times New Roman"/>
          <w:sz w:val="24"/>
          <w:szCs w:val="24"/>
        </w:rPr>
        <w:t>s</w:t>
      </w:r>
      <w:r w:rsidR="003A3DE2">
        <w:rPr>
          <w:rFonts w:ascii="Times New Roman" w:eastAsia="Times New Roman" w:hAnsi="Times New Roman"/>
          <w:sz w:val="24"/>
          <w:szCs w:val="24"/>
        </w:rPr>
        <w:t>.</w:t>
      </w:r>
      <w:r w:rsidRPr="00BD0F89">
        <w:rPr>
          <w:rFonts w:ascii="Times New Roman" w:eastAsia="Times New Roman" w:hAnsi="Times New Roman"/>
          <w:sz w:val="24"/>
          <w:szCs w:val="24"/>
        </w:rPr>
        <w:t xml:space="preserve"> 6 </w:t>
      </w:r>
      <w:r w:rsidR="00BF4790">
        <w:rPr>
          <w:rFonts w:ascii="Times New Roman" w:eastAsia="Times New Roman" w:hAnsi="Times New Roman"/>
          <w:sz w:val="24"/>
          <w:szCs w:val="24"/>
        </w:rPr>
        <w:t xml:space="preserve">and 6Q </w:t>
      </w:r>
      <w:r w:rsidRPr="00BD0F89">
        <w:rPr>
          <w:rFonts w:ascii="Times New Roman" w:eastAsia="Times New Roman" w:hAnsi="Times New Roman"/>
          <w:sz w:val="24"/>
          <w:szCs w:val="24"/>
        </w:rPr>
        <w:t xml:space="preserve">and the FERC </w:t>
      </w:r>
      <w:r w:rsidR="0092238A">
        <w:rPr>
          <w:rFonts w:ascii="Times New Roman" w:eastAsia="Times New Roman" w:hAnsi="Times New Roman"/>
          <w:sz w:val="24"/>
          <w:szCs w:val="24"/>
        </w:rPr>
        <w:t>USofA</w:t>
      </w:r>
      <w:r w:rsidRPr="00BD0F89">
        <w:rPr>
          <w:rFonts w:ascii="Times New Roman" w:eastAsia="Times New Roman" w:hAnsi="Times New Roman"/>
          <w:sz w:val="24"/>
          <w:szCs w:val="24"/>
          <w:vertAlign w:val="superscript"/>
        </w:rPr>
        <w:footnoteReference w:id="14"/>
      </w:r>
      <w:r w:rsidRPr="00BD0F89">
        <w:rPr>
          <w:rFonts w:ascii="Times New Roman" w:eastAsia="Times New Roman" w:hAnsi="Times New Roman"/>
          <w:sz w:val="24"/>
          <w:szCs w:val="24"/>
          <w:vertAlign w:val="superscript"/>
        </w:rPr>
        <w:t xml:space="preserve"> </w:t>
      </w:r>
      <w:r w:rsidRPr="00BD0F89">
        <w:rPr>
          <w:rFonts w:ascii="Times New Roman" w:eastAsia="Times New Roman" w:hAnsi="Times New Roman"/>
          <w:sz w:val="24"/>
          <w:szCs w:val="24"/>
        </w:rPr>
        <w:t>to satisfy their reporting requirements for those companies under their jurisdiction.</w:t>
      </w:r>
      <w:r w:rsidR="006540D2">
        <w:rPr>
          <w:rFonts w:ascii="Times New Roman" w:eastAsia="Times New Roman" w:hAnsi="Times New Roman"/>
          <w:sz w:val="24"/>
          <w:szCs w:val="24"/>
        </w:rPr>
        <w:t xml:space="preserve">  In addition, t</w:t>
      </w:r>
      <w:r w:rsidRPr="00BD0F89">
        <w:rPr>
          <w:rFonts w:ascii="Times New Roman" w:eastAsia="Times New Roman" w:hAnsi="Times New Roman"/>
          <w:sz w:val="24"/>
          <w:szCs w:val="24"/>
        </w:rPr>
        <w:t>he public uses the data to assist in monitoring rates, the financial condition of the oil pipeline industry, and in the assessing energy markets.</w:t>
      </w:r>
    </w:p>
    <w:p w14:paraId="63E1C6E6" w14:textId="77777777" w:rsidR="00BD0F89" w:rsidRPr="00BD0F89" w:rsidRDefault="00BD0F89" w:rsidP="00BD0F89">
      <w:pPr>
        <w:widowControl w:val="0"/>
        <w:tabs>
          <w:tab w:val="left" w:pos="720"/>
        </w:tabs>
        <w:autoSpaceDE w:val="0"/>
        <w:autoSpaceDN w:val="0"/>
        <w:adjustRightInd w:val="0"/>
        <w:spacing w:after="0" w:line="240" w:lineRule="auto"/>
        <w:ind w:firstLine="720"/>
        <w:rPr>
          <w:b/>
          <w:sz w:val="24"/>
          <w:szCs w:val="24"/>
        </w:rPr>
      </w:pPr>
    </w:p>
    <w:p w14:paraId="67985379" w14:textId="77777777" w:rsidR="00BD0F89" w:rsidRPr="00BD0F89" w:rsidRDefault="00BD0F89" w:rsidP="00BD0F89">
      <w:pPr>
        <w:autoSpaceDE w:val="0"/>
        <w:autoSpaceDN w:val="0"/>
        <w:adjustRightInd w:val="0"/>
        <w:spacing w:after="0" w:line="240" w:lineRule="auto"/>
        <w:rPr>
          <w:rFonts w:ascii="Times New Roman" w:eastAsia="Times New Roman" w:hAnsi="Times New Roman"/>
          <w:sz w:val="24"/>
          <w:szCs w:val="24"/>
        </w:rPr>
      </w:pPr>
      <w:r w:rsidRPr="00BD0F89">
        <w:rPr>
          <w:rFonts w:ascii="Times New Roman" w:eastAsia="Times New Roman" w:hAnsi="Times New Roman"/>
          <w:sz w:val="24"/>
          <w:szCs w:val="24"/>
        </w:rPr>
        <w:t xml:space="preserve">Data from FERC Form </w:t>
      </w:r>
      <w:r w:rsidR="003A3DE2">
        <w:rPr>
          <w:rFonts w:ascii="Times New Roman" w:eastAsia="Times New Roman" w:hAnsi="Times New Roman"/>
          <w:sz w:val="24"/>
          <w:szCs w:val="24"/>
        </w:rPr>
        <w:t xml:space="preserve">No. </w:t>
      </w:r>
      <w:r w:rsidRPr="00BD0F89">
        <w:rPr>
          <w:rFonts w:ascii="Times New Roman" w:eastAsia="Times New Roman" w:hAnsi="Times New Roman"/>
          <w:sz w:val="24"/>
          <w:szCs w:val="24"/>
        </w:rPr>
        <w:t>6 facilitate</w:t>
      </w:r>
      <w:r w:rsidR="00BF4790">
        <w:rPr>
          <w:rFonts w:ascii="Times New Roman" w:eastAsia="Times New Roman" w:hAnsi="Times New Roman"/>
          <w:sz w:val="24"/>
          <w:szCs w:val="24"/>
        </w:rPr>
        <w:t>s</w:t>
      </w:r>
      <w:r w:rsidRPr="00BD0F89">
        <w:rPr>
          <w:rFonts w:ascii="Times New Roman" w:eastAsia="Times New Roman" w:hAnsi="Times New Roman"/>
          <w:sz w:val="24"/>
          <w:szCs w:val="24"/>
        </w:rPr>
        <w:t xml:space="preserve"> the calculation of the actual rate of return on equity.  The actual rate of return on equity is particularly useful information when evaluating a pipeline’s rates.  </w:t>
      </w:r>
    </w:p>
    <w:p w14:paraId="59C734B4" w14:textId="77777777" w:rsidR="00BD0F89" w:rsidRPr="00BD0F89" w:rsidRDefault="00BD0F89" w:rsidP="00BD0F89">
      <w:pPr>
        <w:autoSpaceDE w:val="0"/>
        <w:autoSpaceDN w:val="0"/>
        <w:adjustRightInd w:val="0"/>
        <w:spacing w:after="0" w:line="240" w:lineRule="auto"/>
        <w:rPr>
          <w:rFonts w:ascii="Times New Roman" w:eastAsia="Times New Roman" w:hAnsi="Times New Roman"/>
          <w:sz w:val="24"/>
          <w:szCs w:val="24"/>
        </w:rPr>
      </w:pPr>
    </w:p>
    <w:p w14:paraId="4A3DBEDF" w14:textId="77777777" w:rsidR="00BD0F89" w:rsidRPr="00BD0F89" w:rsidRDefault="00BD0F89" w:rsidP="00BD0F89">
      <w:pPr>
        <w:autoSpaceDE w:val="0"/>
        <w:autoSpaceDN w:val="0"/>
        <w:adjustRightInd w:val="0"/>
        <w:spacing w:after="0" w:line="240" w:lineRule="auto"/>
        <w:rPr>
          <w:rFonts w:ascii="Times New Roman" w:eastAsia="Times New Roman" w:hAnsi="Times New Roman"/>
          <w:sz w:val="24"/>
          <w:szCs w:val="24"/>
        </w:rPr>
      </w:pPr>
      <w:r w:rsidRPr="00BD0F89">
        <w:rPr>
          <w:rFonts w:ascii="Times New Roman" w:eastAsia="Times New Roman" w:hAnsi="Times New Roman"/>
          <w:sz w:val="24"/>
          <w:szCs w:val="24"/>
        </w:rPr>
        <w:t xml:space="preserve">The ICA mandates the collection of information needed by the Commission to perform its regulatory responsibilities in the setting of just and reasonable rates.  The Commission could be held in violation of the ICA if the information was not collected.  </w:t>
      </w:r>
    </w:p>
    <w:p w14:paraId="3DD056EA" w14:textId="77777777" w:rsidR="002F405E" w:rsidRPr="00BD0F89" w:rsidRDefault="002F405E" w:rsidP="00BD0F89">
      <w:pPr>
        <w:spacing w:after="0" w:line="240" w:lineRule="auto"/>
        <w:rPr>
          <w:rFonts w:ascii="Times New Roman" w:hAnsi="Times New Roman"/>
          <w:b/>
          <w:sz w:val="24"/>
          <w:szCs w:val="24"/>
        </w:rPr>
      </w:pPr>
    </w:p>
    <w:p w14:paraId="7CA32A0B" w14:textId="4CE84FEE" w:rsidR="00F14E3D" w:rsidRPr="00133311" w:rsidRDefault="00F14E3D" w:rsidP="00F14E3D">
      <w:pPr>
        <w:spacing w:after="0" w:line="240" w:lineRule="auto"/>
        <w:rPr>
          <w:rFonts w:ascii="Times New Roman" w:hAnsi="Times New Roman"/>
          <w:sz w:val="24"/>
          <w:szCs w:val="24"/>
        </w:rPr>
      </w:pPr>
      <w:r>
        <w:rPr>
          <w:rFonts w:ascii="Times New Roman" w:hAnsi="Times New Roman"/>
          <w:b/>
          <w:sz w:val="24"/>
          <w:szCs w:val="24"/>
        </w:rPr>
        <w:t>FERC</w:t>
      </w:r>
      <w:r w:rsidR="002123B8">
        <w:rPr>
          <w:rFonts w:ascii="Times New Roman" w:hAnsi="Times New Roman"/>
          <w:b/>
          <w:sz w:val="24"/>
          <w:szCs w:val="24"/>
        </w:rPr>
        <w:t xml:space="preserve"> Form No.</w:t>
      </w:r>
      <w:r w:rsidR="000F1339">
        <w:rPr>
          <w:rFonts w:ascii="Times New Roman" w:hAnsi="Times New Roman"/>
          <w:b/>
          <w:sz w:val="24"/>
          <w:szCs w:val="24"/>
        </w:rPr>
        <w:t xml:space="preserve"> </w:t>
      </w:r>
      <w:r w:rsidRPr="00133311">
        <w:rPr>
          <w:rFonts w:ascii="Times New Roman" w:hAnsi="Times New Roman"/>
          <w:b/>
          <w:sz w:val="24"/>
          <w:szCs w:val="24"/>
        </w:rPr>
        <w:t>60</w:t>
      </w:r>
      <w:r>
        <w:rPr>
          <w:rFonts w:ascii="Times New Roman" w:hAnsi="Times New Roman"/>
          <w:b/>
          <w:sz w:val="24"/>
          <w:szCs w:val="24"/>
        </w:rPr>
        <w:t>A</w:t>
      </w:r>
      <w:r w:rsidRPr="00133311">
        <w:rPr>
          <w:rFonts w:ascii="Times New Roman" w:hAnsi="Times New Roman"/>
          <w:b/>
          <w:sz w:val="24"/>
          <w:szCs w:val="24"/>
        </w:rPr>
        <w:t xml:space="preserve">.  </w:t>
      </w:r>
      <w:r>
        <w:rPr>
          <w:rFonts w:ascii="Times New Roman" w:hAnsi="Times New Roman"/>
          <w:sz w:val="24"/>
          <w:szCs w:val="24"/>
        </w:rPr>
        <w:t>The proposed temporary information collection no., FERC</w:t>
      </w:r>
      <w:r w:rsidR="00EA5213">
        <w:rPr>
          <w:rFonts w:ascii="Times New Roman" w:hAnsi="Times New Roman"/>
          <w:sz w:val="24"/>
          <w:szCs w:val="24"/>
        </w:rPr>
        <w:t xml:space="preserve"> Form No. </w:t>
      </w:r>
      <w:r>
        <w:rPr>
          <w:rFonts w:ascii="Times New Roman" w:hAnsi="Times New Roman"/>
          <w:sz w:val="24"/>
          <w:szCs w:val="24"/>
        </w:rPr>
        <w:t xml:space="preserve">60A, covers the proposed industry burden to convert to filing </w:t>
      </w:r>
      <w:r w:rsidR="0027683E">
        <w:rPr>
          <w:rFonts w:ascii="Times New Roman" w:hAnsi="Times New Roman"/>
          <w:sz w:val="24"/>
          <w:szCs w:val="24"/>
        </w:rPr>
        <w:t xml:space="preserve">the </w:t>
      </w:r>
      <w:r w:rsidR="00EA5213">
        <w:rPr>
          <w:rFonts w:ascii="Times New Roman" w:hAnsi="Times New Roman"/>
          <w:sz w:val="24"/>
          <w:szCs w:val="24"/>
        </w:rPr>
        <w:t xml:space="preserve">Form No. </w:t>
      </w:r>
      <w:r>
        <w:rPr>
          <w:rFonts w:ascii="Times New Roman" w:hAnsi="Times New Roman"/>
          <w:sz w:val="24"/>
          <w:szCs w:val="24"/>
        </w:rPr>
        <w:t>60 using XBRL, as discussed in the NOPR in RM19-12.</w:t>
      </w:r>
      <w:r w:rsidRPr="00A83CFF">
        <w:t xml:space="preserve"> </w:t>
      </w:r>
      <w:r>
        <w:t xml:space="preserve"> </w:t>
      </w:r>
      <w:r w:rsidRPr="00A83CFF">
        <w:rPr>
          <w:rFonts w:ascii="Times New Roman" w:hAnsi="Times New Roman"/>
          <w:sz w:val="24"/>
          <w:szCs w:val="24"/>
        </w:rPr>
        <w:t xml:space="preserve">The following information </w:t>
      </w:r>
      <w:r>
        <w:rPr>
          <w:rFonts w:ascii="Times New Roman" w:hAnsi="Times New Roman"/>
          <w:sz w:val="24"/>
          <w:szCs w:val="24"/>
        </w:rPr>
        <w:t>provides some background on</w:t>
      </w:r>
      <w:r w:rsidRPr="00A83CFF">
        <w:rPr>
          <w:rFonts w:ascii="Times New Roman" w:hAnsi="Times New Roman"/>
          <w:sz w:val="24"/>
          <w:szCs w:val="24"/>
        </w:rPr>
        <w:t xml:space="preserve"> the FERC</w:t>
      </w:r>
      <w:r w:rsidR="00EA5213">
        <w:rPr>
          <w:rFonts w:ascii="Times New Roman" w:hAnsi="Times New Roman"/>
          <w:sz w:val="24"/>
          <w:szCs w:val="24"/>
        </w:rPr>
        <w:t xml:space="preserve"> Form No. </w:t>
      </w:r>
      <w:r>
        <w:rPr>
          <w:rFonts w:ascii="Times New Roman" w:hAnsi="Times New Roman"/>
          <w:sz w:val="24"/>
          <w:szCs w:val="24"/>
        </w:rPr>
        <w:t>60</w:t>
      </w:r>
      <w:r w:rsidRPr="00A83CFF">
        <w:rPr>
          <w:rFonts w:ascii="Times New Roman" w:hAnsi="Times New Roman"/>
          <w:sz w:val="24"/>
          <w:szCs w:val="24"/>
        </w:rPr>
        <w:t xml:space="preserve"> collection.</w:t>
      </w:r>
    </w:p>
    <w:p w14:paraId="1A90DC70" w14:textId="77777777" w:rsidR="00F14E3D" w:rsidRDefault="00F14E3D" w:rsidP="00F14E3D">
      <w:pPr>
        <w:spacing w:after="0" w:line="240" w:lineRule="auto"/>
        <w:rPr>
          <w:rFonts w:ascii="Times New Roman" w:hAnsi="Times New Roman"/>
          <w:sz w:val="24"/>
          <w:szCs w:val="24"/>
        </w:rPr>
      </w:pPr>
    </w:p>
    <w:p w14:paraId="426572A7" w14:textId="074F4A56" w:rsidR="00F14E3D" w:rsidRDefault="00F14E3D" w:rsidP="00F14E3D">
      <w:pPr>
        <w:spacing w:after="0" w:line="240" w:lineRule="auto"/>
        <w:rPr>
          <w:rFonts w:ascii="Times New Roman" w:hAnsi="Times New Roman"/>
          <w:sz w:val="24"/>
          <w:szCs w:val="24"/>
        </w:rPr>
      </w:pPr>
      <w:r w:rsidRPr="00133311">
        <w:rPr>
          <w:rFonts w:ascii="Times New Roman" w:hAnsi="Times New Roman"/>
          <w:sz w:val="24"/>
          <w:szCs w:val="24"/>
        </w:rPr>
        <w:t xml:space="preserve">Form No. 60 is an annual reporting requirement under 18 CFR 366.23 for centralized service companies. The report’s function is to collect financial information (including balance sheet, assets, liabilities, billing and charges for associated and non-associated companies) from centralized service companies subject to the jurisdiction of the FERC.  Unless Commission rule exempts or grants a waiver pursuant to 18 CFR 366.3 and 366.4 to the holding company system, every centralized service company in a holding company system must prepare and file electronically with the Form No. 60, pursuant to the General Instructions in the form. </w:t>
      </w:r>
      <w:r>
        <w:rPr>
          <w:rFonts w:ascii="Times New Roman" w:hAnsi="Times New Roman"/>
          <w:sz w:val="24"/>
          <w:szCs w:val="24"/>
        </w:rPr>
        <w:t xml:space="preserve"> </w:t>
      </w:r>
    </w:p>
    <w:p w14:paraId="48EC52D3" w14:textId="77777777" w:rsidR="00F14E3D" w:rsidRDefault="00F14E3D" w:rsidP="00BD0F89">
      <w:pPr>
        <w:spacing w:after="0" w:line="240" w:lineRule="auto"/>
        <w:rPr>
          <w:rFonts w:ascii="Times New Roman" w:hAnsi="Times New Roman"/>
          <w:b/>
          <w:sz w:val="24"/>
          <w:szCs w:val="24"/>
        </w:rPr>
      </w:pPr>
    </w:p>
    <w:p w14:paraId="2D32408B" w14:textId="3C2AE18F" w:rsidR="00A83CFF" w:rsidRDefault="00BA412D" w:rsidP="00BD0F89">
      <w:pPr>
        <w:spacing w:after="0" w:line="240" w:lineRule="auto"/>
        <w:rPr>
          <w:rFonts w:ascii="Times New Roman" w:hAnsi="Times New Roman"/>
          <w:sz w:val="24"/>
          <w:szCs w:val="24"/>
        </w:rPr>
      </w:pPr>
      <w:r w:rsidRPr="004D07A4">
        <w:rPr>
          <w:rFonts w:ascii="Times New Roman" w:hAnsi="Times New Roman"/>
          <w:b/>
          <w:sz w:val="24"/>
          <w:szCs w:val="24"/>
        </w:rPr>
        <w:t>FERC</w:t>
      </w:r>
      <w:r w:rsidR="000F1339">
        <w:rPr>
          <w:rFonts w:ascii="Times New Roman" w:hAnsi="Times New Roman"/>
          <w:b/>
          <w:sz w:val="24"/>
          <w:szCs w:val="24"/>
        </w:rPr>
        <w:t xml:space="preserve"> Form No. </w:t>
      </w:r>
      <w:r w:rsidRPr="004D07A4">
        <w:rPr>
          <w:rFonts w:ascii="Times New Roman" w:hAnsi="Times New Roman"/>
          <w:b/>
          <w:sz w:val="24"/>
          <w:szCs w:val="24"/>
        </w:rPr>
        <w:t>714</w:t>
      </w:r>
      <w:r w:rsidR="00A83CFF" w:rsidRPr="004D07A4">
        <w:rPr>
          <w:rFonts w:ascii="Times New Roman" w:hAnsi="Times New Roman"/>
          <w:b/>
          <w:sz w:val="24"/>
          <w:szCs w:val="24"/>
        </w:rPr>
        <w:t>A</w:t>
      </w:r>
      <w:r w:rsidRPr="004D07A4">
        <w:rPr>
          <w:rFonts w:ascii="Times New Roman" w:hAnsi="Times New Roman"/>
          <w:b/>
          <w:sz w:val="24"/>
          <w:szCs w:val="24"/>
        </w:rPr>
        <w:t>.</w:t>
      </w:r>
      <w:r w:rsidRPr="004D07A4">
        <w:rPr>
          <w:rFonts w:ascii="Times New Roman" w:hAnsi="Times New Roman"/>
          <w:sz w:val="24"/>
          <w:szCs w:val="24"/>
        </w:rPr>
        <w:t xml:space="preserve">  </w:t>
      </w:r>
      <w:r w:rsidR="00A83CFF" w:rsidRPr="004D07A4">
        <w:rPr>
          <w:rFonts w:ascii="Times New Roman" w:hAnsi="Times New Roman"/>
          <w:sz w:val="24"/>
          <w:szCs w:val="24"/>
        </w:rPr>
        <w:t>The</w:t>
      </w:r>
      <w:r w:rsidR="00A83CFF" w:rsidRPr="00A83CFF">
        <w:rPr>
          <w:rFonts w:ascii="Times New Roman" w:hAnsi="Times New Roman"/>
          <w:sz w:val="24"/>
          <w:szCs w:val="24"/>
        </w:rPr>
        <w:t xml:space="preserve"> proposed temporary information collection no. FERC</w:t>
      </w:r>
      <w:r w:rsidR="00EA5213">
        <w:rPr>
          <w:rFonts w:ascii="Times New Roman" w:hAnsi="Times New Roman"/>
          <w:sz w:val="24"/>
          <w:szCs w:val="24"/>
        </w:rPr>
        <w:t xml:space="preserve"> Form No.  </w:t>
      </w:r>
      <w:r w:rsidR="00A83CFF">
        <w:rPr>
          <w:rFonts w:ascii="Times New Roman" w:hAnsi="Times New Roman"/>
          <w:sz w:val="24"/>
          <w:szCs w:val="24"/>
        </w:rPr>
        <w:t>714</w:t>
      </w:r>
      <w:r w:rsidR="00A83CFF" w:rsidRPr="00A83CFF">
        <w:rPr>
          <w:rFonts w:ascii="Times New Roman" w:hAnsi="Times New Roman"/>
          <w:sz w:val="24"/>
          <w:szCs w:val="24"/>
        </w:rPr>
        <w:t>A covers the proposed industry burden to co</w:t>
      </w:r>
      <w:r w:rsidR="004D07A4">
        <w:rPr>
          <w:rFonts w:ascii="Times New Roman" w:hAnsi="Times New Roman"/>
          <w:sz w:val="24"/>
          <w:szCs w:val="24"/>
        </w:rPr>
        <w:t>n</w:t>
      </w:r>
      <w:r w:rsidR="00A83CFF" w:rsidRPr="00A83CFF">
        <w:rPr>
          <w:rFonts w:ascii="Times New Roman" w:hAnsi="Times New Roman"/>
          <w:sz w:val="24"/>
          <w:szCs w:val="24"/>
        </w:rPr>
        <w:t>vert to filing FERC-</w:t>
      </w:r>
      <w:r w:rsidR="00A83CFF">
        <w:rPr>
          <w:rFonts w:ascii="Times New Roman" w:hAnsi="Times New Roman"/>
          <w:sz w:val="24"/>
          <w:szCs w:val="24"/>
        </w:rPr>
        <w:t>714</w:t>
      </w:r>
      <w:r w:rsidR="00A83CFF" w:rsidRPr="00A83CFF">
        <w:rPr>
          <w:rFonts w:ascii="Times New Roman" w:hAnsi="Times New Roman"/>
          <w:sz w:val="24"/>
          <w:szCs w:val="24"/>
        </w:rPr>
        <w:t xml:space="preserve"> using XBRL, as discussed in the NOPR in RM19-12. </w:t>
      </w:r>
      <w:r w:rsidR="00A83CFF">
        <w:rPr>
          <w:rFonts w:ascii="Times New Roman" w:hAnsi="Times New Roman"/>
          <w:sz w:val="24"/>
          <w:szCs w:val="24"/>
        </w:rPr>
        <w:t xml:space="preserve"> The following information provides some background on the </w:t>
      </w:r>
      <w:r w:rsidR="00EA5213">
        <w:rPr>
          <w:rFonts w:ascii="Times New Roman" w:hAnsi="Times New Roman"/>
          <w:sz w:val="24"/>
          <w:szCs w:val="24"/>
        </w:rPr>
        <w:t xml:space="preserve">Form No. </w:t>
      </w:r>
      <w:r w:rsidR="00A83CFF">
        <w:rPr>
          <w:rFonts w:ascii="Times New Roman" w:hAnsi="Times New Roman"/>
          <w:sz w:val="24"/>
          <w:szCs w:val="24"/>
        </w:rPr>
        <w:t>714 collection.</w:t>
      </w:r>
    </w:p>
    <w:p w14:paraId="7BE2F0CE" w14:textId="77777777" w:rsidR="00A83CFF" w:rsidRDefault="00A83CFF" w:rsidP="00BD0F89">
      <w:pPr>
        <w:spacing w:after="0" w:line="240" w:lineRule="auto"/>
        <w:rPr>
          <w:rFonts w:ascii="Times New Roman" w:hAnsi="Times New Roman"/>
          <w:sz w:val="24"/>
          <w:szCs w:val="24"/>
        </w:rPr>
      </w:pPr>
    </w:p>
    <w:p w14:paraId="4C3D06A5" w14:textId="7515A5FF" w:rsidR="00BA412D" w:rsidRPr="00BA412D" w:rsidRDefault="00BA412D" w:rsidP="00BD0F89">
      <w:pPr>
        <w:spacing w:after="0" w:line="240" w:lineRule="auto"/>
        <w:rPr>
          <w:rFonts w:ascii="Times New Roman" w:hAnsi="Times New Roman"/>
          <w:sz w:val="24"/>
          <w:szCs w:val="24"/>
        </w:rPr>
      </w:pPr>
      <w:r w:rsidRPr="00C139CA">
        <w:rPr>
          <w:rFonts w:ascii="Times New Roman" w:hAnsi="Times New Roman"/>
          <w:sz w:val="24"/>
          <w:szCs w:val="24"/>
        </w:rPr>
        <w:t xml:space="preserve">The Commission uses the </w:t>
      </w:r>
      <w:r w:rsidR="00EA5213">
        <w:rPr>
          <w:rFonts w:ascii="Times New Roman" w:hAnsi="Times New Roman"/>
          <w:sz w:val="24"/>
          <w:szCs w:val="24"/>
        </w:rPr>
        <w:t xml:space="preserve">Form No. </w:t>
      </w:r>
      <w:r w:rsidRPr="00C139CA">
        <w:rPr>
          <w:rFonts w:ascii="Times New Roman" w:hAnsi="Times New Roman"/>
          <w:sz w:val="24"/>
          <w:szCs w:val="24"/>
        </w:rPr>
        <w:t xml:space="preserve">714 data to analyze power system operations.  The result of these analyses estimate the effect of changes in power system operations resulting from the installation of a new generating unit or plant, transmission facilities, energy transfers between systems, and/or new points of interconnections.  The </w:t>
      </w:r>
      <w:r w:rsidR="00EA5213">
        <w:rPr>
          <w:rFonts w:ascii="Times New Roman" w:hAnsi="Times New Roman"/>
          <w:sz w:val="24"/>
          <w:szCs w:val="24"/>
        </w:rPr>
        <w:t xml:space="preserve">Form No. </w:t>
      </w:r>
      <w:r w:rsidRPr="00C139CA">
        <w:rPr>
          <w:rFonts w:ascii="Times New Roman" w:hAnsi="Times New Roman"/>
          <w:sz w:val="24"/>
          <w:szCs w:val="24"/>
        </w:rPr>
        <w:t>714 data assists in providing a broad picture of interconnected balancing authority area operations including</w:t>
      </w:r>
      <w:r w:rsidRPr="00BA412D">
        <w:rPr>
          <w:rFonts w:ascii="Times New Roman" w:hAnsi="Times New Roman"/>
          <w:sz w:val="24"/>
          <w:szCs w:val="24"/>
        </w:rPr>
        <w:t xml:space="preserve"> comprehensive information of balancing authority area generation, actual and scheduled inter-balancing authority area power transfers, and net energy for load, summer and winter generation peaks and system lambda.  The Commission also uses the data to prepare status reports on the electric utility industry including a review of inter-balancing authority area bulk power trade information.</w:t>
      </w:r>
    </w:p>
    <w:p w14:paraId="5C34D2DD" w14:textId="77777777" w:rsidR="00BA412D" w:rsidRPr="00BA412D" w:rsidRDefault="00BA412D" w:rsidP="00BD0F89">
      <w:pPr>
        <w:spacing w:after="0" w:line="240" w:lineRule="auto"/>
        <w:rPr>
          <w:rFonts w:ascii="Times New Roman" w:hAnsi="Times New Roman"/>
          <w:sz w:val="24"/>
          <w:szCs w:val="24"/>
        </w:rPr>
      </w:pPr>
      <w:r w:rsidRPr="00BA412D">
        <w:rPr>
          <w:rFonts w:ascii="Times New Roman" w:hAnsi="Times New Roman"/>
          <w:sz w:val="24"/>
          <w:szCs w:val="24"/>
        </w:rPr>
        <w:tab/>
      </w:r>
    </w:p>
    <w:p w14:paraId="718A49D7" w14:textId="77777777" w:rsidR="00BA412D" w:rsidRPr="00BA412D" w:rsidRDefault="00BA412D" w:rsidP="00BD0F89">
      <w:pPr>
        <w:spacing w:after="0" w:line="240" w:lineRule="auto"/>
        <w:rPr>
          <w:rFonts w:ascii="Times New Roman" w:hAnsi="Times New Roman"/>
          <w:sz w:val="24"/>
          <w:szCs w:val="24"/>
        </w:rPr>
      </w:pPr>
      <w:r w:rsidRPr="00BA412D">
        <w:rPr>
          <w:rFonts w:ascii="Times New Roman" w:hAnsi="Times New Roman"/>
          <w:sz w:val="24"/>
          <w:szCs w:val="24"/>
        </w:rPr>
        <w:t>The Commission uses the collected data from planning areas to monitor forecasted demands by electric utilities with fundamental demand responsibilities and to develop hourly demand characteristics.</w:t>
      </w:r>
    </w:p>
    <w:p w14:paraId="613FA9F9" w14:textId="77777777" w:rsidR="00BA412D" w:rsidRDefault="00BA412D" w:rsidP="00BD0F89">
      <w:pPr>
        <w:spacing w:after="0" w:line="240" w:lineRule="auto"/>
        <w:rPr>
          <w:rFonts w:ascii="Times New Roman" w:hAnsi="Times New Roman"/>
          <w:sz w:val="24"/>
          <w:szCs w:val="24"/>
        </w:rPr>
      </w:pPr>
    </w:p>
    <w:p w14:paraId="6268B2CF" w14:textId="5BCBADC5" w:rsidR="00BA412D" w:rsidRPr="00BA412D" w:rsidRDefault="00BA412D" w:rsidP="00BD0F89">
      <w:pPr>
        <w:spacing w:after="0" w:line="240" w:lineRule="auto"/>
        <w:rPr>
          <w:rFonts w:ascii="Times New Roman" w:hAnsi="Times New Roman"/>
          <w:sz w:val="24"/>
          <w:szCs w:val="24"/>
        </w:rPr>
      </w:pPr>
      <w:r w:rsidRPr="00BA412D">
        <w:rPr>
          <w:rFonts w:ascii="Times New Roman" w:hAnsi="Times New Roman"/>
          <w:sz w:val="24"/>
          <w:szCs w:val="24"/>
        </w:rPr>
        <w:t xml:space="preserve">The consequence of not collecting the information contained </w:t>
      </w:r>
      <w:r w:rsidRPr="004D07A4">
        <w:rPr>
          <w:rFonts w:ascii="Times New Roman" w:hAnsi="Times New Roman"/>
          <w:sz w:val="24"/>
          <w:szCs w:val="24"/>
        </w:rPr>
        <w:t xml:space="preserve">within the </w:t>
      </w:r>
      <w:r w:rsidR="00EA5213">
        <w:rPr>
          <w:rFonts w:ascii="Times New Roman" w:hAnsi="Times New Roman"/>
          <w:sz w:val="24"/>
          <w:szCs w:val="24"/>
        </w:rPr>
        <w:t xml:space="preserve">Form No. </w:t>
      </w:r>
      <w:r w:rsidRPr="004D07A4">
        <w:rPr>
          <w:rFonts w:ascii="Times New Roman" w:hAnsi="Times New Roman"/>
          <w:sz w:val="24"/>
          <w:szCs w:val="24"/>
        </w:rPr>
        <w:t>714</w:t>
      </w:r>
      <w:r w:rsidRPr="00BA412D">
        <w:rPr>
          <w:rFonts w:ascii="Times New Roman" w:hAnsi="Times New Roman"/>
          <w:sz w:val="24"/>
          <w:szCs w:val="24"/>
        </w:rPr>
        <w:t xml:space="preserve"> would be impeded support for the Commission’s regulatory functions associated with the processing of rate applications and cases, proposed mergers and dispositions of jurisdictional facilities, and understanding of the planning and operational needs of the grid.  The Commission, other federal and state regulatory agencies, transmission users, and the public may lose a capability of monitoring the operations of the wholesale electric market for possible abuses of market power and the environment, and the efforts of electric utility entities in ensuring that resource capabilities could sufficiently and reliably meet system peak and forecast loads.  </w:t>
      </w:r>
    </w:p>
    <w:p w14:paraId="65A0AAFB" w14:textId="77777777" w:rsidR="0088425D" w:rsidRDefault="0088425D" w:rsidP="00BD0F89">
      <w:pPr>
        <w:spacing w:after="0" w:line="240" w:lineRule="auto"/>
        <w:rPr>
          <w:rFonts w:ascii="Times New Roman" w:hAnsi="Times New Roman"/>
          <w:sz w:val="24"/>
          <w:szCs w:val="24"/>
        </w:rPr>
      </w:pPr>
    </w:p>
    <w:p w14:paraId="5FCC3BB8" w14:textId="77777777" w:rsidR="00471F97" w:rsidRPr="00F1537F" w:rsidRDefault="00471F97" w:rsidP="00BD0F89">
      <w:pPr>
        <w:pStyle w:val="ListParagraph"/>
        <w:numPr>
          <w:ilvl w:val="0"/>
          <w:numId w:val="14"/>
        </w:numPr>
        <w:spacing w:after="0" w:line="240" w:lineRule="auto"/>
        <w:rPr>
          <w:rFonts w:ascii="Times New Roman" w:hAnsi="Times New Roman"/>
          <w:b/>
          <w:sz w:val="24"/>
          <w:szCs w:val="24"/>
        </w:rPr>
      </w:pPr>
      <w:r w:rsidRPr="00F1537F">
        <w:rPr>
          <w:rFonts w:ascii="Times New Roman" w:hAnsi="Times New Roman"/>
          <w:b/>
          <w:sz w:val="24"/>
          <w:szCs w:val="24"/>
        </w:rPr>
        <w:t>DESCRIBE ANY CONSIDERATION OF THE USE OF IMPROVED INFORMATION TECHNOLOGY TO REDUCE THE BURDEN AND TECHNICAL OR LEGAL OBSTACLES TO REDUCING BURDEN</w:t>
      </w:r>
    </w:p>
    <w:p w14:paraId="391BE832" w14:textId="77777777" w:rsidR="00471F97" w:rsidRDefault="00471F97" w:rsidP="00BD0F89">
      <w:pPr>
        <w:spacing w:after="0" w:line="240" w:lineRule="auto"/>
        <w:ind w:left="360" w:hanging="360"/>
        <w:rPr>
          <w:rFonts w:ascii="Times New Roman" w:hAnsi="Times New Roman"/>
          <w:sz w:val="24"/>
          <w:szCs w:val="24"/>
        </w:rPr>
      </w:pPr>
    </w:p>
    <w:p w14:paraId="7EA7A4A5" w14:textId="77777777" w:rsidR="0088425D" w:rsidRDefault="0088425D" w:rsidP="00BD0F89">
      <w:pPr>
        <w:spacing w:after="0" w:line="240" w:lineRule="auto"/>
        <w:rPr>
          <w:rFonts w:ascii="Times New Roman" w:hAnsi="Times New Roman"/>
          <w:sz w:val="24"/>
          <w:szCs w:val="24"/>
        </w:rPr>
      </w:pPr>
      <w:r>
        <w:rPr>
          <w:rFonts w:ascii="Times New Roman" w:hAnsi="Times New Roman"/>
          <w:sz w:val="24"/>
          <w:szCs w:val="24"/>
        </w:rPr>
        <w:t xml:space="preserve">The purpose of the Forms Refresh effort and this NOPR is to transition from a software platform which is no longer supported by the vendor to a more modern and efficient approach.  </w:t>
      </w:r>
      <w:r w:rsidRPr="0088425D">
        <w:rPr>
          <w:rFonts w:ascii="Times New Roman" w:hAnsi="Times New Roman"/>
          <w:sz w:val="24"/>
          <w:szCs w:val="24"/>
        </w:rPr>
        <w:t xml:space="preserve">The use of XBRL should make the information in these forms easier for filers and data users to analyze and assist in automating regulatory filings and business information processing.  In addition, the Commission believes that transitioning from the current Visual FoxPro system to XBRL will decrease the costs, over time, of preparing the necessary data for submission and complying with future changes to filing requirements set forth by the Commission.  </w:t>
      </w:r>
    </w:p>
    <w:p w14:paraId="00645005" w14:textId="77777777" w:rsidR="0088425D" w:rsidRPr="00F1537F" w:rsidRDefault="0088425D" w:rsidP="00BD0F89">
      <w:pPr>
        <w:spacing w:after="0" w:line="240" w:lineRule="auto"/>
        <w:ind w:left="360" w:hanging="360"/>
        <w:rPr>
          <w:rFonts w:ascii="Times New Roman" w:hAnsi="Times New Roman"/>
          <w:sz w:val="24"/>
          <w:szCs w:val="24"/>
        </w:rPr>
      </w:pPr>
    </w:p>
    <w:p w14:paraId="235E8FE2" w14:textId="77777777" w:rsidR="00F0627E" w:rsidRPr="00F1537F" w:rsidRDefault="00F0627E" w:rsidP="00BD0F89">
      <w:pPr>
        <w:pStyle w:val="ListParagraph"/>
        <w:numPr>
          <w:ilvl w:val="0"/>
          <w:numId w:val="14"/>
        </w:numPr>
        <w:spacing w:after="0" w:line="240" w:lineRule="auto"/>
        <w:rPr>
          <w:rFonts w:ascii="Times New Roman" w:hAnsi="Times New Roman"/>
          <w:b/>
          <w:sz w:val="24"/>
          <w:szCs w:val="24"/>
        </w:rPr>
      </w:pPr>
      <w:r w:rsidRPr="00F1537F">
        <w:rPr>
          <w:rFonts w:ascii="Times New Roman" w:hAnsi="Times New Roman"/>
          <w:b/>
          <w:sz w:val="24"/>
          <w:szCs w:val="24"/>
        </w:rPr>
        <w:t>DESCRIBE EFFORTS TO IDENTIFY DUPLICATION AND SHOW SPECIFICALLY WHY ANY SIMILAR INFORMATION ALREADY AVAILABLE CANNOT BE USED OR MODIFIED FOR USE FOR THE PURPOSE(S) DESCRIBED IN INSTRUCTION NO. 2</w:t>
      </w:r>
    </w:p>
    <w:p w14:paraId="7DC29030" w14:textId="77777777" w:rsidR="00F0627E" w:rsidRPr="00F1537F" w:rsidRDefault="00F0627E" w:rsidP="00BD0F89">
      <w:pPr>
        <w:spacing w:after="0" w:line="240" w:lineRule="auto"/>
        <w:ind w:left="360" w:hanging="360"/>
        <w:rPr>
          <w:rFonts w:ascii="Times New Roman" w:hAnsi="Times New Roman"/>
          <w:sz w:val="24"/>
          <w:szCs w:val="24"/>
        </w:rPr>
      </w:pPr>
    </w:p>
    <w:p w14:paraId="2C228DC8" w14:textId="77777777" w:rsidR="0084303A" w:rsidRDefault="002E36BA" w:rsidP="00BD0F89">
      <w:pPr>
        <w:spacing w:after="0" w:line="240" w:lineRule="auto"/>
        <w:rPr>
          <w:rFonts w:ascii="Times New Roman" w:hAnsi="Times New Roman"/>
          <w:sz w:val="24"/>
          <w:szCs w:val="24"/>
        </w:rPr>
      </w:pPr>
      <w:r>
        <w:rPr>
          <w:rFonts w:ascii="Times New Roman" w:hAnsi="Times New Roman"/>
          <w:sz w:val="24"/>
          <w:szCs w:val="24"/>
        </w:rPr>
        <w:t xml:space="preserve">Under the NOPR, the Commission is not proposing to change the information currently collected in the VFP Forms, but rather to change the format of the information that is being collected from VFP to XBRL. </w:t>
      </w:r>
      <w:r w:rsidR="0084303A">
        <w:rPr>
          <w:rFonts w:ascii="Times New Roman" w:hAnsi="Times New Roman"/>
          <w:sz w:val="24"/>
          <w:szCs w:val="24"/>
        </w:rPr>
        <w:t xml:space="preserve"> </w:t>
      </w:r>
    </w:p>
    <w:p w14:paraId="44A5ED60" w14:textId="77777777" w:rsidR="0084303A" w:rsidRDefault="0084303A" w:rsidP="00BD0F89">
      <w:pPr>
        <w:spacing w:after="0" w:line="240" w:lineRule="auto"/>
        <w:rPr>
          <w:rFonts w:ascii="Times New Roman" w:hAnsi="Times New Roman"/>
          <w:sz w:val="24"/>
          <w:szCs w:val="24"/>
        </w:rPr>
      </w:pPr>
    </w:p>
    <w:p w14:paraId="2C904CCD" w14:textId="77777777" w:rsidR="00494814" w:rsidRDefault="0084303A" w:rsidP="00BD0F89">
      <w:pPr>
        <w:spacing w:after="0" w:line="240" w:lineRule="auto"/>
        <w:rPr>
          <w:rFonts w:ascii="Times New Roman" w:hAnsi="Times New Roman"/>
          <w:sz w:val="24"/>
          <w:szCs w:val="24"/>
        </w:rPr>
      </w:pPr>
      <w:r>
        <w:rPr>
          <w:rFonts w:ascii="Times New Roman" w:hAnsi="Times New Roman"/>
          <w:sz w:val="24"/>
          <w:szCs w:val="24"/>
        </w:rPr>
        <w:t xml:space="preserve">A </w:t>
      </w:r>
      <w:r w:rsidR="002E36BA">
        <w:rPr>
          <w:rFonts w:ascii="Times New Roman" w:hAnsi="Times New Roman"/>
          <w:sz w:val="24"/>
          <w:szCs w:val="24"/>
        </w:rPr>
        <w:t>description of t</w:t>
      </w:r>
      <w:r w:rsidR="00107DA8" w:rsidRPr="00F1537F">
        <w:rPr>
          <w:rFonts w:ascii="Times New Roman" w:hAnsi="Times New Roman"/>
          <w:sz w:val="24"/>
          <w:szCs w:val="24"/>
        </w:rPr>
        <w:t>he Commission</w:t>
      </w:r>
      <w:r w:rsidR="002E36BA">
        <w:rPr>
          <w:rFonts w:ascii="Times New Roman" w:hAnsi="Times New Roman"/>
          <w:sz w:val="24"/>
          <w:szCs w:val="24"/>
        </w:rPr>
        <w:t>’s efforts to</w:t>
      </w:r>
      <w:r w:rsidR="00107DA8" w:rsidRPr="00F1537F">
        <w:rPr>
          <w:rFonts w:ascii="Times New Roman" w:hAnsi="Times New Roman"/>
          <w:sz w:val="24"/>
          <w:szCs w:val="24"/>
        </w:rPr>
        <w:t xml:space="preserve"> periodically review filing requirements concurrent with OMB review or as the Commission deems necessary to eliminate duplicative filing and to minimize the filing burden</w:t>
      </w:r>
      <w:r w:rsidR="00F04C98">
        <w:rPr>
          <w:rFonts w:ascii="Times New Roman" w:hAnsi="Times New Roman"/>
          <w:sz w:val="24"/>
          <w:szCs w:val="24"/>
        </w:rPr>
        <w:t xml:space="preserve"> is provided</w:t>
      </w:r>
      <w:r>
        <w:rPr>
          <w:rFonts w:ascii="Times New Roman" w:hAnsi="Times New Roman"/>
          <w:sz w:val="24"/>
          <w:szCs w:val="24"/>
        </w:rPr>
        <w:t xml:space="preserve"> below</w:t>
      </w:r>
      <w:r w:rsidR="00107DA8" w:rsidRPr="00F1537F">
        <w:rPr>
          <w:rFonts w:ascii="Times New Roman" w:hAnsi="Times New Roman"/>
          <w:sz w:val="24"/>
          <w:szCs w:val="24"/>
        </w:rPr>
        <w:t xml:space="preserve">.  </w:t>
      </w:r>
    </w:p>
    <w:p w14:paraId="36DF0E8B" w14:textId="77777777" w:rsidR="007D436E" w:rsidRDefault="007D436E" w:rsidP="00BD0F89">
      <w:pPr>
        <w:spacing w:after="0" w:line="240" w:lineRule="auto"/>
        <w:rPr>
          <w:rFonts w:ascii="Times New Roman" w:hAnsi="Times New Roman"/>
          <w:sz w:val="24"/>
          <w:szCs w:val="24"/>
        </w:rPr>
      </w:pPr>
    </w:p>
    <w:p w14:paraId="263DBB92" w14:textId="77777777" w:rsidR="007D436E" w:rsidRPr="007D436E" w:rsidRDefault="00EA5213" w:rsidP="00BD0F89">
      <w:pPr>
        <w:spacing w:after="0" w:line="240" w:lineRule="auto"/>
        <w:rPr>
          <w:rFonts w:ascii="Times New Roman" w:hAnsi="Times New Roman"/>
          <w:sz w:val="24"/>
          <w:szCs w:val="24"/>
        </w:rPr>
      </w:pPr>
      <w:r>
        <w:rPr>
          <w:rFonts w:ascii="Times New Roman" w:hAnsi="Times New Roman"/>
          <w:b/>
          <w:sz w:val="24"/>
          <w:szCs w:val="24"/>
        </w:rPr>
        <w:t xml:space="preserve">FERC </w:t>
      </w:r>
      <w:r w:rsidR="002F405E">
        <w:rPr>
          <w:rFonts w:ascii="Times New Roman" w:hAnsi="Times New Roman"/>
          <w:b/>
          <w:sz w:val="24"/>
          <w:szCs w:val="24"/>
        </w:rPr>
        <w:t>Form</w:t>
      </w:r>
      <w:r>
        <w:rPr>
          <w:rFonts w:ascii="Times New Roman" w:hAnsi="Times New Roman"/>
          <w:b/>
          <w:sz w:val="24"/>
          <w:szCs w:val="24"/>
        </w:rPr>
        <w:t xml:space="preserve"> Nos.</w:t>
      </w:r>
      <w:r w:rsidR="002F405E">
        <w:rPr>
          <w:rFonts w:ascii="Times New Roman" w:hAnsi="Times New Roman"/>
          <w:b/>
          <w:sz w:val="24"/>
          <w:szCs w:val="24"/>
        </w:rPr>
        <w:t xml:space="preserve"> 1, 1-F, </w:t>
      </w:r>
      <w:r w:rsidR="007D436E" w:rsidRPr="007D436E">
        <w:rPr>
          <w:rFonts w:ascii="Times New Roman" w:hAnsi="Times New Roman"/>
          <w:b/>
          <w:sz w:val="24"/>
          <w:szCs w:val="24"/>
        </w:rPr>
        <w:t>3-Q</w:t>
      </w:r>
      <w:r w:rsidR="002F405E">
        <w:rPr>
          <w:rFonts w:ascii="Times New Roman" w:hAnsi="Times New Roman"/>
          <w:b/>
          <w:sz w:val="24"/>
          <w:szCs w:val="24"/>
        </w:rPr>
        <w:t>, 2, 2-A</w:t>
      </w:r>
      <w:r w:rsidR="00444280">
        <w:rPr>
          <w:rFonts w:ascii="Times New Roman" w:hAnsi="Times New Roman"/>
          <w:b/>
          <w:sz w:val="24"/>
          <w:szCs w:val="24"/>
        </w:rPr>
        <w:t>, 6 and 6-Q</w:t>
      </w:r>
      <w:r w:rsidR="007D436E" w:rsidRPr="007D436E">
        <w:rPr>
          <w:rFonts w:ascii="Times New Roman" w:hAnsi="Times New Roman"/>
          <w:b/>
          <w:sz w:val="24"/>
          <w:szCs w:val="24"/>
        </w:rPr>
        <w:t xml:space="preserve">.  </w:t>
      </w:r>
      <w:r w:rsidR="007D436E" w:rsidRPr="007D436E">
        <w:rPr>
          <w:rFonts w:ascii="Times New Roman" w:hAnsi="Times New Roman"/>
          <w:sz w:val="24"/>
          <w:szCs w:val="24"/>
        </w:rPr>
        <w:t>While some jurisdictional entities may file similar information with the Securities and Exchange Commission (SEC), the level of detail concerning assets, liabilities, stockholders' equity along with the revenues, expenses, gains, and losses is different for the Commission and the SEC.  The financial statements filed with the SEC are on a consolidated, or parent company basis.  The Commission notes that a majority of the jurisdictional entities that it regulates files financial information with the SEC that consolidates their assets, liabilities and profits with their parent company, or combine the regulated and unregulated operations in the reports to the SEC.  While consolidation is appropriate for SEC reporting, the Commission requires more detailed information concerning the results of operations, and the financial position of each jurisdictional entity in order to meet its regulatory needs.  Therefore, the Commission has required jurisdictional entities to file financial information on a jurisdictional entity level basis using a uniform system of accounts.</w:t>
      </w:r>
    </w:p>
    <w:p w14:paraId="2951980C" w14:textId="77777777" w:rsidR="007D436E" w:rsidRDefault="007D436E" w:rsidP="00BD0F89">
      <w:pPr>
        <w:spacing w:after="0" w:line="240" w:lineRule="auto"/>
        <w:rPr>
          <w:rFonts w:ascii="Times New Roman" w:hAnsi="Times New Roman"/>
          <w:sz w:val="24"/>
          <w:szCs w:val="24"/>
        </w:rPr>
      </w:pPr>
    </w:p>
    <w:p w14:paraId="3A42CD31" w14:textId="478C8779" w:rsidR="00BA412D" w:rsidRPr="00BA412D" w:rsidRDefault="00BA412D" w:rsidP="00BD0F89">
      <w:pPr>
        <w:spacing w:after="0" w:line="240" w:lineRule="auto"/>
        <w:rPr>
          <w:rFonts w:ascii="Times New Roman" w:hAnsi="Times New Roman"/>
          <w:sz w:val="24"/>
          <w:szCs w:val="24"/>
        </w:rPr>
      </w:pPr>
      <w:r w:rsidRPr="004D07A4">
        <w:rPr>
          <w:rFonts w:ascii="Times New Roman" w:hAnsi="Times New Roman"/>
          <w:b/>
          <w:sz w:val="24"/>
          <w:szCs w:val="24"/>
        </w:rPr>
        <w:t>FERC</w:t>
      </w:r>
      <w:r w:rsidR="00EA5213">
        <w:rPr>
          <w:rFonts w:ascii="Times New Roman" w:hAnsi="Times New Roman"/>
          <w:b/>
          <w:sz w:val="24"/>
          <w:szCs w:val="24"/>
        </w:rPr>
        <w:t xml:space="preserve"> Form No. </w:t>
      </w:r>
      <w:r w:rsidRPr="004D07A4">
        <w:rPr>
          <w:rFonts w:ascii="Times New Roman" w:hAnsi="Times New Roman"/>
          <w:b/>
          <w:sz w:val="24"/>
          <w:szCs w:val="24"/>
        </w:rPr>
        <w:t>714</w:t>
      </w:r>
      <w:r w:rsidR="00867915" w:rsidRPr="004D07A4">
        <w:rPr>
          <w:rFonts w:ascii="Times New Roman" w:hAnsi="Times New Roman"/>
          <w:b/>
          <w:sz w:val="24"/>
          <w:szCs w:val="24"/>
        </w:rPr>
        <w:t>A</w:t>
      </w:r>
      <w:r w:rsidRPr="004D07A4">
        <w:rPr>
          <w:rFonts w:ascii="Times New Roman" w:hAnsi="Times New Roman"/>
          <w:b/>
          <w:sz w:val="24"/>
          <w:szCs w:val="24"/>
        </w:rPr>
        <w:t>.</w:t>
      </w:r>
      <w:r>
        <w:rPr>
          <w:rFonts w:ascii="Times New Roman" w:hAnsi="Times New Roman"/>
          <w:b/>
          <w:sz w:val="24"/>
          <w:szCs w:val="24"/>
        </w:rPr>
        <w:t xml:space="preserve">  </w:t>
      </w:r>
      <w:r w:rsidR="00867915" w:rsidRPr="00867915">
        <w:rPr>
          <w:rFonts w:ascii="Times New Roman" w:hAnsi="Times New Roman"/>
          <w:sz w:val="24"/>
          <w:szCs w:val="24"/>
        </w:rPr>
        <w:t xml:space="preserve">As relates to the </w:t>
      </w:r>
      <w:r w:rsidR="00EA5213">
        <w:rPr>
          <w:rFonts w:ascii="Times New Roman" w:hAnsi="Times New Roman"/>
          <w:sz w:val="24"/>
          <w:szCs w:val="24"/>
        </w:rPr>
        <w:t>Form No.</w:t>
      </w:r>
      <w:r w:rsidR="00867915" w:rsidRPr="00867915">
        <w:rPr>
          <w:rFonts w:ascii="Times New Roman" w:hAnsi="Times New Roman"/>
          <w:sz w:val="24"/>
          <w:szCs w:val="24"/>
        </w:rPr>
        <w:t>714, t</w:t>
      </w:r>
      <w:r w:rsidRPr="00867915">
        <w:rPr>
          <w:rFonts w:ascii="Times New Roman" w:hAnsi="Times New Roman"/>
          <w:sz w:val="24"/>
          <w:szCs w:val="24"/>
        </w:rPr>
        <w:t>he</w:t>
      </w:r>
      <w:r w:rsidRPr="00BA412D">
        <w:rPr>
          <w:rFonts w:ascii="Times New Roman" w:hAnsi="Times New Roman"/>
          <w:sz w:val="24"/>
          <w:szCs w:val="24"/>
        </w:rPr>
        <w:t xml:space="preserve"> U.S. Energy Information Administration (EIA) implemented a </w:t>
      </w:r>
      <w:r w:rsidR="001A62D9">
        <w:rPr>
          <w:rFonts w:ascii="Times New Roman" w:hAnsi="Times New Roman"/>
          <w:sz w:val="24"/>
          <w:szCs w:val="24"/>
        </w:rPr>
        <w:t xml:space="preserve">data collection of </w:t>
      </w:r>
      <w:r w:rsidRPr="00BA412D">
        <w:rPr>
          <w:rFonts w:ascii="Times New Roman" w:hAnsi="Times New Roman"/>
          <w:sz w:val="24"/>
          <w:szCs w:val="24"/>
        </w:rPr>
        <w:t xml:space="preserve">hourly electric power data from all </w:t>
      </w:r>
      <w:r w:rsidR="00FF71B5">
        <w:rPr>
          <w:rFonts w:ascii="Times New Roman" w:hAnsi="Times New Roman"/>
          <w:sz w:val="24"/>
          <w:szCs w:val="24"/>
        </w:rPr>
        <w:t>entities</w:t>
      </w:r>
      <w:r w:rsidRPr="00BA412D">
        <w:rPr>
          <w:rFonts w:ascii="Times New Roman" w:hAnsi="Times New Roman"/>
          <w:sz w:val="24"/>
          <w:szCs w:val="24"/>
        </w:rPr>
        <w:t xml:space="preserve"> in the contiguous United States</w:t>
      </w:r>
      <w:r w:rsidR="00FF71B5">
        <w:rPr>
          <w:rFonts w:ascii="Times New Roman" w:hAnsi="Times New Roman"/>
          <w:sz w:val="24"/>
          <w:szCs w:val="24"/>
        </w:rPr>
        <w:t xml:space="preserve"> that are listed in the NERC Compliance Registry as a balancing authority</w:t>
      </w:r>
      <w:r w:rsidRPr="00BA412D">
        <w:rPr>
          <w:rFonts w:ascii="Times New Roman" w:hAnsi="Times New Roman"/>
          <w:sz w:val="24"/>
          <w:szCs w:val="24"/>
        </w:rPr>
        <w:t>.  Th</w:t>
      </w:r>
      <w:r w:rsidR="00EA0F6E">
        <w:rPr>
          <w:rFonts w:ascii="Times New Roman" w:hAnsi="Times New Roman"/>
          <w:sz w:val="24"/>
          <w:szCs w:val="24"/>
        </w:rPr>
        <w:t xml:space="preserve">e </w:t>
      </w:r>
      <w:r w:rsidRPr="00BA412D">
        <w:rPr>
          <w:rFonts w:ascii="Times New Roman" w:hAnsi="Times New Roman"/>
          <w:sz w:val="24"/>
          <w:szCs w:val="24"/>
        </w:rPr>
        <w:t xml:space="preserve">EIA-930: Hourly and Daily Balancing Authority Operations Report, requires the filing of hourly balancing authority operating data </w:t>
      </w:r>
      <w:r w:rsidR="005B04C3">
        <w:rPr>
          <w:rFonts w:ascii="Times New Roman" w:hAnsi="Times New Roman"/>
          <w:sz w:val="24"/>
          <w:szCs w:val="24"/>
        </w:rPr>
        <w:t xml:space="preserve">including day-ahead demand forecast, actual demand, net generation, and net metered tie line flow </w:t>
      </w:r>
      <w:r w:rsidRPr="00BA412D">
        <w:rPr>
          <w:rFonts w:ascii="Times New Roman" w:hAnsi="Times New Roman"/>
          <w:sz w:val="24"/>
          <w:szCs w:val="24"/>
        </w:rPr>
        <w:t xml:space="preserve">to EIA.  The data </w:t>
      </w:r>
      <w:r w:rsidR="00E5589D">
        <w:rPr>
          <w:rFonts w:ascii="Times New Roman" w:hAnsi="Times New Roman"/>
          <w:sz w:val="24"/>
          <w:szCs w:val="24"/>
        </w:rPr>
        <w:t>is</w:t>
      </w:r>
      <w:r w:rsidRPr="00BA412D">
        <w:rPr>
          <w:rFonts w:ascii="Times New Roman" w:hAnsi="Times New Roman"/>
          <w:sz w:val="24"/>
          <w:szCs w:val="24"/>
        </w:rPr>
        <w:t xml:space="preserve"> posted onto a publicly available Internet website and </w:t>
      </w:r>
      <w:r w:rsidR="00186976">
        <w:rPr>
          <w:rFonts w:ascii="Times New Roman" w:hAnsi="Times New Roman"/>
          <w:sz w:val="24"/>
          <w:szCs w:val="24"/>
        </w:rPr>
        <w:t>can</w:t>
      </w:r>
      <w:r w:rsidRPr="00BA412D">
        <w:rPr>
          <w:rFonts w:ascii="Times New Roman" w:hAnsi="Times New Roman"/>
          <w:sz w:val="24"/>
          <w:szCs w:val="24"/>
        </w:rPr>
        <w:t xml:space="preserve"> be used to monitor the near-real time status and trends of the electric power industry and to support the enhancement of electric system operations.</w:t>
      </w:r>
    </w:p>
    <w:p w14:paraId="2FC6998F" w14:textId="77777777" w:rsidR="00BA412D" w:rsidRPr="00BA412D" w:rsidRDefault="00BA412D" w:rsidP="00BD0F89">
      <w:pPr>
        <w:spacing w:after="0" w:line="240" w:lineRule="auto"/>
        <w:rPr>
          <w:rFonts w:ascii="Times New Roman" w:hAnsi="Times New Roman"/>
          <w:sz w:val="24"/>
          <w:szCs w:val="24"/>
        </w:rPr>
      </w:pPr>
    </w:p>
    <w:p w14:paraId="70FDC4BC" w14:textId="77777777" w:rsidR="00BA412D" w:rsidRDefault="00D11211" w:rsidP="00BD0F89">
      <w:pPr>
        <w:spacing w:after="0" w:line="240" w:lineRule="auto"/>
        <w:rPr>
          <w:rFonts w:ascii="Times New Roman" w:hAnsi="Times New Roman"/>
          <w:sz w:val="24"/>
          <w:szCs w:val="24"/>
        </w:rPr>
      </w:pPr>
      <w:r>
        <w:rPr>
          <w:rFonts w:ascii="Times New Roman" w:hAnsi="Times New Roman"/>
          <w:sz w:val="24"/>
          <w:szCs w:val="24"/>
        </w:rPr>
        <w:t>However, the EIA-930 does not include more granular data on generating plant capabilities, identification of adjacent interconnections, or system lambda.  Also, t</w:t>
      </w:r>
      <w:r w:rsidR="00BA412D" w:rsidRPr="00BA412D">
        <w:rPr>
          <w:rFonts w:ascii="Times New Roman" w:hAnsi="Times New Roman"/>
          <w:sz w:val="24"/>
          <w:szCs w:val="24"/>
        </w:rPr>
        <w:t>here are no other Federal agencies responsible for obtaining planning area</w:t>
      </w:r>
      <w:r>
        <w:rPr>
          <w:rFonts w:ascii="Times New Roman" w:hAnsi="Times New Roman"/>
          <w:sz w:val="24"/>
          <w:szCs w:val="24"/>
        </w:rPr>
        <w:t>-level</w:t>
      </w:r>
      <w:r w:rsidR="00BA412D" w:rsidRPr="00BA412D">
        <w:rPr>
          <w:rFonts w:ascii="Times New Roman" w:hAnsi="Times New Roman"/>
          <w:sz w:val="24"/>
          <w:szCs w:val="24"/>
        </w:rPr>
        <w:t xml:space="preserve"> data consist</w:t>
      </w:r>
      <w:r>
        <w:rPr>
          <w:rFonts w:ascii="Times New Roman" w:hAnsi="Times New Roman"/>
          <w:sz w:val="24"/>
          <w:szCs w:val="24"/>
        </w:rPr>
        <w:t>ing</w:t>
      </w:r>
      <w:r w:rsidR="00BA412D" w:rsidRPr="00BA412D">
        <w:rPr>
          <w:rFonts w:ascii="Times New Roman" w:hAnsi="Times New Roman"/>
          <w:sz w:val="24"/>
          <w:szCs w:val="24"/>
        </w:rPr>
        <w:t xml:space="preserve"> of forecasted demands and hourly demand characteristics from electric utility entities with fundamental demand responsibilities.</w:t>
      </w:r>
    </w:p>
    <w:p w14:paraId="2F70AA54" w14:textId="77777777" w:rsidR="00F0627E" w:rsidRPr="00F1537F" w:rsidRDefault="00F0627E" w:rsidP="00BD0F89">
      <w:pPr>
        <w:spacing w:after="0" w:line="240" w:lineRule="auto"/>
        <w:rPr>
          <w:rFonts w:ascii="Times New Roman" w:hAnsi="Times New Roman"/>
          <w:sz w:val="24"/>
          <w:szCs w:val="24"/>
        </w:rPr>
      </w:pPr>
    </w:p>
    <w:p w14:paraId="1043320F" w14:textId="77777777" w:rsidR="00F0627E" w:rsidRPr="00F1537F" w:rsidRDefault="00F0627E" w:rsidP="00BD0F89">
      <w:pPr>
        <w:pStyle w:val="ListParagraph"/>
        <w:numPr>
          <w:ilvl w:val="0"/>
          <w:numId w:val="14"/>
        </w:numPr>
        <w:spacing w:after="0" w:line="240" w:lineRule="auto"/>
        <w:rPr>
          <w:rFonts w:ascii="Times New Roman" w:hAnsi="Times New Roman"/>
          <w:b/>
          <w:sz w:val="24"/>
          <w:szCs w:val="24"/>
        </w:rPr>
      </w:pPr>
      <w:r w:rsidRPr="00F1537F">
        <w:rPr>
          <w:rFonts w:ascii="Times New Roman" w:hAnsi="Times New Roman"/>
          <w:b/>
          <w:sz w:val="24"/>
          <w:szCs w:val="24"/>
        </w:rPr>
        <w:t>METHODS USED TO MINIMIZE THE BURDEN IN COLLECTION OF INFORMATION INVOLVING SMALL ENTITIES</w:t>
      </w:r>
    </w:p>
    <w:p w14:paraId="7CE41F3F" w14:textId="77777777" w:rsidR="00F0627E" w:rsidRPr="00F1537F" w:rsidRDefault="00F0627E" w:rsidP="00BD0F89">
      <w:pPr>
        <w:spacing w:after="0" w:line="240" w:lineRule="auto"/>
        <w:rPr>
          <w:rFonts w:ascii="Times New Roman" w:hAnsi="Times New Roman"/>
          <w:sz w:val="24"/>
          <w:szCs w:val="24"/>
        </w:rPr>
      </w:pPr>
    </w:p>
    <w:p w14:paraId="568F9DC2" w14:textId="116AED7B" w:rsidR="007D436E" w:rsidRPr="007D436E" w:rsidRDefault="00EA5213" w:rsidP="00BD0F89">
      <w:pPr>
        <w:spacing w:after="0" w:line="240" w:lineRule="auto"/>
        <w:rPr>
          <w:rFonts w:ascii="Times New Roman" w:eastAsia="Times New Roman" w:hAnsi="Times New Roman"/>
          <w:sz w:val="24"/>
          <w:szCs w:val="24"/>
        </w:rPr>
      </w:pPr>
      <w:r>
        <w:rPr>
          <w:rFonts w:ascii="Times New Roman" w:eastAsia="Times New Roman" w:hAnsi="Times New Roman"/>
          <w:b/>
          <w:sz w:val="24"/>
          <w:szCs w:val="24"/>
        </w:rPr>
        <w:t xml:space="preserve">FERC </w:t>
      </w:r>
      <w:r w:rsidR="007D436E" w:rsidRPr="007D436E">
        <w:rPr>
          <w:rFonts w:ascii="Times New Roman" w:eastAsia="Times New Roman" w:hAnsi="Times New Roman"/>
          <w:b/>
          <w:sz w:val="24"/>
          <w:szCs w:val="24"/>
        </w:rPr>
        <w:t>Form</w:t>
      </w:r>
      <w:r>
        <w:rPr>
          <w:rFonts w:ascii="Times New Roman" w:eastAsia="Times New Roman" w:hAnsi="Times New Roman"/>
          <w:b/>
          <w:sz w:val="24"/>
          <w:szCs w:val="24"/>
        </w:rPr>
        <w:t xml:space="preserve"> No</w:t>
      </w:r>
      <w:r w:rsidR="007D436E" w:rsidRPr="007D436E">
        <w:rPr>
          <w:rFonts w:ascii="Times New Roman" w:eastAsia="Times New Roman" w:hAnsi="Times New Roman"/>
          <w:b/>
          <w:sz w:val="24"/>
          <w:szCs w:val="24"/>
        </w:rPr>
        <w:t>s</w:t>
      </w:r>
      <w:r>
        <w:rPr>
          <w:rFonts w:ascii="Times New Roman" w:eastAsia="Times New Roman" w:hAnsi="Times New Roman"/>
          <w:b/>
          <w:sz w:val="24"/>
          <w:szCs w:val="24"/>
        </w:rPr>
        <w:t>.</w:t>
      </w:r>
      <w:r w:rsidR="007D436E" w:rsidRPr="007D436E">
        <w:rPr>
          <w:rFonts w:ascii="Times New Roman" w:eastAsia="Times New Roman" w:hAnsi="Times New Roman"/>
          <w:b/>
          <w:sz w:val="24"/>
          <w:szCs w:val="24"/>
        </w:rPr>
        <w:t xml:space="preserve"> 1, 1-F, 3-Q</w:t>
      </w:r>
      <w:r w:rsidR="002F405E">
        <w:rPr>
          <w:rFonts w:ascii="Times New Roman" w:eastAsia="Times New Roman" w:hAnsi="Times New Roman"/>
          <w:b/>
          <w:sz w:val="24"/>
          <w:szCs w:val="24"/>
        </w:rPr>
        <w:t>, 2, and 2-A</w:t>
      </w:r>
      <w:r w:rsidR="007D436E" w:rsidRPr="007D436E">
        <w:rPr>
          <w:rFonts w:ascii="Times New Roman" w:eastAsia="Times New Roman" w:hAnsi="Times New Roman"/>
          <w:b/>
          <w:sz w:val="24"/>
          <w:szCs w:val="24"/>
        </w:rPr>
        <w:t>.</w:t>
      </w:r>
      <w:r w:rsidR="007D436E" w:rsidRPr="007D436E">
        <w:rPr>
          <w:rFonts w:ascii="Times New Roman" w:eastAsia="Times New Roman" w:hAnsi="Times New Roman"/>
          <w:sz w:val="24"/>
          <w:szCs w:val="24"/>
        </w:rPr>
        <w:t xml:space="preserve">  As noted previously, the Form </w:t>
      </w:r>
      <w:r w:rsidR="00456A2B">
        <w:rPr>
          <w:rFonts w:ascii="Times New Roman" w:eastAsia="Times New Roman" w:hAnsi="Times New Roman"/>
          <w:sz w:val="24"/>
          <w:szCs w:val="24"/>
        </w:rPr>
        <w:t xml:space="preserve">No. </w:t>
      </w:r>
      <w:r w:rsidR="007D436E" w:rsidRPr="007D436E">
        <w:rPr>
          <w:rFonts w:ascii="Times New Roman" w:eastAsia="Times New Roman" w:hAnsi="Times New Roman"/>
          <w:sz w:val="24"/>
          <w:szCs w:val="24"/>
        </w:rPr>
        <w:t xml:space="preserve">1 is filed by major utilities or licensees and as such does not apply to small entities.  The Form </w:t>
      </w:r>
      <w:r w:rsidR="00456A2B">
        <w:rPr>
          <w:rFonts w:ascii="Times New Roman" w:eastAsia="Times New Roman" w:hAnsi="Times New Roman"/>
          <w:sz w:val="24"/>
          <w:szCs w:val="24"/>
        </w:rPr>
        <w:t xml:space="preserve">No. </w:t>
      </w:r>
      <w:r w:rsidR="007D436E" w:rsidRPr="007D436E">
        <w:rPr>
          <w:rFonts w:ascii="Times New Roman" w:eastAsia="Times New Roman" w:hAnsi="Times New Roman"/>
          <w:sz w:val="24"/>
          <w:szCs w:val="24"/>
        </w:rPr>
        <w:t xml:space="preserve">1-F is filed by public utilities with total sales of 10,000 megawatt-hours or more that are not major utilities.  The Form </w:t>
      </w:r>
      <w:r w:rsidR="00456A2B">
        <w:rPr>
          <w:rFonts w:ascii="Times New Roman" w:eastAsia="Times New Roman" w:hAnsi="Times New Roman"/>
          <w:sz w:val="24"/>
          <w:szCs w:val="24"/>
        </w:rPr>
        <w:t xml:space="preserve">No. </w:t>
      </w:r>
      <w:r w:rsidR="007D436E" w:rsidRPr="007D436E">
        <w:rPr>
          <w:rFonts w:ascii="Times New Roman" w:eastAsia="Times New Roman" w:hAnsi="Times New Roman"/>
          <w:sz w:val="24"/>
          <w:szCs w:val="24"/>
        </w:rPr>
        <w:t xml:space="preserve">3-Q is filed only by electric or gas companies that file Forms </w:t>
      </w:r>
      <w:r w:rsidR="00456A2B">
        <w:rPr>
          <w:rFonts w:ascii="Times New Roman" w:eastAsia="Times New Roman" w:hAnsi="Times New Roman"/>
          <w:sz w:val="24"/>
          <w:szCs w:val="24"/>
        </w:rPr>
        <w:t xml:space="preserve">Nos. </w:t>
      </w:r>
      <w:r w:rsidR="007D436E" w:rsidRPr="007D436E">
        <w:rPr>
          <w:rFonts w:ascii="Times New Roman" w:eastAsia="Times New Roman" w:hAnsi="Times New Roman"/>
          <w:sz w:val="24"/>
          <w:szCs w:val="24"/>
        </w:rPr>
        <w:t>1, 1-F, 2, or 2-A</w:t>
      </w:r>
      <w:r w:rsidR="00444280">
        <w:rPr>
          <w:rFonts w:ascii="Times New Roman" w:eastAsia="Times New Roman" w:hAnsi="Times New Roman"/>
          <w:sz w:val="24"/>
          <w:szCs w:val="24"/>
        </w:rPr>
        <w:t xml:space="preserve">, </w:t>
      </w:r>
      <w:r w:rsidR="007D436E" w:rsidRPr="007D436E">
        <w:rPr>
          <w:rFonts w:ascii="Times New Roman" w:eastAsia="Times New Roman" w:hAnsi="Times New Roman"/>
          <w:sz w:val="24"/>
          <w:szCs w:val="24"/>
        </w:rPr>
        <w:t xml:space="preserve">and therefore excludes companies that do not qualify as Major or Nonmajor.  If the reporting requirements represent an undue burden on small businesses, the affected entity may seek a waiver of the disclosure requirements from the Commission.  However, the Commission believes that the information collected on these forms is the minimum necessary to provide a meaningful review of financial conditions and would impose the least possible burden on entities.  </w:t>
      </w:r>
    </w:p>
    <w:p w14:paraId="5EA40EA4" w14:textId="77777777" w:rsidR="00680C13" w:rsidRDefault="00680C13" w:rsidP="00BD0F89">
      <w:pPr>
        <w:spacing w:after="0" w:line="240" w:lineRule="auto"/>
        <w:rPr>
          <w:rFonts w:ascii="Times New Roman" w:eastAsia="Times New Roman" w:hAnsi="Times New Roman"/>
          <w:sz w:val="24"/>
          <w:szCs w:val="24"/>
        </w:rPr>
      </w:pPr>
    </w:p>
    <w:p w14:paraId="56D28A62" w14:textId="042D9326" w:rsidR="00BD0F89" w:rsidRPr="00BD0F89" w:rsidRDefault="00EA5213" w:rsidP="00EC66AC">
      <w:pPr>
        <w:spacing w:after="0" w:line="240" w:lineRule="auto"/>
        <w:rPr>
          <w:rFonts w:ascii="Times New Roman TUR" w:eastAsia="Times New Roman" w:hAnsi="Times New Roman TUR" w:cs="Times New Roman TUR"/>
          <w:bCs/>
          <w:sz w:val="24"/>
          <w:szCs w:val="24"/>
        </w:rPr>
      </w:pPr>
      <w:r>
        <w:rPr>
          <w:rFonts w:ascii="Times New Roman" w:eastAsia="Times New Roman" w:hAnsi="Times New Roman"/>
          <w:b/>
          <w:sz w:val="24"/>
          <w:szCs w:val="24"/>
        </w:rPr>
        <w:t xml:space="preserve">FERC </w:t>
      </w:r>
      <w:r w:rsidR="00BD0F89">
        <w:rPr>
          <w:rFonts w:ascii="Times New Roman" w:eastAsia="Times New Roman" w:hAnsi="Times New Roman"/>
          <w:b/>
          <w:sz w:val="24"/>
          <w:szCs w:val="24"/>
        </w:rPr>
        <w:t>F</w:t>
      </w:r>
      <w:r w:rsidR="0003545C">
        <w:rPr>
          <w:rFonts w:ascii="Times New Roman" w:eastAsia="Times New Roman" w:hAnsi="Times New Roman"/>
          <w:b/>
          <w:sz w:val="24"/>
          <w:szCs w:val="24"/>
        </w:rPr>
        <w:t>orm</w:t>
      </w:r>
      <w:r>
        <w:rPr>
          <w:rFonts w:ascii="Times New Roman" w:eastAsia="Times New Roman" w:hAnsi="Times New Roman"/>
          <w:b/>
          <w:sz w:val="24"/>
          <w:szCs w:val="24"/>
        </w:rPr>
        <w:t xml:space="preserve"> Nos.</w:t>
      </w:r>
      <w:r w:rsidR="0003545C">
        <w:rPr>
          <w:rFonts w:ascii="Times New Roman" w:eastAsia="Times New Roman" w:hAnsi="Times New Roman"/>
          <w:b/>
          <w:sz w:val="24"/>
          <w:szCs w:val="24"/>
        </w:rPr>
        <w:t xml:space="preserve"> </w:t>
      </w:r>
      <w:r w:rsidR="00BD0F89">
        <w:rPr>
          <w:rFonts w:ascii="Times New Roman" w:eastAsia="Times New Roman" w:hAnsi="Times New Roman"/>
          <w:b/>
          <w:sz w:val="24"/>
          <w:szCs w:val="24"/>
        </w:rPr>
        <w:t>6</w:t>
      </w:r>
      <w:r w:rsidR="0003545C">
        <w:rPr>
          <w:rFonts w:ascii="Times New Roman" w:eastAsia="Times New Roman" w:hAnsi="Times New Roman"/>
          <w:b/>
          <w:sz w:val="24"/>
          <w:szCs w:val="24"/>
        </w:rPr>
        <w:t xml:space="preserve"> and 6-Q</w:t>
      </w:r>
      <w:r w:rsidR="00BD0F89">
        <w:rPr>
          <w:rFonts w:ascii="Times New Roman" w:eastAsia="Times New Roman" w:hAnsi="Times New Roman"/>
          <w:b/>
          <w:sz w:val="24"/>
          <w:szCs w:val="24"/>
        </w:rPr>
        <w:t xml:space="preserve">.  </w:t>
      </w:r>
      <w:r w:rsidR="00BD0F89" w:rsidRPr="00BD0F89">
        <w:rPr>
          <w:rFonts w:ascii="Times New Roman TUR" w:eastAsia="Times New Roman" w:hAnsi="Times New Roman TUR" w:cs="Times New Roman TUR"/>
          <w:bCs/>
          <w:sz w:val="24"/>
          <w:szCs w:val="24"/>
        </w:rPr>
        <w:t xml:space="preserve">The filing threshold for the Form </w:t>
      </w:r>
      <w:r w:rsidR="00456A2B">
        <w:rPr>
          <w:rFonts w:ascii="Times New Roman TUR" w:eastAsia="Times New Roman" w:hAnsi="Times New Roman TUR" w:cs="Times New Roman TUR"/>
          <w:bCs/>
          <w:sz w:val="24"/>
          <w:szCs w:val="24"/>
        </w:rPr>
        <w:t xml:space="preserve">No. </w:t>
      </w:r>
      <w:r w:rsidR="00BD0F89" w:rsidRPr="00BD0F89">
        <w:rPr>
          <w:rFonts w:ascii="Times New Roman TUR" w:eastAsia="Times New Roman" w:hAnsi="Times New Roman TUR" w:cs="Times New Roman TUR"/>
          <w:bCs/>
          <w:sz w:val="24"/>
          <w:szCs w:val="24"/>
        </w:rPr>
        <w:t xml:space="preserve">6 is divided into three categories, based on the annual jurisdictional operating revenues of the respondent company.  (See #2 above.)  Smaller companies are required to file only certain components of the Form </w:t>
      </w:r>
      <w:r w:rsidR="00456A2B">
        <w:rPr>
          <w:rFonts w:ascii="Times New Roman TUR" w:eastAsia="Times New Roman" w:hAnsi="Times New Roman TUR" w:cs="Times New Roman TUR"/>
          <w:bCs/>
          <w:sz w:val="24"/>
          <w:szCs w:val="24"/>
        </w:rPr>
        <w:t xml:space="preserve">No. </w:t>
      </w:r>
      <w:r w:rsidR="00BD0F89" w:rsidRPr="00BD0F89">
        <w:rPr>
          <w:rFonts w:ascii="Times New Roman TUR" w:eastAsia="Times New Roman" w:hAnsi="Times New Roman TUR" w:cs="Times New Roman TUR"/>
          <w:bCs/>
          <w:sz w:val="24"/>
          <w:szCs w:val="24"/>
        </w:rPr>
        <w:t>6.  The Commission concluded that exempting a certain percentage of oil companies from filing the full FERC Form No. 6 in its entirety will not compromise its ability to gather meaningful data upon which to base its regulation of the oil pipeline industry.</w:t>
      </w:r>
    </w:p>
    <w:p w14:paraId="06DF878D" w14:textId="77777777" w:rsidR="00040F9F" w:rsidRDefault="00040F9F" w:rsidP="00040F9F">
      <w:pPr>
        <w:spacing w:after="0" w:line="240" w:lineRule="auto"/>
        <w:rPr>
          <w:rFonts w:ascii="Times New Roman" w:eastAsia="Times New Roman" w:hAnsi="Times New Roman"/>
          <w:sz w:val="24"/>
          <w:szCs w:val="24"/>
        </w:rPr>
      </w:pPr>
    </w:p>
    <w:p w14:paraId="485FE35F" w14:textId="42DC472D" w:rsidR="00040F9F" w:rsidRPr="00133311" w:rsidRDefault="00EA5213" w:rsidP="00040F9F">
      <w:pPr>
        <w:spacing w:after="0" w:line="240" w:lineRule="auto"/>
        <w:rPr>
          <w:rFonts w:ascii="Times New Roman" w:hAnsi="Times New Roman"/>
          <w:sz w:val="24"/>
          <w:szCs w:val="24"/>
        </w:rPr>
      </w:pPr>
      <w:r>
        <w:rPr>
          <w:rFonts w:ascii="Times New Roman" w:hAnsi="Times New Roman"/>
          <w:b/>
          <w:sz w:val="24"/>
          <w:szCs w:val="24"/>
        </w:rPr>
        <w:t xml:space="preserve">FERC </w:t>
      </w:r>
      <w:r w:rsidR="00040F9F">
        <w:rPr>
          <w:rFonts w:ascii="Times New Roman" w:hAnsi="Times New Roman"/>
          <w:b/>
          <w:sz w:val="24"/>
          <w:szCs w:val="24"/>
        </w:rPr>
        <w:t xml:space="preserve">Form </w:t>
      </w:r>
      <w:r>
        <w:rPr>
          <w:rFonts w:ascii="Times New Roman" w:hAnsi="Times New Roman"/>
          <w:b/>
          <w:sz w:val="24"/>
          <w:szCs w:val="24"/>
        </w:rPr>
        <w:t xml:space="preserve">No. </w:t>
      </w:r>
      <w:r w:rsidR="00040F9F">
        <w:rPr>
          <w:rFonts w:ascii="Times New Roman" w:hAnsi="Times New Roman"/>
          <w:b/>
          <w:sz w:val="24"/>
          <w:szCs w:val="24"/>
        </w:rPr>
        <w:t>60A</w:t>
      </w:r>
      <w:r w:rsidR="00040F9F" w:rsidRPr="00133311">
        <w:rPr>
          <w:rFonts w:ascii="Times New Roman" w:hAnsi="Times New Roman"/>
          <w:sz w:val="24"/>
          <w:szCs w:val="24"/>
        </w:rPr>
        <w:t>.  The information requirements under F</w:t>
      </w:r>
      <w:r w:rsidR="00040F9F">
        <w:rPr>
          <w:rFonts w:ascii="Times New Roman" w:hAnsi="Times New Roman"/>
          <w:sz w:val="24"/>
          <w:szCs w:val="24"/>
        </w:rPr>
        <w:t xml:space="preserve">orm </w:t>
      </w:r>
      <w:r w:rsidR="00F50DEC">
        <w:rPr>
          <w:rFonts w:ascii="Times New Roman" w:hAnsi="Times New Roman"/>
          <w:sz w:val="24"/>
          <w:szCs w:val="24"/>
        </w:rPr>
        <w:t xml:space="preserve">No. </w:t>
      </w:r>
      <w:r w:rsidR="00040F9F" w:rsidRPr="00133311">
        <w:rPr>
          <w:rFonts w:ascii="Times New Roman" w:hAnsi="Times New Roman"/>
          <w:sz w:val="24"/>
          <w:szCs w:val="24"/>
        </w:rPr>
        <w:t xml:space="preserve">60 apply to jurisdictional entities.  Companies that do not qualify to file Form </w:t>
      </w:r>
      <w:r w:rsidR="00F50DEC">
        <w:rPr>
          <w:rFonts w:ascii="Times New Roman" w:hAnsi="Times New Roman"/>
          <w:sz w:val="24"/>
          <w:szCs w:val="24"/>
        </w:rPr>
        <w:t xml:space="preserve">No. </w:t>
      </w:r>
      <w:r w:rsidR="00040F9F" w:rsidRPr="00133311">
        <w:rPr>
          <w:rFonts w:ascii="Times New Roman" w:hAnsi="Times New Roman"/>
          <w:sz w:val="24"/>
          <w:szCs w:val="24"/>
        </w:rPr>
        <w:t>60 use the FERC-61 to reduce burden on those small entities.  In general, holding companies to which the rules apply are not small entities.</w:t>
      </w:r>
    </w:p>
    <w:p w14:paraId="21A2815D" w14:textId="77777777" w:rsidR="00040F9F" w:rsidRDefault="00040F9F" w:rsidP="00BD0F89">
      <w:pPr>
        <w:spacing w:after="0" w:line="240" w:lineRule="auto"/>
        <w:rPr>
          <w:rFonts w:ascii="Times New Roman" w:eastAsia="Times New Roman" w:hAnsi="Times New Roman"/>
          <w:sz w:val="24"/>
          <w:szCs w:val="24"/>
        </w:rPr>
      </w:pPr>
    </w:p>
    <w:p w14:paraId="72499C0E" w14:textId="58A94F6F" w:rsidR="00BA412D" w:rsidRPr="00BA412D" w:rsidRDefault="00BA412D" w:rsidP="00BD0F89">
      <w:pPr>
        <w:spacing w:after="0" w:line="240" w:lineRule="auto"/>
        <w:rPr>
          <w:rFonts w:ascii="Times New Roman" w:hAnsi="Times New Roman"/>
          <w:sz w:val="24"/>
          <w:szCs w:val="24"/>
        </w:rPr>
      </w:pPr>
      <w:r w:rsidRPr="00427C6E">
        <w:rPr>
          <w:rFonts w:ascii="Times New Roman" w:eastAsia="Times New Roman" w:hAnsi="Times New Roman"/>
          <w:b/>
          <w:sz w:val="24"/>
          <w:szCs w:val="24"/>
        </w:rPr>
        <w:t>FERC</w:t>
      </w:r>
      <w:r w:rsidR="00EA5213">
        <w:rPr>
          <w:rFonts w:ascii="Times New Roman" w:eastAsia="Times New Roman" w:hAnsi="Times New Roman"/>
          <w:b/>
          <w:sz w:val="24"/>
          <w:szCs w:val="24"/>
        </w:rPr>
        <w:t xml:space="preserve"> Form No. </w:t>
      </w:r>
      <w:r w:rsidRPr="00427C6E">
        <w:rPr>
          <w:rFonts w:ascii="Times New Roman" w:eastAsia="Times New Roman" w:hAnsi="Times New Roman"/>
          <w:b/>
          <w:sz w:val="24"/>
          <w:szCs w:val="24"/>
        </w:rPr>
        <w:t>714</w:t>
      </w:r>
      <w:r w:rsidR="00427C6E" w:rsidRPr="00427C6E">
        <w:rPr>
          <w:rFonts w:ascii="Times New Roman" w:eastAsia="Times New Roman" w:hAnsi="Times New Roman"/>
          <w:b/>
          <w:sz w:val="24"/>
          <w:szCs w:val="24"/>
        </w:rPr>
        <w:t>A</w:t>
      </w:r>
      <w:r w:rsidRPr="00427C6E">
        <w:rPr>
          <w:rFonts w:ascii="Times New Roman" w:eastAsia="Times New Roman" w:hAnsi="Times New Roman"/>
          <w:b/>
          <w:sz w:val="24"/>
          <w:szCs w:val="24"/>
        </w:rPr>
        <w:t xml:space="preserve">.  </w:t>
      </w:r>
      <w:r w:rsidR="00427C6E" w:rsidRPr="00427C6E">
        <w:rPr>
          <w:rFonts w:ascii="Times New Roman" w:hAnsi="Times New Roman"/>
          <w:sz w:val="24"/>
          <w:szCs w:val="24"/>
        </w:rPr>
        <w:t>For the F</w:t>
      </w:r>
      <w:r w:rsidR="00F50DEC">
        <w:rPr>
          <w:rFonts w:ascii="Times New Roman" w:hAnsi="Times New Roman"/>
          <w:sz w:val="24"/>
          <w:szCs w:val="24"/>
        </w:rPr>
        <w:t xml:space="preserve">orm No. </w:t>
      </w:r>
      <w:r w:rsidR="00427C6E" w:rsidRPr="00427C6E">
        <w:rPr>
          <w:rFonts w:ascii="Times New Roman" w:hAnsi="Times New Roman"/>
          <w:sz w:val="24"/>
          <w:szCs w:val="24"/>
        </w:rPr>
        <w:t>714, t</w:t>
      </w:r>
      <w:r w:rsidRPr="00427C6E">
        <w:rPr>
          <w:rFonts w:ascii="Times New Roman" w:hAnsi="Times New Roman"/>
          <w:sz w:val="24"/>
          <w:szCs w:val="24"/>
        </w:rPr>
        <w:t>he Commission requires each balancing authority area and each electric utility with its planning area annual peak demand greater than 200 megawatts (MW) to provide the F</w:t>
      </w:r>
      <w:r w:rsidR="00F50DEC">
        <w:rPr>
          <w:rFonts w:ascii="Times New Roman" w:hAnsi="Times New Roman"/>
          <w:sz w:val="24"/>
          <w:szCs w:val="24"/>
        </w:rPr>
        <w:t xml:space="preserve">orm No. </w:t>
      </w:r>
      <w:r w:rsidRPr="00427C6E">
        <w:rPr>
          <w:rFonts w:ascii="Times New Roman" w:hAnsi="Times New Roman"/>
          <w:sz w:val="24"/>
          <w:szCs w:val="24"/>
        </w:rPr>
        <w:t>714 filing as a means of reducing burden for small entities.  This 200 MW threshold can result in a slight variation year to year in the number of balancing authorities and planning areas that are required to file the FERC-714.  Small entities may have personnel constraints, and a significant increase in burden may be caused by requiring these entities to submit the F</w:t>
      </w:r>
      <w:r w:rsidR="00F50DEC">
        <w:rPr>
          <w:rFonts w:ascii="Times New Roman" w:hAnsi="Times New Roman"/>
          <w:sz w:val="24"/>
          <w:szCs w:val="24"/>
        </w:rPr>
        <w:t xml:space="preserve">orm No. </w:t>
      </w:r>
      <w:r w:rsidRPr="00427C6E">
        <w:rPr>
          <w:rFonts w:ascii="Times New Roman" w:hAnsi="Times New Roman"/>
          <w:sz w:val="24"/>
          <w:szCs w:val="24"/>
        </w:rPr>
        <w:t>714 filing</w:t>
      </w:r>
      <w:r w:rsidR="00F50DEC">
        <w:rPr>
          <w:rFonts w:ascii="Times New Roman" w:hAnsi="Times New Roman"/>
          <w:sz w:val="24"/>
          <w:szCs w:val="24"/>
        </w:rPr>
        <w:t xml:space="preserve">.  Thus, </w:t>
      </w:r>
      <w:r w:rsidRPr="00427C6E">
        <w:rPr>
          <w:rFonts w:ascii="Times New Roman" w:hAnsi="Times New Roman"/>
          <w:sz w:val="24"/>
          <w:szCs w:val="24"/>
        </w:rPr>
        <w:t>setting a 200 MW threshold exempt</w:t>
      </w:r>
      <w:r w:rsidR="00F50DEC">
        <w:rPr>
          <w:rFonts w:ascii="Times New Roman" w:hAnsi="Times New Roman"/>
          <w:sz w:val="24"/>
          <w:szCs w:val="24"/>
        </w:rPr>
        <w:t>s</w:t>
      </w:r>
      <w:r w:rsidRPr="00427C6E">
        <w:rPr>
          <w:rFonts w:ascii="Times New Roman" w:hAnsi="Times New Roman"/>
          <w:sz w:val="24"/>
          <w:szCs w:val="24"/>
        </w:rPr>
        <w:t xml:space="preserve"> many of these small entities from having to respond to this collection.</w:t>
      </w:r>
    </w:p>
    <w:p w14:paraId="0CF4CC09" w14:textId="77777777" w:rsidR="007D436E" w:rsidRPr="00F1537F" w:rsidRDefault="007D436E" w:rsidP="00BD0F89">
      <w:pPr>
        <w:spacing w:after="0" w:line="240" w:lineRule="auto"/>
        <w:rPr>
          <w:rFonts w:ascii="Times New Roman" w:eastAsia="Times New Roman" w:hAnsi="Times New Roman"/>
          <w:sz w:val="24"/>
          <w:szCs w:val="24"/>
        </w:rPr>
      </w:pPr>
    </w:p>
    <w:p w14:paraId="26442DFE" w14:textId="77777777" w:rsidR="00F0627E" w:rsidRPr="00F1537F" w:rsidRDefault="00F0627E" w:rsidP="00BD0F89">
      <w:pPr>
        <w:pStyle w:val="ListParagraph"/>
        <w:numPr>
          <w:ilvl w:val="0"/>
          <w:numId w:val="14"/>
        </w:numPr>
        <w:spacing w:after="0" w:line="240" w:lineRule="auto"/>
        <w:rPr>
          <w:rFonts w:ascii="Times New Roman" w:hAnsi="Times New Roman"/>
          <w:b/>
          <w:sz w:val="24"/>
          <w:szCs w:val="24"/>
        </w:rPr>
      </w:pPr>
      <w:r w:rsidRPr="00F1537F">
        <w:rPr>
          <w:rFonts w:ascii="Times New Roman" w:hAnsi="Times New Roman"/>
          <w:b/>
          <w:sz w:val="24"/>
          <w:szCs w:val="24"/>
        </w:rPr>
        <w:t>CONSEQUENCE TO FEDERAL PROGRAM IF COLLECTION WERE CONDUCTED LESS FREQUENTLY</w:t>
      </w:r>
    </w:p>
    <w:p w14:paraId="20A53002" w14:textId="77777777" w:rsidR="00F0627E" w:rsidRDefault="00F0627E" w:rsidP="00BD0F89">
      <w:pPr>
        <w:spacing w:after="0" w:line="240" w:lineRule="auto"/>
        <w:rPr>
          <w:rFonts w:ascii="Times New Roman" w:hAnsi="Times New Roman"/>
          <w:sz w:val="24"/>
          <w:szCs w:val="24"/>
        </w:rPr>
      </w:pPr>
    </w:p>
    <w:p w14:paraId="79B94F9C" w14:textId="7533F60F" w:rsidR="007D436E" w:rsidRPr="007D436E" w:rsidRDefault="00EA5213" w:rsidP="00F50DEC">
      <w:pPr>
        <w:spacing w:after="0" w:line="240" w:lineRule="auto"/>
        <w:rPr>
          <w:rFonts w:ascii="Times New Roman" w:hAnsi="Times New Roman"/>
          <w:sz w:val="24"/>
          <w:szCs w:val="24"/>
        </w:rPr>
      </w:pPr>
      <w:r>
        <w:rPr>
          <w:rFonts w:ascii="Times New Roman" w:hAnsi="Times New Roman"/>
          <w:b/>
          <w:sz w:val="24"/>
          <w:szCs w:val="24"/>
        </w:rPr>
        <w:t xml:space="preserve">FERC </w:t>
      </w:r>
      <w:r w:rsidR="007D436E" w:rsidRPr="007D436E">
        <w:rPr>
          <w:rFonts w:ascii="Times New Roman" w:hAnsi="Times New Roman"/>
          <w:b/>
          <w:sz w:val="24"/>
          <w:szCs w:val="24"/>
        </w:rPr>
        <w:t>Form</w:t>
      </w:r>
      <w:r w:rsidR="00295EB7">
        <w:rPr>
          <w:rFonts w:ascii="Times New Roman" w:hAnsi="Times New Roman"/>
          <w:b/>
          <w:sz w:val="24"/>
          <w:szCs w:val="24"/>
        </w:rPr>
        <w:t xml:space="preserve"> Nos.</w:t>
      </w:r>
      <w:r w:rsidR="007D436E" w:rsidRPr="007D436E">
        <w:rPr>
          <w:rFonts w:ascii="Times New Roman" w:hAnsi="Times New Roman"/>
          <w:b/>
          <w:sz w:val="24"/>
          <w:szCs w:val="24"/>
        </w:rPr>
        <w:t xml:space="preserve"> 1, 1-F, and 3-Q</w:t>
      </w:r>
      <w:r w:rsidR="007D436E" w:rsidRPr="007D436E">
        <w:rPr>
          <w:rFonts w:ascii="Times New Roman" w:hAnsi="Times New Roman"/>
          <w:sz w:val="24"/>
          <w:szCs w:val="24"/>
        </w:rPr>
        <w:t>.  The existing Form</w:t>
      </w:r>
      <w:r w:rsidR="00F50DEC">
        <w:rPr>
          <w:rFonts w:ascii="Times New Roman" w:hAnsi="Times New Roman"/>
          <w:sz w:val="24"/>
          <w:szCs w:val="24"/>
        </w:rPr>
        <w:t xml:space="preserve"> Nos.</w:t>
      </w:r>
      <w:r w:rsidR="007D436E" w:rsidRPr="007D436E">
        <w:rPr>
          <w:rFonts w:ascii="Times New Roman" w:hAnsi="Times New Roman"/>
          <w:sz w:val="24"/>
          <w:szCs w:val="24"/>
        </w:rPr>
        <w:t xml:space="preserve"> 1 and 1-F are required by the Commission to be submitted annually.  </w:t>
      </w:r>
      <w:r w:rsidR="00F50DEC">
        <w:rPr>
          <w:rFonts w:ascii="Times New Roman" w:hAnsi="Times New Roman"/>
          <w:sz w:val="24"/>
          <w:szCs w:val="24"/>
        </w:rPr>
        <w:t>Annual r</w:t>
      </w:r>
      <w:r w:rsidR="007D436E" w:rsidRPr="007D436E">
        <w:rPr>
          <w:rFonts w:ascii="Times New Roman" w:hAnsi="Times New Roman"/>
          <w:sz w:val="24"/>
          <w:szCs w:val="24"/>
        </w:rPr>
        <w:t>eporting is consistent with the reporting to the companies' own management, the Internal Revenue Service, state and other Federal agencies' (including Office of Management and Budget) requirements.</w:t>
      </w:r>
      <w:r w:rsidR="00F50DEC">
        <w:rPr>
          <w:rFonts w:ascii="Times New Roman" w:hAnsi="Times New Roman"/>
          <w:sz w:val="24"/>
          <w:szCs w:val="24"/>
        </w:rPr>
        <w:t xml:space="preserve">  </w:t>
      </w:r>
      <w:r w:rsidR="007D436E" w:rsidRPr="007D436E">
        <w:rPr>
          <w:rFonts w:ascii="Times New Roman" w:hAnsi="Times New Roman"/>
          <w:sz w:val="24"/>
          <w:szCs w:val="24"/>
        </w:rPr>
        <w:t xml:space="preserve">  </w:t>
      </w:r>
    </w:p>
    <w:p w14:paraId="552FFD05" w14:textId="10EE7FB2" w:rsidR="007D436E" w:rsidRPr="007D436E" w:rsidRDefault="00F50DEC" w:rsidP="00BD0F89">
      <w:pPr>
        <w:spacing w:after="0" w:line="240" w:lineRule="auto"/>
        <w:rPr>
          <w:rFonts w:ascii="Times New Roman" w:hAnsi="Times New Roman"/>
          <w:sz w:val="24"/>
          <w:szCs w:val="24"/>
        </w:rPr>
      </w:pPr>
      <w:r w:rsidRPr="007D436E">
        <w:rPr>
          <w:rFonts w:ascii="Times New Roman" w:hAnsi="Times New Roman"/>
          <w:sz w:val="24"/>
          <w:szCs w:val="24"/>
        </w:rPr>
        <w:t xml:space="preserve">The Form </w:t>
      </w:r>
      <w:r>
        <w:rPr>
          <w:rFonts w:ascii="Times New Roman" w:hAnsi="Times New Roman"/>
          <w:sz w:val="24"/>
          <w:szCs w:val="24"/>
        </w:rPr>
        <w:t xml:space="preserve">No. </w:t>
      </w:r>
      <w:r w:rsidRPr="007D436E">
        <w:rPr>
          <w:rFonts w:ascii="Times New Roman" w:hAnsi="Times New Roman"/>
          <w:sz w:val="24"/>
          <w:szCs w:val="24"/>
        </w:rPr>
        <w:t>3-Q filings provide quarterly updates to supplement the Form</w:t>
      </w:r>
      <w:r>
        <w:rPr>
          <w:rFonts w:ascii="Times New Roman" w:hAnsi="Times New Roman"/>
          <w:sz w:val="24"/>
          <w:szCs w:val="24"/>
        </w:rPr>
        <w:t xml:space="preserve"> No</w:t>
      </w:r>
      <w:r w:rsidRPr="007D436E">
        <w:rPr>
          <w:rFonts w:ascii="Times New Roman" w:hAnsi="Times New Roman"/>
          <w:sz w:val="24"/>
          <w:szCs w:val="24"/>
        </w:rPr>
        <w:t>s 1, 1-F, 2, and 2A</w:t>
      </w:r>
      <w:r w:rsidR="001F7477">
        <w:rPr>
          <w:rFonts w:ascii="Times New Roman" w:hAnsi="Times New Roman"/>
          <w:sz w:val="24"/>
          <w:szCs w:val="24"/>
        </w:rPr>
        <w:t>.  This quarterly information provides the Commission and the public with updated and timely information regarding a company’s financial and operational status</w:t>
      </w:r>
      <w:r w:rsidRPr="007D436E">
        <w:rPr>
          <w:rFonts w:ascii="Times New Roman" w:hAnsi="Times New Roman"/>
          <w:sz w:val="24"/>
          <w:szCs w:val="24"/>
        </w:rPr>
        <w:t>.</w:t>
      </w:r>
      <w:r w:rsidR="001F7477">
        <w:rPr>
          <w:rFonts w:ascii="Times New Roman" w:hAnsi="Times New Roman"/>
          <w:sz w:val="24"/>
          <w:szCs w:val="24"/>
        </w:rPr>
        <w:t xml:space="preserve">  </w:t>
      </w:r>
      <w:r w:rsidR="001F7477" w:rsidRPr="001F7477">
        <w:rPr>
          <w:rFonts w:ascii="Times New Roman" w:hAnsi="Times New Roman"/>
          <w:sz w:val="24"/>
          <w:szCs w:val="24"/>
        </w:rPr>
        <w:t>If the collections were conducted less frequently, the Commission would have difficulty performing its mandated review responsibilities with respect to the assessment of the financial condition</w:t>
      </w:r>
      <w:r w:rsidR="001F7477">
        <w:rPr>
          <w:rFonts w:ascii="Times New Roman" w:hAnsi="Times New Roman"/>
          <w:sz w:val="24"/>
          <w:szCs w:val="24"/>
        </w:rPr>
        <w:t xml:space="preserve"> of public utilities and licensees.</w:t>
      </w:r>
    </w:p>
    <w:p w14:paraId="09821ED7" w14:textId="77777777" w:rsidR="007D436E" w:rsidRDefault="007D436E" w:rsidP="00BD0F89">
      <w:pPr>
        <w:spacing w:after="0" w:line="240" w:lineRule="auto"/>
        <w:rPr>
          <w:rFonts w:ascii="Times New Roman" w:hAnsi="Times New Roman"/>
          <w:b/>
          <w:sz w:val="24"/>
          <w:szCs w:val="24"/>
        </w:rPr>
      </w:pPr>
    </w:p>
    <w:p w14:paraId="5FE5E4E9" w14:textId="77777777" w:rsidR="002C0DA6" w:rsidRPr="002C0DA6" w:rsidRDefault="00EA5213" w:rsidP="00BD0F89">
      <w:pPr>
        <w:spacing w:line="240" w:lineRule="auto"/>
        <w:rPr>
          <w:rFonts w:ascii="Times New Roman" w:eastAsia="Times New Roman" w:hAnsi="Times New Roman"/>
          <w:sz w:val="24"/>
          <w:szCs w:val="24"/>
        </w:rPr>
      </w:pPr>
      <w:r>
        <w:rPr>
          <w:rFonts w:ascii="Times New Roman" w:hAnsi="Times New Roman"/>
          <w:b/>
          <w:sz w:val="24"/>
          <w:szCs w:val="24"/>
        </w:rPr>
        <w:t xml:space="preserve">FERC </w:t>
      </w:r>
      <w:r w:rsidR="002C0DA6">
        <w:rPr>
          <w:rFonts w:ascii="Times New Roman" w:hAnsi="Times New Roman"/>
          <w:b/>
          <w:sz w:val="24"/>
          <w:szCs w:val="24"/>
        </w:rPr>
        <w:t>F</w:t>
      </w:r>
      <w:r w:rsidR="0003545C">
        <w:rPr>
          <w:rFonts w:ascii="Times New Roman" w:hAnsi="Times New Roman"/>
          <w:b/>
          <w:sz w:val="24"/>
          <w:szCs w:val="24"/>
        </w:rPr>
        <w:t>orm</w:t>
      </w:r>
      <w:r w:rsidR="00295EB7">
        <w:rPr>
          <w:rFonts w:ascii="Times New Roman" w:hAnsi="Times New Roman"/>
          <w:b/>
          <w:sz w:val="24"/>
          <w:szCs w:val="24"/>
        </w:rPr>
        <w:t xml:space="preserve"> Nos.</w:t>
      </w:r>
      <w:r w:rsidR="0003545C">
        <w:rPr>
          <w:rFonts w:ascii="Times New Roman" w:hAnsi="Times New Roman"/>
          <w:b/>
          <w:sz w:val="24"/>
          <w:szCs w:val="24"/>
        </w:rPr>
        <w:t xml:space="preserve"> 2 and </w:t>
      </w:r>
      <w:r w:rsidR="002F405E">
        <w:rPr>
          <w:rFonts w:ascii="Times New Roman" w:hAnsi="Times New Roman"/>
          <w:b/>
          <w:sz w:val="24"/>
          <w:szCs w:val="24"/>
        </w:rPr>
        <w:t>2A</w:t>
      </w:r>
      <w:r w:rsidR="002C0DA6">
        <w:rPr>
          <w:rFonts w:ascii="Times New Roman" w:hAnsi="Times New Roman"/>
          <w:b/>
          <w:sz w:val="24"/>
          <w:szCs w:val="24"/>
        </w:rPr>
        <w:t xml:space="preserve">.  </w:t>
      </w:r>
      <w:r w:rsidR="002C0DA6" w:rsidRPr="002C0DA6">
        <w:rPr>
          <w:rFonts w:ascii="Times New Roman" w:eastAsia="Times New Roman" w:hAnsi="Times New Roman"/>
          <w:sz w:val="24"/>
          <w:szCs w:val="24"/>
        </w:rPr>
        <w:t>Annual reporting is consistent with the reporting companies do to their own management, the Internal Revenue Service, state and other Federal agencies.  If the form were filed less frequently</w:t>
      </w:r>
      <w:r w:rsidR="0003545C">
        <w:rPr>
          <w:rFonts w:ascii="Times New Roman" w:eastAsia="Times New Roman" w:hAnsi="Times New Roman"/>
          <w:sz w:val="24"/>
          <w:szCs w:val="24"/>
        </w:rPr>
        <w:t>,</w:t>
      </w:r>
      <w:r w:rsidR="002C0DA6" w:rsidRPr="002C0DA6">
        <w:rPr>
          <w:rFonts w:ascii="Times New Roman" w:eastAsia="Times New Roman" w:hAnsi="Times New Roman"/>
          <w:sz w:val="24"/>
          <w:szCs w:val="24"/>
        </w:rPr>
        <w:t xml:space="preserve"> the Commission and third parties would </w:t>
      </w:r>
      <w:r w:rsidR="0003545C">
        <w:rPr>
          <w:rFonts w:ascii="Times New Roman" w:eastAsia="Times New Roman" w:hAnsi="Times New Roman"/>
          <w:sz w:val="24"/>
          <w:szCs w:val="24"/>
        </w:rPr>
        <w:t>have difficulty</w:t>
      </w:r>
      <w:r w:rsidR="002C0DA6" w:rsidRPr="002C0DA6">
        <w:rPr>
          <w:rFonts w:ascii="Times New Roman" w:eastAsia="Times New Roman" w:hAnsi="Times New Roman"/>
          <w:sz w:val="24"/>
          <w:szCs w:val="24"/>
        </w:rPr>
        <w:t xml:space="preserve"> respond</w:t>
      </w:r>
      <w:r w:rsidR="0003545C">
        <w:rPr>
          <w:rFonts w:ascii="Times New Roman" w:eastAsia="Times New Roman" w:hAnsi="Times New Roman"/>
          <w:sz w:val="24"/>
          <w:szCs w:val="24"/>
        </w:rPr>
        <w:t>ing to</w:t>
      </w:r>
      <w:r w:rsidR="002C0DA6" w:rsidRPr="002C0DA6">
        <w:rPr>
          <w:rFonts w:ascii="Times New Roman" w:eastAsia="Times New Roman" w:hAnsi="Times New Roman"/>
          <w:sz w:val="24"/>
          <w:szCs w:val="24"/>
        </w:rPr>
        <w:t xml:space="preserve"> and mak</w:t>
      </w:r>
      <w:r w:rsidR="0003545C">
        <w:rPr>
          <w:rFonts w:ascii="Times New Roman" w:eastAsia="Times New Roman" w:hAnsi="Times New Roman"/>
          <w:sz w:val="24"/>
          <w:szCs w:val="24"/>
        </w:rPr>
        <w:t>ing</w:t>
      </w:r>
      <w:r w:rsidR="002C0DA6" w:rsidRPr="002C0DA6">
        <w:rPr>
          <w:rFonts w:ascii="Times New Roman" w:eastAsia="Times New Roman" w:hAnsi="Times New Roman"/>
          <w:sz w:val="24"/>
          <w:szCs w:val="24"/>
        </w:rPr>
        <w:t xml:space="preserve"> full</w:t>
      </w:r>
      <w:r w:rsidR="0003545C">
        <w:rPr>
          <w:rFonts w:ascii="Times New Roman" w:eastAsia="Times New Roman" w:hAnsi="Times New Roman"/>
          <w:sz w:val="24"/>
          <w:szCs w:val="24"/>
        </w:rPr>
        <w:t>y</w:t>
      </w:r>
      <w:r w:rsidR="002C0DA6" w:rsidRPr="002C0DA6">
        <w:rPr>
          <w:rFonts w:ascii="Times New Roman" w:eastAsia="Times New Roman" w:hAnsi="Times New Roman"/>
          <w:sz w:val="24"/>
          <w:szCs w:val="24"/>
        </w:rPr>
        <w:t xml:space="preserve"> informed decisions in a timely manner particularly to rapidly changing financial conditions of entities subject to its jurisdiction.</w:t>
      </w:r>
    </w:p>
    <w:p w14:paraId="118BB170" w14:textId="77777777" w:rsidR="00C443EF" w:rsidRDefault="00EA5213" w:rsidP="00BD0F89">
      <w:pPr>
        <w:spacing w:after="0" w:line="240" w:lineRule="auto"/>
        <w:rPr>
          <w:rFonts w:ascii="Times New Roman" w:hAnsi="Times New Roman"/>
          <w:b/>
          <w:sz w:val="24"/>
          <w:szCs w:val="24"/>
        </w:rPr>
      </w:pPr>
      <w:r>
        <w:rPr>
          <w:rFonts w:ascii="Times New Roman" w:hAnsi="Times New Roman"/>
          <w:b/>
          <w:sz w:val="24"/>
          <w:szCs w:val="24"/>
        </w:rPr>
        <w:t xml:space="preserve">FERC </w:t>
      </w:r>
      <w:r w:rsidR="004F0530">
        <w:rPr>
          <w:rFonts w:ascii="Times New Roman" w:hAnsi="Times New Roman"/>
          <w:b/>
          <w:sz w:val="24"/>
          <w:szCs w:val="24"/>
        </w:rPr>
        <w:t>F</w:t>
      </w:r>
      <w:r w:rsidR="0003545C">
        <w:rPr>
          <w:rFonts w:ascii="Times New Roman" w:hAnsi="Times New Roman"/>
          <w:b/>
          <w:sz w:val="24"/>
          <w:szCs w:val="24"/>
        </w:rPr>
        <w:t>orm</w:t>
      </w:r>
      <w:r w:rsidR="00295EB7">
        <w:rPr>
          <w:rFonts w:ascii="Times New Roman" w:hAnsi="Times New Roman"/>
          <w:b/>
          <w:sz w:val="24"/>
          <w:szCs w:val="24"/>
        </w:rPr>
        <w:t xml:space="preserve"> Nos.</w:t>
      </w:r>
      <w:r w:rsidR="00293111">
        <w:rPr>
          <w:rFonts w:ascii="Times New Roman" w:hAnsi="Times New Roman"/>
          <w:b/>
          <w:sz w:val="24"/>
          <w:szCs w:val="24"/>
        </w:rPr>
        <w:t xml:space="preserve"> </w:t>
      </w:r>
      <w:r w:rsidR="004F0530">
        <w:rPr>
          <w:rFonts w:ascii="Times New Roman" w:hAnsi="Times New Roman"/>
          <w:b/>
          <w:sz w:val="24"/>
          <w:szCs w:val="24"/>
        </w:rPr>
        <w:t>6 and 6Q.</w:t>
      </w:r>
      <w:r w:rsidR="004F0530">
        <w:rPr>
          <w:rFonts w:ascii="Times New Roman" w:hAnsi="Times New Roman"/>
          <w:sz w:val="24"/>
          <w:szCs w:val="24"/>
        </w:rPr>
        <w:t xml:space="preserve">  </w:t>
      </w:r>
      <w:r w:rsidR="004F0530" w:rsidRPr="004F0530">
        <w:rPr>
          <w:rFonts w:ascii="Times New Roman" w:hAnsi="Times New Roman"/>
          <w:sz w:val="24"/>
          <w:szCs w:val="24"/>
        </w:rPr>
        <w:t xml:space="preserve">The Commission is authorized by statute to collect this information on an annual </w:t>
      </w:r>
      <w:r w:rsidR="00EC66AC">
        <w:rPr>
          <w:rFonts w:ascii="Times New Roman" w:hAnsi="Times New Roman"/>
          <w:sz w:val="24"/>
          <w:szCs w:val="24"/>
        </w:rPr>
        <w:t xml:space="preserve">and quarterly </w:t>
      </w:r>
      <w:r w:rsidR="004F0530" w:rsidRPr="004F0530">
        <w:rPr>
          <w:rFonts w:ascii="Times New Roman" w:hAnsi="Times New Roman"/>
          <w:sz w:val="24"/>
          <w:szCs w:val="24"/>
        </w:rPr>
        <w:t>basis.  If the collection</w:t>
      </w:r>
      <w:r w:rsidR="00EC66AC">
        <w:rPr>
          <w:rFonts w:ascii="Times New Roman" w:hAnsi="Times New Roman"/>
          <w:sz w:val="24"/>
          <w:szCs w:val="24"/>
        </w:rPr>
        <w:t>s</w:t>
      </w:r>
      <w:r w:rsidR="004F0530" w:rsidRPr="004F0530">
        <w:rPr>
          <w:rFonts w:ascii="Times New Roman" w:hAnsi="Times New Roman"/>
          <w:sz w:val="24"/>
          <w:szCs w:val="24"/>
        </w:rPr>
        <w:t xml:space="preserve"> were conducted less frequently, the Commission would </w:t>
      </w:r>
      <w:r w:rsidR="0003545C">
        <w:rPr>
          <w:rFonts w:ascii="Times New Roman" w:hAnsi="Times New Roman"/>
          <w:sz w:val="24"/>
          <w:szCs w:val="24"/>
        </w:rPr>
        <w:t>have difficulty</w:t>
      </w:r>
      <w:r w:rsidR="004F0530" w:rsidRPr="004F0530">
        <w:rPr>
          <w:rFonts w:ascii="Times New Roman" w:hAnsi="Times New Roman"/>
          <w:sz w:val="24"/>
          <w:szCs w:val="24"/>
        </w:rPr>
        <w:t xml:space="preserve"> perform</w:t>
      </w:r>
      <w:r w:rsidR="0003545C">
        <w:rPr>
          <w:rFonts w:ascii="Times New Roman" w:hAnsi="Times New Roman"/>
          <w:sz w:val="24"/>
          <w:szCs w:val="24"/>
        </w:rPr>
        <w:t>ing</w:t>
      </w:r>
      <w:r w:rsidR="004F0530" w:rsidRPr="004F0530">
        <w:rPr>
          <w:rFonts w:ascii="Times New Roman" w:hAnsi="Times New Roman"/>
          <w:sz w:val="24"/>
          <w:szCs w:val="24"/>
        </w:rPr>
        <w:t xml:space="preserve"> its mandated review responsibilities with respect to the assessment of the financial conditions of oil pipeline companies. </w:t>
      </w:r>
      <w:r w:rsidR="00600A02">
        <w:rPr>
          <w:rFonts w:ascii="Times New Roman" w:hAnsi="Times New Roman"/>
          <w:sz w:val="24"/>
          <w:szCs w:val="24"/>
        </w:rPr>
        <w:t xml:space="preserve"> </w:t>
      </w:r>
      <w:r w:rsidR="004F0530" w:rsidRPr="004F0530">
        <w:rPr>
          <w:rFonts w:ascii="Times New Roman" w:hAnsi="Times New Roman"/>
          <w:sz w:val="24"/>
          <w:szCs w:val="24"/>
        </w:rPr>
        <w:t xml:space="preserve">The continued use of the </w:t>
      </w:r>
      <w:r w:rsidR="00EC66AC">
        <w:rPr>
          <w:rFonts w:ascii="Times New Roman" w:hAnsi="Times New Roman"/>
          <w:sz w:val="24"/>
          <w:szCs w:val="24"/>
        </w:rPr>
        <w:t>information collections</w:t>
      </w:r>
      <w:r w:rsidR="004F0530" w:rsidRPr="004F0530">
        <w:rPr>
          <w:rFonts w:ascii="Times New Roman" w:hAnsi="Times New Roman"/>
          <w:sz w:val="24"/>
          <w:szCs w:val="24"/>
        </w:rPr>
        <w:t xml:space="preserve"> ensure</w:t>
      </w:r>
      <w:r w:rsidR="00EC66AC">
        <w:rPr>
          <w:rFonts w:ascii="Times New Roman" w:hAnsi="Times New Roman"/>
          <w:sz w:val="24"/>
          <w:szCs w:val="24"/>
        </w:rPr>
        <w:t>s</w:t>
      </w:r>
      <w:r w:rsidR="004F0530" w:rsidRPr="004F0530">
        <w:rPr>
          <w:rFonts w:ascii="Times New Roman" w:hAnsi="Times New Roman"/>
          <w:sz w:val="24"/>
          <w:szCs w:val="24"/>
        </w:rPr>
        <w:t xml:space="preserve"> that the Commission has the financial, operational, and ratemaking information needed to carry out its regulatory responsibilities to monitor the oil pipeline industry.</w:t>
      </w:r>
    </w:p>
    <w:p w14:paraId="3722D3A7" w14:textId="77777777" w:rsidR="00C57F88" w:rsidRDefault="00C57F88" w:rsidP="00C57F88">
      <w:pPr>
        <w:spacing w:after="0" w:line="240" w:lineRule="auto"/>
        <w:rPr>
          <w:rFonts w:ascii="Times New Roman" w:hAnsi="Times New Roman"/>
          <w:b/>
          <w:sz w:val="24"/>
          <w:szCs w:val="24"/>
        </w:rPr>
      </w:pPr>
    </w:p>
    <w:p w14:paraId="4E1E8FD3" w14:textId="26D0E676" w:rsidR="00C57F88" w:rsidRDefault="00EA5213" w:rsidP="00C57F88">
      <w:pPr>
        <w:spacing w:after="0" w:line="240" w:lineRule="auto"/>
        <w:rPr>
          <w:rFonts w:ascii="Times New Roman" w:hAnsi="Times New Roman"/>
          <w:sz w:val="24"/>
          <w:szCs w:val="24"/>
        </w:rPr>
      </w:pPr>
      <w:r>
        <w:rPr>
          <w:rFonts w:ascii="Times New Roman" w:hAnsi="Times New Roman"/>
          <w:b/>
          <w:sz w:val="24"/>
          <w:szCs w:val="24"/>
        </w:rPr>
        <w:t xml:space="preserve">FERC </w:t>
      </w:r>
      <w:r w:rsidR="00C57F88">
        <w:rPr>
          <w:rFonts w:ascii="Times New Roman" w:hAnsi="Times New Roman"/>
          <w:b/>
          <w:sz w:val="24"/>
          <w:szCs w:val="24"/>
        </w:rPr>
        <w:t xml:space="preserve">Form </w:t>
      </w:r>
      <w:r>
        <w:rPr>
          <w:rFonts w:ascii="Times New Roman" w:hAnsi="Times New Roman"/>
          <w:b/>
          <w:sz w:val="24"/>
          <w:szCs w:val="24"/>
        </w:rPr>
        <w:t xml:space="preserve">No. </w:t>
      </w:r>
      <w:r w:rsidR="00C57F88">
        <w:rPr>
          <w:rFonts w:ascii="Times New Roman" w:hAnsi="Times New Roman"/>
          <w:b/>
          <w:sz w:val="24"/>
          <w:szCs w:val="24"/>
        </w:rPr>
        <w:t xml:space="preserve">60A.  </w:t>
      </w:r>
      <w:r w:rsidR="00456A2B">
        <w:rPr>
          <w:rFonts w:ascii="Times New Roman" w:hAnsi="Times New Roman"/>
          <w:sz w:val="24"/>
          <w:szCs w:val="24"/>
        </w:rPr>
        <w:t>The Form No. 6</w:t>
      </w:r>
      <w:r w:rsidR="00C57F88">
        <w:rPr>
          <w:rFonts w:ascii="Times New Roman" w:hAnsi="Times New Roman"/>
          <w:sz w:val="24"/>
          <w:szCs w:val="24"/>
        </w:rPr>
        <w:t>0 is required for statutory purposes and cannot be discontinued or collected less frequently.</w:t>
      </w:r>
    </w:p>
    <w:p w14:paraId="0580698C" w14:textId="77777777" w:rsidR="00C443EF" w:rsidRDefault="00C443EF" w:rsidP="00BD0F89">
      <w:pPr>
        <w:spacing w:after="0" w:line="240" w:lineRule="auto"/>
        <w:rPr>
          <w:rFonts w:ascii="Times New Roman" w:hAnsi="Times New Roman"/>
          <w:b/>
          <w:sz w:val="24"/>
          <w:szCs w:val="24"/>
        </w:rPr>
      </w:pPr>
    </w:p>
    <w:p w14:paraId="7776F4E6" w14:textId="4A139030" w:rsidR="00C443EF" w:rsidRPr="00C443EF" w:rsidRDefault="00C443EF" w:rsidP="00973DE4">
      <w:pPr>
        <w:spacing w:after="0" w:line="240" w:lineRule="auto"/>
        <w:rPr>
          <w:rFonts w:ascii="Times New Roman" w:hAnsi="Times New Roman"/>
          <w:sz w:val="24"/>
          <w:szCs w:val="24"/>
        </w:rPr>
      </w:pPr>
      <w:r w:rsidRPr="004D07A4">
        <w:rPr>
          <w:rFonts w:ascii="Times New Roman" w:hAnsi="Times New Roman"/>
          <w:b/>
          <w:sz w:val="24"/>
          <w:szCs w:val="24"/>
        </w:rPr>
        <w:t>FERC</w:t>
      </w:r>
      <w:r w:rsidR="00EA5213">
        <w:rPr>
          <w:rFonts w:ascii="Times New Roman" w:hAnsi="Times New Roman"/>
          <w:b/>
          <w:sz w:val="24"/>
          <w:szCs w:val="24"/>
        </w:rPr>
        <w:t xml:space="preserve"> Form No. </w:t>
      </w:r>
      <w:r w:rsidRPr="004D07A4">
        <w:rPr>
          <w:rFonts w:ascii="Times New Roman" w:hAnsi="Times New Roman"/>
          <w:b/>
          <w:sz w:val="24"/>
          <w:szCs w:val="24"/>
        </w:rPr>
        <w:t>714</w:t>
      </w:r>
      <w:r w:rsidR="00427C6E" w:rsidRPr="004D07A4">
        <w:rPr>
          <w:rFonts w:ascii="Times New Roman" w:hAnsi="Times New Roman"/>
          <w:b/>
          <w:sz w:val="24"/>
          <w:szCs w:val="24"/>
        </w:rPr>
        <w:t>A</w:t>
      </w:r>
      <w:r w:rsidRPr="004D07A4">
        <w:rPr>
          <w:rFonts w:ascii="Times New Roman" w:hAnsi="Times New Roman"/>
          <w:b/>
          <w:sz w:val="24"/>
          <w:szCs w:val="24"/>
        </w:rPr>
        <w:t>.</w:t>
      </w:r>
      <w:r>
        <w:rPr>
          <w:rFonts w:ascii="Times New Roman" w:hAnsi="Times New Roman"/>
          <w:b/>
          <w:sz w:val="24"/>
          <w:szCs w:val="24"/>
        </w:rPr>
        <w:t xml:space="preserve">  </w:t>
      </w:r>
      <w:r w:rsidRPr="00C443EF">
        <w:rPr>
          <w:rFonts w:ascii="Times New Roman" w:hAnsi="Times New Roman"/>
          <w:sz w:val="24"/>
          <w:szCs w:val="24"/>
        </w:rPr>
        <w:t xml:space="preserve">The </w:t>
      </w:r>
      <w:r w:rsidR="00427C6E">
        <w:rPr>
          <w:rFonts w:ascii="Times New Roman" w:hAnsi="Times New Roman"/>
          <w:sz w:val="24"/>
          <w:szCs w:val="24"/>
        </w:rPr>
        <w:t xml:space="preserve">FERC-714 </w:t>
      </w:r>
      <w:r w:rsidRPr="00C443EF">
        <w:rPr>
          <w:rFonts w:ascii="Times New Roman" w:hAnsi="Times New Roman"/>
          <w:sz w:val="24"/>
          <w:szCs w:val="24"/>
        </w:rPr>
        <w:t>information collected is used on a continual basis by:</w:t>
      </w:r>
      <w:r w:rsidR="00B75C18">
        <w:rPr>
          <w:rFonts w:ascii="Times New Roman" w:hAnsi="Times New Roman"/>
          <w:sz w:val="24"/>
          <w:szCs w:val="24"/>
        </w:rPr>
        <w:t xml:space="preserve"> (1) </w:t>
      </w:r>
      <w:r w:rsidRPr="00C443EF">
        <w:rPr>
          <w:rFonts w:ascii="Times New Roman" w:hAnsi="Times New Roman"/>
          <w:sz w:val="24"/>
          <w:szCs w:val="24"/>
        </w:rPr>
        <w:t>the Commission staff to review rates and charges, reliability issues and market structure relationships;</w:t>
      </w:r>
      <w:r w:rsidR="00B75C18">
        <w:rPr>
          <w:rFonts w:ascii="Times New Roman" w:hAnsi="Times New Roman"/>
          <w:sz w:val="24"/>
          <w:szCs w:val="24"/>
        </w:rPr>
        <w:t xml:space="preserve"> (2) </w:t>
      </w:r>
      <w:r w:rsidRPr="00C443EF">
        <w:rPr>
          <w:rFonts w:ascii="Times New Roman" w:hAnsi="Times New Roman"/>
          <w:sz w:val="24"/>
          <w:szCs w:val="24"/>
        </w:rPr>
        <w:t>the U.S. Environmental Protection Agency to monitor the environmental impacts of electric generation as the power industry has become more competitive;</w:t>
      </w:r>
      <w:r w:rsidR="00B75C18">
        <w:rPr>
          <w:rFonts w:ascii="Times New Roman" w:hAnsi="Times New Roman"/>
          <w:sz w:val="24"/>
          <w:szCs w:val="24"/>
        </w:rPr>
        <w:t xml:space="preserve"> (3) </w:t>
      </w:r>
      <w:r w:rsidRPr="00C443EF">
        <w:rPr>
          <w:rFonts w:ascii="Times New Roman" w:hAnsi="Times New Roman"/>
          <w:sz w:val="24"/>
          <w:szCs w:val="24"/>
        </w:rPr>
        <w:t>the U.S. Energy Information Administration to model various electricity markets; and</w:t>
      </w:r>
      <w:r w:rsidR="00B75C18">
        <w:rPr>
          <w:rFonts w:ascii="Times New Roman" w:hAnsi="Times New Roman"/>
          <w:sz w:val="24"/>
          <w:szCs w:val="24"/>
        </w:rPr>
        <w:t xml:space="preserve"> (4) </w:t>
      </w:r>
      <w:r w:rsidRPr="00C443EF">
        <w:rPr>
          <w:rFonts w:ascii="Times New Roman" w:hAnsi="Times New Roman"/>
          <w:sz w:val="24"/>
          <w:szCs w:val="24"/>
        </w:rPr>
        <w:t>other federal and state regulatory authorities, market participants and the public to access and monitor the wholesale electric market and to determine the competitive impacts of proposed mergers and acquisitions.</w:t>
      </w:r>
    </w:p>
    <w:p w14:paraId="299E1730" w14:textId="77777777" w:rsidR="00C443EF" w:rsidRPr="00C443EF" w:rsidRDefault="00C443EF" w:rsidP="00BD0F89">
      <w:pPr>
        <w:spacing w:after="0" w:line="240" w:lineRule="auto"/>
        <w:rPr>
          <w:rFonts w:ascii="Times New Roman" w:hAnsi="Times New Roman"/>
          <w:sz w:val="24"/>
          <w:szCs w:val="24"/>
        </w:rPr>
      </w:pPr>
    </w:p>
    <w:p w14:paraId="38370DCD" w14:textId="689301AC" w:rsidR="007D436E" w:rsidRPr="007D436E" w:rsidRDefault="00C443EF" w:rsidP="00C0510A">
      <w:pPr>
        <w:spacing w:after="0" w:line="240" w:lineRule="auto"/>
        <w:rPr>
          <w:rFonts w:ascii="Times New Roman" w:hAnsi="Times New Roman"/>
          <w:sz w:val="24"/>
          <w:szCs w:val="24"/>
        </w:rPr>
      </w:pPr>
      <w:r w:rsidRPr="00C443EF">
        <w:rPr>
          <w:rFonts w:ascii="Times New Roman" w:hAnsi="Times New Roman"/>
          <w:sz w:val="24"/>
          <w:szCs w:val="24"/>
        </w:rPr>
        <w:t xml:space="preserve">Some of the information in particular filings may change markedly from one year to the next.  If the information were collected less frequently, the Commission would </w:t>
      </w:r>
      <w:r w:rsidR="0003545C">
        <w:rPr>
          <w:rFonts w:ascii="Times New Roman" w:hAnsi="Times New Roman"/>
          <w:sz w:val="24"/>
          <w:szCs w:val="24"/>
        </w:rPr>
        <w:t xml:space="preserve">have difficulty </w:t>
      </w:r>
      <w:r w:rsidRPr="00C443EF">
        <w:rPr>
          <w:rFonts w:ascii="Times New Roman" w:hAnsi="Times New Roman"/>
          <w:sz w:val="24"/>
          <w:szCs w:val="24"/>
        </w:rPr>
        <w:t>perform</w:t>
      </w:r>
      <w:r w:rsidR="0003545C">
        <w:rPr>
          <w:rFonts w:ascii="Times New Roman" w:hAnsi="Times New Roman"/>
          <w:sz w:val="24"/>
          <w:szCs w:val="24"/>
        </w:rPr>
        <w:t>ing</w:t>
      </w:r>
      <w:r w:rsidRPr="00C443EF">
        <w:rPr>
          <w:rFonts w:ascii="Times New Roman" w:hAnsi="Times New Roman"/>
          <w:sz w:val="24"/>
          <w:szCs w:val="24"/>
        </w:rPr>
        <w:t xml:space="preserve"> its mandated review and oversight in a timely and accurate manner.</w:t>
      </w:r>
      <w:r w:rsidR="00B75C18">
        <w:rPr>
          <w:rFonts w:ascii="Times New Roman" w:hAnsi="Times New Roman"/>
          <w:sz w:val="24"/>
          <w:szCs w:val="24"/>
        </w:rPr>
        <w:t xml:space="preserve">  </w:t>
      </w:r>
    </w:p>
    <w:p w14:paraId="3319550E" w14:textId="77777777" w:rsidR="00F0627E" w:rsidRPr="00F1537F" w:rsidRDefault="00F0627E" w:rsidP="00BD0F89">
      <w:pPr>
        <w:spacing w:after="0" w:line="240" w:lineRule="auto"/>
        <w:rPr>
          <w:rFonts w:ascii="Times New Roman" w:hAnsi="Times New Roman"/>
          <w:sz w:val="24"/>
          <w:szCs w:val="24"/>
        </w:rPr>
      </w:pPr>
    </w:p>
    <w:p w14:paraId="6DE0BCEB" w14:textId="77777777" w:rsidR="00F0627E" w:rsidRPr="00F1537F" w:rsidRDefault="00F0627E" w:rsidP="00BD0F89">
      <w:pPr>
        <w:pStyle w:val="ListParagraph"/>
        <w:numPr>
          <w:ilvl w:val="0"/>
          <w:numId w:val="14"/>
        </w:numPr>
        <w:spacing w:after="0" w:line="240" w:lineRule="auto"/>
        <w:rPr>
          <w:rFonts w:ascii="Times New Roman" w:hAnsi="Times New Roman"/>
          <w:b/>
          <w:sz w:val="24"/>
          <w:szCs w:val="24"/>
        </w:rPr>
      </w:pPr>
      <w:r w:rsidRPr="00F1537F">
        <w:rPr>
          <w:rFonts w:ascii="Times New Roman" w:hAnsi="Times New Roman"/>
          <w:b/>
          <w:sz w:val="24"/>
          <w:szCs w:val="24"/>
        </w:rPr>
        <w:t>EXPLAIN ANY SPECIAL CIRCUMSTANCES RELATING TO THE INFORMATION COLLECTION</w:t>
      </w:r>
    </w:p>
    <w:p w14:paraId="61BC8479" w14:textId="77777777" w:rsidR="00F0627E" w:rsidRPr="00F1537F" w:rsidRDefault="00F0627E" w:rsidP="00BD0F89">
      <w:pPr>
        <w:spacing w:after="0" w:line="240" w:lineRule="auto"/>
        <w:rPr>
          <w:rFonts w:ascii="Times New Roman" w:hAnsi="Times New Roman"/>
          <w:sz w:val="24"/>
          <w:szCs w:val="24"/>
        </w:rPr>
      </w:pPr>
    </w:p>
    <w:p w14:paraId="1832EE9A" w14:textId="77777777" w:rsidR="00F0627E" w:rsidRDefault="00F0627E" w:rsidP="00BD0F89">
      <w:pPr>
        <w:spacing w:after="0" w:line="240" w:lineRule="auto"/>
        <w:rPr>
          <w:rFonts w:ascii="Times New Roman" w:hAnsi="Times New Roman"/>
          <w:sz w:val="24"/>
          <w:szCs w:val="24"/>
        </w:rPr>
      </w:pPr>
      <w:r w:rsidRPr="00F1537F">
        <w:rPr>
          <w:rFonts w:ascii="Times New Roman" w:hAnsi="Times New Roman"/>
          <w:sz w:val="24"/>
          <w:szCs w:val="24"/>
        </w:rPr>
        <w:t>There are no special circumstances related to th</w:t>
      </w:r>
      <w:r w:rsidR="00EC66AC">
        <w:rPr>
          <w:rFonts w:ascii="Times New Roman" w:hAnsi="Times New Roman"/>
          <w:sz w:val="24"/>
          <w:szCs w:val="24"/>
        </w:rPr>
        <w:t>ese</w:t>
      </w:r>
      <w:r w:rsidRPr="00F1537F">
        <w:rPr>
          <w:rFonts w:ascii="Times New Roman" w:hAnsi="Times New Roman"/>
          <w:sz w:val="24"/>
          <w:szCs w:val="24"/>
        </w:rPr>
        <w:t xml:space="preserve"> information collection</w:t>
      </w:r>
      <w:r w:rsidR="00EC66AC">
        <w:rPr>
          <w:rFonts w:ascii="Times New Roman" w:hAnsi="Times New Roman"/>
          <w:sz w:val="24"/>
          <w:szCs w:val="24"/>
        </w:rPr>
        <w:t>s</w:t>
      </w:r>
      <w:r w:rsidR="001F56F4">
        <w:rPr>
          <w:rFonts w:ascii="Times New Roman" w:hAnsi="Times New Roman"/>
          <w:sz w:val="24"/>
          <w:szCs w:val="24"/>
        </w:rPr>
        <w:t>, other than those mentioned below</w:t>
      </w:r>
      <w:r w:rsidRPr="00F1537F">
        <w:rPr>
          <w:rFonts w:ascii="Times New Roman" w:hAnsi="Times New Roman"/>
          <w:sz w:val="24"/>
          <w:szCs w:val="24"/>
        </w:rPr>
        <w:t>.</w:t>
      </w:r>
    </w:p>
    <w:p w14:paraId="74F838D9" w14:textId="77777777" w:rsidR="00517EC0" w:rsidRDefault="00517EC0" w:rsidP="00BD0F89">
      <w:pPr>
        <w:spacing w:after="0" w:line="240" w:lineRule="auto"/>
        <w:ind w:left="360" w:hanging="360"/>
        <w:rPr>
          <w:rFonts w:ascii="Times New Roman" w:hAnsi="Times New Roman"/>
          <w:sz w:val="24"/>
          <w:szCs w:val="24"/>
        </w:rPr>
      </w:pPr>
    </w:p>
    <w:p w14:paraId="71A9D1CB" w14:textId="35FA9BD3" w:rsidR="00517EC0" w:rsidRPr="00517EC0" w:rsidRDefault="00517EC0" w:rsidP="00A96327">
      <w:pPr>
        <w:spacing w:after="0" w:line="240" w:lineRule="auto"/>
        <w:rPr>
          <w:rFonts w:ascii="Times New Roman" w:eastAsia="Times New Roman" w:hAnsi="Times New Roman"/>
          <w:sz w:val="24"/>
          <w:szCs w:val="24"/>
        </w:rPr>
      </w:pPr>
      <w:r>
        <w:rPr>
          <w:rFonts w:ascii="Times New Roman" w:hAnsi="Times New Roman"/>
          <w:b/>
          <w:sz w:val="24"/>
          <w:szCs w:val="24"/>
        </w:rPr>
        <w:t>FERC</w:t>
      </w:r>
      <w:r w:rsidR="00EA5213">
        <w:rPr>
          <w:rFonts w:ascii="Times New Roman" w:hAnsi="Times New Roman"/>
          <w:b/>
          <w:sz w:val="24"/>
          <w:szCs w:val="24"/>
        </w:rPr>
        <w:t xml:space="preserve"> Form No. </w:t>
      </w:r>
      <w:r>
        <w:rPr>
          <w:rFonts w:ascii="Times New Roman" w:hAnsi="Times New Roman"/>
          <w:b/>
          <w:sz w:val="24"/>
          <w:szCs w:val="24"/>
        </w:rPr>
        <w:t>60</w:t>
      </w:r>
      <w:r w:rsidR="00427C6E">
        <w:rPr>
          <w:rFonts w:ascii="Times New Roman" w:hAnsi="Times New Roman"/>
          <w:b/>
          <w:sz w:val="24"/>
          <w:szCs w:val="24"/>
        </w:rPr>
        <w:t>A</w:t>
      </w:r>
      <w:r>
        <w:rPr>
          <w:rFonts w:ascii="Times New Roman" w:hAnsi="Times New Roman"/>
          <w:b/>
          <w:sz w:val="24"/>
          <w:szCs w:val="24"/>
        </w:rPr>
        <w:t xml:space="preserve">.  </w:t>
      </w:r>
      <w:r w:rsidRPr="00517EC0">
        <w:rPr>
          <w:rFonts w:ascii="Times New Roman" w:hAnsi="Times New Roman"/>
          <w:sz w:val="24"/>
          <w:szCs w:val="24"/>
        </w:rPr>
        <w:t xml:space="preserve">The Commission assumed responsibility for the </w:t>
      </w:r>
      <w:r w:rsidR="00427C6E">
        <w:rPr>
          <w:rFonts w:ascii="Times New Roman" w:hAnsi="Times New Roman"/>
          <w:sz w:val="24"/>
          <w:szCs w:val="24"/>
        </w:rPr>
        <w:t>F</w:t>
      </w:r>
      <w:r w:rsidR="00E248AE">
        <w:rPr>
          <w:rFonts w:ascii="Times New Roman" w:hAnsi="Times New Roman"/>
          <w:sz w:val="24"/>
          <w:szCs w:val="24"/>
        </w:rPr>
        <w:t>orm No. 60</w:t>
      </w:r>
      <w:r w:rsidR="00427C6E">
        <w:rPr>
          <w:rFonts w:ascii="Times New Roman" w:hAnsi="Times New Roman"/>
          <w:sz w:val="24"/>
          <w:szCs w:val="24"/>
        </w:rPr>
        <w:t xml:space="preserve"> </w:t>
      </w:r>
      <w:r w:rsidRPr="00517EC0">
        <w:rPr>
          <w:rFonts w:ascii="Times New Roman" w:hAnsi="Times New Roman"/>
          <w:sz w:val="24"/>
          <w:szCs w:val="24"/>
        </w:rPr>
        <w:t>reporting requirements</w:t>
      </w:r>
      <w:r w:rsidR="00427C6E">
        <w:rPr>
          <w:rFonts w:ascii="Times New Roman" w:hAnsi="Times New Roman"/>
          <w:sz w:val="24"/>
          <w:szCs w:val="24"/>
        </w:rPr>
        <w:t>,</w:t>
      </w:r>
      <w:r w:rsidRPr="00517EC0">
        <w:rPr>
          <w:rFonts w:ascii="Times New Roman" w:hAnsi="Times New Roman"/>
          <w:sz w:val="24"/>
          <w:szCs w:val="24"/>
        </w:rPr>
        <w:t xml:space="preserve"> formerly required by the U.S. Securities and Exchange Commission (SEC)</w:t>
      </w:r>
      <w:r w:rsidR="00427C6E">
        <w:rPr>
          <w:rFonts w:ascii="Times New Roman" w:hAnsi="Times New Roman"/>
          <w:sz w:val="24"/>
          <w:szCs w:val="24"/>
        </w:rPr>
        <w:t>,</w:t>
      </w:r>
      <w:r w:rsidRPr="00517EC0">
        <w:rPr>
          <w:rFonts w:ascii="Times New Roman" w:hAnsi="Times New Roman"/>
          <w:sz w:val="24"/>
          <w:szCs w:val="24"/>
        </w:rPr>
        <w:t xml:space="preserve"> and streamlined those requirements.  </w:t>
      </w:r>
      <w:r w:rsidRPr="00517EC0">
        <w:rPr>
          <w:rFonts w:ascii="Times New Roman" w:eastAsia="Times New Roman" w:hAnsi="Times New Roman"/>
          <w:sz w:val="24"/>
          <w:szCs w:val="24"/>
        </w:rPr>
        <w:t xml:space="preserve">These documents are necessary for the Commission to ensure that it is able to </w:t>
      </w:r>
      <w:r w:rsidR="00E248AE">
        <w:rPr>
          <w:rFonts w:ascii="Times New Roman" w:eastAsia="Times New Roman" w:hAnsi="Times New Roman"/>
          <w:sz w:val="24"/>
          <w:szCs w:val="24"/>
        </w:rPr>
        <w:t>perform its oversight and review responsibilities</w:t>
      </w:r>
      <w:r w:rsidRPr="00517EC0">
        <w:rPr>
          <w:rFonts w:ascii="Times New Roman" w:eastAsia="Times New Roman" w:hAnsi="Times New Roman"/>
          <w:sz w:val="24"/>
          <w:szCs w:val="24"/>
        </w:rPr>
        <w:t xml:space="preserve">.  Rate cases are not generally scheduled, </w:t>
      </w:r>
      <w:r w:rsidR="00E248AE">
        <w:rPr>
          <w:rFonts w:ascii="Times New Roman" w:eastAsia="Times New Roman" w:hAnsi="Times New Roman"/>
          <w:sz w:val="24"/>
          <w:szCs w:val="24"/>
        </w:rPr>
        <w:t>thus</w:t>
      </w:r>
      <w:r w:rsidRPr="00517EC0">
        <w:rPr>
          <w:rFonts w:ascii="Times New Roman" w:eastAsia="Times New Roman" w:hAnsi="Times New Roman"/>
          <w:sz w:val="24"/>
          <w:szCs w:val="24"/>
        </w:rPr>
        <w:t xml:space="preserve"> retention of data beyond </w:t>
      </w:r>
      <w:r w:rsidR="00E248AE">
        <w:rPr>
          <w:rFonts w:ascii="Times New Roman" w:eastAsia="Times New Roman" w:hAnsi="Times New Roman"/>
          <w:sz w:val="24"/>
          <w:szCs w:val="24"/>
        </w:rPr>
        <w:t>three</w:t>
      </w:r>
      <w:r w:rsidRPr="00517EC0">
        <w:rPr>
          <w:rFonts w:ascii="Times New Roman" w:eastAsia="Times New Roman" w:hAnsi="Times New Roman"/>
          <w:sz w:val="24"/>
          <w:szCs w:val="24"/>
        </w:rPr>
        <w:t xml:space="preserve"> years is necessary for </w:t>
      </w:r>
      <w:r w:rsidR="00F00BB4">
        <w:rPr>
          <w:rFonts w:ascii="Times New Roman" w:eastAsia="Times New Roman" w:hAnsi="Times New Roman"/>
          <w:sz w:val="24"/>
          <w:szCs w:val="24"/>
        </w:rPr>
        <w:t>s</w:t>
      </w:r>
      <w:r w:rsidRPr="00517EC0">
        <w:rPr>
          <w:rFonts w:ascii="Times New Roman" w:eastAsia="Times New Roman" w:hAnsi="Times New Roman"/>
          <w:sz w:val="24"/>
          <w:szCs w:val="24"/>
        </w:rPr>
        <w:t xml:space="preserve">taff to adequately assess data submitted by entities including the holding and service companies.  Similarly, complaints can occur randomly, and data must be available to adequately address any allegations that arise.  </w:t>
      </w:r>
    </w:p>
    <w:p w14:paraId="1AE2476B" w14:textId="77777777" w:rsidR="00517EC0" w:rsidRPr="00F1537F" w:rsidRDefault="00517EC0" w:rsidP="00BD0F89">
      <w:pPr>
        <w:spacing w:after="0" w:line="240" w:lineRule="auto"/>
        <w:ind w:left="360" w:hanging="360"/>
        <w:rPr>
          <w:rFonts w:ascii="Times New Roman" w:hAnsi="Times New Roman"/>
          <w:sz w:val="24"/>
          <w:szCs w:val="24"/>
        </w:rPr>
      </w:pPr>
    </w:p>
    <w:p w14:paraId="75DA9249" w14:textId="77777777" w:rsidR="00F0627E" w:rsidRPr="00F1537F" w:rsidRDefault="00F0627E" w:rsidP="00BD0F89">
      <w:pPr>
        <w:pStyle w:val="ListParagraph"/>
        <w:numPr>
          <w:ilvl w:val="0"/>
          <w:numId w:val="14"/>
        </w:numPr>
        <w:spacing w:after="0" w:line="240" w:lineRule="auto"/>
        <w:rPr>
          <w:rFonts w:ascii="Times New Roman" w:hAnsi="Times New Roman"/>
          <w:b/>
          <w:sz w:val="24"/>
          <w:szCs w:val="24"/>
        </w:rPr>
      </w:pPr>
      <w:r w:rsidRPr="00F1537F">
        <w:rPr>
          <w:rFonts w:ascii="Times New Roman" w:hAnsi="Times New Roman"/>
          <w:b/>
          <w:sz w:val="24"/>
          <w:szCs w:val="24"/>
        </w:rPr>
        <w:t>DESCRIBE EFFORTS TO CONSULT OUTSIDE THE AGENCY: SUMMARIZE PUBLIC COMMENTS AND THE AGENCY’S RESPONSE</w:t>
      </w:r>
    </w:p>
    <w:p w14:paraId="5D2AE01F" w14:textId="77777777" w:rsidR="00F0627E" w:rsidRPr="00F1537F" w:rsidRDefault="00F0627E" w:rsidP="00BD0F89">
      <w:pPr>
        <w:spacing w:after="0" w:line="240" w:lineRule="auto"/>
        <w:rPr>
          <w:rFonts w:ascii="Times New Roman" w:hAnsi="Times New Roman"/>
          <w:sz w:val="24"/>
          <w:szCs w:val="24"/>
        </w:rPr>
      </w:pPr>
    </w:p>
    <w:p w14:paraId="50E4EACA" w14:textId="6A38B9A1" w:rsidR="009C451A" w:rsidRDefault="009C451A" w:rsidP="00BD0F89">
      <w:pPr>
        <w:pStyle w:val="ListParagraph"/>
        <w:spacing w:after="0" w:line="240" w:lineRule="auto"/>
        <w:ind w:left="0"/>
        <w:rPr>
          <w:rFonts w:ascii="Times New Roman" w:hAnsi="Times New Roman"/>
          <w:sz w:val="24"/>
          <w:szCs w:val="24"/>
        </w:rPr>
      </w:pPr>
      <w:r w:rsidRPr="009C451A">
        <w:rPr>
          <w:rFonts w:ascii="Times New Roman" w:hAnsi="Times New Roman"/>
          <w:sz w:val="24"/>
          <w:szCs w:val="24"/>
        </w:rPr>
        <w:t>The Commission noted that the North American Energy Standards Board (NAESB) had helped facilitate meetings to develop the Commission’s eTariff system, and</w:t>
      </w:r>
      <w:r w:rsidR="009F136F">
        <w:rPr>
          <w:rFonts w:ascii="Times New Roman" w:hAnsi="Times New Roman"/>
          <w:sz w:val="24"/>
          <w:szCs w:val="24"/>
        </w:rPr>
        <w:t>,</w:t>
      </w:r>
      <w:r w:rsidRPr="009C451A">
        <w:rPr>
          <w:rFonts w:ascii="Times New Roman" w:hAnsi="Times New Roman"/>
          <w:sz w:val="24"/>
          <w:szCs w:val="24"/>
        </w:rPr>
        <w:t xml:space="preserve"> </w:t>
      </w:r>
      <w:r w:rsidR="009F136F">
        <w:rPr>
          <w:rFonts w:ascii="Times New Roman" w:hAnsi="Times New Roman"/>
          <w:sz w:val="24"/>
          <w:szCs w:val="24"/>
        </w:rPr>
        <w:t xml:space="preserve">in Docket No. AD15-11, </w:t>
      </w:r>
      <w:r w:rsidRPr="009C451A">
        <w:rPr>
          <w:rFonts w:ascii="Times New Roman" w:hAnsi="Times New Roman"/>
          <w:sz w:val="24"/>
          <w:szCs w:val="24"/>
        </w:rPr>
        <w:t xml:space="preserve">the Commission directed Commission staff to seek NAESB’s assistance in the process of developing standards for the submission of the VFP Forms to the Commission in the new XML format.  NAESB facilitated 18 meetings during which the transition of the forms was discussed.  </w:t>
      </w:r>
    </w:p>
    <w:p w14:paraId="791025F0" w14:textId="77777777" w:rsidR="009C451A" w:rsidRDefault="009C451A" w:rsidP="00BD0F89">
      <w:pPr>
        <w:pStyle w:val="ListParagraph"/>
        <w:spacing w:after="0" w:line="240" w:lineRule="auto"/>
        <w:ind w:left="0"/>
        <w:rPr>
          <w:rFonts w:ascii="Times New Roman" w:hAnsi="Times New Roman"/>
          <w:sz w:val="24"/>
          <w:szCs w:val="24"/>
        </w:rPr>
      </w:pPr>
    </w:p>
    <w:p w14:paraId="7B8C713A" w14:textId="77777777" w:rsidR="009C451A" w:rsidRDefault="009C451A" w:rsidP="00BD0F89">
      <w:pPr>
        <w:pStyle w:val="ListParagraph"/>
        <w:spacing w:after="0" w:line="240" w:lineRule="auto"/>
        <w:ind w:left="0"/>
        <w:rPr>
          <w:rFonts w:ascii="Times New Roman" w:hAnsi="Times New Roman"/>
          <w:sz w:val="24"/>
          <w:szCs w:val="24"/>
        </w:rPr>
      </w:pPr>
      <w:r w:rsidRPr="009C451A">
        <w:rPr>
          <w:rFonts w:ascii="Times New Roman" w:hAnsi="Times New Roman"/>
          <w:sz w:val="24"/>
          <w:szCs w:val="24"/>
        </w:rPr>
        <w:t>Commission staff also discussed the filing of financial forms with other federal agencies.</w:t>
      </w:r>
    </w:p>
    <w:p w14:paraId="55E0C6D0" w14:textId="77777777" w:rsidR="009C451A" w:rsidRDefault="009C451A" w:rsidP="00BD0F89">
      <w:pPr>
        <w:pStyle w:val="ListParagraph"/>
        <w:spacing w:after="0" w:line="240" w:lineRule="auto"/>
        <w:ind w:left="0"/>
        <w:rPr>
          <w:rFonts w:ascii="Times New Roman" w:hAnsi="Times New Roman"/>
          <w:sz w:val="24"/>
          <w:szCs w:val="24"/>
        </w:rPr>
      </w:pPr>
    </w:p>
    <w:p w14:paraId="2B38066F" w14:textId="77777777" w:rsidR="00913164" w:rsidRDefault="00913164" w:rsidP="00BD0F89">
      <w:pPr>
        <w:pStyle w:val="ListParagraph"/>
        <w:spacing w:after="0" w:line="240" w:lineRule="auto"/>
        <w:ind w:left="0"/>
        <w:rPr>
          <w:rFonts w:ascii="Times New Roman" w:hAnsi="Times New Roman"/>
          <w:sz w:val="24"/>
          <w:szCs w:val="24"/>
        </w:rPr>
      </w:pPr>
      <w:r w:rsidRPr="00913164">
        <w:rPr>
          <w:rFonts w:ascii="Times New Roman" w:hAnsi="Times New Roman"/>
          <w:sz w:val="24"/>
          <w:szCs w:val="24"/>
        </w:rPr>
        <w:t>Each FERC rulemaking (both proposed and final rules) is published in the Federal Register thereby providing public utilities and licensees, state commissions, Federal agencies, and other interested parties an opportunity to submit data, vi</w:t>
      </w:r>
      <w:r w:rsidRPr="006128B2">
        <w:rPr>
          <w:rFonts w:ascii="Times New Roman" w:hAnsi="Times New Roman"/>
          <w:sz w:val="24"/>
          <w:szCs w:val="24"/>
        </w:rPr>
        <w:t>ews, comments or suggestions concerning the proposed collections of data.</w:t>
      </w:r>
      <w:r w:rsidR="006128B2">
        <w:rPr>
          <w:rFonts w:ascii="Times New Roman" w:hAnsi="Times New Roman"/>
          <w:sz w:val="24"/>
          <w:szCs w:val="24"/>
        </w:rPr>
        <w:t xml:space="preserve">  </w:t>
      </w:r>
      <w:r w:rsidR="006128B2" w:rsidRPr="006128B2">
        <w:rPr>
          <w:rFonts w:ascii="Times New Roman" w:hAnsi="Times New Roman"/>
          <w:sz w:val="24"/>
          <w:szCs w:val="24"/>
        </w:rPr>
        <w:t xml:space="preserve">The NOPR </w:t>
      </w:r>
      <w:r w:rsidR="00902C25">
        <w:rPr>
          <w:rFonts w:ascii="Times New Roman" w:hAnsi="Times New Roman"/>
          <w:sz w:val="24"/>
          <w:szCs w:val="24"/>
        </w:rPr>
        <w:t xml:space="preserve">in Docket RM19-12 </w:t>
      </w:r>
      <w:r w:rsidR="009C451A">
        <w:rPr>
          <w:rFonts w:ascii="Times New Roman" w:hAnsi="Times New Roman"/>
          <w:sz w:val="24"/>
          <w:szCs w:val="24"/>
        </w:rPr>
        <w:t xml:space="preserve">is </w:t>
      </w:r>
      <w:r w:rsidR="00967F31">
        <w:rPr>
          <w:rFonts w:ascii="Times New Roman" w:hAnsi="Times New Roman"/>
          <w:sz w:val="24"/>
          <w:szCs w:val="24"/>
        </w:rPr>
        <w:t>posted in the Commission’s eLibrary system</w:t>
      </w:r>
      <w:r w:rsidR="007A5AF7">
        <w:rPr>
          <w:rFonts w:ascii="Times New Roman" w:hAnsi="Times New Roman"/>
          <w:sz w:val="24"/>
          <w:szCs w:val="24"/>
        </w:rPr>
        <w:t xml:space="preserve"> and </w:t>
      </w:r>
      <w:r w:rsidR="00A96327">
        <w:rPr>
          <w:rFonts w:ascii="Times New Roman" w:hAnsi="Times New Roman"/>
          <w:sz w:val="24"/>
          <w:szCs w:val="24"/>
        </w:rPr>
        <w:t xml:space="preserve">was published by the Federal Register at 84 FR </w:t>
      </w:r>
      <w:r w:rsidR="007A5AF7">
        <w:rPr>
          <w:rFonts w:ascii="Times New Roman" w:hAnsi="Times New Roman"/>
          <w:sz w:val="24"/>
          <w:szCs w:val="24"/>
        </w:rPr>
        <w:t>1412 (2/4/2019)</w:t>
      </w:r>
      <w:r w:rsidR="00967F31">
        <w:rPr>
          <w:rFonts w:ascii="Times New Roman" w:hAnsi="Times New Roman"/>
          <w:sz w:val="24"/>
          <w:szCs w:val="24"/>
        </w:rPr>
        <w:t xml:space="preserve">.  </w:t>
      </w:r>
    </w:p>
    <w:p w14:paraId="1F5BA73E" w14:textId="77777777" w:rsidR="009C451A" w:rsidRPr="00F1537F" w:rsidRDefault="009C451A" w:rsidP="00BD0F89">
      <w:pPr>
        <w:pStyle w:val="ListParagraph"/>
        <w:spacing w:after="0" w:line="240" w:lineRule="auto"/>
        <w:ind w:left="0"/>
        <w:rPr>
          <w:rFonts w:ascii="Times New Roman" w:hAnsi="Times New Roman"/>
          <w:b/>
          <w:sz w:val="24"/>
          <w:szCs w:val="24"/>
        </w:rPr>
      </w:pPr>
    </w:p>
    <w:p w14:paraId="1A2BC3FA" w14:textId="77777777" w:rsidR="00F0627E" w:rsidRPr="00F1537F" w:rsidRDefault="00F0627E" w:rsidP="00BD0F89">
      <w:pPr>
        <w:pStyle w:val="ListParagraph"/>
        <w:numPr>
          <w:ilvl w:val="0"/>
          <w:numId w:val="14"/>
        </w:numPr>
        <w:spacing w:after="0" w:line="240" w:lineRule="auto"/>
        <w:rPr>
          <w:rFonts w:ascii="Times New Roman" w:hAnsi="Times New Roman"/>
          <w:b/>
          <w:sz w:val="24"/>
          <w:szCs w:val="24"/>
        </w:rPr>
      </w:pPr>
      <w:r w:rsidRPr="00F1537F">
        <w:rPr>
          <w:rFonts w:ascii="Times New Roman" w:hAnsi="Times New Roman"/>
          <w:b/>
          <w:sz w:val="24"/>
          <w:szCs w:val="24"/>
        </w:rPr>
        <w:t>EXPLAIN ANY PAYMENT OR GIFTS TO RESPONDENTS</w:t>
      </w:r>
    </w:p>
    <w:p w14:paraId="1C0A081E" w14:textId="77777777" w:rsidR="00F0627E" w:rsidRPr="00F1537F" w:rsidRDefault="00F0627E" w:rsidP="00BD0F89">
      <w:pPr>
        <w:spacing w:after="0" w:line="240" w:lineRule="auto"/>
        <w:rPr>
          <w:rFonts w:ascii="Times New Roman" w:hAnsi="Times New Roman"/>
          <w:sz w:val="24"/>
          <w:szCs w:val="24"/>
        </w:rPr>
      </w:pPr>
    </w:p>
    <w:p w14:paraId="47E62683" w14:textId="77777777" w:rsidR="00F0627E" w:rsidRPr="00F1537F" w:rsidRDefault="00F0627E" w:rsidP="00BD0F89">
      <w:pPr>
        <w:spacing w:after="0" w:line="240" w:lineRule="auto"/>
        <w:rPr>
          <w:rFonts w:ascii="Times New Roman" w:hAnsi="Times New Roman"/>
          <w:sz w:val="24"/>
          <w:szCs w:val="24"/>
        </w:rPr>
      </w:pPr>
      <w:r w:rsidRPr="00F1537F">
        <w:rPr>
          <w:rFonts w:ascii="Times New Roman" w:hAnsi="Times New Roman"/>
          <w:sz w:val="24"/>
          <w:szCs w:val="24"/>
        </w:rPr>
        <w:t>There are no payments or gifts to respondents.</w:t>
      </w:r>
    </w:p>
    <w:p w14:paraId="63605198" w14:textId="77777777" w:rsidR="00F0627E" w:rsidRPr="00F1537F" w:rsidRDefault="00F0627E" w:rsidP="00BD0F89">
      <w:pPr>
        <w:spacing w:after="0" w:line="240" w:lineRule="auto"/>
        <w:rPr>
          <w:rFonts w:ascii="Times New Roman" w:hAnsi="Times New Roman"/>
          <w:sz w:val="24"/>
          <w:szCs w:val="24"/>
        </w:rPr>
      </w:pPr>
    </w:p>
    <w:p w14:paraId="0127248A" w14:textId="77777777" w:rsidR="00F0627E" w:rsidRPr="00F1537F" w:rsidRDefault="00F0627E" w:rsidP="00BD0F89">
      <w:pPr>
        <w:pStyle w:val="ListParagraph"/>
        <w:numPr>
          <w:ilvl w:val="0"/>
          <w:numId w:val="14"/>
        </w:numPr>
        <w:spacing w:after="0" w:line="240" w:lineRule="auto"/>
        <w:rPr>
          <w:rFonts w:ascii="Times New Roman" w:hAnsi="Times New Roman"/>
          <w:b/>
          <w:sz w:val="24"/>
          <w:szCs w:val="24"/>
        </w:rPr>
      </w:pPr>
      <w:r w:rsidRPr="00F1537F">
        <w:rPr>
          <w:rFonts w:ascii="Times New Roman" w:hAnsi="Times New Roman"/>
          <w:b/>
          <w:sz w:val="24"/>
          <w:szCs w:val="24"/>
        </w:rPr>
        <w:t>DESCRIBE ANY ASSURANCE OF CONFIDENTIALITY PROVIDED TO RESPONDENTS</w:t>
      </w:r>
    </w:p>
    <w:p w14:paraId="55B18053" w14:textId="77777777" w:rsidR="00F0627E" w:rsidRPr="00F1537F" w:rsidRDefault="00F0627E" w:rsidP="00BD0F89">
      <w:pPr>
        <w:spacing w:after="0" w:line="240" w:lineRule="auto"/>
        <w:rPr>
          <w:rFonts w:ascii="Times New Roman" w:hAnsi="Times New Roman"/>
          <w:sz w:val="24"/>
          <w:szCs w:val="24"/>
        </w:rPr>
      </w:pPr>
    </w:p>
    <w:p w14:paraId="1594C0DB" w14:textId="77777777" w:rsidR="00F0627E" w:rsidRPr="00F1537F" w:rsidRDefault="00F0627E" w:rsidP="00BD0F89">
      <w:pPr>
        <w:spacing w:after="0" w:line="240" w:lineRule="auto"/>
        <w:rPr>
          <w:rFonts w:ascii="Times New Roman" w:hAnsi="Times New Roman"/>
          <w:sz w:val="24"/>
          <w:szCs w:val="24"/>
        </w:rPr>
      </w:pPr>
      <w:r w:rsidRPr="00F1537F">
        <w:rPr>
          <w:rFonts w:ascii="Times New Roman" w:hAnsi="Times New Roman"/>
          <w:sz w:val="24"/>
          <w:szCs w:val="24"/>
        </w:rPr>
        <w:t xml:space="preserve">The Commission does not consider the information collected in filings to be confidential.  However, the Commission will consider specific requests for confidential treatment (e.g. Critical </w:t>
      </w:r>
      <w:r w:rsidR="00084A7F" w:rsidRPr="00F1537F">
        <w:rPr>
          <w:rFonts w:ascii="Times New Roman" w:hAnsi="Times New Roman"/>
          <w:sz w:val="24"/>
          <w:szCs w:val="24"/>
        </w:rPr>
        <w:t>Energy/Electric</w:t>
      </w:r>
      <w:r w:rsidRPr="00F1537F">
        <w:rPr>
          <w:rFonts w:ascii="Times New Roman" w:hAnsi="Times New Roman"/>
          <w:sz w:val="24"/>
          <w:szCs w:val="24"/>
        </w:rPr>
        <w:t xml:space="preserve"> Infrastructure Information [CEII] or non-public) to the extent permitted by law.</w:t>
      </w:r>
      <w:r w:rsidRPr="00F1537F">
        <w:rPr>
          <w:rFonts w:ascii="Times New Roman" w:hAnsi="Times New Roman"/>
          <w:b/>
          <w:sz w:val="24"/>
          <w:szCs w:val="24"/>
          <w:vertAlign w:val="superscript"/>
        </w:rPr>
        <w:footnoteReference w:id="15"/>
      </w:r>
      <w:r w:rsidRPr="00F1537F">
        <w:rPr>
          <w:rFonts w:ascii="Times New Roman" w:hAnsi="Times New Roman"/>
          <w:sz w:val="24"/>
          <w:szCs w:val="24"/>
        </w:rPr>
        <w:t xml:space="preserve">  The Commission will review each request for confidential treatment on a case-by-case basis.</w:t>
      </w:r>
      <w:r w:rsidR="00084A7F" w:rsidRPr="00F1537F">
        <w:rPr>
          <w:rFonts w:ascii="Times New Roman" w:hAnsi="Times New Roman"/>
          <w:sz w:val="24"/>
          <w:szCs w:val="24"/>
        </w:rPr>
        <w:t xml:space="preserve"> </w:t>
      </w:r>
    </w:p>
    <w:p w14:paraId="06B74231" w14:textId="77777777" w:rsidR="00F0627E" w:rsidRPr="00F1537F" w:rsidRDefault="00F0627E" w:rsidP="00BD0F89">
      <w:pPr>
        <w:spacing w:after="0" w:line="240" w:lineRule="auto"/>
        <w:rPr>
          <w:rFonts w:ascii="Times New Roman" w:hAnsi="Times New Roman"/>
          <w:sz w:val="24"/>
          <w:szCs w:val="24"/>
        </w:rPr>
      </w:pPr>
    </w:p>
    <w:p w14:paraId="3F7300DB" w14:textId="77777777" w:rsidR="00F0627E" w:rsidRPr="00F1537F" w:rsidRDefault="00F0627E" w:rsidP="00BD0F89">
      <w:pPr>
        <w:pStyle w:val="ListParagraph"/>
        <w:numPr>
          <w:ilvl w:val="0"/>
          <w:numId w:val="14"/>
        </w:numPr>
        <w:spacing w:after="0" w:line="240" w:lineRule="auto"/>
        <w:rPr>
          <w:rFonts w:ascii="Times New Roman" w:hAnsi="Times New Roman"/>
          <w:b/>
          <w:sz w:val="24"/>
          <w:szCs w:val="24"/>
        </w:rPr>
      </w:pPr>
      <w:r w:rsidRPr="00F1537F">
        <w:rPr>
          <w:rFonts w:ascii="Times New Roman" w:hAnsi="Times New Roman"/>
          <w:b/>
          <w:sz w:val="24"/>
          <w:szCs w:val="24"/>
        </w:rPr>
        <w:t>PROVIDE ADDITIONAL JUSTIFICATION FOR ANY QUESTIONS OF A SENSITIVE NATURE, SUCH AS SEXUAL BEHAVIOR AND ATTITUDES, RELIGIOUS BELIEFS, AND OTHER MATTERS THAT ARE COMMONLY CONSIDERED PRIVATE.</w:t>
      </w:r>
    </w:p>
    <w:p w14:paraId="39F4AE19" w14:textId="77777777" w:rsidR="00F0627E" w:rsidRPr="00F1537F" w:rsidRDefault="00F0627E" w:rsidP="00BD0F89">
      <w:pPr>
        <w:spacing w:after="0" w:line="240" w:lineRule="auto"/>
        <w:rPr>
          <w:rFonts w:ascii="Times New Roman" w:hAnsi="Times New Roman"/>
          <w:sz w:val="24"/>
          <w:szCs w:val="24"/>
        </w:rPr>
      </w:pPr>
    </w:p>
    <w:p w14:paraId="7AC7B511" w14:textId="77777777" w:rsidR="00F0627E" w:rsidRPr="00F1537F" w:rsidRDefault="00F0627E" w:rsidP="00BD0F89">
      <w:pPr>
        <w:spacing w:after="0" w:line="240" w:lineRule="auto"/>
        <w:rPr>
          <w:rFonts w:ascii="Times New Roman" w:hAnsi="Times New Roman"/>
          <w:sz w:val="24"/>
          <w:szCs w:val="24"/>
        </w:rPr>
      </w:pPr>
      <w:r w:rsidRPr="00F1537F">
        <w:rPr>
          <w:rFonts w:ascii="Times New Roman" w:hAnsi="Times New Roman"/>
          <w:sz w:val="24"/>
          <w:szCs w:val="24"/>
        </w:rPr>
        <w:t xml:space="preserve">There are no questions of a sensitive nature. </w:t>
      </w:r>
    </w:p>
    <w:p w14:paraId="5A7A5206" w14:textId="77777777" w:rsidR="00F0627E" w:rsidRPr="00F1537F" w:rsidRDefault="00F0627E" w:rsidP="00BD0F89">
      <w:pPr>
        <w:spacing w:after="0" w:line="240" w:lineRule="auto"/>
        <w:rPr>
          <w:rFonts w:ascii="Times New Roman" w:hAnsi="Times New Roman"/>
          <w:sz w:val="24"/>
          <w:szCs w:val="24"/>
        </w:rPr>
      </w:pPr>
    </w:p>
    <w:p w14:paraId="21A98BF8" w14:textId="77777777" w:rsidR="00F0627E" w:rsidRPr="00F1537F" w:rsidRDefault="00F0627E" w:rsidP="00BD0F89">
      <w:pPr>
        <w:pStyle w:val="ListParagraph"/>
        <w:numPr>
          <w:ilvl w:val="0"/>
          <w:numId w:val="14"/>
        </w:numPr>
        <w:spacing w:after="0" w:line="240" w:lineRule="auto"/>
        <w:rPr>
          <w:rFonts w:ascii="Times New Roman" w:hAnsi="Times New Roman"/>
          <w:sz w:val="24"/>
          <w:szCs w:val="24"/>
        </w:rPr>
      </w:pPr>
      <w:r w:rsidRPr="00F1537F">
        <w:rPr>
          <w:rFonts w:ascii="Times New Roman" w:hAnsi="Times New Roman"/>
          <w:b/>
          <w:sz w:val="24"/>
          <w:szCs w:val="24"/>
        </w:rPr>
        <w:t>ESTIMATED BURDEN OF COLLECTION OF INFORMATION</w:t>
      </w:r>
    </w:p>
    <w:p w14:paraId="006B7021" w14:textId="77777777" w:rsidR="00AD2C01" w:rsidRDefault="004A36E5" w:rsidP="00BD0F89">
      <w:pPr>
        <w:spacing w:after="0" w:line="240" w:lineRule="auto"/>
        <w:rPr>
          <w:rFonts w:ascii="Times New Roman" w:hAnsi="Times New Roman"/>
          <w:sz w:val="24"/>
          <w:szCs w:val="24"/>
        </w:rPr>
      </w:pPr>
      <w:r w:rsidRPr="00F1537F">
        <w:rPr>
          <w:rFonts w:ascii="Times New Roman" w:hAnsi="Times New Roman"/>
          <w:sz w:val="24"/>
          <w:szCs w:val="24"/>
        </w:rPr>
        <w:t xml:space="preserve"> </w:t>
      </w:r>
    </w:p>
    <w:p w14:paraId="34B95CF5" w14:textId="77777777" w:rsidR="00ED6497" w:rsidRDefault="00AD2C01" w:rsidP="00BD0F89">
      <w:pPr>
        <w:spacing w:after="0" w:line="240" w:lineRule="auto"/>
        <w:rPr>
          <w:rFonts w:ascii="Times New Roman" w:hAnsi="Times New Roman"/>
          <w:sz w:val="24"/>
          <w:szCs w:val="24"/>
        </w:rPr>
      </w:pPr>
      <w:r w:rsidRPr="00AD2C01">
        <w:rPr>
          <w:rFonts w:ascii="Times New Roman" w:hAnsi="Times New Roman"/>
          <w:sz w:val="24"/>
          <w:szCs w:val="24"/>
        </w:rPr>
        <w:t xml:space="preserve">The estimated changes to the burden and cost of the information collections </w:t>
      </w:r>
      <w:r w:rsidR="008D52BD">
        <w:rPr>
          <w:rFonts w:ascii="Times New Roman" w:hAnsi="Times New Roman"/>
          <w:sz w:val="24"/>
          <w:szCs w:val="24"/>
        </w:rPr>
        <w:t>as proposed by the NOPR</w:t>
      </w:r>
      <w:r w:rsidR="004C3208" w:rsidRPr="00AD2C01">
        <w:rPr>
          <w:rFonts w:ascii="Times New Roman" w:hAnsi="Times New Roman"/>
          <w:sz w:val="24"/>
          <w:szCs w:val="24"/>
        </w:rPr>
        <w:t xml:space="preserve"> </w:t>
      </w:r>
      <w:r w:rsidRPr="00AD2C01">
        <w:rPr>
          <w:rFonts w:ascii="Times New Roman" w:hAnsi="Times New Roman"/>
          <w:sz w:val="24"/>
          <w:szCs w:val="24"/>
        </w:rPr>
        <w:t xml:space="preserve">follow.  </w:t>
      </w:r>
    </w:p>
    <w:p w14:paraId="462FFAF9" w14:textId="77777777" w:rsidR="00ED6497" w:rsidRDefault="00ED6497" w:rsidP="00BD0F89">
      <w:pPr>
        <w:spacing w:after="0" w:line="240" w:lineRule="auto"/>
        <w:rPr>
          <w:rFonts w:ascii="Times New Roman" w:hAnsi="Times New Roman"/>
          <w:sz w:val="24"/>
          <w:szCs w:val="24"/>
        </w:rPr>
      </w:pPr>
    </w:p>
    <w:p w14:paraId="20411351" w14:textId="37F97852" w:rsidR="00100E2F" w:rsidRDefault="009E3BA7" w:rsidP="00100E2F">
      <w:pPr>
        <w:spacing w:after="0" w:line="240" w:lineRule="auto"/>
        <w:rPr>
          <w:rFonts w:ascii="Times New Roman" w:hAnsi="Times New Roman"/>
          <w:sz w:val="24"/>
          <w:szCs w:val="24"/>
        </w:rPr>
      </w:pPr>
      <w:r w:rsidRPr="009E3BA7">
        <w:rPr>
          <w:rFonts w:ascii="Times New Roman" w:hAnsi="Times New Roman"/>
          <w:sz w:val="24"/>
          <w:szCs w:val="24"/>
        </w:rPr>
        <w:t xml:space="preserve">The compliance burden estimates for the proposed revisions to the filing process for the VFP Forms are based on several assumptions and unique assessments for each form.  However, all regulated entities required to submit the VFP Forms would have to map the reporting information to the Commission’s standard XBRL taxonomy and create a final submission file(s).  </w:t>
      </w:r>
      <w:r w:rsidR="00100E2F" w:rsidRPr="009E3BA7">
        <w:rPr>
          <w:rFonts w:ascii="Times New Roman" w:hAnsi="Times New Roman"/>
          <w:sz w:val="24"/>
          <w:szCs w:val="24"/>
        </w:rPr>
        <w:t xml:space="preserve">The </w:t>
      </w:r>
      <w:r w:rsidR="00D17E68">
        <w:rPr>
          <w:rFonts w:ascii="Times New Roman" w:hAnsi="Times New Roman"/>
          <w:sz w:val="24"/>
          <w:szCs w:val="24"/>
        </w:rPr>
        <w:t>following</w:t>
      </w:r>
      <w:r w:rsidR="00100E2F" w:rsidRPr="009E3BA7">
        <w:rPr>
          <w:rFonts w:ascii="Times New Roman" w:hAnsi="Times New Roman"/>
          <w:sz w:val="24"/>
          <w:szCs w:val="24"/>
        </w:rPr>
        <w:t xml:space="preserve"> burden estimates </w:t>
      </w:r>
      <w:r w:rsidR="00D17E68">
        <w:rPr>
          <w:rFonts w:ascii="Times New Roman" w:hAnsi="Times New Roman"/>
          <w:sz w:val="24"/>
          <w:szCs w:val="24"/>
        </w:rPr>
        <w:t>associated with</w:t>
      </w:r>
      <w:r w:rsidR="00100E2F" w:rsidRPr="009E3BA7">
        <w:rPr>
          <w:rFonts w:ascii="Times New Roman" w:hAnsi="Times New Roman"/>
          <w:sz w:val="24"/>
          <w:szCs w:val="24"/>
        </w:rPr>
        <w:t xml:space="preserve"> the proposal in this NOPR are </w:t>
      </w:r>
      <w:r w:rsidR="00395C37">
        <w:rPr>
          <w:rFonts w:ascii="Times New Roman" w:hAnsi="Times New Roman"/>
          <w:sz w:val="24"/>
          <w:szCs w:val="24"/>
        </w:rPr>
        <w:t xml:space="preserve">based on </w:t>
      </w:r>
      <w:r w:rsidR="00C56D52">
        <w:rPr>
          <w:rFonts w:ascii="Times New Roman" w:hAnsi="Times New Roman"/>
          <w:sz w:val="24"/>
          <w:szCs w:val="24"/>
        </w:rPr>
        <w:t>the</w:t>
      </w:r>
      <w:r w:rsidR="00100E2F" w:rsidRPr="009E3BA7">
        <w:rPr>
          <w:rFonts w:ascii="Times New Roman" w:hAnsi="Times New Roman"/>
          <w:sz w:val="24"/>
          <w:szCs w:val="24"/>
        </w:rPr>
        <w:t xml:space="preserve"> one-time implementation of </w:t>
      </w:r>
      <w:r w:rsidR="00D17E68">
        <w:rPr>
          <w:rFonts w:ascii="Times New Roman" w:hAnsi="Times New Roman"/>
          <w:sz w:val="24"/>
          <w:szCs w:val="24"/>
        </w:rPr>
        <w:t>an</w:t>
      </w:r>
      <w:r w:rsidR="00100E2F" w:rsidRPr="009E3BA7">
        <w:rPr>
          <w:rFonts w:ascii="Times New Roman" w:hAnsi="Times New Roman"/>
          <w:sz w:val="24"/>
          <w:szCs w:val="24"/>
        </w:rPr>
        <w:t xml:space="preserve"> XBRL</w:t>
      </w:r>
      <w:r w:rsidR="00D17E68">
        <w:rPr>
          <w:rFonts w:ascii="Times New Roman" w:hAnsi="Times New Roman"/>
          <w:sz w:val="24"/>
          <w:szCs w:val="24"/>
        </w:rPr>
        <w:t>-based reporting system</w:t>
      </w:r>
      <w:r w:rsidR="00100E2F" w:rsidRPr="009E3BA7">
        <w:rPr>
          <w:rFonts w:ascii="Times New Roman" w:hAnsi="Times New Roman"/>
          <w:sz w:val="24"/>
          <w:szCs w:val="24"/>
        </w:rPr>
        <w:t xml:space="preserve"> </w:t>
      </w:r>
      <w:r w:rsidR="00100E2F">
        <w:rPr>
          <w:rFonts w:ascii="Times New Roman" w:hAnsi="Times New Roman"/>
          <w:sz w:val="24"/>
          <w:szCs w:val="24"/>
        </w:rPr>
        <w:t>(Year 1)</w:t>
      </w:r>
      <w:r w:rsidR="00100E2F" w:rsidRPr="009E3BA7">
        <w:rPr>
          <w:rFonts w:ascii="Times New Roman" w:hAnsi="Times New Roman"/>
          <w:sz w:val="24"/>
          <w:szCs w:val="24"/>
        </w:rPr>
        <w:t>, and an ongoing estimate for maintenance of the XBRL</w:t>
      </w:r>
      <w:r w:rsidR="00C56D52">
        <w:rPr>
          <w:rFonts w:ascii="Times New Roman" w:hAnsi="Times New Roman"/>
          <w:sz w:val="24"/>
          <w:szCs w:val="24"/>
        </w:rPr>
        <w:t>-based</w:t>
      </w:r>
      <w:r w:rsidR="00100E2F" w:rsidRPr="009E3BA7">
        <w:rPr>
          <w:rFonts w:ascii="Times New Roman" w:hAnsi="Times New Roman"/>
          <w:sz w:val="24"/>
          <w:szCs w:val="24"/>
        </w:rPr>
        <w:t xml:space="preserve"> reporting system</w:t>
      </w:r>
      <w:r w:rsidR="00100E2F">
        <w:rPr>
          <w:rFonts w:ascii="Times New Roman" w:hAnsi="Times New Roman"/>
          <w:sz w:val="24"/>
          <w:szCs w:val="24"/>
        </w:rPr>
        <w:t xml:space="preserve"> (Years 2 and 3)</w:t>
      </w:r>
      <w:r w:rsidR="00100E2F" w:rsidRPr="009E3BA7">
        <w:rPr>
          <w:rFonts w:ascii="Times New Roman" w:hAnsi="Times New Roman"/>
          <w:sz w:val="24"/>
          <w:szCs w:val="24"/>
        </w:rPr>
        <w:t xml:space="preserve">.  </w:t>
      </w:r>
      <w:r w:rsidR="00100E2F">
        <w:rPr>
          <w:rFonts w:ascii="Times New Roman" w:hAnsi="Times New Roman"/>
          <w:sz w:val="24"/>
          <w:szCs w:val="24"/>
        </w:rPr>
        <w:t xml:space="preserve">The original </w:t>
      </w:r>
      <w:r w:rsidR="00D17E68">
        <w:rPr>
          <w:rFonts w:ascii="Times New Roman" w:hAnsi="Times New Roman"/>
          <w:sz w:val="24"/>
          <w:szCs w:val="24"/>
        </w:rPr>
        <w:t xml:space="preserve">information collection </w:t>
      </w:r>
      <w:r w:rsidR="00100E2F">
        <w:rPr>
          <w:rFonts w:ascii="Times New Roman" w:hAnsi="Times New Roman"/>
          <w:sz w:val="24"/>
          <w:szCs w:val="24"/>
        </w:rPr>
        <w:t xml:space="preserve">burden for each individual form referenced in the NOPR </w:t>
      </w:r>
      <w:r w:rsidR="00D17E68">
        <w:rPr>
          <w:rFonts w:ascii="Times New Roman" w:hAnsi="Times New Roman"/>
          <w:sz w:val="24"/>
          <w:szCs w:val="24"/>
        </w:rPr>
        <w:t>remains un</w:t>
      </w:r>
      <w:r w:rsidR="00100E2F">
        <w:rPr>
          <w:rFonts w:ascii="Times New Roman" w:hAnsi="Times New Roman"/>
          <w:sz w:val="24"/>
          <w:szCs w:val="24"/>
        </w:rPr>
        <w:t>changed.</w:t>
      </w:r>
    </w:p>
    <w:p w14:paraId="331A1EE9" w14:textId="77777777" w:rsidR="00100E2F" w:rsidRDefault="00100E2F" w:rsidP="00100E2F">
      <w:pPr>
        <w:spacing w:after="0" w:line="240" w:lineRule="auto"/>
        <w:rPr>
          <w:rFonts w:ascii="Times New Roman" w:hAnsi="Times New Roman"/>
          <w:sz w:val="24"/>
          <w:szCs w:val="24"/>
        </w:rPr>
      </w:pPr>
    </w:p>
    <w:p w14:paraId="39BBEAE0" w14:textId="11673ADF" w:rsidR="009E3BA7" w:rsidRDefault="009E3BA7" w:rsidP="00100E2F">
      <w:pPr>
        <w:spacing w:after="0" w:line="240" w:lineRule="auto"/>
        <w:rPr>
          <w:rFonts w:ascii="Times New Roman" w:hAnsi="Times New Roman"/>
          <w:sz w:val="24"/>
          <w:szCs w:val="24"/>
        </w:rPr>
      </w:pPr>
      <w:r w:rsidRPr="009E3BA7">
        <w:rPr>
          <w:rFonts w:ascii="Times New Roman" w:hAnsi="Times New Roman"/>
          <w:sz w:val="24"/>
          <w:szCs w:val="24"/>
        </w:rPr>
        <w:t>Based on discussions with other federal agencies, subject matter experts in XBRL data collection and the VFP Forms, and entities that have prepared their financial information in XBRL, we estimate that filers would incur the following average burden hours</w:t>
      </w:r>
      <w:r w:rsidR="002E7379">
        <w:rPr>
          <w:rFonts w:ascii="Times New Roman" w:hAnsi="Times New Roman"/>
          <w:sz w:val="24"/>
          <w:szCs w:val="24"/>
        </w:rPr>
        <w:t>.  We</w:t>
      </w:r>
      <w:r w:rsidR="00AA2BD5">
        <w:rPr>
          <w:rFonts w:ascii="Times New Roman" w:hAnsi="Times New Roman"/>
          <w:sz w:val="24"/>
          <w:szCs w:val="24"/>
        </w:rPr>
        <w:t xml:space="preserve"> </w:t>
      </w:r>
      <w:r w:rsidR="0096666B">
        <w:rPr>
          <w:rFonts w:ascii="Times New Roman" w:hAnsi="Times New Roman"/>
          <w:sz w:val="24"/>
          <w:szCs w:val="24"/>
        </w:rPr>
        <w:t xml:space="preserve">conservatively estimate that this </w:t>
      </w:r>
      <w:r w:rsidR="002E7379">
        <w:rPr>
          <w:rFonts w:ascii="Times New Roman" w:hAnsi="Times New Roman"/>
          <w:sz w:val="24"/>
          <w:szCs w:val="24"/>
        </w:rPr>
        <w:t xml:space="preserve">average </w:t>
      </w:r>
      <w:r w:rsidR="0096666B">
        <w:rPr>
          <w:rFonts w:ascii="Times New Roman" w:hAnsi="Times New Roman"/>
          <w:sz w:val="24"/>
          <w:szCs w:val="24"/>
        </w:rPr>
        <w:t>burden will be approximately 80</w:t>
      </w:r>
      <w:r w:rsidR="002E7379">
        <w:rPr>
          <w:rFonts w:ascii="Times New Roman" w:hAnsi="Times New Roman"/>
          <w:sz w:val="24"/>
          <w:szCs w:val="24"/>
        </w:rPr>
        <w:t xml:space="preserve"> percent</w:t>
      </w:r>
      <w:r w:rsidR="0096666B">
        <w:rPr>
          <w:rFonts w:ascii="Times New Roman" w:hAnsi="Times New Roman"/>
          <w:sz w:val="24"/>
          <w:szCs w:val="24"/>
        </w:rPr>
        <w:t xml:space="preserve"> of the burden that the </w:t>
      </w:r>
      <w:r w:rsidR="002E7379">
        <w:rPr>
          <w:rFonts w:ascii="Times New Roman" w:hAnsi="Times New Roman"/>
          <w:sz w:val="24"/>
          <w:szCs w:val="24"/>
        </w:rPr>
        <w:t xml:space="preserve">U.S. </w:t>
      </w:r>
      <w:r w:rsidR="0096666B">
        <w:rPr>
          <w:rFonts w:ascii="Times New Roman" w:hAnsi="Times New Roman"/>
          <w:sz w:val="24"/>
          <w:szCs w:val="24"/>
        </w:rPr>
        <w:t xml:space="preserve">Securities and Exchange Commission (SEC) estimated </w:t>
      </w:r>
      <w:r w:rsidR="00E742EF">
        <w:rPr>
          <w:rFonts w:ascii="Times New Roman" w:hAnsi="Times New Roman"/>
          <w:sz w:val="24"/>
          <w:szCs w:val="24"/>
        </w:rPr>
        <w:t xml:space="preserve">that </w:t>
      </w:r>
      <w:r w:rsidR="0096666B">
        <w:rPr>
          <w:rFonts w:ascii="Times New Roman" w:hAnsi="Times New Roman"/>
          <w:sz w:val="24"/>
          <w:szCs w:val="24"/>
        </w:rPr>
        <w:t xml:space="preserve">filers would incur when the SEC mandated reporting of financial information in XBRL in </w:t>
      </w:r>
      <w:r w:rsidR="00633864">
        <w:rPr>
          <w:rFonts w:ascii="Times New Roman" w:hAnsi="Times New Roman"/>
          <w:sz w:val="24"/>
          <w:szCs w:val="24"/>
        </w:rPr>
        <w:t xml:space="preserve">its final rule on </w:t>
      </w:r>
      <w:r w:rsidR="0096666B">
        <w:rPr>
          <w:rFonts w:ascii="Times New Roman" w:hAnsi="Times New Roman"/>
          <w:sz w:val="24"/>
          <w:szCs w:val="24"/>
        </w:rPr>
        <w:t>Interactive Data to Improve Financial Reporting</w:t>
      </w:r>
      <w:r w:rsidR="00633864">
        <w:rPr>
          <w:rFonts w:ascii="Times New Roman" w:hAnsi="Times New Roman"/>
          <w:sz w:val="24"/>
          <w:szCs w:val="24"/>
        </w:rPr>
        <w:t xml:space="preserve"> </w:t>
      </w:r>
      <w:r w:rsidR="00266990">
        <w:rPr>
          <w:rFonts w:ascii="Times New Roman" w:hAnsi="Times New Roman"/>
          <w:sz w:val="24"/>
          <w:szCs w:val="24"/>
        </w:rPr>
        <w:t>(</w:t>
      </w:r>
      <w:r w:rsidR="00633864">
        <w:rPr>
          <w:rFonts w:ascii="Times New Roman" w:hAnsi="Times New Roman"/>
          <w:sz w:val="24"/>
          <w:szCs w:val="24"/>
        </w:rPr>
        <w:t>issued on January 30, 2009</w:t>
      </w:r>
      <w:r w:rsidR="00266990">
        <w:rPr>
          <w:rFonts w:ascii="Times New Roman" w:hAnsi="Times New Roman"/>
          <w:sz w:val="24"/>
          <w:szCs w:val="24"/>
        </w:rPr>
        <w:t>)</w:t>
      </w:r>
      <w:r w:rsidRPr="009E3BA7">
        <w:rPr>
          <w:rFonts w:ascii="Times New Roman" w:hAnsi="Times New Roman"/>
          <w:sz w:val="24"/>
          <w:szCs w:val="24"/>
        </w:rPr>
        <w:t xml:space="preserve">: </w:t>
      </w:r>
    </w:p>
    <w:p w14:paraId="28C0ECB2" w14:textId="77777777" w:rsidR="0096666B" w:rsidRPr="009E3BA7" w:rsidRDefault="0096666B" w:rsidP="00BD0F89">
      <w:pPr>
        <w:spacing w:after="0" w:line="240" w:lineRule="auto"/>
        <w:rPr>
          <w:rFonts w:ascii="Times New Roman" w:hAnsi="Times New Roman"/>
          <w:sz w:val="24"/>
          <w:szCs w:val="24"/>
        </w:rPr>
      </w:pPr>
    </w:p>
    <w:p w14:paraId="792E6F62" w14:textId="77777777" w:rsidR="009E3BA7" w:rsidRPr="009E3BA7" w:rsidRDefault="009E3BA7" w:rsidP="00BD0F89">
      <w:pPr>
        <w:numPr>
          <w:ilvl w:val="0"/>
          <w:numId w:val="20"/>
        </w:numPr>
        <w:spacing w:after="0" w:line="240" w:lineRule="auto"/>
        <w:rPr>
          <w:rFonts w:ascii="Times New Roman" w:hAnsi="Times New Roman"/>
          <w:sz w:val="24"/>
          <w:szCs w:val="24"/>
        </w:rPr>
      </w:pPr>
      <w:r w:rsidRPr="009E3BA7">
        <w:rPr>
          <w:rFonts w:ascii="Times New Roman" w:hAnsi="Times New Roman"/>
          <w:sz w:val="24"/>
          <w:szCs w:val="24"/>
        </w:rPr>
        <w:t>XBRL Form Nos. 1, 1-F, 3-Q electric, 2, 2-A, 3-Q natural gas, 6, and 6-Q</w:t>
      </w:r>
      <w:r w:rsidRPr="009E3BA7">
        <w:rPr>
          <w:rFonts w:ascii="Times New Roman" w:hAnsi="Times New Roman"/>
          <w:b/>
          <w:sz w:val="24"/>
          <w:szCs w:val="24"/>
          <w:vertAlign w:val="superscript"/>
        </w:rPr>
        <w:footnoteReference w:id="16"/>
      </w:r>
    </w:p>
    <w:p w14:paraId="057404E8" w14:textId="77777777" w:rsidR="009E3BA7" w:rsidRPr="009E3BA7" w:rsidRDefault="009E3BA7" w:rsidP="00BD0F89">
      <w:pPr>
        <w:numPr>
          <w:ilvl w:val="1"/>
          <w:numId w:val="20"/>
        </w:numPr>
        <w:spacing w:after="0" w:line="240" w:lineRule="auto"/>
        <w:rPr>
          <w:rFonts w:ascii="Times New Roman" w:hAnsi="Times New Roman"/>
          <w:sz w:val="24"/>
          <w:szCs w:val="24"/>
        </w:rPr>
      </w:pPr>
      <w:r w:rsidRPr="009E3BA7">
        <w:rPr>
          <w:rFonts w:ascii="Times New Roman" w:hAnsi="Times New Roman"/>
          <w:sz w:val="24"/>
          <w:szCs w:val="24"/>
        </w:rPr>
        <w:t>Burden hours to tag in XBRL:</w:t>
      </w:r>
    </w:p>
    <w:p w14:paraId="4EECE6F6" w14:textId="77777777" w:rsidR="009E3BA7" w:rsidRPr="009E3BA7" w:rsidRDefault="009E3BA7" w:rsidP="00BD0F89">
      <w:pPr>
        <w:numPr>
          <w:ilvl w:val="2"/>
          <w:numId w:val="20"/>
        </w:numPr>
        <w:spacing w:after="0" w:line="240" w:lineRule="auto"/>
        <w:rPr>
          <w:rFonts w:ascii="Times New Roman" w:hAnsi="Times New Roman"/>
          <w:sz w:val="24"/>
          <w:szCs w:val="24"/>
        </w:rPr>
      </w:pPr>
      <w:r w:rsidRPr="009E3BA7">
        <w:rPr>
          <w:rFonts w:ascii="Times New Roman" w:hAnsi="Times New Roman"/>
          <w:sz w:val="24"/>
          <w:szCs w:val="24"/>
        </w:rPr>
        <w:t>100 hours to prepare and submit the first filing using XBRL; and</w:t>
      </w:r>
    </w:p>
    <w:p w14:paraId="71654B6C" w14:textId="77777777" w:rsidR="009E3BA7" w:rsidRPr="009E3BA7" w:rsidRDefault="009E3BA7" w:rsidP="00BD0F89">
      <w:pPr>
        <w:numPr>
          <w:ilvl w:val="2"/>
          <w:numId w:val="20"/>
        </w:numPr>
        <w:spacing w:after="0" w:line="240" w:lineRule="auto"/>
        <w:rPr>
          <w:rFonts w:ascii="Times New Roman" w:hAnsi="Times New Roman"/>
          <w:sz w:val="24"/>
          <w:szCs w:val="24"/>
        </w:rPr>
      </w:pPr>
      <w:r w:rsidRPr="009E3BA7">
        <w:rPr>
          <w:rFonts w:ascii="Times New Roman" w:hAnsi="Times New Roman"/>
          <w:sz w:val="24"/>
          <w:szCs w:val="24"/>
        </w:rPr>
        <w:t>14 hours for each subsequent filing in XBRL.</w:t>
      </w:r>
    </w:p>
    <w:p w14:paraId="560B6931" w14:textId="77777777" w:rsidR="009E3BA7" w:rsidRPr="009E3BA7" w:rsidRDefault="009E3BA7" w:rsidP="00BD0F89">
      <w:pPr>
        <w:numPr>
          <w:ilvl w:val="0"/>
          <w:numId w:val="20"/>
        </w:numPr>
        <w:spacing w:after="0" w:line="240" w:lineRule="auto"/>
        <w:rPr>
          <w:rFonts w:ascii="Times New Roman" w:hAnsi="Times New Roman"/>
          <w:sz w:val="24"/>
          <w:szCs w:val="24"/>
        </w:rPr>
      </w:pPr>
      <w:r w:rsidRPr="009E3BA7">
        <w:rPr>
          <w:rFonts w:ascii="Times New Roman" w:hAnsi="Times New Roman"/>
          <w:sz w:val="24"/>
          <w:szCs w:val="24"/>
        </w:rPr>
        <w:t>Form No. 60</w:t>
      </w:r>
      <w:r w:rsidR="0051491B">
        <w:rPr>
          <w:rFonts w:ascii="Times New Roman" w:hAnsi="Times New Roman"/>
          <w:sz w:val="24"/>
          <w:szCs w:val="24"/>
        </w:rPr>
        <w:t>A</w:t>
      </w:r>
    </w:p>
    <w:p w14:paraId="0ECF597E" w14:textId="77777777" w:rsidR="009E3BA7" w:rsidRPr="009E3BA7" w:rsidRDefault="009E3BA7" w:rsidP="00BD0F89">
      <w:pPr>
        <w:numPr>
          <w:ilvl w:val="1"/>
          <w:numId w:val="20"/>
        </w:numPr>
        <w:spacing w:after="0" w:line="240" w:lineRule="auto"/>
        <w:rPr>
          <w:rFonts w:ascii="Times New Roman" w:hAnsi="Times New Roman"/>
          <w:sz w:val="24"/>
          <w:szCs w:val="24"/>
        </w:rPr>
      </w:pPr>
      <w:r w:rsidRPr="009E3BA7">
        <w:rPr>
          <w:rFonts w:ascii="Times New Roman" w:hAnsi="Times New Roman"/>
          <w:sz w:val="24"/>
          <w:szCs w:val="24"/>
        </w:rPr>
        <w:t>Burden hours to tag in XBRL:</w:t>
      </w:r>
    </w:p>
    <w:p w14:paraId="43A8DE56" w14:textId="77777777" w:rsidR="009E3BA7" w:rsidRPr="009E3BA7" w:rsidRDefault="009E3BA7" w:rsidP="00BD0F89">
      <w:pPr>
        <w:numPr>
          <w:ilvl w:val="2"/>
          <w:numId w:val="20"/>
        </w:numPr>
        <w:spacing w:after="0" w:line="240" w:lineRule="auto"/>
        <w:rPr>
          <w:rFonts w:ascii="Times New Roman" w:hAnsi="Times New Roman"/>
          <w:sz w:val="24"/>
          <w:szCs w:val="24"/>
        </w:rPr>
      </w:pPr>
      <w:r w:rsidRPr="009E3BA7">
        <w:rPr>
          <w:rFonts w:ascii="Times New Roman" w:hAnsi="Times New Roman"/>
          <w:sz w:val="24"/>
          <w:szCs w:val="24"/>
        </w:rPr>
        <w:t>20 hours to prepare and submit the first filing made in XBRL; and</w:t>
      </w:r>
    </w:p>
    <w:p w14:paraId="40665F7C" w14:textId="77777777" w:rsidR="009E3BA7" w:rsidRPr="009E3BA7" w:rsidRDefault="009E3BA7" w:rsidP="00BD0F89">
      <w:pPr>
        <w:numPr>
          <w:ilvl w:val="2"/>
          <w:numId w:val="20"/>
        </w:numPr>
        <w:spacing w:after="0" w:line="240" w:lineRule="auto"/>
        <w:rPr>
          <w:rFonts w:ascii="Times New Roman" w:hAnsi="Times New Roman"/>
          <w:sz w:val="24"/>
          <w:szCs w:val="24"/>
        </w:rPr>
      </w:pPr>
      <w:r w:rsidRPr="009E3BA7">
        <w:rPr>
          <w:rFonts w:ascii="Times New Roman" w:hAnsi="Times New Roman"/>
          <w:sz w:val="24"/>
          <w:szCs w:val="24"/>
        </w:rPr>
        <w:t>3 hours for each subsequent filing.</w:t>
      </w:r>
    </w:p>
    <w:p w14:paraId="3269F482" w14:textId="77777777" w:rsidR="009E3BA7" w:rsidRPr="009E3BA7" w:rsidRDefault="009E3BA7" w:rsidP="00BD0F89">
      <w:pPr>
        <w:numPr>
          <w:ilvl w:val="0"/>
          <w:numId w:val="20"/>
        </w:numPr>
        <w:spacing w:after="0" w:line="240" w:lineRule="auto"/>
        <w:rPr>
          <w:rFonts w:ascii="Times New Roman" w:hAnsi="Times New Roman"/>
          <w:sz w:val="24"/>
          <w:szCs w:val="24"/>
        </w:rPr>
      </w:pPr>
      <w:r w:rsidRPr="009E3BA7">
        <w:rPr>
          <w:rFonts w:ascii="Times New Roman" w:hAnsi="Times New Roman"/>
          <w:sz w:val="24"/>
          <w:szCs w:val="24"/>
        </w:rPr>
        <w:t xml:space="preserve">Form </w:t>
      </w:r>
      <w:r w:rsidRPr="0051491B">
        <w:rPr>
          <w:rFonts w:ascii="Times New Roman" w:hAnsi="Times New Roman"/>
          <w:sz w:val="24"/>
          <w:szCs w:val="24"/>
        </w:rPr>
        <w:t>No. 714</w:t>
      </w:r>
      <w:r w:rsidR="0051491B" w:rsidRPr="0051491B">
        <w:rPr>
          <w:rFonts w:ascii="Times New Roman" w:hAnsi="Times New Roman"/>
          <w:sz w:val="24"/>
          <w:szCs w:val="24"/>
        </w:rPr>
        <w:t>A</w:t>
      </w:r>
    </w:p>
    <w:p w14:paraId="25D5FE9D" w14:textId="77777777" w:rsidR="009E3BA7" w:rsidRPr="009E3BA7" w:rsidRDefault="009E3BA7" w:rsidP="00BD0F89">
      <w:pPr>
        <w:numPr>
          <w:ilvl w:val="1"/>
          <w:numId w:val="20"/>
        </w:numPr>
        <w:spacing w:after="0" w:line="240" w:lineRule="auto"/>
        <w:rPr>
          <w:rFonts w:ascii="Times New Roman" w:hAnsi="Times New Roman"/>
          <w:sz w:val="24"/>
          <w:szCs w:val="24"/>
        </w:rPr>
      </w:pPr>
      <w:r w:rsidRPr="009E3BA7">
        <w:rPr>
          <w:rFonts w:ascii="Times New Roman" w:hAnsi="Times New Roman"/>
          <w:sz w:val="24"/>
          <w:szCs w:val="24"/>
        </w:rPr>
        <w:t>Burden hours to tag in XBRL:</w:t>
      </w:r>
    </w:p>
    <w:p w14:paraId="1D958948" w14:textId="77777777" w:rsidR="009E3BA7" w:rsidRPr="009E3BA7" w:rsidRDefault="009E3BA7" w:rsidP="00BD0F89">
      <w:pPr>
        <w:numPr>
          <w:ilvl w:val="2"/>
          <w:numId w:val="20"/>
        </w:numPr>
        <w:spacing w:after="0" w:line="240" w:lineRule="auto"/>
        <w:rPr>
          <w:rFonts w:ascii="Times New Roman" w:hAnsi="Times New Roman"/>
          <w:sz w:val="24"/>
          <w:szCs w:val="24"/>
        </w:rPr>
      </w:pPr>
      <w:r w:rsidRPr="009E3BA7">
        <w:rPr>
          <w:rFonts w:ascii="Times New Roman" w:hAnsi="Times New Roman"/>
          <w:sz w:val="24"/>
          <w:szCs w:val="24"/>
        </w:rPr>
        <w:t>15 hours to prepare and submit the first filing made in XBRL; and</w:t>
      </w:r>
    </w:p>
    <w:p w14:paraId="0CC04422" w14:textId="77777777" w:rsidR="009E3BA7" w:rsidRPr="009E3BA7" w:rsidRDefault="009E3BA7" w:rsidP="00BD0F89">
      <w:pPr>
        <w:numPr>
          <w:ilvl w:val="2"/>
          <w:numId w:val="20"/>
        </w:numPr>
        <w:spacing w:after="0" w:line="240" w:lineRule="auto"/>
        <w:rPr>
          <w:rFonts w:ascii="Times New Roman" w:hAnsi="Times New Roman"/>
          <w:sz w:val="24"/>
          <w:szCs w:val="24"/>
        </w:rPr>
      </w:pPr>
      <w:r w:rsidRPr="009E3BA7">
        <w:rPr>
          <w:rFonts w:ascii="Times New Roman" w:hAnsi="Times New Roman"/>
          <w:sz w:val="24"/>
          <w:szCs w:val="24"/>
        </w:rPr>
        <w:t>2 hours for each subsequent filing.</w:t>
      </w:r>
    </w:p>
    <w:p w14:paraId="47028FF0" w14:textId="06EF4F1C" w:rsidR="00AD2C01" w:rsidRDefault="00AD2C01" w:rsidP="00BD0F89">
      <w:pPr>
        <w:spacing w:after="0" w:line="240" w:lineRule="auto"/>
        <w:rPr>
          <w:rFonts w:ascii="Times New Roman" w:hAnsi="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4"/>
        <w:gridCol w:w="1383"/>
        <w:gridCol w:w="1289"/>
        <w:gridCol w:w="1197"/>
        <w:gridCol w:w="1293"/>
        <w:gridCol w:w="1471"/>
        <w:gridCol w:w="1289"/>
      </w:tblGrid>
      <w:tr w:rsidR="009E3BA7" w:rsidRPr="009E3BA7" w14:paraId="74862D27" w14:textId="77777777" w:rsidTr="009E3BA7">
        <w:trPr>
          <w:cantSplit/>
          <w:jc w:val="center"/>
        </w:trPr>
        <w:tc>
          <w:tcPr>
            <w:tcW w:w="5000" w:type="pct"/>
            <w:gridSpan w:val="7"/>
            <w:shd w:val="clear" w:color="auto" w:fill="D9D9D9"/>
          </w:tcPr>
          <w:p w14:paraId="3DEAB656"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RM19-12-000 NOPR</w:t>
            </w:r>
          </w:p>
          <w:p w14:paraId="7061D71B"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One-Time Implementation Burden</w:t>
            </w:r>
            <w:r>
              <w:rPr>
                <w:rFonts w:ascii="Times New Roman" w:hAnsi="Times New Roman"/>
                <w:b/>
                <w:sz w:val="20"/>
                <w:szCs w:val="20"/>
              </w:rPr>
              <w:t>, in Year 1</w:t>
            </w:r>
          </w:p>
        </w:tc>
      </w:tr>
      <w:tr w:rsidR="009E3BA7" w:rsidRPr="009E3BA7" w14:paraId="7973BBFA" w14:textId="77777777" w:rsidTr="009E3BA7">
        <w:trPr>
          <w:cantSplit/>
          <w:jc w:val="center"/>
        </w:trPr>
        <w:tc>
          <w:tcPr>
            <w:tcW w:w="864" w:type="pct"/>
            <w:shd w:val="clear" w:color="auto" w:fill="D9D9D9"/>
            <w:vAlign w:val="bottom"/>
          </w:tcPr>
          <w:p w14:paraId="5A7F253B" w14:textId="77777777" w:rsidR="009E3BA7" w:rsidRPr="009E3BA7" w:rsidRDefault="009E3BA7" w:rsidP="00BD0F89">
            <w:pPr>
              <w:keepNext/>
              <w:spacing w:after="0" w:line="240" w:lineRule="auto"/>
              <w:rPr>
                <w:rFonts w:ascii="Times New Roman" w:hAnsi="Times New Roman"/>
                <w:b/>
                <w:sz w:val="20"/>
                <w:szCs w:val="20"/>
              </w:rPr>
            </w:pPr>
            <w:r w:rsidRPr="009E3BA7">
              <w:rPr>
                <w:rFonts w:ascii="Times New Roman" w:hAnsi="Times New Roman"/>
                <w:b/>
                <w:sz w:val="20"/>
                <w:szCs w:val="20"/>
              </w:rPr>
              <w:t>Requirement</w:t>
            </w:r>
          </w:p>
        </w:tc>
        <w:tc>
          <w:tcPr>
            <w:tcW w:w="722" w:type="pct"/>
            <w:shd w:val="clear" w:color="auto" w:fill="D9D9D9"/>
            <w:vAlign w:val="bottom"/>
          </w:tcPr>
          <w:p w14:paraId="5AC43035"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Number of Respondents</w:t>
            </w:r>
          </w:p>
          <w:p w14:paraId="337A510C"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(1)</w:t>
            </w:r>
          </w:p>
        </w:tc>
        <w:tc>
          <w:tcPr>
            <w:tcW w:w="673" w:type="pct"/>
            <w:shd w:val="clear" w:color="auto" w:fill="D9D9D9"/>
            <w:vAlign w:val="bottom"/>
          </w:tcPr>
          <w:p w14:paraId="7684137F"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Annual Number of Responses per Respondent</w:t>
            </w:r>
          </w:p>
          <w:p w14:paraId="43ECDCAF"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(2)</w:t>
            </w:r>
          </w:p>
        </w:tc>
        <w:tc>
          <w:tcPr>
            <w:tcW w:w="625" w:type="pct"/>
            <w:shd w:val="clear" w:color="auto" w:fill="D9D9D9"/>
            <w:vAlign w:val="bottom"/>
          </w:tcPr>
          <w:p w14:paraId="70DAEEA0"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Total Number of Responses</w:t>
            </w:r>
          </w:p>
          <w:p w14:paraId="1A017427"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(1)*(2)=(3)</w:t>
            </w:r>
          </w:p>
        </w:tc>
        <w:tc>
          <w:tcPr>
            <w:tcW w:w="675" w:type="pct"/>
            <w:shd w:val="clear" w:color="auto" w:fill="D9D9D9"/>
            <w:vAlign w:val="bottom"/>
          </w:tcPr>
          <w:p w14:paraId="44D1B1BE"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Average Burden &amp; Cost Per Response</w:t>
            </w:r>
            <w:r w:rsidRPr="009E3BA7">
              <w:rPr>
                <w:rFonts w:ascii="Times New Roman" w:hAnsi="Times New Roman"/>
                <w:b/>
                <w:sz w:val="26"/>
                <w:szCs w:val="20"/>
                <w:vertAlign w:val="superscript"/>
              </w:rPr>
              <w:footnoteReference w:id="17"/>
            </w:r>
          </w:p>
          <w:p w14:paraId="3B9C9AFE"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(4)</w:t>
            </w:r>
          </w:p>
        </w:tc>
        <w:tc>
          <w:tcPr>
            <w:tcW w:w="768" w:type="pct"/>
            <w:shd w:val="clear" w:color="auto" w:fill="D9D9D9"/>
            <w:vAlign w:val="bottom"/>
          </w:tcPr>
          <w:p w14:paraId="01F2DB5E"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Total Annual Burden Hours &amp; Cost</w:t>
            </w:r>
            <w:r w:rsidRPr="009E3BA7">
              <w:rPr>
                <w:rFonts w:ascii="Times New Roman" w:hAnsi="Times New Roman"/>
                <w:b/>
                <w:sz w:val="26"/>
                <w:szCs w:val="20"/>
                <w:vertAlign w:val="superscript"/>
              </w:rPr>
              <w:footnoteReference w:id="18"/>
            </w:r>
          </w:p>
          <w:p w14:paraId="5CD65780"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(3)*(4)=(5)</w:t>
            </w:r>
          </w:p>
        </w:tc>
        <w:tc>
          <w:tcPr>
            <w:tcW w:w="673" w:type="pct"/>
            <w:shd w:val="clear" w:color="auto" w:fill="D9D9D9"/>
            <w:vAlign w:val="bottom"/>
          </w:tcPr>
          <w:p w14:paraId="25E7A5BE"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Annual Cost per Respondent ($)</w:t>
            </w:r>
          </w:p>
          <w:p w14:paraId="42CE2524"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(5)÷(1)</w:t>
            </w:r>
          </w:p>
        </w:tc>
      </w:tr>
      <w:tr w:rsidR="009E3BA7" w:rsidRPr="009E3BA7" w14:paraId="576EF4D2" w14:textId="77777777" w:rsidTr="009E3BA7">
        <w:trPr>
          <w:cantSplit/>
          <w:jc w:val="center"/>
        </w:trPr>
        <w:tc>
          <w:tcPr>
            <w:tcW w:w="864" w:type="pct"/>
            <w:tcBorders>
              <w:top w:val="single" w:sz="4" w:space="0" w:color="auto"/>
              <w:left w:val="single" w:sz="4" w:space="0" w:color="auto"/>
              <w:bottom w:val="single" w:sz="4" w:space="0" w:color="auto"/>
              <w:right w:val="single" w:sz="4" w:space="0" w:color="auto"/>
            </w:tcBorders>
          </w:tcPr>
          <w:p w14:paraId="67FF6738"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 1</w:t>
            </w:r>
          </w:p>
        </w:tc>
        <w:tc>
          <w:tcPr>
            <w:tcW w:w="722" w:type="pct"/>
            <w:tcBorders>
              <w:top w:val="single" w:sz="4" w:space="0" w:color="auto"/>
              <w:left w:val="single" w:sz="4" w:space="0" w:color="auto"/>
              <w:bottom w:val="single" w:sz="4" w:space="0" w:color="auto"/>
              <w:right w:val="single" w:sz="4" w:space="0" w:color="auto"/>
            </w:tcBorders>
            <w:vAlign w:val="bottom"/>
          </w:tcPr>
          <w:p w14:paraId="4C27C3DB"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207</w:t>
            </w:r>
          </w:p>
        </w:tc>
        <w:tc>
          <w:tcPr>
            <w:tcW w:w="673" w:type="pct"/>
            <w:tcBorders>
              <w:top w:val="single" w:sz="4" w:space="0" w:color="auto"/>
              <w:left w:val="single" w:sz="4" w:space="0" w:color="auto"/>
              <w:bottom w:val="single" w:sz="4" w:space="0" w:color="auto"/>
              <w:right w:val="single" w:sz="4" w:space="0" w:color="auto"/>
            </w:tcBorders>
            <w:vAlign w:val="bottom"/>
          </w:tcPr>
          <w:p w14:paraId="2C9193B5"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tcBorders>
              <w:top w:val="single" w:sz="4" w:space="0" w:color="auto"/>
              <w:left w:val="single" w:sz="4" w:space="0" w:color="auto"/>
              <w:bottom w:val="single" w:sz="4" w:space="0" w:color="auto"/>
              <w:right w:val="single" w:sz="4" w:space="0" w:color="auto"/>
            </w:tcBorders>
            <w:vAlign w:val="bottom"/>
          </w:tcPr>
          <w:p w14:paraId="67DC56DA"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207</w:t>
            </w:r>
          </w:p>
        </w:tc>
        <w:tc>
          <w:tcPr>
            <w:tcW w:w="675" w:type="pct"/>
            <w:tcBorders>
              <w:top w:val="single" w:sz="4" w:space="0" w:color="auto"/>
              <w:left w:val="single" w:sz="4" w:space="0" w:color="auto"/>
              <w:bottom w:val="single" w:sz="4" w:space="0" w:color="auto"/>
              <w:right w:val="single" w:sz="4" w:space="0" w:color="auto"/>
            </w:tcBorders>
            <w:vAlign w:val="bottom"/>
          </w:tcPr>
          <w:p w14:paraId="0AFCC9B5"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100 hrs.; $6,931</w:t>
            </w:r>
          </w:p>
        </w:tc>
        <w:tc>
          <w:tcPr>
            <w:tcW w:w="768" w:type="pct"/>
            <w:tcBorders>
              <w:top w:val="single" w:sz="4" w:space="0" w:color="auto"/>
              <w:left w:val="single" w:sz="4" w:space="0" w:color="auto"/>
              <w:bottom w:val="single" w:sz="4" w:space="0" w:color="auto"/>
              <w:right w:val="single" w:sz="4" w:space="0" w:color="auto"/>
            </w:tcBorders>
            <w:vAlign w:val="bottom"/>
          </w:tcPr>
          <w:p w14:paraId="1ED2D66F"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20,700 hrs.; $1,434,717</w:t>
            </w:r>
          </w:p>
        </w:tc>
        <w:tc>
          <w:tcPr>
            <w:tcW w:w="673" w:type="pct"/>
            <w:tcBorders>
              <w:top w:val="single" w:sz="4" w:space="0" w:color="auto"/>
              <w:left w:val="single" w:sz="4" w:space="0" w:color="auto"/>
              <w:bottom w:val="single" w:sz="4" w:space="0" w:color="auto"/>
              <w:right w:val="single" w:sz="4" w:space="0" w:color="auto"/>
            </w:tcBorders>
            <w:vAlign w:val="bottom"/>
          </w:tcPr>
          <w:p w14:paraId="19792436"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$6,931</w:t>
            </w:r>
          </w:p>
        </w:tc>
      </w:tr>
      <w:tr w:rsidR="009E3BA7" w:rsidRPr="009E3BA7" w14:paraId="079883C3" w14:textId="77777777" w:rsidTr="009E3BA7">
        <w:trPr>
          <w:cantSplit/>
          <w:jc w:val="center"/>
        </w:trPr>
        <w:tc>
          <w:tcPr>
            <w:tcW w:w="864" w:type="pct"/>
            <w:tcBorders>
              <w:top w:val="single" w:sz="4" w:space="0" w:color="auto"/>
              <w:left w:val="single" w:sz="4" w:space="0" w:color="auto"/>
              <w:bottom w:val="single" w:sz="4" w:space="0" w:color="auto"/>
              <w:right w:val="single" w:sz="4" w:space="0" w:color="auto"/>
            </w:tcBorders>
          </w:tcPr>
          <w:p w14:paraId="56B307E3"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No.1-F</w:t>
            </w:r>
          </w:p>
        </w:tc>
        <w:tc>
          <w:tcPr>
            <w:tcW w:w="722" w:type="pct"/>
            <w:tcBorders>
              <w:top w:val="single" w:sz="4" w:space="0" w:color="auto"/>
              <w:left w:val="single" w:sz="4" w:space="0" w:color="auto"/>
              <w:bottom w:val="single" w:sz="4" w:space="0" w:color="auto"/>
              <w:right w:val="single" w:sz="4" w:space="0" w:color="auto"/>
            </w:tcBorders>
            <w:vAlign w:val="bottom"/>
          </w:tcPr>
          <w:p w14:paraId="2D426303"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5</w:t>
            </w:r>
          </w:p>
        </w:tc>
        <w:tc>
          <w:tcPr>
            <w:tcW w:w="673" w:type="pct"/>
            <w:tcBorders>
              <w:top w:val="single" w:sz="4" w:space="0" w:color="auto"/>
              <w:left w:val="single" w:sz="4" w:space="0" w:color="auto"/>
              <w:bottom w:val="single" w:sz="4" w:space="0" w:color="auto"/>
              <w:right w:val="single" w:sz="4" w:space="0" w:color="auto"/>
            </w:tcBorders>
            <w:vAlign w:val="bottom"/>
          </w:tcPr>
          <w:p w14:paraId="66DD31DE"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tcBorders>
              <w:top w:val="single" w:sz="4" w:space="0" w:color="auto"/>
              <w:left w:val="single" w:sz="4" w:space="0" w:color="auto"/>
              <w:bottom w:val="single" w:sz="4" w:space="0" w:color="auto"/>
              <w:right w:val="single" w:sz="4" w:space="0" w:color="auto"/>
            </w:tcBorders>
            <w:vAlign w:val="bottom"/>
          </w:tcPr>
          <w:p w14:paraId="4ECF124D"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5</w:t>
            </w:r>
          </w:p>
        </w:tc>
        <w:tc>
          <w:tcPr>
            <w:tcW w:w="675" w:type="pct"/>
            <w:tcBorders>
              <w:top w:val="single" w:sz="4" w:space="0" w:color="auto"/>
              <w:left w:val="single" w:sz="4" w:space="0" w:color="auto"/>
              <w:bottom w:val="single" w:sz="4" w:space="0" w:color="auto"/>
              <w:right w:val="single" w:sz="4" w:space="0" w:color="auto"/>
            </w:tcBorders>
            <w:vAlign w:val="bottom"/>
          </w:tcPr>
          <w:p w14:paraId="78FDE917"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100 hrs.; $6,931</w:t>
            </w:r>
          </w:p>
        </w:tc>
        <w:tc>
          <w:tcPr>
            <w:tcW w:w="768" w:type="pct"/>
            <w:tcBorders>
              <w:top w:val="single" w:sz="4" w:space="0" w:color="auto"/>
              <w:left w:val="single" w:sz="4" w:space="0" w:color="auto"/>
              <w:bottom w:val="single" w:sz="4" w:space="0" w:color="auto"/>
              <w:right w:val="single" w:sz="4" w:space="0" w:color="auto"/>
            </w:tcBorders>
            <w:vAlign w:val="bottom"/>
          </w:tcPr>
          <w:p w14:paraId="3FE3FE62"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500 hrs.; $34,655</w:t>
            </w:r>
          </w:p>
        </w:tc>
        <w:tc>
          <w:tcPr>
            <w:tcW w:w="673" w:type="pct"/>
            <w:tcBorders>
              <w:top w:val="single" w:sz="4" w:space="0" w:color="auto"/>
              <w:left w:val="single" w:sz="4" w:space="0" w:color="auto"/>
              <w:bottom w:val="single" w:sz="4" w:space="0" w:color="auto"/>
              <w:right w:val="single" w:sz="4" w:space="0" w:color="auto"/>
            </w:tcBorders>
            <w:vAlign w:val="bottom"/>
          </w:tcPr>
          <w:p w14:paraId="28A2C627"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$6,931</w:t>
            </w:r>
          </w:p>
        </w:tc>
      </w:tr>
      <w:tr w:rsidR="009E3BA7" w:rsidRPr="009E3BA7" w14:paraId="407FC8E5" w14:textId="77777777" w:rsidTr="009E3BA7">
        <w:trPr>
          <w:cantSplit/>
          <w:jc w:val="center"/>
        </w:trPr>
        <w:tc>
          <w:tcPr>
            <w:tcW w:w="864" w:type="pct"/>
            <w:tcBorders>
              <w:top w:val="single" w:sz="4" w:space="0" w:color="auto"/>
              <w:left w:val="single" w:sz="4" w:space="0" w:color="auto"/>
              <w:bottom w:val="single" w:sz="4" w:space="0" w:color="auto"/>
              <w:right w:val="single" w:sz="4" w:space="0" w:color="auto"/>
            </w:tcBorders>
          </w:tcPr>
          <w:p w14:paraId="01038F29"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 3-Q electric</w:t>
            </w:r>
          </w:p>
        </w:tc>
        <w:tc>
          <w:tcPr>
            <w:tcW w:w="722" w:type="pct"/>
            <w:tcBorders>
              <w:top w:val="single" w:sz="4" w:space="0" w:color="auto"/>
              <w:left w:val="single" w:sz="4" w:space="0" w:color="auto"/>
              <w:bottom w:val="single" w:sz="4" w:space="0" w:color="auto"/>
              <w:right w:val="single" w:sz="4" w:space="0" w:color="auto"/>
            </w:tcBorders>
            <w:vAlign w:val="bottom"/>
          </w:tcPr>
          <w:p w14:paraId="0097B7AB"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212</w:t>
            </w:r>
          </w:p>
        </w:tc>
        <w:tc>
          <w:tcPr>
            <w:tcW w:w="673" w:type="pct"/>
            <w:tcBorders>
              <w:top w:val="single" w:sz="4" w:space="0" w:color="auto"/>
              <w:left w:val="single" w:sz="4" w:space="0" w:color="auto"/>
              <w:bottom w:val="single" w:sz="4" w:space="0" w:color="auto"/>
              <w:right w:val="single" w:sz="4" w:space="0" w:color="auto"/>
            </w:tcBorders>
            <w:vAlign w:val="bottom"/>
          </w:tcPr>
          <w:p w14:paraId="576DCF32"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3</w:t>
            </w:r>
          </w:p>
        </w:tc>
        <w:tc>
          <w:tcPr>
            <w:tcW w:w="625" w:type="pct"/>
            <w:tcBorders>
              <w:top w:val="single" w:sz="4" w:space="0" w:color="auto"/>
              <w:left w:val="single" w:sz="4" w:space="0" w:color="auto"/>
              <w:bottom w:val="single" w:sz="4" w:space="0" w:color="auto"/>
              <w:right w:val="single" w:sz="4" w:space="0" w:color="auto"/>
            </w:tcBorders>
            <w:vAlign w:val="bottom"/>
          </w:tcPr>
          <w:p w14:paraId="2AB29FB8"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636</w:t>
            </w:r>
          </w:p>
        </w:tc>
        <w:tc>
          <w:tcPr>
            <w:tcW w:w="675" w:type="pct"/>
            <w:tcBorders>
              <w:top w:val="single" w:sz="4" w:space="0" w:color="auto"/>
              <w:left w:val="single" w:sz="4" w:space="0" w:color="auto"/>
              <w:bottom w:val="single" w:sz="4" w:space="0" w:color="auto"/>
              <w:right w:val="single" w:sz="4" w:space="0" w:color="auto"/>
            </w:tcBorders>
            <w:vAlign w:val="bottom"/>
          </w:tcPr>
          <w:p w14:paraId="21A62C50"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r w:rsidRPr="009E3BA7">
              <w:rPr>
                <w:rFonts w:ascii="Times New Roman" w:hAnsi="Times New Roman"/>
                <w:b/>
                <w:sz w:val="26"/>
                <w:szCs w:val="20"/>
                <w:vertAlign w:val="superscript"/>
              </w:rPr>
              <w:footnoteReference w:id="19"/>
            </w:r>
          </w:p>
        </w:tc>
        <w:tc>
          <w:tcPr>
            <w:tcW w:w="768" w:type="pct"/>
            <w:tcBorders>
              <w:top w:val="single" w:sz="4" w:space="0" w:color="auto"/>
              <w:left w:val="single" w:sz="4" w:space="0" w:color="auto"/>
              <w:bottom w:val="single" w:sz="4" w:space="0" w:color="auto"/>
              <w:right w:val="single" w:sz="4" w:space="0" w:color="auto"/>
            </w:tcBorders>
            <w:vAlign w:val="bottom"/>
          </w:tcPr>
          <w:p w14:paraId="7EFEC410"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c>
          <w:tcPr>
            <w:tcW w:w="673" w:type="pct"/>
            <w:tcBorders>
              <w:top w:val="single" w:sz="4" w:space="0" w:color="auto"/>
              <w:left w:val="single" w:sz="4" w:space="0" w:color="auto"/>
              <w:bottom w:val="single" w:sz="4" w:space="0" w:color="auto"/>
              <w:right w:val="single" w:sz="4" w:space="0" w:color="auto"/>
            </w:tcBorders>
            <w:vAlign w:val="bottom"/>
          </w:tcPr>
          <w:p w14:paraId="0EB49333"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r>
      <w:tr w:rsidR="009E3BA7" w:rsidRPr="009E3BA7" w14:paraId="573CCC71" w14:textId="77777777" w:rsidTr="009E3BA7">
        <w:trPr>
          <w:cantSplit/>
          <w:jc w:val="center"/>
        </w:trPr>
        <w:tc>
          <w:tcPr>
            <w:tcW w:w="864" w:type="pct"/>
            <w:tcBorders>
              <w:top w:val="single" w:sz="4" w:space="0" w:color="auto"/>
              <w:left w:val="single" w:sz="4" w:space="0" w:color="auto"/>
              <w:bottom w:val="single" w:sz="4" w:space="0" w:color="auto"/>
              <w:right w:val="single" w:sz="4" w:space="0" w:color="auto"/>
            </w:tcBorders>
          </w:tcPr>
          <w:p w14:paraId="014AC9F8"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 2</w:t>
            </w:r>
          </w:p>
        </w:tc>
        <w:tc>
          <w:tcPr>
            <w:tcW w:w="722" w:type="pct"/>
            <w:tcBorders>
              <w:top w:val="single" w:sz="4" w:space="0" w:color="auto"/>
              <w:left w:val="single" w:sz="4" w:space="0" w:color="auto"/>
              <w:bottom w:val="single" w:sz="4" w:space="0" w:color="auto"/>
              <w:right w:val="single" w:sz="4" w:space="0" w:color="auto"/>
            </w:tcBorders>
            <w:vAlign w:val="bottom"/>
          </w:tcPr>
          <w:p w14:paraId="2D32DB3A"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92</w:t>
            </w:r>
          </w:p>
        </w:tc>
        <w:tc>
          <w:tcPr>
            <w:tcW w:w="673" w:type="pct"/>
            <w:tcBorders>
              <w:top w:val="single" w:sz="4" w:space="0" w:color="auto"/>
              <w:left w:val="single" w:sz="4" w:space="0" w:color="auto"/>
              <w:bottom w:val="single" w:sz="4" w:space="0" w:color="auto"/>
              <w:right w:val="single" w:sz="4" w:space="0" w:color="auto"/>
            </w:tcBorders>
            <w:vAlign w:val="bottom"/>
          </w:tcPr>
          <w:p w14:paraId="13111964"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tcBorders>
              <w:top w:val="single" w:sz="4" w:space="0" w:color="auto"/>
              <w:left w:val="single" w:sz="4" w:space="0" w:color="auto"/>
              <w:bottom w:val="single" w:sz="4" w:space="0" w:color="auto"/>
              <w:right w:val="single" w:sz="4" w:space="0" w:color="auto"/>
            </w:tcBorders>
            <w:vAlign w:val="bottom"/>
          </w:tcPr>
          <w:p w14:paraId="1207BDBA"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92</w:t>
            </w:r>
          </w:p>
        </w:tc>
        <w:tc>
          <w:tcPr>
            <w:tcW w:w="675" w:type="pct"/>
            <w:tcBorders>
              <w:top w:val="single" w:sz="4" w:space="0" w:color="auto"/>
              <w:left w:val="single" w:sz="4" w:space="0" w:color="auto"/>
              <w:bottom w:val="single" w:sz="4" w:space="0" w:color="auto"/>
              <w:right w:val="single" w:sz="4" w:space="0" w:color="auto"/>
            </w:tcBorders>
            <w:vAlign w:val="bottom"/>
          </w:tcPr>
          <w:p w14:paraId="4E0640BB"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100 hrs.; $6,931</w:t>
            </w:r>
          </w:p>
        </w:tc>
        <w:tc>
          <w:tcPr>
            <w:tcW w:w="768" w:type="pct"/>
            <w:tcBorders>
              <w:top w:val="single" w:sz="4" w:space="0" w:color="auto"/>
              <w:left w:val="single" w:sz="4" w:space="0" w:color="auto"/>
              <w:bottom w:val="single" w:sz="4" w:space="0" w:color="auto"/>
              <w:right w:val="single" w:sz="4" w:space="0" w:color="auto"/>
            </w:tcBorders>
            <w:vAlign w:val="bottom"/>
          </w:tcPr>
          <w:p w14:paraId="60EE11F2"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9,200 hrs.; $637,652</w:t>
            </w:r>
          </w:p>
        </w:tc>
        <w:tc>
          <w:tcPr>
            <w:tcW w:w="673" w:type="pct"/>
            <w:tcBorders>
              <w:top w:val="single" w:sz="4" w:space="0" w:color="auto"/>
              <w:left w:val="single" w:sz="4" w:space="0" w:color="auto"/>
              <w:bottom w:val="single" w:sz="4" w:space="0" w:color="auto"/>
              <w:right w:val="single" w:sz="4" w:space="0" w:color="auto"/>
            </w:tcBorders>
            <w:vAlign w:val="bottom"/>
          </w:tcPr>
          <w:p w14:paraId="28336880"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$6,931</w:t>
            </w:r>
          </w:p>
        </w:tc>
      </w:tr>
      <w:tr w:rsidR="009E3BA7" w:rsidRPr="009E3BA7" w14:paraId="1F7385A8" w14:textId="77777777" w:rsidTr="009E3BA7">
        <w:trPr>
          <w:cantSplit/>
          <w:jc w:val="center"/>
        </w:trPr>
        <w:tc>
          <w:tcPr>
            <w:tcW w:w="864" w:type="pct"/>
            <w:tcBorders>
              <w:top w:val="single" w:sz="4" w:space="0" w:color="auto"/>
              <w:left w:val="single" w:sz="4" w:space="0" w:color="auto"/>
              <w:bottom w:val="single" w:sz="4" w:space="0" w:color="auto"/>
              <w:right w:val="single" w:sz="4" w:space="0" w:color="auto"/>
            </w:tcBorders>
          </w:tcPr>
          <w:p w14:paraId="527BF200"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 2-A</w:t>
            </w:r>
          </w:p>
        </w:tc>
        <w:tc>
          <w:tcPr>
            <w:tcW w:w="722" w:type="pct"/>
            <w:tcBorders>
              <w:top w:val="single" w:sz="4" w:space="0" w:color="auto"/>
              <w:left w:val="single" w:sz="4" w:space="0" w:color="auto"/>
              <w:bottom w:val="single" w:sz="4" w:space="0" w:color="auto"/>
              <w:right w:val="single" w:sz="4" w:space="0" w:color="auto"/>
            </w:tcBorders>
            <w:vAlign w:val="bottom"/>
          </w:tcPr>
          <w:p w14:paraId="77FFD9DD"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73</w:t>
            </w:r>
          </w:p>
        </w:tc>
        <w:tc>
          <w:tcPr>
            <w:tcW w:w="673" w:type="pct"/>
            <w:tcBorders>
              <w:top w:val="single" w:sz="4" w:space="0" w:color="auto"/>
              <w:left w:val="single" w:sz="4" w:space="0" w:color="auto"/>
              <w:bottom w:val="single" w:sz="4" w:space="0" w:color="auto"/>
              <w:right w:val="single" w:sz="4" w:space="0" w:color="auto"/>
            </w:tcBorders>
            <w:vAlign w:val="bottom"/>
          </w:tcPr>
          <w:p w14:paraId="2D55FAC2"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tcBorders>
              <w:top w:val="single" w:sz="4" w:space="0" w:color="auto"/>
              <w:left w:val="single" w:sz="4" w:space="0" w:color="auto"/>
              <w:bottom w:val="single" w:sz="4" w:space="0" w:color="auto"/>
              <w:right w:val="single" w:sz="4" w:space="0" w:color="auto"/>
            </w:tcBorders>
            <w:vAlign w:val="bottom"/>
          </w:tcPr>
          <w:p w14:paraId="5681A789"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73</w:t>
            </w:r>
          </w:p>
        </w:tc>
        <w:tc>
          <w:tcPr>
            <w:tcW w:w="675" w:type="pct"/>
            <w:tcBorders>
              <w:top w:val="single" w:sz="4" w:space="0" w:color="auto"/>
              <w:left w:val="single" w:sz="4" w:space="0" w:color="auto"/>
              <w:bottom w:val="single" w:sz="4" w:space="0" w:color="auto"/>
              <w:right w:val="single" w:sz="4" w:space="0" w:color="auto"/>
            </w:tcBorders>
            <w:vAlign w:val="bottom"/>
          </w:tcPr>
          <w:p w14:paraId="4705226A"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100 hrs.; $6,931</w:t>
            </w:r>
          </w:p>
        </w:tc>
        <w:tc>
          <w:tcPr>
            <w:tcW w:w="768" w:type="pct"/>
            <w:tcBorders>
              <w:top w:val="single" w:sz="4" w:space="0" w:color="auto"/>
              <w:left w:val="single" w:sz="4" w:space="0" w:color="auto"/>
              <w:bottom w:val="single" w:sz="4" w:space="0" w:color="auto"/>
              <w:right w:val="single" w:sz="4" w:space="0" w:color="auto"/>
            </w:tcBorders>
            <w:vAlign w:val="bottom"/>
          </w:tcPr>
          <w:p w14:paraId="2B0608B6"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7,300 hrs.; $505,963</w:t>
            </w:r>
          </w:p>
        </w:tc>
        <w:tc>
          <w:tcPr>
            <w:tcW w:w="673" w:type="pct"/>
            <w:tcBorders>
              <w:top w:val="single" w:sz="4" w:space="0" w:color="auto"/>
              <w:left w:val="single" w:sz="4" w:space="0" w:color="auto"/>
              <w:bottom w:val="single" w:sz="4" w:space="0" w:color="auto"/>
              <w:right w:val="single" w:sz="4" w:space="0" w:color="auto"/>
            </w:tcBorders>
            <w:vAlign w:val="bottom"/>
          </w:tcPr>
          <w:p w14:paraId="2188FD8B"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$6,931</w:t>
            </w:r>
          </w:p>
        </w:tc>
      </w:tr>
      <w:tr w:rsidR="009E3BA7" w:rsidRPr="009E3BA7" w14:paraId="51FBF96D" w14:textId="77777777" w:rsidTr="009E3BA7">
        <w:trPr>
          <w:cantSplit/>
          <w:jc w:val="center"/>
        </w:trPr>
        <w:tc>
          <w:tcPr>
            <w:tcW w:w="864" w:type="pct"/>
          </w:tcPr>
          <w:p w14:paraId="2DDB2E70"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 3-Q natural gas</w:t>
            </w:r>
          </w:p>
        </w:tc>
        <w:tc>
          <w:tcPr>
            <w:tcW w:w="722" w:type="pct"/>
            <w:vAlign w:val="bottom"/>
          </w:tcPr>
          <w:p w14:paraId="4C913F33"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165</w:t>
            </w:r>
          </w:p>
        </w:tc>
        <w:tc>
          <w:tcPr>
            <w:tcW w:w="673" w:type="pct"/>
            <w:vAlign w:val="bottom"/>
          </w:tcPr>
          <w:p w14:paraId="7B32706C"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3</w:t>
            </w:r>
          </w:p>
        </w:tc>
        <w:tc>
          <w:tcPr>
            <w:tcW w:w="625" w:type="pct"/>
            <w:vAlign w:val="bottom"/>
          </w:tcPr>
          <w:p w14:paraId="590FEAD3"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495</w:t>
            </w:r>
          </w:p>
        </w:tc>
        <w:tc>
          <w:tcPr>
            <w:tcW w:w="675" w:type="pct"/>
            <w:vAlign w:val="bottom"/>
          </w:tcPr>
          <w:p w14:paraId="52B089C7"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c>
          <w:tcPr>
            <w:tcW w:w="768" w:type="pct"/>
            <w:tcBorders>
              <w:top w:val="single" w:sz="4" w:space="0" w:color="auto"/>
              <w:left w:val="single" w:sz="4" w:space="0" w:color="auto"/>
              <w:bottom w:val="single" w:sz="4" w:space="0" w:color="auto"/>
              <w:right w:val="single" w:sz="4" w:space="0" w:color="auto"/>
            </w:tcBorders>
          </w:tcPr>
          <w:p w14:paraId="59A26B10"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c>
          <w:tcPr>
            <w:tcW w:w="673" w:type="pct"/>
            <w:tcBorders>
              <w:top w:val="single" w:sz="4" w:space="0" w:color="auto"/>
              <w:left w:val="single" w:sz="4" w:space="0" w:color="auto"/>
              <w:bottom w:val="single" w:sz="4" w:space="0" w:color="auto"/>
              <w:right w:val="single" w:sz="4" w:space="0" w:color="auto"/>
            </w:tcBorders>
          </w:tcPr>
          <w:p w14:paraId="46F22180"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r>
      <w:tr w:rsidR="009E3BA7" w:rsidRPr="009E3BA7" w14:paraId="6B38A5A7" w14:textId="77777777" w:rsidTr="009E3BA7">
        <w:trPr>
          <w:cantSplit/>
          <w:jc w:val="center"/>
        </w:trPr>
        <w:tc>
          <w:tcPr>
            <w:tcW w:w="864" w:type="pct"/>
          </w:tcPr>
          <w:p w14:paraId="4A9CA0D7" w14:textId="77777777" w:rsidR="009E3BA7" w:rsidRPr="009E3BA7" w:rsidRDefault="009E3BA7" w:rsidP="00BD0F89">
            <w:pPr>
              <w:keepNext/>
              <w:spacing w:after="0" w:line="240" w:lineRule="auto"/>
              <w:rPr>
                <w:rFonts w:ascii="Times New Roman" w:hAnsi="Times New Roman"/>
                <w:b/>
                <w:sz w:val="20"/>
                <w:szCs w:val="20"/>
              </w:rPr>
            </w:pPr>
            <w:r w:rsidRPr="009E3BA7">
              <w:rPr>
                <w:rFonts w:ascii="Times New Roman" w:hAnsi="Times New Roman"/>
                <w:sz w:val="20"/>
                <w:szCs w:val="20"/>
              </w:rPr>
              <w:t>Form No. 6</w:t>
            </w:r>
          </w:p>
        </w:tc>
        <w:tc>
          <w:tcPr>
            <w:tcW w:w="722" w:type="pct"/>
            <w:vAlign w:val="bottom"/>
          </w:tcPr>
          <w:p w14:paraId="75D33490"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244</w:t>
            </w:r>
          </w:p>
        </w:tc>
        <w:tc>
          <w:tcPr>
            <w:tcW w:w="673" w:type="pct"/>
            <w:vAlign w:val="bottom"/>
          </w:tcPr>
          <w:p w14:paraId="42947E0F"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vAlign w:val="bottom"/>
          </w:tcPr>
          <w:p w14:paraId="55B4E821"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244</w:t>
            </w:r>
          </w:p>
        </w:tc>
        <w:tc>
          <w:tcPr>
            <w:tcW w:w="675" w:type="pct"/>
            <w:vAlign w:val="bottom"/>
          </w:tcPr>
          <w:p w14:paraId="183A1C4C"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100 hrs.; $6,931</w:t>
            </w:r>
          </w:p>
        </w:tc>
        <w:tc>
          <w:tcPr>
            <w:tcW w:w="768" w:type="pct"/>
            <w:tcBorders>
              <w:top w:val="single" w:sz="4" w:space="0" w:color="auto"/>
              <w:left w:val="single" w:sz="4" w:space="0" w:color="auto"/>
              <w:bottom w:val="single" w:sz="4" w:space="0" w:color="auto"/>
              <w:right w:val="single" w:sz="4" w:space="0" w:color="auto"/>
            </w:tcBorders>
          </w:tcPr>
          <w:p w14:paraId="085C4F14"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24,400 hrs.; $1,691,164</w:t>
            </w:r>
          </w:p>
        </w:tc>
        <w:tc>
          <w:tcPr>
            <w:tcW w:w="673" w:type="pct"/>
            <w:tcBorders>
              <w:top w:val="single" w:sz="4" w:space="0" w:color="auto"/>
              <w:left w:val="single" w:sz="4" w:space="0" w:color="auto"/>
              <w:bottom w:val="single" w:sz="4" w:space="0" w:color="auto"/>
              <w:right w:val="single" w:sz="4" w:space="0" w:color="auto"/>
            </w:tcBorders>
          </w:tcPr>
          <w:p w14:paraId="58525FF9"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$6,931</w:t>
            </w:r>
          </w:p>
        </w:tc>
      </w:tr>
      <w:tr w:rsidR="009E3BA7" w:rsidRPr="009E3BA7" w14:paraId="35B694C0" w14:textId="77777777" w:rsidTr="009E3BA7">
        <w:trPr>
          <w:cantSplit/>
          <w:jc w:val="center"/>
        </w:trPr>
        <w:tc>
          <w:tcPr>
            <w:tcW w:w="864" w:type="pct"/>
          </w:tcPr>
          <w:p w14:paraId="7737DB78"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 6-Q</w:t>
            </w:r>
          </w:p>
        </w:tc>
        <w:tc>
          <w:tcPr>
            <w:tcW w:w="722" w:type="pct"/>
            <w:vAlign w:val="bottom"/>
          </w:tcPr>
          <w:p w14:paraId="34EB88B3"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244</w:t>
            </w:r>
          </w:p>
        </w:tc>
        <w:tc>
          <w:tcPr>
            <w:tcW w:w="673" w:type="pct"/>
            <w:vAlign w:val="bottom"/>
          </w:tcPr>
          <w:p w14:paraId="4AE8097A"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3</w:t>
            </w:r>
          </w:p>
        </w:tc>
        <w:tc>
          <w:tcPr>
            <w:tcW w:w="625" w:type="pct"/>
            <w:vAlign w:val="bottom"/>
          </w:tcPr>
          <w:p w14:paraId="42C06DFA"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732</w:t>
            </w:r>
          </w:p>
        </w:tc>
        <w:tc>
          <w:tcPr>
            <w:tcW w:w="675" w:type="pct"/>
            <w:vAlign w:val="bottom"/>
          </w:tcPr>
          <w:p w14:paraId="6B47F5CC"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c>
          <w:tcPr>
            <w:tcW w:w="768" w:type="pct"/>
            <w:tcBorders>
              <w:top w:val="single" w:sz="4" w:space="0" w:color="auto"/>
              <w:left w:val="single" w:sz="4" w:space="0" w:color="auto"/>
              <w:bottom w:val="single" w:sz="4" w:space="0" w:color="auto"/>
              <w:right w:val="single" w:sz="4" w:space="0" w:color="auto"/>
            </w:tcBorders>
          </w:tcPr>
          <w:p w14:paraId="42AD751E"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c>
          <w:tcPr>
            <w:tcW w:w="673" w:type="pct"/>
            <w:tcBorders>
              <w:top w:val="single" w:sz="4" w:space="0" w:color="auto"/>
              <w:left w:val="single" w:sz="4" w:space="0" w:color="auto"/>
              <w:bottom w:val="single" w:sz="4" w:space="0" w:color="auto"/>
              <w:right w:val="single" w:sz="4" w:space="0" w:color="auto"/>
            </w:tcBorders>
          </w:tcPr>
          <w:p w14:paraId="1372C9DB"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r>
      <w:tr w:rsidR="009E3BA7" w:rsidRPr="009E3BA7" w14:paraId="6A54892C" w14:textId="77777777" w:rsidTr="009E3BA7">
        <w:trPr>
          <w:cantSplit/>
          <w:jc w:val="center"/>
        </w:trPr>
        <w:tc>
          <w:tcPr>
            <w:tcW w:w="864" w:type="pct"/>
          </w:tcPr>
          <w:p w14:paraId="38755A73" w14:textId="77777777" w:rsidR="009E3BA7" w:rsidRPr="009E3BA7" w:rsidRDefault="009E3BA7" w:rsidP="00BD0F89">
            <w:pPr>
              <w:keepNext/>
              <w:spacing w:after="0" w:line="240" w:lineRule="auto"/>
              <w:rPr>
                <w:rFonts w:ascii="Times New Roman" w:hAnsi="Times New Roman"/>
                <w:b/>
                <w:sz w:val="20"/>
                <w:szCs w:val="20"/>
              </w:rPr>
            </w:pPr>
            <w:r w:rsidRPr="009E3BA7">
              <w:rPr>
                <w:rFonts w:ascii="Times New Roman" w:hAnsi="Times New Roman"/>
                <w:sz w:val="20"/>
                <w:szCs w:val="20"/>
              </w:rPr>
              <w:t>Form No. 60</w:t>
            </w:r>
            <w:r w:rsidR="0051491B">
              <w:rPr>
                <w:rFonts w:ascii="Times New Roman" w:hAnsi="Times New Roman"/>
                <w:sz w:val="20"/>
                <w:szCs w:val="20"/>
              </w:rPr>
              <w:t>A</w:t>
            </w:r>
          </w:p>
        </w:tc>
        <w:tc>
          <w:tcPr>
            <w:tcW w:w="722" w:type="pct"/>
            <w:vAlign w:val="bottom"/>
          </w:tcPr>
          <w:p w14:paraId="091BB94F"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39</w:t>
            </w:r>
          </w:p>
        </w:tc>
        <w:tc>
          <w:tcPr>
            <w:tcW w:w="673" w:type="pct"/>
            <w:vAlign w:val="bottom"/>
          </w:tcPr>
          <w:p w14:paraId="07A0C2C6"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vAlign w:val="bottom"/>
          </w:tcPr>
          <w:p w14:paraId="3D5CECD0"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39</w:t>
            </w:r>
          </w:p>
        </w:tc>
        <w:tc>
          <w:tcPr>
            <w:tcW w:w="675" w:type="pct"/>
            <w:vAlign w:val="bottom"/>
          </w:tcPr>
          <w:p w14:paraId="30F5BAF5"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20 hrs.; $1,386.20</w:t>
            </w:r>
          </w:p>
        </w:tc>
        <w:tc>
          <w:tcPr>
            <w:tcW w:w="768" w:type="pct"/>
            <w:tcBorders>
              <w:top w:val="single" w:sz="4" w:space="0" w:color="auto"/>
              <w:left w:val="single" w:sz="4" w:space="0" w:color="auto"/>
              <w:bottom w:val="single" w:sz="4" w:space="0" w:color="auto"/>
              <w:right w:val="single" w:sz="4" w:space="0" w:color="auto"/>
            </w:tcBorders>
          </w:tcPr>
          <w:p w14:paraId="5E122936"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780 hrs.; $54,062</w:t>
            </w:r>
          </w:p>
        </w:tc>
        <w:tc>
          <w:tcPr>
            <w:tcW w:w="673" w:type="pct"/>
            <w:tcBorders>
              <w:top w:val="single" w:sz="4" w:space="0" w:color="auto"/>
              <w:left w:val="single" w:sz="4" w:space="0" w:color="auto"/>
              <w:bottom w:val="single" w:sz="4" w:space="0" w:color="auto"/>
              <w:right w:val="single" w:sz="4" w:space="0" w:color="auto"/>
            </w:tcBorders>
          </w:tcPr>
          <w:p w14:paraId="79C3DF25"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$1,386.20</w:t>
            </w:r>
          </w:p>
        </w:tc>
      </w:tr>
      <w:tr w:rsidR="009E3BA7" w:rsidRPr="009E3BA7" w14:paraId="62335C2A" w14:textId="77777777" w:rsidTr="009E3BA7">
        <w:trPr>
          <w:cantSplit/>
          <w:jc w:val="center"/>
        </w:trPr>
        <w:tc>
          <w:tcPr>
            <w:tcW w:w="864" w:type="pct"/>
          </w:tcPr>
          <w:p w14:paraId="481F4B34" w14:textId="77777777" w:rsidR="009E3BA7" w:rsidRPr="009E3BA7" w:rsidRDefault="009E3BA7" w:rsidP="00BD0F89">
            <w:pPr>
              <w:keepNext/>
              <w:spacing w:after="0" w:line="240" w:lineRule="auto"/>
              <w:rPr>
                <w:rFonts w:ascii="Times New Roman" w:hAnsi="Times New Roman"/>
                <w:b/>
                <w:sz w:val="20"/>
                <w:szCs w:val="20"/>
              </w:rPr>
            </w:pPr>
            <w:r w:rsidRPr="009E3BA7">
              <w:rPr>
                <w:rFonts w:ascii="Times New Roman" w:hAnsi="Times New Roman"/>
                <w:sz w:val="20"/>
                <w:szCs w:val="20"/>
              </w:rPr>
              <w:t xml:space="preserve">Form </w:t>
            </w:r>
            <w:r w:rsidRPr="0051491B">
              <w:rPr>
                <w:rFonts w:ascii="Times New Roman" w:hAnsi="Times New Roman"/>
                <w:sz w:val="20"/>
                <w:szCs w:val="20"/>
              </w:rPr>
              <w:t>No. 714</w:t>
            </w:r>
            <w:r w:rsidR="00FD504F" w:rsidRPr="0051491B">
              <w:rPr>
                <w:rFonts w:ascii="Times New Roman" w:hAnsi="Times New Roman"/>
                <w:sz w:val="20"/>
                <w:szCs w:val="20"/>
              </w:rPr>
              <w:t>A</w:t>
            </w:r>
          </w:p>
        </w:tc>
        <w:tc>
          <w:tcPr>
            <w:tcW w:w="722" w:type="pct"/>
            <w:vAlign w:val="bottom"/>
          </w:tcPr>
          <w:p w14:paraId="7394EB25"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176</w:t>
            </w:r>
          </w:p>
        </w:tc>
        <w:tc>
          <w:tcPr>
            <w:tcW w:w="673" w:type="pct"/>
            <w:vAlign w:val="bottom"/>
          </w:tcPr>
          <w:p w14:paraId="330DE1CE"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vAlign w:val="bottom"/>
          </w:tcPr>
          <w:p w14:paraId="369C5CF3"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176</w:t>
            </w:r>
          </w:p>
        </w:tc>
        <w:tc>
          <w:tcPr>
            <w:tcW w:w="675" w:type="pct"/>
            <w:vAlign w:val="bottom"/>
          </w:tcPr>
          <w:p w14:paraId="27A6AA33"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15 hrs.; $1,039.65</w:t>
            </w:r>
          </w:p>
        </w:tc>
        <w:tc>
          <w:tcPr>
            <w:tcW w:w="768" w:type="pct"/>
            <w:tcBorders>
              <w:top w:val="single" w:sz="4" w:space="0" w:color="auto"/>
              <w:left w:val="single" w:sz="4" w:space="0" w:color="auto"/>
              <w:bottom w:val="single" w:sz="4" w:space="0" w:color="auto"/>
              <w:right w:val="single" w:sz="4" w:space="0" w:color="auto"/>
            </w:tcBorders>
          </w:tcPr>
          <w:p w14:paraId="3FDC2ACA"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2,640 hrs.; $182,977</w:t>
            </w:r>
          </w:p>
        </w:tc>
        <w:tc>
          <w:tcPr>
            <w:tcW w:w="673" w:type="pct"/>
            <w:tcBorders>
              <w:top w:val="single" w:sz="4" w:space="0" w:color="auto"/>
              <w:left w:val="single" w:sz="4" w:space="0" w:color="auto"/>
              <w:bottom w:val="single" w:sz="4" w:space="0" w:color="auto"/>
              <w:right w:val="single" w:sz="4" w:space="0" w:color="auto"/>
            </w:tcBorders>
          </w:tcPr>
          <w:p w14:paraId="7C624D10"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$1,039.65</w:t>
            </w:r>
          </w:p>
        </w:tc>
      </w:tr>
      <w:tr w:rsidR="009E3BA7" w:rsidRPr="009E3BA7" w14:paraId="42869A03" w14:textId="77777777" w:rsidTr="009E3BA7">
        <w:trPr>
          <w:cantSplit/>
          <w:jc w:val="center"/>
        </w:trPr>
        <w:tc>
          <w:tcPr>
            <w:tcW w:w="864" w:type="pct"/>
          </w:tcPr>
          <w:p w14:paraId="6763B31D" w14:textId="77777777" w:rsidR="009E3BA7" w:rsidRPr="009E3BA7" w:rsidRDefault="009E3BA7" w:rsidP="00BD0F89">
            <w:pPr>
              <w:keepNext/>
              <w:spacing w:after="0" w:line="240" w:lineRule="auto"/>
              <w:rPr>
                <w:rFonts w:ascii="Times New Roman" w:hAnsi="Times New Roman"/>
                <w:b/>
                <w:sz w:val="20"/>
                <w:szCs w:val="20"/>
              </w:rPr>
            </w:pPr>
            <w:r w:rsidRPr="009E3BA7">
              <w:rPr>
                <w:rFonts w:ascii="Times New Roman" w:hAnsi="Times New Roman"/>
                <w:b/>
                <w:sz w:val="20"/>
                <w:szCs w:val="20"/>
              </w:rPr>
              <w:t>Total for Implementation Burden</w:t>
            </w:r>
          </w:p>
        </w:tc>
        <w:tc>
          <w:tcPr>
            <w:tcW w:w="1395" w:type="pct"/>
            <w:gridSpan w:val="2"/>
            <w:shd w:val="clear" w:color="auto" w:fill="D9D9D9" w:themeFill="background1" w:themeFillShade="D9"/>
            <w:vAlign w:val="bottom"/>
          </w:tcPr>
          <w:p w14:paraId="76DB4309" w14:textId="77777777" w:rsidR="009E3BA7" w:rsidRPr="009E3BA7" w:rsidRDefault="009E3BA7" w:rsidP="00BD0F89">
            <w:pPr>
              <w:keepNext/>
              <w:spacing w:after="0" w:line="240" w:lineRule="auto"/>
              <w:jc w:val="right"/>
              <w:rPr>
                <w:rFonts w:ascii="Times New Roman" w:hAnsi="Times New Roman"/>
                <w:sz w:val="20"/>
                <w:szCs w:val="20"/>
              </w:rPr>
            </w:pPr>
          </w:p>
        </w:tc>
        <w:tc>
          <w:tcPr>
            <w:tcW w:w="625" w:type="pct"/>
            <w:vAlign w:val="bottom"/>
          </w:tcPr>
          <w:p w14:paraId="54A7B8DD"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836</w:t>
            </w:r>
            <w:r w:rsidRPr="009E3BA7">
              <w:rPr>
                <w:rFonts w:ascii="Times New Roman" w:hAnsi="Times New Roman"/>
                <w:b/>
                <w:sz w:val="26"/>
                <w:szCs w:val="20"/>
                <w:vertAlign w:val="superscript"/>
              </w:rPr>
              <w:footnoteReference w:id="20"/>
            </w:r>
          </w:p>
        </w:tc>
        <w:tc>
          <w:tcPr>
            <w:tcW w:w="675" w:type="pct"/>
            <w:shd w:val="clear" w:color="auto" w:fill="D9D9D9" w:themeFill="background1" w:themeFillShade="D9"/>
            <w:vAlign w:val="bottom"/>
          </w:tcPr>
          <w:p w14:paraId="416BD538" w14:textId="77777777" w:rsidR="009E3BA7" w:rsidRPr="009E3BA7" w:rsidRDefault="009E3BA7" w:rsidP="00BD0F89">
            <w:pPr>
              <w:keepNext/>
              <w:spacing w:after="0" w:line="240" w:lineRule="auto"/>
              <w:jc w:val="right"/>
              <w:rPr>
                <w:rFonts w:ascii="Times New Roman" w:hAnsi="Times New Roman"/>
                <w:sz w:val="20"/>
                <w:szCs w:val="20"/>
              </w:rPr>
            </w:pPr>
          </w:p>
        </w:tc>
        <w:tc>
          <w:tcPr>
            <w:tcW w:w="768" w:type="pct"/>
            <w:tcBorders>
              <w:top w:val="single" w:sz="4" w:space="0" w:color="auto"/>
              <w:left w:val="single" w:sz="4" w:space="0" w:color="auto"/>
              <w:bottom w:val="single" w:sz="4" w:space="0" w:color="auto"/>
              <w:right w:val="single" w:sz="4" w:space="0" w:color="auto"/>
            </w:tcBorders>
            <w:vAlign w:val="bottom"/>
          </w:tcPr>
          <w:p w14:paraId="60DFA480"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65,520 hrs.; $4,541,190</w:t>
            </w:r>
          </w:p>
        </w:tc>
        <w:tc>
          <w:tcPr>
            <w:tcW w:w="6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EB6B68F" w14:textId="77777777" w:rsidR="009E3BA7" w:rsidRPr="009E3BA7" w:rsidRDefault="009E3BA7" w:rsidP="00BD0F89">
            <w:pPr>
              <w:keepNext/>
              <w:spacing w:after="0" w:line="240" w:lineRule="auto"/>
              <w:jc w:val="right"/>
              <w:rPr>
                <w:rFonts w:ascii="Times New Roman" w:hAnsi="Times New Roman"/>
                <w:sz w:val="20"/>
                <w:szCs w:val="20"/>
              </w:rPr>
            </w:pPr>
          </w:p>
        </w:tc>
      </w:tr>
    </w:tbl>
    <w:p w14:paraId="473C3BA6" w14:textId="77777777" w:rsidR="0096666B" w:rsidRDefault="0096666B" w:rsidP="00BD0F89">
      <w:pPr>
        <w:spacing w:after="0" w:line="240" w:lineRule="auto"/>
        <w:rPr>
          <w:rFonts w:ascii="Times New Roman" w:hAnsi="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4"/>
        <w:gridCol w:w="1421"/>
        <w:gridCol w:w="1383"/>
        <w:gridCol w:w="1197"/>
        <w:gridCol w:w="1291"/>
        <w:gridCol w:w="1475"/>
        <w:gridCol w:w="1285"/>
      </w:tblGrid>
      <w:tr w:rsidR="009E3BA7" w:rsidRPr="009E3BA7" w14:paraId="1D2C0EE1" w14:textId="77777777" w:rsidTr="009E3BA7">
        <w:trPr>
          <w:cantSplit/>
          <w:jc w:val="center"/>
        </w:trPr>
        <w:tc>
          <w:tcPr>
            <w:tcW w:w="5000" w:type="pct"/>
            <w:gridSpan w:val="7"/>
            <w:shd w:val="clear" w:color="auto" w:fill="D9D9D9"/>
          </w:tcPr>
          <w:p w14:paraId="6BECE844"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RM19-12-000 NOPR</w:t>
            </w:r>
          </w:p>
          <w:p w14:paraId="7A9765DF"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Annual Ongoing System Maintenance Burden</w:t>
            </w:r>
            <w:r>
              <w:rPr>
                <w:rFonts w:ascii="Times New Roman" w:hAnsi="Times New Roman"/>
                <w:b/>
                <w:sz w:val="20"/>
                <w:szCs w:val="20"/>
              </w:rPr>
              <w:t>, Starting in Year 2</w:t>
            </w:r>
          </w:p>
        </w:tc>
      </w:tr>
      <w:tr w:rsidR="009E3BA7" w:rsidRPr="009E3BA7" w14:paraId="2C0DD288" w14:textId="77777777" w:rsidTr="009E3BA7">
        <w:trPr>
          <w:cantSplit/>
          <w:jc w:val="center"/>
        </w:trPr>
        <w:tc>
          <w:tcPr>
            <w:tcW w:w="796" w:type="pct"/>
            <w:shd w:val="clear" w:color="auto" w:fill="D9D9D9"/>
            <w:vAlign w:val="bottom"/>
          </w:tcPr>
          <w:p w14:paraId="3E4392BF" w14:textId="77777777" w:rsidR="009E3BA7" w:rsidRPr="009E3BA7" w:rsidRDefault="009E3BA7" w:rsidP="00BD0F89">
            <w:pPr>
              <w:keepNext/>
              <w:spacing w:after="0" w:line="240" w:lineRule="auto"/>
              <w:rPr>
                <w:rFonts w:ascii="Times New Roman" w:hAnsi="Times New Roman"/>
                <w:b/>
                <w:sz w:val="20"/>
                <w:szCs w:val="20"/>
              </w:rPr>
            </w:pPr>
            <w:r w:rsidRPr="009E3BA7">
              <w:rPr>
                <w:rFonts w:ascii="Times New Roman" w:hAnsi="Times New Roman"/>
                <w:b/>
                <w:sz w:val="20"/>
                <w:szCs w:val="20"/>
              </w:rPr>
              <w:t>Requirement</w:t>
            </w:r>
          </w:p>
        </w:tc>
        <w:tc>
          <w:tcPr>
            <w:tcW w:w="742" w:type="pct"/>
            <w:shd w:val="clear" w:color="auto" w:fill="D9D9D9"/>
            <w:vAlign w:val="bottom"/>
          </w:tcPr>
          <w:p w14:paraId="41618E64"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Number of Respondents</w:t>
            </w:r>
          </w:p>
          <w:p w14:paraId="56A06679"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(1)</w:t>
            </w:r>
          </w:p>
        </w:tc>
        <w:tc>
          <w:tcPr>
            <w:tcW w:w="722" w:type="pct"/>
            <w:shd w:val="clear" w:color="auto" w:fill="D9D9D9"/>
            <w:vAlign w:val="bottom"/>
          </w:tcPr>
          <w:p w14:paraId="6288091F"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Annual Number of Responses per Respondent</w:t>
            </w:r>
          </w:p>
          <w:p w14:paraId="17D2C9F3"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(2)</w:t>
            </w:r>
          </w:p>
        </w:tc>
        <w:tc>
          <w:tcPr>
            <w:tcW w:w="625" w:type="pct"/>
            <w:shd w:val="clear" w:color="auto" w:fill="D9D9D9"/>
            <w:vAlign w:val="bottom"/>
          </w:tcPr>
          <w:p w14:paraId="0C9A2108"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Total Number of Responses</w:t>
            </w:r>
          </w:p>
          <w:p w14:paraId="0FF1FAC3"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(1)*(2)=(3)</w:t>
            </w:r>
          </w:p>
        </w:tc>
        <w:tc>
          <w:tcPr>
            <w:tcW w:w="674" w:type="pct"/>
            <w:shd w:val="clear" w:color="auto" w:fill="D9D9D9"/>
            <w:vAlign w:val="bottom"/>
          </w:tcPr>
          <w:p w14:paraId="512DCFEC"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Average Burden &amp; Cost Per Response</w:t>
            </w:r>
            <w:r w:rsidRPr="009E3BA7">
              <w:rPr>
                <w:rFonts w:ascii="Times New Roman" w:hAnsi="Times New Roman"/>
                <w:b/>
                <w:sz w:val="26"/>
                <w:szCs w:val="20"/>
                <w:vertAlign w:val="superscript"/>
              </w:rPr>
              <w:footnoteReference w:id="21"/>
            </w:r>
          </w:p>
          <w:p w14:paraId="658E7CB4"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(4)</w:t>
            </w:r>
          </w:p>
        </w:tc>
        <w:tc>
          <w:tcPr>
            <w:tcW w:w="770" w:type="pct"/>
            <w:shd w:val="clear" w:color="auto" w:fill="D9D9D9"/>
            <w:vAlign w:val="bottom"/>
          </w:tcPr>
          <w:p w14:paraId="2652FBC7"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Total Annual Burden Hours &amp; Cost</w:t>
            </w:r>
            <w:r w:rsidRPr="009E3BA7">
              <w:rPr>
                <w:rFonts w:ascii="Times New Roman" w:hAnsi="Times New Roman"/>
                <w:b/>
                <w:sz w:val="26"/>
                <w:szCs w:val="20"/>
                <w:vertAlign w:val="superscript"/>
              </w:rPr>
              <w:footnoteReference w:id="22"/>
            </w:r>
          </w:p>
          <w:p w14:paraId="5891DAD5"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(3)*(4)=(5)</w:t>
            </w:r>
          </w:p>
        </w:tc>
        <w:tc>
          <w:tcPr>
            <w:tcW w:w="671" w:type="pct"/>
            <w:shd w:val="clear" w:color="auto" w:fill="D9D9D9"/>
            <w:vAlign w:val="bottom"/>
          </w:tcPr>
          <w:p w14:paraId="6E84F98A"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Annual Cost per Respondent ($)</w:t>
            </w:r>
          </w:p>
          <w:p w14:paraId="7E660D01"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(5)÷(1)</w:t>
            </w:r>
          </w:p>
        </w:tc>
      </w:tr>
      <w:tr w:rsidR="009E3BA7" w:rsidRPr="009E3BA7" w14:paraId="5D75DECD" w14:textId="77777777" w:rsidTr="009E3BA7">
        <w:trPr>
          <w:cantSplit/>
          <w:jc w:val="center"/>
        </w:trPr>
        <w:tc>
          <w:tcPr>
            <w:tcW w:w="796" w:type="pct"/>
            <w:tcBorders>
              <w:top w:val="single" w:sz="4" w:space="0" w:color="auto"/>
              <w:left w:val="single" w:sz="4" w:space="0" w:color="auto"/>
              <w:bottom w:val="single" w:sz="4" w:space="0" w:color="auto"/>
              <w:right w:val="single" w:sz="4" w:space="0" w:color="auto"/>
            </w:tcBorders>
          </w:tcPr>
          <w:p w14:paraId="295265ED"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 1</w:t>
            </w:r>
          </w:p>
        </w:tc>
        <w:tc>
          <w:tcPr>
            <w:tcW w:w="742" w:type="pct"/>
            <w:tcBorders>
              <w:top w:val="single" w:sz="4" w:space="0" w:color="auto"/>
              <w:left w:val="single" w:sz="4" w:space="0" w:color="auto"/>
              <w:bottom w:val="single" w:sz="4" w:space="0" w:color="auto"/>
              <w:right w:val="single" w:sz="4" w:space="0" w:color="auto"/>
            </w:tcBorders>
            <w:vAlign w:val="bottom"/>
          </w:tcPr>
          <w:p w14:paraId="591D099E"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207</w:t>
            </w:r>
          </w:p>
        </w:tc>
        <w:tc>
          <w:tcPr>
            <w:tcW w:w="722" w:type="pct"/>
            <w:tcBorders>
              <w:top w:val="single" w:sz="4" w:space="0" w:color="auto"/>
              <w:left w:val="single" w:sz="4" w:space="0" w:color="auto"/>
              <w:bottom w:val="single" w:sz="4" w:space="0" w:color="auto"/>
              <w:right w:val="single" w:sz="4" w:space="0" w:color="auto"/>
            </w:tcBorders>
            <w:vAlign w:val="bottom"/>
          </w:tcPr>
          <w:p w14:paraId="4A06C80B"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tcBorders>
              <w:top w:val="single" w:sz="4" w:space="0" w:color="auto"/>
              <w:left w:val="single" w:sz="4" w:space="0" w:color="auto"/>
              <w:bottom w:val="single" w:sz="4" w:space="0" w:color="auto"/>
              <w:right w:val="single" w:sz="4" w:space="0" w:color="auto"/>
            </w:tcBorders>
            <w:vAlign w:val="bottom"/>
          </w:tcPr>
          <w:p w14:paraId="01351914"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207</w:t>
            </w:r>
          </w:p>
        </w:tc>
        <w:tc>
          <w:tcPr>
            <w:tcW w:w="674" w:type="pct"/>
            <w:tcBorders>
              <w:top w:val="single" w:sz="4" w:space="0" w:color="auto"/>
              <w:left w:val="single" w:sz="4" w:space="0" w:color="auto"/>
              <w:bottom w:val="single" w:sz="4" w:space="0" w:color="auto"/>
              <w:right w:val="single" w:sz="4" w:space="0" w:color="auto"/>
            </w:tcBorders>
            <w:vAlign w:val="bottom"/>
          </w:tcPr>
          <w:p w14:paraId="6D0FC7E4"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14 hrs.; $970.34</w:t>
            </w:r>
          </w:p>
        </w:tc>
        <w:tc>
          <w:tcPr>
            <w:tcW w:w="770" w:type="pct"/>
            <w:tcBorders>
              <w:top w:val="single" w:sz="4" w:space="0" w:color="auto"/>
              <w:left w:val="single" w:sz="4" w:space="0" w:color="auto"/>
              <w:bottom w:val="single" w:sz="4" w:space="0" w:color="auto"/>
              <w:right w:val="single" w:sz="4" w:space="0" w:color="auto"/>
            </w:tcBorders>
            <w:vAlign w:val="bottom"/>
          </w:tcPr>
          <w:p w14:paraId="11745571"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2,898 hrs.; $200,860</w:t>
            </w:r>
          </w:p>
        </w:tc>
        <w:tc>
          <w:tcPr>
            <w:tcW w:w="671" w:type="pct"/>
            <w:tcBorders>
              <w:top w:val="single" w:sz="4" w:space="0" w:color="auto"/>
              <w:left w:val="single" w:sz="4" w:space="0" w:color="auto"/>
              <w:bottom w:val="single" w:sz="4" w:space="0" w:color="auto"/>
              <w:right w:val="single" w:sz="4" w:space="0" w:color="auto"/>
            </w:tcBorders>
            <w:vAlign w:val="bottom"/>
          </w:tcPr>
          <w:p w14:paraId="36FE8660"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$970.34</w:t>
            </w:r>
          </w:p>
        </w:tc>
      </w:tr>
      <w:tr w:rsidR="009E3BA7" w:rsidRPr="009E3BA7" w14:paraId="5ACAE707" w14:textId="77777777" w:rsidTr="009E3BA7">
        <w:trPr>
          <w:cantSplit/>
          <w:jc w:val="center"/>
        </w:trPr>
        <w:tc>
          <w:tcPr>
            <w:tcW w:w="796" w:type="pct"/>
            <w:tcBorders>
              <w:top w:val="single" w:sz="4" w:space="0" w:color="auto"/>
              <w:left w:val="single" w:sz="4" w:space="0" w:color="auto"/>
              <w:bottom w:val="single" w:sz="4" w:space="0" w:color="auto"/>
              <w:right w:val="single" w:sz="4" w:space="0" w:color="auto"/>
            </w:tcBorders>
          </w:tcPr>
          <w:p w14:paraId="0DF134B8"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No.1-F</w:t>
            </w:r>
          </w:p>
        </w:tc>
        <w:tc>
          <w:tcPr>
            <w:tcW w:w="742" w:type="pct"/>
            <w:tcBorders>
              <w:top w:val="single" w:sz="4" w:space="0" w:color="auto"/>
              <w:left w:val="single" w:sz="4" w:space="0" w:color="auto"/>
              <w:bottom w:val="single" w:sz="4" w:space="0" w:color="auto"/>
              <w:right w:val="single" w:sz="4" w:space="0" w:color="auto"/>
            </w:tcBorders>
            <w:vAlign w:val="bottom"/>
          </w:tcPr>
          <w:p w14:paraId="79802CF0"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5</w:t>
            </w:r>
          </w:p>
        </w:tc>
        <w:tc>
          <w:tcPr>
            <w:tcW w:w="722" w:type="pct"/>
            <w:tcBorders>
              <w:top w:val="single" w:sz="4" w:space="0" w:color="auto"/>
              <w:left w:val="single" w:sz="4" w:space="0" w:color="auto"/>
              <w:bottom w:val="single" w:sz="4" w:space="0" w:color="auto"/>
              <w:right w:val="single" w:sz="4" w:space="0" w:color="auto"/>
            </w:tcBorders>
            <w:vAlign w:val="bottom"/>
          </w:tcPr>
          <w:p w14:paraId="4548F8EF"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tcBorders>
              <w:top w:val="single" w:sz="4" w:space="0" w:color="auto"/>
              <w:left w:val="single" w:sz="4" w:space="0" w:color="auto"/>
              <w:bottom w:val="single" w:sz="4" w:space="0" w:color="auto"/>
              <w:right w:val="single" w:sz="4" w:space="0" w:color="auto"/>
            </w:tcBorders>
            <w:vAlign w:val="bottom"/>
          </w:tcPr>
          <w:p w14:paraId="1B82CB82"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5</w:t>
            </w:r>
          </w:p>
        </w:tc>
        <w:tc>
          <w:tcPr>
            <w:tcW w:w="674" w:type="pct"/>
            <w:tcBorders>
              <w:top w:val="single" w:sz="4" w:space="0" w:color="auto"/>
              <w:left w:val="single" w:sz="4" w:space="0" w:color="auto"/>
              <w:bottom w:val="single" w:sz="4" w:space="0" w:color="auto"/>
              <w:right w:val="single" w:sz="4" w:space="0" w:color="auto"/>
            </w:tcBorders>
            <w:vAlign w:val="bottom"/>
          </w:tcPr>
          <w:p w14:paraId="03C5F62C"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14 hrs.; $970.34</w:t>
            </w:r>
          </w:p>
        </w:tc>
        <w:tc>
          <w:tcPr>
            <w:tcW w:w="770" w:type="pct"/>
            <w:tcBorders>
              <w:top w:val="single" w:sz="4" w:space="0" w:color="auto"/>
              <w:left w:val="single" w:sz="4" w:space="0" w:color="auto"/>
              <w:bottom w:val="single" w:sz="4" w:space="0" w:color="auto"/>
              <w:right w:val="single" w:sz="4" w:space="0" w:color="auto"/>
            </w:tcBorders>
            <w:vAlign w:val="bottom"/>
          </w:tcPr>
          <w:p w14:paraId="5C81B572"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 xml:space="preserve">70 </w:t>
            </w:r>
            <w:bookmarkStart w:id="1" w:name="OLE_LINK1"/>
            <w:r w:rsidRPr="009E3BA7">
              <w:rPr>
                <w:rFonts w:ascii="Times New Roman" w:hAnsi="Times New Roman"/>
                <w:sz w:val="20"/>
                <w:szCs w:val="20"/>
              </w:rPr>
              <w:t>hrs.;</w:t>
            </w:r>
            <w:bookmarkEnd w:id="1"/>
            <w:r w:rsidRPr="009E3BA7">
              <w:rPr>
                <w:rFonts w:ascii="Times New Roman" w:hAnsi="Times New Roman"/>
                <w:sz w:val="20"/>
                <w:szCs w:val="20"/>
              </w:rPr>
              <w:t xml:space="preserve">  $4,852</w:t>
            </w:r>
          </w:p>
        </w:tc>
        <w:tc>
          <w:tcPr>
            <w:tcW w:w="671" w:type="pct"/>
            <w:tcBorders>
              <w:top w:val="single" w:sz="4" w:space="0" w:color="auto"/>
              <w:left w:val="single" w:sz="4" w:space="0" w:color="auto"/>
              <w:bottom w:val="single" w:sz="4" w:space="0" w:color="auto"/>
              <w:right w:val="single" w:sz="4" w:space="0" w:color="auto"/>
            </w:tcBorders>
            <w:vAlign w:val="bottom"/>
          </w:tcPr>
          <w:p w14:paraId="771AD0D8"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$970.34</w:t>
            </w:r>
          </w:p>
        </w:tc>
      </w:tr>
      <w:tr w:rsidR="009E3BA7" w:rsidRPr="009E3BA7" w14:paraId="2B84F383" w14:textId="77777777" w:rsidTr="009E3BA7">
        <w:trPr>
          <w:cantSplit/>
          <w:jc w:val="center"/>
        </w:trPr>
        <w:tc>
          <w:tcPr>
            <w:tcW w:w="796" w:type="pct"/>
            <w:tcBorders>
              <w:top w:val="single" w:sz="4" w:space="0" w:color="auto"/>
              <w:left w:val="single" w:sz="4" w:space="0" w:color="auto"/>
              <w:bottom w:val="single" w:sz="4" w:space="0" w:color="auto"/>
              <w:right w:val="single" w:sz="4" w:space="0" w:color="auto"/>
            </w:tcBorders>
          </w:tcPr>
          <w:p w14:paraId="350DDB6C"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 3-Q electric</w:t>
            </w:r>
          </w:p>
        </w:tc>
        <w:tc>
          <w:tcPr>
            <w:tcW w:w="742" w:type="pct"/>
            <w:tcBorders>
              <w:top w:val="single" w:sz="4" w:space="0" w:color="auto"/>
              <w:left w:val="single" w:sz="4" w:space="0" w:color="auto"/>
              <w:bottom w:val="single" w:sz="4" w:space="0" w:color="auto"/>
              <w:right w:val="single" w:sz="4" w:space="0" w:color="auto"/>
            </w:tcBorders>
            <w:vAlign w:val="bottom"/>
          </w:tcPr>
          <w:p w14:paraId="6FA79CF1"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212</w:t>
            </w:r>
          </w:p>
        </w:tc>
        <w:tc>
          <w:tcPr>
            <w:tcW w:w="722" w:type="pct"/>
            <w:tcBorders>
              <w:top w:val="single" w:sz="4" w:space="0" w:color="auto"/>
              <w:left w:val="single" w:sz="4" w:space="0" w:color="auto"/>
              <w:bottom w:val="single" w:sz="4" w:space="0" w:color="auto"/>
              <w:right w:val="single" w:sz="4" w:space="0" w:color="auto"/>
            </w:tcBorders>
            <w:vAlign w:val="bottom"/>
          </w:tcPr>
          <w:p w14:paraId="0C3CBA2C"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3</w:t>
            </w:r>
          </w:p>
        </w:tc>
        <w:tc>
          <w:tcPr>
            <w:tcW w:w="625" w:type="pct"/>
            <w:tcBorders>
              <w:top w:val="single" w:sz="4" w:space="0" w:color="auto"/>
              <w:left w:val="single" w:sz="4" w:space="0" w:color="auto"/>
              <w:bottom w:val="single" w:sz="4" w:space="0" w:color="auto"/>
              <w:right w:val="single" w:sz="4" w:space="0" w:color="auto"/>
            </w:tcBorders>
            <w:vAlign w:val="bottom"/>
          </w:tcPr>
          <w:p w14:paraId="10BEDDC3"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636</w:t>
            </w:r>
          </w:p>
        </w:tc>
        <w:tc>
          <w:tcPr>
            <w:tcW w:w="674" w:type="pct"/>
            <w:tcBorders>
              <w:top w:val="single" w:sz="4" w:space="0" w:color="auto"/>
              <w:left w:val="single" w:sz="4" w:space="0" w:color="auto"/>
              <w:bottom w:val="single" w:sz="4" w:space="0" w:color="auto"/>
              <w:right w:val="single" w:sz="4" w:space="0" w:color="auto"/>
            </w:tcBorders>
            <w:vAlign w:val="bottom"/>
          </w:tcPr>
          <w:p w14:paraId="054E4907"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c>
          <w:tcPr>
            <w:tcW w:w="770" w:type="pct"/>
            <w:tcBorders>
              <w:top w:val="single" w:sz="4" w:space="0" w:color="auto"/>
              <w:left w:val="single" w:sz="4" w:space="0" w:color="auto"/>
              <w:bottom w:val="single" w:sz="4" w:space="0" w:color="auto"/>
              <w:right w:val="single" w:sz="4" w:space="0" w:color="auto"/>
            </w:tcBorders>
            <w:vAlign w:val="bottom"/>
          </w:tcPr>
          <w:p w14:paraId="27543416"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c>
          <w:tcPr>
            <w:tcW w:w="671" w:type="pct"/>
            <w:tcBorders>
              <w:top w:val="single" w:sz="4" w:space="0" w:color="auto"/>
              <w:left w:val="single" w:sz="4" w:space="0" w:color="auto"/>
              <w:bottom w:val="single" w:sz="4" w:space="0" w:color="auto"/>
              <w:right w:val="single" w:sz="4" w:space="0" w:color="auto"/>
            </w:tcBorders>
            <w:vAlign w:val="bottom"/>
          </w:tcPr>
          <w:p w14:paraId="645EFFB7"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r>
      <w:tr w:rsidR="009E3BA7" w:rsidRPr="009E3BA7" w14:paraId="71A715B3" w14:textId="77777777" w:rsidTr="009E3BA7">
        <w:trPr>
          <w:cantSplit/>
          <w:jc w:val="center"/>
        </w:trPr>
        <w:tc>
          <w:tcPr>
            <w:tcW w:w="796" w:type="pct"/>
            <w:tcBorders>
              <w:top w:val="single" w:sz="4" w:space="0" w:color="auto"/>
              <w:left w:val="single" w:sz="4" w:space="0" w:color="auto"/>
              <w:bottom w:val="single" w:sz="4" w:space="0" w:color="auto"/>
              <w:right w:val="single" w:sz="4" w:space="0" w:color="auto"/>
            </w:tcBorders>
          </w:tcPr>
          <w:p w14:paraId="267EAEE0"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 2</w:t>
            </w:r>
          </w:p>
        </w:tc>
        <w:tc>
          <w:tcPr>
            <w:tcW w:w="742" w:type="pct"/>
            <w:tcBorders>
              <w:top w:val="single" w:sz="4" w:space="0" w:color="auto"/>
              <w:left w:val="single" w:sz="4" w:space="0" w:color="auto"/>
              <w:bottom w:val="single" w:sz="4" w:space="0" w:color="auto"/>
              <w:right w:val="single" w:sz="4" w:space="0" w:color="auto"/>
            </w:tcBorders>
            <w:vAlign w:val="bottom"/>
          </w:tcPr>
          <w:p w14:paraId="65078963"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92</w:t>
            </w:r>
          </w:p>
        </w:tc>
        <w:tc>
          <w:tcPr>
            <w:tcW w:w="722" w:type="pct"/>
            <w:tcBorders>
              <w:top w:val="single" w:sz="4" w:space="0" w:color="auto"/>
              <w:left w:val="single" w:sz="4" w:space="0" w:color="auto"/>
              <w:bottom w:val="single" w:sz="4" w:space="0" w:color="auto"/>
              <w:right w:val="single" w:sz="4" w:space="0" w:color="auto"/>
            </w:tcBorders>
            <w:vAlign w:val="bottom"/>
          </w:tcPr>
          <w:p w14:paraId="6D2E75C7"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tcBorders>
              <w:top w:val="single" w:sz="4" w:space="0" w:color="auto"/>
              <w:left w:val="single" w:sz="4" w:space="0" w:color="auto"/>
              <w:bottom w:val="single" w:sz="4" w:space="0" w:color="auto"/>
              <w:right w:val="single" w:sz="4" w:space="0" w:color="auto"/>
            </w:tcBorders>
            <w:vAlign w:val="bottom"/>
          </w:tcPr>
          <w:p w14:paraId="2A6932D4"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92</w:t>
            </w:r>
          </w:p>
        </w:tc>
        <w:tc>
          <w:tcPr>
            <w:tcW w:w="674" w:type="pct"/>
            <w:tcBorders>
              <w:top w:val="single" w:sz="4" w:space="0" w:color="auto"/>
              <w:left w:val="single" w:sz="4" w:space="0" w:color="auto"/>
              <w:bottom w:val="single" w:sz="4" w:space="0" w:color="auto"/>
              <w:right w:val="single" w:sz="4" w:space="0" w:color="auto"/>
            </w:tcBorders>
            <w:vAlign w:val="bottom"/>
          </w:tcPr>
          <w:p w14:paraId="20CFB946"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14 hrs.; $970.34</w:t>
            </w:r>
          </w:p>
        </w:tc>
        <w:tc>
          <w:tcPr>
            <w:tcW w:w="770" w:type="pct"/>
            <w:tcBorders>
              <w:top w:val="single" w:sz="4" w:space="0" w:color="auto"/>
              <w:left w:val="single" w:sz="4" w:space="0" w:color="auto"/>
              <w:bottom w:val="single" w:sz="4" w:space="0" w:color="auto"/>
              <w:right w:val="single" w:sz="4" w:space="0" w:color="auto"/>
            </w:tcBorders>
            <w:vAlign w:val="bottom"/>
          </w:tcPr>
          <w:p w14:paraId="5C036621"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1,288 hrs.; $89,271</w:t>
            </w:r>
          </w:p>
        </w:tc>
        <w:tc>
          <w:tcPr>
            <w:tcW w:w="671" w:type="pct"/>
            <w:tcBorders>
              <w:top w:val="single" w:sz="4" w:space="0" w:color="auto"/>
              <w:left w:val="single" w:sz="4" w:space="0" w:color="auto"/>
              <w:bottom w:val="single" w:sz="4" w:space="0" w:color="auto"/>
              <w:right w:val="single" w:sz="4" w:space="0" w:color="auto"/>
            </w:tcBorders>
            <w:vAlign w:val="bottom"/>
          </w:tcPr>
          <w:p w14:paraId="0971E692"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$970.34</w:t>
            </w:r>
          </w:p>
        </w:tc>
      </w:tr>
      <w:tr w:rsidR="009E3BA7" w:rsidRPr="009E3BA7" w14:paraId="1E34FA1D" w14:textId="77777777" w:rsidTr="009E3BA7">
        <w:trPr>
          <w:cantSplit/>
          <w:jc w:val="center"/>
        </w:trPr>
        <w:tc>
          <w:tcPr>
            <w:tcW w:w="796" w:type="pct"/>
            <w:tcBorders>
              <w:top w:val="single" w:sz="4" w:space="0" w:color="auto"/>
              <w:left w:val="single" w:sz="4" w:space="0" w:color="auto"/>
              <w:bottom w:val="single" w:sz="4" w:space="0" w:color="auto"/>
              <w:right w:val="single" w:sz="4" w:space="0" w:color="auto"/>
            </w:tcBorders>
          </w:tcPr>
          <w:p w14:paraId="31F869BE"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 2-A</w:t>
            </w:r>
          </w:p>
        </w:tc>
        <w:tc>
          <w:tcPr>
            <w:tcW w:w="742" w:type="pct"/>
            <w:tcBorders>
              <w:top w:val="single" w:sz="4" w:space="0" w:color="auto"/>
              <w:left w:val="single" w:sz="4" w:space="0" w:color="auto"/>
              <w:bottom w:val="single" w:sz="4" w:space="0" w:color="auto"/>
              <w:right w:val="single" w:sz="4" w:space="0" w:color="auto"/>
            </w:tcBorders>
            <w:vAlign w:val="bottom"/>
          </w:tcPr>
          <w:p w14:paraId="21FD5F4A"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73</w:t>
            </w:r>
          </w:p>
        </w:tc>
        <w:tc>
          <w:tcPr>
            <w:tcW w:w="722" w:type="pct"/>
            <w:tcBorders>
              <w:top w:val="single" w:sz="4" w:space="0" w:color="auto"/>
              <w:left w:val="single" w:sz="4" w:space="0" w:color="auto"/>
              <w:bottom w:val="single" w:sz="4" w:space="0" w:color="auto"/>
              <w:right w:val="single" w:sz="4" w:space="0" w:color="auto"/>
            </w:tcBorders>
            <w:vAlign w:val="bottom"/>
          </w:tcPr>
          <w:p w14:paraId="103D5561"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tcBorders>
              <w:top w:val="single" w:sz="4" w:space="0" w:color="auto"/>
              <w:left w:val="single" w:sz="4" w:space="0" w:color="auto"/>
              <w:bottom w:val="single" w:sz="4" w:space="0" w:color="auto"/>
              <w:right w:val="single" w:sz="4" w:space="0" w:color="auto"/>
            </w:tcBorders>
            <w:vAlign w:val="bottom"/>
          </w:tcPr>
          <w:p w14:paraId="1C012642"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73</w:t>
            </w:r>
          </w:p>
        </w:tc>
        <w:tc>
          <w:tcPr>
            <w:tcW w:w="674" w:type="pct"/>
            <w:tcBorders>
              <w:top w:val="single" w:sz="4" w:space="0" w:color="auto"/>
              <w:left w:val="single" w:sz="4" w:space="0" w:color="auto"/>
              <w:bottom w:val="single" w:sz="4" w:space="0" w:color="auto"/>
              <w:right w:val="single" w:sz="4" w:space="0" w:color="auto"/>
            </w:tcBorders>
            <w:vAlign w:val="bottom"/>
          </w:tcPr>
          <w:p w14:paraId="73257868"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14 hrs.; $970.34</w:t>
            </w:r>
          </w:p>
        </w:tc>
        <w:tc>
          <w:tcPr>
            <w:tcW w:w="770" w:type="pct"/>
            <w:tcBorders>
              <w:top w:val="single" w:sz="4" w:space="0" w:color="auto"/>
              <w:left w:val="single" w:sz="4" w:space="0" w:color="auto"/>
              <w:bottom w:val="single" w:sz="4" w:space="0" w:color="auto"/>
              <w:right w:val="single" w:sz="4" w:space="0" w:color="auto"/>
            </w:tcBorders>
            <w:vAlign w:val="bottom"/>
          </w:tcPr>
          <w:p w14:paraId="7F892417"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1,022 hrs.; $70,835</w:t>
            </w:r>
          </w:p>
        </w:tc>
        <w:tc>
          <w:tcPr>
            <w:tcW w:w="671" w:type="pct"/>
            <w:tcBorders>
              <w:top w:val="single" w:sz="4" w:space="0" w:color="auto"/>
              <w:left w:val="single" w:sz="4" w:space="0" w:color="auto"/>
              <w:bottom w:val="single" w:sz="4" w:space="0" w:color="auto"/>
              <w:right w:val="single" w:sz="4" w:space="0" w:color="auto"/>
            </w:tcBorders>
            <w:vAlign w:val="bottom"/>
          </w:tcPr>
          <w:p w14:paraId="4B3A7F5D"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$970.34</w:t>
            </w:r>
          </w:p>
        </w:tc>
      </w:tr>
      <w:tr w:rsidR="009E3BA7" w:rsidRPr="009E3BA7" w14:paraId="22582B4F" w14:textId="77777777" w:rsidTr="009E3BA7">
        <w:trPr>
          <w:cantSplit/>
          <w:jc w:val="center"/>
        </w:trPr>
        <w:tc>
          <w:tcPr>
            <w:tcW w:w="796" w:type="pct"/>
          </w:tcPr>
          <w:p w14:paraId="716BF084"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 3-Q natural gas</w:t>
            </w:r>
          </w:p>
        </w:tc>
        <w:tc>
          <w:tcPr>
            <w:tcW w:w="742" w:type="pct"/>
            <w:vAlign w:val="bottom"/>
          </w:tcPr>
          <w:p w14:paraId="54F6EAD1"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165</w:t>
            </w:r>
          </w:p>
        </w:tc>
        <w:tc>
          <w:tcPr>
            <w:tcW w:w="722" w:type="pct"/>
            <w:vAlign w:val="bottom"/>
          </w:tcPr>
          <w:p w14:paraId="1F9B3F4D"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3</w:t>
            </w:r>
          </w:p>
        </w:tc>
        <w:tc>
          <w:tcPr>
            <w:tcW w:w="625" w:type="pct"/>
            <w:vAlign w:val="bottom"/>
          </w:tcPr>
          <w:p w14:paraId="21D82B9D"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495</w:t>
            </w:r>
          </w:p>
        </w:tc>
        <w:tc>
          <w:tcPr>
            <w:tcW w:w="674" w:type="pct"/>
            <w:vAlign w:val="bottom"/>
          </w:tcPr>
          <w:p w14:paraId="7D0DFA2D"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c>
          <w:tcPr>
            <w:tcW w:w="770" w:type="pct"/>
            <w:tcBorders>
              <w:top w:val="single" w:sz="4" w:space="0" w:color="auto"/>
              <w:left w:val="single" w:sz="4" w:space="0" w:color="auto"/>
              <w:bottom w:val="single" w:sz="4" w:space="0" w:color="auto"/>
              <w:right w:val="single" w:sz="4" w:space="0" w:color="auto"/>
            </w:tcBorders>
            <w:vAlign w:val="bottom"/>
          </w:tcPr>
          <w:p w14:paraId="1C438FE1"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c>
          <w:tcPr>
            <w:tcW w:w="671" w:type="pct"/>
            <w:tcBorders>
              <w:top w:val="single" w:sz="4" w:space="0" w:color="auto"/>
              <w:left w:val="single" w:sz="4" w:space="0" w:color="auto"/>
              <w:bottom w:val="single" w:sz="4" w:space="0" w:color="auto"/>
              <w:right w:val="single" w:sz="4" w:space="0" w:color="auto"/>
            </w:tcBorders>
            <w:vAlign w:val="bottom"/>
          </w:tcPr>
          <w:p w14:paraId="66F36435"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r>
      <w:tr w:rsidR="009E3BA7" w:rsidRPr="009E3BA7" w14:paraId="1C30E391" w14:textId="77777777" w:rsidTr="009E3BA7">
        <w:trPr>
          <w:cantSplit/>
          <w:jc w:val="center"/>
        </w:trPr>
        <w:tc>
          <w:tcPr>
            <w:tcW w:w="796" w:type="pct"/>
          </w:tcPr>
          <w:p w14:paraId="2B823850" w14:textId="77777777" w:rsidR="009E3BA7" w:rsidRPr="009E3BA7" w:rsidRDefault="009E3BA7" w:rsidP="00BD0F89">
            <w:pPr>
              <w:keepNext/>
              <w:spacing w:after="0" w:line="240" w:lineRule="auto"/>
              <w:rPr>
                <w:rFonts w:ascii="Times New Roman" w:hAnsi="Times New Roman"/>
                <w:b/>
                <w:sz w:val="20"/>
                <w:szCs w:val="20"/>
              </w:rPr>
            </w:pPr>
            <w:r w:rsidRPr="009E3BA7">
              <w:rPr>
                <w:rFonts w:ascii="Times New Roman" w:hAnsi="Times New Roman"/>
                <w:sz w:val="20"/>
                <w:szCs w:val="20"/>
              </w:rPr>
              <w:t>Form No. 6</w:t>
            </w:r>
          </w:p>
        </w:tc>
        <w:tc>
          <w:tcPr>
            <w:tcW w:w="742" w:type="pct"/>
            <w:vAlign w:val="bottom"/>
          </w:tcPr>
          <w:p w14:paraId="3DB71AE5"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244</w:t>
            </w:r>
          </w:p>
        </w:tc>
        <w:tc>
          <w:tcPr>
            <w:tcW w:w="722" w:type="pct"/>
            <w:vAlign w:val="bottom"/>
          </w:tcPr>
          <w:p w14:paraId="348FA81F"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vAlign w:val="bottom"/>
          </w:tcPr>
          <w:p w14:paraId="06317A71"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244</w:t>
            </w:r>
          </w:p>
        </w:tc>
        <w:tc>
          <w:tcPr>
            <w:tcW w:w="674" w:type="pct"/>
            <w:vAlign w:val="bottom"/>
          </w:tcPr>
          <w:p w14:paraId="3332F7F9"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14 hrs.; $970.34</w:t>
            </w:r>
          </w:p>
        </w:tc>
        <w:tc>
          <w:tcPr>
            <w:tcW w:w="770" w:type="pct"/>
            <w:tcBorders>
              <w:top w:val="single" w:sz="4" w:space="0" w:color="auto"/>
              <w:left w:val="single" w:sz="4" w:space="0" w:color="auto"/>
              <w:bottom w:val="single" w:sz="4" w:space="0" w:color="auto"/>
              <w:right w:val="single" w:sz="4" w:space="0" w:color="auto"/>
            </w:tcBorders>
            <w:vAlign w:val="bottom"/>
          </w:tcPr>
          <w:p w14:paraId="455FEAC4"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3,416 hrs.; $236,763</w:t>
            </w:r>
          </w:p>
        </w:tc>
        <w:tc>
          <w:tcPr>
            <w:tcW w:w="671" w:type="pct"/>
            <w:tcBorders>
              <w:top w:val="single" w:sz="4" w:space="0" w:color="auto"/>
              <w:left w:val="single" w:sz="4" w:space="0" w:color="auto"/>
              <w:bottom w:val="single" w:sz="4" w:space="0" w:color="auto"/>
              <w:right w:val="single" w:sz="4" w:space="0" w:color="auto"/>
            </w:tcBorders>
            <w:vAlign w:val="bottom"/>
          </w:tcPr>
          <w:p w14:paraId="0BBE3CD8"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$970.34</w:t>
            </w:r>
          </w:p>
        </w:tc>
      </w:tr>
      <w:tr w:rsidR="009E3BA7" w:rsidRPr="009E3BA7" w14:paraId="7E63DC74" w14:textId="77777777" w:rsidTr="009E3BA7">
        <w:trPr>
          <w:cantSplit/>
          <w:jc w:val="center"/>
        </w:trPr>
        <w:tc>
          <w:tcPr>
            <w:tcW w:w="796" w:type="pct"/>
          </w:tcPr>
          <w:p w14:paraId="1A96F4E4"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 6-Q</w:t>
            </w:r>
          </w:p>
        </w:tc>
        <w:tc>
          <w:tcPr>
            <w:tcW w:w="742" w:type="pct"/>
            <w:vAlign w:val="bottom"/>
          </w:tcPr>
          <w:p w14:paraId="2C3D7FAF"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244</w:t>
            </w:r>
          </w:p>
        </w:tc>
        <w:tc>
          <w:tcPr>
            <w:tcW w:w="722" w:type="pct"/>
            <w:vAlign w:val="bottom"/>
          </w:tcPr>
          <w:p w14:paraId="4E582089"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3</w:t>
            </w:r>
          </w:p>
        </w:tc>
        <w:tc>
          <w:tcPr>
            <w:tcW w:w="625" w:type="pct"/>
            <w:vAlign w:val="bottom"/>
          </w:tcPr>
          <w:p w14:paraId="25E4F7F2"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732</w:t>
            </w:r>
          </w:p>
        </w:tc>
        <w:tc>
          <w:tcPr>
            <w:tcW w:w="674" w:type="pct"/>
            <w:vAlign w:val="bottom"/>
          </w:tcPr>
          <w:p w14:paraId="5C08C006"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c>
          <w:tcPr>
            <w:tcW w:w="770" w:type="pct"/>
            <w:tcBorders>
              <w:top w:val="single" w:sz="4" w:space="0" w:color="auto"/>
              <w:left w:val="single" w:sz="4" w:space="0" w:color="auto"/>
              <w:bottom w:val="single" w:sz="4" w:space="0" w:color="auto"/>
              <w:right w:val="single" w:sz="4" w:space="0" w:color="auto"/>
            </w:tcBorders>
            <w:vAlign w:val="bottom"/>
          </w:tcPr>
          <w:p w14:paraId="56BBA076"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c>
          <w:tcPr>
            <w:tcW w:w="671" w:type="pct"/>
            <w:tcBorders>
              <w:top w:val="single" w:sz="4" w:space="0" w:color="auto"/>
              <w:left w:val="single" w:sz="4" w:space="0" w:color="auto"/>
              <w:bottom w:val="single" w:sz="4" w:space="0" w:color="auto"/>
              <w:right w:val="single" w:sz="4" w:space="0" w:color="auto"/>
            </w:tcBorders>
            <w:vAlign w:val="bottom"/>
          </w:tcPr>
          <w:p w14:paraId="7707B97D"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r>
      <w:tr w:rsidR="009E3BA7" w:rsidRPr="009E3BA7" w14:paraId="626181C0" w14:textId="77777777" w:rsidTr="009E3BA7">
        <w:trPr>
          <w:cantSplit/>
          <w:jc w:val="center"/>
        </w:trPr>
        <w:tc>
          <w:tcPr>
            <w:tcW w:w="796" w:type="pct"/>
          </w:tcPr>
          <w:p w14:paraId="580D4BA5" w14:textId="77777777" w:rsidR="009E3BA7" w:rsidRPr="0051491B" w:rsidRDefault="009E3BA7" w:rsidP="00BD0F89">
            <w:pPr>
              <w:keepNext/>
              <w:spacing w:after="0" w:line="240" w:lineRule="auto"/>
              <w:rPr>
                <w:rFonts w:ascii="Times New Roman" w:hAnsi="Times New Roman"/>
                <w:b/>
                <w:sz w:val="20"/>
                <w:szCs w:val="20"/>
              </w:rPr>
            </w:pPr>
            <w:r w:rsidRPr="0051491B">
              <w:rPr>
                <w:rFonts w:ascii="Times New Roman" w:hAnsi="Times New Roman"/>
                <w:sz w:val="20"/>
                <w:szCs w:val="20"/>
              </w:rPr>
              <w:t>Form No. 60</w:t>
            </w:r>
            <w:r w:rsidR="0051491B" w:rsidRPr="0051491B">
              <w:rPr>
                <w:rFonts w:ascii="Times New Roman" w:hAnsi="Times New Roman"/>
                <w:sz w:val="20"/>
                <w:szCs w:val="20"/>
              </w:rPr>
              <w:t>A</w:t>
            </w:r>
          </w:p>
        </w:tc>
        <w:tc>
          <w:tcPr>
            <w:tcW w:w="742" w:type="pct"/>
            <w:vAlign w:val="bottom"/>
          </w:tcPr>
          <w:p w14:paraId="111BDC60"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39</w:t>
            </w:r>
          </w:p>
        </w:tc>
        <w:tc>
          <w:tcPr>
            <w:tcW w:w="722" w:type="pct"/>
            <w:vAlign w:val="bottom"/>
          </w:tcPr>
          <w:p w14:paraId="74E203C5"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vAlign w:val="bottom"/>
          </w:tcPr>
          <w:p w14:paraId="1DB7A5EA"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39</w:t>
            </w:r>
          </w:p>
        </w:tc>
        <w:tc>
          <w:tcPr>
            <w:tcW w:w="674" w:type="pct"/>
            <w:vAlign w:val="bottom"/>
          </w:tcPr>
          <w:p w14:paraId="2964B38A"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3 hrs.; $207.93</w:t>
            </w:r>
          </w:p>
        </w:tc>
        <w:tc>
          <w:tcPr>
            <w:tcW w:w="770" w:type="pct"/>
            <w:tcBorders>
              <w:top w:val="single" w:sz="4" w:space="0" w:color="auto"/>
              <w:left w:val="single" w:sz="4" w:space="0" w:color="auto"/>
              <w:bottom w:val="single" w:sz="4" w:space="0" w:color="auto"/>
              <w:right w:val="single" w:sz="4" w:space="0" w:color="auto"/>
            </w:tcBorders>
            <w:vAlign w:val="bottom"/>
          </w:tcPr>
          <w:p w14:paraId="17486B16"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117 hrs.; $8,109</w:t>
            </w:r>
          </w:p>
        </w:tc>
        <w:tc>
          <w:tcPr>
            <w:tcW w:w="671" w:type="pct"/>
            <w:tcBorders>
              <w:top w:val="single" w:sz="4" w:space="0" w:color="auto"/>
              <w:left w:val="single" w:sz="4" w:space="0" w:color="auto"/>
              <w:bottom w:val="single" w:sz="4" w:space="0" w:color="auto"/>
              <w:right w:val="single" w:sz="4" w:space="0" w:color="auto"/>
            </w:tcBorders>
            <w:vAlign w:val="bottom"/>
          </w:tcPr>
          <w:p w14:paraId="5040D613"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$207.93</w:t>
            </w:r>
          </w:p>
        </w:tc>
      </w:tr>
      <w:tr w:rsidR="009E3BA7" w:rsidRPr="009E3BA7" w14:paraId="52E0C006" w14:textId="77777777" w:rsidTr="009E3BA7">
        <w:trPr>
          <w:cantSplit/>
          <w:jc w:val="center"/>
        </w:trPr>
        <w:tc>
          <w:tcPr>
            <w:tcW w:w="796" w:type="pct"/>
          </w:tcPr>
          <w:p w14:paraId="51BB7D56" w14:textId="77777777" w:rsidR="009E3BA7" w:rsidRPr="0051491B" w:rsidRDefault="009E3BA7" w:rsidP="00BD0F89">
            <w:pPr>
              <w:keepNext/>
              <w:spacing w:after="0" w:line="240" w:lineRule="auto"/>
              <w:rPr>
                <w:rFonts w:ascii="Times New Roman" w:hAnsi="Times New Roman"/>
                <w:b/>
                <w:sz w:val="20"/>
                <w:szCs w:val="20"/>
              </w:rPr>
            </w:pPr>
            <w:r w:rsidRPr="0051491B">
              <w:rPr>
                <w:rFonts w:ascii="Times New Roman" w:hAnsi="Times New Roman"/>
                <w:sz w:val="20"/>
                <w:szCs w:val="20"/>
              </w:rPr>
              <w:t>Form No. 714</w:t>
            </w:r>
            <w:r w:rsidR="00FD504F" w:rsidRPr="0051491B">
              <w:rPr>
                <w:rFonts w:ascii="Times New Roman" w:hAnsi="Times New Roman"/>
                <w:sz w:val="20"/>
                <w:szCs w:val="20"/>
              </w:rPr>
              <w:t>A</w:t>
            </w:r>
          </w:p>
        </w:tc>
        <w:tc>
          <w:tcPr>
            <w:tcW w:w="742" w:type="pct"/>
            <w:vAlign w:val="bottom"/>
          </w:tcPr>
          <w:p w14:paraId="20C43D3C"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176</w:t>
            </w:r>
          </w:p>
        </w:tc>
        <w:tc>
          <w:tcPr>
            <w:tcW w:w="722" w:type="pct"/>
            <w:vAlign w:val="bottom"/>
          </w:tcPr>
          <w:p w14:paraId="236DFD57"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vAlign w:val="bottom"/>
          </w:tcPr>
          <w:p w14:paraId="4D9CC494"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176</w:t>
            </w:r>
          </w:p>
        </w:tc>
        <w:tc>
          <w:tcPr>
            <w:tcW w:w="674" w:type="pct"/>
            <w:vAlign w:val="bottom"/>
          </w:tcPr>
          <w:p w14:paraId="122E30AB"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 hrs.; $138.62</w:t>
            </w:r>
          </w:p>
        </w:tc>
        <w:tc>
          <w:tcPr>
            <w:tcW w:w="770" w:type="pct"/>
            <w:tcBorders>
              <w:top w:val="single" w:sz="4" w:space="0" w:color="auto"/>
              <w:left w:val="single" w:sz="4" w:space="0" w:color="auto"/>
              <w:bottom w:val="single" w:sz="4" w:space="0" w:color="auto"/>
              <w:right w:val="single" w:sz="4" w:space="0" w:color="auto"/>
            </w:tcBorders>
            <w:vAlign w:val="bottom"/>
          </w:tcPr>
          <w:p w14:paraId="110DCDDD"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352 hrs.; $24,397</w:t>
            </w:r>
          </w:p>
        </w:tc>
        <w:tc>
          <w:tcPr>
            <w:tcW w:w="671" w:type="pct"/>
            <w:tcBorders>
              <w:top w:val="single" w:sz="4" w:space="0" w:color="auto"/>
              <w:left w:val="single" w:sz="4" w:space="0" w:color="auto"/>
              <w:bottom w:val="single" w:sz="4" w:space="0" w:color="auto"/>
              <w:right w:val="single" w:sz="4" w:space="0" w:color="auto"/>
            </w:tcBorders>
            <w:vAlign w:val="bottom"/>
          </w:tcPr>
          <w:p w14:paraId="599F6489"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$138.62</w:t>
            </w:r>
          </w:p>
        </w:tc>
      </w:tr>
      <w:tr w:rsidR="009E3BA7" w:rsidRPr="009E3BA7" w14:paraId="09EFFB77" w14:textId="77777777" w:rsidTr="009E3BA7">
        <w:trPr>
          <w:cantSplit/>
          <w:jc w:val="center"/>
        </w:trPr>
        <w:tc>
          <w:tcPr>
            <w:tcW w:w="796" w:type="pct"/>
          </w:tcPr>
          <w:p w14:paraId="1333815F" w14:textId="77777777" w:rsidR="009E3BA7" w:rsidRPr="009E3BA7" w:rsidRDefault="009E3BA7" w:rsidP="00BD0F89">
            <w:pPr>
              <w:keepNext/>
              <w:spacing w:after="0" w:line="240" w:lineRule="auto"/>
              <w:rPr>
                <w:rFonts w:ascii="Times New Roman" w:hAnsi="Times New Roman"/>
                <w:b/>
                <w:sz w:val="20"/>
                <w:szCs w:val="20"/>
              </w:rPr>
            </w:pPr>
            <w:r w:rsidRPr="009E3BA7">
              <w:rPr>
                <w:rFonts w:ascii="Times New Roman" w:hAnsi="Times New Roman"/>
                <w:b/>
                <w:sz w:val="20"/>
                <w:szCs w:val="20"/>
              </w:rPr>
              <w:t>Total for Ongoing Burden</w:t>
            </w:r>
          </w:p>
        </w:tc>
        <w:tc>
          <w:tcPr>
            <w:tcW w:w="1464" w:type="pct"/>
            <w:gridSpan w:val="2"/>
            <w:shd w:val="clear" w:color="auto" w:fill="D9D9D9" w:themeFill="background1" w:themeFillShade="D9"/>
            <w:vAlign w:val="bottom"/>
          </w:tcPr>
          <w:p w14:paraId="39F6CF29" w14:textId="77777777" w:rsidR="009E3BA7" w:rsidRPr="009E3BA7" w:rsidRDefault="009E3BA7" w:rsidP="00BD0F89">
            <w:pPr>
              <w:keepNext/>
              <w:spacing w:after="0" w:line="240" w:lineRule="auto"/>
              <w:jc w:val="right"/>
              <w:rPr>
                <w:rFonts w:ascii="Times New Roman" w:hAnsi="Times New Roman"/>
                <w:sz w:val="20"/>
                <w:szCs w:val="20"/>
              </w:rPr>
            </w:pPr>
          </w:p>
        </w:tc>
        <w:tc>
          <w:tcPr>
            <w:tcW w:w="625" w:type="pct"/>
            <w:vAlign w:val="bottom"/>
          </w:tcPr>
          <w:p w14:paraId="4C7633D5"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836</w:t>
            </w:r>
            <w:r w:rsidRPr="009E3BA7">
              <w:rPr>
                <w:rFonts w:ascii="Times New Roman" w:hAnsi="Times New Roman"/>
                <w:b/>
                <w:sz w:val="26"/>
                <w:szCs w:val="26"/>
                <w:vertAlign w:val="superscript"/>
              </w:rPr>
              <w:footnoteReference w:id="23"/>
            </w:r>
          </w:p>
        </w:tc>
        <w:tc>
          <w:tcPr>
            <w:tcW w:w="674" w:type="pct"/>
            <w:shd w:val="clear" w:color="auto" w:fill="D9D9D9" w:themeFill="background1" w:themeFillShade="D9"/>
            <w:vAlign w:val="bottom"/>
          </w:tcPr>
          <w:p w14:paraId="6DAF4758" w14:textId="77777777" w:rsidR="009E3BA7" w:rsidRPr="009E3BA7" w:rsidRDefault="009E3BA7" w:rsidP="00BD0F89">
            <w:pPr>
              <w:keepNext/>
              <w:spacing w:after="0" w:line="240" w:lineRule="auto"/>
              <w:jc w:val="right"/>
              <w:rPr>
                <w:rFonts w:ascii="Times New Roman" w:hAnsi="Times New Roman"/>
                <w:sz w:val="20"/>
                <w:szCs w:val="20"/>
              </w:rPr>
            </w:pPr>
          </w:p>
        </w:tc>
        <w:tc>
          <w:tcPr>
            <w:tcW w:w="770" w:type="pct"/>
            <w:tcBorders>
              <w:top w:val="single" w:sz="4" w:space="0" w:color="auto"/>
              <w:left w:val="single" w:sz="4" w:space="0" w:color="auto"/>
              <w:bottom w:val="single" w:sz="4" w:space="0" w:color="auto"/>
              <w:right w:val="single" w:sz="4" w:space="0" w:color="auto"/>
            </w:tcBorders>
            <w:vAlign w:val="bottom"/>
          </w:tcPr>
          <w:p w14:paraId="7850FA6B" w14:textId="77777777" w:rsidR="009E3BA7" w:rsidRPr="009E3BA7" w:rsidRDefault="009E3BA7" w:rsidP="00BD0F89">
            <w:pPr>
              <w:keepNext/>
              <w:spacing w:after="0" w:line="240" w:lineRule="auto"/>
              <w:jc w:val="right"/>
              <w:rPr>
                <w:rFonts w:ascii="Times New Roman" w:hAnsi="Times New Roman"/>
                <w:sz w:val="20"/>
                <w:szCs w:val="20"/>
              </w:rPr>
            </w:pPr>
            <w:r w:rsidRPr="009E3BA7" w:rsidDel="00822084">
              <w:rPr>
                <w:rFonts w:ascii="Times New Roman" w:hAnsi="Times New Roman"/>
                <w:sz w:val="20"/>
                <w:szCs w:val="20"/>
              </w:rPr>
              <w:t>9,</w:t>
            </w:r>
            <w:r w:rsidRPr="009E3BA7">
              <w:rPr>
                <w:rFonts w:ascii="Times New Roman" w:hAnsi="Times New Roman"/>
                <w:sz w:val="20"/>
                <w:szCs w:val="20"/>
              </w:rPr>
              <w:t>163 hrs.; $635,087</w:t>
            </w:r>
          </w:p>
        </w:tc>
        <w:tc>
          <w:tcPr>
            <w:tcW w:w="67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5A3DA06" w14:textId="77777777" w:rsidR="009E3BA7" w:rsidRPr="009E3BA7" w:rsidRDefault="009E3BA7" w:rsidP="00BD0F89">
            <w:pPr>
              <w:keepNext/>
              <w:spacing w:after="0" w:line="240" w:lineRule="auto"/>
              <w:jc w:val="right"/>
              <w:rPr>
                <w:rFonts w:ascii="Times New Roman" w:hAnsi="Times New Roman"/>
                <w:sz w:val="20"/>
                <w:szCs w:val="20"/>
              </w:rPr>
            </w:pPr>
          </w:p>
        </w:tc>
      </w:tr>
    </w:tbl>
    <w:p w14:paraId="568EAB31" w14:textId="77777777" w:rsidR="009E3BA7" w:rsidRDefault="009E3BA7" w:rsidP="00BD0F89">
      <w:pPr>
        <w:spacing w:after="0" w:line="240" w:lineRule="auto"/>
        <w:rPr>
          <w:rFonts w:ascii="Times New Roman" w:hAnsi="Times New Roman"/>
          <w:sz w:val="24"/>
          <w:szCs w:val="24"/>
        </w:rPr>
      </w:pPr>
    </w:p>
    <w:p w14:paraId="3A4A6206" w14:textId="77777777" w:rsidR="009E3BA7" w:rsidRPr="009E3BA7" w:rsidRDefault="009E3BA7" w:rsidP="00BD0F89">
      <w:pPr>
        <w:spacing w:after="0" w:line="240" w:lineRule="auto"/>
        <w:rPr>
          <w:rFonts w:ascii="Times New Roman" w:hAnsi="Times New Roman"/>
          <w:sz w:val="24"/>
          <w:szCs w:val="24"/>
        </w:rPr>
      </w:pPr>
      <w:r w:rsidRPr="009E3BA7">
        <w:rPr>
          <w:rFonts w:ascii="Times New Roman" w:hAnsi="Times New Roman"/>
          <w:sz w:val="24"/>
          <w:szCs w:val="24"/>
        </w:rPr>
        <w:t xml:space="preserve">The Commission’s estimates for the hourly wage figure (as related to the implementation and ongoing burden estimate) are based on the Bureau of Labor Statistics data (for the Utilities sector, at </w:t>
      </w:r>
      <w:hyperlink r:id="rId14" w:history="1">
        <w:r w:rsidRPr="009E3BA7">
          <w:rPr>
            <w:rStyle w:val="Hyperlink"/>
            <w:rFonts w:ascii="Times New Roman" w:hAnsi="Times New Roman"/>
            <w:sz w:val="24"/>
            <w:szCs w:val="24"/>
          </w:rPr>
          <w:t>http://www.bls.gov/oes/current/naics2_22.htm</w:t>
        </w:r>
      </w:hyperlink>
      <w:r w:rsidRPr="009E3BA7">
        <w:rPr>
          <w:rFonts w:ascii="Times New Roman" w:hAnsi="Times New Roman"/>
          <w:sz w:val="24"/>
          <w:szCs w:val="24"/>
        </w:rPr>
        <w:t xml:space="preserve">, plus benefits information at </w:t>
      </w:r>
      <w:hyperlink r:id="rId15" w:history="1">
        <w:r w:rsidRPr="009E3BA7">
          <w:rPr>
            <w:rStyle w:val="Hyperlink"/>
            <w:rFonts w:ascii="Times New Roman" w:hAnsi="Times New Roman"/>
            <w:sz w:val="24"/>
            <w:szCs w:val="24"/>
          </w:rPr>
          <w:t>http://www.bls.gov/news.release/ecec.nr0.htm</w:t>
        </w:r>
      </w:hyperlink>
      <w:r w:rsidRPr="009E3BA7">
        <w:rPr>
          <w:rFonts w:ascii="Times New Roman" w:hAnsi="Times New Roman"/>
          <w:sz w:val="24"/>
          <w:szCs w:val="24"/>
        </w:rPr>
        <w:t>).  The salaries (plus benefits) for the eight occupational categories are:</w:t>
      </w:r>
    </w:p>
    <w:p w14:paraId="529F573F" w14:textId="77777777" w:rsidR="009E3BA7" w:rsidRPr="009E3BA7" w:rsidRDefault="009E3BA7" w:rsidP="00BD0F89">
      <w:pPr>
        <w:numPr>
          <w:ilvl w:val="0"/>
          <w:numId w:val="21"/>
        </w:numPr>
        <w:spacing w:after="0" w:line="240" w:lineRule="auto"/>
        <w:rPr>
          <w:rFonts w:ascii="Times New Roman" w:hAnsi="Times New Roman"/>
          <w:sz w:val="24"/>
          <w:szCs w:val="24"/>
        </w:rPr>
      </w:pPr>
      <w:r w:rsidRPr="009E3BA7">
        <w:rPr>
          <w:rFonts w:ascii="Times New Roman" w:hAnsi="Times New Roman"/>
          <w:sz w:val="24"/>
          <w:szCs w:val="24"/>
        </w:rPr>
        <w:t>Management (Occupation Code: 11-0000): $94.28/hour</w:t>
      </w:r>
    </w:p>
    <w:p w14:paraId="45E2E846" w14:textId="77777777" w:rsidR="009E3BA7" w:rsidRPr="009E3BA7" w:rsidRDefault="009E3BA7" w:rsidP="00BD0F89">
      <w:pPr>
        <w:numPr>
          <w:ilvl w:val="0"/>
          <w:numId w:val="21"/>
        </w:numPr>
        <w:spacing w:after="0" w:line="240" w:lineRule="auto"/>
        <w:rPr>
          <w:rFonts w:ascii="Times New Roman" w:hAnsi="Times New Roman"/>
          <w:sz w:val="24"/>
          <w:szCs w:val="24"/>
        </w:rPr>
      </w:pPr>
      <w:r w:rsidRPr="009E3BA7">
        <w:rPr>
          <w:rFonts w:ascii="Times New Roman" w:hAnsi="Times New Roman"/>
          <w:sz w:val="24"/>
          <w:szCs w:val="24"/>
        </w:rPr>
        <w:t>Information Security Analysts (Occupation Code: 15-1122): $60.90/hour</w:t>
      </w:r>
    </w:p>
    <w:p w14:paraId="2CF59DD9" w14:textId="77777777" w:rsidR="009E3BA7" w:rsidRPr="009E3BA7" w:rsidRDefault="009E3BA7" w:rsidP="00BD0F89">
      <w:pPr>
        <w:numPr>
          <w:ilvl w:val="0"/>
          <w:numId w:val="21"/>
        </w:numPr>
        <w:spacing w:after="0" w:line="240" w:lineRule="auto"/>
        <w:rPr>
          <w:rFonts w:ascii="Times New Roman" w:hAnsi="Times New Roman"/>
          <w:sz w:val="24"/>
          <w:szCs w:val="24"/>
        </w:rPr>
      </w:pPr>
      <w:r w:rsidRPr="009E3BA7">
        <w:rPr>
          <w:rFonts w:ascii="Times New Roman" w:hAnsi="Times New Roman"/>
          <w:sz w:val="24"/>
          <w:szCs w:val="24"/>
        </w:rPr>
        <w:t>Legal (Occupation Code: 23-0000): $143.68/hour</w:t>
      </w:r>
    </w:p>
    <w:p w14:paraId="65B54E32" w14:textId="77777777" w:rsidR="009E3BA7" w:rsidRPr="009E3BA7" w:rsidRDefault="009E3BA7" w:rsidP="00BD0F89">
      <w:pPr>
        <w:numPr>
          <w:ilvl w:val="0"/>
          <w:numId w:val="21"/>
        </w:numPr>
        <w:spacing w:after="0" w:line="240" w:lineRule="auto"/>
        <w:rPr>
          <w:rFonts w:ascii="Times New Roman" w:hAnsi="Times New Roman"/>
          <w:sz w:val="24"/>
          <w:szCs w:val="24"/>
        </w:rPr>
      </w:pPr>
      <w:r w:rsidRPr="009E3BA7">
        <w:rPr>
          <w:rFonts w:ascii="Times New Roman" w:hAnsi="Times New Roman"/>
          <w:sz w:val="24"/>
          <w:szCs w:val="24"/>
        </w:rPr>
        <w:t>Office and Administrative Support: $41.34/hour</w:t>
      </w:r>
    </w:p>
    <w:p w14:paraId="7785AF20" w14:textId="77777777" w:rsidR="009E3BA7" w:rsidRPr="009E3BA7" w:rsidRDefault="009E3BA7" w:rsidP="00BD0F89">
      <w:pPr>
        <w:numPr>
          <w:ilvl w:val="0"/>
          <w:numId w:val="21"/>
        </w:numPr>
        <w:spacing w:after="0" w:line="240" w:lineRule="auto"/>
        <w:rPr>
          <w:rFonts w:ascii="Times New Roman" w:hAnsi="Times New Roman"/>
          <w:sz w:val="24"/>
          <w:szCs w:val="24"/>
        </w:rPr>
      </w:pPr>
      <w:r w:rsidRPr="009E3BA7">
        <w:rPr>
          <w:rFonts w:ascii="Times New Roman" w:hAnsi="Times New Roman"/>
          <w:sz w:val="24"/>
          <w:szCs w:val="24"/>
        </w:rPr>
        <w:t>Computer and Information Systems Manager (Occupation Code: 11-3021): $96.51</w:t>
      </w:r>
    </w:p>
    <w:p w14:paraId="5E9C4C18" w14:textId="77777777" w:rsidR="009E3BA7" w:rsidRPr="009E3BA7" w:rsidRDefault="009E3BA7" w:rsidP="00BD0F89">
      <w:pPr>
        <w:numPr>
          <w:ilvl w:val="0"/>
          <w:numId w:val="21"/>
        </w:numPr>
        <w:spacing w:after="0" w:line="240" w:lineRule="auto"/>
        <w:rPr>
          <w:rFonts w:ascii="Times New Roman" w:hAnsi="Times New Roman"/>
          <w:sz w:val="24"/>
          <w:szCs w:val="24"/>
        </w:rPr>
      </w:pPr>
      <w:r w:rsidRPr="009E3BA7">
        <w:rPr>
          <w:rFonts w:ascii="Times New Roman" w:hAnsi="Times New Roman"/>
          <w:sz w:val="24"/>
          <w:szCs w:val="24"/>
        </w:rPr>
        <w:t>Management Analyst (Occupation Code: 13-1111): $63.32/hour</w:t>
      </w:r>
    </w:p>
    <w:p w14:paraId="2D201D18" w14:textId="77777777" w:rsidR="009E3BA7" w:rsidRPr="009E3BA7" w:rsidRDefault="009E3BA7" w:rsidP="00BD0F89">
      <w:pPr>
        <w:numPr>
          <w:ilvl w:val="0"/>
          <w:numId w:val="21"/>
        </w:numPr>
        <w:spacing w:after="0" w:line="240" w:lineRule="auto"/>
        <w:rPr>
          <w:rFonts w:ascii="Times New Roman" w:hAnsi="Times New Roman"/>
          <w:sz w:val="24"/>
          <w:szCs w:val="24"/>
        </w:rPr>
      </w:pPr>
      <w:r w:rsidRPr="009E3BA7">
        <w:rPr>
          <w:rFonts w:ascii="Times New Roman" w:hAnsi="Times New Roman"/>
          <w:sz w:val="24"/>
          <w:szCs w:val="24"/>
        </w:rPr>
        <w:t>Computer and Information Systems Analyst (Occupation Code: 15-1120): $66.47/hour</w:t>
      </w:r>
    </w:p>
    <w:p w14:paraId="4408FC88" w14:textId="77777777" w:rsidR="009E3BA7" w:rsidRPr="009E3BA7" w:rsidRDefault="009E3BA7" w:rsidP="00BD0F89">
      <w:pPr>
        <w:numPr>
          <w:ilvl w:val="0"/>
          <w:numId w:val="21"/>
        </w:numPr>
        <w:spacing w:after="0" w:line="240" w:lineRule="auto"/>
        <w:rPr>
          <w:rFonts w:ascii="Times New Roman" w:hAnsi="Times New Roman"/>
          <w:sz w:val="24"/>
          <w:szCs w:val="24"/>
        </w:rPr>
      </w:pPr>
      <w:r w:rsidRPr="009E3BA7">
        <w:rPr>
          <w:rFonts w:ascii="Times New Roman" w:hAnsi="Times New Roman"/>
          <w:sz w:val="24"/>
          <w:szCs w:val="24"/>
        </w:rPr>
        <w:t>Accountants and Auditors (Occupation Code: 13-2011): $56.59/hour</w:t>
      </w:r>
    </w:p>
    <w:p w14:paraId="27CCCCF1" w14:textId="77777777" w:rsidR="009E3BA7" w:rsidRPr="009E3BA7" w:rsidRDefault="009E3BA7" w:rsidP="00BD0F89">
      <w:pPr>
        <w:spacing w:after="0" w:line="240" w:lineRule="auto"/>
        <w:rPr>
          <w:rFonts w:ascii="Times New Roman" w:hAnsi="Times New Roman"/>
          <w:sz w:val="24"/>
          <w:szCs w:val="24"/>
        </w:rPr>
      </w:pPr>
      <w:r w:rsidRPr="009E3BA7">
        <w:rPr>
          <w:rFonts w:ascii="Times New Roman" w:hAnsi="Times New Roman"/>
          <w:sz w:val="24"/>
          <w:szCs w:val="24"/>
        </w:rPr>
        <w:t xml:space="preserve">The average hourly cost for all eight of these categories is calculated assuming the following weights in correspondence to effort applied by each respective occupation: </w:t>
      </w:r>
    </w:p>
    <w:p w14:paraId="76DF03BA" w14:textId="77777777" w:rsidR="009E3BA7" w:rsidRPr="009E3BA7" w:rsidRDefault="009E3BA7" w:rsidP="00BD0F89">
      <w:pPr>
        <w:numPr>
          <w:ilvl w:val="0"/>
          <w:numId w:val="22"/>
        </w:numPr>
        <w:spacing w:after="0" w:line="240" w:lineRule="auto"/>
        <w:rPr>
          <w:rFonts w:ascii="Times New Roman" w:hAnsi="Times New Roman"/>
          <w:sz w:val="24"/>
          <w:szCs w:val="24"/>
        </w:rPr>
      </w:pPr>
      <w:r w:rsidRPr="009E3BA7">
        <w:rPr>
          <w:rFonts w:ascii="Times New Roman" w:hAnsi="Times New Roman"/>
          <w:sz w:val="24"/>
          <w:szCs w:val="24"/>
        </w:rPr>
        <w:t>Management (Occupation Code: 11-0000): 5%</w:t>
      </w:r>
    </w:p>
    <w:p w14:paraId="649EF007" w14:textId="77777777" w:rsidR="009E3BA7" w:rsidRPr="009E3BA7" w:rsidRDefault="009E3BA7" w:rsidP="00BD0F89">
      <w:pPr>
        <w:numPr>
          <w:ilvl w:val="0"/>
          <w:numId w:val="22"/>
        </w:numPr>
        <w:spacing w:after="0" w:line="240" w:lineRule="auto"/>
        <w:rPr>
          <w:rFonts w:ascii="Times New Roman" w:hAnsi="Times New Roman"/>
          <w:sz w:val="24"/>
          <w:szCs w:val="24"/>
        </w:rPr>
      </w:pPr>
      <w:r w:rsidRPr="009E3BA7">
        <w:rPr>
          <w:rFonts w:ascii="Times New Roman" w:hAnsi="Times New Roman"/>
          <w:sz w:val="24"/>
          <w:szCs w:val="24"/>
        </w:rPr>
        <w:t>Information Security Analysts (Occupation Code: 15-1122): 5%</w:t>
      </w:r>
    </w:p>
    <w:p w14:paraId="406B2751" w14:textId="77777777" w:rsidR="009E3BA7" w:rsidRPr="009E3BA7" w:rsidRDefault="009E3BA7" w:rsidP="00BD0F89">
      <w:pPr>
        <w:numPr>
          <w:ilvl w:val="0"/>
          <w:numId w:val="22"/>
        </w:numPr>
        <w:spacing w:after="0" w:line="240" w:lineRule="auto"/>
        <w:rPr>
          <w:rFonts w:ascii="Times New Roman" w:hAnsi="Times New Roman"/>
          <w:sz w:val="24"/>
          <w:szCs w:val="24"/>
        </w:rPr>
      </w:pPr>
      <w:r w:rsidRPr="009E3BA7">
        <w:rPr>
          <w:rFonts w:ascii="Times New Roman" w:hAnsi="Times New Roman"/>
          <w:sz w:val="24"/>
          <w:szCs w:val="24"/>
        </w:rPr>
        <w:t>Legal (Occupation Code: 23-0000): 5%</w:t>
      </w:r>
    </w:p>
    <w:p w14:paraId="69D0220B" w14:textId="77777777" w:rsidR="009E3BA7" w:rsidRPr="009E3BA7" w:rsidRDefault="009E3BA7" w:rsidP="00BD0F89">
      <w:pPr>
        <w:numPr>
          <w:ilvl w:val="0"/>
          <w:numId w:val="22"/>
        </w:numPr>
        <w:spacing w:after="0" w:line="240" w:lineRule="auto"/>
        <w:rPr>
          <w:rFonts w:ascii="Times New Roman" w:hAnsi="Times New Roman"/>
          <w:sz w:val="24"/>
          <w:szCs w:val="24"/>
        </w:rPr>
      </w:pPr>
      <w:r w:rsidRPr="009E3BA7">
        <w:rPr>
          <w:rFonts w:ascii="Times New Roman" w:hAnsi="Times New Roman"/>
          <w:sz w:val="24"/>
          <w:szCs w:val="24"/>
        </w:rPr>
        <w:t>Office and Administrative Support: 10%</w:t>
      </w:r>
    </w:p>
    <w:p w14:paraId="70B6F51B" w14:textId="77777777" w:rsidR="009E3BA7" w:rsidRPr="009E3BA7" w:rsidRDefault="009E3BA7" w:rsidP="00BD0F89">
      <w:pPr>
        <w:numPr>
          <w:ilvl w:val="0"/>
          <w:numId w:val="22"/>
        </w:numPr>
        <w:spacing w:after="0" w:line="240" w:lineRule="auto"/>
        <w:rPr>
          <w:rFonts w:ascii="Times New Roman" w:hAnsi="Times New Roman"/>
          <w:sz w:val="24"/>
          <w:szCs w:val="24"/>
        </w:rPr>
      </w:pPr>
      <w:r w:rsidRPr="009E3BA7">
        <w:rPr>
          <w:rFonts w:ascii="Times New Roman" w:hAnsi="Times New Roman"/>
          <w:sz w:val="24"/>
          <w:szCs w:val="24"/>
        </w:rPr>
        <w:t>Computer and Information Systems Manager (Occupation Code: 11-3021): 10%</w:t>
      </w:r>
    </w:p>
    <w:p w14:paraId="35E60957" w14:textId="77777777" w:rsidR="009E3BA7" w:rsidRPr="009E3BA7" w:rsidRDefault="009E3BA7" w:rsidP="00BD0F89">
      <w:pPr>
        <w:numPr>
          <w:ilvl w:val="0"/>
          <w:numId w:val="22"/>
        </w:numPr>
        <w:spacing w:after="0" w:line="240" w:lineRule="auto"/>
        <w:rPr>
          <w:rFonts w:ascii="Times New Roman" w:hAnsi="Times New Roman"/>
          <w:sz w:val="24"/>
          <w:szCs w:val="24"/>
        </w:rPr>
      </w:pPr>
      <w:r w:rsidRPr="009E3BA7">
        <w:rPr>
          <w:rFonts w:ascii="Times New Roman" w:hAnsi="Times New Roman"/>
          <w:sz w:val="24"/>
          <w:szCs w:val="24"/>
        </w:rPr>
        <w:t>Management Analyst (Occupation Code: 13-1111): 5%</w:t>
      </w:r>
    </w:p>
    <w:p w14:paraId="5501243F" w14:textId="77777777" w:rsidR="009E3BA7" w:rsidRPr="009E3BA7" w:rsidRDefault="009E3BA7" w:rsidP="00BD0F89">
      <w:pPr>
        <w:numPr>
          <w:ilvl w:val="0"/>
          <w:numId w:val="22"/>
        </w:numPr>
        <w:spacing w:after="0" w:line="240" w:lineRule="auto"/>
        <w:rPr>
          <w:rFonts w:ascii="Times New Roman" w:hAnsi="Times New Roman"/>
          <w:sz w:val="24"/>
          <w:szCs w:val="24"/>
        </w:rPr>
      </w:pPr>
      <w:r w:rsidRPr="009E3BA7">
        <w:rPr>
          <w:rFonts w:ascii="Times New Roman" w:hAnsi="Times New Roman"/>
          <w:sz w:val="24"/>
          <w:szCs w:val="24"/>
        </w:rPr>
        <w:t>Computer and Information Systems Analyst (Occupation Code: 15-1120): 35%</w:t>
      </w:r>
    </w:p>
    <w:p w14:paraId="27D87654" w14:textId="77777777" w:rsidR="009E3BA7" w:rsidRPr="009E3BA7" w:rsidRDefault="009E3BA7" w:rsidP="00BD0F89">
      <w:pPr>
        <w:numPr>
          <w:ilvl w:val="0"/>
          <w:numId w:val="22"/>
        </w:numPr>
        <w:spacing w:after="0" w:line="240" w:lineRule="auto"/>
        <w:rPr>
          <w:rFonts w:ascii="Times New Roman" w:hAnsi="Times New Roman"/>
          <w:sz w:val="24"/>
          <w:szCs w:val="24"/>
        </w:rPr>
      </w:pPr>
      <w:r w:rsidRPr="009E3BA7">
        <w:rPr>
          <w:rFonts w:ascii="Times New Roman" w:hAnsi="Times New Roman"/>
          <w:sz w:val="24"/>
          <w:szCs w:val="24"/>
        </w:rPr>
        <w:t>Accountants and Auditors (Occupation Code: 13-2011): 25%</w:t>
      </w:r>
    </w:p>
    <w:p w14:paraId="36404E81" w14:textId="77777777" w:rsidR="009E3BA7" w:rsidRPr="009E3BA7" w:rsidRDefault="009E3BA7" w:rsidP="00BD0F89">
      <w:pPr>
        <w:spacing w:after="0" w:line="240" w:lineRule="auto"/>
        <w:rPr>
          <w:rFonts w:ascii="Times New Roman" w:hAnsi="Times New Roman"/>
          <w:sz w:val="24"/>
          <w:szCs w:val="24"/>
        </w:rPr>
      </w:pPr>
      <w:r w:rsidRPr="009E3BA7">
        <w:rPr>
          <w:rFonts w:ascii="Times New Roman" w:hAnsi="Times New Roman"/>
          <w:sz w:val="24"/>
          <w:szCs w:val="24"/>
        </w:rPr>
        <w:t>Overall, the average hourly cost uses the following calculation with all seven occupations and their respective weights included:</w:t>
      </w:r>
    </w:p>
    <w:p w14:paraId="5C108A78" w14:textId="77777777" w:rsidR="009E3BA7" w:rsidRPr="009E3BA7" w:rsidRDefault="009E3BA7" w:rsidP="00BD0F89">
      <w:pPr>
        <w:spacing w:after="0" w:line="240" w:lineRule="auto"/>
        <w:ind w:left="720"/>
        <w:rPr>
          <w:rFonts w:ascii="Times New Roman" w:hAnsi="Times New Roman"/>
          <w:sz w:val="24"/>
          <w:szCs w:val="24"/>
        </w:rPr>
      </w:pPr>
      <w:r w:rsidRPr="009E3BA7">
        <w:rPr>
          <w:rFonts w:ascii="Times New Roman" w:hAnsi="Times New Roman"/>
          <w:sz w:val="24"/>
          <w:szCs w:val="24"/>
        </w:rPr>
        <w:t>[($94.28/hour * 0.05) + ($60.90/hour * 0.05) + ($143.68/hour * 0.05) + ($41.34/hour * 0.1) + ($96.51/hour * 0.1) + ($63.32/hour * 0.05) + ($66.47/hour * 0.35) + ($56.59/hour * 0.25)] ÷ 8 = $69.31.</w:t>
      </w:r>
    </w:p>
    <w:p w14:paraId="019D151C" w14:textId="77777777" w:rsidR="009E3BA7" w:rsidRPr="007F41F8" w:rsidRDefault="009E3BA7" w:rsidP="00BD0F89">
      <w:pPr>
        <w:pStyle w:val="ListParagraph"/>
        <w:numPr>
          <w:ilvl w:val="0"/>
          <w:numId w:val="23"/>
        </w:numPr>
        <w:spacing w:after="0" w:line="240" w:lineRule="auto"/>
        <w:ind w:left="360"/>
        <w:rPr>
          <w:rFonts w:ascii="Times New Roman" w:hAnsi="Times New Roman"/>
          <w:sz w:val="24"/>
          <w:szCs w:val="24"/>
        </w:rPr>
      </w:pPr>
      <w:r w:rsidRPr="007F41F8">
        <w:rPr>
          <w:rFonts w:ascii="Times New Roman" w:hAnsi="Times New Roman"/>
          <w:sz w:val="24"/>
          <w:szCs w:val="24"/>
        </w:rPr>
        <w:t xml:space="preserve">The number of </w:t>
      </w:r>
      <w:r w:rsidR="007F41F8">
        <w:rPr>
          <w:rFonts w:ascii="Times New Roman" w:hAnsi="Times New Roman"/>
          <w:sz w:val="24"/>
          <w:szCs w:val="24"/>
        </w:rPr>
        <w:t xml:space="preserve">annual </w:t>
      </w:r>
      <w:r w:rsidRPr="007F41F8">
        <w:rPr>
          <w:rFonts w:ascii="Times New Roman" w:hAnsi="Times New Roman"/>
          <w:sz w:val="24"/>
          <w:szCs w:val="24"/>
        </w:rPr>
        <w:t>responses related to both the implementation and ongoing burden is 836 responses.</w:t>
      </w:r>
      <w:r w:rsidRPr="009E3BA7">
        <w:rPr>
          <w:b/>
          <w:vertAlign w:val="superscript"/>
        </w:rPr>
        <w:footnoteReference w:id="24"/>
      </w:r>
    </w:p>
    <w:p w14:paraId="023F7BCA" w14:textId="77777777" w:rsidR="009E3BA7" w:rsidRPr="007F41F8" w:rsidRDefault="009E3BA7" w:rsidP="00BD0F89">
      <w:pPr>
        <w:pStyle w:val="ListParagraph"/>
        <w:numPr>
          <w:ilvl w:val="0"/>
          <w:numId w:val="23"/>
        </w:numPr>
        <w:spacing w:after="0" w:line="240" w:lineRule="auto"/>
        <w:ind w:left="360"/>
        <w:rPr>
          <w:rFonts w:ascii="Times New Roman" w:hAnsi="Times New Roman"/>
          <w:sz w:val="24"/>
          <w:szCs w:val="24"/>
        </w:rPr>
      </w:pPr>
      <w:r w:rsidRPr="007F41F8">
        <w:rPr>
          <w:rFonts w:ascii="Times New Roman" w:hAnsi="Times New Roman"/>
          <w:sz w:val="24"/>
          <w:szCs w:val="24"/>
        </w:rPr>
        <w:t>The implementation burden will be 65,520 hours for Year 1.</w:t>
      </w:r>
    </w:p>
    <w:p w14:paraId="587C92BB" w14:textId="77777777" w:rsidR="009E3BA7" w:rsidRPr="007F41F8" w:rsidRDefault="009E3BA7" w:rsidP="00BD0F89">
      <w:pPr>
        <w:pStyle w:val="ListParagraph"/>
        <w:numPr>
          <w:ilvl w:val="0"/>
          <w:numId w:val="23"/>
        </w:numPr>
        <w:spacing w:after="0" w:line="240" w:lineRule="auto"/>
        <w:ind w:left="360"/>
        <w:rPr>
          <w:rFonts w:ascii="Times New Roman" w:hAnsi="Times New Roman"/>
          <w:sz w:val="24"/>
          <w:szCs w:val="24"/>
        </w:rPr>
      </w:pPr>
      <w:r w:rsidRPr="007F41F8">
        <w:rPr>
          <w:rFonts w:ascii="Times New Roman" w:hAnsi="Times New Roman"/>
          <w:sz w:val="24"/>
          <w:szCs w:val="24"/>
        </w:rPr>
        <w:t>The ongoing burden in Years 2 and 3 will be 9,163 hours per year.</w:t>
      </w:r>
    </w:p>
    <w:p w14:paraId="3E15E490" w14:textId="77777777" w:rsidR="009E3BA7" w:rsidRPr="007F41F8" w:rsidRDefault="007F41F8" w:rsidP="00BD0F89">
      <w:pPr>
        <w:pStyle w:val="ListParagraph"/>
        <w:numPr>
          <w:ilvl w:val="0"/>
          <w:numId w:val="23"/>
        </w:numPr>
        <w:spacing w:after="0" w:line="240" w:lineRule="auto"/>
        <w:ind w:left="360"/>
        <w:rPr>
          <w:rFonts w:ascii="Times New Roman" w:hAnsi="Times New Roman"/>
          <w:sz w:val="24"/>
          <w:szCs w:val="24"/>
        </w:rPr>
      </w:pPr>
      <w:r w:rsidRPr="007F41F8">
        <w:rPr>
          <w:rFonts w:ascii="Times New Roman" w:hAnsi="Times New Roman"/>
          <w:sz w:val="24"/>
          <w:szCs w:val="24"/>
        </w:rPr>
        <w:t xml:space="preserve">We are averaging the figures for Years 1-3.  </w:t>
      </w:r>
      <w:r w:rsidR="009E3BA7" w:rsidRPr="007F41F8">
        <w:rPr>
          <w:rFonts w:ascii="Times New Roman" w:hAnsi="Times New Roman"/>
          <w:sz w:val="24"/>
          <w:szCs w:val="24"/>
        </w:rPr>
        <w:t>The responses and burden for Years 1-3 for both the implementation and ongoing burden are as follows:</w:t>
      </w:r>
    </w:p>
    <w:p w14:paraId="68EE449F" w14:textId="77777777" w:rsidR="009E3BA7" w:rsidRPr="007F41F8" w:rsidRDefault="009E3BA7" w:rsidP="00BD0F89">
      <w:pPr>
        <w:pStyle w:val="ListParagraph"/>
        <w:numPr>
          <w:ilvl w:val="1"/>
          <w:numId w:val="23"/>
        </w:numPr>
        <w:spacing w:after="0" w:line="240" w:lineRule="auto"/>
        <w:ind w:left="1080"/>
        <w:rPr>
          <w:rFonts w:ascii="Times New Roman" w:hAnsi="Times New Roman"/>
          <w:sz w:val="24"/>
          <w:szCs w:val="24"/>
        </w:rPr>
      </w:pPr>
      <w:r w:rsidRPr="007F41F8">
        <w:rPr>
          <w:rFonts w:ascii="Times New Roman" w:hAnsi="Times New Roman"/>
          <w:sz w:val="24"/>
          <w:szCs w:val="24"/>
        </w:rPr>
        <w:t xml:space="preserve">836 responses/year; </w:t>
      </w:r>
    </w:p>
    <w:p w14:paraId="17CB7F93" w14:textId="77777777" w:rsidR="009E3BA7" w:rsidRPr="007F41F8" w:rsidRDefault="009E3BA7" w:rsidP="00BD0F89">
      <w:pPr>
        <w:pStyle w:val="ListParagraph"/>
        <w:numPr>
          <w:ilvl w:val="1"/>
          <w:numId w:val="23"/>
        </w:numPr>
        <w:spacing w:after="0" w:line="240" w:lineRule="auto"/>
        <w:ind w:left="1080"/>
        <w:rPr>
          <w:rFonts w:ascii="Times New Roman" w:hAnsi="Times New Roman"/>
          <w:sz w:val="24"/>
          <w:szCs w:val="24"/>
        </w:rPr>
      </w:pPr>
      <w:r w:rsidRPr="007F41F8">
        <w:rPr>
          <w:rFonts w:ascii="Times New Roman" w:hAnsi="Times New Roman"/>
          <w:sz w:val="24"/>
          <w:szCs w:val="24"/>
        </w:rPr>
        <w:t>[(65,520 hours for Year 1) +</w:t>
      </w:r>
      <w:r w:rsidRPr="007F41F8" w:rsidDel="009E3359">
        <w:rPr>
          <w:rFonts w:ascii="Times New Roman" w:hAnsi="Times New Roman"/>
          <w:sz w:val="24"/>
          <w:szCs w:val="24"/>
        </w:rPr>
        <w:t xml:space="preserve"> </w:t>
      </w:r>
      <w:r w:rsidRPr="007F41F8">
        <w:rPr>
          <w:rFonts w:ascii="Times New Roman" w:hAnsi="Times New Roman"/>
          <w:sz w:val="24"/>
          <w:szCs w:val="24"/>
        </w:rPr>
        <w:t>(9,163 hours for Year 2) +</w:t>
      </w:r>
      <w:r w:rsidRPr="007F41F8" w:rsidDel="009E3359">
        <w:rPr>
          <w:rFonts w:ascii="Times New Roman" w:hAnsi="Times New Roman"/>
          <w:sz w:val="24"/>
          <w:szCs w:val="24"/>
        </w:rPr>
        <w:t xml:space="preserve"> </w:t>
      </w:r>
      <w:r w:rsidRPr="007F41F8">
        <w:rPr>
          <w:rFonts w:ascii="Times New Roman" w:hAnsi="Times New Roman"/>
          <w:sz w:val="24"/>
          <w:szCs w:val="24"/>
        </w:rPr>
        <w:t>(9,163 hours for Year 3)] ÷ 3 years =</w:t>
      </w:r>
      <w:r w:rsidRPr="007F41F8" w:rsidDel="009E3359">
        <w:rPr>
          <w:rFonts w:ascii="Times New Roman" w:hAnsi="Times New Roman"/>
          <w:sz w:val="24"/>
          <w:szCs w:val="24"/>
        </w:rPr>
        <w:t xml:space="preserve"> </w:t>
      </w:r>
      <w:r w:rsidRPr="007F41F8">
        <w:rPr>
          <w:rFonts w:ascii="Times New Roman" w:hAnsi="Times New Roman"/>
          <w:sz w:val="24"/>
          <w:szCs w:val="24"/>
        </w:rPr>
        <w:t>27,949 hours/year (annual average for Years 1-3).</w:t>
      </w:r>
    </w:p>
    <w:p w14:paraId="74E9EEE2" w14:textId="77777777" w:rsidR="009E3BA7" w:rsidRDefault="009E3BA7" w:rsidP="00BD0F89">
      <w:pPr>
        <w:spacing w:after="0" w:line="240" w:lineRule="auto"/>
        <w:rPr>
          <w:rFonts w:ascii="Times New Roman" w:hAnsi="Times New Roman"/>
          <w:i/>
          <w:sz w:val="24"/>
          <w:szCs w:val="24"/>
        </w:rPr>
      </w:pPr>
    </w:p>
    <w:p w14:paraId="4D672573" w14:textId="77777777" w:rsidR="00F0627E" w:rsidRDefault="00F0627E" w:rsidP="00BD0F89">
      <w:pPr>
        <w:spacing w:after="0" w:line="240" w:lineRule="auto"/>
        <w:rPr>
          <w:rFonts w:ascii="Times New Roman" w:hAnsi="Times New Roman"/>
          <w:sz w:val="24"/>
          <w:szCs w:val="24"/>
        </w:rPr>
      </w:pPr>
    </w:p>
    <w:p w14:paraId="09148C17" w14:textId="77777777" w:rsidR="00974AFC" w:rsidRPr="00F1537F" w:rsidRDefault="00974AFC" w:rsidP="00BD0F89">
      <w:pPr>
        <w:spacing w:after="0" w:line="240" w:lineRule="auto"/>
        <w:rPr>
          <w:rFonts w:ascii="Times New Roman" w:hAnsi="Times New Roman"/>
          <w:b/>
          <w:sz w:val="24"/>
          <w:szCs w:val="24"/>
        </w:rPr>
      </w:pPr>
      <w:r w:rsidRPr="00F1537F">
        <w:rPr>
          <w:rFonts w:ascii="Times New Roman" w:hAnsi="Times New Roman"/>
          <w:b/>
          <w:sz w:val="24"/>
          <w:szCs w:val="24"/>
        </w:rPr>
        <w:t>13.</w:t>
      </w:r>
      <w:r w:rsidR="00BF3095" w:rsidRPr="00F1537F">
        <w:rPr>
          <w:rFonts w:ascii="Times New Roman" w:hAnsi="Times New Roman"/>
          <w:b/>
          <w:sz w:val="24"/>
          <w:szCs w:val="24"/>
        </w:rPr>
        <w:t xml:space="preserve">   ESTIMATE OF THE TOTAL ANNUAL COST BURDEN TO </w:t>
      </w:r>
      <w:r w:rsidR="00F1537F" w:rsidRPr="00F1537F">
        <w:rPr>
          <w:rFonts w:ascii="Times New Roman" w:hAnsi="Times New Roman"/>
          <w:b/>
          <w:sz w:val="24"/>
          <w:szCs w:val="24"/>
        </w:rPr>
        <w:t>RESPONDENTS</w:t>
      </w:r>
      <w:r w:rsidR="00BF3095" w:rsidRPr="00F1537F">
        <w:rPr>
          <w:rFonts w:ascii="Times New Roman" w:hAnsi="Times New Roman"/>
          <w:b/>
          <w:sz w:val="24"/>
          <w:szCs w:val="24"/>
        </w:rPr>
        <w:t xml:space="preserve"> </w:t>
      </w:r>
    </w:p>
    <w:p w14:paraId="744F03A0" w14:textId="77777777" w:rsidR="00974AFC" w:rsidRPr="00F1537F" w:rsidRDefault="00974AFC" w:rsidP="00BD0F89">
      <w:pPr>
        <w:spacing w:after="0" w:line="240" w:lineRule="auto"/>
        <w:rPr>
          <w:rFonts w:ascii="Times New Roman" w:hAnsi="Times New Roman"/>
          <w:sz w:val="24"/>
          <w:szCs w:val="24"/>
        </w:rPr>
      </w:pPr>
    </w:p>
    <w:p w14:paraId="0DEC41BF" w14:textId="271AD0F4" w:rsidR="0027754C" w:rsidRDefault="0027754C" w:rsidP="0027754C">
      <w:pPr>
        <w:spacing w:after="0" w:line="240" w:lineRule="auto"/>
        <w:rPr>
          <w:rFonts w:ascii="Times New Roman" w:eastAsiaTheme="minorHAnsi" w:hAnsi="Times New Roman"/>
          <w:sz w:val="26"/>
        </w:rPr>
      </w:pPr>
      <w:r w:rsidRPr="00B6477D">
        <w:rPr>
          <w:rFonts w:ascii="Times New Roman" w:eastAsiaTheme="minorHAnsi" w:hAnsi="Times New Roman"/>
          <w:sz w:val="26"/>
        </w:rPr>
        <w:t xml:space="preserve">Based on the number of filers we expect to be subject to the proposed requirements, the number of filings that we expect those filers to make and the burden hours </w:t>
      </w:r>
      <w:r w:rsidRPr="00B6477D" w:rsidDel="00E009A8">
        <w:rPr>
          <w:rFonts w:ascii="Times New Roman" w:eastAsiaTheme="minorHAnsi" w:hAnsi="Times New Roman"/>
          <w:sz w:val="26"/>
        </w:rPr>
        <w:t xml:space="preserve">and out-of-pocket cost estimates </w:t>
      </w:r>
      <w:r w:rsidRPr="00B6477D">
        <w:rPr>
          <w:rFonts w:ascii="Times New Roman" w:eastAsiaTheme="minorHAnsi" w:hAnsi="Times New Roman"/>
          <w:sz w:val="26"/>
        </w:rPr>
        <w:t>described, we estimate that the average yearly burden of the proposed requirements over the first three years would be $2,145,575 in out-of-pocket expenses per year.  This would be incurred by an average of 836 filers for an average yearly burden per filer of $2,566 in out-of-pocket expenses over Years 1-3.</w:t>
      </w:r>
      <w:r w:rsidRPr="0027754C">
        <w:rPr>
          <w:rFonts w:ascii="Times New Roman" w:eastAsiaTheme="minorHAnsi" w:hAnsi="Times New Roman"/>
          <w:sz w:val="26"/>
        </w:rPr>
        <w:t xml:space="preserve"> </w:t>
      </w:r>
      <w:r>
        <w:rPr>
          <w:rFonts w:ascii="Times New Roman" w:eastAsiaTheme="minorHAnsi" w:hAnsi="Times New Roman"/>
          <w:sz w:val="26"/>
        </w:rPr>
        <w:t xml:space="preserve"> </w:t>
      </w:r>
      <w:r w:rsidR="00100E2F">
        <w:rPr>
          <w:rFonts w:ascii="Times New Roman" w:eastAsiaTheme="minorHAnsi" w:hAnsi="Times New Roman"/>
          <w:sz w:val="26"/>
        </w:rPr>
        <w:t xml:space="preserve">These numbers are derived </w:t>
      </w:r>
      <w:r w:rsidR="003D2490">
        <w:rPr>
          <w:rFonts w:ascii="Times New Roman" w:eastAsiaTheme="minorHAnsi" w:hAnsi="Times New Roman"/>
          <w:sz w:val="26"/>
        </w:rPr>
        <w:t>as discussed below</w:t>
      </w:r>
      <w:r w:rsidR="00100E2F">
        <w:rPr>
          <w:rFonts w:ascii="Times New Roman" w:eastAsiaTheme="minorHAnsi" w:hAnsi="Times New Roman"/>
          <w:sz w:val="26"/>
        </w:rPr>
        <w:t>.</w:t>
      </w:r>
    </w:p>
    <w:p w14:paraId="4A124803" w14:textId="77777777" w:rsidR="0027754C" w:rsidRDefault="0027754C" w:rsidP="0027754C">
      <w:pPr>
        <w:spacing w:after="0" w:line="240" w:lineRule="auto"/>
        <w:rPr>
          <w:rFonts w:ascii="Times New Roman" w:eastAsiaTheme="minorHAnsi" w:hAnsi="Times New Roman"/>
          <w:sz w:val="26"/>
        </w:rPr>
      </w:pPr>
    </w:p>
    <w:p w14:paraId="696D51B4" w14:textId="77777777" w:rsidR="003D2490" w:rsidRDefault="003D2490" w:rsidP="003D2490">
      <w:pPr>
        <w:spacing w:after="0" w:line="240" w:lineRule="auto"/>
        <w:rPr>
          <w:rFonts w:ascii="Times New Roman" w:hAnsi="Times New Roman"/>
          <w:sz w:val="24"/>
          <w:szCs w:val="24"/>
        </w:rPr>
      </w:pPr>
      <w:r w:rsidRPr="009E3BA7">
        <w:rPr>
          <w:rFonts w:ascii="Times New Roman" w:hAnsi="Times New Roman"/>
          <w:i/>
          <w:sz w:val="24"/>
          <w:szCs w:val="24"/>
        </w:rPr>
        <w:t>Out-of-pocket expenses</w:t>
      </w:r>
      <w:r w:rsidRPr="009E3BA7">
        <w:rPr>
          <w:rFonts w:ascii="Times New Roman" w:hAnsi="Times New Roman"/>
          <w:sz w:val="24"/>
          <w:szCs w:val="24"/>
        </w:rPr>
        <w:t xml:space="preserve">:  </w:t>
      </w:r>
    </w:p>
    <w:p w14:paraId="4B6B06FF" w14:textId="77777777" w:rsidR="003D2490" w:rsidRDefault="003D2490" w:rsidP="003D2490">
      <w:pPr>
        <w:spacing w:after="0" w:line="240" w:lineRule="auto"/>
        <w:rPr>
          <w:rFonts w:ascii="Times New Roman" w:hAnsi="Times New Roman"/>
          <w:sz w:val="24"/>
          <w:szCs w:val="24"/>
        </w:rPr>
      </w:pPr>
    </w:p>
    <w:p w14:paraId="7933039D" w14:textId="271B51E1" w:rsidR="003D2490" w:rsidRDefault="003D2490" w:rsidP="003D2490">
      <w:pPr>
        <w:spacing w:after="0" w:line="240" w:lineRule="auto"/>
        <w:rPr>
          <w:rFonts w:ascii="Times New Roman" w:hAnsi="Times New Roman"/>
          <w:sz w:val="24"/>
          <w:szCs w:val="24"/>
        </w:rPr>
      </w:pPr>
      <w:r>
        <w:rPr>
          <w:rFonts w:ascii="Times New Roman" w:hAnsi="Times New Roman"/>
          <w:sz w:val="24"/>
          <w:szCs w:val="24"/>
        </w:rPr>
        <w:t xml:space="preserve">Year 1: </w:t>
      </w:r>
      <w:r w:rsidRPr="00B81214">
        <w:rPr>
          <w:rFonts w:ascii="Times New Roman" w:hAnsi="Times New Roman"/>
          <w:sz w:val="24"/>
          <w:szCs w:val="24"/>
        </w:rPr>
        <w:t xml:space="preserve">Due to the relatively recent development of the </w:t>
      </w:r>
      <w:r>
        <w:rPr>
          <w:rFonts w:ascii="Times New Roman" w:hAnsi="Times New Roman"/>
          <w:sz w:val="24"/>
          <w:szCs w:val="24"/>
        </w:rPr>
        <w:t xml:space="preserve">XBRL </w:t>
      </w:r>
      <w:r w:rsidRPr="00B81214">
        <w:rPr>
          <w:rFonts w:ascii="Times New Roman" w:hAnsi="Times New Roman"/>
          <w:sz w:val="24"/>
          <w:szCs w:val="24"/>
        </w:rPr>
        <w:t xml:space="preserve">technology, its </w:t>
      </w:r>
      <w:r>
        <w:rPr>
          <w:rFonts w:ascii="Times New Roman" w:hAnsi="Times New Roman"/>
          <w:sz w:val="24"/>
          <w:szCs w:val="24"/>
        </w:rPr>
        <w:t>fairly</w:t>
      </w:r>
      <w:r w:rsidRPr="00B81214">
        <w:rPr>
          <w:rFonts w:ascii="Times New Roman" w:hAnsi="Times New Roman"/>
          <w:sz w:val="24"/>
          <w:szCs w:val="24"/>
        </w:rPr>
        <w:t xml:space="preserve"> limited implementation at other agencies, and the substantial differences in the data collected among agencies and corresponding final code to implement</w:t>
      </w:r>
      <w:r>
        <w:rPr>
          <w:rFonts w:ascii="Times New Roman" w:hAnsi="Times New Roman"/>
          <w:sz w:val="24"/>
          <w:szCs w:val="24"/>
        </w:rPr>
        <w:t xml:space="preserve"> XBRL-based reporting systems</w:t>
      </w:r>
      <w:r w:rsidRPr="00B81214">
        <w:rPr>
          <w:rFonts w:ascii="Times New Roman" w:hAnsi="Times New Roman"/>
          <w:sz w:val="24"/>
          <w:szCs w:val="24"/>
        </w:rPr>
        <w:t xml:space="preserve">, the Commission </w:t>
      </w:r>
      <w:r>
        <w:rPr>
          <w:rFonts w:ascii="Times New Roman" w:hAnsi="Times New Roman"/>
          <w:sz w:val="24"/>
          <w:szCs w:val="24"/>
        </w:rPr>
        <w:t>does not have sufficient</w:t>
      </w:r>
      <w:r w:rsidRPr="00B81214">
        <w:rPr>
          <w:rFonts w:ascii="Times New Roman" w:hAnsi="Times New Roman"/>
          <w:sz w:val="24"/>
          <w:szCs w:val="24"/>
        </w:rPr>
        <w:t xml:space="preserve"> data to </w:t>
      </w:r>
      <w:r>
        <w:rPr>
          <w:rFonts w:ascii="Times New Roman" w:hAnsi="Times New Roman"/>
          <w:sz w:val="24"/>
          <w:szCs w:val="24"/>
        </w:rPr>
        <w:t xml:space="preserve">specifically </w:t>
      </w:r>
      <w:r w:rsidRPr="00B81214">
        <w:rPr>
          <w:rFonts w:ascii="Times New Roman" w:hAnsi="Times New Roman"/>
          <w:sz w:val="24"/>
          <w:szCs w:val="24"/>
        </w:rPr>
        <w:t xml:space="preserve">quantify the cost of implementing data tagging using XBRL in </w:t>
      </w:r>
      <w:r>
        <w:rPr>
          <w:rFonts w:ascii="Times New Roman" w:hAnsi="Times New Roman"/>
          <w:sz w:val="24"/>
          <w:szCs w:val="24"/>
        </w:rPr>
        <w:t>Year 1</w:t>
      </w:r>
      <w:r w:rsidRPr="00B81214">
        <w:rPr>
          <w:rFonts w:ascii="Times New Roman" w:hAnsi="Times New Roman"/>
          <w:sz w:val="24"/>
          <w:szCs w:val="24"/>
        </w:rPr>
        <w:t xml:space="preserve">. </w:t>
      </w:r>
      <w:r>
        <w:rPr>
          <w:rFonts w:ascii="Times New Roman" w:hAnsi="Times New Roman"/>
          <w:sz w:val="24"/>
          <w:szCs w:val="24"/>
        </w:rPr>
        <w:t xml:space="preserve"> </w:t>
      </w:r>
      <w:r w:rsidRPr="00B81214">
        <w:rPr>
          <w:rFonts w:ascii="Times New Roman" w:hAnsi="Times New Roman"/>
          <w:sz w:val="24"/>
          <w:szCs w:val="24"/>
        </w:rPr>
        <w:t xml:space="preserve">Further, </w:t>
      </w:r>
      <w:r>
        <w:rPr>
          <w:rFonts w:ascii="Times New Roman" w:hAnsi="Times New Roman"/>
          <w:sz w:val="24"/>
          <w:szCs w:val="24"/>
        </w:rPr>
        <w:t xml:space="preserve">the </w:t>
      </w:r>
      <w:r w:rsidRPr="00B81214">
        <w:rPr>
          <w:rFonts w:ascii="Times New Roman" w:hAnsi="Times New Roman"/>
          <w:sz w:val="24"/>
          <w:szCs w:val="24"/>
        </w:rPr>
        <w:t xml:space="preserve">complexity of each filer’s current </w:t>
      </w:r>
      <w:r>
        <w:rPr>
          <w:rFonts w:ascii="Times New Roman" w:hAnsi="Times New Roman"/>
          <w:sz w:val="24"/>
          <w:szCs w:val="24"/>
        </w:rPr>
        <w:t xml:space="preserve">reporting </w:t>
      </w:r>
      <w:r w:rsidRPr="00B81214">
        <w:rPr>
          <w:rFonts w:ascii="Times New Roman" w:hAnsi="Times New Roman"/>
          <w:sz w:val="24"/>
          <w:szCs w:val="24"/>
        </w:rPr>
        <w:t xml:space="preserve">system and the individual methods chosen for tagging data may vary considerably by filer, making estimates for out of pocket costs difficult </w:t>
      </w:r>
      <w:r>
        <w:rPr>
          <w:rFonts w:ascii="Times New Roman" w:hAnsi="Times New Roman"/>
          <w:sz w:val="24"/>
          <w:szCs w:val="24"/>
        </w:rPr>
        <w:t>to calculate for implementing XBRL</w:t>
      </w:r>
      <w:r w:rsidRPr="00B81214">
        <w:rPr>
          <w:rFonts w:ascii="Times New Roman" w:hAnsi="Times New Roman"/>
          <w:sz w:val="24"/>
          <w:szCs w:val="24"/>
        </w:rPr>
        <w:t xml:space="preserve"> in </w:t>
      </w:r>
      <w:r>
        <w:rPr>
          <w:rFonts w:ascii="Times New Roman" w:hAnsi="Times New Roman"/>
          <w:sz w:val="24"/>
          <w:szCs w:val="24"/>
        </w:rPr>
        <w:t>Year 1</w:t>
      </w:r>
      <w:r w:rsidRPr="00B81214">
        <w:rPr>
          <w:rFonts w:ascii="Times New Roman" w:hAnsi="Times New Roman"/>
          <w:sz w:val="24"/>
          <w:szCs w:val="24"/>
        </w:rPr>
        <w:t>.</w:t>
      </w:r>
      <w:r>
        <w:rPr>
          <w:rFonts w:ascii="Times New Roman" w:hAnsi="Times New Roman"/>
          <w:sz w:val="24"/>
          <w:szCs w:val="24"/>
        </w:rPr>
        <w:t xml:space="preserve">  Thus, the estimates for the cost of implementation are reflected in the Year 1 burden hours estimate for each form. </w:t>
      </w:r>
    </w:p>
    <w:p w14:paraId="351EA2BC" w14:textId="77777777" w:rsidR="003D2490" w:rsidRDefault="003D2490" w:rsidP="003D2490">
      <w:pPr>
        <w:spacing w:after="0" w:line="240" w:lineRule="auto"/>
        <w:rPr>
          <w:rFonts w:ascii="Times New Roman" w:hAnsi="Times New Roman"/>
          <w:sz w:val="24"/>
          <w:szCs w:val="24"/>
        </w:rPr>
      </w:pPr>
    </w:p>
    <w:p w14:paraId="7355E288" w14:textId="77777777" w:rsidR="003D2490" w:rsidRPr="009E3BA7" w:rsidRDefault="003D2490" w:rsidP="003D2490">
      <w:pPr>
        <w:spacing w:after="0" w:line="240" w:lineRule="auto"/>
        <w:rPr>
          <w:rFonts w:ascii="Times New Roman" w:hAnsi="Times New Roman"/>
          <w:sz w:val="24"/>
          <w:szCs w:val="24"/>
        </w:rPr>
      </w:pPr>
      <w:r>
        <w:rPr>
          <w:rFonts w:ascii="Times New Roman" w:hAnsi="Times New Roman"/>
          <w:sz w:val="24"/>
          <w:szCs w:val="24"/>
        </w:rPr>
        <w:t>I</w:t>
      </w:r>
      <w:r w:rsidRPr="009E3BA7">
        <w:rPr>
          <w:rFonts w:ascii="Times New Roman" w:hAnsi="Times New Roman"/>
          <w:sz w:val="24"/>
          <w:szCs w:val="24"/>
        </w:rPr>
        <w:t>n Years 2 and 3 (following the first year of implementation)</w:t>
      </w:r>
      <w:r>
        <w:rPr>
          <w:rFonts w:ascii="Times New Roman" w:hAnsi="Times New Roman"/>
          <w:sz w:val="24"/>
          <w:szCs w:val="24"/>
        </w:rPr>
        <w:t>, w</w:t>
      </w:r>
      <w:r w:rsidRPr="009E3BA7">
        <w:rPr>
          <w:rFonts w:ascii="Times New Roman" w:hAnsi="Times New Roman"/>
          <w:sz w:val="24"/>
          <w:szCs w:val="24"/>
        </w:rPr>
        <w:t>e estimate that filers would incur the following out-of-pocket expenses for software, consulting, or filing agent services used:</w:t>
      </w:r>
    </w:p>
    <w:p w14:paraId="40E06C40" w14:textId="77777777" w:rsidR="003D2490" w:rsidRPr="009E3BA7" w:rsidRDefault="003D2490" w:rsidP="003D2490">
      <w:pPr>
        <w:numPr>
          <w:ilvl w:val="0"/>
          <w:numId w:val="20"/>
        </w:numPr>
        <w:spacing w:after="0" w:line="240" w:lineRule="auto"/>
        <w:rPr>
          <w:rFonts w:ascii="Times New Roman" w:hAnsi="Times New Roman"/>
          <w:sz w:val="24"/>
          <w:szCs w:val="24"/>
        </w:rPr>
      </w:pPr>
      <w:r w:rsidRPr="009E3BA7">
        <w:rPr>
          <w:rFonts w:ascii="Times New Roman" w:hAnsi="Times New Roman"/>
          <w:sz w:val="24"/>
          <w:szCs w:val="24"/>
        </w:rPr>
        <w:t>XBRL Form Nos. 1, 1-F, 3-Q electric, 2, 2-A, 3-Q natural gas, 6, and 6-Q:</w:t>
      </w:r>
    </w:p>
    <w:p w14:paraId="7CA59C01" w14:textId="628B218F" w:rsidR="003D2490" w:rsidRPr="009E3BA7" w:rsidRDefault="003D2490" w:rsidP="003D2490">
      <w:pPr>
        <w:numPr>
          <w:ilvl w:val="1"/>
          <w:numId w:val="20"/>
        </w:numPr>
        <w:spacing w:after="0" w:line="240" w:lineRule="auto"/>
        <w:rPr>
          <w:rFonts w:ascii="Times New Roman" w:hAnsi="Times New Roman"/>
          <w:sz w:val="24"/>
          <w:szCs w:val="24"/>
        </w:rPr>
      </w:pPr>
      <w:r w:rsidRPr="009E3BA7">
        <w:rPr>
          <w:rFonts w:ascii="Times New Roman" w:hAnsi="Times New Roman"/>
          <w:sz w:val="24"/>
          <w:szCs w:val="24"/>
        </w:rPr>
        <w:t>Out-of-pocket cost for software and filing agent services: $4,912 for each filing.</w:t>
      </w:r>
      <w:r w:rsidR="00DE55CB">
        <w:rPr>
          <w:rStyle w:val="FootnoteReference"/>
          <w:rFonts w:ascii="Times New Roman" w:hAnsi="Times New Roman"/>
          <w:sz w:val="24"/>
          <w:szCs w:val="24"/>
        </w:rPr>
        <w:footnoteReference w:id="25"/>
      </w:r>
    </w:p>
    <w:p w14:paraId="785EBA83" w14:textId="77777777" w:rsidR="003D2490" w:rsidRPr="009E3BA7" w:rsidRDefault="003D2490" w:rsidP="003D2490">
      <w:pPr>
        <w:numPr>
          <w:ilvl w:val="1"/>
          <w:numId w:val="20"/>
        </w:numPr>
        <w:spacing w:after="0" w:line="240" w:lineRule="auto"/>
        <w:rPr>
          <w:rFonts w:ascii="Times New Roman" w:hAnsi="Times New Roman"/>
          <w:sz w:val="24"/>
          <w:szCs w:val="24"/>
        </w:rPr>
      </w:pPr>
      <w:r w:rsidRPr="009E3BA7">
        <w:rPr>
          <w:rFonts w:ascii="Times New Roman" w:hAnsi="Times New Roman"/>
          <w:sz w:val="24"/>
          <w:szCs w:val="24"/>
        </w:rPr>
        <w:t>Total out-of-pocket cost for software and filing agent services per year:  (621 respondents) * ($4,912 for each filing) = $3,050,352.</w:t>
      </w:r>
    </w:p>
    <w:p w14:paraId="65262002" w14:textId="77777777" w:rsidR="003D2490" w:rsidRPr="009E3BA7" w:rsidRDefault="003D2490" w:rsidP="003D2490">
      <w:pPr>
        <w:numPr>
          <w:ilvl w:val="0"/>
          <w:numId w:val="20"/>
        </w:numPr>
        <w:spacing w:after="0" w:line="240" w:lineRule="auto"/>
        <w:rPr>
          <w:rFonts w:ascii="Times New Roman" w:hAnsi="Times New Roman"/>
          <w:sz w:val="24"/>
          <w:szCs w:val="24"/>
        </w:rPr>
      </w:pPr>
      <w:r w:rsidRPr="009E3BA7">
        <w:rPr>
          <w:rFonts w:ascii="Times New Roman" w:hAnsi="Times New Roman"/>
          <w:sz w:val="24"/>
          <w:szCs w:val="24"/>
        </w:rPr>
        <w:t>Form No. 60</w:t>
      </w:r>
      <w:r>
        <w:rPr>
          <w:rFonts w:ascii="Times New Roman" w:hAnsi="Times New Roman"/>
          <w:sz w:val="24"/>
          <w:szCs w:val="24"/>
        </w:rPr>
        <w:t>A</w:t>
      </w:r>
      <w:r w:rsidRPr="009E3BA7">
        <w:rPr>
          <w:rFonts w:ascii="Times New Roman" w:hAnsi="Times New Roman"/>
          <w:sz w:val="24"/>
          <w:szCs w:val="24"/>
        </w:rPr>
        <w:t>:</w:t>
      </w:r>
    </w:p>
    <w:p w14:paraId="02A6E6A4" w14:textId="7AC45B18" w:rsidR="003D2490" w:rsidRPr="009E3BA7" w:rsidRDefault="003D2490" w:rsidP="003D2490">
      <w:pPr>
        <w:numPr>
          <w:ilvl w:val="1"/>
          <w:numId w:val="20"/>
        </w:numPr>
        <w:spacing w:after="0" w:line="240" w:lineRule="auto"/>
        <w:rPr>
          <w:rFonts w:ascii="Times New Roman" w:hAnsi="Times New Roman"/>
          <w:sz w:val="24"/>
          <w:szCs w:val="24"/>
        </w:rPr>
      </w:pPr>
      <w:r w:rsidRPr="009E3BA7">
        <w:rPr>
          <w:rFonts w:ascii="Times New Roman" w:hAnsi="Times New Roman"/>
          <w:sz w:val="24"/>
          <w:szCs w:val="24"/>
        </w:rPr>
        <w:t>Out-of-pocket cost for software and filing agent services: $982 for each filing.</w:t>
      </w:r>
      <w:r w:rsidR="00DE55CB">
        <w:rPr>
          <w:rStyle w:val="FootnoteReference"/>
          <w:rFonts w:ascii="Times New Roman" w:hAnsi="Times New Roman"/>
          <w:sz w:val="24"/>
          <w:szCs w:val="24"/>
        </w:rPr>
        <w:footnoteReference w:id="26"/>
      </w:r>
    </w:p>
    <w:p w14:paraId="57EAC2FF" w14:textId="77777777" w:rsidR="003D2490" w:rsidRPr="009E3BA7" w:rsidRDefault="003D2490" w:rsidP="003D2490">
      <w:pPr>
        <w:numPr>
          <w:ilvl w:val="1"/>
          <w:numId w:val="20"/>
        </w:numPr>
        <w:spacing w:after="0" w:line="240" w:lineRule="auto"/>
        <w:rPr>
          <w:rFonts w:ascii="Times New Roman" w:hAnsi="Times New Roman"/>
          <w:sz w:val="24"/>
          <w:szCs w:val="24"/>
        </w:rPr>
      </w:pPr>
      <w:r w:rsidRPr="009E3BA7">
        <w:rPr>
          <w:rFonts w:ascii="Times New Roman" w:hAnsi="Times New Roman"/>
          <w:sz w:val="24"/>
          <w:szCs w:val="24"/>
        </w:rPr>
        <w:t>Total out-of-pocket cost for software and filing agent services per year:  (39 respondents) * ($982 for each filing) = $38,298.</w:t>
      </w:r>
    </w:p>
    <w:p w14:paraId="64478AED" w14:textId="77777777" w:rsidR="003D2490" w:rsidRPr="0051491B" w:rsidRDefault="003D2490" w:rsidP="003D2490">
      <w:pPr>
        <w:numPr>
          <w:ilvl w:val="0"/>
          <w:numId w:val="20"/>
        </w:numPr>
        <w:spacing w:after="0" w:line="240" w:lineRule="auto"/>
        <w:rPr>
          <w:rFonts w:ascii="Times New Roman" w:hAnsi="Times New Roman"/>
          <w:sz w:val="24"/>
          <w:szCs w:val="24"/>
        </w:rPr>
      </w:pPr>
      <w:r w:rsidRPr="009E3BA7">
        <w:rPr>
          <w:rFonts w:ascii="Times New Roman" w:hAnsi="Times New Roman"/>
          <w:sz w:val="24"/>
          <w:szCs w:val="24"/>
        </w:rPr>
        <w:t>For</w:t>
      </w:r>
      <w:r w:rsidRPr="0051491B">
        <w:rPr>
          <w:rFonts w:ascii="Times New Roman" w:hAnsi="Times New Roman"/>
          <w:sz w:val="24"/>
          <w:szCs w:val="24"/>
        </w:rPr>
        <w:t>m No. 714A</w:t>
      </w:r>
    </w:p>
    <w:p w14:paraId="27A99239" w14:textId="421AEA36" w:rsidR="003D2490" w:rsidRPr="009E3BA7" w:rsidRDefault="003D2490" w:rsidP="003D2490">
      <w:pPr>
        <w:numPr>
          <w:ilvl w:val="1"/>
          <w:numId w:val="20"/>
        </w:numPr>
        <w:spacing w:after="0" w:line="240" w:lineRule="auto"/>
        <w:rPr>
          <w:rFonts w:ascii="Times New Roman" w:hAnsi="Times New Roman"/>
          <w:sz w:val="24"/>
          <w:szCs w:val="24"/>
        </w:rPr>
      </w:pPr>
      <w:r w:rsidRPr="009E3BA7">
        <w:rPr>
          <w:rFonts w:ascii="Times New Roman" w:hAnsi="Times New Roman"/>
          <w:sz w:val="24"/>
          <w:szCs w:val="24"/>
        </w:rPr>
        <w:t>Out-of-pocket cost for software and filing agent services: $737 for each filing.</w:t>
      </w:r>
      <w:r w:rsidR="00DE55CB">
        <w:rPr>
          <w:rStyle w:val="FootnoteReference"/>
          <w:rFonts w:ascii="Times New Roman" w:hAnsi="Times New Roman"/>
          <w:sz w:val="24"/>
          <w:szCs w:val="24"/>
        </w:rPr>
        <w:footnoteReference w:id="27"/>
      </w:r>
    </w:p>
    <w:p w14:paraId="2F5B4C4E" w14:textId="77777777" w:rsidR="003D2490" w:rsidRPr="009E3BA7" w:rsidRDefault="003D2490" w:rsidP="003D2490">
      <w:pPr>
        <w:numPr>
          <w:ilvl w:val="1"/>
          <w:numId w:val="20"/>
        </w:numPr>
        <w:spacing w:after="0" w:line="240" w:lineRule="auto"/>
        <w:rPr>
          <w:rFonts w:ascii="Times New Roman" w:hAnsi="Times New Roman"/>
          <w:sz w:val="24"/>
          <w:szCs w:val="24"/>
        </w:rPr>
      </w:pPr>
      <w:r w:rsidRPr="009E3BA7">
        <w:rPr>
          <w:rFonts w:ascii="Times New Roman" w:hAnsi="Times New Roman"/>
          <w:sz w:val="24"/>
          <w:szCs w:val="24"/>
        </w:rPr>
        <w:t>Total out-of-pocket cost for software and filing agent services per year:  (176 respondents) * ($737 for each filing) = $129,712.</w:t>
      </w:r>
    </w:p>
    <w:p w14:paraId="798E7496" w14:textId="77777777" w:rsidR="00B6477D" w:rsidRPr="00F1537F" w:rsidRDefault="00B6477D" w:rsidP="00B6477D">
      <w:pPr>
        <w:spacing w:after="0" w:line="240" w:lineRule="auto"/>
        <w:rPr>
          <w:rFonts w:ascii="Times New Roman" w:hAnsi="Times New Roman"/>
          <w:sz w:val="24"/>
          <w:szCs w:val="24"/>
        </w:rPr>
      </w:pPr>
      <w:r>
        <w:rPr>
          <w:rFonts w:ascii="Times New Roman" w:eastAsiaTheme="minorHAnsi" w:hAnsi="Times New Roman"/>
          <w:sz w:val="26"/>
        </w:rPr>
        <w:t>In Question 15, below, the “annual cost burden” imposed annually in Years 2 and 3 is averaged over Years 1-3 and is provided for each collection.</w:t>
      </w:r>
    </w:p>
    <w:p w14:paraId="691BA5A9" w14:textId="77777777" w:rsidR="00F0627E" w:rsidRPr="00F1537F" w:rsidRDefault="00F0627E" w:rsidP="00BD0F89">
      <w:pPr>
        <w:spacing w:after="0" w:line="240" w:lineRule="auto"/>
        <w:rPr>
          <w:rFonts w:ascii="Times New Roman" w:hAnsi="Times New Roman"/>
          <w:sz w:val="24"/>
          <w:szCs w:val="24"/>
        </w:rPr>
      </w:pPr>
    </w:p>
    <w:p w14:paraId="64AF384F" w14:textId="77777777" w:rsidR="00F0627E" w:rsidRPr="00F1537F" w:rsidRDefault="00974AFC" w:rsidP="00BD0F89">
      <w:pPr>
        <w:pStyle w:val="ListParagraph"/>
        <w:spacing w:after="0" w:line="240" w:lineRule="auto"/>
        <w:ind w:left="0"/>
        <w:rPr>
          <w:rFonts w:ascii="Times New Roman" w:hAnsi="Times New Roman"/>
          <w:sz w:val="24"/>
          <w:szCs w:val="24"/>
        </w:rPr>
      </w:pPr>
      <w:r w:rsidRPr="00F1537F">
        <w:rPr>
          <w:rFonts w:ascii="Times New Roman" w:hAnsi="Times New Roman"/>
          <w:b/>
          <w:sz w:val="24"/>
          <w:szCs w:val="24"/>
        </w:rPr>
        <w:t xml:space="preserve">14.  </w:t>
      </w:r>
      <w:r w:rsidR="00BF3095" w:rsidRPr="00F1537F">
        <w:rPr>
          <w:rFonts w:ascii="Times New Roman" w:hAnsi="Times New Roman"/>
          <w:b/>
          <w:sz w:val="24"/>
          <w:szCs w:val="24"/>
        </w:rPr>
        <w:t>ESTIMATED ANNUALIZED COST TO FEDERAL GOVERNMENT</w:t>
      </w:r>
    </w:p>
    <w:p w14:paraId="31100877" w14:textId="77777777" w:rsidR="00BF3095" w:rsidRPr="00F1537F" w:rsidRDefault="00BF3095" w:rsidP="00BD0F89">
      <w:pPr>
        <w:pStyle w:val="ListParagraph"/>
        <w:spacing w:after="0" w:line="240" w:lineRule="auto"/>
        <w:ind w:left="0"/>
        <w:rPr>
          <w:rFonts w:ascii="Times New Roman" w:hAnsi="Times New Roman"/>
          <w:sz w:val="24"/>
          <w:szCs w:val="24"/>
        </w:rPr>
      </w:pPr>
    </w:p>
    <w:p w14:paraId="4F2187EF" w14:textId="77777777" w:rsidR="00244BC9" w:rsidRDefault="00244BC9" w:rsidP="00BD0F89">
      <w:pPr>
        <w:spacing w:after="0" w:line="240" w:lineRule="auto"/>
        <w:rPr>
          <w:rFonts w:ascii="Times New Roman" w:hAnsi="Times New Roman"/>
          <w:sz w:val="24"/>
          <w:szCs w:val="24"/>
        </w:rPr>
      </w:pPr>
      <w:r w:rsidRPr="00247EBC">
        <w:rPr>
          <w:rFonts w:ascii="Times New Roman" w:hAnsi="Times New Roman"/>
          <w:sz w:val="24"/>
          <w:szCs w:val="24"/>
        </w:rPr>
        <w:t xml:space="preserve">The </w:t>
      </w:r>
      <w:r w:rsidRPr="00244BC9">
        <w:rPr>
          <w:rFonts w:ascii="Times New Roman" w:hAnsi="Times New Roman"/>
          <w:sz w:val="24"/>
          <w:szCs w:val="24"/>
        </w:rPr>
        <w:t xml:space="preserve">estimate of the cost for </w:t>
      </w:r>
      <w:r w:rsidR="00DB684E">
        <w:rPr>
          <w:rFonts w:ascii="Times New Roman" w:hAnsi="Times New Roman"/>
          <w:sz w:val="24"/>
          <w:szCs w:val="24"/>
        </w:rPr>
        <w:t>‘</w:t>
      </w:r>
      <w:r w:rsidRPr="00244BC9">
        <w:rPr>
          <w:rFonts w:ascii="Times New Roman" w:hAnsi="Times New Roman"/>
          <w:sz w:val="24"/>
          <w:szCs w:val="24"/>
        </w:rPr>
        <w:t>analysis and processing of filings</w:t>
      </w:r>
      <w:r w:rsidR="00DB684E">
        <w:rPr>
          <w:rFonts w:ascii="Times New Roman" w:hAnsi="Times New Roman"/>
          <w:sz w:val="24"/>
          <w:szCs w:val="24"/>
        </w:rPr>
        <w:t>’</w:t>
      </w:r>
      <w:r w:rsidR="00247EBC" w:rsidRPr="00247EBC">
        <w:rPr>
          <w:rStyle w:val="FootnoteReference"/>
          <w:rFonts w:ascii="Times New Roman" w:hAnsi="Times New Roman"/>
          <w:sz w:val="24"/>
          <w:szCs w:val="24"/>
          <w:vertAlign w:val="superscript"/>
        </w:rPr>
        <w:footnoteReference w:id="28"/>
      </w:r>
      <w:r w:rsidRPr="00247EBC">
        <w:rPr>
          <w:rFonts w:ascii="Times New Roman" w:hAnsi="Times New Roman"/>
          <w:sz w:val="24"/>
          <w:szCs w:val="24"/>
          <w:vertAlign w:val="superscript"/>
        </w:rPr>
        <w:t xml:space="preserve"> </w:t>
      </w:r>
      <w:r w:rsidRPr="00244BC9">
        <w:rPr>
          <w:rFonts w:ascii="Times New Roman" w:hAnsi="Times New Roman"/>
          <w:sz w:val="24"/>
          <w:szCs w:val="24"/>
        </w:rPr>
        <w:t>is based on salaries and benefits for professional and clerical support.  This estimated cost represents staff analysis, decision-making, and review of any actual filings submitted in response to the information collection</w:t>
      </w:r>
      <w:r w:rsidR="00946E0D">
        <w:rPr>
          <w:rFonts w:ascii="Times New Roman" w:hAnsi="Times New Roman"/>
          <w:sz w:val="24"/>
          <w:szCs w:val="24"/>
        </w:rPr>
        <w:t>s</w:t>
      </w:r>
      <w:r w:rsidRPr="00244BC9">
        <w:rPr>
          <w:rFonts w:ascii="Times New Roman" w:hAnsi="Times New Roman"/>
          <w:sz w:val="24"/>
          <w:szCs w:val="24"/>
        </w:rPr>
        <w:t>.</w:t>
      </w:r>
      <w:r w:rsidR="00247EBC" w:rsidRPr="00247EBC">
        <w:rPr>
          <w:rFonts w:ascii="Times New Roman" w:hAnsi="Times New Roman"/>
          <w:sz w:val="24"/>
          <w:szCs w:val="24"/>
        </w:rPr>
        <w:t xml:space="preserve"> </w:t>
      </w:r>
      <w:r w:rsidR="00247EBC">
        <w:rPr>
          <w:rFonts w:ascii="Times New Roman" w:hAnsi="Times New Roman"/>
          <w:sz w:val="24"/>
          <w:szCs w:val="24"/>
        </w:rPr>
        <w:t xml:space="preserve"> </w:t>
      </w:r>
      <w:r w:rsidR="00247EBC" w:rsidRPr="00A27235">
        <w:rPr>
          <w:rFonts w:ascii="Times New Roman" w:hAnsi="Times New Roman"/>
          <w:sz w:val="24"/>
          <w:szCs w:val="24"/>
        </w:rPr>
        <w:t xml:space="preserve">The </w:t>
      </w:r>
      <w:r w:rsidR="00E45830" w:rsidRPr="00A27235">
        <w:rPr>
          <w:rFonts w:ascii="Times New Roman" w:hAnsi="Times New Roman"/>
          <w:sz w:val="24"/>
          <w:szCs w:val="24"/>
        </w:rPr>
        <w:t xml:space="preserve">number of </w:t>
      </w:r>
      <w:r w:rsidR="00D522C0" w:rsidRPr="00A27235">
        <w:rPr>
          <w:rFonts w:ascii="Times New Roman" w:hAnsi="Times New Roman"/>
          <w:sz w:val="24"/>
          <w:szCs w:val="24"/>
        </w:rPr>
        <w:t xml:space="preserve">federal </w:t>
      </w:r>
      <w:r w:rsidR="00E45830" w:rsidRPr="00A27235">
        <w:rPr>
          <w:rFonts w:ascii="Times New Roman" w:hAnsi="Times New Roman"/>
          <w:sz w:val="24"/>
          <w:szCs w:val="24"/>
        </w:rPr>
        <w:t xml:space="preserve">FTEs </w:t>
      </w:r>
      <w:r w:rsidR="00D522C0" w:rsidRPr="00A27235">
        <w:rPr>
          <w:rFonts w:ascii="Times New Roman" w:hAnsi="Times New Roman"/>
          <w:sz w:val="24"/>
          <w:szCs w:val="24"/>
        </w:rPr>
        <w:t>is</w:t>
      </w:r>
      <w:r w:rsidR="00E45830" w:rsidRPr="00A27235">
        <w:rPr>
          <w:rFonts w:ascii="Times New Roman" w:hAnsi="Times New Roman"/>
          <w:sz w:val="24"/>
          <w:szCs w:val="24"/>
        </w:rPr>
        <w:t xml:space="preserve"> not expected to change due to the NOPR in RM19-12</w:t>
      </w:r>
      <w:r w:rsidR="00946E0D" w:rsidRPr="00A27235">
        <w:rPr>
          <w:rFonts w:ascii="Times New Roman" w:hAnsi="Times New Roman"/>
          <w:sz w:val="24"/>
          <w:szCs w:val="24"/>
        </w:rPr>
        <w:t>.</w:t>
      </w:r>
      <w:r w:rsidR="00A27235" w:rsidRPr="00A27235">
        <w:t xml:space="preserve">  </w:t>
      </w:r>
      <w:r w:rsidR="00A27235" w:rsidRPr="00A27235">
        <w:rPr>
          <w:rFonts w:ascii="Times New Roman" w:hAnsi="Times New Roman"/>
          <w:sz w:val="24"/>
          <w:szCs w:val="24"/>
        </w:rPr>
        <w:t>(The corresponding annual and hourly FERC costs use the figures for 2018, as noted.)</w:t>
      </w:r>
    </w:p>
    <w:p w14:paraId="5468B955" w14:textId="77777777" w:rsidR="00946E0D" w:rsidRPr="00244BC9" w:rsidRDefault="00946E0D" w:rsidP="00BD0F89">
      <w:pPr>
        <w:spacing w:after="0" w:line="240" w:lineRule="auto"/>
        <w:rPr>
          <w:rFonts w:ascii="Times New Roman" w:hAnsi="Times New Roman"/>
          <w:sz w:val="24"/>
          <w:szCs w:val="24"/>
        </w:rPr>
      </w:pPr>
    </w:p>
    <w:p w14:paraId="509AE618" w14:textId="77777777" w:rsidR="00244BC9" w:rsidRPr="00244BC9" w:rsidRDefault="00244BC9" w:rsidP="00BD0F89">
      <w:pPr>
        <w:spacing w:after="0" w:line="240" w:lineRule="auto"/>
        <w:rPr>
          <w:rFonts w:ascii="Times New Roman" w:hAnsi="Times New Roman"/>
          <w:sz w:val="24"/>
          <w:szCs w:val="24"/>
        </w:rPr>
      </w:pPr>
      <w:r w:rsidRPr="00244BC9">
        <w:rPr>
          <w:rFonts w:ascii="Times New Roman" w:hAnsi="Times New Roman"/>
          <w:sz w:val="24"/>
          <w:szCs w:val="24"/>
        </w:rPr>
        <w:t>The Paperwork Reduction Act (PRA) Administrative Cost</w:t>
      </w:r>
      <w:r w:rsidR="00C75FFF" w:rsidRPr="00C75FFF">
        <w:rPr>
          <w:rStyle w:val="FootnoteReference"/>
          <w:rFonts w:ascii="Times New Roman" w:hAnsi="Times New Roman"/>
          <w:sz w:val="24"/>
          <w:szCs w:val="24"/>
          <w:vertAlign w:val="superscript"/>
        </w:rPr>
        <w:footnoteReference w:id="29"/>
      </w:r>
      <w:r w:rsidRPr="00244BC9">
        <w:rPr>
          <w:rFonts w:ascii="Times New Roman" w:hAnsi="Times New Roman"/>
          <w:sz w:val="24"/>
          <w:szCs w:val="24"/>
        </w:rPr>
        <w:t xml:space="preserve">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14:paraId="6179F5FE" w14:textId="77777777" w:rsidR="00244BC9" w:rsidRDefault="00244BC9" w:rsidP="00BD0F89">
      <w:pPr>
        <w:spacing w:after="0" w:line="240" w:lineRule="auto"/>
        <w:rPr>
          <w:rFonts w:ascii="Times New Roman" w:hAnsi="Times New Roman"/>
          <w:sz w:val="24"/>
          <w:szCs w:val="24"/>
        </w:rPr>
      </w:pPr>
    </w:p>
    <w:p w14:paraId="1EDEF1DC" w14:textId="77777777" w:rsidR="00F0627E" w:rsidRDefault="00F0627E" w:rsidP="00BD0F89">
      <w:pPr>
        <w:spacing w:after="0" w:line="240" w:lineRule="auto"/>
        <w:rPr>
          <w:rFonts w:ascii="Times New Roman" w:hAnsi="Times New Roman"/>
          <w:sz w:val="24"/>
          <w:szCs w:val="24"/>
        </w:rPr>
      </w:pPr>
      <w:r w:rsidRPr="00F1537F">
        <w:rPr>
          <w:rFonts w:ascii="Times New Roman" w:hAnsi="Times New Roman"/>
          <w:sz w:val="24"/>
          <w:szCs w:val="24"/>
        </w:rPr>
        <w:t xml:space="preserve">The estimated </w:t>
      </w:r>
      <w:r w:rsidR="00F20B97" w:rsidRPr="00F1537F">
        <w:rPr>
          <w:rFonts w:ascii="Times New Roman" w:hAnsi="Times New Roman"/>
          <w:sz w:val="24"/>
          <w:szCs w:val="24"/>
        </w:rPr>
        <w:t xml:space="preserve">annualized </w:t>
      </w:r>
      <w:r w:rsidRPr="00F1537F">
        <w:rPr>
          <w:rFonts w:ascii="Times New Roman" w:hAnsi="Times New Roman"/>
          <w:sz w:val="24"/>
          <w:szCs w:val="24"/>
        </w:rPr>
        <w:t>cost</w:t>
      </w:r>
      <w:r w:rsidR="00F20B97" w:rsidRPr="00F1537F">
        <w:rPr>
          <w:rFonts w:ascii="Times New Roman" w:hAnsi="Times New Roman"/>
          <w:sz w:val="24"/>
          <w:szCs w:val="24"/>
        </w:rPr>
        <w:t xml:space="preserve"> to the Federal Government</w:t>
      </w:r>
      <w:r w:rsidR="00247EBC">
        <w:rPr>
          <w:rFonts w:ascii="Times New Roman" w:hAnsi="Times New Roman"/>
          <w:sz w:val="24"/>
          <w:szCs w:val="24"/>
        </w:rPr>
        <w:t xml:space="preserve"> </w:t>
      </w:r>
      <w:r w:rsidR="00E20CEF">
        <w:rPr>
          <w:rFonts w:ascii="Times New Roman" w:hAnsi="Times New Roman"/>
          <w:sz w:val="24"/>
          <w:szCs w:val="24"/>
        </w:rPr>
        <w:t>follows.</w:t>
      </w:r>
      <w:r w:rsidR="003C729F" w:rsidRPr="003C729F">
        <w:rPr>
          <w:rStyle w:val="FootnoteReference"/>
          <w:rFonts w:ascii="Times New Roman" w:hAnsi="Times New Roman"/>
          <w:sz w:val="24"/>
          <w:szCs w:val="24"/>
          <w:vertAlign w:val="superscript"/>
        </w:rPr>
        <w:footnoteReference w:id="30"/>
      </w:r>
      <w:r w:rsidRPr="003C729F">
        <w:rPr>
          <w:rFonts w:ascii="Times New Roman" w:hAnsi="Times New Roman"/>
          <w:sz w:val="24"/>
          <w:szCs w:val="24"/>
          <w:vertAlign w:val="superscript"/>
        </w:rPr>
        <w:t xml:space="preserve"> </w:t>
      </w:r>
      <w:r w:rsidR="00247EBC">
        <w:rPr>
          <w:rFonts w:ascii="Times New Roman" w:hAnsi="Times New Roman"/>
          <w:sz w:val="24"/>
          <w:szCs w:val="24"/>
        </w:rPr>
        <w:t xml:space="preserve"> </w:t>
      </w:r>
    </w:p>
    <w:p w14:paraId="69F13D91" w14:textId="77777777" w:rsidR="00A116AE" w:rsidRDefault="00A116AE" w:rsidP="0051491B">
      <w:pPr>
        <w:spacing w:after="0" w:line="240" w:lineRule="auto"/>
        <w:rPr>
          <w:rFonts w:ascii="Times New Roman" w:hAnsi="Times New Roman"/>
          <w:sz w:val="24"/>
          <w:szCs w:val="24"/>
        </w:rPr>
      </w:pPr>
    </w:p>
    <w:tbl>
      <w:tblPr>
        <w:tblW w:w="10000" w:type="dxa"/>
        <w:tblLook w:val="04A0" w:firstRow="1" w:lastRow="0" w:firstColumn="1" w:lastColumn="0" w:noHBand="0" w:noVBand="1"/>
      </w:tblPr>
      <w:tblGrid>
        <w:gridCol w:w="2283"/>
        <w:gridCol w:w="2101"/>
        <w:gridCol w:w="1793"/>
        <w:gridCol w:w="1763"/>
        <w:gridCol w:w="2060"/>
      </w:tblGrid>
      <w:tr w:rsidR="00533D70" w:rsidRPr="00533D70" w14:paraId="35AF1324" w14:textId="77777777" w:rsidTr="00533D70">
        <w:trPr>
          <w:trHeight w:val="2835"/>
        </w:trPr>
        <w:tc>
          <w:tcPr>
            <w:tcW w:w="2320" w:type="dxa"/>
            <w:tcBorders>
              <w:top w:val="single" w:sz="8" w:space="0" w:color="auto"/>
              <w:left w:val="single" w:sz="8" w:space="0" w:color="auto"/>
              <w:bottom w:val="single" w:sz="4" w:space="0" w:color="auto"/>
              <w:right w:val="single" w:sz="4" w:space="0" w:color="auto"/>
            </w:tcBorders>
            <w:shd w:val="clear" w:color="000000" w:fill="D9D9D9"/>
            <w:vAlign w:val="bottom"/>
            <w:hideMark/>
          </w:tcPr>
          <w:p w14:paraId="5757F6E2" w14:textId="77777777" w:rsidR="00533D70" w:rsidRPr="00533D70" w:rsidRDefault="00533D70">
            <w:pPr>
              <w:spacing w:after="0" w:line="240" w:lineRule="auto"/>
              <w:jc w:val="center"/>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Information Collection</w:t>
            </w:r>
          </w:p>
        </w:tc>
        <w:tc>
          <w:tcPr>
            <w:tcW w:w="2160" w:type="dxa"/>
            <w:tcBorders>
              <w:top w:val="single" w:sz="8" w:space="0" w:color="auto"/>
              <w:left w:val="nil"/>
              <w:bottom w:val="single" w:sz="4" w:space="0" w:color="auto"/>
              <w:right w:val="single" w:sz="4" w:space="0" w:color="auto"/>
            </w:tcBorders>
            <w:shd w:val="clear" w:color="000000" w:fill="D9D9D9"/>
            <w:vAlign w:val="bottom"/>
            <w:hideMark/>
          </w:tcPr>
          <w:p w14:paraId="64A70FCB" w14:textId="77777777" w:rsidR="00533D70" w:rsidRPr="00533D70" w:rsidRDefault="00533D70" w:rsidP="00533D70">
            <w:pPr>
              <w:spacing w:after="0" w:line="240" w:lineRule="auto"/>
              <w:jc w:val="center"/>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Full-Time FERC Staff Equivalents (FTEs)) for 'Analysis &amp; Processing of Filings' --The Staff expects no change due to the NOPR in RM19-12.</w:t>
            </w:r>
          </w:p>
        </w:tc>
        <w:tc>
          <w:tcPr>
            <w:tcW w:w="1800" w:type="dxa"/>
            <w:tcBorders>
              <w:top w:val="single" w:sz="8" w:space="0" w:color="auto"/>
              <w:left w:val="nil"/>
              <w:bottom w:val="single" w:sz="4" w:space="0" w:color="auto"/>
              <w:right w:val="single" w:sz="4" w:space="0" w:color="auto"/>
            </w:tcBorders>
            <w:shd w:val="clear" w:color="000000" w:fill="D9D9D9"/>
            <w:vAlign w:val="bottom"/>
            <w:hideMark/>
          </w:tcPr>
          <w:p w14:paraId="7815DAD3" w14:textId="77777777" w:rsidR="00533D70" w:rsidRPr="00533D70" w:rsidRDefault="00533D70" w:rsidP="00533D70">
            <w:pPr>
              <w:spacing w:after="0" w:line="240" w:lineRule="auto"/>
              <w:jc w:val="center"/>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 xml:space="preserve">FERC Staff Cost of Analysis &amp; Processing of Filings (FTEs * $164,820/year) </w:t>
            </w:r>
          </w:p>
        </w:tc>
        <w:tc>
          <w:tcPr>
            <w:tcW w:w="1660" w:type="dxa"/>
            <w:tcBorders>
              <w:top w:val="single" w:sz="8" w:space="0" w:color="auto"/>
              <w:left w:val="nil"/>
              <w:bottom w:val="single" w:sz="4" w:space="0" w:color="auto"/>
              <w:right w:val="single" w:sz="4" w:space="0" w:color="auto"/>
            </w:tcBorders>
            <w:shd w:val="clear" w:color="000000" w:fill="D9D9D9"/>
            <w:vAlign w:val="bottom"/>
            <w:hideMark/>
          </w:tcPr>
          <w:p w14:paraId="7978C90F" w14:textId="77777777" w:rsidR="00533D70" w:rsidRPr="00533D70" w:rsidRDefault="00533D70" w:rsidP="00533D70">
            <w:pPr>
              <w:spacing w:after="0" w:line="240" w:lineRule="auto"/>
              <w:jc w:val="center"/>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PRA Administrative Cost ($4,931 per collection)</w:t>
            </w:r>
          </w:p>
        </w:tc>
        <w:tc>
          <w:tcPr>
            <w:tcW w:w="2060" w:type="dxa"/>
            <w:tcBorders>
              <w:top w:val="single" w:sz="8" w:space="0" w:color="auto"/>
              <w:left w:val="nil"/>
              <w:bottom w:val="single" w:sz="4" w:space="0" w:color="auto"/>
              <w:right w:val="single" w:sz="4" w:space="0" w:color="auto"/>
            </w:tcBorders>
            <w:shd w:val="clear" w:color="000000" w:fill="D9D9D9"/>
            <w:vAlign w:val="bottom"/>
            <w:hideMark/>
          </w:tcPr>
          <w:p w14:paraId="29C640C2" w14:textId="77777777" w:rsidR="00533D70" w:rsidRPr="00533D70" w:rsidRDefault="00533D70" w:rsidP="00533D70">
            <w:pPr>
              <w:spacing w:after="0" w:line="240" w:lineRule="auto"/>
              <w:jc w:val="center"/>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Estimated Annual Federal Cost (rounded)</w:t>
            </w:r>
          </w:p>
        </w:tc>
      </w:tr>
      <w:tr w:rsidR="00533D70" w:rsidRPr="00533D70" w14:paraId="44C8F842" w14:textId="77777777" w:rsidTr="00533D70">
        <w:trPr>
          <w:trHeight w:val="1125"/>
        </w:trPr>
        <w:tc>
          <w:tcPr>
            <w:tcW w:w="2320" w:type="dxa"/>
            <w:tcBorders>
              <w:top w:val="nil"/>
              <w:left w:val="single" w:sz="8" w:space="0" w:color="auto"/>
              <w:bottom w:val="single" w:sz="4" w:space="0" w:color="auto"/>
              <w:right w:val="single" w:sz="4" w:space="0" w:color="auto"/>
            </w:tcBorders>
            <w:shd w:val="clear" w:color="auto" w:fill="auto"/>
            <w:vAlign w:val="center"/>
            <w:hideMark/>
          </w:tcPr>
          <w:p w14:paraId="187E1C8E"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FERC-1, FERC-1F, &amp; FERC-3Q (electric and gas)</w:t>
            </w:r>
          </w:p>
        </w:tc>
        <w:tc>
          <w:tcPr>
            <w:tcW w:w="2160" w:type="dxa"/>
            <w:tcBorders>
              <w:top w:val="nil"/>
              <w:left w:val="nil"/>
              <w:bottom w:val="single" w:sz="4" w:space="0" w:color="auto"/>
              <w:right w:val="single" w:sz="4" w:space="0" w:color="auto"/>
            </w:tcBorders>
            <w:shd w:val="clear" w:color="auto" w:fill="auto"/>
            <w:vAlign w:val="bottom"/>
            <w:hideMark/>
          </w:tcPr>
          <w:p w14:paraId="391A2A36"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4.0000</w:t>
            </w:r>
          </w:p>
        </w:tc>
        <w:tc>
          <w:tcPr>
            <w:tcW w:w="1800" w:type="dxa"/>
            <w:tcBorders>
              <w:top w:val="nil"/>
              <w:left w:val="nil"/>
              <w:bottom w:val="single" w:sz="4" w:space="0" w:color="auto"/>
              <w:right w:val="single" w:sz="4" w:space="0" w:color="auto"/>
            </w:tcBorders>
            <w:shd w:val="clear" w:color="auto" w:fill="auto"/>
            <w:vAlign w:val="bottom"/>
            <w:hideMark/>
          </w:tcPr>
          <w:p w14:paraId="3BD21D0E"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$659,280.00</w:t>
            </w:r>
          </w:p>
        </w:tc>
        <w:tc>
          <w:tcPr>
            <w:tcW w:w="1660" w:type="dxa"/>
            <w:tcBorders>
              <w:top w:val="nil"/>
              <w:left w:val="nil"/>
              <w:bottom w:val="single" w:sz="4" w:space="0" w:color="auto"/>
              <w:right w:val="single" w:sz="4" w:space="0" w:color="auto"/>
            </w:tcBorders>
            <w:shd w:val="clear" w:color="auto" w:fill="auto"/>
            <w:noWrap/>
            <w:vAlign w:val="bottom"/>
            <w:hideMark/>
          </w:tcPr>
          <w:p w14:paraId="06B167D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$19,724.00</w:t>
            </w:r>
          </w:p>
        </w:tc>
        <w:tc>
          <w:tcPr>
            <w:tcW w:w="2060" w:type="dxa"/>
            <w:tcBorders>
              <w:top w:val="nil"/>
              <w:left w:val="nil"/>
              <w:bottom w:val="single" w:sz="4" w:space="0" w:color="auto"/>
              <w:right w:val="single" w:sz="4" w:space="0" w:color="auto"/>
            </w:tcBorders>
            <w:shd w:val="clear" w:color="auto" w:fill="auto"/>
            <w:noWrap/>
            <w:vAlign w:val="bottom"/>
            <w:hideMark/>
          </w:tcPr>
          <w:p w14:paraId="5EE9A76D"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$679,004.00</w:t>
            </w:r>
          </w:p>
        </w:tc>
      </w:tr>
      <w:tr w:rsidR="00533D70" w:rsidRPr="00533D70" w14:paraId="2EAA6AF0" w14:textId="77777777" w:rsidTr="00533D70">
        <w:trPr>
          <w:trHeight w:val="450"/>
        </w:trPr>
        <w:tc>
          <w:tcPr>
            <w:tcW w:w="2320" w:type="dxa"/>
            <w:tcBorders>
              <w:top w:val="nil"/>
              <w:left w:val="single" w:sz="8" w:space="0" w:color="auto"/>
              <w:bottom w:val="single" w:sz="4" w:space="0" w:color="auto"/>
              <w:right w:val="single" w:sz="4" w:space="0" w:color="auto"/>
            </w:tcBorders>
            <w:shd w:val="clear" w:color="auto" w:fill="auto"/>
            <w:vAlign w:val="center"/>
            <w:hideMark/>
          </w:tcPr>
          <w:p w14:paraId="6CE8D8E3"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FERC-2</w:t>
            </w:r>
          </w:p>
        </w:tc>
        <w:tc>
          <w:tcPr>
            <w:tcW w:w="2160" w:type="dxa"/>
            <w:tcBorders>
              <w:top w:val="nil"/>
              <w:left w:val="nil"/>
              <w:bottom w:val="single" w:sz="4" w:space="0" w:color="auto"/>
              <w:right w:val="single" w:sz="4" w:space="0" w:color="auto"/>
            </w:tcBorders>
            <w:shd w:val="clear" w:color="auto" w:fill="auto"/>
            <w:vAlign w:val="bottom"/>
            <w:hideMark/>
          </w:tcPr>
          <w:p w14:paraId="3BD55F4C"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0.8400</w:t>
            </w:r>
          </w:p>
        </w:tc>
        <w:tc>
          <w:tcPr>
            <w:tcW w:w="1800" w:type="dxa"/>
            <w:tcBorders>
              <w:top w:val="nil"/>
              <w:left w:val="nil"/>
              <w:bottom w:val="single" w:sz="4" w:space="0" w:color="auto"/>
              <w:right w:val="single" w:sz="4" w:space="0" w:color="auto"/>
            </w:tcBorders>
            <w:shd w:val="clear" w:color="auto" w:fill="auto"/>
            <w:vAlign w:val="bottom"/>
            <w:hideMark/>
          </w:tcPr>
          <w:p w14:paraId="03B5B091"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$138,448.80</w:t>
            </w:r>
          </w:p>
        </w:tc>
        <w:tc>
          <w:tcPr>
            <w:tcW w:w="1660" w:type="dxa"/>
            <w:tcBorders>
              <w:top w:val="nil"/>
              <w:left w:val="nil"/>
              <w:bottom w:val="single" w:sz="4" w:space="0" w:color="auto"/>
              <w:right w:val="single" w:sz="4" w:space="0" w:color="auto"/>
            </w:tcBorders>
            <w:shd w:val="clear" w:color="auto" w:fill="auto"/>
            <w:noWrap/>
            <w:vAlign w:val="bottom"/>
            <w:hideMark/>
          </w:tcPr>
          <w:p w14:paraId="6C4368DD"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$4,931.00</w:t>
            </w:r>
          </w:p>
        </w:tc>
        <w:tc>
          <w:tcPr>
            <w:tcW w:w="2060" w:type="dxa"/>
            <w:tcBorders>
              <w:top w:val="nil"/>
              <w:left w:val="nil"/>
              <w:bottom w:val="single" w:sz="4" w:space="0" w:color="auto"/>
              <w:right w:val="single" w:sz="4" w:space="0" w:color="auto"/>
            </w:tcBorders>
            <w:shd w:val="clear" w:color="auto" w:fill="auto"/>
            <w:noWrap/>
            <w:vAlign w:val="bottom"/>
            <w:hideMark/>
          </w:tcPr>
          <w:p w14:paraId="711ADD58"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$143,379.80</w:t>
            </w:r>
          </w:p>
        </w:tc>
      </w:tr>
      <w:tr w:rsidR="00533D70" w:rsidRPr="00533D70" w14:paraId="2FC8431A" w14:textId="77777777" w:rsidTr="00533D70">
        <w:trPr>
          <w:trHeight w:val="315"/>
        </w:trPr>
        <w:tc>
          <w:tcPr>
            <w:tcW w:w="2320" w:type="dxa"/>
            <w:tcBorders>
              <w:top w:val="nil"/>
              <w:left w:val="single" w:sz="8" w:space="0" w:color="auto"/>
              <w:bottom w:val="single" w:sz="4" w:space="0" w:color="auto"/>
              <w:right w:val="single" w:sz="4" w:space="0" w:color="auto"/>
            </w:tcBorders>
            <w:shd w:val="clear" w:color="auto" w:fill="auto"/>
            <w:vAlign w:val="center"/>
            <w:hideMark/>
          </w:tcPr>
          <w:p w14:paraId="5AD5374D"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FERC-2A</w:t>
            </w:r>
          </w:p>
        </w:tc>
        <w:tc>
          <w:tcPr>
            <w:tcW w:w="2160" w:type="dxa"/>
            <w:tcBorders>
              <w:top w:val="nil"/>
              <w:left w:val="nil"/>
              <w:bottom w:val="single" w:sz="4" w:space="0" w:color="auto"/>
              <w:right w:val="single" w:sz="4" w:space="0" w:color="auto"/>
            </w:tcBorders>
            <w:shd w:val="clear" w:color="auto" w:fill="auto"/>
            <w:vAlign w:val="bottom"/>
            <w:hideMark/>
          </w:tcPr>
          <w:p w14:paraId="40B77511"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0.5800</w:t>
            </w:r>
          </w:p>
        </w:tc>
        <w:tc>
          <w:tcPr>
            <w:tcW w:w="1800" w:type="dxa"/>
            <w:tcBorders>
              <w:top w:val="nil"/>
              <w:left w:val="nil"/>
              <w:bottom w:val="single" w:sz="4" w:space="0" w:color="auto"/>
              <w:right w:val="single" w:sz="4" w:space="0" w:color="auto"/>
            </w:tcBorders>
            <w:shd w:val="clear" w:color="auto" w:fill="auto"/>
            <w:vAlign w:val="bottom"/>
            <w:hideMark/>
          </w:tcPr>
          <w:p w14:paraId="5912DCD3"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$95,595.60</w:t>
            </w:r>
          </w:p>
        </w:tc>
        <w:tc>
          <w:tcPr>
            <w:tcW w:w="1660" w:type="dxa"/>
            <w:tcBorders>
              <w:top w:val="nil"/>
              <w:left w:val="nil"/>
              <w:bottom w:val="single" w:sz="4" w:space="0" w:color="auto"/>
              <w:right w:val="single" w:sz="4" w:space="0" w:color="auto"/>
            </w:tcBorders>
            <w:shd w:val="clear" w:color="auto" w:fill="auto"/>
            <w:noWrap/>
            <w:vAlign w:val="bottom"/>
            <w:hideMark/>
          </w:tcPr>
          <w:p w14:paraId="43AE67B7"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$4,931.00</w:t>
            </w:r>
          </w:p>
        </w:tc>
        <w:tc>
          <w:tcPr>
            <w:tcW w:w="2060" w:type="dxa"/>
            <w:tcBorders>
              <w:top w:val="nil"/>
              <w:left w:val="nil"/>
              <w:bottom w:val="single" w:sz="4" w:space="0" w:color="auto"/>
              <w:right w:val="single" w:sz="4" w:space="0" w:color="auto"/>
            </w:tcBorders>
            <w:shd w:val="clear" w:color="auto" w:fill="auto"/>
            <w:noWrap/>
            <w:vAlign w:val="bottom"/>
            <w:hideMark/>
          </w:tcPr>
          <w:p w14:paraId="14CDA1E3"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$100,526.60</w:t>
            </w:r>
          </w:p>
        </w:tc>
      </w:tr>
      <w:tr w:rsidR="00533D70" w:rsidRPr="00533D70" w14:paraId="6CEAE0F8" w14:textId="77777777" w:rsidTr="00533D70">
        <w:trPr>
          <w:trHeight w:val="315"/>
        </w:trPr>
        <w:tc>
          <w:tcPr>
            <w:tcW w:w="2320" w:type="dxa"/>
            <w:tcBorders>
              <w:top w:val="nil"/>
              <w:left w:val="single" w:sz="8" w:space="0" w:color="auto"/>
              <w:bottom w:val="single" w:sz="4" w:space="0" w:color="auto"/>
              <w:right w:val="single" w:sz="4" w:space="0" w:color="auto"/>
            </w:tcBorders>
            <w:shd w:val="clear" w:color="auto" w:fill="auto"/>
            <w:vAlign w:val="center"/>
            <w:hideMark/>
          </w:tcPr>
          <w:p w14:paraId="30C31AC8"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FERC-6</w:t>
            </w:r>
          </w:p>
        </w:tc>
        <w:tc>
          <w:tcPr>
            <w:tcW w:w="2160" w:type="dxa"/>
            <w:tcBorders>
              <w:top w:val="nil"/>
              <w:left w:val="nil"/>
              <w:bottom w:val="single" w:sz="4" w:space="0" w:color="auto"/>
              <w:right w:val="single" w:sz="4" w:space="0" w:color="auto"/>
            </w:tcBorders>
            <w:shd w:val="clear" w:color="auto" w:fill="auto"/>
            <w:vAlign w:val="bottom"/>
            <w:hideMark/>
          </w:tcPr>
          <w:p w14:paraId="47E7386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0.2500</w:t>
            </w:r>
          </w:p>
        </w:tc>
        <w:tc>
          <w:tcPr>
            <w:tcW w:w="1800" w:type="dxa"/>
            <w:tcBorders>
              <w:top w:val="nil"/>
              <w:left w:val="nil"/>
              <w:bottom w:val="single" w:sz="4" w:space="0" w:color="auto"/>
              <w:right w:val="single" w:sz="4" w:space="0" w:color="auto"/>
            </w:tcBorders>
            <w:shd w:val="clear" w:color="auto" w:fill="auto"/>
            <w:vAlign w:val="bottom"/>
            <w:hideMark/>
          </w:tcPr>
          <w:p w14:paraId="0C6CC2A2"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$41,205.00</w:t>
            </w:r>
          </w:p>
        </w:tc>
        <w:tc>
          <w:tcPr>
            <w:tcW w:w="1660" w:type="dxa"/>
            <w:tcBorders>
              <w:top w:val="nil"/>
              <w:left w:val="nil"/>
              <w:bottom w:val="single" w:sz="4" w:space="0" w:color="auto"/>
              <w:right w:val="single" w:sz="4" w:space="0" w:color="auto"/>
            </w:tcBorders>
            <w:shd w:val="clear" w:color="auto" w:fill="auto"/>
            <w:noWrap/>
            <w:vAlign w:val="bottom"/>
            <w:hideMark/>
          </w:tcPr>
          <w:p w14:paraId="43737F31"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$4,931.00</w:t>
            </w:r>
          </w:p>
        </w:tc>
        <w:tc>
          <w:tcPr>
            <w:tcW w:w="2060" w:type="dxa"/>
            <w:tcBorders>
              <w:top w:val="nil"/>
              <w:left w:val="nil"/>
              <w:bottom w:val="single" w:sz="4" w:space="0" w:color="auto"/>
              <w:right w:val="single" w:sz="4" w:space="0" w:color="auto"/>
            </w:tcBorders>
            <w:shd w:val="clear" w:color="auto" w:fill="auto"/>
            <w:noWrap/>
            <w:vAlign w:val="bottom"/>
            <w:hideMark/>
          </w:tcPr>
          <w:p w14:paraId="40E3596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$46,136.00</w:t>
            </w:r>
          </w:p>
        </w:tc>
      </w:tr>
      <w:tr w:rsidR="00533D70" w:rsidRPr="00533D70" w14:paraId="3443AD2E" w14:textId="77777777" w:rsidTr="00533D70">
        <w:trPr>
          <w:trHeight w:val="315"/>
        </w:trPr>
        <w:tc>
          <w:tcPr>
            <w:tcW w:w="2320" w:type="dxa"/>
            <w:tcBorders>
              <w:top w:val="nil"/>
              <w:left w:val="single" w:sz="8" w:space="0" w:color="auto"/>
              <w:bottom w:val="single" w:sz="4" w:space="0" w:color="auto"/>
              <w:right w:val="single" w:sz="4" w:space="0" w:color="auto"/>
            </w:tcBorders>
            <w:shd w:val="clear" w:color="auto" w:fill="auto"/>
            <w:vAlign w:val="center"/>
            <w:hideMark/>
          </w:tcPr>
          <w:p w14:paraId="09C58EA5"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FERC-6Q</w:t>
            </w:r>
          </w:p>
        </w:tc>
        <w:tc>
          <w:tcPr>
            <w:tcW w:w="2160" w:type="dxa"/>
            <w:tcBorders>
              <w:top w:val="nil"/>
              <w:left w:val="nil"/>
              <w:bottom w:val="single" w:sz="4" w:space="0" w:color="auto"/>
              <w:right w:val="single" w:sz="4" w:space="0" w:color="auto"/>
            </w:tcBorders>
            <w:shd w:val="clear" w:color="auto" w:fill="auto"/>
            <w:vAlign w:val="bottom"/>
            <w:hideMark/>
          </w:tcPr>
          <w:p w14:paraId="7AFE0FDA"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0.5000</w:t>
            </w:r>
          </w:p>
        </w:tc>
        <w:tc>
          <w:tcPr>
            <w:tcW w:w="1800" w:type="dxa"/>
            <w:tcBorders>
              <w:top w:val="nil"/>
              <w:left w:val="nil"/>
              <w:bottom w:val="single" w:sz="4" w:space="0" w:color="auto"/>
              <w:right w:val="single" w:sz="4" w:space="0" w:color="auto"/>
            </w:tcBorders>
            <w:shd w:val="clear" w:color="auto" w:fill="auto"/>
            <w:vAlign w:val="bottom"/>
            <w:hideMark/>
          </w:tcPr>
          <w:p w14:paraId="7FB31C12"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$82,410.00</w:t>
            </w:r>
          </w:p>
        </w:tc>
        <w:tc>
          <w:tcPr>
            <w:tcW w:w="1660" w:type="dxa"/>
            <w:tcBorders>
              <w:top w:val="nil"/>
              <w:left w:val="nil"/>
              <w:bottom w:val="single" w:sz="4" w:space="0" w:color="auto"/>
              <w:right w:val="single" w:sz="4" w:space="0" w:color="auto"/>
            </w:tcBorders>
            <w:shd w:val="clear" w:color="auto" w:fill="auto"/>
            <w:noWrap/>
            <w:vAlign w:val="bottom"/>
            <w:hideMark/>
          </w:tcPr>
          <w:p w14:paraId="1548E4BD"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$4,931.00</w:t>
            </w:r>
          </w:p>
        </w:tc>
        <w:tc>
          <w:tcPr>
            <w:tcW w:w="2060" w:type="dxa"/>
            <w:tcBorders>
              <w:top w:val="nil"/>
              <w:left w:val="nil"/>
              <w:bottom w:val="single" w:sz="4" w:space="0" w:color="auto"/>
              <w:right w:val="single" w:sz="4" w:space="0" w:color="auto"/>
            </w:tcBorders>
            <w:shd w:val="clear" w:color="auto" w:fill="auto"/>
            <w:noWrap/>
            <w:vAlign w:val="bottom"/>
            <w:hideMark/>
          </w:tcPr>
          <w:p w14:paraId="287BE66D"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$87,341.00</w:t>
            </w:r>
          </w:p>
        </w:tc>
      </w:tr>
      <w:tr w:rsidR="00533D70" w:rsidRPr="00533D70" w14:paraId="153B108F" w14:textId="77777777" w:rsidTr="00533D70">
        <w:trPr>
          <w:trHeight w:val="315"/>
        </w:trPr>
        <w:tc>
          <w:tcPr>
            <w:tcW w:w="2320" w:type="dxa"/>
            <w:tcBorders>
              <w:top w:val="nil"/>
              <w:left w:val="single" w:sz="8" w:space="0" w:color="auto"/>
              <w:bottom w:val="single" w:sz="4" w:space="0" w:color="auto"/>
              <w:right w:val="single" w:sz="4" w:space="0" w:color="auto"/>
            </w:tcBorders>
            <w:shd w:val="clear" w:color="auto" w:fill="auto"/>
            <w:vAlign w:val="center"/>
            <w:hideMark/>
          </w:tcPr>
          <w:p w14:paraId="23577F6D"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 xml:space="preserve">*FERC-60A </w:t>
            </w:r>
          </w:p>
        </w:tc>
        <w:tc>
          <w:tcPr>
            <w:tcW w:w="2160" w:type="dxa"/>
            <w:tcBorders>
              <w:top w:val="nil"/>
              <w:left w:val="nil"/>
              <w:bottom w:val="single" w:sz="4" w:space="0" w:color="auto"/>
              <w:right w:val="single" w:sz="4" w:space="0" w:color="auto"/>
            </w:tcBorders>
            <w:shd w:val="clear" w:color="auto" w:fill="auto"/>
            <w:vAlign w:val="bottom"/>
            <w:hideMark/>
          </w:tcPr>
          <w:p w14:paraId="6EC0378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0.0000</w:t>
            </w:r>
          </w:p>
        </w:tc>
        <w:tc>
          <w:tcPr>
            <w:tcW w:w="1800" w:type="dxa"/>
            <w:tcBorders>
              <w:top w:val="nil"/>
              <w:left w:val="nil"/>
              <w:bottom w:val="single" w:sz="4" w:space="0" w:color="auto"/>
              <w:right w:val="single" w:sz="4" w:space="0" w:color="auto"/>
            </w:tcBorders>
            <w:shd w:val="clear" w:color="auto" w:fill="auto"/>
            <w:vAlign w:val="bottom"/>
            <w:hideMark/>
          </w:tcPr>
          <w:p w14:paraId="5F1F72C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w:t>
            </w:r>
          </w:p>
        </w:tc>
        <w:tc>
          <w:tcPr>
            <w:tcW w:w="1660" w:type="dxa"/>
            <w:tcBorders>
              <w:top w:val="nil"/>
              <w:left w:val="nil"/>
              <w:bottom w:val="single" w:sz="4" w:space="0" w:color="auto"/>
              <w:right w:val="single" w:sz="4" w:space="0" w:color="auto"/>
            </w:tcBorders>
            <w:shd w:val="clear" w:color="auto" w:fill="auto"/>
            <w:noWrap/>
            <w:vAlign w:val="bottom"/>
            <w:hideMark/>
          </w:tcPr>
          <w:p w14:paraId="54837823"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$4,931.00</w:t>
            </w:r>
          </w:p>
        </w:tc>
        <w:tc>
          <w:tcPr>
            <w:tcW w:w="2060" w:type="dxa"/>
            <w:tcBorders>
              <w:top w:val="nil"/>
              <w:left w:val="nil"/>
              <w:bottom w:val="single" w:sz="4" w:space="0" w:color="auto"/>
              <w:right w:val="single" w:sz="4" w:space="0" w:color="auto"/>
            </w:tcBorders>
            <w:shd w:val="clear" w:color="auto" w:fill="auto"/>
            <w:noWrap/>
            <w:vAlign w:val="bottom"/>
            <w:hideMark/>
          </w:tcPr>
          <w:p w14:paraId="52A4BEDD"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$4,931.00</w:t>
            </w:r>
          </w:p>
        </w:tc>
      </w:tr>
      <w:tr w:rsidR="00533D70" w:rsidRPr="00533D70" w14:paraId="79A35F3C" w14:textId="77777777" w:rsidTr="00533D70">
        <w:trPr>
          <w:trHeight w:val="315"/>
        </w:trPr>
        <w:tc>
          <w:tcPr>
            <w:tcW w:w="2320" w:type="dxa"/>
            <w:tcBorders>
              <w:top w:val="nil"/>
              <w:left w:val="single" w:sz="8" w:space="0" w:color="auto"/>
              <w:bottom w:val="single" w:sz="4" w:space="0" w:color="auto"/>
              <w:right w:val="single" w:sz="4" w:space="0" w:color="auto"/>
            </w:tcBorders>
            <w:shd w:val="clear" w:color="auto" w:fill="auto"/>
            <w:vAlign w:val="center"/>
            <w:hideMark/>
          </w:tcPr>
          <w:p w14:paraId="15F7037C"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*FERC-714A</w:t>
            </w:r>
          </w:p>
        </w:tc>
        <w:tc>
          <w:tcPr>
            <w:tcW w:w="2160" w:type="dxa"/>
            <w:tcBorders>
              <w:top w:val="nil"/>
              <w:left w:val="nil"/>
              <w:bottom w:val="single" w:sz="4" w:space="0" w:color="auto"/>
              <w:right w:val="single" w:sz="4" w:space="0" w:color="auto"/>
            </w:tcBorders>
            <w:shd w:val="clear" w:color="auto" w:fill="auto"/>
            <w:vAlign w:val="bottom"/>
            <w:hideMark/>
          </w:tcPr>
          <w:p w14:paraId="404D751A"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0.0000</w:t>
            </w:r>
          </w:p>
        </w:tc>
        <w:tc>
          <w:tcPr>
            <w:tcW w:w="1800" w:type="dxa"/>
            <w:tcBorders>
              <w:top w:val="nil"/>
              <w:left w:val="nil"/>
              <w:bottom w:val="single" w:sz="4" w:space="0" w:color="auto"/>
              <w:right w:val="single" w:sz="4" w:space="0" w:color="auto"/>
            </w:tcBorders>
            <w:shd w:val="clear" w:color="auto" w:fill="auto"/>
            <w:vAlign w:val="bottom"/>
            <w:hideMark/>
          </w:tcPr>
          <w:p w14:paraId="7692441A"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w:t>
            </w:r>
          </w:p>
        </w:tc>
        <w:tc>
          <w:tcPr>
            <w:tcW w:w="1660" w:type="dxa"/>
            <w:tcBorders>
              <w:top w:val="nil"/>
              <w:left w:val="nil"/>
              <w:bottom w:val="single" w:sz="4" w:space="0" w:color="auto"/>
              <w:right w:val="single" w:sz="4" w:space="0" w:color="auto"/>
            </w:tcBorders>
            <w:shd w:val="clear" w:color="auto" w:fill="auto"/>
            <w:noWrap/>
            <w:vAlign w:val="bottom"/>
            <w:hideMark/>
          </w:tcPr>
          <w:p w14:paraId="644B9B98"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$4,931.00</w:t>
            </w:r>
          </w:p>
        </w:tc>
        <w:tc>
          <w:tcPr>
            <w:tcW w:w="2060" w:type="dxa"/>
            <w:tcBorders>
              <w:top w:val="nil"/>
              <w:left w:val="nil"/>
              <w:bottom w:val="single" w:sz="4" w:space="0" w:color="auto"/>
              <w:right w:val="single" w:sz="4" w:space="0" w:color="auto"/>
            </w:tcBorders>
            <w:shd w:val="clear" w:color="auto" w:fill="auto"/>
            <w:noWrap/>
            <w:vAlign w:val="bottom"/>
            <w:hideMark/>
          </w:tcPr>
          <w:p w14:paraId="439D03B0"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$4,931.00</w:t>
            </w:r>
          </w:p>
        </w:tc>
      </w:tr>
      <w:tr w:rsidR="00533D70" w:rsidRPr="00533D70" w14:paraId="1B1050DC" w14:textId="77777777" w:rsidTr="00533D70">
        <w:trPr>
          <w:trHeight w:val="1575"/>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0B897B02"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Total FERC Costs related to 'Analysis and Processing of Filings' and 'PRA Administration'</w:t>
            </w:r>
          </w:p>
        </w:tc>
        <w:tc>
          <w:tcPr>
            <w:tcW w:w="2160" w:type="dxa"/>
            <w:tcBorders>
              <w:top w:val="nil"/>
              <w:left w:val="nil"/>
              <w:bottom w:val="single" w:sz="4" w:space="0" w:color="auto"/>
              <w:right w:val="single" w:sz="4" w:space="0" w:color="auto"/>
            </w:tcBorders>
            <w:shd w:val="clear" w:color="auto" w:fill="auto"/>
            <w:vAlign w:val="bottom"/>
            <w:hideMark/>
          </w:tcPr>
          <w:p w14:paraId="3440B918"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1800" w:type="dxa"/>
            <w:tcBorders>
              <w:top w:val="nil"/>
              <w:left w:val="nil"/>
              <w:bottom w:val="single" w:sz="4" w:space="0" w:color="auto"/>
              <w:right w:val="single" w:sz="4" w:space="0" w:color="auto"/>
            </w:tcBorders>
            <w:shd w:val="clear" w:color="auto" w:fill="auto"/>
            <w:vAlign w:val="bottom"/>
            <w:hideMark/>
          </w:tcPr>
          <w:p w14:paraId="32099E7E"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1660" w:type="dxa"/>
            <w:tcBorders>
              <w:top w:val="nil"/>
              <w:left w:val="nil"/>
              <w:bottom w:val="single" w:sz="4" w:space="0" w:color="auto"/>
              <w:right w:val="single" w:sz="4" w:space="0" w:color="auto"/>
            </w:tcBorders>
            <w:shd w:val="clear" w:color="auto" w:fill="auto"/>
            <w:noWrap/>
            <w:vAlign w:val="bottom"/>
            <w:hideMark/>
          </w:tcPr>
          <w:p w14:paraId="36121A45"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060" w:type="dxa"/>
            <w:tcBorders>
              <w:top w:val="nil"/>
              <w:left w:val="nil"/>
              <w:bottom w:val="single" w:sz="4" w:space="0" w:color="auto"/>
              <w:right w:val="single" w:sz="4" w:space="0" w:color="auto"/>
            </w:tcBorders>
            <w:shd w:val="clear" w:color="auto" w:fill="auto"/>
            <w:noWrap/>
            <w:vAlign w:val="bottom"/>
            <w:hideMark/>
          </w:tcPr>
          <w:p w14:paraId="6F86A261"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$1,066,249.40</w:t>
            </w:r>
          </w:p>
        </w:tc>
      </w:tr>
      <w:tr w:rsidR="00533D70" w:rsidRPr="00533D70" w14:paraId="6339AAE1" w14:textId="77777777" w:rsidTr="00533D70">
        <w:trPr>
          <w:trHeight w:val="126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5BFAD7DE"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 IT development &amp; maintenance costs</w:t>
            </w:r>
          </w:p>
        </w:tc>
        <w:tc>
          <w:tcPr>
            <w:tcW w:w="2160" w:type="dxa"/>
            <w:tcBorders>
              <w:top w:val="nil"/>
              <w:left w:val="nil"/>
              <w:bottom w:val="single" w:sz="4" w:space="0" w:color="auto"/>
              <w:right w:val="single" w:sz="4" w:space="0" w:color="auto"/>
            </w:tcBorders>
            <w:shd w:val="clear" w:color="auto" w:fill="auto"/>
            <w:vAlign w:val="center"/>
            <w:hideMark/>
          </w:tcPr>
          <w:p w14:paraId="41385895"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1800" w:type="dxa"/>
            <w:tcBorders>
              <w:top w:val="nil"/>
              <w:left w:val="nil"/>
              <w:bottom w:val="single" w:sz="4" w:space="0" w:color="auto"/>
              <w:right w:val="single" w:sz="4" w:space="0" w:color="auto"/>
            </w:tcBorders>
            <w:shd w:val="clear" w:color="auto" w:fill="auto"/>
            <w:vAlign w:val="center"/>
            <w:hideMark/>
          </w:tcPr>
          <w:p w14:paraId="29AB2C6A"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1660" w:type="dxa"/>
            <w:tcBorders>
              <w:top w:val="nil"/>
              <w:left w:val="nil"/>
              <w:bottom w:val="single" w:sz="4" w:space="0" w:color="auto"/>
              <w:right w:val="single" w:sz="4" w:space="0" w:color="auto"/>
            </w:tcBorders>
            <w:shd w:val="clear" w:color="auto" w:fill="auto"/>
            <w:noWrap/>
            <w:vAlign w:val="bottom"/>
            <w:hideMark/>
          </w:tcPr>
          <w:p w14:paraId="26D3A1A5"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060" w:type="dxa"/>
            <w:tcBorders>
              <w:top w:val="nil"/>
              <w:left w:val="nil"/>
              <w:bottom w:val="single" w:sz="4" w:space="0" w:color="auto"/>
              <w:right w:val="single" w:sz="4" w:space="0" w:color="auto"/>
            </w:tcBorders>
            <w:shd w:val="clear" w:color="auto" w:fill="auto"/>
            <w:vAlign w:val="bottom"/>
            <w:hideMark/>
          </w:tcPr>
          <w:p w14:paraId="1FED0731"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This information is Procurement sensitive and not available at this time.</w:t>
            </w:r>
          </w:p>
        </w:tc>
      </w:tr>
      <w:tr w:rsidR="00533D70" w:rsidRPr="00533D70" w14:paraId="399AB58E" w14:textId="77777777" w:rsidTr="00533D70">
        <w:trPr>
          <w:trHeight w:val="315"/>
        </w:trPr>
        <w:tc>
          <w:tcPr>
            <w:tcW w:w="1000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65D6FE7"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r>
      <w:tr w:rsidR="00533D70" w:rsidRPr="00533D70" w14:paraId="00F5EA24" w14:textId="77777777" w:rsidTr="00533D70">
        <w:trPr>
          <w:trHeight w:val="1290"/>
        </w:trPr>
        <w:tc>
          <w:tcPr>
            <w:tcW w:w="1000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F33CABE"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*Note that Federal FTE costs for the FERC-60A are included in the current Federal FTE costs for FERC-60 (0.5 FTE) and not included here.  Similarly, the Federal FTE costs for the FERC-714A are included in the current Federal FTE costs for FERC-714 (0.1923 FTE) and not included here.</w:t>
            </w:r>
          </w:p>
        </w:tc>
      </w:tr>
    </w:tbl>
    <w:p w14:paraId="0396A396" w14:textId="77777777" w:rsidR="002A725B" w:rsidRDefault="002A725B" w:rsidP="00BD0F89">
      <w:pPr>
        <w:spacing w:after="0" w:line="240" w:lineRule="auto"/>
        <w:rPr>
          <w:rFonts w:ascii="Times New Roman" w:hAnsi="Times New Roman"/>
          <w:sz w:val="24"/>
          <w:szCs w:val="24"/>
        </w:rPr>
      </w:pPr>
    </w:p>
    <w:p w14:paraId="450E706F" w14:textId="77777777" w:rsidR="003F4A59" w:rsidRDefault="00960A67" w:rsidP="00BD0F89">
      <w:pPr>
        <w:spacing w:after="0" w:line="240" w:lineRule="auto"/>
        <w:rPr>
          <w:rFonts w:ascii="Times New Roman" w:hAnsi="Times New Roman"/>
          <w:sz w:val="24"/>
          <w:szCs w:val="24"/>
        </w:rPr>
      </w:pPr>
      <w:r>
        <w:rPr>
          <w:rFonts w:ascii="Times New Roman" w:hAnsi="Times New Roman"/>
          <w:sz w:val="24"/>
          <w:szCs w:val="24"/>
        </w:rPr>
        <w:t>The</w:t>
      </w:r>
      <w:r w:rsidR="003F4A59">
        <w:rPr>
          <w:rFonts w:ascii="Times New Roman" w:hAnsi="Times New Roman"/>
          <w:sz w:val="24"/>
          <w:szCs w:val="24"/>
        </w:rPr>
        <w:t xml:space="preserve"> </w:t>
      </w:r>
      <w:r w:rsidR="003F4A59" w:rsidRPr="003F4A59">
        <w:rPr>
          <w:rFonts w:ascii="Times New Roman" w:hAnsi="Times New Roman"/>
          <w:sz w:val="24"/>
          <w:szCs w:val="24"/>
        </w:rPr>
        <w:t xml:space="preserve">FERC </w:t>
      </w:r>
      <w:r w:rsidR="003F4A59">
        <w:rPr>
          <w:rFonts w:ascii="Times New Roman" w:hAnsi="Times New Roman"/>
          <w:sz w:val="24"/>
          <w:szCs w:val="24"/>
        </w:rPr>
        <w:t xml:space="preserve">cost for </w:t>
      </w:r>
      <w:r w:rsidR="003F4A59" w:rsidRPr="003F4A59">
        <w:rPr>
          <w:rFonts w:ascii="Times New Roman" w:hAnsi="Times New Roman"/>
          <w:sz w:val="24"/>
          <w:szCs w:val="24"/>
        </w:rPr>
        <w:t>IT development</w:t>
      </w:r>
      <w:r w:rsidR="003F4A59">
        <w:rPr>
          <w:rFonts w:ascii="Times New Roman" w:hAnsi="Times New Roman"/>
          <w:sz w:val="24"/>
          <w:szCs w:val="24"/>
        </w:rPr>
        <w:t>, implementation,</w:t>
      </w:r>
      <w:r w:rsidR="003F4A59" w:rsidRPr="003F4A59">
        <w:rPr>
          <w:rFonts w:ascii="Times New Roman" w:hAnsi="Times New Roman"/>
          <w:sz w:val="24"/>
          <w:szCs w:val="24"/>
        </w:rPr>
        <w:t xml:space="preserve"> </w:t>
      </w:r>
      <w:r w:rsidR="003F4A59">
        <w:rPr>
          <w:rFonts w:ascii="Times New Roman" w:hAnsi="Times New Roman"/>
          <w:sz w:val="24"/>
          <w:szCs w:val="24"/>
        </w:rPr>
        <w:t xml:space="preserve">and maintenance is </w:t>
      </w:r>
      <w:r w:rsidR="00944F95" w:rsidRPr="00944F95">
        <w:rPr>
          <w:rFonts w:ascii="Times New Roman" w:hAnsi="Times New Roman"/>
          <w:sz w:val="24"/>
          <w:szCs w:val="24"/>
        </w:rPr>
        <w:t>procurement sensitive information that cannot be conveyed to the public at this time.</w:t>
      </w:r>
    </w:p>
    <w:p w14:paraId="55FC1BFA" w14:textId="77777777" w:rsidR="003F4A59" w:rsidRPr="00030D70" w:rsidRDefault="003F4A59" w:rsidP="00BD0F89">
      <w:pPr>
        <w:spacing w:after="0" w:line="240" w:lineRule="auto"/>
        <w:rPr>
          <w:rFonts w:ascii="Times New Roman" w:hAnsi="Times New Roman"/>
          <w:sz w:val="24"/>
          <w:szCs w:val="24"/>
        </w:rPr>
      </w:pPr>
    </w:p>
    <w:p w14:paraId="43CA34DD" w14:textId="77777777" w:rsidR="00F20B97" w:rsidRPr="00F1537F" w:rsidRDefault="00F20B97" w:rsidP="00BD0F89">
      <w:pPr>
        <w:spacing w:after="0" w:line="240" w:lineRule="auto"/>
        <w:rPr>
          <w:rFonts w:ascii="Times New Roman" w:hAnsi="Times New Roman"/>
          <w:b/>
          <w:sz w:val="24"/>
          <w:szCs w:val="24"/>
        </w:rPr>
      </w:pPr>
      <w:r w:rsidRPr="00030D70">
        <w:rPr>
          <w:rFonts w:ascii="Times New Roman" w:hAnsi="Times New Roman"/>
          <w:b/>
          <w:sz w:val="24"/>
          <w:szCs w:val="24"/>
        </w:rPr>
        <w:t>15. REASONS FOR CHANGES IN BURDEN INCLUDING THE NEED FOR ANY</w:t>
      </w:r>
      <w:r w:rsidRPr="00F1537F">
        <w:rPr>
          <w:rFonts w:ascii="Times New Roman" w:hAnsi="Times New Roman"/>
          <w:b/>
          <w:sz w:val="24"/>
          <w:szCs w:val="24"/>
        </w:rPr>
        <w:t xml:space="preserve"> INCREASE</w:t>
      </w:r>
    </w:p>
    <w:p w14:paraId="3F5AE378" w14:textId="77777777" w:rsidR="00F20B97" w:rsidRDefault="00F20B97" w:rsidP="00BD0F89">
      <w:pPr>
        <w:spacing w:after="0" w:line="240" w:lineRule="auto"/>
        <w:rPr>
          <w:rFonts w:ascii="Times New Roman" w:hAnsi="Times New Roman"/>
          <w:sz w:val="24"/>
          <w:szCs w:val="24"/>
        </w:rPr>
      </w:pPr>
    </w:p>
    <w:p w14:paraId="1CD53CA0" w14:textId="43D0AF08" w:rsidR="00450F57" w:rsidRDefault="00E31823" w:rsidP="00BD0F89">
      <w:pPr>
        <w:spacing w:after="0" w:line="240" w:lineRule="auto"/>
        <w:rPr>
          <w:rFonts w:ascii="Times New Roman" w:hAnsi="Times New Roman"/>
          <w:sz w:val="24"/>
          <w:szCs w:val="24"/>
        </w:rPr>
      </w:pPr>
      <w:bookmarkStart w:id="2" w:name="_bmk1"/>
      <w:r>
        <w:rPr>
          <w:rFonts w:ascii="Times New Roman" w:hAnsi="Times New Roman"/>
          <w:sz w:val="24"/>
          <w:szCs w:val="24"/>
        </w:rPr>
        <w:t>FERC</w:t>
      </w:r>
      <w:r w:rsidRPr="00E31823">
        <w:rPr>
          <w:rFonts w:ascii="Times New Roman" w:hAnsi="Times New Roman"/>
          <w:sz w:val="24"/>
          <w:szCs w:val="24"/>
        </w:rPr>
        <w:t xml:space="preserve"> is proposing to transition from the current use of the </w:t>
      </w:r>
      <w:r>
        <w:rPr>
          <w:rFonts w:ascii="Times New Roman" w:hAnsi="Times New Roman"/>
          <w:sz w:val="24"/>
          <w:szCs w:val="24"/>
        </w:rPr>
        <w:t>VFP</w:t>
      </w:r>
      <w:r w:rsidRPr="00E31823">
        <w:rPr>
          <w:rFonts w:ascii="Times New Roman" w:hAnsi="Times New Roman"/>
          <w:sz w:val="24"/>
          <w:szCs w:val="24"/>
        </w:rPr>
        <w:t xml:space="preserve"> software, which is no longer supported by its developer, to a type of Extensible Mark</w:t>
      </w:r>
      <w:r w:rsidR="003E74C9">
        <w:rPr>
          <w:rFonts w:ascii="Times New Roman" w:hAnsi="Times New Roman"/>
          <w:sz w:val="24"/>
          <w:szCs w:val="24"/>
        </w:rPr>
        <w:t>u</w:t>
      </w:r>
      <w:r w:rsidRPr="00E31823">
        <w:rPr>
          <w:rFonts w:ascii="Times New Roman" w:hAnsi="Times New Roman"/>
          <w:sz w:val="24"/>
          <w:szCs w:val="24"/>
        </w:rPr>
        <w:t xml:space="preserve">p Language called eXtensible Business Reporting Language (XBRL).  The XBRL standard would be used to file the Commission’s </w:t>
      </w:r>
      <w:r>
        <w:rPr>
          <w:rFonts w:ascii="Times New Roman" w:hAnsi="Times New Roman"/>
          <w:sz w:val="24"/>
          <w:szCs w:val="24"/>
        </w:rPr>
        <w:t>VFP Forms</w:t>
      </w:r>
      <w:r w:rsidRPr="00E31823">
        <w:rPr>
          <w:rFonts w:ascii="Times New Roman" w:hAnsi="Times New Roman"/>
          <w:sz w:val="24"/>
          <w:szCs w:val="24"/>
        </w:rPr>
        <w:t xml:space="preserve">.  The use of XBRL should make the information in these forms easier for filers and data users to analyze and assist in automating regulatory filings and business information processing.  In addition, the Commission believes that transitioning from the current </w:t>
      </w:r>
      <w:r>
        <w:rPr>
          <w:rFonts w:ascii="Times New Roman" w:hAnsi="Times New Roman"/>
          <w:sz w:val="24"/>
          <w:szCs w:val="24"/>
        </w:rPr>
        <w:t>VFP</w:t>
      </w:r>
      <w:r w:rsidRPr="00E31823">
        <w:rPr>
          <w:rFonts w:ascii="Times New Roman" w:hAnsi="Times New Roman"/>
          <w:sz w:val="24"/>
          <w:szCs w:val="24"/>
        </w:rPr>
        <w:t xml:space="preserve"> system to XBRL will decrease the costs, over time, of preparing the necessary data for submission and complying with future changes to filing requirements set forth by the Commission.  The Commission is also proposing to revise its regulations to require filers of Form No. 1-F to file their report in electronic media pursuant to 18 CFR 385.2011.</w:t>
      </w:r>
    </w:p>
    <w:p w14:paraId="3B838B49" w14:textId="77777777" w:rsidR="00E31823" w:rsidRDefault="00E31823" w:rsidP="00BD0F89">
      <w:pPr>
        <w:spacing w:after="0" w:line="240" w:lineRule="auto"/>
        <w:rPr>
          <w:rFonts w:ascii="Times New Roman" w:hAnsi="Times New Roman"/>
          <w:b/>
          <w:bCs/>
          <w:sz w:val="24"/>
          <w:szCs w:val="24"/>
          <w:u w:val="single"/>
        </w:rPr>
      </w:pPr>
    </w:p>
    <w:p w14:paraId="40833C19" w14:textId="77777777" w:rsidR="00E31823" w:rsidRDefault="006955A3" w:rsidP="00BD0F89">
      <w:pPr>
        <w:spacing w:after="0" w:line="240" w:lineRule="auto"/>
        <w:rPr>
          <w:rFonts w:ascii="Times New Roman" w:hAnsi="Times New Roman"/>
          <w:bCs/>
          <w:sz w:val="24"/>
          <w:szCs w:val="24"/>
        </w:rPr>
      </w:pPr>
      <w:r w:rsidRPr="00C731FD">
        <w:rPr>
          <w:rFonts w:ascii="Times New Roman" w:hAnsi="Times New Roman"/>
          <w:bCs/>
          <w:sz w:val="24"/>
          <w:szCs w:val="24"/>
        </w:rPr>
        <w:t>The following table show</w:t>
      </w:r>
      <w:r w:rsidR="00E31823">
        <w:rPr>
          <w:rFonts w:ascii="Times New Roman" w:hAnsi="Times New Roman"/>
          <w:bCs/>
          <w:sz w:val="24"/>
          <w:szCs w:val="24"/>
        </w:rPr>
        <w:t>s</w:t>
      </w:r>
      <w:r w:rsidRPr="00C731FD">
        <w:rPr>
          <w:rFonts w:ascii="Times New Roman" w:hAnsi="Times New Roman"/>
          <w:bCs/>
          <w:sz w:val="24"/>
          <w:szCs w:val="24"/>
        </w:rPr>
        <w:t xml:space="preserve"> </w:t>
      </w:r>
      <w:r w:rsidR="00C731FD">
        <w:rPr>
          <w:rFonts w:ascii="Times New Roman" w:hAnsi="Times New Roman"/>
          <w:bCs/>
          <w:sz w:val="24"/>
          <w:szCs w:val="24"/>
        </w:rPr>
        <w:t xml:space="preserve">the </w:t>
      </w:r>
      <w:r w:rsidRPr="00C731FD">
        <w:rPr>
          <w:rFonts w:ascii="Times New Roman" w:hAnsi="Times New Roman"/>
          <w:bCs/>
          <w:sz w:val="24"/>
          <w:szCs w:val="24"/>
        </w:rPr>
        <w:t xml:space="preserve">changes and </w:t>
      </w:r>
      <w:r w:rsidR="00E31823">
        <w:rPr>
          <w:rFonts w:ascii="Times New Roman" w:hAnsi="Times New Roman"/>
          <w:bCs/>
          <w:sz w:val="24"/>
          <w:szCs w:val="24"/>
        </w:rPr>
        <w:t>is</w:t>
      </w:r>
      <w:r w:rsidRPr="00C731FD">
        <w:rPr>
          <w:rFonts w:ascii="Times New Roman" w:hAnsi="Times New Roman"/>
          <w:bCs/>
          <w:sz w:val="24"/>
          <w:szCs w:val="24"/>
        </w:rPr>
        <w:t xml:space="preserve"> based on ROCIS (and reginfo.gov) metadata</w:t>
      </w:r>
      <w:r w:rsidR="00C731FD" w:rsidRPr="00C731FD">
        <w:rPr>
          <w:rFonts w:ascii="Times New Roman" w:hAnsi="Times New Roman"/>
          <w:bCs/>
          <w:sz w:val="24"/>
          <w:szCs w:val="24"/>
        </w:rPr>
        <w:t>.</w:t>
      </w:r>
    </w:p>
    <w:p w14:paraId="05A556FD" w14:textId="77777777" w:rsidR="00B6477D" w:rsidRDefault="00B6477D" w:rsidP="00B6477D">
      <w:pPr>
        <w:spacing w:after="0" w:line="240" w:lineRule="auto"/>
        <w:rPr>
          <w:rFonts w:ascii="Times New Roman" w:hAnsi="Times New Roman"/>
          <w:bCs/>
          <w:sz w:val="24"/>
          <w:szCs w:val="24"/>
        </w:rPr>
      </w:pPr>
    </w:p>
    <w:p w14:paraId="3306DB76" w14:textId="12A6088E" w:rsidR="002570FB" w:rsidRDefault="002570FB">
      <w:pPr>
        <w:spacing w:after="160" w:line="259" w:lineRule="auto"/>
        <w:rPr>
          <w:rFonts w:ascii="Times New Roman" w:hAnsi="Times New Roman"/>
          <w:bCs/>
          <w:sz w:val="24"/>
          <w:szCs w:val="24"/>
        </w:rPr>
      </w:pPr>
      <w:r>
        <w:rPr>
          <w:rFonts w:ascii="Times New Roman" w:hAnsi="Times New Roman"/>
          <w:bCs/>
          <w:sz w:val="24"/>
          <w:szCs w:val="24"/>
        </w:rPr>
        <w:br w:type="page"/>
      </w:r>
    </w:p>
    <w:tbl>
      <w:tblPr>
        <w:tblW w:w="9260" w:type="dxa"/>
        <w:tblLook w:val="04A0" w:firstRow="1" w:lastRow="0" w:firstColumn="1" w:lastColumn="0" w:noHBand="0" w:noVBand="1"/>
      </w:tblPr>
      <w:tblGrid>
        <w:gridCol w:w="1555"/>
        <w:gridCol w:w="1525"/>
        <w:gridCol w:w="1419"/>
        <w:gridCol w:w="1296"/>
        <w:gridCol w:w="1430"/>
        <w:gridCol w:w="2035"/>
      </w:tblGrid>
      <w:tr w:rsidR="00533D70" w:rsidRPr="00533D70" w14:paraId="466476A3" w14:textId="77777777" w:rsidTr="00533D70">
        <w:trPr>
          <w:trHeight w:val="2835"/>
        </w:trPr>
        <w:tc>
          <w:tcPr>
            <w:tcW w:w="1600" w:type="dxa"/>
            <w:tcBorders>
              <w:top w:val="single" w:sz="8" w:space="0" w:color="auto"/>
              <w:left w:val="single" w:sz="8" w:space="0" w:color="auto"/>
              <w:bottom w:val="single" w:sz="4" w:space="0" w:color="auto"/>
              <w:right w:val="single" w:sz="4" w:space="0" w:color="auto"/>
            </w:tcBorders>
            <w:shd w:val="clear" w:color="000000" w:fill="D9D9D9"/>
            <w:vAlign w:val="center"/>
            <w:hideMark/>
          </w:tcPr>
          <w:p w14:paraId="5D221A1A" w14:textId="77777777" w:rsidR="00533D70" w:rsidRPr="00533D70" w:rsidRDefault="00533D70" w:rsidP="00533D70">
            <w:pPr>
              <w:spacing w:after="0" w:line="240" w:lineRule="auto"/>
              <w:jc w:val="center"/>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Information Collection</w:t>
            </w:r>
          </w:p>
        </w:tc>
        <w:tc>
          <w:tcPr>
            <w:tcW w:w="1680" w:type="dxa"/>
            <w:tcBorders>
              <w:top w:val="single" w:sz="8" w:space="0" w:color="auto"/>
              <w:left w:val="nil"/>
              <w:bottom w:val="single" w:sz="4" w:space="0" w:color="auto"/>
              <w:right w:val="single" w:sz="4" w:space="0" w:color="auto"/>
            </w:tcBorders>
            <w:shd w:val="clear" w:color="000000" w:fill="D9D9D9"/>
            <w:vAlign w:val="center"/>
            <w:hideMark/>
          </w:tcPr>
          <w:p w14:paraId="00503542" w14:textId="77777777" w:rsidR="00533D70" w:rsidRPr="00533D70" w:rsidRDefault="00533D70" w:rsidP="00533D70">
            <w:pPr>
              <w:spacing w:after="0" w:line="240" w:lineRule="auto"/>
              <w:jc w:val="center"/>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 </w:t>
            </w:r>
          </w:p>
        </w:tc>
        <w:tc>
          <w:tcPr>
            <w:tcW w:w="1420" w:type="dxa"/>
            <w:tcBorders>
              <w:top w:val="single" w:sz="8" w:space="0" w:color="auto"/>
              <w:left w:val="nil"/>
              <w:bottom w:val="single" w:sz="4" w:space="0" w:color="auto"/>
              <w:right w:val="single" w:sz="4" w:space="0" w:color="auto"/>
            </w:tcBorders>
            <w:shd w:val="clear" w:color="000000" w:fill="D9D9D9"/>
            <w:vAlign w:val="center"/>
            <w:hideMark/>
          </w:tcPr>
          <w:p w14:paraId="2017E857" w14:textId="77777777" w:rsidR="00533D70" w:rsidRPr="00533D70" w:rsidRDefault="00533D70" w:rsidP="00533D70">
            <w:pPr>
              <w:spacing w:after="0" w:line="240" w:lineRule="auto"/>
              <w:jc w:val="center"/>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Total Request</w:t>
            </w:r>
          </w:p>
        </w:tc>
        <w:tc>
          <w:tcPr>
            <w:tcW w:w="1160" w:type="dxa"/>
            <w:tcBorders>
              <w:top w:val="single" w:sz="8" w:space="0" w:color="auto"/>
              <w:left w:val="nil"/>
              <w:bottom w:val="single" w:sz="4" w:space="0" w:color="auto"/>
              <w:right w:val="single" w:sz="4" w:space="0" w:color="auto"/>
            </w:tcBorders>
            <w:shd w:val="clear" w:color="000000" w:fill="D9D9D9"/>
            <w:vAlign w:val="center"/>
            <w:hideMark/>
          </w:tcPr>
          <w:p w14:paraId="50391065" w14:textId="77777777" w:rsidR="00533D70" w:rsidRPr="00533D70" w:rsidRDefault="00533D70" w:rsidP="00533D70">
            <w:pPr>
              <w:spacing w:after="0" w:line="240" w:lineRule="auto"/>
              <w:jc w:val="center"/>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Previously Approved</w:t>
            </w:r>
          </w:p>
        </w:tc>
        <w:tc>
          <w:tcPr>
            <w:tcW w:w="1300" w:type="dxa"/>
            <w:tcBorders>
              <w:top w:val="single" w:sz="8" w:space="0" w:color="auto"/>
              <w:left w:val="nil"/>
              <w:bottom w:val="single" w:sz="4" w:space="0" w:color="auto"/>
              <w:right w:val="single" w:sz="4" w:space="0" w:color="auto"/>
            </w:tcBorders>
            <w:shd w:val="clear" w:color="000000" w:fill="D9D9D9"/>
            <w:vAlign w:val="center"/>
            <w:hideMark/>
          </w:tcPr>
          <w:p w14:paraId="3836E329" w14:textId="77777777" w:rsidR="00533D70" w:rsidRPr="00533D70" w:rsidRDefault="00533D70" w:rsidP="00533D70">
            <w:pPr>
              <w:spacing w:after="0" w:line="240" w:lineRule="auto"/>
              <w:jc w:val="center"/>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Change due to Adjustment in Estimate</w:t>
            </w:r>
          </w:p>
        </w:tc>
        <w:tc>
          <w:tcPr>
            <w:tcW w:w="2100" w:type="dxa"/>
            <w:tcBorders>
              <w:top w:val="single" w:sz="8" w:space="0" w:color="auto"/>
              <w:left w:val="nil"/>
              <w:bottom w:val="single" w:sz="4" w:space="0" w:color="auto"/>
              <w:right w:val="single" w:sz="4" w:space="0" w:color="auto"/>
            </w:tcBorders>
            <w:shd w:val="clear" w:color="000000" w:fill="D9D9D9"/>
            <w:vAlign w:val="center"/>
            <w:hideMark/>
          </w:tcPr>
          <w:p w14:paraId="2CB56806" w14:textId="77777777" w:rsidR="00533D70" w:rsidRPr="00533D70" w:rsidRDefault="00533D70" w:rsidP="00533D70">
            <w:pPr>
              <w:spacing w:after="0" w:line="240" w:lineRule="auto"/>
              <w:jc w:val="center"/>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Average Annual Change Due to Agency Discretion (Burden changes [implementation and ongoing maintenance] are being averaged over Years 1-3)</w:t>
            </w:r>
          </w:p>
        </w:tc>
      </w:tr>
      <w:tr w:rsidR="00533D70" w:rsidRPr="00533D70" w14:paraId="6F742ABA" w14:textId="77777777" w:rsidTr="00533D70">
        <w:trPr>
          <w:trHeight w:val="630"/>
        </w:trPr>
        <w:tc>
          <w:tcPr>
            <w:tcW w:w="1600" w:type="dxa"/>
            <w:vMerge w:val="restart"/>
            <w:tcBorders>
              <w:top w:val="nil"/>
              <w:left w:val="nil"/>
              <w:bottom w:val="single" w:sz="4" w:space="0" w:color="000000"/>
              <w:right w:val="single" w:sz="4" w:space="0" w:color="auto"/>
            </w:tcBorders>
            <w:shd w:val="clear" w:color="auto" w:fill="auto"/>
            <w:vAlign w:val="bottom"/>
            <w:hideMark/>
          </w:tcPr>
          <w:p w14:paraId="1728177F"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FERC-1</w:t>
            </w:r>
          </w:p>
        </w:tc>
        <w:tc>
          <w:tcPr>
            <w:tcW w:w="1680" w:type="dxa"/>
            <w:tcBorders>
              <w:top w:val="nil"/>
              <w:left w:val="nil"/>
              <w:bottom w:val="single" w:sz="4" w:space="0" w:color="auto"/>
              <w:right w:val="single" w:sz="4" w:space="0" w:color="auto"/>
            </w:tcBorders>
            <w:shd w:val="clear" w:color="auto" w:fill="auto"/>
            <w:vAlign w:val="center"/>
            <w:hideMark/>
          </w:tcPr>
          <w:p w14:paraId="781A132A"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Number of Responses</w:t>
            </w:r>
          </w:p>
        </w:tc>
        <w:tc>
          <w:tcPr>
            <w:tcW w:w="1420" w:type="dxa"/>
            <w:tcBorders>
              <w:top w:val="nil"/>
              <w:left w:val="nil"/>
              <w:bottom w:val="single" w:sz="4" w:space="0" w:color="auto"/>
              <w:right w:val="single" w:sz="4" w:space="0" w:color="auto"/>
            </w:tcBorders>
            <w:shd w:val="clear" w:color="auto" w:fill="auto"/>
            <w:vAlign w:val="center"/>
            <w:hideMark/>
          </w:tcPr>
          <w:p w14:paraId="1B5E1CA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207</w:t>
            </w:r>
          </w:p>
        </w:tc>
        <w:tc>
          <w:tcPr>
            <w:tcW w:w="1160" w:type="dxa"/>
            <w:tcBorders>
              <w:top w:val="nil"/>
              <w:left w:val="nil"/>
              <w:bottom w:val="single" w:sz="4" w:space="0" w:color="auto"/>
              <w:right w:val="single" w:sz="4" w:space="0" w:color="auto"/>
            </w:tcBorders>
            <w:shd w:val="clear" w:color="auto" w:fill="auto"/>
            <w:vAlign w:val="center"/>
            <w:hideMark/>
          </w:tcPr>
          <w:p w14:paraId="047E302D"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210</w:t>
            </w:r>
          </w:p>
        </w:tc>
        <w:tc>
          <w:tcPr>
            <w:tcW w:w="1300" w:type="dxa"/>
            <w:tcBorders>
              <w:top w:val="nil"/>
              <w:left w:val="nil"/>
              <w:bottom w:val="single" w:sz="4" w:space="0" w:color="auto"/>
              <w:right w:val="single" w:sz="4" w:space="0" w:color="auto"/>
            </w:tcBorders>
            <w:shd w:val="clear" w:color="auto" w:fill="auto"/>
            <w:vAlign w:val="center"/>
            <w:hideMark/>
          </w:tcPr>
          <w:p w14:paraId="780AEB56"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-3.000</w:t>
            </w:r>
          </w:p>
        </w:tc>
        <w:tc>
          <w:tcPr>
            <w:tcW w:w="2100" w:type="dxa"/>
            <w:tcBorders>
              <w:top w:val="nil"/>
              <w:left w:val="nil"/>
              <w:bottom w:val="single" w:sz="4" w:space="0" w:color="auto"/>
              <w:right w:val="single" w:sz="4" w:space="0" w:color="auto"/>
            </w:tcBorders>
            <w:shd w:val="clear" w:color="auto" w:fill="auto"/>
            <w:vAlign w:val="center"/>
            <w:hideMark/>
          </w:tcPr>
          <w:p w14:paraId="55F33CE6"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r>
      <w:tr w:rsidR="00533D70" w:rsidRPr="00533D70" w14:paraId="523567E5" w14:textId="77777777" w:rsidTr="00533D70">
        <w:trPr>
          <w:trHeight w:val="630"/>
        </w:trPr>
        <w:tc>
          <w:tcPr>
            <w:tcW w:w="1600" w:type="dxa"/>
            <w:vMerge/>
            <w:tcBorders>
              <w:top w:val="nil"/>
              <w:left w:val="nil"/>
              <w:bottom w:val="single" w:sz="4" w:space="0" w:color="000000"/>
              <w:right w:val="single" w:sz="4" w:space="0" w:color="auto"/>
            </w:tcBorders>
            <w:vAlign w:val="center"/>
            <w:hideMark/>
          </w:tcPr>
          <w:p w14:paraId="56982658"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2603D2B7"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Time Burden (Hr.)</w:t>
            </w:r>
          </w:p>
        </w:tc>
        <w:tc>
          <w:tcPr>
            <w:tcW w:w="1420" w:type="dxa"/>
            <w:tcBorders>
              <w:top w:val="nil"/>
              <w:left w:val="nil"/>
              <w:bottom w:val="single" w:sz="4" w:space="0" w:color="auto"/>
              <w:right w:val="single" w:sz="4" w:space="0" w:color="auto"/>
            </w:tcBorders>
            <w:shd w:val="clear" w:color="auto" w:fill="auto"/>
            <w:vAlign w:val="center"/>
            <w:hideMark/>
          </w:tcPr>
          <w:p w14:paraId="7BB77AA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254,112</w:t>
            </w:r>
          </w:p>
        </w:tc>
        <w:tc>
          <w:tcPr>
            <w:tcW w:w="1160" w:type="dxa"/>
            <w:tcBorders>
              <w:top w:val="nil"/>
              <w:left w:val="nil"/>
              <w:bottom w:val="single" w:sz="4" w:space="0" w:color="auto"/>
              <w:right w:val="single" w:sz="4" w:space="0" w:color="auto"/>
            </w:tcBorders>
            <w:shd w:val="clear" w:color="auto" w:fill="auto"/>
            <w:vAlign w:val="center"/>
            <w:hideMark/>
          </w:tcPr>
          <w:p w14:paraId="48E9B0D6"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245,280</w:t>
            </w:r>
          </w:p>
        </w:tc>
        <w:tc>
          <w:tcPr>
            <w:tcW w:w="1300" w:type="dxa"/>
            <w:tcBorders>
              <w:top w:val="nil"/>
              <w:left w:val="nil"/>
              <w:bottom w:val="single" w:sz="4" w:space="0" w:color="auto"/>
              <w:right w:val="single" w:sz="4" w:space="0" w:color="auto"/>
            </w:tcBorders>
            <w:shd w:val="clear" w:color="auto" w:fill="auto"/>
            <w:vAlign w:val="center"/>
            <w:hideMark/>
          </w:tcPr>
          <w:p w14:paraId="4831DCEE"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3BF5727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8,832.000</w:t>
            </w:r>
          </w:p>
        </w:tc>
      </w:tr>
      <w:tr w:rsidR="00533D70" w:rsidRPr="00533D70" w14:paraId="48B8CEE1" w14:textId="77777777" w:rsidTr="00533D70">
        <w:trPr>
          <w:trHeight w:val="315"/>
        </w:trPr>
        <w:tc>
          <w:tcPr>
            <w:tcW w:w="1600" w:type="dxa"/>
            <w:vMerge/>
            <w:tcBorders>
              <w:top w:val="nil"/>
              <w:left w:val="nil"/>
              <w:bottom w:val="single" w:sz="4" w:space="0" w:color="000000"/>
              <w:right w:val="single" w:sz="4" w:space="0" w:color="auto"/>
            </w:tcBorders>
            <w:vAlign w:val="center"/>
            <w:hideMark/>
          </w:tcPr>
          <w:p w14:paraId="65DF9128"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4CD0AAFC"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Cost Burden ($)</w:t>
            </w:r>
          </w:p>
        </w:tc>
        <w:tc>
          <w:tcPr>
            <w:tcW w:w="1420" w:type="dxa"/>
            <w:tcBorders>
              <w:top w:val="nil"/>
              <w:left w:val="nil"/>
              <w:bottom w:val="single" w:sz="4" w:space="0" w:color="auto"/>
              <w:right w:val="single" w:sz="4" w:space="0" w:color="auto"/>
            </w:tcBorders>
            <w:shd w:val="clear" w:color="auto" w:fill="auto"/>
            <w:vAlign w:val="center"/>
            <w:hideMark/>
          </w:tcPr>
          <w:p w14:paraId="7C3C5E42"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$677,856.00</w:t>
            </w:r>
          </w:p>
        </w:tc>
        <w:tc>
          <w:tcPr>
            <w:tcW w:w="1160" w:type="dxa"/>
            <w:tcBorders>
              <w:top w:val="nil"/>
              <w:left w:val="nil"/>
              <w:bottom w:val="single" w:sz="4" w:space="0" w:color="auto"/>
              <w:right w:val="single" w:sz="4" w:space="0" w:color="auto"/>
            </w:tcBorders>
            <w:shd w:val="clear" w:color="auto" w:fill="auto"/>
            <w:vAlign w:val="center"/>
            <w:hideMark/>
          </w:tcPr>
          <w:p w14:paraId="32F90C94"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w:t>
            </w:r>
          </w:p>
        </w:tc>
        <w:tc>
          <w:tcPr>
            <w:tcW w:w="1300" w:type="dxa"/>
            <w:tcBorders>
              <w:top w:val="nil"/>
              <w:left w:val="nil"/>
              <w:bottom w:val="single" w:sz="4" w:space="0" w:color="auto"/>
              <w:right w:val="single" w:sz="4" w:space="0" w:color="auto"/>
            </w:tcBorders>
            <w:shd w:val="clear" w:color="auto" w:fill="auto"/>
            <w:vAlign w:val="center"/>
            <w:hideMark/>
          </w:tcPr>
          <w:p w14:paraId="17645452"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7F039D5C"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$677,856.00</w:t>
            </w:r>
          </w:p>
        </w:tc>
      </w:tr>
      <w:tr w:rsidR="00533D70" w:rsidRPr="00533D70" w14:paraId="1C1DCE88" w14:textId="77777777" w:rsidTr="00533D70">
        <w:trPr>
          <w:trHeight w:val="630"/>
        </w:trPr>
        <w:tc>
          <w:tcPr>
            <w:tcW w:w="1600" w:type="dxa"/>
            <w:vMerge w:val="restart"/>
            <w:tcBorders>
              <w:top w:val="nil"/>
              <w:left w:val="nil"/>
              <w:bottom w:val="single" w:sz="4" w:space="0" w:color="000000"/>
              <w:right w:val="single" w:sz="4" w:space="0" w:color="auto"/>
            </w:tcBorders>
            <w:shd w:val="clear" w:color="auto" w:fill="auto"/>
            <w:vAlign w:val="bottom"/>
            <w:hideMark/>
          </w:tcPr>
          <w:p w14:paraId="74E55C56"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FERC-1F</w:t>
            </w:r>
          </w:p>
        </w:tc>
        <w:tc>
          <w:tcPr>
            <w:tcW w:w="1680" w:type="dxa"/>
            <w:tcBorders>
              <w:top w:val="nil"/>
              <w:left w:val="nil"/>
              <w:bottom w:val="single" w:sz="4" w:space="0" w:color="auto"/>
              <w:right w:val="single" w:sz="4" w:space="0" w:color="auto"/>
            </w:tcBorders>
            <w:shd w:val="clear" w:color="auto" w:fill="auto"/>
            <w:vAlign w:val="center"/>
            <w:hideMark/>
          </w:tcPr>
          <w:p w14:paraId="1E143DD7"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Number of Responses</w:t>
            </w:r>
          </w:p>
        </w:tc>
        <w:tc>
          <w:tcPr>
            <w:tcW w:w="1420" w:type="dxa"/>
            <w:tcBorders>
              <w:top w:val="nil"/>
              <w:left w:val="nil"/>
              <w:bottom w:val="single" w:sz="4" w:space="0" w:color="auto"/>
              <w:right w:val="single" w:sz="4" w:space="0" w:color="auto"/>
            </w:tcBorders>
            <w:shd w:val="clear" w:color="auto" w:fill="auto"/>
            <w:vAlign w:val="center"/>
            <w:hideMark/>
          </w:tcPr>
          <w:p w14:paraId="0995187B"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5</w:t>
            </w:r>
          </w:p>
        </w:tc>
        <w:tc>
          <w:tcPr>
            <w:tcW w:w="1160" w:type="dxa"/>
            <w:tcBorders>
              <w:top w:val="nil"/>
              <w:left w:val="nil"/>
              <w:bottom w:val="single" w:sz="4" w:space="0" w:color="auto"/>
              <w:right w:val="single" w:sz="4" w:space="0" w:color="auto"/>
            </w:tcBorders>
            <w:shd w:val="clear" w:color="auto" w:fill="auto"/>
            <w:vAlign w:val="center"/>
            <w:hideMark/>
          </w:tcPr>
          <w:p w14:paraId="37D8E314"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5</w:t>
            </w:r>
          </w:p>
        </w:tc>
        <w:tc>
          <w:tcPr>
            <w:tcW w:w="1300" w:type="dxa"/>
            <w:tcBorders>
              <w:top w:val="nil"/>
              <w:left w:val="nil"/>
              <w:bottom w:val="single" w:sz="4" w:space="0" w:color="auto"/>
              <w:right w:val="single" w:sz="4" w:space="0" w:color="auto"/>
            </w:tcBorders>
            <w:shd w:val="clear" w:color="auto" w:fill="auto"/>
            <w:vAlign w:val="center"/>
            <w:hideMark/>
          </w:tcPr>
          <w:p w14:paraId="168C392E"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0.000</w:t>
            </w:r>
          </w:p>
        </w:tc>
        <w:tc>
          <w:tcPr>
            <w:tcW w:w="2100" w:type="dxa"/>
            <w:tcBorders>
              <w:top w:val="nil"/>
              <w:left w:val="nil"/>
              <w:bottom w:val="single" w:sz="4" w:space="0" w:color="auto"/>
              <w:right w:val="single" w:sz="4" w:space="0" w:color="auto"/>
            </w:tcBorders>
            <w:shd w:val="clear" w:color="auto" w:fill="auto"/>
            <w:vAlign w:val="center"/>
            <w:hideMark/>
          </w:tcPr>
          <w:p w14:paraId="1C7A550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r>
      <w:tr w:rsidR="00533D70" w:rsidRPr="00533D70" w14:paraId="2BE01063" w14:textId="77777777" w:rsidTr="00533D70">
        <w:trPr>
          <w:trHeight w:val="630"/>
        </w:trPr>
        <w:tc>
          <w:tcPr>
            <w:tcW w:w="1600" w:type="dxa"/>
            <w:vMerge/>
            <w:tcBorders>
              <w:top w:val="nil"/>
              <w:left w:val="nil"/>
              <w:bottom w:val="single" w:sz="4" w:space="0" w:color="000000"/>
              <w:right w:val="single" w:sz="4" w:space="0" w:color="auto"/>
            </w:tcBorders>
            <w:vAlign w:val="center"/>
            <w:hideMark/>
          </w:tcPr>
          <w:p w14:paraId="3E890615"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29BB22D4"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Time Burden (Hr.)</w:t>
            </w:r>
          </w:p>
        </w:tc>
        <w:tc>
          <w:tcPr>
            <w:tcW w:w="1420" w:type="dxa"/>
            <w:tcBorders>
              <w:top w:val="nil"/>
              <w:left w:val="nil"/>
              <w:bottom w:val="single" w:sz="4" w:space="0" w:color="auto"/>
              <w:right w:val="single" w:sz="4" w:space="0" w:color="auto"/>
            </w:tcBorders>
            <w:shd w:val="clear" w:color="auto" w:fill="auto"/>
            <w:vAlign w:val="center"/>
            <w:hideMark/>
          </w:tcPr>
          <w:p w14:paraId="0B33F8A2"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823</w:t>
            </w:r>
          </w:p>
        </w:tc>
        <w:tc>
          <w:tcPr>
            <w:tcW w:w="1160" w:type="dxa"/>
            <w:tcBorders>
              <w:top w:val="nil"/>
              <w:left w:val="nil"/>
              <w:bottom w:val="single" w:sz="4" w:space="0" w:color="auto"/>
              <w:right w:val="single" w:sz="4" w:space="0" w:color="auto"/>
            </w:tcBorders>
            <w:shd w:val="clear" w:color="auto" w:fill="auto"/>
            <w:vAlign w:val="center"/>
            <w:hideMark/>
          </w:tcPr>
          <w:p w14:paraId="63D61B9E"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610</w:t>
            </w:r>
          </w:p>
        </w:tc>
        <w:tc>
          <w:tcPr>
            <w:tcW w:w="1300" w:type="dxa"/>
            <w:tcBorders>
              <w:top w:val="nil"/>
              <w:left w:val="nil"/>
              <w:bottom w:val="single" w:sz="4" w:space="0" w:color="auto"/>
              <w:right w:val="single" w:sz="4" w:space="0" w:color="auto"/>
            </w:tcBorders>
            <w:shd w:val="clear" w:color="auto" w:fill="auto"/>
            <w:vAlign w:val="center"/>
            <w:hideMark/>
          </w:tcPr>
          <w:p w14:paraId="27EE6227"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7F383F44"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213.333</w:t>
            </w:r>
          </w:p>
        </w:tc>
      </w:tr>
      <w:tr w:rsidR="00533D70" w:rsidRPr="00533D70" w14:paraId="6D95A80C" w14:textId="77777777" w:rsidTr="00533D70">
        <w:trPr>
          <w:trHeight w:val="315"/>
        </w:trPr>
        <w:tc>
          <w:tcPr>
            <w:tcW w:w="1600" w:type="dxa"/>
            <w:vMerge/>
            <w:tcBorders>
              <w:top w:val="nil"/>
              <w:left w:val="nil"/>
              <w:bottom w:val="single" w:sz="4" w:space="0" w:color="000000"/>
              <w:right w:val="single" w:sz="4" w:space="0" w:color="auto"/>
            </w:tcBorders>
            <w:vAlign w:val="center"/>
            <w:hideMark/>
          </w:tcPr>
          <w:p w14:paraId="4DE16308"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5AA1052B"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Cost Burden ($)</w:t>
            </w:r>
          </w:p>
        </w:tc>
        <w:tc>
          <w:tcPr>
            <w:tcW w:w="1420" w:type="dxa"/>
            <w:tcBorders>
              <w:top w:val="nil"/>
              <w:left w:val="nil"/>
              <w:bottom w:val="single" w:sz="4" w:space="0" w:color="auto"/>
              <w:right w:val="single" w:sz="4" w:space="0" w:color="auto"/>
            </w:tcBorders>
            <w:shd w:val="clear" w:color="auto" w:fill="auto"/>
            <w:vAlign w:val="center"/>
            <w:hideMark/>
          </w:tcPr>
          <w:p w14:paraId="6E50259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$16,373.33</w:t>
            </w:r>
          </w:p>
        </w:tc>
        <w:tc>
          <w:tcPr>
            <w:tcW w:w="1160" w:type="dxa"/>
            <w:tcBorders>
              <w:top w:val="nil"/>
              <w:left w:val="nil"/>
              <w:bottom w:val="single" w:sz="4" w:space="0" w:color="auto"/>
              <w:right w:val="single" w:sz="4" w:space="0" w:color="auto"/>
            </w:tcBorders>
            <w:shd w:val="clear" w:color="auto" w:fill="auto"/>
            <w:vAlign w:val="center"/>
            <w:hideMark/>
          </w:tcPr>
          <w:p w14:paraId="13BF5CC4"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w:t>
            </w:r>
          </w:p>
        </w:tc>
        <w:tc>
          <w:tcPr>
            <w:tcW w:w="1300" w:type="dxa"/>
            <w:tcBorders>
              <w:top w:val="nil"/>
              <w:left w:val="nil"/>
              <w:bottom w:val="single" w:sz="4" w:space="0" w:color="auto"/>
              <w:right w:val="single" w:sz="4" w:space="0" w:color="auto"/>
            </w:tcBorders>
            <w:shd w:val="clear" w:color="auto" w:fill="auto"/>
            <w:vAlign w:val="center"/>
            <w:hideMark/>
          </w:tcPr>
          <w:p w14:paraId="2F567A2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239A32A5"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$16,373.33</w:t>
            </w:r>
          </w:p>
        </w:tc>
      </w:tr>
      <w:tr w:rsidR="00533D70" w:rsidRPr="00533D70" w14:paraId="21B01E4C" w14:textId="77777777" w:rsidTr="00533D70">
        <w:trPr>
          <w:trHeight w:val="630"/>
        </w:trPr>
        <w:tc>
          <w:tcPr>
            <w:tcW w:w="1600" w:type="dxa"/>
            <w:vMerge w:val="restart"/>
            <w:tcBorders>
              <w:top w:val="nil"/>
              <w:left w:val="nil"/>
              <w:bottom w:val="single" w:sz="4" w:space="0" w:color="000000"/>
              <w:right w:val="single" w:sz="4" w:space="0" w:color="auto"/>
            </w:tcBorders>
            <w:shd w:val="clear" w:color="auto" w:fill="auto"/>
            <w:vAlign w:val="bottom"/>
            <w:hideMark/>
          </w:tcPr>
          <w:p w14:paraId="215CD8D6"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FERC-3Q electric</w:t>
            </w:r>
          </w:p>
        </w:tc>
        <w:tc>
          <w:tcPr>
            <w:tcW w:w="1680" w:type="dxa"/>
            <w:tcBorders>
              <w:top w:val="nil"/>
              <w:left w:val="nil"/>
              <w:bottom w:val="single" w:sz="4" w:space="0" w:color="auto"/>
              <w:right w:val="single" w:sz="4" w:space="0" w:color="auto"/>
            </w:tcBorders>
            <w:shd w:val="clear" w:color="auto" w:fill="auto"/>
            <w:vAlign w:val="center"/>
            <w:hideMark/>
          </w:tcPr>
          <w:p w14:paraId="01F7429E"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Number of Responses</w:t>
            </w:r>
          </w:p>
        </w:tc>
        <w:tc>
          <w:tcPr>
            <w:tcW w:w="1420" w:type="dxa"/>
            <w:tcBorders>
              <w:top w:val="nil"/>
              <w:left w:val="nil"/>
              <w:bottom w:val="single" w:sz="4" w:space="0" w:color="auto"/>
              <w:right w:val="single" w:sz="4" w:space="0" w:color="auto"/>
            </w:tcBorders>
            <w:shd w:val="clear" w:color="auto" w:fill="auto"/>
            <w:vAlign w:val="center"/>
            <w:hideMark/>
          </w:tcPr>
          <w:p w14:paraId="05C355B5"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636</w:t>
            </w:r>
          </w:p>
        </w:tc>
        <w:tc>
          <w:tcPr>
            <w:tcW w:w="1160" w:type="dxa"/>
            <w:tcBorders>
              <w:top w:val="nil"/>
              <w:left w:val="nil"/>
              <w:bottom w:val="single" w:sz="4" w:space="0" w:color="auto"/>
              <w:right w:val="single" w:sz="4" w:space="0" w:color="auto"/>
            </w:tcBorders>
            <w:shd w:val="clear" w:color="auto" w:fill="auto"/>
            <w:vAlign w:val="center"/>
            <w:hideMark/>
          </w:tcPr>
          <w:p w14:paraId="31BBBDF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639</w:t>
            </w:r>
          </w:p>
        </w:tc>
        <w:tc>
          <w:tcPr>
            <w:tcW w:w="1300" w:type="dxa"/>
            <w:tcBorders>
              <w:top w:val="nil"/>
              <w:left w:val="nil"/>
              <w:bottom w:val="single" w:sz="4" w:space="0" w:color="auto"/>
              <w:right w:val="single" w:sz="4" w:space="0" w:color="auto"/>
            </w:tcBorders>
            <w:shd w:val="clear" w:color="auto" w:fill="auto"/>
            <w:vAlign w:val="center"/>
            <w:hideMark/>
          </w:tcPr>
          <w:p w14:paraId="0A73D34A"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-3.000</w:t>
            </w:r>
          </w:p>
        </w:tc>
        <w:tc>
          <w:tcPr>
            <w:tcW w:w="2100" w:type="dxa"/>
            <w:tcBorders>
              <w:top w:val="nil"/>
              <w:left w:val="nil"/>
              <w:bottom w:val="single" w:sz="4" w:space="0" w:color="auto"/>
              <w:right w:val="single" w:sz="4" w:space="0" w:color="auto"/>
            </w:tcBorders>
            <w:shd w:val="clear" w:color="auto" w:fill="auto"/>
            <w:vAlign w:val="center"/>
            <w:hideMark/>
          </w:tcPr>
          <w:p w14:paraId="187D804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r>
      <w:tr w:rsidR="00533D70" w:rsidRPr="00533D70" w14:paraId="39490F82" w14:textId="77777777" w:rsidTr="00533D70">
        <w:trPr>
          <w:trHeight w:val="630"/>
        </w:trPr>
        <w:tc>
          <w:tcPr>
            <w:tcW w:w="1600" w:type="dxa"/>
            <w:vMerge/>
            <w:tcBorders>
              <w:top w:val="nil"/>
              <w:left w:val="nil"/>
              <w:bottom w:val="single" w:sz="4" w:space="0" w:color="000000"/>
              <w:right w:val="single" w:sz="4" w:space="0" w:color="auto"/>
            </w:tcBorders>
            <w:vAlign w:val="center"/>
            <w:hideMark/>
          </w:tcPr>
          <w:p w14:paraId="7C86FF4B"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61FCD2D9"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Time Burden (Hr.)</w:t>
            </w:r>
          </w:p>
        </w:tc>
        <w:tc>
          <w:tcPr>
            <w:tcW w:w="1420" w:type="dxa"/>
            <w:tcBorders>
              <w:top w:val="nil"/>
              <w:left w:val="nil"/>
              <w:bottom w:val="single" w:sz="4" w:space="0" w:color="auto"/>
              <w:right w:val="single" w:sz="4" w:space="0" w:color="auto"/>
            </w:tcBorders>
            <w:shd w:val="clear" w:color="auto" w:fill="auto"/>
            <w:vAlign w:val="center"/>
            <w:hideMark/>
          </w:tcPr>
          <w:p w14:paraId="3B31B4F6"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107,352</w:t>
            </w:r>
          </w:p>
        </w:tc>
        <w:tc>
          <w:tcPr>
            <w:tcW w:w="1160" w:type="dxa"/>
            <w:tcBorders>
              <w:top w:val="nil"/>
              <w:left w:val="nil"/>
              <w:bottom w:val="single" w:sz="4" w:space="0" w:color="auto"/>
              <w:right w:val="single" w:sz="4" w:space="0" w:color="auto"/>
            </w:tcBorders>
            <w:shd w:val="clear" w:color="auto" w:fill="auto"/>
            <w:vAlign w:val="center"/>
            <w:hideMark/>
          </w:tcPr>
          <w:p w14:paraId="7CF80AF2"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107,352</w:t>
            </w:r>
          </w:p>
        </w:tc>
        <w:tc>
          <w:tcPr>
            <w:tcW w:w="1300" w:type="dxa"/>
            <w:tcBorders>
              <w:top w:val="nil"/>
              <w:left w:val="nil"/>
              <w:bottom w:val="single" w:sz="4" w:space="0" w:color="auto"/>
              <w:right w:val="single" w:sz="4" w:space="0" w:color="auto"/>
            </w:tcBorders>
            <w:shd w:val="clear" w:color="auto" w:fill="auto"/>
            <w:vAlign w:val="center"/>
            <w:hideMark/>
          </w:tcPr>
          <w:p w14:paraId="52C8CDFD"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7C93484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0.000</w:t>
            </w:r>
          </w:p>
        </w:tc>
      </w:tr>
      <w:tr w:rsidR="00533D70" w:rsidRPr="00533D70" w14:paraId="0888360B" w14:textId="77777777" w:rsidTr="00533D70">
        <w:trPr>
          <w:trHeight w:val="315"/>
        </w:trPr>
        <w:tc>
          <w:tcPr>
            <w:tcW w:w="1600" w:type="dxa"/>
            <w:vMerge/>
            <w:tcBorders>
              <w:top w:val="nil"/>
              <w:left w:val="nil"/>
              <w:bottom w:val="single" w:sz="4" w:space="0" w:color="000000"/>
              <w:right w:val="single" w:sz="4" w:space="0" w:color="auto"/>
            </w:tcBorders>
            <w:vAlign w:val="center"/>
            <w:hideMark/>
          </w:tcPr>
          <w:p w14:paraId="42E4B2C9"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5AABAA93"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Cost Burden ($)</w:t>
            </w:r>
          </w:p>
        </w:tc>
        <w:tc>
          <w:tcPr>
            <w:tcW w:w="1420" w:type="dxa"/>
            <w:tcBorders>
              <w:top w:val="nil"/>
              <w:left w:val="nil"/>
              <w:bottom w:val="single" w:sz="4" w:space="0" w:color="auto"/>
              <w:right w:val="single" w:sz="4" w:space="0" w:color="auto"/>
            </w:tcBorders>
            <w:shd w:val="clear" w:color="auto" w:fill="auto"/>
            <w:vAlign w:val="center"/>
            <w:hideMark/>
          </w:tcPr>
          <w:p w14:paraId="06BBB647"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$694,229.33</w:t>
            </w:r>
          </w:p>
        </w:tc>
        <w:tc>
          <w:tcPr>
            <w:tcW w:w="1160" w:type="dxa"/>
            <w:tcBorders>
              <w:top w:val="nil"/>
              <w:left w:val="nil"/>
              <w:bottom w:val="single" w:sz="4" w:space="0" w:color="auto"/>
              <w:right w:val="single" w:sz="4" w:space="0" w:color="auto"/>
            </w:tcBorders>
            <w:shd w:val="clear" w:color="auto" w:fill="auto"/>
            <w:vAlign w:val="center"/>
            <w:hideMark/>
          </w:tcPr>
          <w:p w14:paraId="6A4C7258"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w:t>
            </w:r>
          </w:p>
        </w:tc>
        <w:tc>
          <w:tcPr>
            <w:tcW w:w="1300" w:type="dxa"/>
            <w:tcBorders>
              <w:top w:val="nil"/>
              <w:left w:val="nil"/>
              <w:bottom w:val="single" w:sz="4" w:space="0" w:color="auto"/>
              <w:right w:val="single" w:sz="4" w:space="0" w:color="auto"/>
            </w:tcBorders>
            <w:shd w:val="clear" w:color="auto" w:fill="auto"/>
            <w:vAlign w:val="center"/>
            <w:hideMark/>
          </w:tcPr>
          <w:p w14:paraId="11CB8EC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49316F50"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$694,229.33</w:t>
            </w:r>
          </w:p>
        </w:tc>
      </w:tr>
      <w:tr w:rsidR="00533D70" w:rsidRPr="00533D70" w14:paraId="0B162B45" w14:textId="77777777" w:rsidTr="00533D70">
        <w:trPr>
          <w:trHeight w:val="630"/>
        </w:trPr>
        <w:tc>
          <w:tcPr>
            <w:tcW w:w="1600" w:type="dxa"/>
            <w:vMerge w:val="restart"/>
            <w:tcBorders>
              <w:top w:val="nil"/>
              <w:left w:val="nil"/>
              <w:bottom w:val="single" w:sz="4" w:space="0" w:color="000000"/>
              <w:right w:val="single" w:sz="4" w:space="0" w:color="auto"/>
            </w:tcBorders>
            <w:shd w:val="clear" w:color="auto" w:fill="auto"/>
            <w:vAlign w:val="bottom"/>
            <w:hideMark/>
          </w:tcPr>
          <w:p w14:paraId="6C8DFFA3"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FERC-3Q gas</w:t>
            </w:r>
          </w:p>
        </w:tc>
        <w:tc>
          <w:tcPr>
            <w:tcW w:w="1680" w:type="dxa"/>
            <w:tcBorders>
              <w:top w:val="nil"/>
              <w:left w:val="nil"/>
              <w:bottom w:val="single" w:sz="4" w:space="0" w:color="auto"/>
              <w:right w:val="single" w:sz="4" w:space="0" w:color="auto"/>
            </w:tcBorders>
            <w:shd w:val="clear" w:color="auto" w:fill="auto"/>
            <w:vAlign w:val="center"/>
            <w:hideMark/>
          </w:tcPr>
          <w:p w14:paraId="1E950089"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Number of Responses</w:t>
            </w:r>
          </w:p>
        </w:tc>
        <w:tc>
          <w:tcPr>
            <w:tcW w:w="1420" w:type="dxa"/>
            <w:tcBorders>
              <w:top w:val="nil"/>
              <w:left w:val="nil"/>
              <w:bottom w:val="single" w:sz="4" w:space="0" w:color="auto"/>
              <w:right w:val="single" w:sz="4" w:space="0" w:color="auto"/>
            </w:tcBorders>
            <w:shd w:val="clear" w:color="auto" w:fill="auto"/>
            <w:vAlign w:val="center"/>
            <w:hideMark/>
          </w:tcPr>
          <w:p w14:paraId="5542460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495</w:t>
            </w:r>
          </w:p>
        </w:tc>
        <w:tc>
          <w:tcPr>
            <w:tcW w:w="1160" w:type="dxa"/>
            <w:tcBorders>
              <w:top w:val="nil"/>
              <w:left w:val="nil"/>
              <w:bottom w:val="single" w:sz="4" w:space="0" w:color="auto"/>
              <w:right w:val="single" w:sz="4" w:space="0" w:color="auto"/>
            </w:tcBorders>
            <w:shd w:val="clear" w:color="auto" w:fill="auto"/>
            <w:vAlign w:val="center"/>
            <w:hideMark/>
          </w:tcPr>
          <w:p w14:paraId="6A859EE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501</w:t>
            </w:r>
          </w:p>
        </w:tc>
        <w:tc>
          <w:tcPr>
            <w:tcW w:w="1300" w:type="dxa"/>
            <w:tcBorders>
              <w:top w:val="nil"/>
              <w:left w:val="nil"/>
              <w:bottom w:val="single" w:sz="4" w:space="0" w:color="auto"/>
              <w:right w:val="single" w:sz="4" w:space="0" w:color="auto"/>
            </w:tcBorders>
            <w:shd w:val="clear" w:color="auto" w:fill="auto"/>
            <w:vAlign w:val="center"/>
            <w:hideMark/>
          </w:tcPr>
          <w:p w14:paraId="232F249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-6.000</w:t>
            </w:r>
          </w:p>
        </w:tc>
        <w:tc>
          <w:tcPr>
            <w:tcW w:w="2100" w:type="dxa"/>
            <w:tcBorders>
              <w:top w:val="nil"/>
              <w:left w:val="nil"/>
              <w:bottom w:val="single" w:sz="4" w:space="0" w:color="auto"/>
              <w:right w:val="single" w:sz="4" w:space="0" w:color="auto"/>
            </w:tcBorders>
            <w:shd w:val="clear" w:color="auto" w:fill="auto"/>
            <w:vAlign w:val="center"/>
            <w:hideMark/>
          </w:tcPr>
          <w:p w14:paraId="629BB907"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r>
      <w:tr w:rsidR="00533D70" w:rsidRPr="00533D70" w14:paraId="27CFB583" w14:textId="77777777" w:rsidTr="00533D70">
        <w:trPr>
          <w:trHeight w:val="630"/>
        </w:trPr>
        <w:tc>
          <w:tcPr>
            <w:tcW w:w="1600" w:type="dxa"/>
            <w:vMerge/>
            <w:tcBorders>
              <w:top w:val="nil"/>
              <w:left w:val="nil"/>
              <w:bottom w:val="single" w:sz="4" w:space="0" w:color="000000"/>
              <w:right w:val="single" w:sz="4" w:space="0" w:color="auto"/>
            </w:tcBorders>
            <w:vAlign w:val="center"/>
            <w:hideMark/>
          </w:tcPr>
          <w:p w14:paraId="6C86B4DB"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06D517A5"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Time Burden (Hr.)</w:t>
            </w:r>
          </w:p>
        </w:tc>
        <w:tc>
          <w:tcPr>
            <w:tcW w:w="1420" w:type="dxa"/>
            <w:tcBorders>
              <w:top w:val="nil"/>
              <w:left w:val="nil"/>
              <w:bottom w:val="single" w:sz="4" w:space="0" w:color="auto"/>
              <w:right w:val="single" w:sz="4" w:space="0" w:color="auto"/>
            </w:tcBorders>
            <w:shd w:val="clear" w:color="auto" w:fill="auto"/>
            <w:vAlign w:val="center"/>
            <w:hideMark/>
          </w:tcPr>
          <w:p w14:paraId="37F8BF94"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83,667</w:t>
            </w:r>
          </w:p>
        </w:tc>
        <w:tc>
          <w:tcPr>
            <w:tcW w:w="1160" w:type="dxa"/>
            <w:tcBorders>
              <w:top w:val="nil"/>
              <w:left w:val="nil"/>
              <w:bottom w:val="single" w:sz="4" w:space="0" w:color="auto"/>
              <w:right w:val="single" w:sz="4" w:space="0" w:color="auto"/>
            </w:tcBorders>
            <w:shd w:val="clear" w:color="auto" w:fill="auto"/>
            <w:vAlign w:val="center"/>
            <w:hideMark/>
          </w:tcPr>
          <w:p w14:paraId="5CDA51CD"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83,667</w:t>
            </w:r>
          </w:p>
        </w:tc>
        <w:tc>
          <w:tcPr>
            <w:tcW w:w="1300" w:type="dxa"/>
            <w:tcBorders>
              <w:top w:val="nil"/>
              <w:left w:val="nil"/>
              <w:bottom w:val="single" w:sz="4" w:space="0" w:color="auto"/>
              <w:right w:val="single" w:sz="4" w:space="0" w:color="auto"/>
            </w:tcBorders>
            <w:shd w:val="clear" w:color="auto" w:fill="auto"/>
            <w:vAlign w:val="center"/>
            <w:hideMark/>
          </w:tcPr>
          <w:p w14:paraId="3E8118CA"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79A0C5C3"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0.000</w:t>
            </w:r>
          </w:p>
        </w:tc>
      </w:tr>
      <w:tr w:rsidR="00533D70" w:rsidRPr="00533D70" w14:paraId="2D74E08E" w14:textId="77777777" w:rsidTr="00533D70">
        <w:trPr>
          <w:trHeight w:val="315"/>
        </w:trPr>
        <w:tc>
          <w:tcPr>
            <w:tcW w:w="1600" w:type="dxa"/>
            <w:vMerge/>
            <w:tcBorders>
              <w:top w:val="nil"/>
              <w:left w:val="nil"/>
              <w:bottom w:val="single" w:sz="4" w:space="0" w:color="000000"/>
              <w:right w:val="single" w:sz="4" w:space="0" w:color="auto"/>
            </w:tcBorders>
            <w:vAlign w:val="center"/>
            <w:hideMark/>
          </w:tcPr>
          <w:p w14:paraId="66733D2D"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6DFED856"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Cost Burden ($)</w:t>
            </w:r>
          </w:p>
        </w:tc>
        <w:tc>
          <w:tcPr>
            <w:tcW w:w="1420" w:type="dxa"/>
            <w:tcBorders>
              <w:top w:val="nil"/>
              <w:left w:val="nil"/>
              <w:bottom w:val="single" w:sz="4" w:space="0" w:color="auto"/>
              <w:right w:val="single" w:sz="4" w:space="0" w:color="auto"/>
            </w:tcBorders>
            <w:shd w:val="clear" w:color="auto" w:fill="auto"/>
            <w:vAlign w:val="center"/>
            <w:hideMark/>
          </w:tcPr>
          <w:p w14:paraId="64BE5825"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$540,320.00</w:t>
            </w:r>
          </w:p>
        </w:tc>
        <w:tc>
          <w:tcPr>
            <w:tcW w:w="1160" w:type="dxa"/>
            <w:tcBorders>
              <w:top w:val="nil"/>
              <w:left w:val="nil"/>
              <w:bottom w:val="single" w:sz="4" w:space="0" w:color="auto"/>
              <w:right w:val="single" w:sz="4" w:space="0" w:color="auto"/>
            </w:tcBorders>
            <w:shd w:val="clear" w:color="auto" w:fill="auto"/>
            <w:vAlign w:val="center"/>
            <w:hideMark/>
          </w:tcPr>
          <w:p w14:paraId="75487BD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w:t>
            </w:r>
          </w:p>
        </w:tc>
        <w:tc>
          <w:tcPr>
            <w:tcW w:w="1300" w:type="dxa"/>
            <w:tcBorders>
              <w:top w:val="nil"/>
              <w:left w:val="nil"/>
              <w:bottom w:val="single" w:sz="4" w:space="0" w:color="auto"/>
              <w:right w:val="single" w:sz="4" w:space="0" w:color="auto"/>
            </w:tcBorders>
            <w:shd w:val="clear" w:color="auto" w:fill="auto"/>
            <w:vAlign w:val="center"/>
            <w:hideMark/>
          </w:tcPr>
          <w:p w14:paraId="78C4300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1974B5F3"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$540,320.00</w:t>
            </w:r>
          </w:p>
        </w:tc>
      </w:tr>
      <w:tr w:rsidR="00533D70" w:rsidRPr="00533D70" w14:paraId="7EDD0FC2" w14:textId="77777777" w:rsidTr="00533D70">
        <w:trPr>
          <w:trHeight w:val="630"/>
        </w:trPr>
        <w:tc>
          <w:tcPr>
            <w:tcW w:w="1600" w:type="dxa"/>
            <w:vMerge w:val="restart"/>
            <w:tcBorders>
              <w:top w:val="nil"/>
              <w:left w:val="nil"/>
              <w:bottom w:val="single" w:sz="4" w:space="0" w:color="000000"/>
              <w:right w:val="single" w:sz="4" w:space="0" w:color="auto"/>
            </w:tcBorders>
            <w:shd w:val="clear" w:color="auto" w:fill="auto"/>
            <w:vAlign w:val="bottom"/>
            <w:hideMark/>
          </w:tcPr>
          <w:p w14:paraId="77D760AE"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FERC-2</w:t>
            </w:r>
          </w:p>
        </w:tc>
        <w:tc>
          <w:tcPr>
            <w:tcW w:w="1680" w:type="dxa"/>
            <w:tcBorders>
              <w:top w:val="nil"/>
              <w:left w:val="nil"/>
              <w:bottom w:val="single" w:sz="4" w:space="0" w:color="auto"/>
              <w:right w:val="single" w:sz="4" w:space="0" w:color="auto"/>
            </w:tcBorders>
            <w:shd w:val="clear" w:color="auto" w:fill="auto"/>
            <w:vAlign w:val="center"/>
            <w:hideMark/>
          </w:tcPr>
          <w:p w14:paraId="1CA4DCCA"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Number of Responses</w:t>
            </w:r>
          </w:p>
        </w:tc>
        <w:tc>
          <w:tcPr>
            <w:tcW w:w="1420" w:type="dxa"/>
            <w:tcBorders>
              <w:top w:val="nil"/>
              <w:left w:val="nil"/>
              <w:bottom w:val="single" w:sz="4" w:space="0" w:color="auto"/>
              <w:right w:val="single" w:sz="4" w:space="0" w:color="auto"/>
            </w:tcBorders>
            <w:shd w:val="clear" w:color="auto" w:fill="auto"/>
            <w:vAlign w:val="center"/>
            <w:hideMark/>
          </w:tcPr>
          <w:p w14:paraId="7BB6E24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92</w:t>
            </w:r>
          </w:p>
        </w:tc>
        <w:tc>
          <w:tcPr>
            <w:tcW w:w="1160" w:type="dxa"/>
            <w:tcBorders>
              <w:top w:val="nil"/>
              <w:left w:val="nil"/>
              <w:bottom w:val="single" w:sz="4" w:space="0" w:color="auto"/>
              <w:right w:val="single" w:sz="4" w:space="0" w:color="auto"/>
            </w:tcBorders>
            <w:shd w:val="clear" w:color="auto" w:fill="auto"/>
            <w:vAlign w:val="center"/>
            <w:hideMark/>
          </w:tcPr>
          <w:p w14:paraId="3214E1FE"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92</w:t>
            </w:r>
          </w:p>
        </w:tc>
        <w:tc>
          <w:tcPr>
            <w:tcW w:w="1300" w:type="dxa"/>
            <w:tcBorders>
              <w:top w:val="nil"/>
              <w:left w:val="nil"/>
              <w:bottom w:val="single" w:sz="4" w:space="0" w:color="auto"/>
              <w:right w:val="single" w:sz="4" w:space="0" w:color="auto"/>
            </w:tcBorders>
            <w:shd w:val="clear" w:color="auto" w:fill="auto"/>
            <w:vAlign w:val="center"/>
            <w:hideMark/>
          </w:tcPr>
          <w:p w14:paraId="662E9953"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0.000</w:t>
            </w:r>
          </w:p>
        </w:tc>
        <w:tc>
          <w:tcPr>
            <w:tcW w:w="2100" w:type="dxa"/>
            <w:tcBorders>
              <w:top w:val="nil"/>
              <w:left w:val="nil"/>
              <w:bottom w:val="single" w:sz="4" w:space="0" w:color="auto"/>
              <w:right w:val="single" w:sz="4" w:space="0" w:color="auto"/>
            </w:tcBorders>
            <w:shd w:val="clear" w:color="auto" w:fill="auto"/>
            <w:vAlign w:val="center"/>
            <w:hideMark/>
          </w:tcPr>
          <w:p w14:paraId="24BCED01"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r>
      <w:tr w:rsidR="00533D70" w:rsidRPr="00533D70" w14:paraId="6DA75C9B" w14:textId="77777777" w:rsidTr="00533D70">
        <w:trPr>
          <w:trHeight w:val="630"/>
        </w:trPr>
        <w:tc>
          <w:tcPr>
            <w:tcW w:w="1600" w:type="dxa"/>
            <w:vMerge/>
            <w:tcBorders>
              <w:top w:val="nil"/>
              <w:left w:val="nil"/>
              <w:bottom w:val="single" w:sz="4" w:space="0" w:color="000000"/>
              <w:right w:val="single" w:sz="4" w:space="0" w:color="auto"/>
            </w:tcBorders>
            <w:vAlign w:val="center"/>
            <w:hideMark/>
          </w:tcPr>
          <w:p w14:paraId="01B281DD"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382C9C7B"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Time Burden (Hr.)</w:t>
            </w:r>
          </w:p>
        </w:tc>
        <w:tc>
          <w:tcPr>
            <w:tcW w:w="1420" w:type="dxa"/>
            <w:tcBorders>
              <w:top w:val="nil"/>
              <w:left w:val="nil"/>
              <w:bottom w:val="single" w:sz="4" w:space="0" w:color="auto"/>
              <w:right w:val="single" w:sz="4" w:space="0" w:color="auto"/>
            </w:tcBorders>
            <w:shd w:val="clear" w:color="auto" w:fill="auto"/>
            <w:vAlign w:val="center"/>
            <w:hideMark/>
          </w:tcPr>
          <w:p w14:paraId="227BE012"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153,793</w:t>
            </w:r>
          </w:p>
        </w:tc>
        <w:tc>
          <w:tcPr>
            <w:tcW w:w="1160" w:type="dxa"/>
            <w:tcBorders>
              <w:top w:val="nil"/>
              <w:left w:val="nil"/>
              <w:bottom w:val="single" w:sz="4" w:space="0" w:color="auto"/>
              <w:right w:val="single" w:sz="4" w:space="0" w:color="auto"/>
            </w:tcBorders>
            <w:shd w:val="clear" w:color="auto" w:fill="auto"/>
            <w:vAlign w:val="center"/>
            <w:hideMark/>
          </w:tcPr>
          <w:p w14:paraId="054FE4AA"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149,868</w:t>
            </w:r>
          </w:p>
        </w:tc>
        <w:tc>
          <w:tcPr>
            <w:tcW w:w="1300" w:type="dxa"/>
            <w:tcBorders>
              <w:top w:val="nil"/>
              <w:left w:val="nil"/>
              <w:bottom w:val="single" w:sz="4" w:space="0" w:color="auto"/>
              <w:right w:val="single" w:sz="4" w:space="0" w:color="auto"/>
            </w:tcBorders>
            <w:shd w:val="clear" w:color="auto" w:fill="auto"/>
            <w:vAlign w:val="center"/>
            <w:hideMark/>
          </w:tcPr>
          <w:p w14:paraId="6504043B"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6623274B"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3,925.330</w:t>
            </w:r>
          </w:p>
        </w:tc>
      </w:tr>
      <w:tr w:rsidR="00533D70" w:rsidRPr="00533D70" w14:paraId="52BA81FD" w14:textId="77777777" w:rsidTr="00533D70">
        <w:trPr>
          <w:trHeight w:val="315"/>
        </w:trPr>
        <w:tc>
          <w:tcPr>
            <w:tcW w:w="1600" w:type="dxa"/>
            <w:vMerge/>
            <w:tcBorders>
              <w:top w:val="nil"/>
              <w:left w:val="nil"/>
              <w:bottom w:val="single" w:sz="4" w:space="0" w:color="000000"/>
              <w:right w:val="single" w:sz="4" w:space="0" w:color="auto"/>
            </w:tcBorders>
            <w:vAlign w:val="center"/>
            <w:hideMark/>
          </w:tcPr>
          <w:p w14:paraId="4898A9E2"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23BA1B72"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Cost Burden ($)</w:t>
            </w:r>
          </w:p>
        </w:tc>
        <w:tc>
          <w:tcPr>
            <w:tcW w:w="1420" w:type="dxa"/>
            <w:tcBorders>
              <w:top w:val="nil"/>
              <w:left w:val="nil"/>
              <w:bottom w:val="single" w:sz="4" w:space="0" w:color="auto"/>
              <w:right w:val="single" w:sz="4" w:space="0" w:color="auto"/>
            </w:tcBorders>
            <w:shd w:val="clear" w:color="auto" w:fill="auto"/>
            <w:vAlign w:val="center"/>
            <w:hideMark/>
          </w:tcPr>
          <w:p w14:paraId="35BB9DC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$301,269.33</w:t>
            </w:r>
          </w:p>
        </w:tc>
        <w:tc>
          <w:tcPr>
            <w:tcW w:w="1160" w:type="dxa"/>
            <w:tcBorders>
              <w:top w:val="nil"/>
              <w:left w:val="nil"/>
              <w:bottom w:val="single" w:sz="4" w:space="0" w:color="auto"/>
              <w:right w:val="single" w:sz="4" w:space="0" w:color="auto"/>
            </w:tcBorders>
            <w:shd w:val="clear" w:color="auto" w:fill="auto"/>
            <w:vAlign w:val="center"/>
            <w:hideMark/>
          </w:tcPr>
          <w:p w14:paraId="79A1ED48"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w:t>
            </w:r>
          </w:p>
        </w:tc>
        <w:tc>
          <w:tcPr>
            <w:tcW w:w="1300" w:type="dxa"/>
            <w:tcBorders>
              <w:top w:val="nil"/>
              <w:left w:val="nil"/>
              <w:bottom w:val="single" w:sz="4" w:space="0" w:color="auto"/>
              <w:right w:val="single" w:sz="4" w:space="0" w:color="auto"/>
            </w:tcBorders>
            <w:shd w:val="clear" w:color="auto" w:fill="auto"/>
            <w:vAlign w:val="center"/>
            <w:hideMark/>
          </w:tcPr>
          <w:p w14:paraId="5418D040"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56FA1312"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$301,269.33</w:t>
            </w:r>
          </w:p>
        </w:tc>
      </w:tr>
      <w:tr w:rsidR="00533D70" w:rsidRPr="00533D70" w14:paraId="16995B51" w14:textId="77777777" w:rsidTr="00533D70">
        <w:trPr>
          <w:trHeight w:val="630"/>
        </w:trPr>
        <w:tc>
          <w:tcPr>
            <w:tcW w:w="1600" w:type="dxa"/>
            <w:vMerge w:val="restart"/>
            <w:tcBorders>
              <w:top w:val="nil"/>
              <w:left w:val="nil"/>
              <w:bottom w:val="single" w:sz="4" w:space="0" w:color="000000"/>
              <w:right w:val="single" w:sz="4" w:space="0" w:color="auto"/>
            </w:tcBorders>
            <w:shd w:val="clear" w:color="auto" w:fill="auto"/>
            <w:vAlign w:val="bottom"/>
            <w:hideMark/>
          </w:tcPr>
          <w:p w14:paraId="5819A8B1"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FERC-2A</w:t>
            </w:r>
          </w:p>
        </w:tc>
        <w:tc>
          <w:tcPr>
            <w:tcW w:w="1680" w:type="dxa"/>
            <w:tcBorders>
              <w:top w:val="nil"/>
              <w:left w:val="nil"/>
              <w:bottom w:val="single" w:sz="4" w:space="0" w:color="auto"/>
              <w:right w:val="single" w:sz="4" w:space="0" w:color="auto"/>
            </w:tcBorders>
            <w:shd w:val="clear" w:color="auto" w:fill="auto"/>
            <w:vAlign w:val="center"/>
            <w:hideMark/>
          </w:tcPr>
          <w:p w14:paraId="6B6969B6"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Number of Responses</w:t>
            </w:r>
          </w:p>
        </w:tc>
        <w:tc>
          <w:tcPr>
            <w:tcW w:w="1420" w:type="dxa"/>
            <w:tcBorders>
              <w:top w:val="nil"/>
              <w:left w:val="nil"/>
              <w:bottom w:val="single" w:sz="4" w:space="0" w:color="auto"/>
              <w:right w:val="single" w:sz="4" w:space="0" w:color="auto"/>
            </w:tcBorders>
            <w:shd w:val="clear" w:color="auto" w:fill="auto"/>
            <w:vAlign w:val="center"/>
            <w:hideMark/>
          </w:tcPr>
          <w:p w14:paraId="46095C0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73</w:t>
            </w:r>
          </w:p>
        </w:tc>
        <w:tc>
          <w:tcPr>
            <w:tcW w:w="1160" w:type="dxa"/>
            <w:tcBorders>
              <w:top w:val="nil"/>
              <w:left w:val="nil"/>
              <w:bottom w:val="single" w:sz="4" w:space="0" w:color="auto"/>
              <w:right w:val="single" w:sz="4" w:space="0" w:color="auto"/>
            </w:tcBorders>
            <w:shd w:val="clear" w:color="auto" w:fill="auto"/>
            <w:vAlign w:val="center"/>
            <w:hideMark/>
          </w:tcPr>
          <w:p w14:paraId="701C94EA"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66</w:t>
            </w:r>
          </w:p>
        </w:tc>
        <w:tc>
          <w:tcPr>
            <w:tcW w:w="1300" w:type="dxa"/>
            <w:tcBorders>
              <w:top w:val="nil"/>
              <w:left w:val="nil"/>
              <w:bottom w:val="single" w:sz="4" w:space="0" w:color="auto"/>
              <w:right w:val="single" w:sz="4" w:space="0" w:color="auto"/>
            </w:tcBorders>
            <w:shd w:val="clear" w:color="auto" w:fill="auto"/>
            <w:vAlign w:val="center"/>
            <w:hideMark/>
          </w:tcPr>
          <w:p w14:paraId="1389D86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7.000</w:t>
            </w:r>
          </w:p>
        </w:tc>
        <w:tc>
          <w:tcPr>
            <w:tcW w:w="2100" w:type="dxa"/>
            <w:tcBorders>
              <w:top w:val="nil"/>
              <w:left w:val="nil"/>
              <w:bottom w:val="single" w:sz="4" w:space="0" w:color="auto"/>
              <w:right w:val="single" w:sz="4" w:space="0" w:color="auto"/>
            </w:tcBorders>
            <w:shd w:val="clear" w:color="auto" w:fill="auto"/>
            <w:vAlign w:val="center"/>
            <w:hideMark/>
          </w:tcPr>
          <w:p w14:paraId="2A40E4E1"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r>
      <w:tr w:rsidR="00533D70" w:rsidRPr="00533D70" w14:paraId="60C6F448" w14:textId="77777777" w:rsidTr="00533D70">
        <w:trPr>
          <w:trHeight w:val="630"/>
        </w:trPr>
        <w:tc>
          <w:tcPr>
            <w:tcW w:w="1600" w:type="dxa"/>
            <w:vMerge/>
            <w:tcBorders>
              <w:top w:val="nil"/>
              <w:left w:val="nil"/>
              <w:bottom w:val="single" w:sz="4" w:space="0" w:color="000000"/>
              <w:right w:val="single" w:sz="4" w:space="0" w:color="auto"/>
            </w:tcBorders>
            <w:vAlign w:val="center"/>
            <w:hideMark/>
          </w:tcPr>
          <w:p w14:paraId="1450E228"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7E00E70D"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Time Burden (Hr.)</w:t>
            </w:r>
          </w:p>
        </w:tc>
        <w:tc>
          <w:tcPr>
            <w:tcW w:w="1420" w:type="dxa"/>
            <w:tcBorders>
              <w:top w:val="nil"/>
              <w:left w:val="nil"/>
              <w:bottom w:val="single" w:sz="4" w:space="0" w:color="auto"/>
              <w:right w:val="single" w:sz="4" w:space="0" w:color="auto"/>
            </w:tcBorders>
            <w:shd w:val="clear" w:color="auto" w:fill="auto"/>
            <w:vAlign w:val="center"/>
            <w:hideMark/>
          </w:tcPr>
          <w:p w14:paraId="03ACEBB7"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19,839</w:t>
            </w:r>
          </w:p>
        </w:tc>
        <w:tc>
          <w:tcPr>
            <w:tcW w:w="1160" w:type="dxa"/>
            <w:tcBorders>
              <w:top w:val="nil"/>
              <w:left w:val="nil"/>
              <w:bottom w:val="single" w:sz="4" w:space="0" w:color="auto"/>
              <w:right w:val="single" w:sz="4" w:space="0" w:color="auto"/>
            </w:tcBorders>
            <w:shd w:val="clear" w:color="auto" w:fill="auto"/>
            <w:vAlign w:val="center"/>
            <w:hideMark/>
          </w:tcPr>
          <w:p w14:paraId="1BDB870D"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16,724</w:t>
            </w:r>
          </w:p>
        </w:tc>
        <w:tc>
          <w:tcPr>
            <w:tcW w:w="1300" w:type="dxa"/>
            <w:tcBorders>
              <w:top w:val="nil"/>
              <w:left w:val="nil"/>
              <w:bottom w:val="single" w:sz="4" w:space="0" w:color="auto"/>
              <w:right w:val="single" w:sz="4" w:space="0" w:color="auto"/>
            </w:tcBorders>
            <w:shd w:val="clear" w:color="auto" w:fill="auto"/>
            <w:vAlign w:val="center"/>
            <w:hideMark/>
          </w:tcPr>
          <w:p w14:paraId="4FD8C0B5"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4965C86E"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3,114.666</w:t>
            </w:r>
          </w:p>
        </w:tc>
      </w:tr>
      <w:tr w:rsidR="00533D70" w:rsidRPr="00533D70" w14:paraId="314E78FD" w14:textId="77777777" w:rsidTr="00533D70">
        <w:trPr>
          <w:trHeight w:val="315"/>
        </w:trPr>
        <w:tc>
          <w:tcPr>
            <w:tcW w:w="1600" w:type="dxa"/>
            <w:vMerge/>
            <w:tcBorders>
              <w:top w:val="nil"/>
              <w:left w:val="nil"/>
              <w:bottom w:val="single" w:sz="4" w:space="0" w:color="000000"/>
              <w:right w:val="single" w:sz="4" w:space="0" w:color="auto"/>
            </w:tcBorders>
            <w:vAlign w:val="center"/>
            <w:hideMark/>
          </w:tcPr>
          <w:p w14:paraId="4B966392"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6376A3B7"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Cost Burden ($)</w:t>
            </w:r>
          </w:p>
        </w:tc>
        <w:tc>
          <w:tcPr>
            <w:tcW w:w="1420" w:type="dxa"/>
            <w:tcBorders>
              <w:top w:val="nil"/>
              <w:left w:val="nil"/>
              <w:bottom w:val="single" w:sz="4" w:space="0" w:color="auto"/>
              <w:right w:val="single" w:sz="4" w:space="0" w:color="auto"/>
            </w:tcBorders>
            <w:shd w:val="clear" w:color="auto" w:fill="auto"/>
            <w:vAlign w:val="center"/>
            <w:hideMark/>
          </w:tcPr>
          <w:p w14:paraId="59738EDA"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$239,050.67</w:t>
            </w:r>
          </w:p>
        </w:tc>
        <w:tc>
          <w:tcPr>
            <w:tcW w:w="1160" w:type="dxa"/>
            <w:tcBorders>
              <w:top w:val="nil"/>
              <w:left w:val="nil"/>
              <w:bottom w:val="single" w:sz="4" w:space="0" w:color="auto"/>
              <w:right w:val="single" w:sz="4" w:space="0" w:color="auto"/>
            </w:tcBorders>
            <w:shd w:val="clear" w:color="auto" w:fill="auto"/>
            <w:vAlign w:val="center"/>
            <w:hideMark/>
          </w:tcPr>
          <w:p w14:paraId="413C2633"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w:t>
            </w:r>
          </w:p>
        </w:tc>
        <w:tc>
          <w:tcPr>
            <w:tcW w:w="1300" w:type="dxa"/>
            <w:tcBorders>
              <w:top w:val="nil"/>
              <w:left w:val="nil"/>
              <w:bottom w:val="single" w:sz="4" w:space="0" w:color="auto"/>
              <w:right w:val="single" w:sz="4" w:space="0" w:color="auto"/>
            </w:tcBorders>
            <w:shd w:val="clear" w:color="auto" w:fill="auto"/>
            <w:vAlign w:val="center"/>
            <w:hideMark/>
          </w:tcPr>
          <w:p w14:paraId="3B9246AC"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75AE0DA5"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$239,050.67</w:t>
            </w:r>
          </w:p>
        </w:tc>
      </w:tr>
      <w:tr w:rsidR="00533D70" w:rsidRPr="00533D70" w14:paraId="74437A98" w14:textId="77777777" w:rsidTr="00533D70">
        <w:trPr>
          <w:trHeight w:val="630"/>
        </w:trPr>
        <w:tc>
          <w:tcPr>
            <w:tcW w:w="1600" w:type="dxa"/>
            <w:vMerge w:val="restart"/>
            <w:tcBorders>
              <w:top w:val="nil"/>
              <w:left w:val="nil"/>
              <w:bottom w:val="single" w:sz="4" w:space="0" w:color="000000"/>
              <w:right w:val="single" w:sz="4" w:space="0" w:color="auto"/>
            </w:tcBorders>
            <w:shd w:val="clear" w:color="auto" w:fill="auto"/>
            <w:vAlign w:val="bottom"/>
            <w:hideMark/>
          </w:tcPr>
          <w:p w14:paraId="2A845A1A"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FERC-6</w:t>
            </w:r>
          </w:p>
        </w:tc>
        <w:tc>
          <w:tcPr>
            <w:tcW w:w="1680" w:type="dxa"/>
            <w:tcBorders>
              <w:top w:val="nil"/>
              <w:left w:val="nil"/>
              <w:bottom w:val="single" w:sz="4" w:space="0" w:color="auto"/>
              <w:right w:val="single" w:sz="4" w:space="0" w:color="auto"/>
            </w:tcBorders>
            <w:shd w:val="clear" w:color="auto" w:fill="auto"/>
            <w:vAlign w:val="center"/>
            <w:hideMark/>
          </w:tcPr>
          <w:p w14:paraId="32816945"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Number of Responses</w:t>
            </w:r>
          </w:p>
        </w:tc>
        <w:tc>
          <w:tcPr>
            <w:tcW w:w="1420" w:type="dxa"/>
            <w:tcBorders>
              <w:top w:val="nil"/>
              <w:left w:val="nil"/>
              <w:bottom w:val="single" w:sz="4" w:space="0" w:color="auto"/>
              <w:right w:val="single" w:sz="4" w:space="0" w:color="auto"/>
            </w:tcBorders>
            <w:shd w:val="clear" w:color="auto" w:fill="auto"/>
            <w:vAlign w:val="center"/>
            <w:hideMark/>
          </w:tcPr>
          <w:p w14:paraId="29B03D08"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244</w:t>
            </w:r>
          </w:p>
        </w:tc>
        <w:tc>
          <w:tcPr>
            <w:tcW w:w="1160" w:type="dxa"/>
            <w:tcBorders>
              <w:top w:val="nil"/>
              <w:left w:val="nil"/>
              <w:bottom w:val="single" w:sz="4" w:space="0" w:color="auto"/>
              <w:right w:val="single" w:sz="4" w:space="0" w:color="auto"/>
            </w:tcBorders>
            <w:shd w:val="clear" w:color="auto" w:fill="auto"/>
            <w:vAlign w:val="center"/>
            <w:hideMark/>
          </w:tcPr>
          <w:p w14:paraId="692221E3"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198</w:t>
            </w:r>
          </w:p>
        </w:tc>
        <w:tc>
          <w:tcPr>
            <w:tcW w:w="1300" w:type="dxa"/>
            <w:tcBorders>
              <w:top w:val="nil"/>
              <w:left w:val="nil"/>
              <w:bottom w:val="single" w:sz="4" w:space="0" w:color="auto"/>
              <w:right w:val="single" w:sz="4" w:space="0" w:color="auto"/>
            </w:tcBorders>
            <w:shd w:val="clear" w:color="auto" w:fill="auto"/>
            <w:vAlign w:val="center"/>
            <w:hideMark/>
          </w:tcPr>
          <w:p w14:paraId="5D7AF454"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46.000</w:t>
            </w:r>
          </w:p>
        </w:tc>
        <w:tc>
          <w:tcPr>
            <w:tcW w:w="2100" w:type="dxa"/>
            <w:tcBorders>
              <w:top w:val="nil"/>
              <w:left w:val="nil"/>
              <w:bottom w:val="single" w:sz="4" w:space="0" w:color="auto"/>
              <w:right w:val="single" w:sz="4" w:space="0" w:color="auto"/>
            </w:tcBorders>
            <w:shd w:val="clear" w:color="auto" w:fill="auto"/>
            <w:vAlign w:val="center"/>
            <w:hideMark/>
          </w:tcPr>
          <w:p w14:paraId="50FC25D0"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r>
      <w:tr w:rsidR="00533D70" w:rsidRPr="00533D70" w14:paraId="52037040" w14:textId="77777777" w:rsidTr="00533D70">
        <w:trPr>
          <w:trHeight w:val="630"/>
        </w:trPr>
        <w:tc>
          <w:tcPr>
            <w:tcW w:w="1600" w:type="dxa"/>
            <w:vMerge/>
            <w:tcBorders>
              <w:top w:val="nil"/>
              <w:left w:val="nil"/>
              <w:bottom w:val="single" w:sz="4" w:space="0" w:color="000000"/>
              <w:right w:val="single" w:sz="4" w:space="0" w:color="auto"/>
            </w:tcBorders>
            <w:vAlign w:val="center"/>
            <w:hideMark/>
          </w:tcPr>
          <w:p w14:paraId="5BC317D9"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6676B8C5"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Time Burden (Hr.)</w:t>
            </w:r>
          </w:p>
        </w:tc>
        <w:tc>
          <w:tcPr>
            <w:tcW w:w="1420" w:type="dxa"/>
            <w:tcBorders>
              <w:top w:val="nil"/>
              <w:left w:val="nil"/>
              <w:bottom w:val="single" w:sz="4" w:space="0" w:color="auto"/>
              <w:right w:val="single" w:sz="4" w:space="0" w:color="auto"/>
            </w:tcBorders>
            <w:shd w:val="clear" w:color="auto" w:fill="auto"/>
            <w:vAlign w:val="center"/>
            <w:hideMark/>
          </w:tcPr>
          <w:p w14:paraId="739B4EB5"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42,289</w:t>
            </w:r>
          </w:p>
        </w:tc>
        <w:tc>
          <w:tcPr>
            <w:tcW w:w="1160" w:type="dxa"/>
            <w:tcBorders>
              <w:top w:val="nil"/>
              <w:left w:val="nil"/>
              <w:bottom w:val="single" w:sz="4" w:space="0" w:color="auto"/>
              <w:right w:val="single" w:sz="4" w:space="0" w:color="auto"/>
            </w:tcBorders>
            <w:shd w:val="clear" w:color="auto" w:fill="auto"/>
            <w:vAlign w:val="center"/>
            <w:hideMark/>
          </w:tcPr>
          <w:p w14:paraId="28275A3C"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31,878</w:t>
            </w:r>
          </w:p>
        </w:tc>
        <w:tc>
          <w:tcPr>
            <w:tcW w:w="1300" w:type="dxa"/>
            <w:tcBorders>
              <w:top w:val="nil"/>
              <w:left w:val="nil"/>
              <w:bottom w:val="single" w:sz="4" w:space="0" w:color="auto"/>
              <w:right w:val="single" w:sz="4" w:space="0" w:color="auto"/>
            </w:tcBorders>
            <w:shd w:val="clear" w:color="auto" w:fill="auto"/>
            <w:vAlign w:val="center"/>
            <w:hideMark/>
          </w:tcPr>
          <w:p w14:paraId="08BD799B"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67EEDF8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10,410.667</w:t>
            </w:r>
          </w:p>
        </w:tc>
      </w:tr>
      <w:tr w:rsidR="00533D70" w:rsidRPr="00533D70" w14:paraId="71E76386" w14:textId="77777777" w:rsidTr="00533D70">
        <w:trPr>
          <w:trHeight w:val="315"/>
        </w:trPr>
        <w:tc>
          <w:tcPr>
            <w:tcW w:w="1600" w:type="dxa"/>
            <w:vMerge/>
            <w:tcBorders>
              <w:top w:val="nil"/>
              <w:left w:val="nil"/>
              <w:bottom w:val="single" w:sz="4" w:space="0" w:color="000000"/>
              <w:right w:val="single" w:sz="4" w:space="0" w:color="auto"/>
            </w:tcBorders>
            <w:vAlign w:val="center"/>
            <w:hideMark/>
          </w:tcPr>
          <w:p w14:paraId="68F63864"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48DE38CF"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Cost Burden ($)</w:t>
            </w:r>
          </w:p>
        </w:tc>
        <w:tc>
          <w:tcPr>
            <w:tcW w:w="1420" w:type="dxa"/>
            <w:tcBorders>
              <w:top w:val="nil"/>
              <w:left w:val="nil"/>
              <w:bottom w:val="single" w:sz="4" w:space="0" w:color="auto"/>
              <w:right w:val="single" w:sz="4" w:space="0" w:color="auto"/>
            </w:tcBorders>
            <w:shd w:val="clear" w:color="auto" w:fill="auto"/>
            <w:vAlign w:val="center"/>
            <w:hideMark/>
          </w:tcPr>
          <w:p w14:paraId="103626E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$799,018.67</w:t>
            </w:r>
          </w:p>
        </w:tc>
        <w:tc>
          <w:tcPr>
            <w:tcW w:w="1160" w:type="dxa"/>
            <w:tcBorders>
              <w:top w:val="nil"/>
              <w:left w:val="nil"/>
              <w:bottom w:val="single" w:sz="4" w:space="0" w:color="auto"/>
              <w:right w:val="single" w:sz="4" w:space="0" w:color="auto"/>
            </w:tcBorders>
            <w:shd w:val="clear" w:color="auto" w:fill="auto"/>
            <w:vAlign w:val="center"/>
            <w:hideMark/>
          </w:tcPr>
          <w:p w14:paraId="0880481D"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w:t>
            </w:r>
          </w:p>
        </w:tc>
        <w:tc>
          <w:tcPr>
            <w:tcW w:w="1300" w:type="dxa"/>
            <w:tcBorders>
              <w:top w:val="nil"/>
              <w:left w:val="nil"/>
              <w:bottom w:val="single" w:sz="4" w:space="0" w:color="auto"/>
              <w:right w:val="single" w:sz="4" w:space="0" w:color="auto"/>
            </w:tcBorders>
            <w:shd w:val="clear" w:color="auto" w:fill="auto"/>
            <w:vAlign w:val="center"/>
            <w:hideMark/>
          </w:tcPr>
          <w:p w14:paraId="3C5B373C"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1262C334"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$799,018.67</w:t>
            </w:r>
          </w:p>
        </w:tc>
      </w:tr>
      <w:tr w:rsidR="00533D70" w:rsidRPr="00533D70" w14:paraId="7A1A27C8" w14:textId="77777777" w:rsidTr="00533D70">
        <w:trPr>
          <w:trHeight w:val="630"/>
        </w:trPr>
        <w:tc>
          <w:tcPr>
            <w:tcW w:w="1600" w:type="dxa"/>
            <w:vMerge w:val="restart"/>
            <w:tcBorders>
              <w:top w:val="nil"/>
              <w:left w:val="nil"/>
              <w:bottom w:val="single" w:sz="4" w:space="0" w:color="000000"/>
              <w:right w:val="single" w:sz="4" w:space="0" w:color="auto"/>
            </w:tcBorders>
            <w:shd w:val="clear" w:color="auto" w:fill="auto"/>
            <w:vAlign w:val="bottom"/>
            <w:hideMark/>
          </w:tcPr>
          <w:p w14:paraId="54E21060"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FERC-6Q</w:t>
            </w:r>
          </w:p>
        </w:tc>
        <w:tc>
          <w:tcPr>
            <w:tcW w:w="1680" w:type="dxa"/>
            <w:tcBorders>
              <w:top w:val="nil"/>
              <w:left w:val="nil"/>
              <w:bottom w:val="single" w:sz="4" w:space="0" w:color="auto"/>
              <w:right w:val="single" w:sz="4" w:space="0" w:color="auto"/>
            </w:tcBorders>
            <w:shd w:val="clear" w:color="auto" w:fill="auto"/>
            <w:vAlign w:val="center"/>
            <w:hideMark/>
          </w:tcPr>
          <w:p w14:paraId="7F9B2716"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Number of Responses</w:t>
            </w:r>
          </w:p>
        </w:tc>
        <w:tc>
          <w:tcPr>
            <w:tcW w:w="1420" w:type="dxa"/>
            <w:tcBorders>
              <w:top w:val="nil"/>
              <w:left w:val="nil"/>
              <w:bottom w:val="single" w:sz="4" w:space="0" w:color="auto"/>
              <w:right w:val="single" w:sz="4" w:space="0" w:color="auto"/>
            </w:tcBorders>
            <w:shd w:val="clear" w:color="auto" w:fill="auto"/>
            <w:vAlign w:val="center"/>
            <w:hideMark/>
          </w:tcPr>
          <w:p w14:paraId="7E376CA0"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732</w:t>
            </w:r>
          </w:p>
        </w:tc>
        <w:tc>
          <w:tcPr>
            <w:tcW w:w="1160" w:type="dxa"/>
            <w:tcBorders>
              <w:top w:val="nil"/>
              <w:left w:val="nil"/>
              <w:bottom w:val="single" w:sz="4" w:space="0" w:color="auto"/>
              <w:right w:val="single" w:sz="4" w:space="0" w:color="auto"/>
            </w:tcBorders>
            <w:shd w:val="clear" w:color="auto" w:fill="auto"/>
            <w:vAlign w:val="center"/>
            <w:hideMark/>
          </w:tcPr>
          <w:p w14:paraId="2F4F3D3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525</w:t>
            </w:r>
          </w:p>
        </w:tc>
        <w:tc>
          <w:tcPr>
            <w:tcW w:w="1300" w:type="dxa"/>
            <w:tcBorders>
              <w:top w:val="nil"/>
              <w:left w:val="nil"/>
              <w:bottom w:val="single" w:sz="4" w:space="0" w:color="auto"/>
              <w:right w:val="single" w:sz="4" w:space="0" w:color="auto"/>
            </w:tcBorders>
            <w:shd w:val="clear" w:color="auto" w:fill="auto"/>
            <w:vAlign w:val="center"/>
            <w:hideMark/>
          </w:tcPr>
          <w:p w14:paraId="0DEC7A5E"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207.000</w:t>
            </w:r>
          </w:p>
        </w:tc>
        <w:tc>
          <w:tcPr>
            <w:tcW w:w="2100" w:type="dxa"/>
            <w:tcBorders>
              <w:top w:val="nil"/>
              <w:left w:val="nil"/>
              <w:bottom w:val="single" w:sz="4" w:space="0" w:color="auto"/>
              <w:right w:val="single" w:sz="4" w:space="0" w:color="auto"/>
            </w:tcBorders>
            <w:shd w:val="clear" w:color="auto" w:fill="auto"/>
            <w:vAlign w:val="center"/>
            <w:hideMark/>
          </w:tcPr>
          <w:p w14:paraId="441F26A4"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r>
      <w:tr w:rsidR="00533D70" w:rsidRPr="00533D70" w14:paraId="7CE21854" w14:textId="77777777" w:rsidTr="00533D70">
        <w:trPr>
          <w:trHeight w:val="630"/>
        </w:trPr>
        <w:tc>
          <w:tcPr>
            <w:tcW w:w="1600" w:type="dxa"/>
            <w:vMerge/>
            <w:tcBorders>
              <w:top w:val="nil"/>
              <w:left w:val="nil"/>
              <w:bottom w:val="single" w:sz="4" w:space="0" w:color="000000"/>
              <w:right w:val="single" w:sz="4" w:space="0" w:color="auto"/>
            </w:tcBorders>
            <w:vAlign w:val="center"/>
            <w:hideMark/>
          </w:tcPr>
          <w:p w14:paraId="58752B6D"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220FD389"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Time Burden (Hr.)</w:t>
            </w:r>
          </w:p>
        </w:tc>
        <w:tc>
          <w:tcPr>
            <w:tcW w:w="1420" w:type="dxa"/>
            <w:tcBorders>
              <w:top w:val="nil"/>
              <w:left w:val="nil"/>
              <w:bottom w:val="single" w:sz="4" w:space="0" w:color="auto"/>
              <w:right w:val="single" w:sz="4" w:space="0" w:color="auto"/>
            </w:tcBorders>
            <w:shd w:val="clear" w:color="auto" w:fill="auto"/>
            <w:vAlign w:val="center"/>
            <w:hideMark/>
          </w:tcPr>
          <w:p w14:paraId="5432E790"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78,750</w:t>
            </w:r>
          </w:p>
        </w:tc>
        <w:tc>
          <w:tcPr>
            <w:tcW w:w="1160" w:type="dxa"/>
            <w:tcBorders>
              <w:top w:val="nil"/>
              <w:left w:val="nil"/>
              <w:bottom w:val="single" w:sz="4" w:space="0" w:color="auto"/>
              <w:right w:val="single" w:sz="4" w:space="0" w:color="auto"/>
            </w:tcBorders>
            <w:shd w:val="clear" w:color="auto" w:fill="auto"/>
            <w:vAlign w:val="center"/>
            <w:hideMark/>
          </w:tcPr>
          <w:p w14:paraId="3FEA7360"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78,750</w:t>
            </w:r>
          </w:p>
        </w:tc>
        <w:tc>
          <w:tcPr>
            <w:tcW w:w="1300" w:type="dxa"/>
            <w:tcBorders>
              <w:top w:val="nil"/>
              <w:left w:val="nil"/>
              <w:bottom w:val="single" w:sz="4" w:space="0" w:color="auto"/>
              <w:right w:val="single" w:sz="4" w:space="0" w:color="auto"/>
            </w:tcBorders>
            <w:shd w:val="clear" w:color="auto" w:fill="auto"/>
            <w:vAlign w:val="center"/>
            <w:hideMark/>
          </w:tcPr>
          <w:p w14:paraId="20591194"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14041D3B"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0.000</w:t>
            </w:r>
          </w:p>
        </w:tc>
      </w:tr>
      <w:tr w:rsidR="00533D70" w:rsidRPr="00533D70" w14:paraId="256A3DC8" w14:textId="77777777" w:rsidTr="00533D70">
        <w:trPr>
          <w:trHeight w:val="465"/>
        </w:trPr>
        <w:tc>
          <w:tcPr>
            <w:tcW w:w="1600" w:type="dxa"/>
            <w:vMerge/>
            <w:tcBorders>
              <w:top w:val="nil"/>
              <w:left w:val="nil"/>
              <w:bottom w:val="single" w:sz="4" w:space="0" w:color="000000"/>
              <w:right w:val="single" w:sz="4" w:space="0" w:color="auto"/>
            </w:tcBorders>
            <w:vAlign w:val="center"/>
            <w:hideMark/>
          </w:tcPr>
          <w:p w14:paraId="08CC3BB1"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1E1A9B71"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Cost Burden ($)</w:t>
            </w:r>
          </w:p>
        </w:tc>
        <w:tc>
          <w:tcPr>
            <w:tcW w:w="1420" w:type="dxa"/>
            <w:tcBorders>
              <w:top w:val="nil"/>
              <w:left w:val="nil"/>
              <w:bottom w:val="single" w:sz="4" w:space="0" w:color="auto"/>
              <w:right w:val="single" w:sz="4" w:space="0" w:color="auto"/>
            </w:tcBorders>
            <w:shd w:val="clear" w:color="auto" w:fill="auto"/>
            <w:vAlign w:val="center"/>
            <w:hideMark/>
          </w:tcPr>
          <w:p w14:paraId="7DCA02FB"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$799,018.67</w:t>
            </w:r>
          </w:p>
        </w:tc>
        <w:tc>
          <w:tcPr>
            <w:tcW w:w="1160" w:type="dxa"/>
            <w:tcBorders>
              <w:top w:val="nil"/>
              <w:left w:val="nil"/>
              <w:bottom w:val="single" w:sz="4" w:space="0" w:color="auto"/>
              <w:right w:val="single" w:sz="4" w:space="0" w:color="auto"/>
            </w:tcBorders>
            <w:shd w:val="clear" w:color="auto" w:fill="auto"/>
            <w:vAlign w:val="center"/>
            <w:hideMark/>
          </w:tcPr>
          <w:p w14:paraId="49E15B95"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w:t>
            </w:r>
          </w:p>
        </w:tc>
        <w:tc>
          <w:tcPr>
            <w:tcW w:w="1300" w:type="dxa"/>
            <w:tcBorders>
              <w:top w:val="nil"/>
              <w:left w:val="nil"/>
              <w:bottom w:val="single" w:sz="4" w:space="0" w:color="auto"/>
              <w:right w:val="single" w:sz="4" w:space="0" w:color="auto"/>
            </w:tcBorders>
            <w:shd w:val="clear" w:color="auto" w:fill="auto"/>
            <w:vAlign w:val="center"/>
            <w:hideMark/>
          </w:tcPr>
          <w:p w14:paraId="65833B78"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768D4A5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$799,018.67</w:t>
            </w:r>
          </w:p>
        </w:tc>
      </w:tr>
      <w:tr w:rsidR="00533D70" w:rsidRPr="00533D70" w14:paraId="69F7206A" w14:textId="77777777" w:rsidTr="00533D70">
        <w:trPr>
          <w:trHeight w:val="630"/>
        </w:trPr>
        <w:tc>
          <w:tcPr>
            <w:tcW w:w="1600" w:type="dxa"/>
            <w:vMerge w:val="restart"/>
            <w:tcBorders>
              <w:top w:val="nil"/>
              <w:left w:val="nil"/>
              <w:bottom w:val="single" w:sz="4" w:space="0" w:color="000000"/>
              <w:right w:val="single" w:sz="4" w:space="0" w:color="auto"/>
            </w:tcBorders>
            <w:shd w:val="clear" w:color="auto" w:fill="auto"/>
            <w:vAlign w:val="bottom"/>
            <w:hideMark/>
          </w:tcPr>
          <w:p w14:paraId="77D0E876"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 xml:space="preserve">FERC-60A </w:t>
            </w:r>
            <w:r w:rsidRPr="00533D70">
              <w:rPr>
                <w:rFonts w:ascii="Times New Roman" w:eastAsia="Times New Roman" w:hAnsi="Times New Roman"/>
                <w:color w:val="000000"/>
                <w:sz w:val="24"/>
                <w:szCs w:val="24"/>
              </w:rPr>
              <w:t>[does not include figures for  FERC-61 or FERC-555A, not affected by NOPR]</w:t>
            </w:r>
          </w:p>
        </w:tc>
        <w:tc>
          <w:tcPr>
            <w:tcW w:w="1680" w:type="dxa"/>
            <w:tcBorders>
              <w:top w:val="nil"/>
              <w:left w:val="nil"/>
              <w:bottom w:val="single" w:sz="4" w:space="0" w:color="auto"/>
              <w:right w:val="single" w:sz="4" w:space="0" w:color="auto"/>
            </w:tcBorders>
            <w:shd w:val="clear" w:color="auto" w:fill="auto"/>
            <w:vAlign w:val="center"/>
            <w:hideMark/>
          </w:tcPr>
          <w:p w14:paraId="2472E9A9"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Number of Responses</w:t>
            </w:r>
          </w:p>
        </w:tc>
        <w:tc>
          <w:tcPr>
            <w:tcW w:w="1420" w:type="dxa"/>
            <w:tcBorders>
              <w:top w:val="nil"/>
              <w:left w:val="nil"/>
              <w:bottom w:val="single" w:sz="4" w:space="0" w:color="auto"/>
              <w:right w:val="single" w:sz="4" w:space="0" w:color="auto"/>
            </w:tcBorders>
            <w:shd w:val="clear" w:color="auto" w:fill="auto"/>
            <w:vAlign w:val="center"/>
            <w:hideMark/>
          </w:tcPr>
          <w:p w14:paraId="677AB65C"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39</w:t>
            </w:r>
          </w:p>
        </w:tc>
        <w:tc>
          <w:tcPr>
            <w:tcW w:w="1160" w:type="dxa"/>
            <w:tcBorders>
              <w:top w:val="nil"/>
              <w:left w:val="nil"/>
              <w:bottom w:val="single" w:sz="4" w:space="0" w:color="auto"/>
              <w:right w:val="single" w:sz="4" w:space="0" w:color="auto"/>
            </w:tcBorders>
            <w:shd w:val="clear" w:color="auto" w:fill="auto"/>
            <w:vAlign w:val="center"/>
            <w:hideMark/>
          </w:tcPr>
          <w:p w14:paraId="69B2C993"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w:t>
            </w:r>
          </w:p>
        </w:tc>
        <w:tc>
          <w:tcPr>
            <w:tcW w:w="1300" w:type="dxa"/>
            <w:tcBorders>
              <w:top w:val="nil"/>
              <w:left w:val="nil"/>
              <w:bottom w:val="single" w:sz="4" w:space="0" w:color="auto"/>
              <w:right w:val="single" w:sz="4" w:space="0" w:color="auto"/>
            </w:tcBorders>
            <w:shd w:val="clear" w:color="auto" w:fill="auto"/>
            <w:vAlign w:val="center"/>
            <w:hideMark/>
          </w:tcPr>
          <w:p w14:paraId="0AEC0AA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0.000</w:t>
            </w:r>
          </w:p>
        </w:tc>
        <w:tc>
          <w:tcPr>
            <w:tcW w:w="2100" w:type="dxa"/>
            <w:tcBorders>
              <w:top w:val="nil"/>
              <w:left w:val="nil"/>
              <w:bottom w:val="single" w:sz="4" w:space="0" w:color="auto"/>
              <w:right w:val="single" w:sz="4" w:space="0" w:color="auto"/>
            </w:tcBorders>
            <w:shd w:val="clear" w:color="auto" w:fill="auto"/>
            <w:vAlign w:val="center"/>
            <w:hideMark/>
          </w:tcPr>
          <w:p w14:paraId="1C61AB58"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39.000</w:t>
            </w:r>
          </w:p>
        </w:tc>
      </w:tr>
      <w:tr w:rsidR="00533D70" w:rsidRPr="00533D70" w14:paraId="0872C001" w14:textId="77777777" w:rsidTr="00533D70">
        <w:trPr>
          <w:trHeight w:val="630"/>
        </w:trPr>
        <w:tc>
          <w:tcPr>
            <w:tcW w:w="1600" w:type="dxa"/>
            <w:vMerge/>
            <w:tcBorders>
              <w:top w:val="nil"/>
              <w:left w:val="nil"/>
              <w:bottom w:val="single" w:sz="4" w:space="0" w:color="000000"/>
              <w:right w:val="single" w:sz="4" w:space="0" w:color="auto"/>
            </w:tcBorders>
            <w:vAlign w:val="center"/>
            <w:hideMark/>
          </w:tcPr>
          <w:p w14:paraId="48A36D5B"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40A716A6"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Time Burden (Hr.)</w:t>
            </w:r>
          </w:p>
        </w:tc>
        <w:tc>
          <w:tcPr>
            <w:tcW w:w="1420" w:type="dxa"/>
            <w:tcBorders>
              <w:top w:val="nil"/>
              <w:left w:val="nil"/>
              <w:bottom w:val="single" w:sz="4" w:space="0" w:color="auto"/>
              <w:right w:val="single" w:sz="4" w:space="0" w:color="auto"/>
            </w:tcBorders>
            <w:shd w:val="clear" w:color="auto" w:fill="auto"/>
            <w:vAlign w:val="center"/>
            <w:hideMark/>
          </w:tcPr>
          <w:p w14:paraId="651CA8EE"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338</w:t>
            </w:r>
          </w:p>
        </w:tc>
        <w:tc>
          <w:tcPr>
            <w:tcW w:w="1160" w:type="dxa"/>
            <w:tcBorders>
              <w:top w:val="nil"/>
              <w:left w:val="nil"/>
              <w:bottom w:val="single" w:sz="4" w:space="0" w:color="auto"/>
              <w:right w:val="single" w:sz="4" w:space="0" w:color="auto"/>
            </w:tcBorders>
            <w:shd w:val="clear" w:color="auto" w:fill="auto"/>
            <w:vAlign w:val="center"/>
            <w:hideMark/>
          </w:tcPr>
          <w:p w14:paraId="1789AF5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w:t>
            </w:r>
          </w:p>
        </w:tc>
        <w:tc>
          <w:tcPr>
            <w:tcW w:w="1300" w:type="dxa"/>
            <w:tcBorders>
              <w:top w:val="nil"/>
              <w:left w:val="nil"/>
              <w:bottom w:val="single" w:sz="4" w:space="0" w:color="auto"/>
              <w:right w:val="single" w:sz="4" w:space="0" w:color="auto"/>
            </w:tcBorders>
            <w:shd w:val="clear" w:color="auto" w:fill="auto"/>
            <w:vAlign w:val="center"/>
            <w:hideMark/>
          </w:tcPr>
          <w:p w14:paraId="18197B1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2495232A"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338.000</w:t>
            </w:r>
          </w:p>
        </w:tc>
      </w:tr>
      <w:tr w:rsidR="00533D70" w:rsidRPr="00533D70" w14:paraId="08673E56" w14:textId="77777777" w:rsidTr="00533D70">
        <w:trPr>
          <w:trHeight w:val="1080"/>
        </w:trPr>
        <w:tc>
          <w:tcPr>
            <w:tcW w:w="1600" w:type="dxa"/>
            <w:vMerge/>
            <w:tcBorders>
              <w:top w:val="nil"/>
              <w:left w:val="nil"/>
              <w:bottom w:val="single" w:sz="4" w:space="0" w:color="000000"/>
              <w:right w:val="single" w:sz="4" w:space="0" w:color="auto"/>
            </w:tcBorders>
            <w:vAlign w:val="center"/>
            <w:hideMark/>
          </w:tcPr>
          <w:p w14:paraId="353C8D41"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6F03B480"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Cost Burden ($)</w:t>
            </w:r>
          </w:p>
        </w:tc>
        <w:tc>
          <w:tcPr>
            <w:tcW w:w="1420" w:type="dxa"/>
            <w:tcBorders>
              <w:top w:val="nil"/>
              <w:left w:val="nil"/>
              <w:bottom w:val="single" w:sz="4" w:space="0" w:color="auto"/>
              <w:right w:val="single" w:sz="4" w:space="0" w:color="auto"/>
            </w:tcBorders>
            <w:shd w:val="clear" w:color="auto" w:fill="auto"/>
            <w:vAlign w:val="center"/>
            <w:hideMark/>
          </w:tcPr>
          <w:p w14:paraId="7C30940C"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$25,532.00</w:t>
            </w:r>
          </w:p>
        </w:tc>
        <w:tc>
          <w:tcPr>
            <w:tcW w:w="1160" w:type="dxa"/>
            <w:tcBorders>
              <w:top w:val="nil"/>
              <w:left w:val="nil"/>
              <w:bottom w:val="single" w:sz="4" w:space="0" w:color="auto"/>
              <w:right w:val="single" w:sz="4" w:space="0" w:color="auto"/>
            </w:tcBorders>
            <w:shd w:val="clear" w:color="auto" w:fill="auto"/>
            <w:vAlign w:val="center"/>
            <w:hideMark/>
          </w:tcPr>
          <w:p w14:paraId="6EAC92C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w:t>
            </w:r>
          </w:p>
        </w:tc>
        <w:tc>
          <w:tcPr>
            <w:tcW w:w="1300" w:type="dxa"/>
            <w:tcBorders>
              <w:top w:val="nil"/>
              <w:left w:val="nil"/>
              <w:bottom w:val="single" w:sz="4" w:space="0" w:color="auto"/>
              <w:right w:val="single" w:sz="4" w:space="0" w:color="auto"/>
            </w:tcBorders>
            <w:shd w:val="clear" w:color="auto" w:fill="auto"/>
            <w:vAlign w:val="center"/>
            <w:hideMark/>
          </w:tcPr>
          <w:p w14:paraId="6D88F22D"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39BFA69A"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$25,532.00</w:t>
            </w:r>
          </w:p>
        </w:tc>
      </w:tr>
      <w:tr w:rsidR="00533D70" w:rsidRPr="00533D70" w14:paraId="7A10EAA5" w14:textId="77777777" w:rsidTr="00533D70">
        <w:trPr>
          <w:trHeight w:val="630"/>
        </w:trPr>
        <w:tc>
          <w:tcPr>
            <w:tcW w:w="1600" w:type="dxa"/>
            <w:vMerge w:val="restart"/>
            <w:tcBorders>
              <w:top w:val="nil"/>
              <w:left w:val="nil"/>
              <w:bottom w:val="single" w:sz="4" w:space="0" w:color="000000"/>
              <w:right w:val="single" w:sz="4" w:space="0" w:color="auto"/>
            </w:tcBorders>
            <w:shd w:val="clear" w:color="auto" w:fill="auto"/>
            <w:vAlign w:val="bottom"/>
            <w:hideMark/>
          </w:tcPr>
          <w:p w14:paraId="7BCF1B4A"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FERC-714A</w:t>
            </w:r>
          </w:p>
        </w:tc>
        <w:tc>
          <w:tcPr>
            <w:tcW w:w="1680" w:type="dxa"/>
            <w:tcBorders>
              <w:top w:val="nil"/>
              <w:left w:val="nil"/>
              <w:bottom w:val="single" w:sz="4" w:space="0" w:color="auto"/>
              <w:right w:val="single" w:sz="4" w:space="0" w:color="auto"/>
            </w:tcBorders>
            <w:shd w:val="clear" w:color="auto" w:fill="auto"/>
            <w:vAlign w:val="center"/>
            <w:hideMark/>
          </w:tcPr>
          <w:p w14:paraId="5356F2F9"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Number of Responses</w:t>
            </w:r>
          </w:p>
        </w:tc>
        <w:tc>
          <w:tcPr>
            <w:tcW w:w="1420" w:type="dxa"/>
            <w:tcBorders>
              <w:top w:val="nil"/>
              <w:left w:val="nil"/>
              <w:bottom w:val="single" w:sz="4" w:space="0" w:color="auto"/>
              <w:right w:val="single" w:sz="4" w:space="0" w:color="auto"/>
            </w:tcBorders>
            <w:shd w:val="clear" w:color="auto" w:fill="auto"/>
            <w:vAlign w:val="center"/>
            <w:hideMark/>
          </w:tcPr>
          <w:p w14:paraId="49B4157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176</w:t>
            </w:r>
          </w:p>
        </w:tc>
        <w:tc>
          <w:tcPr>
            <w:tcW w:w="1160" w:type="dxa"/>
            <w:tcBorders>
              <w:top w:val="nil"/>
              <w:left w:val="nil"/>
              <w:bottom w:val="single" w:sz="4" w:space="0" w:color="auto"/>
              <w:right w:val="single" w:sz="4" w:space="0" w:color="auto"/>
            </w:tcBorders>
            <w:shd w:val="clear" w:color="auto" w:fill="auto"/>
            <w:vAlign w:val="center"/>
            <w:hideMark/>
          </w:tcPr>
          <w:p w14:paraId="1CA97737"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w:t>
            </w:r>
          </w:p>
        </w:tc>
        <w:tc>
          <w:tcPr>
            <w:tcW w:w="1300" w:type="dxa"/>
            <w:tcBorders>
              <w:top w:val="nil"/>
              <w:left w:val="nil"/>
              <w:bottom w:val="single" w:sz="4" w:space="0" w:color="auto"/>
              <w:right w:val="single" w:sz="4" w:space="0" w:color="auto"/>
            </w:tcBorders>
            <w:shd w:val="clear" w:color="auto" w:fill="auto"/>
            <w:vAlign w:val="center"/>
            <w:hideMark/>
          </w:tcPr>
          <w:p w14:paraId="2C4F36CC"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75F60453"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176.000</w:t>
            </w:r>
          </w:p>
        </w:tc>
      </w:tr>
      <w:tr w:rsidR="00533D70" w:rsidRPr="00533D70" w14:paraId="42DDA5C9" w14:textId="77777777" w:rsidTr="00533D70">
        <w:trPr>
          <w:trHeight w:val="630"/>
        </w:trPr>
        <w:tc>
          <w:tcPr>
            <w:tcW w:w="1600" w:type="dxa"/>
            <w:vMerge/>
            <w:tcBorders>
              <w:top w:val="nil"/>
              <w:left w:val="nil"/>
              <w:bottom w:val="single" w:sz="4" w:space="0" w:color="000000"/>
              <w:right w:val="single" w:sz="4" w:space="0" w:color="auto"/>
            </w:tcBorders>
            <w:vAlign w:val="center"/>
            <w:hideMark/>
          </w:tcPr>
          <w:p w14:paraId="7606BDF0"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7BB1A615"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Time Burden (Hr.)</w:t>
            </w:r>
          </w:p>
        </w:tc>
        <w:tc>
          <w:tcPr>
            <w:tcW w:w="1420" w:type="dxa"/>
            <w:tcBorders>
              <w:top w:val="nil"/>
              <w:left w:val="nil"/>
              <w:bottom w:val="single" w:sz="4" w:space="0" w:color="auto"/>
              <w:right w:val="single" w:sz="4" w:space="0" w:color="auto"/>
            </w:tcBorders>
            <w:shd w:val="clear" w:color="auto" w:fill="auto"/>
            <w:vAlign w:val="center"/>
            <w:hideMark/>
          </w:tcPr>
          <w:p w14:paraId="693D643E"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1,115</w:t>
            </w:r>
          </w:p>
        </w:tc>
        <w:tc>
          <w:tcPr>
            <w:tcW w:w="1160" w:type="dxa"/>
            <w:tcBorders>
              <w:top w:val="nil"/>
              <w:left w:val="nil"/>
              <w:bottom w:val="single" w:sz="4" w:space="0" w:color="auto"/>
              <w:right w:val="single" w:sz="4" w:space="0" w:color="auto"/>
            </w:tcBorders>
            <w:shd w:val="clear" w:color="auto" w:fill="auto"/>
            <w:vAlign w:val="center"/>
            <w:hideMark/>
          </w:tcPr>
          <w:p w14:paraId="733B9F06"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w:t>
            </w:r>
          </w:p>
        </w:tc>
        <w:tc>
          <w:tcPr>
            <w:tcW w:w="1300" w:type="dxa"/>
            <w:tcBorders>
              <w:top w:val="nil"/>
              <w:left w:val="nil"/>
              <w:bottom w:val="single" w:sz="4" w:space="0" w:color="auto"/>
              <w:right w:val="single" w:sz="4" w:space="0" w:color="auto"/>
            </w:tcBorders>
            <w:shd w:val="clear" w:color="auto" w:fill="auto"/>
            <w:vAlign w:val="center"/>
            <w:hideMark/>
          </w:tcPr>
          <w:p w14:paraId="515096B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1BB326A1"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1,114.667</w:t>
            </w:r>
          </w:p>
        </w:tc>
      </w:tr>
      <w:tr w:rsidR="00533D70" w:rsidRPr="00533D70" w14:paraId="39B922BF" w14:textId="77777777" w:rsidTr="00533D70">
        <w:trPr>
          <w:trHeight w:val="630"/>
        </w:trPr>
        <w:tc>
          <w:tcPr>
            <w:tcW w:w="1600" w:type="dxa"/>
            <w:vMerge/>
            <w:tcBorders>
              <w:top w:val="nil"/>
              <w:left w:val="nil"/>
              <w:bottom w:val="single" w:sz="4" w:space="0" w:color="000000"/>
              <w:right w:val="single" w:sz="4" w:space="0" w:color="auto"/>
            </w:tcBorders>
            <w:vAlign w:val="center"/>
            <w:hideMark/>
          </w:tcPr>
          <w:p w14:paraId="4C2DEBCE"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18BC2B3C"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Cost Burden ($)</w:t>
            </w:r>
          </w:p>
        </w:tc>
        <w:tc>
          <w:tcPr>
            <w:tcW w:w="1420" w:type="dxa"/>
            <w:tcBorders>
              <w:top w:val="nil"/>
              <w:left w:val="nil"/>
              <w:bottom w:val="single" w:sz="4" w:space="0" w:color="auto"/>
              <w:right w:val="single" w:sz="4" w:space="0" w:color="auto"/>
            </w:tcBorders>
            <w:shd w:val="clear" w:color="auto" w:fill="auto"/>
            <w:vAlign w:val="center"/>
            <w:hideMark/>
          </w:tcPr>
          <w:p w14:paraId="05D357C5"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$86,474.67</w:t>
            </w:r>
          </w:p>
        </w:tc>
        <w:tc>
          <w:tcPr>
            <w:tcW w:w="1160" w:type="dxa"/>
            <w:tcBorders>
              <w:top w:val="nil"/>
              <w:left w:val="nil"/>
              <w:bottom w:val="single" w:sz="4" w:space="0" w:color="auto"/>
              <w:right w:val="single" w:sz="4" w:space="0" w:color="auto"/>
            </w:tcBorders>
            <w:shd w:val="clear" w:color="auto" w:fill="auto"/>
            <w:vAlign w:val="center"/>
            <w:hideMark/>
          </w:tcPr>
          <w:p w14:paraId="17DAD22C"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w:t>
            </w:r>
          </w:p>
        </w:tc>
        <w:tc>
          <w:tcPr>
            <w:tcW w:w="1300" w:type="dxa"/>
            <w:tcBorders>
              <w:top w:val="nil"/>
              <w:left w:val="nil"/>
              <w:bottom w:val="single" w:sz="4" w:space="0" w:color="auto"/>
              <w:right w:val="single" w:sz="4" w:space="0" w:color="auto"/>
            </w:tcBorders>
            <w:shd w:val="clear" w:color="auto" w:fill="auto"/>
            <w:vAlign w:val="center"/>
            <w:hideMark/>
          </w:tcPr>
          <w:p w14:paraId="40BD9EE7"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4585D13E"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$86,474.67</w:t>
            </w:r>
          </w:p>
        </w:tc>
      </w:tr>
      <w:tr w:rsidR="00533D70" w:rsidRPr="00533D70" w14:paraId="7F27CE86" w14:textId="77777777" w:rsidTr="00533D70">
        <w:trPr>
          <w:trHeight w:val="315"/>
        </w:trPr>
        <w:tc>
          <w:tcPr>
            <w:tcW w:w="9260" w:type="dxa"/>
            <w:gridSpan w:val="6"/>
            <w:tcBorders>
              <w:top w:val="single" w:sz="4" w:space="0" w:color="auto"/>
              <w:left w:val="nil"/>
              <w:bottom w:val="single" w:sz="4" w:space="0" w:color="auto"/>
              <w:right w:val="single" w:sz="4" w:space="0" w:color="000000"/>
            </w:tcBorders>
            <w:shd w:val="clear" w:color="auto" w:fill="auto"/>
            <w:vAlign w:val="bottom"/>
            <w:hideMark/>
          </w:tcPr>
          <w:p w14:paraId="0E76D075"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r>
      <w:tr w:rsidR="00533D70" w:rsidRPr="00533D70" w14:paraId="4A4B143B" w14:textId="77777777" w:rsidTr="00533D70">
        <w:trPr>
          <w:trHeight w:val="645"/>
        </w:trPr>
        <w:tc>
          <w:tcPr>
            <w:tcW w:w="9260" w:type="dxa"/>
            <w:gridSpan w:val="6"/>
            <w:tcBorders>
              <w:top w:val="single" w:sz="4" w:space="0" w:color="auto"/>
              <w:left w:val="nil"/>
              <w:bottom w:val="single" w:sz="4" w:space="0" w:color="auto"/>
              <w:right w:val="single" w:sz="4" w:space="0" w:color="000000"/>
            </w:tcBorders>
            <w:shd w:val="clear" w:color="auto" w:fill="auto"/>
            <w:vAlign w:val="bottom"/>
            <w:hideMark/>
          </w:tcPr>
          <w:p w14:paraId="352AE976" w14:textId="77777777" w:rsidR="00533D70" w:rsidRPr="00533D70" w:rsidRDefault="00533D70" w:rsidP="00533D70">
            <w:pPr>
              <w:spacing w:after="0" w:line="240" w:lineRule="auto"/>
              <w:rPr>
                <w:rFonts w:ascii="Times New Roman" w:eastAsia="Times New Roman" w:hAnsi="Times New Roman"/>
                <w:i/>
                <w:iCs/>
                <w:color w:val="000000"/>
                <w:sz w:val="24"/>
                <w:szCs w:val="24"/>
              </w:rPr>
            </w:pPr>
            <w:r w:rsidRPr="00533D70">
              <w:rPr>
                <w:rFonts w:ascii="Times New Roman" w:eastAsia="Times New Roman" w:hAnsi="Times New Roman"/>
                <w:i/>
                <w:iCs/>
                <w:color w:val="000000"/>
                <w:sz w:val="24"/>
                <w:szCs w:val="24"/>
              </w:rPr>
              <w:t>Note:  "Annual Cost burden" is the out-of-pocket non-burden hour expenses which filers are estimated to incur in Years 2 &amp; 3 and beyond.  Those costs are being averaged over Years 1-3.</w:t>
            </w:r>
          </w:p>
        </w:tc>
      </w:tr>
    </w:tbl>
    <w:p w14:paraId="06A2F2CD" w14:textId="587255A6" w:rsidR="00B6477D" w:rsidRDefault="00B6477D" w:rsidP="003A3343">
      <w:pPr>
        <w:spacing w:after="0" w:line="259" w:lineRule="auto"/>
        <w:rPr>
          <w:rFonts w:ascii="Times New Roman" w:hAnsi="Times New Roman"/>
          <w:bCs/>
          <w:sz w:val="24"/>
          <w:szCs w:val="24"/>
        </w:rPr>
      </w:pPr>
    </w:p>
    <w:p w14:paraId="05DB6CB6" w14:textId="2C98A2B5" w:rsidR="00E31823" w:rsidRDefault="00F83E09" w:rsidP="00BD0F89">
      <w:pPr>
        <w:spacing w:after="0" w:line="240" w:lineRule="auto"/>
        <w:rPr>
          <w:rFonts w:ascii="Times New Roman" w:hAnsi="Times New Roman"/>
          <w:bCs/>
          <w:sz w:val="24"/>
          <w:szCs w:val="24"/>
        </w:rPr>
      </w:pPr>
      <w:r w:rsidRPr="00F83E09">
        <w:rPr>
          <w:rFonts w:ascii="Times New Roman" w:hAnsi="Times New Roman"/>
          <w:bCs/>
          <w:sz w:val="24"/>
          <w:szCs w:val="24"/>
        </w:rPr>
        <w:t>Th</w:t>
      </w:r>
      <w:r>
        <w:rPr>
          <w:rFonts w:ascii="Times New Roman" w:hAnsi="Times New Roman"/>
          <w:bCs/>
          <w:sz w:val="24"/>
          <w:szCs w:val="24"/>
        </w:rPr>
        <w:t>e</w:t>
      </w:r>
      <w:r w:rsidRPr="00F83E09">
        <w:rPr>
          <w:rFonts w:ascii="Times New Roman" w:hAnsi="Times New Roman"/>
          <w:bCs/>
          <w:sz w:val="24"/>
          <w:szCs w:val="24"/>
        </w:rPr>
        <w:t xml:space="preserve"> total number of responses does not include the responses for Form Nos. 3-Q electric, 3-Q natural gas, or 6-Q because the burden hours for tagging Form Nos. 1,</w:t>
      </w:r>
      <w:r w:rsidR="00C030D2">
        <w:rPr>
          <w:rFonts w:ascii="Times New Roman" w:hAnsi="Times New Roman"/>
          <w:bCs/>
          <w:sz w:val="24"/>
          <w:szCs w:val="24"/>
        </w:rPr>
        <w:t xml:space="preserve"> 1-F, </w:t>
      </w:r>
      <w:r w:rsidRPr="00F83E09">
        <w:rPr>
          <w:rFonts w:ascii="Times New Roman" w:hAnsi="Times New Roman"/>
          <w:bCs/>
          <w:sz w:val="24"/>
          <w:szCs w:val="24"/>
        </w:rPr>
        <w:t>2,</w:t>
      </w:r>
      <w:r w:rsidR="00C030D2">
        <w:rPr>
          <w:rFonts w:ascii="Times New Roman" w:hAnsi="Times New Roman"/>
          <w:bCs/>
          <w:sz w:val="24"/>
          <w:szCs w:val="24"/>
        </w:rPr>
        <w:t xml:space="preserve"> 2-A,</w:t>
      </w:r>
      <w:r w:rsidR="00343643">
        <w:rPr>
          <w:rFonts w:ascii="Times New Roman" w:hAnsi="Times New Roman"/>
          <w:bCs/>
          <w:sz w:val="24"/>
          <w:szCs w:val="24"/>
        </w:rPr>
        <w:t xml:space="preserve"> </w:t>
      </w:r>
      <w:r w:rsidRPr="00F83E09">
        <w:rPr>
          <w:rFonts w:ascii="Times New Roman" w:hAnsi="Times New Roman"/>
          <w:bCs/>
          <w:sz w:val="24"/>
          <w:szCs w:val="24"/>
        </w:rPr>
        <w:t>and 6 include the number of hours required to tag the quarterly responses.  The quarterly filings are generally a subset of the annual filings.</w:t>
      </w:r>
    </w:p>
    <w:bookmarkEnd w:id="2"/>
    <w:p w14:paraId="4DE62675" w14:textId="77777777" w:rsidR="00471F97" w:rsidRPr="00F1537F" w:rsidRDefault="00471F97" w:rsidP="00BD0F89">
      <w:pPr>
        <w:spacing w:after="0" w:line="240" w:lineRule="auto"/>
        <w:rPr>
          <w:rFonts w:ascii="Times New Roman" w:hAnsi="Times New Roman"/>
          <w:sz w:val="24"/>
          <w:szCs w:val="24"/>
        </w:rPr>
      </w:pPr>
    </w:p>
    <w:p w14:paraId="115E3405" w14:textId="77777777" w:rsidR="00F0627E" w:rsidRPr="00F1537F" w:rsidRDefault="00F20B97" w:rsidP="00BD0F89">
      <w:pPr>
        <w:spacing w:after="0" w:line="240" w:lineRule="auto"/>
        <w:rPr>
          <w:rFonts w:ascii="Times New Roman" w:hAnsi="Times New Roman"/>
          <w:b/>
          <w:sz w:val="24"/>
          <w:szCs w:val="24"/>
        </w:rPr>
      </w:pPr>
      <w:r w:rsidRPr="00F1537F">
        <w:rPr>
          <w:rFonts w:ascii="Times New Roman" w:hAnsi="Times New Roman"/>
          <w:b/>
          <w:sz w:val="24"/>
          <w:szCs w:val="24"/>
        </w:rPr>
        <w:t xml:space="preserve">16. </w:t>
      </w:r>
      <w:r w:rsidR="00F0627E" w:rsidRPr="00F1537F">
        <w:rPr>
          <w:rFonts w:ascii="Times New Roman" w:hAnsi="Times New Roman"/>
          <w:b/>
          <w:sz w:val="24"/>
          <w:szCs w:val="24"/>
        </w:rPr>
        <w:t>TIME SCHEDULE FOR PUBLICATION OF DATA</w:t>
      </w:r>
    </w:p>
    <w:p w14:paraId="65FE4B4D" w14:textId="77777777" w:rsidR="00F0627E" w:rsidRPr="00F1537F" w:rsidRDefault="00F0627E" w:rsidP="00BD0F89">
      <w:pPr>
        <w:spacing w:after="0" w:line="240" w:lineRule="auto"/>
        <w:rPr>
          <w:rFonts w:ascii="Times New Roman" w:hAnsi="Times New Roman"/>
          <w:sz w:val="24"/>
          <w:szCs w:val="24"/>
        </w:rPr>
      </w:pPr>
    </w:p>
    <w:p w14:paraId="679BBE9C" w14:textId="77777777" w:rsidR="001D289D" w:rsidRPr="00F1537F" w:rsidRDefault="001D289D" w:rsidP="00BD0F89">
      <w:pPr>
        <w:spacing w:after="0" w:line="240" w:lineRule="auto"/>
        <w:rPr>
          <w:rFonts w:ascii="Times New Roman" w:hAnsi="Times New Roman"/>
          <w:sz w:val="24"/>
          <w:szCs w:val="24"/>
        </w:rPr>
      </w:pPr>
      <w:r w:rsidRPr="00F1537F">
        <w:rPr>
          <w:rFonts w:ascii="Times New Roman" w:hAnsi="Times New Roman"/>
          <w:sz w:val="24"/>
          <w:szCs w:val="24"/>
        </w:rPr>
        <w:t xml:space="preserve">There is no publication of </w:t>
      </w:r>
      <w:r w:rsidR="00587AD0">
        <w:rPr>
          <w:rFonts w:ascii="Times New Roman" w:hAnsi="Times New Roman"/>
          <w:sz w:val="24"/>
          <w:szCs w:val="24"/>
        </w:rPr>
        <w:t>data</w:t>
      </w:r>
      <w:r w:rsidRPr="00F1537F">
        <w:rPr>
          <w:rFonts w:ascii="Times New Roman" w:hAnsi="Times New Roman"/>
          <w:sz w:val="24"/>
          <w:szCs w:val="24"/>
        </w:rPr>
        <w:t xml:space="preserve">. </w:t>
      </w:r>
    </w:p>
    <w:p w14:paraId="5CEC4741" w14:textId="77777777" w:rsidR="00F20B97" w:rsidRPr="00F1537F" w:rsidRDefault="00F20B97" w:rsidP="00BD0F89">
      <w:pPr>
        <w:spacing w:after="0" w:line="240" w:lineRule="auto"/>
        <w:rPr>
          <w:rFonts w:ascii="Times New Roman" w:hAnsi="Times New Roman"/>
          <w:sz w:val="24"/>
          <w:szCs w:val="24"/>
        </w:rPr>
      </w:pPr>
    </w:p>
    <w:p w14:paraId="6F76679F" w14:textId="77777777" w:rsidR="00F0627E" w:rsidRPr="00F1537F" w:rsidRDefault="00F20B97" w:rsidP="00BD0F89">
      <w:pPr>
        <w:spacing w:after="0" w:line="240" w:lineRule="auto"/>
        <w:rPr>
          <w:rFonts w:ascii="Times New Roman" w:hAnsi="Times New Roman"/>
          <w:b/>
          <w:sz w:val="24"/>
          <w:szCs w:val="24"/>
        </w:rPr>
      </w:pPr>
      <w:r w:rsidRPr="00F1537F">
        <w:rPr>
          <w:rFonts w:ascii="Times New Roman" w:hAnsi="Times New Roman"/>
          <w:b/>
          <w:sz w:val="24"/>
          <w:szCs w:val="24"/>
        </w:rPr>
        <w:t xml:space="preserve">17. </w:t>
      </w:r>
      <w:r w:rsidR="00F0627E" w:rsidRPr="00F1537F">
        <w:rPr>
          <w:rFonts w:ascii="Times New Roman" w:hAnsi="Times New Roman"/>
          <w:b/>
          <w:sz w:val="24"/>
          <w:szCs w:val="24"/>
        </w:rPr>
        <w:t>DISPLAY OF EXPIRATION DATE</w:t>
      </w:r>
    </w:p>
    <w:p w14:paraId="2C7224E4" w14:textId="77777777" w:rsidR="00F0627E" w:rsidRPr="00F1537F" w:rsidRDefault="00F0627E" w:rsidP="00BD0F89">
      <w:pPr>
        <w:spacing w:after="0" w:line="240" w:lineRule="auto"/>
        <w:rPr>
          <w:rFonts w:ascii="Times New Roman" w:hAnsi="Times New Roman"/>
          <w:sz w:val="24"/>
          <w:szCs w:val="24"/>
        </w:rPr>
      </w:pPr>
    </w:p>
    <w:p w14:paraId="31FE087C" w14:textId="77777777" w:rsidR="00027DC9" w:rsidRPr="00A51BC6" w:rsidRDefault="001D289D" w:rsidP="00BD0F89">
      <w:pPr>
        <w:spacing w:after="0" w:line="240" w:lineRule="auto"/>
        <w:rPr>
          <w:rFonts w:ascii="Times New Roman" w:hAnsi="Times New Roman"/>
          <w:color w:val="0000FF"/>
          <w:sz w:val="24"/>
          <w:szCs w:val="24"/>
          <w:u w:val="single"/>
        </w:rPr>
      </w:pPr>
      <w:r w:rsidRPr="00F1537F">
        <w:rPr>
          <w:rFonts w:ascii="Times New Roman" w:hAnsi="Times New Roman"/>
          <w:sz w:val="24"/>
          <w:szCs w:val="24"/>
        </w:rPr>
        <w:t xml:space="preserve">The expiration dates are posted on ferc.gov at </w:t>
      </w:r>
      <w:hyperlink r:id="rId16" w:history="1">
        <w:r w:rsidRPr="00F1537F">
          <w:rPr>
            <w:rStyle w:val="Hyperlink"/>
            <w:rFonts w:ascii="Times New Roman" w:hAnsi="Times New Roman"/>
            <w:sz w:val="24"/>
            <w:szCs w:val="24"/>
          </w:rPr>
          <w:t>http://www.ferc.gov/docs-filing/info-collections.asp</w:t>
        </w:r>
      </w:hyperlink>
      <w:r w:rsidRPr="00F1537F">
        <w:rPr>
          <w:rFonts w:ascii="Times New Roman" w:hAnsi="Times New Roman"/>
          <w:sz w:val="24"/>
          <w:szCs w:val="24"/>
        </w:rPr>
        <w:t xml:space="preserve"> </w:t>
      </w:r>
      <w:r w:rsidR="00A51BC6">
        <w:rPr>
          <w:rFonts w:ascii="Times New Roman" w:hAnsi="Times New Roman"/>
          <w:sz w:val="24"/>
          <w:szCs w:val="24"/>
        </w:rPr>
        <w:t>and on the forms where applicable.</w:t>
      </w:r>
      <w:r w:rsidRPr="00F1537F">
        <w:rPr>
          <w:rFonts w:ascii="Times New Roman" w:hAnsi="Times New Roman"/>
          <w:sz w:val="24"/>
          <w:szCs w:val="24"/>
        </w:rPr>
        <w:t xml:space="preserve"> </w:t>
      </w:r>
    </w:p>
    <w:p w14:paraId="799845B9" w14:textId="77777777" w:rsidR="00027DC9" w:rsidRPr="00F1537F" w:rsidRDefault="00027DC9" w:rsidP="00BD0F89">
      <w:pPr>
        <w:spacing w:after="0" w:line="240" w:lineRule="auto"/>
        <w:rPr>
          <w:rFonts w:ascii="Times New Roman" w:hAnsi="Times New Roman"/>
          <w:sz w:val="24"/>
          <w:szCs w:val="24"/>
        </w:rPr>
      </w:pPr>
    </w:p>
    <w:p w14:paraId="61B7D1C0" w14:textId="77777777" w:rsidR="00F0627E" w:rsidRPr="00F1537F" w:rsidRDefault="00F20B97" w:rsidP="00BD0F89">
      <w:pPr>
        <w:spacing w:after="0" w:line="240" w:lineRule="auto"/>
        <w:rPr>
          <w:rFonts w:ascii="Times New Roman" w:hAnsi="Times New Roman"/>
          <w:b/>
          <w:sz w:val="24"/>
          <w:szCs w:val="24"/>
        </w:rPr>
      </w:pPr>
      <w:r w:rsidRPr="00F1537F">
        <w:rPr>
          <w:rFonts w:ascii="Times New Roman" w:hAnsi="Times New Roman"/>
          <w:b/>
          <w:sz w:val="24"/>
          <w:szCs w:val="24"/>
        </w:rPr>
        <w:t xml:space="preserve">18.  </w:t>
      </w:r>
      <w:r w:rsidR="00F0627E" w:rsidRPr="00F1537F">
        <w:rPr>
          <w:rFonts w:ascii="Times New Roman" w:hAnsi="Times New Roman"/>
          <w:b/>
          <w:sz w:val="24"/>
          <w:szCs w:val="24"/>
        </w:rPr>
        <w:t>EXCEPTIONS TO THE CERTIFICATION STATEMENT</w:t>
      </w:r>
    </w:p>
    <w:p w14:paraId="63F6A337" w14:textId="77777777" w:rsidR="001D289D" w:rsidRPr="00F1537F" w:rsidRDefault="001D289D" w:rsidP="00BD0F89">
      <w:pPr>
        <w:spacing w:after="0" w:line="240" w:lineRule="auto"/>
        <w:rPr>
          <w:rFonts w:ascii="Times New Roman" w:hAnsi="Times New Roman"/>
          <w:b/>
          <w:sz w:val="24"/>
          <w:szCs w:val="24"/>
        </w:rPr>
      </w:pPr>
    </w:p>
    <w:p w14:paraId="07E0677A" w14:textId="77777777" w:rsidR="00F0627E" w:rsidRPr="004665B0" w:rsidRDefault="001D289D" w:rsidP="00C87990">
      <w:pPr>
        <w:spacing w:after="160" w:line="240" w:lineRule="auto"/>
        <w:rPr>
          <w:rFonts w:ascii="Times New Roman" w:hAnsi="Times New Roman"/>
          <w:sz w:val="24"/>
          <w:szCs w:val="24"/>
        </w:rPr>
      </w:pPr>
      <w:r w:rsidRPr="00F1537F">
        <w:rPr>
          <w:rFonts w:ascii="Times New Roman" w:hAnsi="Times New Roman"/>
          <w:sz w:val="24"/>
          <w:szCs w:val="24"/>
        </w:rPr>
        <w:t>There are no exception</w:t>
      </w:r>
      <w:r w:rsidR="000836EF">
        <w:rPr>
          <w:rFonts w:ascii="Times New Roman" w:hAnsi="Times New Roman"/>
          <w:sz w:val="24"/>
          <w:szCs w:val="24"/>
        </w:rPr>
        <w:t>s</w:t>
      </w:r>
      <w:r w:rsidRPr="00F1537F">
        <w:rPr>
          <w:rFonts w:ascii="Times New Roman" w:hAnsi="Times New Roman"/>
          <w:sz w:val="24"/>
          <w:szCs w:val="24"/>
        </w:rPr>
        <w:t xml:space="preserve">. </w:t>
      </w:r>
    </w:p>
    <w:sectPr w:rsidR="00F0627E" w:rsidRPr="004665B0">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6B04DF" w14:textId="77777777" w:rsidR="00EA7072" w:rsidRDefault="00EA7072" w:rsidP="009C7F55">
      <w:pPr>
        <w:spacing w:after="0" w:line="240" w:lineRule="auto"/>
      </w:pPr>
      <w:r>
        <w:separator/>
      </w:r>
    </w:p>
  </w:endnote>
  <w:endnote w:type="continuationSeparator" w:id="0">
    <w:p w14:paraId="7CC1BD6A" w14:textId="77777777" w:rsidR="00EA7072" w:rsidRDefault="00EA7072" w:rsidP="009C7F55">
      <w:pPr>
        <w:spacing w:after="0" w:line="240" w:lineRule="auto"/>
      </w:pPr>
      <w:r>
        <w:continuationSeparator/>
      </w:r>
    </w:p>
  </w:endnote>
  <w:endnote w:type="continuationNotice" w:id="1">
    <w:p w14:paraId="3F4B661B" w14:textId="77777777" w:rsidR="00EA7072" w:rsidRDefault="00EA70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elior">
    <w:panose1 w:val="00000000000000000000"/>
    <w:charset w:val="00"/>
    <w:family w:val="roman"/>
    <w:notTrueType/>
    <w:pitch w:val="default"/>
    <w:sig w:usb0="00000003" w:usb1="00000000" w:usb2="00000000" w:usb3="00000000" w:csb0="00000001" w:csb1="00000000"/>
  </w:font>
  <w:font w:name="Times New Roman TUR">
    <w:altName w:val="Times New Roman"/>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7812702"/>
      <w:docPartObj>
        <w:docPartGallery w:val="Page Numbers (Bottom of Page)"/>
        <w:docPartUnique/>
      </w:docPartObj>
    </w:sdtPr>
    <w:sdtEndPr>
      <w:rPr>
        <w:noProof/>
      </w:rPr>
    </w:sdtEndPr>
    <w:sdtContent>
      <w:p w14:paraId="694AABE9" w14:textId="21257982" w:rsidR="00EA7072" w:rsidRDefault="00EA7072">
        <w:pPr>
          <w:pStyle w:val="Footer"/>
          <w:jc w:val="right"/>
        </w:pPr>
        <w:r>
          <w:fldChar w:fldCharType="begin"/>
        </w:r>
        <w:r>
          <w:instrText xml:space="preserve"> PAGE   \* MERGEFORMAT </w:instrText>
        </w:r>
        <w:r>
          <w:fldChar w:fldCharType="separate"/>
        </w:r>
        <w:r w:rsidR="003E2C5D">
          <w:rPr>
            <w:noProof/>
          </w:rPr>
          <w:t>1</w:t>
        </w:r>
        <w:r>
          <w:rPr>
            <w:noProof/>
          </w:rPr>
          <w:fldChar w:fldCharType="end"/>
        </w:r>
      </w:p>
    </w:sdtContent>
  </w:sdt>
  <w:p w14:paraId="70B209D8" w14:textId="77777777" w:rsidR="00EA7072" w:rsidRDefault="00EA70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459A9A" w14:textId="77777777" w:rsidR="00EA7072" w:rsidRDefault="00EA7072" w:rsidP="009C7F55">
      <w:pPr>
        <w:spacing w:after="0" w:line="240" w:lineRule="auto"/>
      </w:pPr>
      <w:r>
        <w:separator/>
      </w:r>
    </w:p>
  </w:footnote>
  <w:footnote w:type="continuationSeparator" w:id="0">
    <w:p w14:paraId="7A9869DC" w14:textId="77777777" w:rsidR="00EA7072" w:rsidRDefault="00EA7072" w:rsidP="009C7F55">
      <w:pPr>
        <w:spacing w:after="0" w:line="240" w:lineRule="auto"/>
      </w:pPr>
      <w:r>
        <w:continuationSeparator/>
      </w:r>
    </w:p>
  </w:footnote>
  <w:footnote w:type="continuationNotice" w:id="1">
    <w:p w14:paraId="6AC17202" w14:textId="77777777" w:rsidR="00EA7072" w:rsidRDefault="00EA7072">
      <w:pPr>
        <w:spacing w:after="0" w:line="240" w:lineRule="auto"/>
      </w:pPr>
    </w:p>
  </w:footnote>
  <w:footnote w:id="2">
    <w:p w14:paraId="6B39B4A7" w14:textId="77777777" w:rsidR="00EA7072" w:rsidRDefault="00EA7072">
      <w:pPr>
        <w:pStyle w:val="FootnoteText"/>
        <w:rPr>
          <w:sz w:val="24"/>
          <w:szCs w:val="24"/>
        </w:rPr>
      </w:pPr>
      <w:r w:rsidRPr="009F1CCD">
        <w:rPr>
          <w:rStyle w:val="FootnoteReference"/>
          <w:sz w:val="24"/>
          <w:szCs w:val="24"/>
          <w:vertAlign w:val="superscript"/>
        </w:rPr>
        <w:footnoteRef/>
      </w:r>
      <w:r w:rsidRPr="009F1CCD">
        <w:rPr>
          <w:sz w:val="24"/>
          <w:szCs w:val="24"/>
          <w:vertAlign w:val="superscript"/>
        </w:rPr>
        <w:t xml:space="preserve"> </w:t>
      </w:r>
      <w:r w:rsidRPr="009F1CCD">
        <w:rPr>
          <w:sz w:val="24"/>
          <w:szCs w:val="24"/>
        </w:rPr>
        <w:t>The Forms Refresh effort was announced on 4/16/2015 in Docket No. AD15-11 (“Order Instituting Proceeding To Develop Electronic Filing Protocols For Commission Forms</w:t>
      </w:r>
      <w:r>
        <w:rPr>
          <w:sz w:val="24"/>
          <w:szCs w:val="24"/>
        </w:rPr>
        <w:t>,</w:t>
      </w:r>
      <w:r w:rsidRPr="009F1CCD">
        <w:rPr>
          <w:sz w:val="24"/>
          <w:szCs w:val="24"/>
        </w:rPr>
        <w:t>”</w:t>
      </w:r>
      <w:r>
        <w:rPr>
          <w:sz w:val="24"/>
          <w:szCs w:val="24"/>
        </w:rPr>
        <w:t xml:space="preserve"> </w:t>
      </w:r>
    </w:p>
    <w:p w14:paraId="1FD45B83" w14:textId="77777777" w:rsidR="00EA7072" w:rsidRPr="009F1CCD" w:rsidRDefault="00EA7072">
      <w:pPr>
        <w:pStyle w:val="FootnoteText"/>
        <w:rPr>
          <w:sz w:val="24"/>
          <w:szCs w:val="24"/>
        </w:rPr>
      </w:pPr>
      <w:r>
        <w:rPr>
          <w:sz w:val="24"/>
          <w:szCs w:val="24"/>
        </w:rPr>
        <w:t xml:space="preserve">posted in FERC’s eLibrary at </w:t>
      </w:r>
      <w:hyperlink r:id="rId1" w:history="1">
        <w:r w:rsidRPr="00362DE9">
          <w:rPr>
            <w:rStyle w:val="Hyperlink"/>
            <w:sz w:val="24"/>
            <w:szCs w:val="24"/>
          </w:rPr>
          <w:t>https://elibrary.ferc.gov/idmws/common/opennat.asp?fileID=13841811</w:t>
        </w:r>
      </w:hyperlink>
      <w:r w:rsidRPr="009F1CCD">
        <w:rPr>
          <w:sz w:val="24"/>
          <w:szCs w:val="24"/>
        </w:rPr>
        <w:t>).</w:t>
      </w:r>
      <w:r>
        <w:rPr>
          <w:sz w:val="24"/>
          <w:szCs w:val="24"/>
        </w:rPr>
        <w:t xml:space="preserve">  The NOPR is posted at </w:t>
      </w:r>
      <w:hyperlink r:id="rId2" w:history="1">
        <w:r w:rsidRPr="00623315">
          <w:rPr>
            <w:rStyle w:val="Hyperlink"/>
            <w:sz w:val="24"/>
            <w:szCs w:val="24"/>
          </w:rPr>
          <w:t>https://elibrary.ferc.gov/idmws/common/OpenNat.asp?fileID=15142191</w:t>
        </w:r>
      </w:hyperlink>
      <w:r>
        <w:rPr>
          <w:sz w:val="24"/>
          <w:szCs w:val="24"/>
        </w:rPr>
        <w:t xml:space="preserve">. </w:t>
      </w:r>
    </w:p>
  </w:footnote>
  <w:footnote w:id="3">
    <w:p w14:paraId="30C77959" w14:textId="77777777" w:rsidR="00EA7072" w:rsidRDefault="00EA7072" w:rsidP="009658D5">
      <w:pPr>
        <w:pStyle w:val="FootnoteText"/>
      </w:pPr>
      <w:r>
        <w:rPr>
          <w:rStyle w:val="FootnoteReference"/>
        </w:rPr>
        <w:footnoteRef/>
      </w:r>
      <w:r>
        <w:t xml:space="preserve"> </w:t>
      </w:r>
      <w:r w:rsidRPr="00803BFB">
        <w:rPr>
          <w:sz w:val="24"/>
          <w:szCs w:val="24"/>
        </w:rPr>
        <w:t xml:space="preserve">Note that OMB Control No.1902-0215 </w:t>
      </w:r>
      <w:r>
        <w:rPr>
          <w:sz w:val="24"/>
          <w:szCs w:val="24"/>
        </w:rPr>
        <w:t xml:space="preserve">also </w:t>
      </w:r>
      <w:r w:rsidRPr="00ED0585">
        <w:rPr>
          <w:sz w:val="24"/>
          <w:szCs w:val="24"/>
        </w:rPr>
        <w:t>includes FERC-61 (Narrative Description Of Service Co. Functions) and FERC-555A</w:t>
      </w:r>
      <w:r w:rsidRPr="00ED0585">
        <w:t xml:space="preserve"> (</w:t>
      </w:r>
      <w:r w:rsidRPr="00ED0585">
        <w:rPr>
          <w:sz w:val="24"/>
          <w:szCs w:val="24"/>
        </w:rPr>
        <w:t xml:space="preserve">Preservation of Records for Holding Cos. and Service Cos. Subject to </w:t>
      </w:r>
      <w:r w:rsidRPr="002123B8">
        <w:rPr>
          <w:sz w:val="24"/>
          <w:szCs w:val="24"/>
        </w:rPr>
        <w:t>Public Utility Holding Company Act of  2005</w:t>
      </w:r>
      <w:r w:rsidRPr="00ED0585">
        <w:rPr>
          <w:sz w:val="24"/>
          <w:szCs w:val="24"/>
        </w:rPr>
        <w:t>), but they are not affected by the Forms Refresh NOPR and not addressed here.  In addition, the regular renewal of the FERC</w:t>
      </w:r>
      <w:r>
        <w:rPr>
          <w:sz w:val="24"/>
          <w:szCs w:val="24"/>
        </w:rPr>
        <w:t xml:space="preserve"> Form No. </w:t>
      </w:r>
      <w:r w:rsidRPr="00ED0585">
        <w:rPr>
          <w:sz w:val="24"/>
          <w:szCs w:val="24"/>
        </w:rPr>
        <w:t>60, FERC-61, and FERC-555A</w:t>
      </w:r>
      <w:r>
        <w:rPr>
          <w:sz w:val="24"/>
          <w:szCs w:val="24"/>
        </w:rPr>
        <w:t xml:space="preserve"> (all included in OMB Control No. 1902-0215) </w:t>
      </w:r>
      <w:r w:rsidRPr="00ED0585">
        <w:rPr>
          <w:sz w:val="24"/>
          <w:szCs w:val="24"/>
        </w:rPr>
        <w:t xml:space="preserve">is </w:t>
      </w:r>
      <w:r>
        <w:rPr>
          <w:sz w:val="24"/>
          <w:szCs w:val="24"/>
        </w:rPr>
        <w:t xml:space="preserve">a </w:t>
      </w:r>
      <w:r w:rsidRPr="00ED0585">
        <w:rPr>
          <w:sz w:val="24"/>
          <w:szCs w:val="24"/>
        </w:rPr>
        <w:t xml:space="preserve">separate </w:t>
      </w:r>
      <w:r>
        <w:rPr>
          <w:sz w:val="24"/>
          <w:szCs w:val="24"/>
        </w:rPr>
        <w:t xml:space="preserve">activity </w:t>
      </w:r>
      <w:r w:rsidRPr="00ED0585">
        <w:rPr>
          <w:sz w:val="24"/>
          <w:szCs w:val="24"/>
        </w:rPr>
        <w:t>from the Forms Refresh effort and not addressed here.</w:t>
      </w:r>
    </w:p>
  </w:footnote>
  <w:footnote w:id="4">
    <w:p w14:paraId="6F870D1E" w14:textId="77777777" w:rsidR="00EA7072" w:rsidRDefault="00EA7072" w:rsidP="009658D5">
      <w:pPr>
        <w:pStyle w:val="FootnoteText"/>
      </w:pPr>
      <w:r>
        <w:rPr>
          <w:rStyle w:val="FootnoteReference"/>
        </w:rPr>
        <w:footnoteRef/>
      </w:r>
      <w:r>
        <w:t xml:space="preserve"> </w:t>
      </w:r>
      <w:r>
        <w:rPr>
          <w:sz w:val="24"/>
          <w:szCs w:val="24"/>
        </w:rPr>
        <w:t xml:space="preserve">There can only be one pending item per OMB Control No. pending OMB review at a time.  </w:t>
      </w:r>
      <w:r w:rsidRPr="00FB6F1D">
        <w:rPr>
          <w:sz w:val="24"/>
          <w:szCs w:val="24"/>
        </w:rPr>
        <w:t>W</w:t>
      </w:r>
      <w:r w:rsidRPr="00594E71">
        <w:rPr>
          <w:sz w:val="24"/>
          <w:szCs w:val="24"/>
        </w:rPr>
        <w:t xml:space="preserve">e plan to transfer any burden </w:t>
      </w:r>
      <w:r>
        <w:rPr>
          <w:sz w:val="24"/>
          <w:szCs w:val="24"/>
        </w:rPr>
        <w:t xml:space="preserve">(related to the FERC Form No. 60A) from the proceeding in Docket No. RM19-12 </w:t>
      </w:r>
      <w:r w:rsidRPr="00594E71">
        <w:rPr>
          <w:sz w:val="24"/>
          <w:szCs w:val="24"/>
        </w:rPr>
        <w:t>to the FERC</w:t>
      </w:r>
      <w:r>
        <w:rPr>
          <w:sz w:val="24"/>
          <w:szCs w:val="24"/>
        </w:rPr>
        <w:t xml:space="preserve"> Form No. 60</w:t>
      </w:r>
      <w:r w:rsidRPr="00594E71">
        <w:rPr>
          <w:sz w:val="24"/>
          <w:szCs w:val="24"/>
        </w:rPr>
        <w:t xml:space="preserve"> when possible.</w:t>
      </w:r>
      <w:r>
        <w:rPr>
          <w:sz w:val="24"/>
          <w:szCs w:val="24"/>
        </w:rPr>
        <w:t xml:space="preserve">  </w:t>
      </w:r>
      <w:r w:rsidRPr="004101B0">
        <w:rPr>
          <w:sz w:val="24"/>
          <w:szCs w:val="24"/>
        </w:rPr>
        <w:t>Some information on the FERC</w:t>
      </w:r>
      <w:r>
        <w:rPr>
          <w:sz w:val="24"/>
          <w:szCs w:val="24"/>
        </w:rPr>
        <w:t xml:space="preserve"> Form No. 60</w:t>
      </w:r>
      <w:r w:rsidRPr="004101B0">
        <w:rPr>
          <w:sz w:val="24"/>
          <w:szCs w:val="24"/>
        </w:rPr>
        <w:t xml:space="preserve"> is included throughout for background.  The FERC-</w:t>
      </w:r>
      <w:r>
        <w:rPr>
          <w:sz w:val="24"/>
          <w:szCs w:val="24"/>
        </w:rPr>
        <w:t>60</w:t>
      </w:r>
      <w:r w:rsidRPr="004101B0">
        <w:rPr>
          <w:sz w:val="24"/>
          <w:szCs w:val="24"/>
        </w:rPr>
        <w:t>A only relates to the conversion to XBRL of the FERC</w:t>
      </w:r>
      <w:r>
        <w:rPr>
          <w:sz w:val="24"/>
          <w:szCs w:val="24"/>
        </w:rPr>
        <w:t xml:space="preserve"> Form No. 60</w:t>
      </w:r>
      <w:r w:rsidRPr="004101B0">
        <w:rPr>
          <w:sz w:val="24"/>
          <w:szCs w:val="24"/>
        </w:rPr>
        <w:t>, as proposed in RM19-12.</w:t>
      </w:r>
    </w:p>
  </w:footnote>
  <w:footnote w:id="5">
    <w:p w14:paraId="2B0F242C" w14:textId="77777777" w:rsidR="00EA7072" w:rsidRPr="00594E71" w:rsidRDefault="00EA7072">
      <w:pPr>
        <w:pStyle w:val="FootnoteText"/>
        <w:rPr>
          <w:sz w:val="24"/>
          <w:szCs w:val="24"/>
        </w:rPr>
      </w:pPr>
      <w:r w:rsidRPr="00FB6F1D">
        <w:rPr>
          <w:rStyle w:val="FootnoteReference"/>
          <w:sz w:val="24"/>
          <w:szCs w:val="24"/>
          <w:vertAlign w:val="superscript"/>
        </w:rPr>
        <w:footnoteRef/>
      </w:r>
      <w:r w:rsidRPr="00FB6F1D">
        <w:rPr>
          <w:sz w:val="24"/>
          <w:szCs w:val="24"/>
        </w:rPr>
        <w:t xml:space="preserve"> </w:t>
      </w:r>
      <w:r>
        <w:rPr>
          <w:sz w:val="24"/>
          <w:szCs w:val="24"/>
        </w:rPr>
        <w:t xml:space="preserve">There can only be one pending item per OMB Control No. pending OMB review at a time.  </w:t>
      </w:r>
      <w:r w:rsidRPr="00FB6F1D">
        <w:rPr>
          <w:sz w:val="24"/>
          <w:szCs w:val="24"/>
        </w:rPr>
        <w:t>W</w:t>
      </w:r>
      <w:r w:rsidRPr="00594E71">
        <w:rPr>
          <w:sz w:val="24"/>
          <w:szCs w:val="24"/>
        </w:rPr>
        <w:t xml:space="preserve">e plan to transfer any burden </w:t>
      </w:r>
      <w:r>
        <w:rPr>
          <w:sz w:val="24"/>
          <w:szCs w:val="24"/>
        </w:rPr>
        <w:t xml:space="preserve">(related to the FERC Form No. 714A) from the proceeding in Docket No. RM19-12 </w:t>
      </w:r>
      <w:r w:rsidRPr="00594E71">
        <w:rPr>
          <w:sz w:val="24"/>
          <w:szCs w:val="24"/>
        </w:rPr>
        <w:t>to the FERC</w:t>
      </w:r>
      <w:r>
        <w:rPr>
          <w:sz w:val="24"/>
          <w:szCs w:val="24"/>
        </w:rPr>
        <w:t xml:space="preserve"> Form No. </w:t>
      </w:r>
      <w:r w:rsidRPr="00594E71">
        <w:rPr>
          <w:sz w:val="24"/>
          <w:szCs w:val="24"/>
        </w:rPr>
        <w:t>714 when possible.</w:t>
      </w:r>
      <w:r>
        <w:rPr>
          <w:sz w:val="24"/>
          <w:szCs w:val="24"/>
        </w:rPr>
        <w:t xml:space="preserve">  Some information on the FERC Form No. 714 is included throughout for background.  The FERC Form No. 714A only relates to the conversion to XBRL of the FERC Form No. 714, as proposed in RM19-12.</w:t>
      </w:r>
    </w:p>
  </w:footnote>
  <w:footnote w:id="6">
    <w:p w14:paraId="7EEB7197" w14:textId="77777777" w:rsidR="00EA7072" w:rsidRPr="00CC72A5" w:rsidRDefault="00EA7072">
      <w:pPr>
        <w:pStyle w:val="FootnoteText"/>
        <w:rPr>
          <w:sz w:val="24"/>
          <w:szCs w:val="24"/>
        </w:rPr>
      </w:pPr>
      <w:r w:rsidRPr="00ED0585">
        <w:rPr>
          <w:rStyle w:val="FootnoteReference"/>
          <w:sz w:val="24"/>
          <w:szCs w:val="24"/>
          <w:vertAlign w:val="superscript"/>
        </w:rPr>
        <w:footnoteRef/>
      </w:r>
      <w:r w:rsidRPr="00CC72A5">
        <w:rPr>
          <w:sz w:val="24"/>
          <w:szCs w:val="24"/>
        </w:rPr>
        <w:t xml:space="preserve"> Unless otherwise specified, the FERC-3Q refers to both the electric and gas version</w:t>
      </w:r>
      <w:r>
        <w:rPr>
          <w:sz w:val="24"/>
          <w:szCs w:val="24"/>
        </w:rPr>
        <w:t>s</w:t>
      </w:r>
      <w:r w:rsidRPr="00CC72A5">
        <w:rPr>
          <w:sz w:val="24"/>
          <w:szCs w:val="24"/>
        </w:rPr>
        <w:t>, which are separate ICs in ROCIS and reginfo.gov.</w:t>
      </w:r>
    </w:p>
  </w:footnote>
  <w:footnote w:id="7">
    <w:p w14:paraId="2971A43E" w14:textId="37B40AFD" w:rsidR="00EA7072" w:rsidRPr="00CC72A5" w:rsidRDefault="00EA7072" w:rsidP="00CC72A5">
      <w:pPr>
        <w:pStyle w:val="FootnoteText"/>
        <w:rPr>
          <w:sz w:val="24"/>
          <w:szCs w:val="24"/>
        </w:rPr>
      </w:pPr>
      <w:r w:rsidRPr="00CC72A5">
        <w:rPr>
          <w:sz w:val="24"/>
          <w:szCs w:val="24"/>
          <w:vertAlign w:val="superscript"/>
        </w:rPr>
        <w:footnoteRef/>
      </w:r>
      <w:r w:rsidRPr="00CC72A5">
        <w:rPr>
          <w:sz w:val="24"/>
          <w:szCs w:val="24"/>
          <w:vertAlign w:val="superscript"/>
        </w:rPr>
        <w:t xml:space="preserve"> </w:t>
      </w:r>
      <w:r w:rsidRPr="00CC72A5">
        <w:rPr>
          <w:sz w:val="24"/>
          <w:szCs w:val="24"/>
        </w:rPr>
        <w:t>18 CFR § 1</w:t>
      </w:r>
      <w:r>
        <w:rPr>
          <w:sz w:val="24"/>
          <w:szCs w:val="24"/>
        </w:rPr>
        <w:t>41.1</w:t>
      </w:r>
      <w:r w:rsidRPr="00CC72A5">
        <w:rPr>
          <w:sz w:val="24"/>
          <w:szCs w:val="24"/>
        </w:rPr>
        <w:t>.  Nonoperating entities formerly designated as Major and new entities that expect to be in the Major category should file as detailed in 18 CFR § 101</w:t>
      </w:r>
      <w:r>
        <w:rPr>
          <w:sz w:val="24"/>
          <w:szCs w:val="24"/>
        </w:rPr>
        <w:t>, General Instructions (1)(A)(3)</w:t>
      </w:r>
      <w:r w:rsidRPr="00CC72A5">
        <w:rPr>
          <w:sz w:val="24"/>
          <w:szCs w:val="24"/>
        </w:rPr>
        <w:t>.</w:t>
      </w:r>
    </w:p>
  </w:footnote>
  <w:footnote w:id="8">
    <w:p w14:paraId="07B6B811" w14:textId="6C8AF7B0" w:rsidR="00EA7072" w:rsidRDefault="00EA7072" w:rsidP="00CC72A5">
      <w:pPr>
        <w:pStyle w:val="FootnoteText"/>
        <w:rPr>
          <w:szCs w:val="26"/>
        </w:rPr>
      </w:pPr>
      <w:r w:rsidRPr="00CC72A5">
        <w:rPr>
          <w:sz w:val="24"/>
          <w:szCs w:val="24"/>
          <w:vertAlign w:val="superscript"/>
        </w:rPr>
        <w:footnoteRef/>
      </w:r>
      <w:r w:rsidRPr="00CC72A5">
        <w:rPr>
          <w:sz w:val="24"/>
          <w:szCs w:val="24"/>
          <w:vertAlign w:val="superscript"/>
        </w:rPr>
        <w:t xml:space="preserve"> </w:t>
      </w:r>
      <w:r w:rsidRPr="00CC72A5">
        <w:rPr>
          <w:sz w:val="24"/>
          <w:szCs w:val="24"/>
        </w:rPr>
        <w:t>18 CFR § 1</w:t>
      </w:r>
      <w:r>
        <w:rPr>
          <w:sz w:val="24"/>
          <w:szCs w:val="24"/>
        </w:rPr>
        <w:t>41.2</w:t>
      </w:r>
      <w:r w:rsidRPr="00CC72A5">
        <w:rPr>
          <w:sz w:val="24"/>
          <w:szCs w:val="24"/>
        </w:rPr>
        <w:t>.  Nonoperating entities formerly designated as Nonmajor and new entities that expect to be in the Nonmajor category should file as detailed in 18 CFR § 101</w:t>
      </w:r>
      <w:r>
        <w:rPr>
          <w:sz w:val="24"/>
          <w:szCs w:val="24"/>
        </w:rPr>
        <w:t>, General Instructions (1)(A)(2)</w:t>
      </w:r>
      <w:r w:rsidRPr="00CC72A5">
        <w:rPr>
          <w:sz w:val="24"/>
          <w:szCs w:val="24"/>
        </w:rPr>
        <w:t>.</w:t>
      </w:r>
    </w:p>
  </w:footnote>
  <w:footnote w:id="9">
    <w:p w14:paraId="07C019FA" w14:textId="67B7196D" w:rsidR="00EA7072" w:rsidRPr="00F8004A" w:rsidRDefault="00EA7072" w:rsidP="00CC72A5">
      <w:pPr>
        <w:pStyle w:val="FootnoteText"/>
        <w:rPr>
          <w:sz w:val="24"/>
          <w:szCs w:val="24"/>
        </w:rPr>
      </w:pPr>
      <w:r w:rsidRPr="00F8004A">
        <w:rPr>
          <w:rStyle w:val="FootnoteReference"/>
          <w:rFonts w:eastAsia="Calibri"/>
          <w:sz w:val="24"/>
          <w:szCs w:val="24"/>
          <w:vertAlign w:val="superscript"/>
        </w:rPr>
        <w:footnoteRef/>
      </w:r>
      <w:r w:rsidRPr="00F8004A">
        <w:rPr>
          <w:sz w:val="24"/>
          <w:szCs w:val="24"/>
        </w:rPr>
        <w:t xml:space="preserve"> 18 CFR 260.1(b)</w:t>
      </w:r>
      <w:r>
        <w:rPr>
          <w:sz w:val="24"/>
          <w:szCs w:val="24"/>
        </w:rPr>
        <w:t>.</w:t>
      </w:r>
      <w:r w:rsidRPr="00F8004A">
        <w:rPr>
          <w:sz w:val="24"/>
          <w:szCs w:val="24"/>
        </w:rPr>
        <w:t xml:space="preserve"> For natural gas, </w:t>
      </w:r>
      <w:r>
        <w:rPr>
          <w:sz w:val="24"/>
          <w:szCs w:val="24"/>
        </w:rPr>
        <w:t>“</w:t>
      </w:r>
      <w:r w:rsidRPr="00F8004A">
        <w:rPr>
          <w:sz w:val="24"/>
          <w:szCs w:val="24"/>
        </w:rPr>
        <w:t>Major</w:t>
      </w:r>
      <w:r>
        <w:rPr>
          <w:sz w:val="24"/>
          <w:szCs w:val="24"/>
        </w:rPr>
        <w:t xml:space="preserve">” </w:t>
      </w:r>
      <w:r w:rsidRPr="00F8004A">
        <w:rPr>
          <w:sz w:val="24"/>
          <w:szCs w:val="24"/>
        </w:rPr>
        <w:t>pertains to a company whose combined gas transported or stored for a fee exceed 50 million Dth in each of the three previous calendar years</w:t>
      </w:r>
      <w:r>
        <w:rPr>
          <w:sz w:val="24"/>
          <w:szCs w:val="24"/>
        </w:rPr>
        <w:t>.</w:t>
      </w:r>
      <w:r w:rsidRPr="00F8004A">
        <w:rPr>
          <w:sz w:val="24"/>
          <w:szCs w:val="24"/>
        </w:rPr>
        <w:t xml:space="preserve"> 18 CFR 260.2(b)</w:t>
      </w:r>
      <w:r>
        <w:rPr>
          <w:sz w:val="24"/>
          <w:szCs w:val="24"/>
        </w:rPr>
        <w:t>.</w:t>
      </w:r>
      <w:r w:rsidRPr="00F8004A">
        <w:rPr>
          <w:sz w:val="24"/>
          <w:szCs w:val="24"/>
        </w:rPr>
        <w:t xml:space="preserve"> </w:t>
      </w:r>
      <w:r>
        <w:rPr>
          <w:sz w:val="24"/>
          <w:szCs w:val="24"/>
        </w:rPr>
        <w:t xml:space="preserve"> “</w:t>
      </w:r>
      <w:r w:rsidRPr="00F8004A">
        <w:rPr>
          <w:sz w:val="24"/>
          <w:szCs w:val="24"/>
        </w:rPr>
        <w:t>Nonmajor</w:t>
      </w:r>
      <w:r>
        <w:rPr>
          <w:sz w:val="24"/>
          <w:szCs w:val="24"/>
        </w:rPr>
        <w:t>”</w:t>
      </w:r>
      <w:r w:rsidRPr="00F8004A">
        <w:rPr>
          <w:sz w:val="24"/>
          <w:szCs w:val="24"/>
        </w:rPr>
        <w:t xml:space="preserve"> pertains to a company not meeting the filing threshold for Major, but having total gas sales or volume transactions exceeding 200,000 Dth in each of the three previous calendar years.</w:t>
      </w:r>
    </w:p>
  </w:footnote>
  <w:footnote w:id="10">
    <w:p w14:paraId="6FB14F54" w14:textId="77777777" w:rsidR="00EA7072" w:rsidRDefault="00EA7072" w:rsidP="002F405E">
      <w:pPr>
        <w:pStyle w:val="FootnoteText"/>
        <w:rPr>
          <w:sz w:val="22"/>
          <w:szCs w:val="22"/>
        </w:rPr>
      </w:pPr>
      <w:r w:rsidRPr="005C5FA3">
        <w:rPr>
          <w:rStyle w:val="FootnoteReference"/>
          <w:rFonts w:eastAsia="Calibri"/>
          <w:sz w:val="24"/>
          <w:szCs w:val="24"/>
          <w:vertAlign w:val="superscript"/>
        </w:rPr>
        <w:footnoteRef/>
      </w:r>
      <w:r w:rsidRPr="005C5FA3">
        <w:rPr>
          <w:sz w:val="24"/>
          <w:szCs w:val="24"/>
        </w:rPr>
        <w:t xml:space="preserve"> </w:t>
      </w:r>
      <w:r w:rsidRPr="005C5FA3">
        <w:rPr>
          <w:i/>
          <w:sz w:val="24"/>
          <w:szCs w:val="24"/>
        </w:rPr>
        <w:t>Cost of Service Requirements and Filing Requirements for Oil Pipelines</w:t>
      </w:r>
      <w:r w:rsidRPr="005C5FA3">
        <w:rPr>
          <w:sz w:val="24"/>
          <w:szCs w:val="24"/>
        </w:rPr>
        <w:t>, Order No. 571, FERC Stats. &amp; Regs., Regulation Preambles Jan. 1991- June 1996 ¶ 31,006, at p. 31,169 (1995).</w:t>
      </w:r>
    </w:p>
  </w:footnote>
  <w:footnote w:id="11">
    <w:p w14:paraId="003D3C9C" w14:textId="77777777" w:rsidR="00EA7072" w:rsidRPr="00973DE4" w:rsidRDefault="00EA7072">
      <w:pPr>
        <w:pStyle w:val="FootnoteText"/>
        <w:rPr>
          <w:sz w:val="24"/>
          <w:szCs w:val="24"/>
        </w:rPr>
      </w:pPr>
      <w:r w:rsidRPr="002D7472">
        <w:rPr>
          <w:rStyle w:val="FootnoteReference"/>
          <w:sz w:val="24"/>
          <w:szCs w:val="24"/>
          <w:vertAlign w:val="superscript"/>
        </w:rPr>
        <w:footnoteRef/>
      </w:r>
      <w:r w:rsidRPr="002D7472">
        <w:rPr>
          <w:sz w:val="24"/>
          <w:szCs w:val="24"/>
        </w:rPr>
        <w:t xml:space="preserve"> </w:t>
      </w:r>
      <w:r>
        <w:rPr>
          <w:sz w:val="24"/>
          <w:szCs w:val="24"/>
        </w:rPr>
        <w:t xml:space="preserve">The Commission established an indexing methodology that allows oil pipelines to change their rates subject to certain ceiling levels instead of making cost-of-service filings.  The Commission reviews the index level every five years to ensure it adequately reflects changes to industry costs.  </w:t>
      </w:r>
    </w:p>
  </w:footnote>
  <w:footnote w:id="12">
    <w:p w14:paraId="484AE026" w14:textId="77777777" w:rsidR="00EA7072" w:rsidRPr="005C5FA3" w:rsidRDefault="00EA7072" w:rsidP="00CC72A5">
      <w:pPr>
        <w:pStyle w:val="FootnoteText"/>
        <w:rPr>
          <w:sz w:val="24"/>
          <w:szCs w:val="24"/>
        </w:rPr>
      </w:pPr>
      <w:r w:rsidRPr="005C5FA3">
        <w:rPr>
          <w:rStyle w:val="FootnoteReference"/>
          <w:rFonts w:eastAsia="Calibri"/>
          <w:sz w:val="24"/>
          <w:szCs w:val="24"/>
          <w:vertAlign w:val="superscript"/>
        </w:rPr>
        <w:footnoteRef/>
      </w:r>
      <w:r w:rsidRPr="005C5FA3">
        <w:rPr>
          <w:sz w:val="24"/>
          <w:szCs w:val="24"/>
        </w:rPr>
        <w:t xml:space="preserve"> </w:t>
      </w:r>
      <w:r w:rsidRPr="00F45526">
        <w:rPr>
          <w:i/>
          <w:sz w:val="24"/>
          <w:szCs w:val="24"/>
        </w:rPr>
        <w:t>See</w:t>
      </w:r>
      <w:r w:rsidRPr="005C5FA3">
        <w:rPr>
          <w:sz w:val="24"/>
          <w:szCs w:val="24"/>
        </w:rPr>
        <w:t xml:space="preserve"> 18 CFR Part 101 (Uniform System Of Accounts Prescribed For Public Utilities And Licensees Subject To The Provisions Of The Federal Power Act</w:t>
      </w:r>
      <w:r>
        <w:rPr>
          <w:sz w:val="24"/>
          <w:szCs w:val="24"/>
        </w:rPr>
        <w:t>).</w:t>
      </w:r>
    </w:p>
  </w:footnote>
  <w:footnote w:id="13">
    <w:p w14:paraId="7B85E37A" w14:textId="77777777" w:rsidR="00EA7072" w:rsidRPr="005C5FA3" w:rsidRDefault="00EA7072" w:rsidP="00A326E2">
      <w:pPr>
        <w:pStyle w:val="FootnoteText"/>
        <w:rPr>
          <w:sz w:val="24"/>
          <w:szCs w:val="24"/>
        </w:rPr>
      </w:pPr>
      <w:r w:rsidRPr="005C5FA3">
        <w:rPr>
          <w:rStyle w:val="FootnoteReference"/>
          <w:rFonts w:eastAsia="Calibri"/>
          <w:sz w:val="24"/>
          <w:szCs w:val="24"/>
          <w:vertAlign w:val="superscript"/>
        </w:rPr>
        <w:footnoteRef/>
      </w:r>
      <w:r w:rsidRPr="005C5FA3">
        <w:rPr>
          <w:sz w:val="24"/>
          <w:szCs w:val="24"/>
        </w:rPr>
        <w:t xml:space="preserve"> </w:t>
      </w:r>
      <w:r w:rsidRPr="00F45526">
        <w:rPr>
          <w:i/>
          <w:sz w:val="24"/>
          <w:szCs w:val="24"/>
        </w:rPr>
        <w:t>See</w:t>
      </w:r>
      <w:r w:rsidRPr="005C5FA3">
        <w:rPr>
          <w:sz w:val="24"/>
          <w:szCs w:val="24"/>
        </w:rPr>
        <w:t xml:space="preserve"> 18 CFR Part 201 (Uniform System Of Accounts Prescribed For Natural Gas Companies Subject To The Provisions Of The Natural Gas Act).</w:t>
      </w:r>
    </w:p>
  </w:footnote>
  <w:footnote w:id="14">
    <w:p w14:paraId="483B3396" w14:textId="77777777" w:rsidR="00EA7072" w:rsidRPr="005C5FA3" w:rsidRDefault="00EA7072" w:rsidP="005C5FA3">
      <w:pPr>
        <w:pStyle w:val="FootnoteText"/>
        <w:rPr>
          <w:sz w:val="24"/>
          <w:szCs w:val="24"/>
        </w:rPr>
      </w:pPr>
      <w:r w:rsidRPr="005C5FA3">
        <w:rPr>
          <w:rStyle w:val="FootnoteReference"/>
          <w:rFonts w:eastAsia="Calibri"/>
          <w:sz w:val="24"/>
          <w:szCs w:val="24"/>
          <w:vertAlign w:val="superscript"/>
        </w:rPr>
        <w:footnoteRef/>
      </w:r>
      <w:r w:rsidRPr="005C5FA3">
        <w:rPr>
          <w:sz w:val="24"/>
          <w:szCs w:val="24"/>
          <w:vertAlign w:val="superscript"/>
        </w:rPr>
        <w:t xml:space="preserve"> </w:t>
      </w:r>
      <w:r w:rsidRPr="0032632B">
        <w:rPr>
          <w:sz w:val="24"/>
          <w:szCs w:val="24"/>
        </w:rPr>
        <w:t xml:space="preserve">See </w:t>
      </w:r>
      <w:r w:rsidRPr="005C5FA3">
        <w:rPr>
          <w:sz w:val="24"/>
          <w:szCs w:val="24"/>
        </w:rPr>
        <w:t>18 CFR Part 352, Uniform Systems Of Accounts Prescribed For Oil Pipeline Companies Subject To The Provisions Of The Interstate Commerce Act</w:t>
      </w:r>
      <w:r>
        <w:rPr>
          <w:sz w:val="24"/>
          <w:szCs w:val="24"/>
        </w:rPr>
        <w:t>.</w:t>
      </w:r>
    </w:p>
  </w:footnote>
  <w:footnote w:id="15">
    <w:p w14:paraId="2236E29A" w14:textId="77777777" w:rsidR="00EA7072" w:rsidRPr="00F1537F" w:rsidRDefault="00EA7072" w:rsidP="00F0627E">
      <w:pPr>
        <w:pStyle w:val="FootnoteText"/>
        <w:rPr>
          <w:sz w:val="24"/>
          <w:szCs w:val="24"/>
        </w:rPr>
      </w:pPr>
      <w:r w:rsidRPr="001968EA">
        <w:rPr>
          <w:rStyle w:val="FootnoteReference"/>
          <w:sz w:val="24"/>
          <w:szCs w:val="24"/>
          <w:vertAlign w:val="superscript"/>
        </w:rPr>
        <w:footnoteRef/>
      </w:r>
      <w:r w:rsidRPr="00F1537F">
        <w:rPr>
          <w:sz w:val="24"/>
          <w:szCs w:val="24"/>
        </w:rPr>
        <w:t xml:space="preserve"> 18 C.F.R. </w:t>
      </w:r>
      <w:r>
        <w:rPr>
          <w:sz w:val="24"/>
          <w:szCs w:val="24"/>
        </w:rPr>
        <w:t xml:space="preserve">§ </w:t>
      </w:r>
      <w:r w:rsidRPr="00F1537F">
        <w:rPr>
          <w:sz w:val="24"/>
          <w:szCs w:val="24"/>
        </w:rPr>
        <w:t>388.112</w:t>
      </w:r>
      <w:r>
        <w:rPr>
          <w:sz w:val="24"/>
          <w:szCs w:val="24"/>
        </w:rPr>
        <w:t xml:space="preserve">.  More information on the CEII definition, program and requirements is posted at </w:t>
      </w:r>
      <w:hyperlink r:id="rId3" w:history="1">
        <w:r w:rsidRPr="0078701D">
          <w:rPr>
            <w:rStyle w:val="Hyperlink"/>
            <w:sz w:val="24"/>
            <w:szCs w:val="24"/>
          </w:rPr>
          <w:t>http://www.ferc.gov/legal/ceii-foia/ceii.asp</w:t>
        </w:r>
      </w:hyperlink>
      <w:r>
        <w:rPr>
          <w:sz w:val="24"/>
          <w:szCs w:val="24"/>
        </w:rPr>
        <w:t xml:space="preserve">. </w:t>
      </w:r>
    </w:p>
  </w:footnote>
  <w:footnote w:id="16">
    <w:p w14:paraId="2E9FF102" w14:textId="77777777" w:rsidR="00EA7072" w:rsidRPr="005C5FA3" w:rsidRDefault="00EA7072" w:rsidP="009E3BA7">
      <w:pPr>
        <w:pStyle w:val="FootnoteText"/>
        <w:rPr>
          <w:sz w:val="24"/>
          <w:szCs w:val="24"/>
        </w:rPr>
      </w:pPr>
      <w:r w:rsidRPr="005C5FA3">
        <w:rPr>
          <w:rStyle w:val="FootnoteReference"/>
          <w:sz w:val="24"/>
          <w:szCs w:val="24"/>
          <w:vertAlign w:val="superscript"/>
        </w:rPr>
        <w:footnoteRef/>
      </w:r>
      <w:r w:rsidRPr="005C5FA3">
        <w:rPr>
          <w:sz w:val="24"/>
          <w:szCs w:val="24"/>
          <w:vertAlign w:val="superscript"/>
        </w:rPr>
        <w:t xml:space="preserve"> </w:t>
      </w:r>
      <w:r w:rsidRPr="005C5FA3">
        <w:rPr>
          <w:sz w:val="24"/>
          <w:szCs w:val="24"/>
        </w:rPr>
        <w:t>The internal burden hours for tagging Form Nos. 1 and 3-Q electric are combined because the annual information reported in Form No. 1 is a compilation of the information reported in the prior three quarters in Form Nos. 3-Q electric in addition to the fourth quarter.  Similarly, we have combined the number of internal burden hours for tagging the Form Nos. 2 and 3-Q natural gas and the Form Nos. 6 and 6-Q, respectively, because the annual Form Nos. 2 and 6 are based on a compilation of the information reported in the prior three quarters in Form Nos. 3-Q natural gas and 6-Q in addition to the fourth quarter.</w:t>
      </w:r>
    </w:p>
  </w:footnote>
  <w:footnote w:id="17">
    <w:p w14:paraId="48EDA302" w14:textId="77777777" w:rsidR="00EA7072" w:rsidRPr="005C5FA3" w:rsidRDefault="00EA7072" w:rsidP="009E3BA7">
      <w:pPr>
        <w:pStyle w:val="FootnoteText"/>
        <w:rPr>
          <w:sz w:val="24"/>
          <w:szCs w:val="24"/>
        </w:rPr>
      </w:pPr>
      <w:r w:rsidRPr="005C5FA3">
        <w:rPr>
          <w:rStyle w:val="FootnoteReference"/>
          <w:sz w:val="24"/>
          <w:szCs w:val="24"/>
          <w:vertAlign w:val="superscript"/>
        </w:rPr>
        <w:footnoteRef/>
      </w:r>
      <w:r w:rsidRPr="005C5FA3">
        <w:rPr>
          <w:sz w:val="24"/>
          <w:szCs w:val="24"/>
          <w:vertAlign w:val="superscript"/>
        </w:rPr>
        <w:t xml:space="preserve"> </w:t>
      </w:r>
      <w:r w:rsidRPr="005C5FA3">
        <w:rPr>
          <w:sz w:val="24"/>
          <w:szCs w:val="24"/>
        </w:rPr>
        <w:t>The average burden and cost per response is calculated using the hourly wage figures described in detail below.</w:t>
      </w:r>
    </w:p>
  </w:footnote>
  <w:footnote w:id="18">
    <w:p w14:paraId="5F934FED" w14:textId="77777777" w:rsidR="00EA7072" w:rsidRPr="005C5FA3" w:rsidRDefault="00EA7072" w:rsidP="009E3BA7">
      <w:pPr>
        <w:pStyle w:val="FootnoteText"/>
        <w:rPr>
          <w:sz w:val="24"/>
          <w:szCs w:val="24"/>
        </w:rPr>
      </w:pPr>
      <w:r w:rsidRPr="005C5FA3">
        <w:rPr>
          <w:rStyle w:val="FootnoteReference"/>
          <w:sz w:val="24"/>
          <w:szCs w:val="24"/>
          <w:vertAlign w:val="superscript"/>
        </w:rPr>
        <w:footnoteRef/>
      </w:r>
      <w:r w:rsidRPr="005C5FA3">
        <w:rPr>
          <w:sz w:val="24"/>
          <w:szCs w:val="24"/>
        </w:rPr>
        <w:t xml:space="preserve"> Every figure in this column is rounded to the nearest dollar.</w:t>
      </w:r>
    </w:p>
  </w:footnote>
  <w:footnote w:id="19">
    <w:p w14:paraId="316E2CE3" w14:textId="77777777" w:rsidR="00EA7072" w:rsidRPr="005C5FA3" w:rsidRDefault="00EA7072" w:rsidP="009E3BA7">
      <w:pPr>
        <w:pStyle w:val="FootnoteText"/>
        <w:rPr>
          <w:sz w:val="24"/>
          <w:szCs w:val="24"/>
        </w:rPr>
      </w:pPr>
      <w:r w:rsidRPr="005C5FA3">
        <w:rPr>
          <w:rStyle w:val="FootnoteReference"/>
          <w:sz w:val="24"/>
          <w:szCs w:val="24"/>
          <w:vertAlign w:val="superscript"/>
        </w:rPr>
        <w:footnoteRef/>
      </w:r>
      <w:r w:rsidRPr="005C5FA3">
        <w:rPr>
          <w:sz w:val="24"/>
          <w:szCs w:val="24"/>
          <w:vertAlign w:val="superscript"/>
        </w:rPr>
        <w:t xml:space="preserve"> </w:t>
      </w:r>
      <w:r w:rsidRPr="005C5FA3">
        <w:rPr>
          <w:sz w:val="24"/>
          <w:szCs w:val="24"/>
        </w:rPr>
        <w:t>There is no change to the internal burden hours for filing Form Nos. 3-Q electric, 3-Q natural gas, and 6-Q because the burden hours associated with these quarterly forms are included in the burden hours calculated for filing Form Nos. 1, 2, and 6.</w:t>
      </w:r>
    </w:p>
  </w:footnote>
  <w:footnote w:id="20">
    <w:p w14:paraId="6ABCC89E" w14:textId="77777777" w:rsidR="00EA7072" w:rsidRDefault="00EA7072" w:rsidP="009E3BA7">
      <w:pPr>
        <w:pStyle w:val="FootnoteText"/>
      </w:pPr>
      <w:r w:rsidRPr="005C5FA3">
        <w:rPr>
          <w:rStyle w:val="FootnoteReference"/>
          <w:sz w:val="24"/>
          <w:szCs w:val="24"/>
          <w:vertAlign w:val="superscript"/>
        </w:rPr>
        <w:footnoteRef/>
      </w:r>
      <w:r w:rsidRPr="005C5FA3">
        <w:rPr>
          <w:sz w:val="24"/>
          <w:szCs w:val="24"/>
          <w:vertAlign w:val="superscript"/>
        </w:rPr>
        <w:t xml:space="preserve"> </w:t>
      </w:r>
      <w:r w:rsidRPr="005C5FA3">
        <w:rPr>
          <w:sz w:val="24"/>
          <w:szCs w:val="24"/>
        </w:rPr>
        <w:t>This total number of responses does not include the responses for Form Nos. 3-Q electric, 3-Q natural gas, or 6-Q because the burden hours for tagging Form Nos. 1, 2, and 6 include the number of hours required to tag the quarterly responses.  The quarterly filings are generally a subset of the annual filings.</w:t>
      </w:r>
    </w:p>
  </w:footnote>
  <w:footnote w:id="21">
    <w:p w14:paraId="67695287" w14:textId="77777777" w:rsidR="00EA7072" w:rsidRPr="005C5FA3" w:rsidRDefault="00EA7072" w:rsidP="009E3BA7">
      <w:pPr>
        <w:pStyle w:val="FootnoteText"/>
        <w:rPr>
          <w:sz w:val="24"/>
          <w:szCs w:val="24"/>
        </w:rPr>
      </w:pPr>
      <w:r w:rsidRPr="005C5FA3">
        <w:rPr>
          <w:rStyle w:val="FootnoteReference"/>
          <w:sz w:val="24"/>
          <w:szCs w:val="24"/>
          <w:vertAlign w:val="superscript"/>
        </w:rPr>
        <w:footnoteRef/>
      </w:r>
      <w:r w:rsidRPr="005C5FA3">
        <w:rPr>
          <w:sz w:val="24"/>
          <w:szCs w:val="24"/>
        </w:rPr>
        <w:t xml:space="preserve"> The average burden and cost per response is calculated using the hourly wage figures described in detail below.</w:t>
      </w:r>
    </w:p>
  </w:footnote>
  <w:footnote w:id="22">
    <w:p w14:paraId="4E8FEBEB" w14:textId="77777777" w:rsidR="00EA7072" w:rsidRPr="005C5FA3" w:rsidRDefault="00EA7072" w:rsidP="009E3BA7">
      <w:pPr>
        <w:pStyle w:val="FootnoteText"/>
        <w:rPr>
          <w:sz w:val="24"/>
          <w:szCs w:val="24"/>
        </w:rPr>
      </w:pPr>
      <w:r w:rsidRPr="005C5FA3">
        <w:rPr>
          <w:rStyle w:val="FootnoteReference"/>
          <w:sz w:val="24"/>
          <w:szCs w:val="24"/>
          <w:vertAlign w:val="superscript"/>
        </w:rPr>
        <w:footnoteRef/>
      </w:r>
      <w:r w:rsidRPr="005C5FA3">
        <w:rPr>
          <w:sz w:val="24"/>
          <w:szCs w:val="24"/>
        </w:rPr>
        <w:t xml:space="preserve"> Every figure in this column is rounded to the nearest dollar.</w:t>
      </w:r>
    </w:p>
  </w:footnote>
  <w:footnote w:id="23">
    <w:p w14:paraId="025A7F46" w14:textId="77777777" w:rsidR="00EA7072" w:rsidRDefault="00EA7072" w:rsidP="009E3BA7">
      <w:pPr>
        <w:pStyle w:val="FootnoteText"/>
      </w:pPr>
      <w:r w:rsidRPr="005C5FA3">
        <w:rPr>
          <w:rStyle w:val="FootnoteReference"/>
          <w:sz w:val="24"/>
          <w:szCs w:val="24"/>
          <w:vertAlign w:val="superscript"/>
        </w:rPr>
        <w:footnoteRef/>
      </w:r>
      <w:r w:rsidRPr="005C5FA3">
        <w:rPr>
          <w:sz w:val="24"/>
          <w:szCs w:val="24"/>
        </w:rPr>
        <w:t xml:space="preserve"> This total number of responses does not include the responses for Form Nos. 3-Q electric, 3-Q natural gas, or 6-Q because the burden hours for tagging Form Nos. 1, 2, and 6 include the number of hours required to tag the quarterly responses.  The quarterly filings are generally a subset of the annual filings.</w:t>
      </w:r>
    </w:p>
  </w:footnote>
  <w:footnote w:id="24">
    <w:p w14:paraId="64D15F4B" w14:textId="77777777" w:rsidR="00EA7072" w:rsidRPr="001D7B2E" w:rsidRDefault="00EA7072" w:rsidP="009E3BA7">
      <w:pPr>
        <w:pStyle w:val="FootnoteText"/>
        <w:rPr>
          <w:sz w:val="24"/>
          <w:szCs w:val="24"/>
        </w:rPr>
      </w:pPr>
      <w:r w:rsidRPr="001D7B2E">
        <w:rPr>
          <w:rStyle w:val="FootnoteReference"/>
          <w:sz w:val="24"/>
          <w:szCs w:val="24"/>
          <w:vertAlign w:val="superscript"/>
        </w:rPr>
        <w:footnoteRef/>
      </w:r>
      <w:r w:rsidRPr="001D7B2E">
        <w:rPr>
          <w:sz w:val="24"/>
          <w:szCs w:val="24"/>
          <w:vertAlign w:val="superscript"/>
        </w:rPr>
        <w:t xml:space="preserve"> </w:t>
      </w:r>
      <w:r w:rsidRPr="001D7B2E">
        <w:rPr>
          <w:sz w:val="24"/>
          <w:szCs w:val="24"/>
        </w:rPr>
        <w:t>This total number of responses does not include the responses for Form Nos. 3-Q electric, 3-Q natural gas, or 6-Q because the burden hours for tagging Form Nos. 1, 2, and 6 include the number of hours required to tag the quarterly responses.  The quarterly filings are generally a subset of the annual filings.</w:t>
      </w:r>
    </w:p>
  </w:footnote>
  <w:footnote w:id="25">
    <w:p w14:paraId="41C655F7" w14:textId="421926AE" w:rsidR="00EA7072" w:rsidRPr="005E0B91" w:rsidRDefault="00EA7072">
      <w:pPr>
        <w:pStyle w:val="FootnoteText"/>
        <w:rPr>
          <w:sz w:val="24"/>
          <w:szCs w:val="24"/>
        </w:rPr>
      </w:pPr>
      <w:r w:rsidRPr="005E0B91">
        <w:rPr>
          <w:rStyle w:val="FootnoteReference"/>
          <w:sz w:val="24"/>
          <w:szCs w:val="24"/>
          <w:vertAlign w:val="superscript"/>
        </w:rPr>
        <w:footnoteRef/>
      </w:r>
      <w:r w:rsidRPr="005E0B91">
        <w:rPr>
          <w:sz w:val="24"/>
          <w:szCs w:val="24"/>
        </w:rPr>
        <w:t xml:space="preserve"> This cost is estimated based on 16% of the out-of-pocket cost for software and filing agent services that the SEC estimated that filers would incur when the SEC mandated reporting of financial information in XBRL in its final rule on Interactive Data to Improve Financial Reporting (issued on January 30, 2009).  (See page 117 of the SEC Final Rule).</w:t>
      </w:r>
    </w:p>
  </w:footnote>
  <w:footnote w:id="26">
    <w:p w14:paraId="59E7A599" w14:textId="34447842" w:rsidR="00EA7072" w:rsidRPr="005E0B91" w:rsidRDefault="00EA7072" w:rsidP="005E0B91">
      <w:pPr>
        <w:pStyle w:val="CommentText"/>
        <w:spacing w:after="0"/>
        <w:rPr>
          <w:sz w:val="24"/>
          <w:szCs w:val="24"/>
        </w:rPr>
      </w:pPr>
      <w:r w:rsidRPr="005E0B91">
        <w:rPr>
          <w:rStyle w:val="FootnoteReference"/>
          <w:rFonts w:ascii="Times New Roman" w:hAnsi="Times New Roman"/>
          <w:sz w:val="24"/>
          <w:szCs w:val="24"/>
          <w:vertAlign w:val="superscript"/>
        </w:rPr>
        <w:footnoteRef/>
      </w:r>
      <w:r w:rsidRPr="005E0B91">
        <w:rPr>
          <w:rFonts w:ascii="Times New Roman" w:hAnsi="Times New Roman"/>
          <w:sz w:val="24"/>
          <w:szCs w:val="24"/>
        </w:rPr>
        <w:t xml:space="preserve"> </w:t>
      </w:r>
      <w:r w:rsidRPr="005E0B91">
        <w:rPr>
          <w:rStyle w:val="CommentReference"/>
          <w:rFonts w:ascii="Times New Roman" w:hAnsi="Times New Roman"/>
          <w:sz w:val="24"/>
          <w:szCs w:val="24"/>
        </w:rPr>
        <w:t/>
      </w:r>
      <w:r w:rsidRPr="005E0B91">
        <w:rPr>
          <w:rFonts w:ascii="Times New Roman" w:hAnsi="Times New Roman"/>
          <w:sz w:val="24"/>
          <w:szCs w:val="24"/>
        </w:rPr>
        <w:t>This cost is estimated based on 16% of the out-of-pocket cost for software and filing agent services that the SEC estimated that filers would incur when the SEC mandated reporting of financial information in XBRL in its final rule on Interactive Data to Improve Financial Reporting (issued on January 30, 2009).  (See page 117 of the SEC Final Rule).  This is a considerably smaller collection than the others that are grouped together, yet this is still a conservatively high estimate based on the number of fields in the collection, its length, and its complexity.</w:t>
      </w:r>
    </w:p>
  </w:footnote>
  <w:footnote w:id="27">
    <w:p w14:paraId="1D97E107" w14:textId="14EB22FC" w:rsidR="00EA7072" w:rsidRPr="005E0B91" w:rsidRDefault="00EA7072" w:rsidP="00DE55CB">
      <w:pPr>
        <w:pStyle w:val="FootnoteText"/>
        <w:rPr>
          <w:sz w:val="24"/>
          <w:szCs w:val="24"/>
        </w:rPr>
      </w:pPr>
      <w:r w:rsidRPr="005E0B91">
        <w:rPr>
          <w:rStyle w:val="FootnoteReference"/>
          <w:sz w:val="24"/>
          <w:szCs w:val="24"/>
          <w:vertAlign w:val="superscript"/>
        </w:rPr>
        <w:footnoteRef/>
      </w:r>
      <w:r w:rsidRPr="005E0B91">
        <w:rPr>
          <w:sz w:val="24"/>
          <w:szCs w:val="24"/>
          <w:vertAlign w:val="superscript"/>
        </w:rPr>
        <w:t xml:space="preserve"> </w:t>
      </w:r>
      <w:r w:rsidRPr="005E0B91">
        <w:rPr>
          <w:sz w:val="24"/>
          <w:szCs w:val="24"/>
        </w:rPr>
        <w:t>This cost is estimated based on 12% of the of the out-of-pocket cost for software and filing agent services that the SEC estimated that filers would incur when the SEC mandated reporting of financial information in XBRL in its final rule on Interactive Data to Improve Financial Reporting (issued on January 30, 2009).  (See page 117 of the Final Rule).  This is an even smaller collection than the other forms, yet this is still a conservatively high estimate based on the number of fields in the collection, its length, and its complexity.</w:t>
      </w:r>
    </w:p>
  </w:footnote>
  <w:footnote w:id="28">
    <w:p w14:paraId="4F41A94C" w14:textId="77777777" w:rsidR="00EA7072" w:rsidRPr="00C75FFF" w:rsidRDefault="00EA7072">
      <w:pPr>
        <w:pStyle w:val="FootnoteText"/>
        <w:rPr>
          <w:sz w:val="24"/>
          <w:szCs w:val="24"/>
        </w:rPr>
      </w:pPr>
      <w:r w:rsidRPr="00C75FFF">
        <w:rPr>
          <w:rStyle w:val="FootnoteReference"/>
          <w:sz w:val="24"/>
          <w:szCs w:val="24"/>
          <w:vertAlign w:val="superscript"/>
        </w:rPr>
        <w:footnoteRef/>
      </w:r>
      <w:r w:rsidRPr="00C75FFF">
        <w:rPr>
          <w:sz w:val="24"/>
          <w:szCs w:val="24"/>
          <w:vertAlign w:val="superscript"/>
        </w:rPr>
        <w:t xml:space="preserve"> </w:t>
      </w:r>
      <w:r w:rsidRPr="00F1537F">
        <w:rPr>
          <w:sz w:val="24"/>
          <w:szCs w:val="24"/>
        </w:rPr>
        <w:t xml:space="preserve">The </w:t>
      </w:r>
      <w:r>
        <w:rPr>
          <w:sz w:val="24"/>
          <w:szCs w:val="24"/>
        </w:rPr>
        <w:t>estimate</w:t>
      </w:r>
      <w:r w:rsidRPr="00F1537F">
        <w:rPr>
          <w:sz w:val="24"/>
          <w:szCs w:val="24"/>
        </w:rPr>
        <w:t xml:space="preserve"> </w:t>
      </w:r>
      <w:r>
        <w:rPr>
          <w:sz w:val="24"/>
          <w:szCs w:val="24"/>
        </w:rPr>
        <w:t>uses</w:t>
      </w:r>
      <w:r w:rsidRPr="00F1537F">
        <w:rPr>
          <w:sz w:val="24"/>
          <w:szCs w:val="24"/>
        </w:rPr>
        <w:t xml:space="preserve"> the FERC’s </w:t>
      </w:r>
      <w:r>
        <w:rPr>
          <w:sz w:val="24"/>
          <w:szCs w:val="24"/>
        </w:rPr>
        <w:t xml:space="preserve">FY </w:t>
      </w:r>
      <w:r w:rsidRPr="00F1537F">
        <w:rPr>
          <w:sz w:val="24"/>
          <w:szCs w:val="24"/>
        </w:rPr>
        <w:t>201</w:t>
      </w:r>
      <w:r>
        <w:rPr>
          <w:sz w:val="24"/>
          <w:szCs w:val="24"/>
        </w:rPr>
        <w:t>8</w:t>
      </w:r>
      <w:r w:rsidRPr="00F1537F">
        <w:rPr>
          <w:sz w:val="24"/>
          <w:szCs w:val="24"/>
        </w:rPr>
        <w:t xml:space="preserve"> average annual salary plus benefits of one FERC FTE (full-time equivalent </w:t>
      </w:r>
      <w:r>
        <w:rPr>
          <w:sz w:val="24"/>
          <w:szCs w:val="24"/>
        </w:rPr>
        <w:t>[</w:t>
      </w:r>
      <w:r w:rsidRPr="00F1537F">
        <w:rPr>
          <w:sz w:val="24"/>
          <w:szCs w:val="24"/>
        </w:rPr>
        <w:t>$</w:t>
      </w:r>
      <w:r w:rsidRPr="001B5056">
        <w:rPr>
          <w:sz w:val="24"/>
          <w:szCs w:val="24"/>
        </w:rPr>
        <w:t>164,820</w:t>
      </w:r>
      <w:r>
        <w:rPr>
          <w:sz w:val="24"/>
          <w:szCs w:val="24"/>
        </w:rPr>
        <w:t xml:space="preserve"> per year</w:t>
      </w:r>
      <w:r w:rsidRPr="001B5056">
        <w:rPr>
          <w:sz w:val="24"/>
          <w:szCs w:val="24"/>
        </w:rPr>
        <w:t xml:space="preserve"> </w:t>
      </w:r>
      <w:r w:rsidRPr="00F1537F">
        <w:rPr>
          <w:sz w:val="24"/>
          <w:szCs w:val="24"/>
        </w:rPr>
        <w:t>or $7</w:t>
      </w:r>
      <w:r>
        <w:rPr>
          <w:sz w:val="24"/>
          <w:szCs w:val="24"/>
        </w:rPr>
        <w:t>9</w:t>
      </w:r>
      <w:r w:rsidRPr="00F1537F">
        <w:rPr>
          <w:sz w:val="24"/>
          <w:szCs w:val="24"/>
        </w:rPr>
        <w:t>.</w:t>
      </w:r>
      <w:r>
        <w:rPr>
          <w:sz w:val="24"/>
          <w:szCs w:val="24"/>
        </w:rPr>
        <w:t>0</w:t>
      </w:r>
      <w:r w:rsidRPr="00F1537F">
        <w:rPr>
          <w:sz w:val="24"/>
          <w:szCs w:val="24"/>
        </w:rPr>
        <w:t>0 per hour</w:t>
      </w:r>
      <w:r>
        <w:rPr>
          <w:sz w:val="24"/>
          <w:szCs w:val="24"/>
        </w:rPr>
        <w:t>])</w:t>
      </w:r>
      <w:r w:rsidRPr="00F1537F">
        <w:rPr>
          <w:sz w:val="24"/>
          <w:szCs w:val="24"/>
        </w:rPr>
        <w:t>.</w:t>
      </w:r>
      <w:r>
        <w:rPr>
          <w:sz w:val="24"/>
          <w:szCs w:val="24"/>
        </w:rPr>
        <w:t xml:space="preserve">  (These estimates were updated in </w:t>
      </w:r>
      <w:r w:rsidRPr="00C75FFF">
        <w:rPr>
          <w:sz w:val="24"/>
          <w:szCs w:val="24"/>
        </w:rPr>
        <w:t>May 2018.)</w:t>
      </w:r>
    </w:p>
  </w:footnote>
  <w:footnote w:id="29">
    <w:p w14:paraId="2508AC6A" w14:textId="77777777" w:rsidR="00EA7072" w:rsidRDefault="00EA7072">
      <w:pPr>
        <w:pStyle w:val="FootnoteText"/>
      </w:pPr>
      <w:r w:rsidRPr="00C75FFF">
        <w:rPr>
          <w:rStyle w:val="FootnoteReference"/>
          <w:sz w:val="24"/>
          <w:szCs w:val="24"/>
          <w:vertAlign w:val="superscript"/>
        </w:rPr>
        <w:footnoteRef/>
      </w:r>
      <w:r w:rsidRPr="00C75FFF">
        <w:rPr>
          <w:sz w:val="24"/>
          <w:szCs w:val="24"/>
        </w:rPr>
        <w:t xml:space="preserve"> This estimate was updated May 2018.</w:t>
      </w:r>
    </w:p>
  </w:footnote>
  <w:footnote w:id="30">
    <w:p w14:paraId="58CB363F" w14:textId="77777777" w:rsidR="00EA7072" w:rsidRPr="003C729F" w:rsidRDefault="00EA7072">
      <w:pPr>
        <w:pStyle w:val="FootnoteText"/>
        <w:rPr>
          <w:sz w:val="24"/>
          <w:szCs w:val="24"/>
        </w:rPr>
      </w:pPr>
      <w:r w:rsidRPr="003C729F">
        <w:rPr>
          <w:rStyle w:val="FootnoteReference"/>
          <w:vertAlign w:val="superscript"/>
        </w:rPr>
        <w:footnoteRef/>
      </w:r>
      <w:r w:rsidRPr="003C729F">
        <w:rPr>
          <w:vertAlign w:val="superscript"/>
        </w:rPr>
        <w:t xml:space="preserve"> </w:t>
      </w:r>
      <w:r w:rsidRPr="003C729F">
        <w:rPr>
          <w:sz w:val="24"/>
          <w:szCs w:val="24"/>
        </w:rPr>
        <w:t xml:space="preserve">The federal costs for the FERC-1, FERC-1F, </w:t>
      </w:r>
      <w:r>
        <w:rPr>
          <w:sz w:val="24"/>
          <w:szCs w:val="24"/>
        </w:rPr>
        <w:t xml:space="preserve">and </w:t>
      </w:r>
      <w:r w:rsidRPr="003C729F">
        <w:rPr>
          <w:sz w:val="24"/>
          <w:szCs w:val="24"/>
        </w:rPr>
        <w:t xml:space="preserve">FERC-3Q </w:t>
      </w:r>
      <w:r>
        <w:rPr>
          <w:sz w:val="24"/>
          <w:szCs w:val="24"/>
        </w:rPr>
        <w:t xml:space="preserve">(for both </w:t>
      </w:r>
      <w:r w:rsidRPr="003C729F">
        <w:rPr>
          <w:sz w:val="24"/>
          <w:szCs w:val="24"/>
        </w:rPr>
        <w:t xml:space="preserve">electric </w:t>
      </w:r>
      <w:r>
        <w:rPr>
          <w:sz w:val="24"/>
          <w:szCs w:val="24"/>
        </w:rPr>
        <w:t xml:space="preserve">and gas) </w:t>
      </w:r>
      <w:r w:rsidRPr="003C729F">
        <w:rPr>
          <w:sz w:val="24"/>
          <w:szCs w:val="24"/>
        </w:rPr>
        <w:t>will be included under the ICR for FERC-1</w:t>
      </w:r>
      <w:r>
        <w:rPr>
          <w:sz w:val="24"/>
          <w:szCs w:val="24"/>
        </w:rPr>
        <w:t xml:space="preserve"> in ROCIS and reginfo.gov</w:t>
      </w:r>
      <w:r w:rsidRPr="003C729F">
        <w:rPr>
          <w:sz w:val="24"/>
          <w:szCs w:val="24"/>
        </w:rPr>
        <w:t>.</w:t>
      </w:r>
      <w:r>
        <w:rPr>
          <w:sz w:val="24"/>
          <w:szCs w:val="24"/>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563E8" w14:textId="77777777" w:rsidR="00EA7072" w:rsidRPr="0003147A" w:rsidRDefault="00EA7072">
    <w:pPr>
      <w:pStyle w:val="Header"/>
      <w:rPr>
        <w:rFonts w:ascii="Times New Roman" w:hAnsi="Times New Roman"/>
        <w:sz w:val="24"/>
        <w:szCs w:val="24"/>
      </w:rPr>
    </w:pPr>
    <w:r>
      <w:rPr>
        <w:rFonts w:ascii="Times New Roman" w:hAnsi="Times New Roman"/>
        <w:sz w:val="24"/>
        <w:szCs w:val="24"/>
      </w:rPr>
      <w:t>Ten (10) FERC Information Collections (“VFP Forms”), as detailed on pages 1-2</w:t>
    </w:r>
  </w:p>
  <w:p w14:paraId="74966563" w14:textId="77777777" w:rsidR="00EA7072" w:rsidRDefault="00EA7072">
    <w:pPr>
      <w:pStyle w:val="Header"/>
      <w:rPr>
        <w:rFonts w:ascii="Times New Roman" w:hAnsi="Times New Roman"/>
        <w:sz w:val="24"/>
        <w:szCs w:val="24"/>
      </w:rPr>
    </w:pPr>
    <w:r w:rsidRPr="00812301">
      <w:rPr>
        <w:rFonts w:ascii="Times New Roman" w:hAnsi="Times New Roman"/>
        <w:sz w:val="24"/>
        <w:szCs w:val="24"/>
      </w:rPr>
      <w:t>NOPR (issued 1/17/2019) in</w:t>
    </w:r>
    <w:r w:rsidRPr="009D3942">
      <w:rPr>
        <w:rFonts w:ascii="Times New Roman" w:hAnsi="Times New Roman"/>
        <w:sz w:val="24"/>
        <w:szCs w:val="24"/>
      </w:rPr>
      <w:t xml:space="preserve"> Docket No. RM19-</w:t>
    </w:r>
    <w:r w:rsidRPr="004C7946">
      <w:rPr>
        <w:rFonts w:ascii="Times New Roman" w:hAnsi="Times New Roman"/>
        <w:sz w:val="24"/>
        <w:szCs w:val="24"/>
      </w:rPr>
      <w:t>12; RIN 1902-AF58</w:t>
    </w:r>
  </w:p>
  <w:p w14:paraId="44AE9844" w14:textId="06AB6E70" w:rsidR="00EA7072" w:rsidRPr="00274467" w:rsidRDefault="00EA7072">
    <w:pPr>
      <w:pStyle w:val="Header"/>
      <w:rPr>
        <w:rFonts w:ascii="Times New Roman" w:hAnsi="Times New Roman"/>
        <w:sz w:val="24"/>
        <w:szCs w:val="24"/>
      </w:rPr>
    </w:pPr>
    <w:r w:rsidRPr="00274467">
      <w:rPr>
        <w:rFonts w:ascii="Times New Roman" w:hAnsi="Times New Roman"/>
        <w:sz w:val="24"/>
        <w:szCs w:val="24"/>
      </w:rPr>
      <w:t>UPDATED 3/14/2019</w:t>
    </w:r>
  </w:p>
  <w:p w14:paraId="48BC8A50" w14:textId="77777777" w:rsidR="00EA7072" w:rsidRPr="002953E1" w:rsidRDefault="00EA7072">
    <w:pPr>
      <w:pStyle w:val="Header"/>
      <w:rPr>
        <w:rFonts w:ascii="Times New Roman" w:hAnsi="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50755"/>
    <w:multiLevelType w:val="hybridMultilevel"/>
    <w:tmpl w:val="EAB0F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D17ACB"/>
    <w:multiLevelType w:val="hybridMultilevel"/>
    <w:tmpl w:val="FC34F5D8"/>
    <w:lvl w:ilvl="0" w:tplc="DE32E332">
      <w:start w:val="1"/>
      <w:numFmt w:val="bullet"/>
      <w:lvlText w:val=""/>
      <w:lvlJc w:val="left"/>
      <w:pPr>
        <w:tabs>
          <w:tab w:val="num" w:pos="1440"/>
        </w:tabs>
        <w:ind w:left="1440" w:hanging="360"/>
      </w:pPr>
      <w:rPr>
        <w:rFonts w:ascii="Symbol" w:hAnsi="Symbol" w:hint="default"/>
        <w:color w:val="auto"/>
      </w:rPr>
    </w:lvl>
    <w:lvl w:ilvl="1" w:tplc="0409000F">
      <w:start w:val="1"/>
      <w:numFmt w:val="decimal"/>
      <w:lvlText w:val="%2."/>
      <w:lvlJc w:val="left"/>
      <w:pPr>
        <w:tabs>
          <w:tab w:val="num" w:pos="1800"/>
        </w:tabs>
        <w:ind w:left="1800" w:hanging="360"/>
      </w:pPr>
      <w:rPr>
        <w:rFonts w:cs="Times New Roman"/>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2">
    <w:nsid w:val="0F4A3048"/>
    <w:multiLevelType w:val="hybridMultilevel"/>
    <w:tmpl w:val="005E7582"/>
    <w:lvl w:ilvl="0" w:tplc="DE32E332">
      <w:start w:val="1"/>
      <w:numFmt w:val="bullet"/>
      <w:lvlText w:val=""/>
      <w:lvlJc w:val="left"/>
      <w:pPr>
        <w:tabs>
          <w:tab w:val="num" w:pos="1440"/>
        </w:tabs>
        <w:ind w:left="1440" w:hanging="360"/>
      </w:pPr>
      <w:rPr>
        <w:rFonts w:ascii="Symbol" w:hAnsi="Symbol" w:hint="default"/>
        <w:color w:val="auto"/>
      </w:rPr>
    </w:lvl>
    <w:lvl w:ilvl="1" w:tplc="0409000F">
      <w:start w:val="1"/>
      <w:numFmt w:val="decimal"/>
      <w:lvlText w:val="%2."/>
      <w:lvlJc w:val="left"/>
      <w:pPr>
        <w:tabs>
          <w:tab w:val="num" w:pos="1800"/>
        </w:tabs>
        <w:ind w:left="1800" w:hanging="360"/>
      </w:pPr>
      <w:rPr>
        <w:rFonts w:cs="Times New Roman"/>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3">
    <w:nsid w:val="0F502655"/>
    <w:multiLevelType w:val="hybridMultilevel"/>
    <w:tmpl w:val="A182A734"/>
    <w:lvl w:ilvl="0" w:tplc="59081F7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106C2963"/>
    <w:multiLevelType w:val="hybridMultilevel"/>
    <w:tmpl w:val="CE1A700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4113FB"/>
    <w:multiLevelType w:val="hybridMultilevel"/>
    <w:tmpl w:val="93E06B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17908C3"/>
    <w:multiLevelType w:val="multilevel"/>
    <w:tmpl w:val="09BE2CFC"/>
    <w:lvl w:ilvl="0">
      <w:start w:val="1"/>
      <w:numFmt w:val="bullet"/>
      <w:lvlText w:val=""/>
      <w:lvlJc w:val="left"/>
      <w:pPr>
        <w:tabs>
          <w:tab w:val="num" w:pos="720"/>
        </w:tabs>
        <w:ind w:left="720" w:hanging="360"/>
      </w:pPr>
      <w:rPr>
        <w:rFonts w:ascii="Symbol" w:hAnsi="Symbol" w:hint="default"/>
        <w:sz w:val="20"/>
      </w:rPr>
    </w:lvl>
    <w:lvl w:ilvl="1">
      <w:start w:val="1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1118BC"/>
    <w:multiLevelType w:val="hybridMultilevel"/>
    <w:tmpl w:val="8BDACA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4B6162D"/>
    <w:multiLevelType w:val="hybridMultilevel"/>
    <w:tmpl w:val="D9DA2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0C7D1B"/>
    <w:multiLevelType w:val="hybridMultilevel"/>
    <w:tmpl w:val="ADCE6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7C4573"/>
    <w:multiLevelType w:val="hybridMultilevel"/>
    <w:tmpl w:val="4208AC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F14D98"/>
    <w:multiLevelType w:val="hybridMultilevel"/>
    <w:tmpl w:val="1438F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051A2B"/>
    <w:multiLevelType w:val="hybridMultilevel"/>
    <w:tmpl w:val="403A86EC"/>
    <w:lvl w:ilvl="0" w:tplc="DE32E332">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nsid w:val="376A0BBF"/>
    <w:multiLevelType w:val="hybridMultilevel"/>
    <w:tmpl w:val="BC00F5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86A02FA"/>
    <w:multiLevelType w:val="hybridMultilevel"/>
    <w:tmpl w:val="7370E8F2"/>
    <w:lvl w:ilvl="0" w:tplc="32BA5A66">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826629"/>
    <w:multiLevelType w:val="multilevel"/>
    <w:tmpl w:val="AD6818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1F06477"/>
    <w:multiLevelType w:val="multilevel"/>
    <w:tmpl w:val="85E426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2614ABA"/>
    <w:multiLevelType w:val="hybridMultilevel"/>
    <w:tmpl w:val="E314F6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77D38C3"/>
    <w:multiLevelType w:val="hybridMultilevel"/>
    <w:tmpl w:val="B6823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C0D4B3C"/>
    <w:multiLevelType w:val="hybridMultilevel"/>
    <w:tmpl w:val="04F6B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CC1895"/>
    <w:multiLevelType w:val="hybridMultilevel"/>
    <w:tmpl w:val="AD681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D40E9F"/>
    <w:multiLevelType w:val="hybridMultilevel"/>
    <w:tmpl w:val="4DF8B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460FD9"/>
    <w:multiLevelType w:val="hybridMultilevel"/>
    <w:tmpl w:val="371A5118"/>
    <w:lvl w:ilvl="0" w:tplc="DE32E332">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3">
    <w:nsid w:val="5BA62A20"/>
    <w:multiLevelType w:val="hybridMultilevel"/>
    <w:tmpl w:val="3A36B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6437021"/>
    <w:multiLevelType w:val="hybridMultilevel"/>
    <w:tmpl w:val="A2BEE8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9AF1DF6"/>
    <w:multiLevelType w:val="hybridMultilevel"/>
    <w:tmpl w:val="48FE9A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nsid w:val="6D843B68"/>
    <w:multiLevelType w:val="hybridMultilevel"/>
    <w:tmpl w:val="6F9C4B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79AF0F0F"/>
    <w:multiLevelType w:val="hybridMultilevel"/>
    <w:tmpl w:val="04BC19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F3C7DBB"/>
    <w:multiLevelType w:val="hybridMultilevel"/>
    <w:tmpl w:val="736A28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0"/>
  </w:num>
  <w:num w:numId="2">
    <w:abstractNumId w:val="26"/>
  </w:num>
  <w:num w:numId="3">
    <w:abstractNumId w:val="18"/>
  </w:num>
  <w:num w:numId="4">
    <w:abstractNumId w:val="27"/>
  </w:num>
  <w:num w:numId="5">
    <w:abstractNumId w:val="5"/>
  </w:num>
  <w:num w:numId="6">
    <w:abstractNumId w:val="28"/>
  </w:num>
  <w:num w:numId="7">
    <w:abstractNumId w:val="6"/>
  </w:num>
  <w:num w:numId="8">
    <w:abstractNumId w:val="3"/>
  </w:num>
  <w:num w:numId="9">
    <w:abstractNumId w:val="16"/>
  </w:num>
  <w:num w:numId="10">
    <w:abstractNumId w:val="9"/>
  </w:num>
  <w:num w:numId="11">
    <w:abstractNumId w:val="21"/>
  </w:num>
  <w:num w:numId="12">
    <w:abstractNumId w:val="15"/>
  </w:num>
  <w:num w:numId="13">
    <w:abstractNumId w:val="4"/>
  </w:num>
  <w:num w:numId="14">
    <w:abstractNumId w:val="29"/>
  </w:num>
  <w:num w:numId="15">
    <w:abstractNumId w:val="11"/>
  </w:num>
  <w:num w:numId="16">
    <w:abstractNumId w:val="23"/>
  </w:num>
  <w:num w:numId="17">
    <w:abstractNumId w:val="8"/>
  </w:num>
  <w:num w:numId="18">
    <w:abstractNumId w:val="14"/>
  </w:num>
  <w:num w:numId="19">
    <w:abstractNumId w:val="19"/>
  </w:num>
  <w:num w:numId="20">
    <w:abstractNumId w:val="17"/>
  </w:num>
  <w:num w:numId="21">
    <w:abstractNumId w:val="25"/>
  </w:num>
  <w:num w:numId="22">
    <w:abstractNumId w:val="13"/>
  </w:num>
  <w:num w:numId="23">
    <w:abstractNumId w:val="10"/>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lvlOverride w:ilvl="1">
      <w:startOverride w:val="1"/>
    </w:lvlOverride>
    <w:lvlOverride w:ilvl="2"/>
    <w:lvlOverride w:ilvl="3"/>
    <w:lvlOverride w:ilvl="4"/>
    <w:lvlOverride w:ilvl="5"/>
    <w:lvlOverride w:ilvl="6"/>
    <w:lvlOverride w:ilvl="7"/>
    <w:lvlOverride w:ilvl="8"/>
  </w:num>
  <w:num w:numId="26">
    <w:abstractNumId w:val="1"/>
    <w:lvlOverride w:ilvl="0"/>
    <w:lvlOverride w:ilvl="1">
      <w:startOverride w:val="1"/>
    </w:lvlOverride>
    <w:lvlOverride w:ilvl="2"/>
    <w:lvlOverride w:ilvl="3"/>
    <w:lvlOverride w:ilvl="4"/>
    <w:lvlOverride w:ilvl="5"/>
    <w:lvlOverride w:ilvl="6"/>
    <w:lvlOverride w:ilvl="7"/>
    <w:lvlOverride w:ilvl="8"/>
  </w:num>
  <w:num w:numId="27">
    <w:abstractNumId w:val="22"/>
  </w:num>
  <w:num w:numId="28">
    <w:abstractNumId w:val="12"/>
  </w:num>
  <w:num w:numId="29">
    <w:abstractNumId w:val="24"/>
  </w:num>
  <w:num w:numId="30">
    <w:abstractNumId w:val="1"/>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F55"/>
    <w:rsid w:val="0000579D"/>
    <w:rsid w:val="000076FA"/>
    <w:rsid w:val="000201FB"/>
    <w:rsid w:val="00027DC9"/>
    <w:rsid w:val="00030D70"/>
    <w:rsid w:val="0003147A"/>
    <w:rsid w:val="00031C79"/>
    <w:rsid w:val="0003545C"/>
    <w:rsid w:val="00037F63"/>
    <w:rsid w:val="00040F9F"/>
    <w:rsid w:val="00041ECE"/>
    <w:rsid w:val="00042C21"/>
    <w:rsid w:val="00044A19"/>
    <w:rsid w:val="00045EFB"/>
    <w:rsid w:val="00066375"/>
    <w:rsid w:val="00072071"/>
    <w:rsid w:val="000762E1"/>
    <w:rsid w:val="00077B16"/>
    <w:rsid w:val="0008302B"/>
    <w:rsid w:val="000836EF"/>
    <w:rsid w:val="00084A7F"/>
    <w:rsid w:val="0009171A"/>
    <w:rsid w:val="00092424"/>
    <w:rsid w:val="000924F2"/>
    <w:rsid w:val="000930CB"/>
    <w:rsid w:val="000951BE"/>
    <w:rsid w:val="000A4E4C"/>
    <w:rsid w:val="000A6077"/>
    <w:rsid w:val="000B0965"/>
    <w:rsid w:val="000B40D1"/>
    <w:rsid w:val="000B51EA"/>
    <w:rsid w:val="000B72B1"/>
    <w:rsid w:val="000C0209"/>
    <w:rsid w:val="000D1D54"/>
    <w:rsid w:val="000D3F25"/>
    <w:rsid w:val="000E2F0F"/>
    <w:rsid w:val="000E4567"/>
    <w:rsid w:val="000E4925"/>
    <w:rsid w:val="000F1339"/>
    <w:rsid w:val="000F1377"/>
    <w:rsid w:val="000F448F"/>
    <w:rsid w:val="000F619B"/>
    <w:rsid w:val="000F6ABA"/>
    <w:rsid w:val="00100E2F"/>
    <w:rsid w:val="001021F0"/>
    <w:rsid w:val="00102BD6"/>
    <w:rsid w:val="0010332E"/>
    <w:rsid w:val="00104ACF"/>
    <w:rsid w:val="001072E3"/>
    <w:rsid w:val="00107DA8"/>
    <w:rsid w:val="001114E4"/>
    <w:rsid w:val="001121AE"/>
    <w:rsid w:val="00116509"/>
    <w:rsid w:val="00116CF2"/>
    <w:rsid w:val="001263E8"/>
    <w:rsid w:val="00130FC3"/>
    <w:rsid w:val="00133311"/>
    <w:rsid w:val="001360DE"/>
    <w:rsid w:val="0013718A"/>
    <w:rsid w:val="00141ED0"/>
    <w:rsid w:val="00151068"/>
    <w:rsid w:val="00152282"/>
    <w:rsid w:val="00156589"/>
    <w:rsid w:val="00163942"/>
    <w:rsid w:val="001668D3"/>
    <w:rsid w:val="00183CBA"/>
    <w:rsid w:val="00186976"/>
    <w:rsid w:val="001902A4"/>
    <w:rsid w:val="001968EA"/>
    <w:rsid w:val="001A450A"/>
    <w:rsid w:val="001A5362"/>
    <w:rsid w:val="001A62D9"/>
    <w:rsid w:val="001B430C"/>
    <w:rsid w:val="001B5056"/>
    <w:rsid w:val="001C2900"/>
    <w:rsid w:val="001C2A53"/>
    <w:rsid w:val="001C34B8"/>
    <w:rsid w:val="001C74AB"/>
    <w:rsid w:val="001D0B5C"/>
    <w:rsid w:val="001D289D"/>
    <w:rsid w:val="001D67EE"/>
    <w:rsid w:val="001D7B2E"/>
    <w:rsid w:val="001E3E6B"/>
    <w:rsid w:val="001E55A1"/>
    <w:rsid w:val="001F096A"/>
    <w:rsid w:val="001F0B90"/>
    <w:rsid w:val="001F18B7"/>
    <w:rsid w:val="001F2364"/>
    <w:rsid w:val="001F56F4"/>
    <w:rsid w:val="001F7477"/>
    <w:rsid w:val="00200CB5"/>
    <w:rsid w:val="00201EDE"/>
    <w:rsid w:val="002123B8"/>
    <w:rsid w:val="002200D8"/>
    <w:rsid w:val="002213AA"/>
    <w:rsid w:val="00221430"/>
    <w:rsid w:val="00221EB9"/>
    <w:rsid w:val="00222BC5"/>
    <w:rsid w:val="00227F0E"/>
    <w:rsid w:val="00230706"/>
    <w:rsid w:val="00232B1B"/>
    <w:rsid w:val="00232DF7"/>
    <w:rsid w:val="00233478"/>
    <w:rsid w:val="002356D9"/>
    <w:rsid w:val="00236DFB"/>
    <w:rsid w:val="00244BC9"/>
    <w:rsid w:val="002476F2"/>
    <w:rsid w:val="00247EBC"/>
    <w:rsid w:val="002570FB"/>
    <w:rsid w:val="0026269A"/>
    <w:rsid w:val="00266990"/>
    <w:rsid w:val="00274467"/>
    <w:rsid w:val="0027683E"/>
    <w:rsid w:val="0027754C"/>
    <w:rsid w:val="00283BFF"/>
    <w:rsid w:val="002913ED"/>
    <w:rsid w:val="00293111"/>
    <w:rsid w:val="00293F34"/>
    <w:rsid w:val="00295050"/>
    <w:rsid w:val="002953E1"/>
    <w:rsid w:val="00295EB7"/>
    <w:rsid w:val="002A352B"/>
    <w:rsid w:val="002A725B"/>
    <w:rsid w:val="002B093B"/>
    <w:rsid w:val="002B4655"/>
    <w:rsid w:val="002C0782"/>
    <w:rsid w:val="002C0DA6"/>
    <w:rsid w:val="002C248B"/>
    <w:rsid w:val="002C2F20"/>
    <w:rsid w:val="002C3322"/>
    <w:rsid w:val="002C6711"/>
    <w:rsid w:val="002D0023"/>
    <w:rsid w:val="002D5CAD"/>
    <w:rsid w:val="002D7472"/>
    <w:rsid w:val="002E034F"/>
    <w:rsid w:val="002E36BA"/>
    <w:rsid w:val="002E3C82"/>
    <w:rsid w:val="002E7379"/>
    <w:rsid w:val="002F0CAD"/>
    <w:rsid w:val="002F30F7"/>
    <w:rsid w:val="002F3E65"/>
    <w:rsid w:val="002F405E"/>
    <w:rsid w:val="002F4935"/>
    <w:rsid w:val="002F5C7C"/>
    <w:rsid w:val="002F641C"/>
    <w:rsid w:val="00300112"/>
    <w:rsid w:val="003056DE"/>
    <w:rsid w:val="00306736"/>
    <w:rsid w:val="0031780A"/>
    <w:rsid w:val="0032632B"/>
    <w:rsid w:val="00331FD7"/>
    <w:rsid w:val="003334C6"/>
    <w:rsid w:val="00337481"/>
    <w:rsid w:val="003376ED"/>
    <w:rsid w:val="00343643"/>
    <w:rsid w:val="00344C60"/>
    <w:rsid w:val="00353E6D"/>
    <w:rsid w:val="003568D6"/>
    <w:rsid w:val="00357252"/>
    <w:rsid w:val="00361948"/>
    <w:rsid w:val="003625D4"/>
    <w:rsid w:val="00364E7B"/>
    <w:rsid w:val="003665B8"/>
    <w:rsid w:val="003725EE"/>
    <w:rsid w:val="003856AE"/>
    <w:rsid w:val="00395C37"/>
    <w:rsid w:val="00395E45"/>
    <w:rsid w:val="00397094"/>
    <w:rsid w:val="003A23FA"/>
    <w:rsid w:val="003A3343"/>
    <w:rsid w:val="003A3DE2"/>
    <w:rsid w:val="003A4EF3"/>
    <w:rsid w:val="003B49ED"/>
    <w:rsid w:val="003B6C91"/>
    <w:rsid w:val="003C0E57"/>
    <w:rsid w:val="003C1A04"/>
    <w:rsid w:val="003C729F"/>
    <w:rsid w:val="003D08BB"/>
    <w:rsid w:val="003D205A"/>
    <w:rsid w:val="003D2490"/>
    <w:rsid w:val="003D79BB"/>
    <w:rsid w:val="003E2C5D"/>
    <w:rsid w:val="003E6B4D"/>
    <w:rsid w:val="003E74C9"/>
    <w:rsid w:val="003F25BB"/>
    <w:rsid w:val="003F4A59"/>
    <w:rsid w:val="00403FA6"/>
    <w:rsid w:val="004101B0"/>
    <w:rsid w:val="00413357"/>
    <w:rsid w:val="00413C13"/>
    <w:rsid w:val="00414464"/>
    <w:rsid w:val="00415251"/>
    <w:rsid w:val="00415856"/>
    <w:rsid w:val="00427C6E"/>
    <w:rsid w:val="004345EE"/>
    <w:rsid w:val="00434D25"/>
    <w:rsid w:val="004432C4"/>
    <w:rsid w:val="0044394A"/>
    <w:rsid w:val="00444280"/>
    <w:rsid w:val="00444888"/>
    <w:rsid w:val="00445DAD"/>
    <w:rsid w:val="00446E92"/>
    <w:rsid w:val="004470B4"/>
    <w:rsid w:val="00450550"/>
    <w:rsid w:val="00450F57"/>
    <w:rsid w:val="00456A2B"/>
    <w:rsid w:val="004665B0"/>
    <w:rsid w:val="00471F97"/>
    <w:rsid w:val="004733B2"/>
    <w:rsid w:val="0047741E"/>
    <w:rsid w:val="00480D2F"/>
    <w:rsid w:val="004830DC"/>
    <w:rsid w:val="0048721A"/>
    <w:rsid w:val="00487B87"/>
    <w:rsid w:val="00490D11"/>
    <w:rsid w:val="00493DD9"/>
    <w:rsid w:val="00494814"/>
    <w:rsid w:val="004A36E5"/>
    <w:rsid w:val="004B26EF"/>
    <w:rsid w:val="004B7E8E"/>
    <w:rsid w:val="004C3208"/>
    <w:rsid w:val="004C3C5F"/>
    <w:rsid w:val="004C5451"/>
    <w:rsid w:val="004C5C74"/>
    <w:rsid w:val="004C7946"/>
    <w:rsid w:val="004D07A4"/>
    <w:rsid w:val="004E0BBC"/>
    <w:rsid w:val="004E2A6E"/>
    <w:rsid w:val="004F0530"/>
    <w:rsid w:val="004F4BCE"/>
    <w:rsid w:val="004F5376"/>
    <w:rsid w:val="005052A7"/>
    <w:rsid w:val="00512214"/>
    <w:rsid w:val="00513CC8"/>
    <w:rsid w:val="0051491B"/>
    <w:rsid w:val="00515869"/>
    <w:rsid w:val="00515F5E"/>
    <w:rsid w:val="00517EC0"/>
    <w:rsid w:val="00524C2C"/>
    <w:rsid w:val="0052605E"/>
    <w:rsid w:val="00532CEA"/>
    <w:rsid w:val="00533D70"/>
    <w:rsid w:val="00534DFB"/>
    <w:rsid w:val="005513D0"/>
    <w:rsid w:val="00554E46"/>
    <w:rsid w:val="00565432"/>
    <w:rsid w:val="00566FD5"/>
    <w:rsid w:val="005676E5"/>
    <w:rsid w:val="00570BB8"/>
    <w:rsid w:val="00576739"/>
    <w:rsid w:val="00587AD0"/>
    <w:rsid w:val="005900E2"/>
    <w:rsid w:val="00590632"/>
    <w:rsid w:val="0059069E"/>
    <w:rsid w:val="005929C3"/>
    <w:rsid w:val="00594E71"/>
    <w:rsid w:val="005A007F"/>
    <w:rsid w:val="005A33F0"/>
    <w:rsid w:val="005A6433"/>
    <w:rsid w:val="005A7AF4"/>
    <w:rsid w:val="005B0185"/>
    <w:rsid w:val="005B04A8"/>
    <w:rsid w:val="005B04C3"/>
    <w:rsid w:val="005C5DAB"/>
    <w:rsid w:val="005C5FA3"/>
    <w:rsid w:val="005D08A7"/>
    <w:rsid w:val="005D1C9E"/>
    <w:rsid w:val="005D3BC2"/>
    <w:rsid w:val="005E0B91"/>
    <w:rsid w:val="005E425A"/>
    <w:rsid w:val="005E77C1"/>
    <w:rsid w:val="005F1EFB"/>
    <w:rsid w:val="00600A02"/>
    <w:rsid w:val="00600BD2"/>
    <w:rsid w:val="006128B2"/>
    <w:rsid w:val="00613ECA"/>
    <w:rsid w:val="006241F8"/>
    <w:rsid w:val="0062523A"/>
    <w:rsid w:val="00630B8E"/>
    <w:rsid w:val="00631DA8"/>
    <w:rsid w:val="00633864"/>
    <w:rsid w:val="006377D8"/>
    <w:rsid w:val="006540D2"/>
    <w:rsid w:val="00654909"/>
    <w:rsid w:val="00666CEE"/>
    <w:rsid w:val="0067145A"/>
    <w:rsid w:val="00672874"/>
    <w:rsid w:val="00673209"/>
    <w:rsid w:val="00676409"/>
    <w:rsid w:val="00677D55"/>
    <w:rsid w:val="00680C13"/>
    <w:rsid w:val="006955A3"/>
    <w:rsid w:val="006B083F"/>
    <w:rsid w:val="006B137D"/>
    <w:rsid w:val="006B2D5B"/>
    <w:rsid w:val="006B48FF"/>
    <w:rsid w:val="006C0AA8"/>
    <w:rsid w:val="006C4D26"/>
    <w:rsid w:val="006C66E8"/>
    <w:rsid w:val="006D22CF"/>
    <w:rsid w:val="006D6EBD"/>
    <w:rsid w:val="006E159B"/>
    <w:rsid w:val="006E1DFD"/>
    <w:rsid w:val="006E4F89"/>
    <w:rsid w:val="006E5D79"/>
    <w:rsid w:val="006F26C7"/>
    <w:rsid w:val="006F33DA"/>
    <w:rsid w:val="006F5CD1"/>
    <w:rsid w:val="00701724"/>
    <w:rsid w:val="007038AF"/>
    <w:rsid w:val="00705579"/>
    <w:rsid w:val="007060B2"/>
    <w:rsid w:val="007163E6"/>
    <w:rsid w:val="00725E44"/>
    <w:rsid w:val="007300B3"/>
    <w:rsid w:val="007347F9"/>
    <w:rsid w:val="00736C27"/>
    <w:rsid w:val="00742B28"/>
    <w:rsid w:val="007445A8"/>
    <w:rsid w:val="00756BE0"/>
    <w:rsid w:val="007603ED"/>
    <w:rsid w:val="0076535E"/>
    <w:rsid w:val="00777C14"/>
    <w:rsid w:val="00780149"/>
    <w:rsid w:val="00782DCD"/>
    <w:rsid w:val="0078772D"/>
    <w:rsid w:val="00797209"/>
    <w:rsid w:val="007A5AF7"/>
    <w:rsid w:val="007A6113"/>
    <w:rsid w:val="007B529B"/>
    <w:rsid w:val="007C32BF"/>
    <w:rsid w:val="007C5E46"/>
    <w:rsid w:val="007C66F3"/>
    <w:rsid w:val="007D2EF7"/>
    <w:rsid w:val="007D436E"/>
    <w:rsid w:val="007E0D8A"/>
    <w:rsid w:val="007E640A"/>
    <w:rsid w:val="007E7453"/>
    <w:rsid w:val="007F1D30"/>
    <w:rsid w:val="007F41F8"/>
    <w:rsid w:val="007F773F"/>
    <w:rsid w:val="00803BFB"/>
    <w:rsid w:val="00810A96"/>
    <w:rsid w:val="00811E58"/>
    <w:rsid w:val="00812301"/>
    <w:rsid w:val="008143EC"/>
    <w:rsid w:val="00820173"/>
    <w:rsid w:val="0082124B"/>
    <w:rsid w:val="00841F27"/>
    <w:rsid w:val="00842D7E"/>
    <w:rsid w:val="0084303A"/>
    <w:rsid w:val="008530FC"/>
    <w:rsid w:val="00855994"/>
    <w:rsid w:val="00856707"/>
    <w:rsid w:val="008634BD"/>
    <w:rsid w:val="00867915"/>
    <w:rsid w:val="00881CBE"/>
    <w:rsid w:val="00883041"/>
    <w:rsid w:val="0088425D"/>
    <w:rsid w:val="008B0CCF"/>
    <w:rsid w:val="008B14CD"/>
    <w:rsid w:val="008C00AE"/>
    <w:rsid w:val="008C4024"/>
    <w:rsid w:val="008C6BC7"/>
    <w:rsid w:val="008D4B3A"/>
    <w:rsid w:val="008D52BD"/>
    <w:rsid w:val="008E05A7"/>
    <w:rsid w:val="008E6E94"/>
    <w:rsid w:val="008E7655"/>
    <w:rsid w:val="008F6EF7"/>
    <w:rsid w:val="008F711B"/>
    <w:rsid w:val="00900535"/>
    <w:rsid w:val="00902C25"/>
    <w:rsid w:val="00906819"/>
    <w:rsid w:val="00913164"/>
    <w:rsid w:val="0092238A"/>
    <w:rsid w:val="00923E07"/>
    <w:rsid w:val="0092686E"/>
    <w:rsid w:val="009312F1"/>
    <w:rsid w:val="00932D78"/>
    <w:rsid w:val="0094390D"/>
    <w:rsid w:val="00944F95"/>
    <w:rsid w:val="0094517B"/>
    <w:rsid w:val="00946E0D"/>
    <w:rsid w:val="00953EDD"/>
    <w:rsid w:val="00957B46"/>
    <w:rsid w:val="00960A67"/>
    <w:rsid w:val="009658D5"/>
    <w:rsid w:val="0096666B"/>
    <w:rsid w:val="00967F31"/>
    <w:rsid w:val="00973DE4"/>
    <w:rsid w:val="00973E82"/>
    <w:rsid w:val="00974AFC"/>
    <w:rsid w:val="009844B9"/>
    <w:rsid w:val="009852B7"/>
    <w:rsid w:val="009A1489"/>
    <w:rsid w:val="009A1E1A"/>
    <w:rsid w:val="009A27AC"/>
    <w:rsid w:val="009B11E7"/>
    <w:rsid w:val="009B3BC7"/>
    <w:rsid w:val="009B513C"/>
    <w:rsid w:val="009B6F37"/>
    <w:rsid w:val="009C451A"/>
    <w:rsid w:val="009C7060"/>
    <w:rsid w:val="009C7F55"/>
    <w:rsid w:val="009D3942"/>
    <w:rsid w:val="009D5AC4"/>
    <w:rsid w:val="009E14B3"/>
    <w:rsid w:val="009E3BA7"/>
    <w:rsid w:val="009F136F"/>
    <w:rsid w:val="009F1CCD"/>
    <w:rsid w:val="009F2120"/>
    <w:rsid w:val="009F308B"/>
    <w:rsid w:val="009F616E"/>
    <w:rsid w:val="009F6869"/>
    <w:rsid w:val="009F6CFB"/>
    <w:rsid w:val="009F6D6D"/>
    <w:rsid w:val="00A008B4"/>
    <w:rsid w:val="00A02532"/>
    <w:rsid w:val="00A03054"/>
    <w:rsid w:val="00A04B1E"/>
    <w:rsid w:val="00A06351"/>
    <w:rsid w:val="00A06841"/>
    <w:rsid w:val="00A10FBC"/>
    <w:rsid w:val="00A116AE"/>
    <w:rsid w:val="00A23DF1"/>
    <w:rsid w:val="00A23F07"/>
    <w:rsid w:val="00A24B3E"/>
    <w:rsid w:val="00A27235"/>
    <w:rsid w:val="00A27B71"/>
    <w:rsid w:val="00A31CD3"/>
    <w:rsid w:val="00A326E2"/>
    <w:rsid w:val="00A33CDF"/>
    <w:rsid w:val="00A3739B"/>
    <w:rsid w:val="00A37EC4"/>
    <w:rsid w:val="00A4362B"/>
    <w:rsid w:val="00A51BC6"/>
    <w:rsid w:val="00A52612"/>
    <w:rsid w:val="00A541FD"/>
    <w:rsid w:val="00A60DFC"/>
    <w:rsid w:val="00A67EF4"/>
    <w:rsid w:val="00A8054E"/>
    <w:rsid w:val="00A83CFF"/>
    <w:rsid w:val="00A84F60"/>
    <w:rsid w:val="00A94966"/>
    <w:rsid w:val="00A962BC"/>
    <w:rsid w:val="00A96327"/>
    <w:rsid w:val="00A9668A"/>
    <w:rsid w:val="00AA05FF"/>
    <w:rsid w:val="00AA2BD5"/>
    <w:rsid w:val="00AB3680"/>
    <w:rsid w:val="00AB42C6"/>
    <w:rsid w:val="00AB6AC1"/>
    <w:rsid w:val="00AB7D6C"/>
    <w:rsid w:val="00AB7F2C"/>
    <w:rsid w:val="00AC485F"/>
    <w:rsid w:val="00AC60DF"/>
    <w:rsid w:val="00AC66B6"/>
    <w:rsid w:val="00AD01B0"/>
    <w:rsid w:val="00AD180E"/>
    <w:rsid w:val="00AD2C01"/>
    <w:rsid w:val="00AE6820"/>
    <w:rsid w:val="00AF2AA1"/>
    <w:rsid w:val="00AF2BF2"/>
    <w:rsid w:val="00AF3755"/>
    <w:rsid w:val="00AF7046"/>
    <w:rsid w:val="00B05CEF"/>
    <w:rsid w:val="00B13D59"/>
    <w:rsid w:val="00B14E3F"/>
    <w:rsid w:val="00B270B9"/>
    <w:rsid w:val="00B303A5"/>
    <w:rsid w:val="00B31EEB"/>
    <w:rsid w:val="00B33512"/>
    <w:rsid w:val="00B5132F"/>
    <w:rsid w:val="00B5758E"/>
    <w:rsid w:val="00B6311A"/>
    <w:rsid w:val="00B6477D"/>
    <w:rsid w:val="00B66C65"/>
    <w:rsid w:val="00B740A7"/>
    <w:rsid w:val="00B74E8B"/>
    <w:rsid w:val="00B75C18"/>
    <w:rsid w:val="00B75FEE"/>
    <w:rsid w:val="00B770B2"/>
    <w:rsid w:val="00B81214"/>
    <w:rsid w:val="00BA0479"/>
    <w:rsid w:val="00BA412D"/>
    <w:rsid w:val="00BA47E0"/>
    <w:rsid w:val="00BA7959"/>
    <w:rsid w:val="00BB25F1"/>
    <w:rsid w:val="00BB4271"/>
    <w:rsid w:val="00BD0F89"/>
    <w:rsid w:val="00BD1E81"/>
    <w:rsid w:val="00BD77BE"/>
    <w:rsid w:val="00BD7A22"/>
    <w:rsid w:val="00BE00F1"/>
    <w:rsid w:val="00BE264B"/>
    <w:rsid w:val="00BE3C78"/>
    <w:rsid w:val="00BE75DC"/>
    <w:rsid w:val="00BF189C"/>
    <w:rsid w:val="00BF3095"/>
    <w:rsid w:val="00BF4790"/>
    <w:rsid w:val="00C030D2"/>
    <w:rsid w:val="00C0510A"/>
    <w:rsid w:val="00C10D6A"/>
    <w:rsid w:val="00C110FB"/>
    <w:rsid w:val="00C139CA"/>
    <w:rsid w:val="00C27D83"/>
    <w:rsid w:val="00C443EF"/>
    <w:rsid w:val="00C4624A"/>
    <w:rsid w:val="00C47938"/>
    <w:rsid w:val="00C5088F"/>
    <w:rsid w:val="00C532EB"/>
    <w:rsid w:val="00C54986"/>
    <w:rsid w:val="00C557D6"/>
    <w:rsid w:val="00C561C1"/>
    <w:rsid w:val="00C56D52"/>
    <w:rsid w:val="00C57F88"/>
    <w:rsid w:val="00C70452"/>
    <w:rsid w:val="00C731FD"/>
    <w:rsid w:val="00C740BC"/>
    <w:rsid w:val="00C75FFF"/>
    <w:rsid w:val="00C8155F"/>
    <w:rsid w:val="00C8405D"/>
    <w:rsid w:val="00C8596E"/>
    <w:rsid w:val="00C87990"/>
    <w:rsid w:val="00C96383"/>
    <w:rsid w:val="00CA16B4"/>
    <w:rsid w:val="00CA4364"/>
    <w:rsid w:val="00CA6D90"/>
    <w:rsid w:val="00CA7B4A"/>
    <w:rsid w:val="00CB2F25"/>
    <w:rsid w:val="00CC16D9"/>
    <w:rsid w:val="00CC52A8"/>
    <w:rsid w:val="00CC6A15"/>
    <w:rsid w:val="00CC72A5"/>
    <w:rsid w:val="00CD146E"/>
    <w:rsid w:val="00CD2ED1"/>
    <w:rsid w:val="00CD3908"/>
    <w:rsid w:val="00CD4025"/>
    <w:rsid w:val="00CD5F6C"/>
    <w:rsid w:val="00CF2498"/>
    <w:rsid w:val="00D042E5"/>
    <w:rsid w:val="00D11211"/>
    <w:rsid w:val="00D12C80"/>
    <w:rsid w:val="00D13613"/>
    <w:rsid w:val="00D17E68"/>
    <w:rsid w:val="00D21E6B"/>
    <w:rsid w:val="00D2462F"/>
    <w:rsid w:val="00D26A54"/>
    <w:rsid w:val="00D354B7"/>
    <w:rsid w:val="00D36922"/>
    <w:rsid w:val="00D44FCA"/>
    <w:rsid w:val="00D50329"/>
    <w:rsid w:val="00D522C0"/>
    <w:rsid w:val="00D52E91"/>
    <w:rsid w:val="00D53FDE"/>
    <w:rsid w:val="00D54AEE"/>
    <w:rsid w:val="00D62D87"/>
    <w:rsid w:val="00D631E3"/>
    <w:rsid w:val="00D66646"/>
    <w:rsid w:val="00D66E7C"/>
    <w:rsid w:val="00D70BE5"/>
    <w:rsid w:val="00D71F7E"/>
    <w:rsid w:val="00D75D8A"/>
    <w:rsid w:val="00D82E93"/>
    <w:rsid w:val="00D87ADE"/>
    <w:rsid w:val="00D9245D"/>
    <w:rsid w:val="00D946D9"/>
    <w:rsid w:val="00D966A1"/>
    <w:rsid w:val="00DA1081"/>
    <w:rsid w:val="00DA4FB1"/>
    <w:rsid w:val="00DA5459"/>
    <w:rsid w:val="00DA67C7"/>
    <w:rsid w:val="00DB039F"/>
    <w:rsid w:val="00DB2809"/>
    <w:rsid w:val="00DB4D60"/>
    <w:rsid w:val="00DB684E"/>
    <w:rsid w:val="00DC2DF2"/>
    <w:rsid w:val="00DD64B9"/>
    <w:rsid w:val="00DE1ED3"/>
    <w:rsid w:val="00DE2213"/>
    <w:rsid w:val="00DE45F5"/>
    <w:rsid w:val="00DE55CB"/>
    <w:rsid w:val="00DF015E"/>
    <w:rsid w:val="00DF4375"/>
    <w:rsid w:val="00E0190B"/>
    <w:rsid w:val="00E07461"/>
    <w:rsid w:val="00E147E8"/>
    <w:rsid w:val="00E14A9B"/>
    <w:rsid w:val="00E20CEF"/>
    <w:rsid w:val="00E220E3"/>
    <w:rsid w:val="00E229C1"/>
    <w:rsid w:val="00E248AE"/>
    <w:rsid w:val="00E25E23"/>
    <w:rsid w:val="00E31823"/>
    <w:rsid w:val="00E3186C"/>
    <w:rsid w:val="00E41507"/>
    <w:rsid w:val="00E44F78"/>
    <w:rsid w:val="00E45830"/>
    <w:rsid w:val="00E47DBC"/>
    <w:rsid w:val="00E47DF9"/>
    <w:rsid w:val="00E53F53"/>
    <w:rsid w:val="00E55236"/>
    <w:rsid w:val="00E5589D"/>
    <w:rsid w:val="00E55FFB"/>
    <w:rsid w:val="00E62B7D"/>
    <w:rsid w:val="00E64B16"/>
    <w:rsid w:val="00E6521C"/>
    <w:rsid w:val="00E71432"/>
    <w:rsid w:val="00E72FAA"/>
    <w:rsid w:val="00E742EF"/>
    <w:rsid w:val="00E83743"/>
    <w:rsid w:val="00E837F5"/>
    <w:rsid w:val="00E85160"/>
    <w:rsid w:val="00E90F63"/>
    <w:rsid w:val="00E96DA4"/>
    <w:rsid w:val="00E96FA8"/>
    <w:rsid w:val="00EA0F6E"/>
    <w:rsid w:val="00EA13DC"/>
    <w:rsid w:val="00EA483D"/>
    <w:rsid w:val="00EA5213"/>
    <w:rsid w:val="00EA7072"/>
    <w:rsid w:val="00EB1F54"/>
    <w:rsid w:val="00EB790F"/>
    <w:rsid w:val="00EC2F1A"/>
    <w:rsid w:val="00EC66AC"/>
    <w:rsid w:val="00ED0585"/>
    <w:rsid w:val="00ED4466"/>
    <w:rsid w:val="00ED4806"/>
    <w:rsid w:val="00ED6497"/>
    <w:rsid w:val="00EE2A51"/>
    <w:rsid w:val="00EE3F5A"/>
    <w:rsid w:val="00EE3F87"/>
    <w:rsid w:val="00F00BB4"/>
    <w:rsid w:val="00F03B07"/>
    <w:rsid w:val="00F04C98"/>
    <w:rsid w:val="00F0627E"/>
    <w:rsid w:val="00F14E3D"/>
    <w:rsid w:val="00F1537F"/>
    <w:rsid w:val="00F16E26"/>
    <w:rsid w:val="00F176BF"/>
    <w:rsid w:val="00F20B97"/>
    <w:rsid w:val="00F22C78"/>
    <w:rsid w:val="00F24965"/>
    <w:rsid w:val="00F2523E"/>
    <w:rsid w:val="00F271DD"/>
    <w:rsid w:val="00F33D5A"/>
    <w:rsid w:val="00F34348"/>
    <w:rsid w:val="00F35B01"/>
    <w:rsid w:val="00F42BCC"/>
    <w:rsid w:val="00F43C6B"/>
    <w:rsid w:val="00F44E01"/>
    <w:rsid w:val="00F45526"/>
    <w:rsid w:val="00F4797B"/>
    <w:rsid w:val="00F50DEC"/>
    <w:rsid w:val="00F56391"/>
    <w:rsid w:val="00F60F4E"/>
    <w:rsid w:val="00F63B33"/>
    <w:rsid w:val="00F75CD2"/>
    <w:rsid w:val="00F8004A"/>
    <w:rsid w:val="00F830D4"/>
    <w:rsid w:val="00F83E09"/>
    <w:rsid w:val="00F84151"/>
    <w:rsid w:val="00F86665"/>
    <w:rsid w:val="00F90E4B"/>
    <w:rsid w:val="00F958BA"/>
    <w:rsid w:val="00F97AD7"/>
    <w:rsid w:val="00FA2D8C"/>
    <w:rsid w:val="00FB5639"/>
    <w:rsid w:val="00FB6F1D"/>
    <w:rsid w:val="00FD1DA6"/>
    <w:rsid w:val="00FD484D"/>
    <w:rsid w:val="00FD504F"/>
    <w:rsid w:val="00FE19F4"/>
    <w:rsid w:val="00FE4B4B"/>
    <w:rsid w:val="00FF7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72D1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F5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F55"/>
    <w:pPr>
      <w:ind w:left="720"/>
      <w:contextualSpacing/>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9C7F55"/>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Char,f"/>
    <w:basedOn w:val="Normal"/>
    <w:link w:val="FootnoteTextChar1"/>
    <w:qFormat/>
    <w:rsid w:val="009C7F55"/>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uiPriority w:val="99"/>
    <w:semiHidden/>
    <w:rsid w:val="009C7F55"/>
    <w:rPr>
      <w:rFonts w:ascii="Calibri" w:eastAsia="Calibri" w:hAnsi="Calibri" w:cs="Times New Roman"/>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 Char"/>
    <w:link w:val="FootnoteText"/>
    <w:rsid w:val="009C7F55"/>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1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F97"/>
    <w:rPr>
      <w:rFonts w:ascii="Calibri" w:eastAsia="Calibri" w:hAnsi="Calibri" w:cs="Times New Roman"/>
    </w:rPr>
  </w:style>
  <w:style w:type="paragraph" w:styleId="Footer">
    <w:name w:val="footer"/>
    <w:basedOn w:val="Normal"/>
    <w:link w:val="FooterChar"/>
    <w:uiPriority w:val="99"/>
    <w:unhideWhenUsed/>
    <w:rsid w:val="00471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F97"/>
    <w:rPr>
      <w:rFonts w:ascii="Calibri" w:eastAsia="Calibri" w:hAnsi="Calibri" w:cs="Times New Roman"/>
    </w:rPr>
  </w:style>
  <w:style w:type="character" w:styleId="Hyperlink">
    <w:name w:val="Hyperlink"/>
    <w:uiPriority w:val="99"/>
    <w:unhideWhenUsed/>
    <w:rsid w:val="00F0627E"/>
    <w:rPr>
      <w:color w:val="0000FF"/>
      <w:u w:val="single"/>
    </w:rPr>
  </w:style>
  <w:style w:type="character" w:styleId="CommentReference">
    <w:name w:val="annotation reference"/>
    <w:basedOn w:val="DefaultParagraphFont"/>
    <w:uiPriority w:val="99"/>
    <w:semiHidden/>
    <w:unhideWhenUsed/>
    <w:rsid w:val="00480D2F"/>
    <w:rPr>
      <w:sz w:val="16"/>
      <w:szCs w:val="16"/>
    </w:rPr>
  </w:style>
  <w:style w:type="paragraph" w:styleId="CommentText">
    <w:name w:val="annotation text"/>
    <w:basedOn w:val="Normal"/>
    <w:link w:val="CommentTextChar"/>
    <w:uiPriority w:val="99"/>
    <w:unhideWhenUsed/>
    <w:rsid w:val="00480D2F"/>
    <w:pPr>
      <w:spacing w:line="240" w:lineRule="auto"/>
    </w:pPr>
    <w:rPr>
      <w:sz w:val="20"/>
      <w:szCs w:val="20"/>
    </w:rPr>
  </w:style>
  <w:style w:type="character" w:customStyle="1" w:styleId="CommentTextChar">
    <w:name w:val="Comment Text Char"/>
    <w:basedOn w:val="DefaultParagraphFont"/>
    <w:link w:val="CommentText"/>
    <w:uiPriority w:val="99"/>
    <w:rsid w:val="00480D2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80D2F"/>
    <w:rPr>
      <w:b/>
      <w:bCs/>
    </w:rPr>
  </w:style>
  <w:style w:type="character" w:customStyle="1" w:styleId="CommentSubjectChar">
    <w:name w:val="Comment Subject Char"/>
    <w:basedOn w:val="CommentTextChar"/>
    <w:link w:val="CommentSubject"/>
    <w:uiPriority w:val="99"/>
    <w:semiHidden/>
    <w:rsid w:val="00480D2F"/>
    <w:rPr>
      <w:rFonts w:ascii="Calibri" w:eastAsia="Calibri" w:hAnsi="Calibri" w:cs="Times New Roman"/>
      <w:b/>
      <w:bCs/>
      <w:sz w:val="20"/>
      <w:szCs w:val="20"/>
    </w:rPr>
  </w:style>
  <w:style w:type="paragraph" w:styleId="Revision">
    <w:name w:val="Revision"/>
    <w:hidden/>
    <w:uiPriority w:val="99"/>
    <w:semiHidden/>
    <w:rsid w:val="00480D2F"/>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480D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D2F"/>
    <w:rPr>
      <w:rFonts w:ascii="Segoe UI" w:eastAsia="Calibri" w:hAnsi="Segoe UI" w:cs="Segoe UI"/>
      <w:sz w:val="18"/>
      <w:szCs w:val="18"/>
    </w:rPr>
  </w:style>
  <w:style w:type="paragraph" w:customStyle="1" w:styleId="FERCparanumber">
    <w:name w:val="FERC paranumber"/>
    <w:basedOn w:val="Normal"/>
    <w:link w:val="FERCparanumberChar"/>
    <w:uiPriority w:val="99"/>
    <w:rsid w:val="00676409"/>
    <w:pPr>
      <w:numPr>
        <w:numId w:val="29"/>
      </w:numPr>
      <w:spacing w:after="0" w:line="240" w:lineRule="auto"/>
    </w:pPr>
    <w:rPr>
      <w:rFonts w:ascii="Times New Roman" w:eastAsia="Times New Roman" w:hAnsi="Times New Roman"/>
      <w:sz w:val="26"/>
      <w:szCs w:val="24"/>
    </w:rPr>
  </w:style>
  <w:style w:type="character" w:customStyle="1" w:styleId="FERCparanumberChar">
    <w:name w:val="FERC paranumber Char"/>
    <w:link w:val="FERCparanumber"/>
    <w:uiPriority w:val="99"/>
    <w:rsid w:val="00676409"/>
    <w:rPr>
      <w:rFonts w:ascii="Times New Roman" w:eastAsia="Times New Roman" w:hAnsi="Times New Roman" w:cs="Times New Roman"/>
      <w:sz w:val="26"/>
      <w:szCs w:val="24"/>
    </w:rPr>
  </w:style>
  <w:style w:type="character" w:styleId="FollowedHyperlink">
    <w:name w:val="FollowedHyperlink"/>
    <w:basedOn w:val="DefaultParagraphFont"/>
    <w:uiPriority w:val="99"/>
    <w:semiHidden/>
    <w:unhideWhenUsed/>
    <w:rsid w:val="003E74C9"/>
    <w:rPr>
      <w:color w:val="954F72" w:themeColor="followedHyperlink"/>
      <w:u w:val="single"/>
    </w:rPr>
  </w:style>
  <w:style w:type="table" w:styleId="TableGrid">
    <w:name w:val="Table Grid"/>
    <w:basedOn w:val="TableNormal"/>
    <w:uiPriority w:val="39"/>
    <w:rsid w:val="00257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F5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F55"/>
    <w:pPr>
      <w:ind w:left="720"/>
      <w:contextualSpacing/>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9C7F55"/>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Char,f"/>
    <w:basedOn w:val="Normal"/>
    <w:link w:val="FootnoteTextChar1"/>
    <w:qFormat/>
    <w:rsid w:val="009C7F55"/>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uiPriority w:val="99"/>
    <w:semiHidden/>
    <w:rsid w:val="009C7F55"/>
    <w:rPr>
      <w:rFonts w:ascii="Calibri" w:eastAsia="Calibri" w:hAnsi="Calibri" w:cs="Times New Roman"/>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 Char"/>
    <w:link w:val="FootnoteText"/>
    <w:rsid w:val="009C7F55"/>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1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F97"/>
    <w:rPr>
      <w:rFonts w:ascii="Calibri" w:eastAsia="Calibri" w:hAnsi="Calibri" w:cs="Times New Roman"/>
    </w:rPr>
  </w:style>
  <w:style w:type="paragraph" w:styleId="Footer">
    <w:name w:val="footer"/>
    <w:basedOn w:val="Normal"/>
    <w:link w:val="FooterChar"/>
    <w:uiPriority w:val="99"/>
    <w:unhideWhenUsed/>
    <w:rsid w:val="00471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F97"/>
    <w:rPr>
      <w:rFonts w:ascii="Calibri" w:eastAsia="Calibri" w:hAnsi="Calibri" w:cs="Times New Roman"/>
    </w:rPr>
  </w:style>
  <w:style w:type="character" w:styleId="Hyperlink">
    <w:name w:val="Hyperlink"/>
    <w:uiPriority w:val="99"/>
    <w:unhideWhenUsed/>
    <w:rsid w:val="00F0627E"/>
    <w:rPr>
      <w:color w:val="0000FF"/>
      <w:u w:val="single"/>
    </w:rPr>
  </w:style>
  <w:style w:type="character" w:styleId="CommentReference">
    <w:name w:val="annotation reference"/>
    <w:basedOn w:val="DefaultParagraphFont"/>
    <w:uiPriority w:val="99"/>
    <w:semiHidden/>
    <w:unhideWhenUsed/>
    <w:rsid w:val="00480D2F"/>
    <w:rPr>
      <w:sz w:val="16"/>
      <w:szCs w:val="16"/>
    </w:rPr>
  </w:style>
  <w:style w:type="paragraph" w:styleId="CommentText">
    <w:name w:val="annotation text"/>
    <w:basedOn w:val="Normal"/>
    <w:link w:val="CommentTextChar"/>
    <w:uiPriority w:val="99"/>
    <w:unhideWhenUsed/>
    <w:rsid w:val="00480D2F"/>
    <w:pPr>
      <w:spacing w:line="240" w:lineRule="auto"/>
    </w:pPr>
    <w:rPr>
      <w:sz w:val="20"/>
      <w:szCs w:val="20"/>
    </w:rPr>
  </w:style>
  <w:style w:type="character" w:customStyle="1" w:styleId="CommentTextChar">
    <w:name w:val="Comment Text Char"/>
    <w:basedOn w:val="DefaultParagraphFont"/>
    <w:link w:val="CommentText"/>
    <w:uiPriority w:val="99"/>
    <w:rsid w:val="00480D2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80D2F"/>
    <w:rPr>
      <w:b/>
      <w:bCs/>
    </w:rPr>
  </w:style>
  <w:style w:type="character" w:customStyle="1" w:styleId="CommentSubjectChar">
    <w:name w:val="Comment Subject Char"/>
    <w:basedOn w:val="CommentTextChar"/>
    <w:link w:val="CommentSubject"/>
    <w:uiPriority w:val="99"/>
    <w:semiHidden/>
    <w:rsid w:val="00480D2F"/>
    <w:rPr>
      <w:rFonts w:ascii="Calibri" w:eastAsia="Calibri" w:hAnsi="Calibri" w:cs="Times New Roman"/>
      <w:b/>
      <w:bCs/>
      <w:sz w:val="20"/>
      <w:szCs w:val="20"/>
    </w:rPr>
  </w:style>
  <w:style w:type="paragraph" w:styleId="Revision">
    <w:name w:val="Revision"/>
    <w:hidden/>
    <w:uiPriority w:val="99"/>
    <w:semiHidden/>
    <w:rsid w:val="00480D2F"/>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480D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D2F"/>
    <w:rPr>
      <w:rFonts w:ascii="Segoe UI" w:eastAsia="Calibri" w:hAnsi="Segoe UI" w:cs="Segoe UI"/>
      <w:sz w:val="18"/>
      <w:szCs w:val="18"/>
    </w:rPr>
  </w:style>
  <w:style w:type="paragraph" w:customStyle="1" w:styleId="FERCparanumber">
    <w:name w:val="FERC paranumber"/>
    <w:basedOn w:val="Normal"/>
    <w:link w:val="FERCparanumberChar"/>
    <w:uiPriority w:val="99"/>
    <w:rsid w:val="00676409"/>
    <w:pPr>
      <w:numPr>
        <w:numId w:val="29"/>
      </w:numPr>
      <w:spacing w:after="0" w:line="240" w:lineRule="auto"/>
    </w:pPr>
    <w:rPr>
      <w:rFonts w:ascii="Times New Roman" w:eastAsia="Times New Roman" w:hAnsi="Times New Roman"/>
      <w:sz w:val="26"/>
      <w:szCs w:val="24"/>
    </w:rPr>
  </w:style>
  <w:style w:type="character" w:customStyle="1" w:styleId="FERCparanumberChar">
    <w:name w:val="FERC paranumber Char"/>
    <w:link w:val="FERCparanumber"/>
    <w:uiPriority w:val="99"/>
    <w:rsid w:val="00676409"/>
    <w:rPr>
      <w:rFonts w:ascii="Times New Roman" w:eastAsia="Times New Roman" w:hAnsi="Times New Roman" w:cs="Times New Roman"/>
      <w:sz w:val="26"/>
      <w:szCs w:val="24"/>
    </w:rPr>
  </w:style>
  <w:style w:type="character" w:styleId="FollowedHyperlink">
    <w:name w:val="FollowedHyperlink"/>
    <w:basedOn w:val="DefaultParagraphFont"/>
    <w:uiPriority w:val="99"/>
    <w:semiHidden/>
    <w:unhideWhenUsed/>
    <w:rsid w:val="003E74C9"/>
    <w:rPr>
      <w:color w:val="954F72" w:themeColor="followedHyperlink"/>
      <w:u w:val="single"/>
    </w:rPr>
  </w:style>
  <w:style w:type="table" w:styleId="TableGrid">
    <w:name w:val="Table Grid"/>
    <w:basedOn w:val="TableNormal"/>
    <w:uiPriority w:val="39"/>
    <w:rsid w:val="00257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03039">
      <w:bodyDiv w:val="1"/>
      <w:marLeft w:val="0"/>
      <w:marRight w:val="0"/>
      <w:marTop w:val="0"/>
      <w:marBottom w:val="0"/>
      <w:divBdr>
        <w:top w:val="none" w:sz="0" w:space="0" w:color="auto"/>
        <w:left w:val="none" w:sz="0" w:space="0" w:color="auto"/>
        <w:bottom w:val="none" w:sz="0" w:space="0" w:color="auto"/>
        <w:right w:val="none" w:sz="0" w:space="0" w:color="auto"/>
      </w:divBdr>
    </w:div>
    <w:div w:id="61149417">
      <w:bodyDiv w:val="1"/>
      <w:marLeft w:val="0"/>
      <w:marRight w:val="0"/>
      <w:marTop w:val="0"/>
      <w:marBottom w:val="0"/>
      <w:divBdr>
        <w:top w:val="none" w:sz="0" w:space="0" w:color="auto"/>
        <w:left w:val="none" w:sz="0" w:space="0" w:color="auto"/>
        <w:bottom w:val="none" w:sz="0" w:space="0" w:color="auto"/>
        <w:right w:val="none" w:sz="0" w:space="0" w:color="auto"/>
      </w:divBdr>
    </w:div>
    <w:div w:id="79375054">
      <w:bodyDiv w:val="1"/>
      <w:marLeft w:val="0"/>
      <w:marRight w:val="0"/>
      <w:marTop w:val="0"/>
      <w:marBottom w:val="0"/>
      <w:divBdr>
        <w:top w:val="none" w:sz="0" w:space="0" w:color="auto"/>
        <w:left w:val="none" w:sz="0" w:space="0" w:color="auto"/>
        <w:bottom w:val="none" w:sz="0" w:space="0" w:color="auto"/>
        <w:right w:val="none" w:sz="0" w:space="0" w:color="auto"/>
      </w:divBdr>
    </w:div>
    <w:div w:id="347096554">
      <w:bodyDiv w:val="1"/>
      <w:marLeft w:val="0"/>
      <w:marRight w:val="0"/>
      <w:marTop w:val="0"/>
      <w:marBottom w:val="0"/>
      <w:divBdr>
        <w:top w:val="none" w:sz="0" w:space="0" w:color="auto"/>
        <w:left w:val="none" w:sz="0" w:space="0" w:color="auto"/>
        <w:bottom w:val="none" w:sz="0" w:space="0" w:color="auto"/>
        <w:right w:val="none" w:sz="0" w:space="0" w:color="auto"/>
      </w:divBdr>
    </w:div>
    <w:div w:id="388378569">
      <w:bodyDiv w:val="1"/>
      <w:marLeft w:val="0"/>
      <w:marRight w:val="0"/>
      <w:marTop w:val="0"/>
      <w:marBottom w:val="0"/>
      <w:divBdr>
        <w:top w:val="none" w:sz="0" w:space="0" w:color="auto"/>
        <w:left w:val="none" w:sz="0" w:space="0" w:color="auto"/>
        <w:bottom w:val="none" w:sz="0" w:space="0" w:color="auto"/>
        <w:right w:val="none" w:sz="0" w:space="0" w:color="auto"/>
      </w:divBdr>
    </w:div>
    <w:div w:id="576861400">
      <w:bodyDiv w:val="1"/>
      <w:marLeft w:val="0"/>
      <w:marRight w:val="0"/>
      <w:marTop w:val="0"/>
      <w:marBottom w:val="0"/>
      <w:divBdr>
        <w:top w:val="none" w:sz="0" w:space="0" w:color="auto"/>
        <w:left w:val="none" w:sz="0" w:space="0" w:color="auto"/>
        <w:bottom w:val="none" w:sz="0" w:space="0" w:color="auto"/>
        <w:right w:val="none" w:sz="0" w:space="0" w:color="auto"/>
      </w:divBdr>
    </w:div>
    <w:div w:id="697775823">
      <w:bodyDiv w:val="1"/>
      <w:marLeft w:val="0"/>
      <w:marRight w:val="0"/>
      <w:marTop w:val="0"/>
      <w:marBottom w:val="0"/>
      <w:divBdr>
        <w:top w:val="none" w:sz="0" w:space="0" w:color="auto"/>
        <w:left w:val="none" w:sz="0" w:space="0" w:color="auto"/>
        <w:bottom w:val="none" w:sz="0" w:space="0" w:color="auto"/>
        <w:right w:val="none" w:sz="0" w:space="0" w:color="auto"/>
      </w:divBdr>
    </w:div>
    <w:div w:id="778380452">
      <w:bodyDiv w:val="1"/>
      <w:marLeft w:val="0"/>
      <w:marRight w:val="0"/>
      <w:marTop w:val="0"/>
      <w:marBottom w:val="0"/>
      <w:divBdr>
        <w:top w:val="none" w:sz="0" w:space="0" w:color="auto"/>
        <w:left w:val="none" w:sz="0" w:space="0" w:color="auto"/>
        <w:bottom w:val="none" w:sz="0" w:space="0" w:color="auto"/>
        <w:right w:val="none" w:sz="0" w:space="0" w:color="auto"/>
      </w:divBdr>
    </w:div>
    <w:div w:id="821652080">
      <w:bodyDiv w:val="1"/>
      <w:marLeft w:val="0"/>
      <w:marRight w:val="0"/>
      <w:marTop w:val="0"/>
      <w:marBottom w:val="0"/>
      <w:divBdr>
        <w:top w:val="none" w:sz="0" w:space="0" w:color="auto"/>
        <w:left w:val="none" w:sz="0" w:space="0" w:color="auto"/>
        <w:bottom w:val="none" w:sz="0" w:space="0" w:color="auto"/>
        <w:right w:val="none" w:sz="0" w:space="0" w:color="auto"/>
      </w:divBdr>
    </w:div>
    <w:div w:id="826358874">
      <w:bodyDiv w:val="1"/>
      <w:marLeft w:val="0"/>
      <w:marRight w:val="0"/>
      <w:marTop w:val="0"/>
      <w:marBottom w:val="0"/>
      <w:divBdr>
        <w:top w:val="none" w:sz="0" w:space="0" w:color="auto"/>
        <w:left w:val="none" w:sz="0" w:space="0" w:color="auto"/>
        <w:bottom w:val="none" w:sz="0" w:space="0" w:color="auto"/>
        <w:right w:val="none" w:sz="0" w:space="0" w:color="auto"/>
      </w:divBdr>
    </w:div>
    <w:div w:id="831674416">
      <w:bodyDiv w:val="1"/>
      <w:marLeft w:val="0"/>
      <w:marRight w:val="0"/>
      <w:marTop w:val="0"/>
      <w:marBottom w:val="0"/>
      <w:divBdr>
        <w:top w:val="none" w:sz="0" w:space="0" w:color="auto"/>
        <w:left w:val="none" w:sz="0" w:space="0" w:color="auto"/>
        <w:bottom w:val="none" w:sz="0" w:space="0" w:color="auto"/>
        <w:right w:val="none" w:sz="0" w:space="0" w:color="auto"/>
      </w:divBdr>
    </w:div>
    <w:div w:id="867138717">
      <w:bodyDiv w:val="1"/>
      <w:marLeft w:val="0"/>
      <w:marRight w:val="0"/>
      <w:marTop w:val="0"/>
      <w:marBottom w:val="0"/>
      <w:divBdr>
        <w:top w:val="none" w:sz="0" w:space="0" w:color="auto"/>
        <w:left w:val="none" w:sz="0" w:space="0" w:color="auto"/>
        <w:bottom w:val="none" w:sz="0" w:space="0" w:color="auto"/>
        <w:right w:val="none" w:sz="0" w:space="0" w:color="auto"/>
      </w:divBdr>
    </w:div>
    <w:div w:id="917984361">
      <w:bodyDiv w:val="1"/>
      <w:marLeft w:val="0"/>
      <w:marRight w:val="0"/>
      <w:marTop w:val="0"/>
      <w:marBottom w:val="0"/>
      <w:divBdr>
        <w:top w:val="none" w:sz="0" w:space="0" w:color="auto"/>
        <w:left w:val="none" w:sz="0" w:space="0" w:color="auto"/>
        <w:bottom w:val="none" w:sz="0" w:space="0" w:color="auto"/>
        <w:right w:val="none" w:sz="0" w:space="0" w:color="auto"/>
      </w:divBdr>
    </w:div>
    <w:div w:id="996494607">
      <w:bodyDiv w:val="1"/>
      <w:marLeft w:val="0"/>
      <w:marRight w:val="0"/>
      <w:marTop w:val="0"/>
      <w:marBottom w:val="0"/>
      <w:divBdr>
        <w:top w:val="none" w:sz="0" w:space="0" w:color="auto"/>
        <w:left w:val="none" w:sz="0" w:space="0" w:color="auto"/>
        <w:bottom w:val="none" w:sz="0" w:space="0" w:color="auto"/>
        <w:right w:val="none" w:sz="0" w:space="0" w:color="auto"/>
      </w:divBdr>
    </w:div>
    <w:div w:id="1076320644">
      <w:bodyDiv w:val="1"/>
      <w:marLeft w:val="0"/>
      <w:marRight w:val="0"/>
      <w:marTop w:val="0"/>
      <w:marBottom w:val="0"/>
      <w:divBdr>
        <w:top w:val="none" w:sz="0" w:space="0" w:color="auto"/>
        <w:left w:val="none" w:sz="0" w:space="0" w:color="auto"/>
        <w:bottom w:val="none" w:sz="0" w:space="0" w:color="auto"/>
        <w:right w:val="none" w:sz="0" w:space="0" w:color="auto"/>
      </w:divBdr>
    </w:div>
    <w:div w:id="1108547143">
      <w:bodyDiv w:val="1"/>
      <w:marLeft w:val="0"/>
      <w:marRight w:val="0"/>
      <w:marTop w:val="0"/>
      <w:marBottom w:val="0"/>
      <w:divBdr>
        <w:top w:val="none" w:sz="0" w:space="0" w:color="auto"/>
        <w:left w:val="none" w:sz="0" w:space="0" w:color="auto"/>
        <w:bottom w:val="none" w:sz="0" w:space="0" w:color="auto"/>
        <w:right w:val="none" w:sz="0" w:space="0" w:color="auto"/>
      </w:divBdr>
    </w:div>
    <w:div w:id="1117984831">
      <w:bodyDiv w:val="1"/>
      <w:marLeft w:val="0"/>
      <w:marRight w:val="0"/>
      <w:marTop w:val="0"/>
      <w:marBottom w:val="0"/>
      <w:divBdr>
        <w:top w:val="none" w:sz="0" w:space="0" w:color="auto"/>
        <w:left w:val="none" w:sz="0" w:space="0" w:color="auto"/>
        <w:bottom w:val="none" w:sz="0" w:space="0" w:color="auto"/>
        <w:right w:val="none" w:sz="0" w:space="0" w:color="auto"/>
      </w:divBdr>
    </w:div>
    <w:div w:id="1218325003">
      <w:bodyDiv w:val="1"/>
      <w:marLeft w:val="0"/>
      <w:marRight w:val="0"/>
      <w:marTop w:val="0"/>
      <w:marBottom w:val="0"/>
      <w:divBdr>
        <w:top w:val="none" w:sz="0" w:space="0" w:color="auto"/>
        <w:left w:val="none" w:sz="0" w:space="0" w:color="auto"/>
        <w:bottom w:val="none" w:sz="0" w:space="0" w:color="auto"/>
        <w:right w:val="none" w:sz="0" w:space="0" w:color="auto"/>
      </w:divBdr>
    </w:div>
    <w:div w:id="1270552088">
      <w:bodyDiv w:val="1"/>
      <w:marLeft w:val="0"/>
      <w:marRight w:val="0"/>
      <w:marTop w:val="0"/>
      <w:marBottom w:val="0"/>
      <w:divBdr>
        <w:top w:val="none" w:sz="0" w:space="0" w:color="auto"/>
        <w:left w:val="none" w:sz="0" w:space="0" w:color="auto"/>
        <w:bottom w:val="none" w:sz="0" w:space="0" w:color="auto"/>
        <w:right w:val="none" w:sz="0" w:space="0" w:color="auto"/>
      </w:divBdr>
    </w:div>
    <w:div w:id="1306735426">
      <w:bodyDiv w:val="1"/>
      <w:marLeft w:val="0"/>
      <w:marRight w:val="0"/>
      <w:marTop w:val="0"/>
      <w:marBottom w:val="0"/>
      <w:divBdr>
        <w:top w:val="none" w:sz="0" w:space="0" w:color="auto"/>
        <w:left w:val="none" w:sz="0" w:space="0" w:color="auto"/>
        <w:bottom w:val="none" w:sz="0" w:space="0" w:color="auto"/>
        <w:right w:val="none" w:sz="0" w:space="0" w:color="auto"/>
      </w:divBdr>
    </w:div>
    <w:div w:id="1312128445">
      <w:bodyDiv w:val="1"/>
      <w:marLeft w:val="0"/>
      <w:marRight w:val="0"/>
      <w:marTop w:val="0"/>
      <w:marBottom w:val="0"/>
      <w:divBdr>
        <w:top w:val="none" w:sz="0" w:space="0" w:color="auto"/>
        <w:left w:val="none" w:sz="0" w:space="0" w:color="auto"/>
        <w:bottom w:val="none" w:sz="0" w:space="0" w:color="auto"/>
        <w:right w:val="none" w:sz="0" w:space="0" w:color="auto"/>
      </w:divBdr>
    </w:div>
    <w:div w:id="1371611158">
      <w:bodyDiv w:val="1"/>
      <w:marLeft w:val="0"/>
      <w:marRight w:val="0"/>
      <w:marTop w:val="0"/>
      <w:marBottom w:val="0"/>
      <w:divBdr>
        <w:top w:val="none" w:sz="0" w:space="0" w:color="auto"/>
        <w:left w:val="none" w:sz="0" w:space="0" w:color="auto"/>
        <w:bottom w:val="none" w:sz="0" w:space="0" w:color="auto"/>
        <w:right w:val="none" w:sz="0" w:space="0" w:color="auto"/>
      </w:divBdr>
    </w:div>
    <w:div w:id="1467818558">
      <w:bodyDiv w:val="1"/>
      <w:marLeft w:val="0"/>
      <w:marRight w:val="0"/>
      <w:marTop w:val="0"/>
      <w:marBottom w:val="0"/>
      <w:divBdr>
        <w:top w:val="none" w:sz="0" w:space="0" w:color="auto"/>
        <w:left w:val="none" w:sz="0" w:space="0" w:color="auto"/>
        <w:bottom w:val="none" w:sz="0" w:space="0" w:color="auto"/>
        <w:right w:val="none" w:sz="0" w:space="0" w:color="auto"/>
      </w:divBdr>
    </w:div>
    <w:div w:id="1477330603">
      <w:bodyDiv w:val="1"/>
      <w:marLeft w:val="0"/>
      <w:marRight w:val="0"/>
      <w:marTop w:val="0"/>
      <w:marBottom w:val="0"/>
      <w:divBdr>
        <w:top w:val="none" w:sz="0" w:space="0" w:color="auto"/>
        <w:left w:val="none" w:sz="0" w:space="0" w:color="auto"/>
        <w:bottom w:val="none" w:sz="0" w:space="0" w:color="auto"/>
        <w:right w:val="none" w:sz="0" w:space="0" w:color="auto"/>
      </w:divBdr>
    </w:div>
    <w:div w:id="1487697903">
      <w:bodyDiv w:val="1"/>
      <w:marLeft w:val="0"/>
      <w:marRight w:val="0"/>
      <w:marTop w:val="0"/>
      <w:marBottom w:val="0"/>
      <w:divBdr>
        <w:top w:val="none" w:sz="0" w:space="0" w:color="auto"/>
        <w:left w:val="none" w:sz="0" w:space="0" w:color="auto"/>
        <w:bottom w:val="none" w:sz="0" w:space="0" w:color="auto"/>
        <w:right w:val="none" w:sz="0" w:space="0" w:color="auto"/>
      </w:divBdr>
    </w:div>
    <w:div w:id="1527985657">
      <w:bodyDiv w:val="1"/>
      <w:marLeft w:val="0"/>
      <w:marRight w:val="0"/>
      <w:marTop w:val="0"/>
      <w:marBottom w:val="0"/>
      <w:divBdr>
        <w:top w:val="none" w:sz="0" w:space="0" w:color="auto"/>
        <w:left w:val="none" w:sz="0" w:space="0" w:color="auto"/>
        <w:bottom w:val="none" w:sz="0" w:space="0" w:color="auto"/>
        <w:right w:val="none" w:sz="0" w:space="0" w:color="auto"/>
      </w:divBdr>
    </w:div>
    <w:div w:id="1542127915">
      <w:bodyDiv w:val="1"/>
      <w:marLeft w:val="0"/>
      <w:marRight w:val="0"/>
      <w:marTop w:val="0"/>
      <w:marBottom w:val="0"/>
      <w:divBdr>
        <w:top w:val="none" w:sz="0" w:space="0" w:color="auto"/>
        <w:left w:val="none" w:sz="0" w:space="0" w:color="auto"/>
        <w:bottom w:val="none" w:sz="0" w:space="0" w:color="auto"/>
        <w:right w:val="none" w:sz="0" w:space="0" w:color="auto"/>
      </w:divBdr>
    </w:div>
    <w:div w:id="1572352552">
      <w:bodyDiv w:val="1"/>
      <w:marLeft w:val="0"/>
      <w:marRight w:val="0"/>
      <w:marTop w:val="0"/>
      <w:marBottom w:val="0"/>
      <w:divBdr>
        <w:top w:val="none" w:sz="0" w:space="0" w:color="auto"/>
        <w:left w:val="none" w:sz="0" w:space="0" w:color="auto"/>
        <w:bottom w:val="none" w:sz="0" w:space="0" w:color="auto"/>
        <w:right w:val="none" w:sz="0" w:space="0" w:color="auto"/>
      </w:divBdr>
    </w:div>
    <w:div w:id="1581908231">
      <w:bodyDiv w:val="1"/>
      <w:marLeft w:val="0"/>
      <w:marRight w:val="0"/>
      <w:marTop w:val="0"/>
      <w:marBottom w:val="0"/>
      <w:divBdr>
        <w:top w:val="none" w:sz="0" w:space="0" w:color="auto"/>
        <w:left w:val="none" w:sz="0" w:space="0" w:color="auto"/>
        <w:bottom w:val="none" w:sz="0" w:space="0" w:color="auto"/>
        <w:right w:val="none" w:sz="0" w:space="0" w:color="auto"/>
      </w:divBdr>
    </w:div>
    <w:div w:id="1676029414">
      <w:bodyDiv w:val="1"/>
      <w:marLeft w:val="0"/>
      <w:marRight w:val="0"/>
      <w:marTop w:val="0"/>
      <w:marBottom w:val="0"/>
      <w:divBdr>
        <w:top w:val="none" w:sz="0" w:space="0" w:color="auto"/>
        <w:left w:val="none" w:sz="0" w:space="0" w:color="auto"/>
        <w:bottom w:val="none" w:sz="0" w:space="0" w:color="auto"/>
        <w:right w:val="none" w:sz="0" w:space="0" w:color="auto"/>
      </w:divBdr>
    </w:div>
    <w:div w:id="1734431047">
      <w:bodyDiv w:val="1"/>
      <w:marLeft w:val="0"/>
      <w:marRight w:val="0"/>
      <w:marTop w:val="0"/>
      <w:marBottom w:val="0"/>
      <w:divBdr>
        <w:top w:val="none" w:sz="0" w:space="0" w:color="auto"/>
        <w:left w:val="none" w:sz="0" w:space="0" w:color="auto"/>
        <w:bottom w:val="none" w:sz="0" w:space="0" w:color="auto"/>
        <w:right w:val="none" w:sz="0" w:space="0" w:color="auto"/>
      </w:divBdr>
    </w:div>
    <w:div w:id="1775783901">
      <w:bodyDiv w:val="1"/>
      <w:marLeft w:val="0"/>
      <w:marRight w:val="0"/>
      <w:marTop w:val="0"/>
      <w:marBottom w:val="0"/>
      <w:divBdr>
        <w:top w:val="none" w:sz="0" w:space="0" w:color="auto"/>
        <w:left w:val="none" w:sz="0" w:space="0" w:color="auto"/>
        <w:bottom w:val="none" w:sz="0" w:space="0" w:color="auto"/>
        <w:right w:val="none" w:sz="0" w:space="0" w:color="auto"/>
      </w:divBdr>
    </w:div>
    <w:div w:id="1776516236">
      <w:bodyDiv w:val="1"/>
      <w:marLeft w:val="0"/>
      <w:marRight w:val="0"/>
      <w:marTop w:val="0"/>
      <w:marBottom w:val="0"/>
      <w:divBdr>
        <w:top w:val="none" w:sz="0" w:space="0" w:color="auto"/>
        <w:left w:val="none" w:sz="0" w:space="0" w:color="auto"/>
        <w:bottom w:val="none" w:sz="0" w:space="0" w:color="auto"/>
        <w:right w:val="none" w:sz="0" w:space="0" w:color="auto"/>
      </w:divBdr>
    </w:div>
    <w:div w:id="1931816262">
      <w:bodyDiv w:val="1"/>
      <w:marLeft w:val="0"/>
      <w:marRight w:val="0"/>
      <w:marTop w:val="0"/>
      <w:marBottom w:val="0"/>
      <w:divBdr>
        <w:top w:val="none" w:sz="0" w:space="0" w:color="auto"/>
        <w:left w:val="none" w:sz="0" w:space="0" w:color="auto"/>
        <w:bottom w:val="none" w:sz="0" w:space="0" w:color="auto"/>
        <w:right w:val="none" w:sz="0" w:space="0" w:color="auto"/>
      </w:divBdr>
    </w:div>
    <w:div w:id="1944872258">
      <w:bodyDiv w:val="1"/>
      <w:marLeft w:val="0"/>
      <w:marRight w:val="0"/>
      <w:marTop w:val="0"/>
      <w:marBottom w:val="0"/>
      <w:divBdr>
        <w:top w:val="none" w:sz="0" w:space="0" w:color="auto"/>
        <w:left w:val="none" w:sz="0" w:space="0" w:color="auto"/>
        <w:bottom w:val="none" w:sz="0" w:space="0" w:color="auto"/>
        <w:right w:val="none" w:sz="0" w:space="0" w:color="auto"/>
      </w:divBdr>
    </w:div>
    <w:div w:id="1994529396">
      <w:bodyDiv w:val="1"/>
      <w:marLeft w:val="0"/>
      <w:marRight w:val="0"/>
      <w:marTop w:val="0"/>
      <w:marBottom w:val="0"/>
      <w:divBdr>
        <w:top w:val="none" w:sz="0" w:space="0" w:color="auto"/>
        <w:left w:val="none" w:sz="0" w:space="0" w:color="auto"/>
        <w:bottom w:val="none" w:sz="0" w:space="0" w:color="auto"/>
        <w:right w:val="none" w:sz="0" w:space="0" w:color="auto"/>
      </w:divBdr>
    </w:div>
    <w:div w:id="2009360409">
      <w:bodyDiv w:val="1"/>
      <w:marLeft w:val="0"/>
      <w:marRight w:val="0"/>
      <w:marTop w:val="0"/>
      <w:marBottom w:val="0"/>
      <w:divBdr>
        <w:top w:val="none" w:sz="0" w:space="0" w:color="auto"/>
        <w:left w:val="none" w:sz="0" w:space="0" w:color="auto"/>
        <w:bottom w:val="none" w:sz="0" w:space="0" w:color="auto"/>
        <w:right w:val="none" w:sz="0" w:space="0" w:color="auto"/>
      </w:divBdr>
    </w:div>
    <w:div w:id="202624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ferc.gov/docs-filing/info-collections.as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bls.gov/news.release/ecec.nr0.htm"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bls.gov/oes/current/naics2_22.ht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ferc.gov/legal/ceii-foia/ceii.asp" TargetMode="External"/><Relationship Id="rId2" Type="http://schemas.openxmlformats.org/officeDocument/2006/relationships/hyperlink" Target="https://elibrary.ferc.gov/idmws/common/OpenNat.asp?fileID=15142191" TargetMode="External"/><Relationship Id="rId1" Type="http://schemas.openxmlformats.org/officeDocument/2006/relationships/hyperlink" Target="https://elibrary.ferc.gov/idmws/common/opennat.asp?fileID=138418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mso-contentType ?>
<SharedContentType xmlns="Microsoft.SharePoint.Taxonomy.ContentTypeSync" SourceId="74a4cd09-5f17-433b-814a-38e7e9115d16"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1</_x0031__x002e__x0020_Collection_x0020_Number>
    <Date xmlns="d6eefc7d-9817-4fa6-84d5-3bc009be21b8">2019-03-14T00:00:00-04:00</Date>
    <Status xmlns="d6eefc7d-9817-4fa6-84d5-3bc009be21b8">Final</Status>
    <_x0032__x002e__x0020_Docket_x0020_Number xmlns="d6eefc7d-9817-4fa6-84d5-3bc009be21b8" xsi:nil="true"/>
    <_x0032__x002e__x0020_Collection_x0020_Number xmlns="d6eefc7d-9817-4fa6-84d5-3bc009be21b8">2</_x0032__x002e__x0020_Collection_x0020_Number>
    <_x0031__x002e__x0020_Docket_x0020_Number xmlns="d6eefc7d-9817-4fa6-84d5-3bc009be21b8">RM19-12</_x0031__x002e__x0020_Docket_x0020_Number>
    <_x0033__x002e__x0020_Collection_x0020_Number xmlns="d6eefc7d-9817-4fa6-84d5-3bc009be21b8">6</_x0033__x002e__x0020_Collection_x0020_Number>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F6770-8E19-44D2-995F-1A783087B4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D70B3F-D664-483A-8EE5-F7E08DEE7841}">
  <ds:schemaRefs>
    <ds:schemaRef ds:uri="http://schemas.microsoft.com/office/2006/metadata/customXsn"/>
  </ds:schemaRefs>
</ds:datastoreItem>
</file>

<file path=customXml/itemProps3.xml><?xml version="1.0" encoding="utf-8"?>
<ds:datastoreItem xmlns:ds="http://schemas.openxmlformats.org/officeDocument/2006/customXml" ds:itemID="{95FFACFC-C24E-40DA-BA6E-B8C022F15C74}">
  <ds:schemaRefs>
    <ds:schemaRef ds:uri="Microsoft.SharePoint.Taxonomy.ContentTypeSync"/>
  </ds:schemaRefs>
</ds:datastoreItem>
</file>

<file path=customXml/itemProps4.xml><?xml version="1.0" encoding="utf-8"?>
<ds:datastoreItem xmlns:ds="http://schemas.openxmlformats.org/officeDocument/2006/customXml" ds:itemID="{9DF57017-6D35-4700-942D-9BCDC1A55FC4}">
  <ds:schemaRefs>
    <ds:schemaRef ds:uri="http://schemas.microsoft.com/office/2006/documentManagement/types"/>
    <ds:schemaRef ds:uri="http://purl.org/dc/dcmitype/"/>
    <ds:schemaRef ds:uri="http://purl.org/dc/elements/1.1/"/>
    <ds:schemaRef ds:uri="http://purl.org/dc/term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d6eefc7d-9817-4fa6-84d5-3bc009be21b8"/>
  </ds:schemaRefs>
</ds:datastoreItem>
</file>

<file path=customXml/itemProps5.xml><?xml version="1.0" encoding="utf-8"?>
<ds:datastoreItem xmlns:ds="http://schemas.openxmlformats.org/officeDocument/2006/customXml" ds:itemID="{27A9B5D0-8708-4B29-96B9-05551272B9A8}">
  <ds:schemaRefs>
    <ds:schemaRef ds:uri="http://schemas.microsoft.com/sharepoint/v3/contenttype/forms"/>
  </ds:schemaRefs>
</ds:datastoreItem>
</file>

<file path=customXml/itemProps6.xml><?xml version="1.0" encoding="utf-8"?>
<ds:datastoreItem xmlns:ds="http://schemas.openxmlformats.org/officeDocument/2006/customXml" ds:itemID="{9ED70866-39CA-41CA-A819-E121E5DFB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7282</Words>
  <Characters>41513</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OE final review after 5pm 2-5-19</vt:lpstr>
    </vt:vector>
  </TitlesOfParts>
  <Company>FERC</Company>
  <LinksUpToDate>false</LinksUpToDate>
  <CharactersWithSpaces>48698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OE final review after 5pm 2-5-19</dc:title>
  <dc:subject/>
  <dc:creator>Michele Chambers</dc:creator>
  <cp:keywords/>
  <dc:description/>
  <cp:lastModifiedBy>SYSTEM</cp:lastModifiedBy>
  <cp:revision>2</cp:revision>
  <cp:lastPrinted>2019-02-05T19:09:00Z</cp:lastPrinted>
  <dcterms:created xsi:type="dcterms:W3CDTF">2019-03-14T15:54:00Z</dcterms:created>
  <dcterms:modified xsi:type="dcterms:W3CDTF">2019-03-14T15:54:00Z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