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EB0" w:rsidRDefault="00482EB0" w:rsidP="00482EB0">
      <w:pPr>
        <w:pStyle w:val="Heading1"/>
        <w:keepNext w:val="0"/>
      </w:pPr>
      <w:bookmarkStart w:id="0" w:name="_GoBack"/>
      <w:bookmarkEnd w:id="0"/>
      <w:r>
        <w:t>SECURITIES AND EXCHANGE COMMISSION</w:t>
      </w:r>
    </w:p>
    <w:p w:rsidR="00482EB0" w:rsidRDefault="00482EB0" w:rsidP="00482EB0"/>
    <w:p w:rsidR="00482EB0" w:rsidRDefault="00482EB0" w:rsidP="00482EB0">
      <w:r>
        <w:t>Submission for OMB Review; Comment Request</w:t>
      </w:r>
    </w:p>
    <w:p w:rsidR="00482EB0" w:rsidRDefault="00482EB0" w:rsidP="00482EB0"/>
    <w:p w:rsidR="00482EB0" w:rsidRDefault="00482EB0" w:rsidP="00482EB0"/>
    <w:p w:rsidR="009B42A3" w:rsidRPr="009B42A3" w:rsidRDefault="009B42A3" w:rsidP="009B42A3">
      <w:pPr>
        <w:widowControl/>
        <w:autoSpaceDE/>
        <w:autoSpaceDN/>
        <w:adjustRightInd/>
        <w:rPr>
          <w:rFonts w:ascii="Times New Roman" w:eastAsiaTheme="minorHAnsi" w:hAnsi="Times New Roman" w:cstheme="minorBidi"/>
          <w:sz w:val="22"/>
          <w:szCs w:val="22"/>
        </w:rPr>
      </w:pPr>
      <w:r w:rsidRPr="009B42A3">
        <w:rPr>
          <w:rFonts w:ascii="Times New Roman" w:eastAsiaTheme="minorHAnsi" w:hAnsi="Times New Roman" w:cstheme="minorBidi"/>
        </w:rPr>
        <w:t>Upon Written Request, Copies Available From</w:t>
      </w:r>
    </w:p>
    <w:p w:rsidR="009B42A3" w:rsidRPr="009B42A3" w:rsidRDefault="009B42A3" w:rsidP="009B42A3">
      <w:pPr>
        <w:widowControl/>
        <w:autoSpaceDE/>
        <w:autoSpaceDN/>
        <w:adjustRightInd/>
        <w:rPr>
          <w:rFonts w:ascii="Times New Roman" w:eastAsiaTheme="minorHAnsi" w:hAnsi="Times New Roman" w:cstheme="minorBidi"/>
          <w:sz w:val="22"/>
          <w:szCs w:val="22"/>
        </w:rPr>
      </w:pPr>
      <w:r w:rsidRPr="009B42A3">
        <w:rPr>
          <w:rFonts w:ascii="Times New Roman" w:eastAsiaTheme="minorHAnsi" w:hAnsi="Times New Roman" w:cstheme="minorBidi"/>
          <w:sz w:val="22"/>
          <w:szCs w:val="22"/>
        </w:rPr>
        <w:t xml:space="preserve">Securities and Exchange Commission </w:t>
      </w:r>
    </w:p>
    <w:p w:rsidR="009B42A3" w:rsidRPr="009B42A3" w:rsidRDefault="009B42A3" w:rsidP="009B42A3">
      <w:pPr>
        <w:widowControl/>
        <w:autoSpaceDE/>
        <w:autoSpaceDN/>
        <w:adjustRightInd/>
        <w:rPr>
          <w:rFonts w:ascii="Times New Roman" w:eastAsiaTheme="minorHAnsi" w:hAnsi="Times New Roman" w:cstheme="minorBidi"/>
          <w:sz w:val="22"/>
          <w:szCs w:val="22"/>
        </w:rPr>
      </w:pPr>
      <w:r w:rsidRPr="009B42A3">
        <w:rPr>
          <w:rFonts w:ascii="Times New Roman" w:eastAsiaTheme="minorHAnsi" w:hAnsi="Times New Roman" w:cstheme="minorBidi"/>
          <w:sz w:val="22"/>
          <w:szCs w:val="22"/>
        </w:rPr>
        <w:t>Office of FOIA Services</w:t>
      </w:r>
    </w:p>
    <w:p w:rsidR="009B42A3" w:rsidRPr="009B42A3" w:rsidRDefault="009B42A3" w:rsidP="009B42A3">
      <w:pPr>
        <w:widowControl/>
        <w:autoSpaceDE/>
        <w:autoSpaceDN/>
        <w:adjustRightInd/>
        <w:rPr>
          <w:rFonts w:ascii="Times New Roman" w:eastAsiaTheme="minorHAnsi" w:hAnsi="Times New Roman" w:cstheme="minorBidi"/>
          <w:sz w:val="22"/>
          <w:szCs w:val="22"/>
        </w:rPr>
      </w:pPr>
      <w:r w:rsidRPr="009B42A3">
        <w:rPr>
          <w:rFonts w:ascii="Times New Roman" w:eastAsiaTheme="minorHAnsi" w:hAnsi="Times New Roman" w:cstheme="minorBidi"/>
          <w:sz w:val="22"/>
          <w:szCs w:val="22"/>
        </w:rPr>
        <w:t>100 F Street, NE</w:t>
      </w:r>
    </w:p>
    <w:p w:rsidR="009B42A3" w:rsidRPr="009B42A3" w:rsidRDefault="009B42A3" w:rsidP="009B42A3">
      <w:pPr>
        <w:widowControl/>
        <w:autoSpaceDE/>
        <w:autoSpaceDN/>
        <w:adjustRightInd/>
        <w:rPr>
          <w:rFonts w:ascii="Times New Roman" w:eastAsiaTheme="minorHAnsi" w:hAnsi="Times New Roman" w:cstheme="minorBidi"/>
          <w:sz w:val="22"/>
          <w:szCs w:val="22"/>
        </w:rPr>
      </w:pPr>
      <w:r w:rsidRPr="009B42A3">
        <w:rPr>
          <w:rFonts w:ascii="Times New Roman" w:eastAsiaTheme="minorHAnsi" w:hAnsi="Times New Roman" w:cstheme="minorBidi"/>
          <w:sz w:val="22"/>
          <w:szCs w:val="22"/>
        </w:rPr>
        <w:t>Washington, DC  20549-2736</w:t>
      </w:r>
    </w:p>
    <w:p w:rsidR="00482EB0" w:rsidRDefault="00482EB0" w:rsidP="00482EB0"/>
    <w:p w:rsidR="00482EB0" w:rsidRDefault="00482EB0" w:rsidP="00482EB0">
      <w:r>
        <w:t xml:space="preserve">Extension: Regulation S-ID     </w:t>
      </w:r>
      <w:r>
        <w:tab/>
      </w:r>
    </w:p>
    <w:p w:rsidR="00082908" w:rsidRDefault="00082908" w:rsidP="00456DCC">
      <w:pPr>
        <w:widowControl/>
        <w:tabs>
          <w:tab w:val="left" w:pos="-720"/>
        </w:tabs>
        <w:suppressAutoHyphens/>
        <w:spacing w:line="240" w:lineRule="atLeast"/>
      </w:pPr>
    </w:p>
    <w:p w:rsidR="009E0F76" w:rsidRDefault="00082908" w:rsidP="00456DCC">
      <w:pPr>
        <w:widowControl/>
        <w:tabs>
          <w:tab w:val="left" w:pos="-720"/>
        </w:tabs>
        <w:suppressAutoHyphens/>
        <w:spacing w:line="240" w:lineRule="atLeast"/>
      </w:pPr>
      <w:r>
        <w:t>OMB Control No. 3235-0</w:t>
      </w:r>
      <w:r w:rsidR="00482EB0">
        <w:t>692</w:t>
      </w:r>
      <w:r>
        <w:t xml:space="preserve">, </w:t>
      </w:r>
      <w:r w:rsidR="009E0F76">
        <w:t xml:space="preserve">SEC File No. </w:t>
      </w:r>
      <w:r w:rsidR="00482EB0">
        <w:t>270-644</w:t>
      </w:r>
      <w:r w:rsidR="009E0F76">
        <w:t xml:space="preserve">      </w:t>
      </w:r>
      <w:r w:rsidR="00482EB0">
        <w:t xml:space="preserve">   </w:t>
      </w:r>
      <w:r w:rsidR="006E2049">
        <w:t xml:space="preserve"> </w:t>
      </w:r>
    </w:p>
    <w:p w:rsidR="009E0F76" w:rsidRDefault="009E0F76" w:rsidP="00456DCC">
      <w:pPr>
        <w:widowControl/>
        <w:tabs>
          <w:tab w:val="left" w:pos="-720"/>
        </w:tabs>
        <w:suppressAutoHyphens/>
        <w:spacing w:line="240" w:lineRule="atLeast"/>
      </w:pPr>
    </w:p>
    <w:p w:rsidR="002D14A8" w:rsidRDefault="002D14A8" w:rsidP="002D14A8">
      <w:pPr>
        <w:spacing w:line="480" w:lineRule="auto"/>
        <w:ind w:firstLine="720"/>
      </w:pPr>
      <w:r>
        <w:t xml:space="preserve">Notice is hereby given that, pursuant to the Paperwork Reduction Act of 1995 </w:t>
      </w:r>
    </w:p>
    <w:p w:rsidR="002D14A8" w:rsidRDefault="002D14A8" w:rsidP="002D14A8">
      <w:pPr>
        <w:spacing w:line="480" w:lineRule="auto"/>
      </w:pPr>
      <w:r>
        <w:t xml:space="preserve">(44 U.S.C. 3501 </w:t>
      </w:r>
      <w:r w:rsidRPr="007F053B">
        <w:t>et seq</w:t>
      </w:r>
      <w:r>
        <w:t>.), the Securities and Exchange Commission (the “Commission”) has submitted to the Office of Management and Budget a request for extension of the previously approved collection of information discussed below.</w:t>
      </w:r>
    </w:p>
    <w:p w:rsidR="00232304" w:rsidRDefault="002D14A8" w:rsidP="00456DCC">
      <w:pPr>
        <w:widowControl/>
        <w:tabs>
          <w:tab w:val="left" w:pos="-720"/>
        </w:tabs>
        <w:suppressAutoHyphens/>
        <w:spacing w:line="480" w:lineRule="auto"/>
      </w:pPr>
      <w:r>
        <w:tab/>
      </w:r>
      <w:r w:rsidR="00A71897" w:rsidRPr="00B90DEC">
        <w:t>Regulation S-ID</w:t>
      </w:r>
      <w:r w:rsidR="003932EC">
        <w:t xml:space="preserve"> (17 CFR 248)</w:t>
      </w:r>
      <w:r w:rsidR="00A71897" w:rsidRPr="00B90DEC">
        <w:t xml:space="preserve">, including the information collection requirements thereunder, is designed to better protect investors from the risks of identity theft. </w:t>
      </w:r>
      <w:r w:rsidR="00A71897">
        <w:t xml:space="preserve"> </w:t>
      </w:r>
      <w:r w:rsidRPr="002D14A8">
        <w:t>Under Regulation S-ID, SEC</w:t>
      </w:r>
      <w:r>
        <w:noBreakHyphen/>
      </w:r>
      <w:r w:rsidRPr="002D14A8">
        <w:t>regulated entities are required to develop and implement reasonable policies and procedures to identify, detect, and respond to relevant red flags (the “Identity Theft Red Flags Rules”) and, in the case of entities that issue credit or debit cards, to assess the validity of, and communicate with cardholders regarding, address changes.  Section 248.201 of Regulation S</w:t>
      </w:r>
      <w:r>
        <w:noBreakHyphen/>
      </w:r>
      <w:r w:rsidRPr="002D14A8">
        <w:t xml:space="preserve">ID includes the following </w:t>
      </w:r>
      <w:r w:rsidR="00A71897">
        <w:t>information collection</w:t>
      </w:r>
      <w:r w:rsidRPr="002D14A8">
        <w:t xml:space="preserve"> requirements for each SEC-regulated entity that qualifies as a “financial institution” or “creditor” under Regulation S</w:t>
      </w:r>
      <w:r>
        <w:noBreakHyphen/>
      </w:r>
      <w:r w:rsidRPr="002D14A8">
        <w:t>ID and that offers or maintains covered accounts: (</w:t>
      </w:r>
      <w:r w:rsidR="00504242">
        <w:t>i</w:t>
      </w:r>
      <w:r w:rsidRPr="002D14A8">
        <w:t xml:space="preserve">) creation and periodic updating of an identity theft prevention program (“Program”) that is approved by the board of directors, an appropriate committee thereof, or a designated </w:t>
      </w:r>
      <w:r>
        <w:t>senior management employee; (</w:t>
      </w:r>
      <w:r w:rsidR="00504242">
        <w:t>ii</w:t>
      </w:r>
      <w:r>
        <w:t>) </w:t>
      </w:r>
      <w:r w:rsidRPr="002D14A8">
        <w:t xml:space="preserve">periodic staff reporting to the board of directors on compliance with the Identity Theft Red Flags Rules and related </w:t>
      </w:r>
      <w:r>
        <w:lastRenderedPageBreak/>
        <w:t>g</w:t>
      </w:r>
      <w:r w:rsidRPr="002D14A8">
        <w:t>uidelines; and (</w:t>
      </w:r>
      <w:r w:rsidR="00504242">
        <w:t>iii</w:t>
      </w:r>
      <w:r w:rsidRPr="002D14A8">
        <w:t>) training of s</w:t>
      </w:r>
      <w:r>
        <w:t>taff to implement the Program.</w:t>
      </w:r>
      <w:r w:rsidR="0014740C">
        <w:t xml:space="preserve">  </w:t>
      </w:r>
      <w:r w:rsidRPr="002D14A8">
        <w:t>Section 248.202 of Regulation S</w:t>
      </w:r>
      <w:r>
        <w:noBreakHyphen/>
      </w:r>
      <w:r w:rsidRPr="002D14A8">
        <w:t xml:space="preserve">ID includes the following </w:t>
      </w:r>
      <w:r w:rsidR="00083784">
        <w:t>information collection</w:t>
      </w:r>
      <w:r w:rsidRPr="002D14A8">
        <w:t xml:space="preserve"> requirements for each SEC-regulated entity that is a c</w:t>
      </w:r>
      <w:r w:rsidR="00504242">
        <w:t>redit or debit card issuer: (i</w:t>
      </w:r>
      <w:r>
        <w:t>) </w:t>
      </w:r>
      <w:r w:rsidRPr="002D14A8">
        <w:t>establishment of policies and procedures that assess the validity of a change of address notification if a request for an additional or replacement card on the account follows soon after the address change; and (</w:t>
      </w:r>
      <w:r w:rsidR="00504242">
        <w:t>ii</w:t>
      </w:r>
      <w:r w:rsidRPr="002D14A8">
        <w:t>) notification of a cardholder, before issuance of an additional or replacement card, at the previous address or throu</w:t>
      </w:r>
      <w:r w:rsidR="004A2876">
        <w:t>gh some other previously agreed</w:t>
      </w:r>
      <w:r w:rsidR="004A2876">
        <w:noBreakHyphen/>
      </w:r>
      <w:r w:rsidRPr="002D14A8">
        <w:t>upon form of communication, or alternatively, assessment of the validity of the address change request through the entity’s established policies and procedures.</w:t>
      </w:r>
    </w:p>
    <w:p w:rsidR="00282802" w:rsidRDefault="00B90DEC" w:rsidP="00282802">
      <w:pPr>
        <w:widowControl/>
        <w:tabs>
          <w:tab w:val="left" w:pos="-720"/>
        </w:tabs>
        <w:suppressAutoHyphens/>
        <w:spacing w:line="480" w:lineRule="auto"/>
      </w:pPr>
      <w:r>
        <w:tab/>
      </w:r>
      <w:r w:rsidR="00282802">
        <w:t>SEC staff estimates of the hour burdens associated with section 248.201 under Regulation S</w:t>
      </w:r>
      <w:r w:rsidR="00282802">
        <w:noBreakHyphen/>
        <w:t>ID include the one</w:t>
      </w:r>
      <w:r w:rsidR="00282802">
        <w:noBreakHyphen/>
        <w:t>time burden of complying with this section for newly</w:t>
      </w:r>
      <w:r w:rsidR="00282802">
        <w:noBreakHyphen/>
        <w:t>formed SEC-regulated entities, as well as the ongoing costs of compliance for all SEC</w:t>
      </w:r>
      <w:r w:rsidR="00282802">
        <w:noBreakHyphen/>
        <w:t xml:space="preserve">regulated entities.  </w:t>
      </w:r>
    </w:p>
    <w:p w:rsidR="00282802" w:rsidRPr="00BB6D52" w:rsidRDefault="00282802" w:rsidP="00282802">
      <w:pPr>
        <w:widowControl/>
        <w:tabs>
          <w:tab w:val="left" w:pos="720"/>
        </w:tabs>
        <w:spacing w:line="480" w:lineRule="auto"/>
        <w:ind w:firstLine="720"/>
        <w:rPr>
          <w:rFonts w:cs="Courier New"/>
        </w:rPr>
      </w:pPr>
      <w:r w:rsidRPr="00BB6D52">
        <w:rPr>
          <w:rFonts w:cs="Courier New"/>
        </w:rPr>
        <w:t>All newly</w:t>
      </w:r>
      <w:r w:rsidRPr="00BB6D52">
        <w:rPr>
          <w:rFonts w:cs="Courier New"/>
        </w:rPr>
        <w:noBreakHyphen/>
        <w:t>formed financial institutions and creditors would be required to conduct an initial assessment of covered accounts, which SEC staff estimates would entail a one</w:t>
      </w:r>
      <w:r w:rsidRPr="00BB6D52">
        <w:rPr>
          <w:rFonts w:cs="Courier New"/>
        </w:rPr>
        <w:noBreakHyphen/>
        <w:t xml:space="preserve">time burden of 2 hours.  </w:t>
      </w:r>
      <w:r>
        <w:t>S</w:t>
      </w:r>
      <w:r w:rsidRPr="00BB6D52">
        <w:rPr>
          <w:rFonts w:cs="Courier New"/>
        </w:rPr>
        <w:t>taff estimates that this burden would result in a cost of $802 to each newly</w:t>
      </w:r>
      <w:r w:rsidRPr="00BB6D52">
        <w:rPr>
          <w:rFonts w:cs="Courier New"/>
        </w:rPr>
        <w:noBreakHyphen/>
        <w:t>formed financial institution or creditor.</w:t>
      </w:r>
      <w:r w:rsidRPr="00BB6D52">
        <w:rPr>
          <w:rFonts w:cs="Courier New"/>
          <w:vertAlign w:val="superscript"/>
        </w:rPr>
        <w:footnoteReference w:id="1"/>
      </w:r>
      <w:r w:rsidRPr="00BB6D52">
        <w:rPr>
          <w:rFonts w:cs="Courier New"/>
        </w:rPr>
        <w:t xml:space="preserve">  To the extent a financial institution or creditor offers or maintains covered accounts, SEC staff estimates that the financial institution or creditor also would also incur a one</w:t>
      </w:r>
      <w:r w:rsidRPr="00BB6D52">
        <w:rPr>
          <w:rFonts w:cs="Courier New"/>
        </w:rPr>
        <w:noBreakHyphen/>
        <w:t>time burden of 25 hours to develop and obtain board approval of a Program, and a one</w:t>
      </w:r>
      <w:r w:rsidRPr="00BB6D52">
        <w:rPr>
          <w:rFonts w:cs="Courier New"/>
        </w:rPr>
        <w:noBreakHyphen/>
        <w:t>time burden of 4 hours to train the financial institution’s or creditor’s staff, for a total of 29 additional burden hours.  Staff estimates that these burdens would result in additional costs of $14,266 for each financial institution or creditor that offers or maintains covered accounts.</w:t>
      </w:r>
      <w:bookmarkStart w:id="1" w:name="_Ref435170185"/>
      <w:r w:rsidRPr="00BB6D52">
        <w:rPr>
          <w:rFonts w:cs="Courier New"/>
          <w:vertAlign w:val="superscript"/>
        </w:rPr>
        <w:footnoteReference w:id="2"/>
      </w:r>
      <w:bookmarkEnd w:id="1"/>
    </w:p>
    <w:p w:rsidR="00282802" w:rsidRDefault="00282802" w:rsidP="00282802">
      <w:pPr>
        <w:widowControl/>
        <w:tabs>
          <w:tab w:val="left" w:pos="-720"/>
        </w:tabs>
        <w:suppressAutoHyphens/>
        <w:spacing w:line="480" w:lineRule="auto"/>
        <w:rPr>
          <w:rFonts w:cs="Courier New"/>
        </w:rPr>
      </w:pPr>
      <w:r>
        <w:rPr>
          <w:rFonts w:cs="Courier New"/>
        </w:rPr>
        <w:lastRenderedPageBreak/>
        <w:tab/>
      </w:r>
      <w:r w:rsidRPr="00BB6D52">
        <w:rPr>
          <w:rFonts w:cs="Courier New"/>
        </w:rPr>
        <w:t>SEC staff estimates that approximately 613 SEC-regulated financial institutions and creditors are newly formed each year.</w:t>
      </w:r>
      <w:bookmarkStart w:id="2" w:name="_Ref295731403"/>
      <w:r w:rsidRPr="00BB6D52">
        <w:rPr>
          <w:rFonts w:cs="Courier New"/>
          <w:vertAlign w:val="superscript"/>
        </w:rPr>
        <w:footnoteReference w:id="3"/>
      </w:r>
      <w:bookmarkEnd w:id="2"/>
      <w:r w:rsidRPr="00BB6D52">
        <w:rPr>
          <w:rFonts w:cs="Courier New"/>
        </w:rPr>
        <w:t xml:space="preserve">  Each of these 613 entities will need to conduct an initial assessment of covered accounts, for a total of 1,226 hours at a total cost of $491,626.</w:t>
      </w:r>
      <w:r w:rsidRPr="00BB6D52">
        <w:rPr>
          <w:rFonts w:cs="Courier New"/>
          <w:vertAlign w:val="superscript"/>
        </w:rPr>
        <w:footnoteReference w:id="4"/>
      </w:r>
      <w:r w:rsidRPr="00BB6D52">
        <w:rPr>
          <w:rFonts w:cs="Courier New"/>
        </w:rPr>
        <w:t xml:space="preserve">  Of these 613 entities, staff estimates that approximately 90% (or 552) maintain covered accounts.</w:t>
      </w:r>
      <w:bookmarkStart w:id="3" w:name="_Ref353202936"/>
      <w:r w:rsidRPr="00BB6D52">
        <w:rPr>
          <w:rFonts w:cs="Courier New"/>
          <w:vertAlign w:val="superscript"/>
        </w:rPr>
        <w:footnoteReference w:id="5"/>
      </w:r>
      <w:bookmarkEnd w:id="3"/>
      <w:r w:rsidRPr="00BB6D52">
        <w:rPr>
          <w:rFonts w:cs="Courier New"/>
        </w:rPr>
        <w:t xml:space="preserve">  Accordingly, staff estimates that the additional initial burden for SEC</w:t>
      </w:r>
      <w:r w:rsidRPr="00BB6D52">
        <w:rPr>
          <w:rFonts w:cs="Courier New"/>
        </w:rPr>
        <w:noBreakHyphen/>
        <w:t>regulated entities that are likely to qualify as financial institutions or creditors and maintain covered accounts is 16,008 hours at an additional cost of $</w:t>
      </w:r>
      <w:r w:rsidRPr="00BB6D52">
        <w:rPr>
          <w:rFonts w:ascii="Times New Roman" w:hAnsi="Times New Roman" w:cs="Courier New"/>
          <w:szCs w:val="22"/>
        </w:rPr>
        <w:t>7,874,832</w:t>
      </w:r>
      <w:r w:rsidRPr="00BB6D52">
        <w:rPr>
          <w:rFonts w:cs="Courier New"/>
        </w:rPr>
        <w:t>.</w:t>
      </w:r>
      <w:r w:rsidRPr="00BB6D52">
        <w:rPr>
          <w:rFonts w:cs="Courier New"/>
          <w:vertAlign w:val="superscript"/>
        </w:rPr>
        <w:footnoteReference w:id="6"/>
      </w:r>
      <w:r w:rsidRPr="00BB6D52">
        <w:rPr>
          <w:rFonts w:cs="Courier New"/>
        </w:rPr>
        <w:t xml:space="preserve">  Thus, the total initial estimated burden for all newly</w:t>
      </w:r>
      <w:r w:rsidRPr="00BB6D52">
        <w:rPr>
          <w:rFonts w:cs="Courier New"/>
        </w:rPr>
        <w:noBreakHyphen/>
        <w:t>formed SEC</w:t>
      </w:r>
      <w:r w:rsidRPr="00BB6D52">
        <w:rPr>
          <w:rFonts w:cs="Courier New"/>
        </w:rPr>
        <w:noBreakHyphen/>
        <w:t>regulated entities is 17,234 hours at a total estimated cost of $</w:t>
      </w:r>
      <w:r w:rsidRPr="00BB6D52">
        <w:rPr>
          <w:rFonts w:ascii="Times New Roman" w:hAnsi="Times New Roman" w:cs="Courier New"/>
          <w:szCs w:val="22"/>
        </w:rPr>
        <w:t>8,366,458</w:t>
      </w:r>
      <w:r w:rsidRPr="00BB6D52">
        <w:rPr>
          <w:rFonts w:cs="Courier New"/>
        </w:rPr>
        <w:t>.</w:t>
      </w:r>
      <w:r w:rsidRPr="00BB6D52">
        <w:rPr>
          <w:rFonts w:cs="Courier New"/>
          <w:vertAlign w:val="superscript"/>
        </w:rPr>
        <w:footnoteReference w:id="7"/>
      </w:r>
    </w:p>
    <w:p w:rsidR="00282802" w:rsidRDefault="00282802" w:rsidP="00282802">
      <w:pPr>
        <w:widowControl/>
        <w:tabs>
          <w:tab w:val="left" w:pos="-720"/>
        </w:tabs>
        <w:suppressAutoHyphens/>
        <w:spacing w:line="480" w:lineRule="auto"/>
      </w:pPr>
    </w:p>
    <w:p w:rsidR="00282802" w:rsidRPr="00BB6D52" w:rsidRDefault="00282802" w:rsidP="00282802">
      <w:pPr>
        <w:widowControl/>
        <w:tabs>
          <w:tab w:val="left" w:pos="720"/>
        </w:tabs>
        <w:spacing w:line="480" w:lineRule="auto"/>
        <w:ind w:firstLine="720"/>
        <w:rPr>
          <w:rFonts w:cs="Courier New"/>
        </w:rPr>
      </w:pPr>
      <w:r w:rsidRPr="00BB6D52">
        <w:rPr>
          <w:rFonts w:cs="Courier New"/>
        </w:rPr>
        <w:t>Each financial institution and creditor would be required to conduct periodic assessments to determine if the entity offers or maintains covered accounts, which SEC staff estimates would entail an annual burden of 1 hour per entity.  Staff estimates that this burden would result in an annual cost of $401 to each financial institution or creditor.</w:t>
      </w:r>
      <w:r w:rsidRPr="00BB6D52">
        <w:rPr>
          <w:rFonts w:cs="Courier New"/>
          <w:vertAlign w:val="superscript"/>
        </w:rPr>
        <w:footnoteReference w:id="8"/>
      </w:r>
      <w:r w:rsidRPr="00BB6D52">
        <w:rPr>
          <w:rFonts w:cs="Courier New"/>
        </w:rPr>
        <w:t xml:space="preserve">  To the extent a financial institution or creditor offers or maintains covered accounts, staff estimates that the financial institution or creditor also would incur an annual burden of 2.5 hours to prepare and present an annual report to the board, and an annual burden of 7 hours to periodically review and update the Program (including review and preservation of contracts with service providers, as well as review and preservation of any documentation received from service providers).  Staff estimates that these burdens would result in additional annual costs of $7,874 for each financial institution or creditor that offers or maintains covered accounts.</w:t>
      </w:r>
      <w:r w:rsidRPr="00BB6D52">
        <w:rPr>
          <w:rFonts w:cs="Courier New"/>
          <w:vertAlign w:val="superscript"/>
        </w:rPr>
        <w:footnoteReference w:id="9"/>
      </w:r>
      <w:r w:rsidRPr="00BB6D52">
        <w:rPr>
          <w:rFonts w:cs="Courier New"/>
        </w:rPr>
        <w:t xml:space="preserve">   </w:t>
      </w:r>
    </w:p>
    <w:p w:rsidR="00282802" w:rsidRPr="00BB6D52" w:rsidRDefault="00282802" w:rsidP="00282802">
      <w:pPr>
        <w:widowControl/>
        <w:tabs>
          <w:tab w:val="left" w:pos="720"/>
        </w:tabs>
        <w:spacing w:line="480" w:lineRule="auto"/>
        <w:ind w:firstLine="720"/>
        <w:rPr>
          <w:rFonts w:cs="Courier New"/>
        </w:rPr>
      </w:pPr>
      <w:r w:rsidRPr="00BB6D52">
        <w:rPr>
          <w:rFonts w:cs="Courier New"/>
        </w:rPr>
        <w:t>SEC staff estimates that there are 9,922 SEC-regulated entities that are either financial institutions or creditors, and that all of these will be required to periodically review their accounts to determine if they offer or maintain covered accounts, for a total of 9,922 hours for these entities at a total cost of $3,978,722.</w:t>
      </w:r>
      <w:bookmarkStart w:id="4" w:name="_Ref295733031"/>
      <w:r w:rsidRPr="00BB6D52">
        <w:rPr>
          <w:rFonts w:cs="Courier New"/>
          <w:vertAlign w:val="superscript"/>
        </w:rPr>
        <w:footnoteReference w:id="10"/>
      </w:r>
      <w:bookmarkEnd w:id="4"/>
      <w:r w:rsidRPr="00BB6D52">
        <w:rPr>
          <w:rFonts w:cs="Courier New"/>
        </w:rPr>
        <w:t xml:space="preserve">  Of these 9,922 entities, staff estimates that approximately 90 percent, or 8,930, maintain covered accounts, and thus will need the additional burdens related to complying with the rules.</w:t>
      </w:r>
      <w:r w:rsidRPr="00BB6D52">
        <w:rPr>
          <w:rFonts w:cs="Courier New"/>
          <w:vertAlign w:val="superscript"/>
        </w:rPr>
        <w:footnoteReference w:id="11"/>
      </w:r>
      <w:r w:rsidRPr="00BB6D52">
        <w:rPr>
          <w:rFonts w:cs="Courier New"/>
        </w:rPr>
        <w:t xml:space="preserve">  Accordingly, staff estimates that the additional annual burden for SEC</w:t>
      </w:r>
      <w:r w:rsidRPr="00BB6D52">
        <w:rPr>
          <w:rFonts w:cs="Courier New"/>
        </w:rPr>
        <w:noBreakHyphen/>
        <w:t>regulated entities that qualify as financial institutions or creditors and maintain covered accounts is 84,835 hours at an additional cost of $</w:t>
      </w:r>
      <w:r w:rsidRPr="00BB6D52">
        <w:rPr>
          <w:rFonts w:ascii="Times New Roman" w:hAnsi="Times New Roman" w:cs="Courier New"/>
          <w:szCs w:val="22"/>
        </w:rPr>
        <w:t>70,314,820</w:t>
      </w:r>
      <w:r w:rsidRPr="00BB6D52">
        <w:rPr>
          <w:rFonts w:cs="Courier New"/>
        </w:rPr>
        <w:t>.</w:t>
      </w:r>
      <w:r w:rsidRPr="00BB6D52">
        <w:rPr>
          <w:rFonts w:cs="Courier New"/>
          <w:vertAlign w:val="superscript"/>
        </w:rPr>
        <w:footnoteReference w:id="12"/>
      </w:r>
      <w:r w:rsidRPr="00BB6D52">
        <w:rPr>
          <w:rFonts w:cs="Courier New"/>
        </w:rPr>
        <w:t xml:space="preserve">  Thus, the total estimated ongoing annual burden for all SEC-regulated entities is 94,757 hours at a total estimated annual cost of $74,293,542.</w:t>
      </w:r>
      <w:r w:rsidRPr="00BB6D52">
        <w:rPr>
          <w:rFonts w:cs="Courier New"/>
          <w:vertAlign w:val="superscript"/>
        </w:rPr>
        <w:footnoteReference w:id="13"/>
      </w:r>
      <w:r w:rsidRPr="00BB6D52">
        <w:rPr>
          <w:rFonts w:cs="Courier New"/>
        </w:rPr>
        <w:t xml:space="preserve"> </w:t>
      </w:r>
    </w:p>
    <w:p w:rsidR="00282802" w:rsidRDefault="00282802" w:rsidP="00282802">
      <w:pPr>
        <w:widowControl/>
        <w:tabs>
          <w:tab w:val="left" w:pos="-720"/>
        </w:tabs>
        <w:suppressAutoHyphens/>
        <w:spacing w:line="480" w:lineRule="auto"/>
      </w:pPr>
      <w:r>
        <w:tab/>
      </w:r>
      <w:r w:rsidRPr="001A5BCA">
        <w:t>The collections of information required by section 248.202</w:t>
      </w:r>
      <w:r>
        <w:t xml:space="preserve"> under Regulation S</w:t>
      </w:r>
      <w:r>
        <w:noBreakHyphen/>
        <w:t>ID</w:t>
      </w:r>
      <w:r w:rsidRPr="001A5BCA">
        <w:t xml:space="preserve"> will apply only to SEC</w:t>
      </w:r>
      <w:r>
        <w:noBreakHyphen/>
      </w:r>
      <w:r w:rsidRPr="001A5BCA">
        <w:t>regulated entities that issue credit or debit cards.</w:t>
      </w:r>
      <w:r>
        <w:t xml:space="preserve">  </w:t>
      </w:r>
      <w:r w:rsidRPr="001A5BCA">
        <w:t>SEC staff understands that SEC</w:t>
      </w:r>
      <w:r>
        <w:noBreakHyphen/>
      </w:r>
      <w:r w:rsidRPr="001A5BCA">
        <w:t>regulated entities generally do not issue credit or debit cards, but instead partner with other entities, such as banks, that issue cards on their behalf.</w:t>
      </w:r>
      <w:r>
        <w:t xml:space="preserve">  </w:t>
      </w:r>
      <w:r w:rsidRPr="001A5BCA">
        <w:t xml:space="preserve">These other entities, which are not regulated by the SEC, are already subject to substantially similar change of address obligations pursuant to </w:t>
      </w:r>
      <w:r>
        <w:t xml:space="preserve">other federal regulators’ </w:t>
      </w:r>
      <w:r w:rsidRPr="001A5BCA">
        <w:t>identity theft red flags rules.</w:t>
      </w:r>
      <w:r>
        <w:t xml:space="preserve">  Therefore, staff does not expect that any </w:t>
      </w:r>
      <w:r w:rsidRPr="00246329">
        <w:t xml:space="preserve">SEC-regulated entities </w:t>
      </w:r>
      <w:r>
        <w:t>will</w:t>
      </w:r>
      <w:r w:rsidRPr="00246329">
        <w:t xml:space="preserve"> be subject to the information collection requirements of </w:t>
      </w:r>
      <w:r>
        <w:t>section 248.202, and accordingly, staff</w:t>
      </w:r>
      <w:r w:rsidRPr="00246329">
        <w:t xml:space="preserve"> estimates that there </w:t>
      </w:r>
      <w:r>
        <w:t>is</w:t>
      </w:r>
      <w:r w:rsidRPr="00246329">
        <w:t xml:space="preserve"> no hour burden related to </w:t>
      </w:r>
      <w:r>
        <w:t>section </w:t>
      </w:r>
      <w:r w:rsidRPr="00246329">
        <w:t>248.202</w:t>
      </w:r>
      <w:r>
        <w:t xml:space="preserve"> </w:t>
      </w:r>
      <w:r w:rsidRPr="00246329">
        <w:t>for SEC-regulated entities.</w:t>
      </w:r>
      <w:r>
        <w:t xml:space="preserve">  </w:t>
      </w:r>
      <w:r w:rsidRPr="00246329">
        <w:t xml:space="preserve">  </w:t>
      </w:r>
    </w:p>
    <w:p w:rsidR="00817441" w:rsidRPr="00DE28D1" w:rsidRDefault="00282802" w:rsidP="00282802">
      <w:pPr>
        <w:widowControl/>
        <w:tabs>
          <w:tab w:val="left" w:pos="-720"/>
        </w:tabs>
        <w:suppressAutoHyphens/>
        <w:spacing w:line="480" w:lineRule="auto"/>
        <w:rPr>
          <w:rFonts w:ascii="Times New Roman" w:hAnsi="Times New Roman"/>
        </w:rPr>
      </w:pPr>
      <w:r>
        <w:tab/>
        <w:t>In total, SEC staff estimates that the aggregate annual information collection burden of Regulation S</w:t>
      </w:r>
      <w:r>
        <w:noBreakHyphen/>
        <w:t xml:space="preserve">ID is 111,991 hours (17,234 hours + 94,757 hours).  </w:t>
      </w:r>
      <w:r w:rsidR="00D5667E">
        <w:t>This estimate of burden hours is made s</w:t>
      </w:r>
      <w:r w:rsidR="009E0F76">
        <w:t>olely for the purposes of the Paperwork Reduction Act</w:t>
      </w:r>
      <w:r w:rsidR="00817441">
        <w:t xml:space="preserve"> and </w:t>
      </w:r>
      <w:r w:rsidR="00D5667E">
        <w:t>is</w:t>
      </w:r>
      <w:r w:rsidR="00817441">
        <w:t xml:space="preserve"> not derived from a quantitative, comprehensive, or even representative survey or study of the burdens associated with Commission rules and forms.</w:t>
      </w:r>
      <w:r w:rsidR="009E0F76">
        <w:t xml:space="preserve">  </w:t>
      </w:r>
      <w:r w:rsidR="00817441">
        <w:t xml:space="preserve">Compliance with Regulation S-ID, including compliance with the information collection requirements thereunder, is mandatory for each </w:t>
      </w:r>
      <w:r w:rsidR="00817441" w:rsidRPr="00246329">
        <w:t>SEC-regulated entit</w:t>
      </w:r>
      <w:r w:rsidR="00817441">
        <w:t>y</w:t>
      </w:r>
      <w:r w:rsidR="00817441" w:rsidRPr="00246329">
        <w:t xml:space="preserve"> that </w:t>
      </w:r>
      <w:r w:rsidR="00817441">
        <w:t>qualifies as a “</w:t>
      </w:r>
      <w:r w:rsidR="00817441" w:rsidRPr="00246329">
        <w:t>financial institution</w:t>
      </w:r>
      <w:r w:rsidR="00817441">
        <w:t>”</w:t>
      </w:r>
      <w:r w:rsidR="00817441" w:rsidRPr="00246329">
        <w:t xml:space="preserve"> or </w:t>
      </w:r>
      <w:r w:rsidR="00817441">
        <w:t>“</w:t>
      </w:r>
      <w:r w:rsidR="00817441" w:rsidRPr="00246329">
        <w:t>creditor</w:t>
      </w:r>
      <w:r w:rsidR="00817441">
        <w:t>” under Regulation S</w:t>
      </w:r>
      <w:r w:rsidR="00817441">
        <w:noBreakHyphen/>
        <w:t>ID (</w:t>
      </w:r>
      <w:r w:rsidR="003E7B47">
        <w:t xml:space="preserve">as discussed above, </w:t>
      </w:r>
      <w:r w:rsidR="00817441">
        <w:t>certain collections of information under Regulation S-ID are mandatory only for financial institutions or creditors that offer or</w:t>
      </w:r>
      <w:r w:rsidR="00817441" w:rsidRPr="00246329">
        <w:t xml:space="preserve"> maintain covered accounts</w:t>
      </w:r>
      <w:r w:rsidR="00817441">
        <w:t xml:space="preserve">).  </w:t>
      </w:r>
      <w:r w:rsidR="00817441" w:rsidRPr="00C11EED">
        <w:rPr>
          <w:rFonts w:ascii="Times New Roman" w:hAnsi="Times New Roman"/>
        </w:rPr>
        <w:t xml:space="preserve">Responses will not be kept confidential.  An agency may not conduct or sponsor, and a person is not required to respond to, a collection of information </w:t>
      </w:r>
      <w:r w:rsidR="00817441" w:rsidRPr="00DE28D1">
        <w:rPr>
          <w:rFonts w:ascii="Times New Roman" w:hAnsi="Times New Roman"/>
        </w:rPr>
        <w:t>unless it displays a currently valid control number.</w:t>
      </w:r>
    </w:p>
    <w:p w:rsidR="00525EE0" w:rsidRPr="00525EE0" w:rsidRDefault="00817441" w:rsidP="00525EE0">
      <w:pPr>
        <w:spacing w:line="480" w:lineRule="auto"/>
        <w:ind w:firstLine="720"/>
        <w:rPr>
          <w:rFonts w:ascii="Times New Roman" w:eastAsiaTheme="minorHAnsi" w:hAnsi="Times New Roman"/>
        </w:rPr>
      </w:pPr>
      <w:r>
        <w:t xml:space="preserve">  </w:t>
      </w:r>
      <w:r>
        <w:tab/>
      </w:r>
      <w:r w:rsidR="00525EE0" w:rsidRPr="00525EE0">
        <w:rPr>
          <w:rFonts w:ascii="Times New Roman" w:eastAsiaTheme="minorHAnsi" w:hAnsi="Times New Roman"/>
        </w:rPr>
        <w:t xml:space="preserve">The public may view the background documentation for this information collection at the following website, </w:t>
      </w:r>
      <w:hyperlink r:id="rId7" w:history="1">
        <w:r w:rsidR="00525EE0" w:rsidRPr="00525EE0">
          <w:rPr>
            <w:rFonts w:ascii="Times New Roman" w:eastAsiaTheme="minorHAnsi" w:hAnsi="Times New Roman"/>
            <w:color w:val="0000FF" w:themeColor="hyperlink"/>
            <w:u w:val="single"/>
          </w:rPr>
          <w:t>www.reginfo.gov</w:t>
        </w:r>
      </w:hyperlink>
      <w:r w:rsidR="00525EE0" w:rsidRPr="00525EE0">
        <w:rPr>
          <w:rFonts w:ascii="Times New Roman" w:eastAsiaTheme="minorHAnsi" w:hAnsi="Times New Roman"/>
        </w:rPr>
        <w:t xml:space="preserve">.  Comments should be directed to: (i) Desk Officer for the Securities and Exchange Commission, Office of Information and Regulatory Affairs, Office of Management and Budget, Room 10102, New Executive Office Building, Washington, DC 20503, or by sending an e-mail to:  </w:t>
      </w:r>
      <w:hyperlink r:id="rId8" w:history="1">
        <w:r w:rsidR="00525EE0" w:rsidRPr="00525EE0">
          <w:rPr>
            <w:rFonts w:ascii="Times New Roman" w:eastAsiaTheme="minorHAnsi" w:hAnsi="Times New Roman"/>
            <w:color w:val="0000FF" w:themeColor="hyperlink"/>
            <w:u w:val="single"/>
          </w:rPr>
          <w:t>Shagufta_Ahmed@omb.eop.gov</w:t>
        </w:r>
      </w:hyperlink>
      <w:r w:rsidR="00525EE0" w:rsidRPr="00525EE0">
        <w:rPr>
          <w:rFonts w:ascii="Times New Roman" w:eastAsiaTheme="minorHAnsi" w:hAnsi="Times New Roman"/>
        </w:rPr>
        <w:t xml:space="preserve">; and (ii) </w:t>
      </w:r>
      <w:r w:rsidR="00525EE0" w:rsidRPr="00525EE0">
        <w:rPr>
          <w:rFonts w:asciiTheme="minorHAnsi" w:eastAsiaTheme="minorHAnsi" w:hAnsiTheme="minorHAnsi" w:cstheme="minorBidi"/>
          <w:sz w:val="22"/>
          <w:szCs w:val="22"/>
        </w:rPr>
        <w:t>Charles Riddle</w:t>
      </w:r>
      <w:r w:rsidR="00525EE0" w:rsidRPr="00525EE0">
        <w:rPr>
          <w:rFonts w:ascii="Times New Roman" w:eastAsiaTheme="minorHAnsi" w:hAnsi="Times New Roman"/>
        </w:rPr>
        <w:t xml:space="preserve">, Acting Director/Chief Information Officer, Securities and Exchange Commission, c/o Candace Kenner, 100 F Street, NE, Washington, DC 20549 or send an email to: </w:t>
      </w:r>
      <w:hyperlink r:id="rId9" w:history="1">
        <w:r w:rsidR="00525EE0" w:rsidRPr="00525EE0">
          <w:rPr>
            <w:rFonts w:ascii="Times New Roman" w:eastAsiaTheme="minorHAnsi" w:hAnsi="Times New Roman"/>
            <w:color w:val="0000FF" w:themeColor="hyperlink"/>
            <w:u w:val="single"/>
          </w:rPr>
          <w:t>PRA_Mailbox@sec.gov</w:t>
        </w:r>
      </w:hyperlink>
      <w:r w:rsidR="00525EE0" w:rsidRPr="00525EE0">
        <w:rPr>
          <w:rFonts w:ascii="Times New Roman" w:eastAsiaTheme="minorHAnsi" w:hAnsi="Times New Roman"/>
        </w:rPr>
        <w:t>.   Comments must be submitted to OMB within 30 days of this notice.</w:t>
      </w:r>
    </w:p>
    <w:p w:rsidR="00525EE0" w:rsidRPr="00525EE0" w:rsidRDefault="00525EE0" w:rsidP="00525EE0">
      <w:pPr>
        <w:widowControl/>
        <w:autoSpaceDE/>
        <w:autoSpaceDN/>
        <w:adjustRightInd/>
        <w:ind w:firstLine="720"/>
        <w:rPr>
          <w:rFonts w:ascii="Times New Roman" w:eastAsiaTheme="minorHAnsi" w:hAnsi="Times New Roman"/>
        </w:rPr>
      </w:pPr>
    </w:p>
    <w:p w:rsidR="00525EE0" w:rsidRPr="00525EE0" w:rsidRDefault="00525EE0" w:rsidP="00525EE0">
      <w:pPr>
        <w:widowControl/>
        <w:autoSpaceDE/>
        <w:autoSpaceDN/>
        <w:adjustRightInd/>
        <w:ind w:firstLine="720"/>
        <w:rPr>
          <w:rFonts w:ascii="Times New Roman" w:eastAsiaTheme="minorHAnsi" w:hAnsi="Times New Roman"/>
        </w:rPr>
      </w:pPr>
    </w:p>
    <w:p w:rsidR="00525EE0" w:rsidRPr="00525EE0" w:rsidRDefault="00525EE0" w:rsidP="00525EE0">
      <w:pPr>
        <w:widowControl/>
        <w:autoSpaceDE/>
        <w:autoSpaceDN/>
        <w:adjustRightInd/>
        <w:rPr>
          <w:rFonts w:asciiTheme="minorHAnsi" w:eastAsiaTheme="minorHAnsi" w:hAnsiTheme="minorHAnsi" w:cstheme="minorBidi"/>
          <w:sz w:val="22"/>
          <w:szCs w:val="22"/>
        </w:rPr>
      </w:pPr>
      <w:r w:rsidRPr="00525EE0">
        <w:rPr>
          <w:rFonts w:ascii="Times New Roman" w:eastAsiaTheme="minorHAnsi" w:hAnsi="Times New Roman"/>
        </w:rPr>
        <w:t>                                                        </w:t>
      </w:r>
      <w:r w:rsidRPr="00525EE0">
        <w:rPr>
          <w:rFonts w:ascii="Times New Roman" w:eastAsiaTheme="minorHAnsi" w:hAnsi="Times New Roman"/>
        </w:rPr>
        <w:tab/>
      </w:r>
      <w:r w:rsidRPr="00525EE0">
        <w:rPr>
          <w:rFonts w:asciiTheme="minorHAnsi" w:eastAsiaTheme="minorHAnsi" w:hAnsiTheme="minorHAnsi" w:cstheme="minorBidi"/>
          <w:sz w:val="22"/>
          <w:szCs w:val="22"/>
        </w:rPr>
        <w:t>Eduardo A. Aleman</w:t>
      </w:r>
    </w:p>
    <w:p w:rsidR="00525EE0" w:rsidRPr="00525EE0" w:rsidRDefault="00525EE0" w:rsidP="00525EE0">
      <w:pPr>
        <w:widowControl/>
        <w:autoSpaceDE/>
        <w:autoSpaceDN/>
        <w:adjustRightInd/>
        <w:ind w:left="2880" w:firstLine="720"/>
        <w:rPr>
          <w:rFonts w:asciiTheme="minorHAnsi" w:eastAsiaTheme="minorHAnsi" w:hAnsiTheme="minorHAnsi" w:cstheme="minorBidi"/>
          <w:sz w:val="22"/>
          <w:szCs w:val="22"/>
        </w:rPr>
      </w:pPr>
      <w:r w:rsidRPr="00525EE0">
        <w:rPr>
          <w:rFonts w:asciiTheme="minorHAnsi" w:eastAsiaTheme="minorHAnsi" w:hAnsiTheme="minorHAnsi" w:cstheme="minorBidi"/>
          <w:sz w:val="22"/>
          <w:szCs w:val="22"/>
        </w:rPr>
        <w:t>Deputy Secretary</w:t>
      </w:r>
    </w:p>
    <w:p w:rsidR="00B90DEC" w:rsidRDefault="00B90DEC" w:rsidP="00525EE0">
      <w:pPr>
        <w:spacing w:line="480" w:lineRule="auto"/>
        <w:ind w:firstLine="720"/>
      </w:pPr>
    </w:p>
    <w:p w:rsidR="00B90DEC" w:rsidRDefault="00B90DEC" w:rsidP="00B90DEC"/>
    <w:p w:rsidR="00B90DEC" w:rsidRDefault="00B90DEC" w:rsidP="00B90DEC">
      <w:r>
        <w:t>[Date]</w:t>
      </w:r>
    </w:p>
    <w:p w:rsidR="00B90DEC" w:rsidRDefault="00B90DEC" w:rsidP="00B90DEC">
      <w:pPr>
        <w:spacing w:line="480" w:lineRule="auto"/>
        <w:ind w:firstLine="720"/>
      </w:pPr>
    </w:p>
    <w:p w:rsidR="006E2049" w:rsidRPr="00232304" w:rsidRDefault="006E2049" w:rsidP="00456DCC">
      <w:pPr>
        <w:widowControl/>
        <w:spacing w:line="480" w:lineRule="auto"/>
        <w:ind w:firstLine="720"/>
      </w:pPr>
    </w:p>
    <w:sectPr w:rsidR="006E2049" w:rsidRPr="00232304" w:rsidSect="0066315C">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1440" w:right="1440" w:bottom="1296" w:left="1440" w:header="72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19F" w:rsidRDefault="001D419F">
      <w:pPr>
        <w:widowControl/>
        <w:spacing w:line="20" w:lineRule="exact"/>
        <w:rPr>
          <w:sz w:val="20"/>
        </w:rPr>
      </w:pPr>
    </w:p>
  </w:endnote>
  <w:endnote w:type="continuationSeparator" w:id="0">
    <w:p w:rsidR="001D419F" w:rsidRDefault="001D419F">
      <w:r>
        <w:rPr>
          <w:sz w:val="20"/>
        </w:rPr>
        <w:t xml:space="preserve"> </w:t>
      </w:r>
    </w:p>
  </w:endnote>
  <w:endnote w:type="continuationNotice" w:id="1">
    <w:p w:rsidR="001D419F" w:rsidRDefault="001D419F">
      <w:r>
        <w:rPr>
          <w:sz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auhaus 93">
    <w:panose1 w:val="04030905020B02020C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7D7" w:rsidRDefault="004317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7D7" w:rsidRDefault="004317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7D7" w:rsidRDefault="004317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19F" w:rsidRDefault="001D419F">
      <w:r>
        <w:rPr>
          <w:sz w:val="20"/>
        </w:rPr>
        <w:separator/>
      </w:r>
    </w:p>
  </w:footnote>
  <w:footnote w:type="continuationSeparator" w:id="0">
    <w:p w:rsidR="001D419F" w:rsidRDefault="001D419F">
      <w:r>
        <w:continuationSeparator/>
      </w:r>
    </w:p>
  </w:footnote>
  <w:footnote w:id="1">
    <w:p w:rsidR="00282802" w:rsidRDefault="00282802" w:rsidP="00282802">
      <w:pPr>
        <w:pStyle w:val="FootnoteText"/>
      </w:pPr>
      <w:r>
        <w:rPr>
          <w:rStyle w:val="FootnoteReference"/>
        </w:rPr>
        <w:footnoteRef/>
      </w:r>
      <w:r>
        <w:t xml:space="preserve"> </w:t>
      </w:r>
      <w:r>
        <w:tab/>
      </w:r>
      <w:r w:rsidRPr="006826C4">
        <w:t>This estimate is based on the following calculation: 2 hours x $</w:t>
      </w:r>
      <w:r>
        <w:t>401</w:t>
      </w:r>
      <w:r w:rsidRPr="006826C4">
        <w:t xml:space="preserve"> (hourly rate for internal counsel) = $</w:t>
      </w:r>
      <w:r>
        <w:t>802</w:t>
      </w:r>
      <w:r w:rsidRPr="006826C4">
        <w:t xml:space="preserve">.  </w:t>
      </w:r>
      <w:r w:rsidRPr="006826C4">
        <w:rPr>
          <w:i/>
        </w:rPr>
        <w:t>See infra</w:t>
      </w:r>
      <w:r w:rsidRPr="006826C4">
        <w:t xml:space="preserve"> note </w:t>
      </w:r>
      <w:r w:rsidRPr="006826C4">
        <w:fldChar w:fldCharType="begin"/>
      </w:r>
      <w:r w:rsidRPr="006826C4">
        <w:instrText xml:space="preserve"> NOTEREF _Ref435170185 \h </w:instrText>
      </w:r>
      <w:r>
        <w:instrText xml:space="preserve"> \* MERGEFORMAT </w:instrText>
      </w:r>
      <w:r w:rsidRPr="006826C4">
        <w:fldChar w:fldCharType="separate"/>
      </w:r>
      <w:r>
        <w:t>7</w:t>
      </w:r>
      <w:r w:rsidRPr="006826C4">
        <w:fldChar w:fldCharType="end"/>
      </w:r>
      <w:r w:rsidRPr="006826C4">
        <w:t xml:space="preserve"> (discussing the methodology for estimating the hourly rate for internal counsel).</w:t>
      </w:r>
      <w:r>
        <w:rPr>
          <w:szCs w:val="22"/>
        </w:rPr>
        <w:t xml:space="preserve"> </w:t>
      </w:r>
    </w:p>
  </w:footnote>
  <w:footnote w:id="2">
    <w:p w:rsidR="00282802" w:rsidRDefault="00282802" w:rsidP="00282802">
      <w:pPr>
        <w:pStyle w:val="FootnoteText"/>
      </w:pPr>
      <w:r>
        <w:rPr>
          <w:rStyle w:val="FootnoteReference"/>
        </w:rPr>
        <w:footnoteRef/>
      </w:r>
      <w:r>
        <w:t xml:space="preserve"> </w:t>
      </w:r>
      <w:r>
        <w:tab/>
      </w:r>
      <w:r w:rsidRPr="006826C4">
        <w:t>S</w:t>
      </w:r>
      <w:r>
        <w:t>EC s</w:t>
      </w:r>
      <w:r w:rsidRPr="006826C4">
        <w:t xml:space="preserve">taff estimates that, of the 29 hours incurred to develop and obtain board approval of a Program and train </w:t>
      </w:r>
      <w:r>
        <w:t xml:space="preserve">the financial institution’s or creditor’s </w:t>
      </w:r>
      <w:r w:rsidRPr="006826C4">
        <w:t>staff, 10 hours will be spent by internal counsel at an hourly rate of $</w:t>
      </w:r>
      <w:r>
        <w:t>401</w:t>
      </w:r>
      <w:r w:rsidRPr="006826C4">
        <w:t>, 17 hours will be spent by administrative assistants at an hourly rate of $7</w:t>
      </w:r>
      <w:r>
        <w:t>8</w:t>
      </w:r>
      <w:r w:rsidRPr="006826C4">
        <w:t>, and 2 hours will be spent by the board of directors as a whole at an hourly rate of $4,4</w:t>
      </w:r>
      <w:r>
        <w:t>65</w:t>
      </w:r>
      <w:r w:rsidRPr="006826C4">
        <w:t>.  Thus, the estimated $13,858 in additional costs is based on the following calculation: (10 hours x $</w:t>
      </w:r>
      <w:r>
        <w:t>401</w:t>
      </w:r>
      <w:r w:rsidRPr="006826C4">
        <w:t xml:space="preserve"> = $</w:t>
      </w:r>
      <w:r>
        <w:t>4</w:t>
      </w:r>
      <w:r w:rsidRPr="006826C4">
        <w:t>,</w:t>
      </w:r>
      <w:r>
        <w:t>010</w:t>
      </w:r>
      <w:r w:rsidRPr="006826C4">
        <w:t>) + (17 hours x $7</w:t>
      </w:r>
      <w:r>
        <w:t>8</w:t>
      </w:r>
      <w:r w:rsidRPr="006826C4">
        <w:t xml:space="preserve"> = $1,</w:t>
      </w:r>
      <w:r>
        <w:t>326</w:t>
      </w:r>
      <w:r w:rsidRPr="006826C4">
        <w:t>) + (2 hours x $4,4</w:t>
      </w:r>
      <w:r>
        <w:t>65</w:t>
      </w:r>
      <w:r w:rsidRPr="006826C4">
        <w:t xml:space="preserve"> = $8,</w:t>
      </w:r>
      <w:r>
        <w:t>930</w:t>
      </w:r>
      <w:r w:rsidRPr="006826C4">
        <w:t>) = $1</w:t>
      </w:r>
      <w:r>
        <w:t>4</w:t>
      </w:r>
      <w:r w:rsidRPr="006826C4">
        <w:t>,</w:t>
      </w:r>
      <w:r>
        <w:t>266</w:t>
      </w:r>
      <w:r w:rsidRPr="006826C4">
        <w:t>.</w:t>
      </w:r>
      <w:r>
        <w:t xml:space="preserve">  </w:t>
      </w:r>
    </w:p>
    <w:p w:rsidR="00282802" w:rsidRDefault="00282802" w:rsidP="00282802">
      <w:pPr>
        <w:pStyle w:val="FootnoteText"/>
      </w:pPr>
      <w:r>
        <w:tab/>
      </w:r>
      <w:r>
        <w:rPr>
          <w:szCs w:val="22"/>
        </w:rPr>
        <w:t>The cost estimate</w:t>
      </w:r>
      <w:r w:rsidRPr="00992000">
        <w:rPr>
          <w:szCs w:val="22"/>
        </w:rPr>
        <w:t xml:space="preserve"> for </w:t>
      </w:r>
      <w:r>
        <w:rPr>
          <w:szCs w:val="22"/>
        </w:rPr>
        <w:t>internal counsel</w:t>
      </w:r>
      <w:r w:rsidRPr="00992000">
        <w:rPr>
          <w:szCs w:val="22"/>
        </w:rPr>
        <w:t xml:space="preserve"> </w:t>
      </w:r>
      <w:r>
        <w:rPr>
          <w:szCs w:val="22"/>
        </w:rPr>
        <w:t>is</w:t>
      </w:r>
      <w:r w:rsidRPr="00992000">
        <w:rPr>
          <w:szCs w:val="22"/>
        </w:rPr>
        <w:t xml:space="preserve"> derived from SIFMA’s Management &amp; Professional Earnings in the Securities Industry 201</w:t>
      </w:r>
      <w:r>
        <w:rPr>
          <w:szCs w:val="22"/>
        </w:rPr>
        <w:t>3</w:t>
      </w:r>
      <w:r w:rsidRPr="00992000">
        <w:rPr>
          <w:szCs w:val="22"/>
        </w:rPr>
        <w:t>, modified to account for an 1800</w:t>
      </w:r>
      <w:r>
        <w:rPr>
          <w:szCs w:val="22"/>
        </w:rPr>
        <w:noBreakHyphen/>
      </w:r>
      <w:r w:rsidRPr="00992000">
        <w:rPr>
          <w:szCs w:val="22"/>
        </w:rPr>
        <w:t>hour work</w:t>
      </w:r>
      <w:r>
        <w:rPr>
          <w:szCs w:val="22"/>
        </w:rPr>
        <w:noBreakHyphen/>
      </w:r>
      <w:r w:rsidRPr="00992000">
        <w:rPr>
          <w:szCs w:val="22"/>
        </w:rPr>
        <w:t>year and multiplied by 5.35 to account for bonuses, entity size, employee benefits, and overhead</w:t>
      </w:r>
      <w:r>
        <w:t xml:space="preserve">, </w:t>
      </w:r>
      <w:r>
        <w:rPr>
          <w:bCs/>
          <w:iCs/>
        </w:rPr>
        <w:t>and adjusted for inflation</w:t>
      </w:r>
      <w:r w:rsidRPr="00992000">
        <w:rPr>
          <w:szCs w:val="22"/>
        </w:rPr>
        <w:t xml:space="preserve">. </w:t>
      </w:r>
      <w:r>
        <w:rPr>
          <w:szCs w:val="22"/>
        </w:rPr>
        <w:t xml:space="preserve"> </w:t>
      </w:r>
      <w:r w:rsidRPr="00DC7810">
        <w:rPr>
          <w:szCs w:val="22"/>
        </w:rPr>
        <w:t>The cost estima</w:t>
      </w:r>
      <w:r>
        <w:rPr>
          <w:szCs w:val="22"/>
        </w:rPr>
        <w:t xml:space="preserve">te for administrative assistants </w:t>
      </w:r>
      <w:r w:rsidRPr="00DC7810">
        <w:rPr>
          <w:szCs w:val="22"/>
        </w:rPr>
        <w:t>is derived from SIFMA’s Office Salaries in the Securities Industry 201</w:t>
      </w:r>
      <w:r>
        <w:rPr>
          <w:szCs w:val="22"/>
        </w:rPr>
        <w:t>3</w:t>
      </w:r>
      <w:r w:rsidRPr="00DC7810">
        <w:rPr>
          <w:szCs w:val="22"/>
        </w:rPr>
        <w:t>, modified to account for an 1800</w:t>
      </w:r>
      <w:r>
        <w:rPr>
          <w:szCs w:val="22"/>
        </w:rPr>
        <w:noBreakHyphen/>
      </w:r>
      <w:r w:rsidRPr="00DC7810">
        <w:rPr>
          <w:szCs w:val="22"/>
        </w:rPr>
        <w:t>hour work</w:t>
      </w:r>
      <w:r>
        <w:rPr>
          <w:szCs w:val="22"/>
        </w:rPr>
        <w:noBreakHyphen/>
      </w:r>
      <w:r w:rsidRPr="00DC7810">
        <w:rPr>
          <w:szCs w:val="22"/>
        </w:rPr>
        <w:t xml:space="preserve">year and multiplied by 2.93 to account for bonuses, </w:t>
      </w:r>
      <w:r>
        <w:rPr>
          <w:szCs w:val="22"/>
        </w:rPr>
        <w:t>entity</w:t>
      </w:r>
      <w:r w:rsidRPr="00DC7810">
        <w:rPr>
          <w:szCs w:val="22"/>
        </w:rPr>
        <w:t xml:space="preserve"> size, employee benefits, and overhead</w:t>
      </w:r>
      <w:r>
        <w:t xml:space="preserve">, </w:t>
      </w:r>
      <w:r>
        <w:rPr>
          <w:bCs/>
          <w:iCs/>
        </w:rPr>
        <w:t>and adjusted for inflation</w:t>
      </w:r>
      <w:r w:rsidRPr="00DC7810">
        <w:rPr>
          <w:szCs w:val="22"/>
        </w:rPr>
        <w:t>.</w:t>
      </w:r>
      <w:r w:rsidRPr="00992000">
        <w:rPr>
          <w:szCs w:val="22"/>
        </w:rPr>
        <w:t xml:space="preserve">  </w:t>
      </w:r>
      <w:r w:rsidRPr="00DC7810">
        <w:rPr>
          <w:szCs w:val="22"/>
        </w:rPr>
        <w:t>The cost estimate for the board of directors is derived from estimates made by SEC staff regarding typical board size and compensation that is based on information received from fund representatives and publicly</w:t>
      </w:r>
      <w:r>
        <w:rPr>
          <w:szCs w:val="22"/>
        </w:rPr>
        <w:noBreakHyphen/>
      </w:r>
      <w:r w:rsidRPr="00DC7810">
        <w:rPr>
          <w:szCs w:val="22"/>
        </w:rPr>
        <w:t>available sources</w:t>
      </w:r>
      <w:r>
        <w:t xml:space="preserve">, </w:t>
      </w:r>
      <w:r>
        <w:rPr>
          <w:bCs/>
          <w:iCs/>
        </w:rPr>
        <w:t>and adjusted for inflation</w:t>
      </w:r>
      <w:r w:rsidRPr="00DC7810">
        <w:rPr>
          <w:szCs w:val="22"/>
        </w:rPr>
        <w:t xml:space="preserve">.  </w:t>
      </w:r>
    </w:p>
  </w:footnote>
  <w:footnote w:id="3">
    <w:p w:rsidR="00282802" w:rsidRPr="006C50AA" w:rsidRDefault="00282802" w:rsidP="00282802">
      <w:pPr>
        <w:pStyle w:val="FootnoteText"/>
        <w:rPr>
          <w:szCs w:val="22"/>
        </w:rPr>
      </w:pPr>
      <w:r w:rsidRPr="006C50AA">
        <w:rPr>
          <w:rStyle w:val="FootnoteReference"/>
          <w:rFonts w:ascii="Times New Roman" w:hAnsi="Times New Roman"/>
          <w:sz w:val="22"/>
          <w:szCs w:val="22"/>
        </w:rPr>
        <w:footnoteRef/>
      </w:r>
      <w:r w:rsidRPr="006C50AA">
        <w:rPr>
          <w:szCs w:val="22"/>
        </w:rPr>
        <w:t xml:space="preserve"> </w:t>
      </w:r>
      <w:r w:rsidRPr="006C50AA">
        <w:rPr>
          <w:szCs w:val="22"/>
        </w:rPr>
        <w:tab/>
      </w:r>
      <w:r w:rsidRPr="007B0D8E">
        <w:rPr>
          <w:szCs w:val="22"/>
        </w:rPr>
        <w:t xml:space="preserve">Based on a review of new registrations typically filed with the SEC each year, SEC staff estimates that approximately </w:t>
      </w:r>
      <w:r>
        <w:rPr>
          <w:szCs w:val="22"/>
        </w:rPr>
        <w:t>1,218</w:t>
      </w:r>
      <w:r w:rsidRPr="007B0D8E">
        <w:rPr>
          <w:szCs w:val="22"/>
        </w:rPr>
        <w:t xml:space="preserve"> investment advisers, </w:t>
      </w:r>
      <w:r>
        <w:rPr>
          <w:szCs w:val="22"/>
        </w:rPr>
        <w:t>109</w:t>
      </w:r>
      <w:r w:rsidRPr="007B0D8E">
        <w:rPr>
          <w:szCs w:val="22"/>
        </w:rPr>
        <w:t xml:space="preserve"> broker dealers, </w:t>
      </w:r>
      <w:r>
        <w:rPr>
          <w:szCs w:val="22"/>
        </w:rPr>
        <w:t>96</w:t>
      </w:r>
      <w:r w:rsidRPr="007B0D8E">
        <w:rPr>
          <w:szCs w:val="22"/>
        </w:rPr>
        <w:t xml:space="preserve"> investment companies, and </w:t>
      </w:r>
      <w:r>
        <w:rPr>
          <w:szCs w:val="22"/>
        </w:rPr>
        <w:t>2</w:t>
      </w:r>
      <w:r w:rsidRPr="007B0D8E">
        <w:rPr>
          <w:szCs w:val="22"/>
        </w:rPr>
        <w:t xml:space="preserve"> ESC</w:t>
      </w:r>
      <w:r>
        <w:rPr>
          <w:szCs w:val="22"/>
        </w:rPr>
        <w:t>s</w:t>
      </w:r>
      <w:r w:rsidRPr="007B0D8E">
        <w:rPr>
          <w:szCs w:val="22"/>
        </w:rPr>
        <w:t xml:space="preserve"> typically apply for registration with the SEC or otherwise are newly formed each year, for a total of </w:t>
      </w:r>
      <w:r>
        <w:rPr>
          <w:szCs w:val="22"/>
        </w:rPr>
        <w:t>1,425</w:t>
      </w:r>
      <w:r w:rsidRPr="007B0D8E">
        <w:rPr>
          <w:szCs w:val="22"/>
        </w:rPr>
        <w:t xml:space="preserve"> entities that could be financial institutions or creditors.  Of these, staff estimates that all of the investm</w:t>
      </w:r>
      <w:r>
        <w:rPr>
          <w:szCs w:val="22"/>
        </w:rPr>
        <w:t>ent companies, ESCs, and broker</w:t>
      </w:r>
      <w:r>
        <w:rPr>
          <w:szCs w:val="22"/>
        </w:rPr>
        <w:noBreakHyphen/>
      </w:r>
      <w:r w:rsidRPr="007B0D8E">
        <w:rPr>
          <w:szCs w:val="22"/>
        </w:rPr>
        <w:t xml:space="preserve">dealers are likely to qualify as financial institutions or creditors, and 33% </w:t>
      </w:r>
      <w:r>
        <w:rPr>
          <w:szCs w:val="22"/>
        </w:rPr>
        <w:t xml:space="preserve">of investment advisers </w:t>
      </w:r>
      <w:r w:rsidRPr="007B0D8E">
        <w:rPr>
          <w:szCs w:val="22"/>
        </w:rPr>
        <w:t xml:space="preserve">(or </w:t>
      </w:r>
      <w:r>
        <w:rPr>
          <w:szCs w:val="22"/>
        </w:rPr>
        <w:t>406</w:t>
      </w:r>
      <w:r w:rsidRPr="007B0D8E">
        <w:rPr>
          <w:szCs w:val="22"/>
        </w:rPr>
        <w:t>) are likely to qualify</w:t>
      </w:r>
      <w:r>
        <w:rPr>
          <w:szCs w:val="22"/>
        </w:rPr>
        <w:t xml:space="preserve">.  </w:t>
      </w:r>
      <w:r>
        <w:rPr>
          <w:i/>
          <w:szCs w:val="22"/>
        </w:rPr>
        <w:t xml:space="preserve">See </w:t>
      </w:r>
      <w:r>
        <w:rPr>
          <w:szCs w:val="22"/>
        </w:rPr>
        <w:t xml:space="preserve">Adopting Release, </w:t>
      </w:r>
      <w:r>
        <w:rPr>
          <w:i/>
          <w:szCs w:val="22"/>
        </w:rPr>
        <w:t>supra</w:t>
      </w:r>
      <w:r>
        <w:rPr>
          <w:szCs w:val="22"/>
        </w:rPr>
        <w:t xml:space="preserve"> note </w:t>
      </w:r>
      <w:r>
        <w:rPr>
          <w:szCs w:val="22"/>
        </w:rPr>
        <w:fldChar w:fldCharType="begin"/>
      </w:r>
      <w:r>
        <w:rPr>
          <w:szCs w:val="22"/>
        </w:rPr>
        <w:instrText xml:space="preserve"> NOTEREF _Ref353442714 \h </w:instrText>
      </w:r>
      <w:r>
        <w:rPr>
          <w:szCs w:val="22"/>
        </w:rPr>
      </w:r>
      <w:r>
        <w:rPr>
          <w:szCs w:val="22"/>
        </w:rPr>
        <w:fldChar w:fldCharType="separate"/>
      </w:r>
      <w:r>
        <w:rPr>
          <w:szCs w:val="22"/>
        </w:rPr>
        <w:t>1</w:t>
      </w:r>
      <w:r>
        <w:rPr>
          <w:szCs w:val="22"/>
        </w:rPr>
        <w:fldChar w:fldCharType="end"/>
      </w:r>
      <w:r>
        <w:rPr>
          <w:szCs w:val="22"/>
        </w:rPr>
        <w:t xml:space="preserve">, at n.190 (discussing the staff’s analysis supporting its estimate that 33% of investment advisers are likely to qualify as financial institutions or creditors). </w:t>
      </w:r>
      <w:r>
        <w:rPr>
          <w:i/>
          <w:szCs w:val="22"/>
        </w:rPr>
        <w:t xml:space="preserve"> </w:t>
      </w:r>
      <w:r>
        <w:rPr>
          <w:szCs w:val="22"/>
        </w:rPr>
        <w:t>We therefore estimate that</w:t>
      </w:r>
      <w:r w:rsidRPr="007B0D8E">
        <w:rPr>
          <w:szCs w:val="22"/>
        </w:rPr>
        <w:t xml:space="preserve"> a total of </w:t>
      </w:r>
      <w:r>
        <w:rPr>
          <w:szCs w:val="22"/>
        </w:rPr>
        <w:t>613</w:t>
      </w:r>
      <w:r w:rsidRPr="007B0D8E">
        <w:rPr>
          <w:szCs w:val="22"/>
        </w:rPr>
        <w:t xml:space="preserve"> total financial institutions or creditors will bear the initial one</w:t>
      </w:r>
      <w:r>
        <w:rPr>
          <w:szCs w:val="22"/>
        </w:rPr>
        <w:noBreakHyphen/>
      </w:r>
      <w:r w:rsidRPr="007B0D8E">
        <w:rPr>
          <w:szCs w:val="22"/>
        </w:rPr>
        <w:t>time burden of assessing cove</w:t>
      </w:r>
      <w:r>
        <w:rPr>
          <w:szCs w:val="22"/>
        </w:rPr>
        <w:t>red accounts under Regulation S</w:t>
      </w:r>
      <w:r>
        <w:rPr>
          <w:szCs w:val="22"/>
        </w:rPr>
        <w:noBreakHyphen/>
      </w:r>
      <w:r w:rsidRPr="007B0D8E">
        <w:rPr>
          <w:szCs w:val="22"/>
        </w:rPr>
        <w:t xml:space="preserve">ID.  </w:t>
      </w:r>
      <w:r w:rsidRPr="006C50AA">
        <w:rPr>
          <w:szCs w:val="22"/>
        </w:rPr>
        <w:t xml:space="preserve"> </w:t>
      </w:r>
    </w:p>
  </w:footnote>
  <w:footnote w:id="4">
    <w:p w:rsidR="00282802" w:rsidRPr="00155AF1" w:rsidRDefault="00282802" w:rsidP="00282802">
      <w:pPr>
        <w:pStyle w:val="FootnoteText"/>
        <w:rPr>
          <w:szCs w:val="22"/>
        </w:rPr>
      </w:pPr>
      <w:r w:rsidRPr="006C50AA">
        <w:rPr>
          <w:rStyle w:val="FootnoteReference"/>
          <w:rFonts w:ascii="Times New Roman" w:hAnsi="Times New Roman"/>
          <w:sz w:val="22"/>
          <w:szCs w:val="22"/>
        </w:rPr>
        <w:footnoteRef/>
      </w:r>
      <w:r w:rsidRPr="006C50AA">
        <w:rPr>
          <w:szCs w:val="22"/>
        </w:rPr>
        <w:t xml:space="preserve"> </w:t>
      </w:r>
      <w:r w:rsidRPr="006C50AA">
        <w:rPr>
          <w:szCs w:val="22"/>
        </w:rPr>
        <w:tab/>
      </w:r>
      <w:r w:rsidRPr="005661DA">
        <w:rPr>
          <w:szCs w:val="22"/>
        </w:rPr>
        <w:t xml:space="preserve">These estimates are based on the following calculations:  </w:t>
      </w:r>
      <w:r>
        <w:rPr>
          <w:szCs w:val="22"/>
        </w:rPr>
        <w:t>613</w:t>
      </w:r>
      <w:r w:rsidRPr="005661DA">
        <w:rPr>
          <w:szCs w:val="22"/>
        </w:rPr>
        <w:t xml:space="preserve"> entities x 2 hours = 1,</w:t>
      </w:r>
      <w:r>
        <w:rPr>
          <w:szCs w:val="22"/>
        </w:rPr>
        <w:t>226</w:t>
      </w:r>
      <w:r w:rsidRPr="005661DA">
        <w:rPr>
          <w:szCs w:val="22"/>
        </w:rPr>
        <w:t xml:space="preserve"> hours; </w:t>
      </w:r>
      <w:r>
        <w:rPr>
          <w:szCs w:val="22"/>
        </w:rPr>
        <w:t>613</w:t>
      </w:r>
      <w:r w:rsidRPr="005661DA">
        <w:rPr>
          <w:szCs w:val="22"/>
        </w:rPr>
        <w:t xml:space="preserve"> entities x $</w:t>
      </w:r>
      <w:r>
        <w:rPr>
          <w:szCs w:val="22"/>
        </w:rPr>
        <w:t>802</w:t>
      </w:r>
      <w:r w:rsidRPr="005661DA">
        <w:rPr>
          <w:szCs w:val="22"/>
        </w:rPr>
        <w:t xml:space="preserve"> = $4</w:t>
      </w:r>
      <w:r>
        <w:rPr>
          <w:szCs w:val="22"/>
        </w:rPr>
        <w:t>91</w:t>
      </w:r>
      <w:r w:rsidRPr="005661DA">
        <w:rPr>
          <w:szCs w:val="22"/>
        </w:rPr>
        <w:t>,</w:t>
      </w:r>
      <w:r>
        <w:rPr>
          <w:szCs w:val="22"/>
        </w:rPr>
        <w:t>626</w:t>
      </w:r>
      <w:r w:rsidRPr="005661DA">
        <w:rPr>
          <w:szCs w:val="22"/>
        </w:rPr>
        <w:t>.</w:t>
      </w:r>
    </w:p>
  </w:footnote>
  <w:footnote w:id="5">
    <w:p w:rsidR="00282802" w:rsidRPr="00155AF1" w:rsidRDefault="00282802" w:rsidP="00282802">
      <w:pPr>
        <w:pStyle w:val="FootnoteText"/>
        <w:rPr>
          <w:szCs w:val="22"/>
        </w:rPr>
      </w:pPr>
      <w:r>
        <w:rPr>
          <w:rStyle w:val="FootnoteReference"/>
        </w:rPr>
        <w:footnoteRef/>
      </w:r>
      <w:r>
        <w:t xml:space="preserve"> </w:t>
      </w:r>
      <w:r>
        <w:tab/>
      </w:r>
      <w:r w:rsidRPr="00DC7810">
        <w:rPr>
          <w:szCs w:val="22"/>
        </w:rPr>
        <w:t>In the Proposing Release, the SEC requested comment on the estimate that approximately 90% of all financial institutions and creditors maintain covered accounts; the SEC received no comments on this estimate.</w:t>
      </w:r>
    </w:p>
  </w:footnote>
  <w:footnote w:id="6">
    <w:p w:rsidR="00282802" w:rsidRDefault="00282802" w:rsidP="00282802">
      <w:pPr>
        <w:pStyle w:val="FootnoteText"/>
      </w:pPr>
      <w:r>
        <w:rPr>
          <w:rStyle w:val="FootnoteReference"/>
        </w:rPr>
        <w:footnoteRef/>
      </w:r>
      <w:r>
        <w:t xml:space="preserve"> </w:t>
      </w:r>
      <w:r>
        <w:tab/>
      </w:r>
      <w:r w:rsidRPr="005661DA">
        <w:t xml:space="preserve">These estimates are based on the following calculations: </w:t>
      </w:r>
      <w:r>
        <w:rPr>
          <w:szCs w:val="22"/>
        </w:rPr>
        <w:t>552</w:t>
      </w:r>
      <w:r w:rsidRPr="005661DA">
        <w:rPr>
          <w:szCs w:val="22"/>
        </w:rPr>
        <w:t xml:space="preserve"> financial institutions and creditors that maintain covered accounts x </w:t>
      </w:r>
      <w:r>
        <w:rPr>
          <w:szCs w:val="22"/>
        </w:rPr>
        <w:t>29</w:t>
      </w:r>
      <w:r w:rsidRPr="005661DA">
        <w:rPr>
          <w:szCs w:val="22"/>
        </w:rPr>
        <w:t xml:space="preserve"> hours = 1</w:t>
      </w:r>
      <w:r>
        <w:rPr>
          <w:szCs w:val="22"/>
        </w:rPr>
        <w:t>6</w:t>
      </w:r>
      <w:r w:rsidRPr="005661DA">
        <w:rPr>
          <w:szCs w:val="22"/>
        </w:rPr>
        <w:t>,</w:t>
      </w:r>
      <w:r>
        <w:rPr>
          <w:szCs w:val="22"/>
        </w:rPr>
        <w:t>008</w:t>
      </w:r>
      <w:r w:rsidRPr="005661DA">
        <w:rPr>
          <w:szCs w:val="22"/>
        </w:rPr>
        <w:t xml:space="preserve"> hours; 5</w:t>
      </w:r>
      <w:r>
        <w:rPr>
          <w:szCs w:val="22"/>
        </w:rPr>
        <w:t>52</w:t>
      </w:r>
      <w:r w:rsidRPr="005661DA">
        <w:rPr>
          <w:szCs w:val="22"/>
        </w:rPr>
        <w:t xml:space="preserve"> financial institutions and creditors that maintain covered accounts x $</w:t>
      </w:r>
      <w:r w:rsidRPr="006826C4">
        <w:t>1</w:t>
      </w:r>
      <w:r>
        <w:t>4</w:t>
      </w:r>
      <w:r w:rsidRPr="006826C4">
        <w:t>,</w:t>
      </w:r>
      <w:r>
        <w:t>266</w:t>
      </w:r>
      <w:r>
        <w:rPr>
          <w:szCs w:val="22"/>
        </w:rPr>
        <w:t xml:space="preserve"> = $7</w:t>
      </w:r>
      <w:r w:rsidRPr="005661DA">
        <w:rPr>
          <w:szCs w:val="22"/>
        </w:rPr>
        <w:t>,</w:t>
      </w:r>
      <w:r>
        <w:rPr>
          <w:szCs w:val="22"/>
        </w:rPr>
        <w:t>874</w:t>
      </w:r>
      <w:r w:rsidRPr="005661DA">
        <w:rPr>
          <w:szCs w:val="22"/>
        </w:rPr>
        <w:t>,</w:t>
      </w:r>
      <w:r>
        <w:rPr>
          <w:szCs w:val="22"/>
        </w:rPr>
        <w:t>832</w:t>
      </w:r>
      <w:r w:rsidRPr="005661DA">
        <w:rPr>
          <w:szCs w:val="22"/>
        </w:rPr>
        <w:t>.</w:t>
      </w:r>
    </w:p>
  </w:footnote>
  <w:footnote w:id="7">
    <w:p w:rsidR="00282802" w:rsidRDefault="00282802" w:rsidP="00282802">
      <w:pPr>
        <w:pStyle w:val="FootnoteText"/>
      </w:pPr>
      <w:r>
        <w:rPr>
          <w:rStyle w:val="FootnoteReference"/>
        </w:rPr>
        <w:footnoteRef/>
      </w:r>
      <w:r>
        <w:t xml:space="preserve"> </w:t>
      </w:r>
      <w:r>
        <w:tab/>
      </w:r>
      <w:r w:rsidRPr="005661DA">
        <w:t>These estimates are based on the following calculations: 1,</w:t>
      </w:r>
      <w:r>
        <w:t>226</w:t>
      </w:r>
      <w:r w:rsidRPr="005661DA">
        <w:t xml:space="preserve"> hours + 1</w:t>
      </w:r>
      <w:r>
        <w:t>6</w:t>
      </w:r>
      <w:r w:rsidRPr="005661DA">
        <w:t>,</w:t>
      </w:r>
      <w:r>
        <w:t>008</w:t>
      </w:r>
      <w:r w:rsidRPr="005661DA">
        <w:t xml:space="preserve"> hours = </w:t>
      </w:r>
      <w:r>
        <w:t>17</w:t>
      </w:r>
      <w:r w:rsidRPr="005661DA">
        <w:t>,</w:t>
      </w:r>
      <w:r>
        <w:t>234</w:t>
      </w:r>
      <w:r w:rsidRPr="005661DA">
        <w:t xml:space="preserve"> hours; $</w:t>
      </w:r>
      <w:r w:rsidRPr="005661DA">
        <w:rPr>
          <w:szCs w:val="22"/>
        </w:rPr>
        <w:t>4</w:t>
      </w:r>
      <w:r>
        <w:rPr>
          <w:szCs w:val="22"/>
        </w:rPr>
        <w:t>91</w:t>
      </w:r>
      <w:r w:rsidRPr="005661DA">
        <w:rPr>
          <w:szCs w:val="22"/>
        </w:rPr>
        <w:t>,</w:t>
      </w:r>
      <w:r>
        <w:rPr>
          <w:szCs w:val="22"/>
        </w:rPr>
        <w:t>626</w:t>
      </w:r>
      <w:r w:rsidRPr="005661DA">
        <w:t xml:space="preserve"> + $</w:t>
      </w:r>
      <w:r>
        <w:rPr>
          <w:szCs w:val="22"/>
        </w:rPr>
        <w:t>7</w:t>
      </w:r>
      <w:r w:rsidRPr="005661DA">
        <w:rPr>
          <w:szCs w:val="22"/>
        </w:rPr>
        <w:t>,</w:t>
      </w:r>
      <w:r>
        <w:rPr>
          <w:szCs w:val="22"/>
        </w:rPr>
        <w:t>874</w:t>
      </w:r>
      <w:r w:rsidRPr="005661DA">
        <w:rPr>
          <w:szCs w:val="22"/>
        </w:rPr>
        <w:t>,</w:t>
      </w:r>
      <w:r>
        <w:rPr>
          <w:szCs w:val="22"/>
        </w:rPr>
        <w:t>832</w:t>
      </w:r>
      <w:r w:rsidRPr="005661DA">
        <w:t xml:space="preserve"> = $</w:t>
      </w:r>
      <w:r>
        <w:rPr>
          <w:szCs w:val="22"/>
        </w:rPr>
        <w:t>8</w:t>
      </w:r>
      <w:r w:rsidRPr="005661DA">
        <w:rPr>
          <w:szCs w:val="22"/>
        </w:rPr>
        <w:t>,</w:t>
      </w:r>
      <w:r>
        <w:rPr>
          <w:szCs w:val="22"/>
        </w:rPr>
        <w:t>366</w:t>
      </w:r>
      <w:r w:rsidRPr="005661DA">
        <w:rPr>
          <w:szCs w:val="22"/>
        </w:rPr>
        <w:t>,</w:t>
      </w:r>
      <w:r>
        <w:rPr>
          <w:szCs w:val="22"/>
        </w:rPr>
        <w:t>458</w:t>
      </w:r>
      <w:r w:rsidRPr="005661DA">
        <w:t>.</w:t>
      </w:r>
      <w:r>
        <w:t xml:space="preserve">  </w:t>
      </w:r>
    </w:p>
  </w:footnote>
  <w:footnote w:id="8">
    <w:p w:rsidR="00282802" w:rsidRDefault="00282802" w:rsidP="00282802">
      <w:pPr>
        <w:pStyle w:val="FootnoteText"/>
      </w:pPr>
      <w:r>
        <w:rPr>
          <w:rStyle w:val="FootnoteReference"/>
        </w:rPr>
        <w:footnoteRef/>
      </w:r>
      <w:r>
        <w:t xml:space="preserve"> </w:t>
      </w:r>
      <w:r>
        <w:tab/>
      </w:r>
      <w:r w:rsidRPr="00F239E0">
        <w:t xml:space="preserve">This estimate is based on the following calculation: </w:t>
      </w:r>
      <w:r>
        <w:t>1</w:t>
      </w:r>
      <w:r w:rsidRPr="00F239E0">
        <w:t xml:space="preserve"> hour x $</w:t>
      </w:r>
      <w:r>
        <w:t>401</w:t>
      </w:r>
      <w:r w:rsidRPr="00F239E0">
        <w:t xml:space="preserve"> (hourly rate for internal counsel) = $</w:t>
      </w:r>
      <w:r>
        <w:t>401</w:t>
      </w:r>
      <w:r w:rsidRPr="00F239E0">
        <w:t xml:space="preserve">.  </w:t>
      </w:r>
      <w:r w:rsidRPr="00F239E0">
        <w:rPr>
          <w:i/>
        </w:rPr>
        <w:t xml:space="preserve">See supra </w:t>
      </w:r>
      <w:r w:rsidRPr="00F239E0">
        <w:t xml:space="preserve">note </w:t>
      </w:r>
      <w:r w:rsidRPr="00F239E0">
        <w:fldChar w:fldCharType="begin"/>
      </w:r>
      <w:r w:rsidRPr="00F239E0">
        <w:instrText xml:space="preserve"> NOTEREF _Ref435170185 \h </w:instrText>
      </w:r>
      <w:r>
        <w:instrText xml:space="preserve"> \* MERGEFORMAT </w:instrText>
      </w:r>
      <w:r w:rsidRPr="00F239E0">
        <w:fldChar w:fldCharType="separate"/>
      </w:r>
      <w:r>
        <w:t>7</w:t>
      </w:r>
      <w:r w:rsidRPr="00F239E0">
        <w:fldChar w:fldCharType="end"/>
      </w:r>
      <w:r w:rsidRPr="00F239E0">
        <w:t xml:space="preserve"> (discussing the methodology for estimating the hourly rate for internal counsel).</w:t>
      </w:r>
    </w:p>
  </w:footnote>
  <w:footnote w:id="9">
    <w:p w:rsidR="00282802" w:rsidRDefault="00282802" w:rsidP="00282802">
      <w:pPr>
        <w:pStyle w:val="FootnoteText"/>
      </w:pPr>
      <w:r>
        <w:rPr>
          <w:rStyle w:val="FootnoteReference"/>
        </w:rPr>
        <w:footnoteRef/>
      </w:r>
      <w:r>
        <w:t xml:space="preserve">  </w:t>
      </w:r>
      <w:r>
        <w:tab/>
      </w:r>
      <w:r w:rsidRPr="00F239E0">
        <w:t xml:space="preserve">Staff estimates that, of the </w:t>
      </w:r>
      <w:r>
        <w:t>9.5</w:t>
      </w:r>
      <w:r w:rsidRPr="00F239E0">
        <w:t xml:space="preserve"> hours incurred to prepare and present the annual report to the board and periodically review and update the Program, </w:t>
      </w:r>
      <w:r>
        <w:t>8.5</w:t>
      </w:r>
      <w:r w:rsidRPr="00F239E0">
        <w:t xml:space="preserve"> hours will be spent by internal counsel at an hourly rate of $</w:t>
      </w:r>
      <w:r>
        <w:t>401</w:t>
      </w:r>
      <w:r w:rsidRPr="00F239E0">
        <w:t>, and 1 hour will be spent by the board of directors as a whole at an hourly rate of $4,4</w:t>
      </w:r>
      <w:r>
        <w:t>65</w:t>
      </w:r>
      <w:r w:rsidRPr="00F239E0">
        <w:t>.  Thus, the estimated $</w:t>
      </w:r>
      <w:r w:rsidRPr="00A53544">
        <w:t>7,874</w:t>
      </w:r>
      <w:r>
        <w:t xml:space="preserve"> </w:t>
      </w:r>
      <w:r w:rsidRPr="00F239E0">
        <w:t>in additional annual costs is based on the following calculation: (</w:t>
      </w:r>
      <w:r>
        <w:t>8.5 hours x $401</w:t>
      </w:r>
      <w:r w:rsidRPr="00F239E0">
        <w:t xml:space="preserve"> = $</w:t>
      </w:r>
      <w:r>
        <w:t>3</w:t>
      </w:r>
      <w:r w:rsidRPr="00F239E0">
        <w:t>,</w:t>
      </w:r>
      <w:r>
        <w:t>409</w:t>
      </w:r>
      <w:r w:rsidRPr="00F239E0">
        <w:t>) + (1 hour x $4,4</w:t>
      </w:r>
      <w:r>
        <w:t>65 = $4,465</w:t>
      </w:r>
      <w:r w:rsidRPr="00F239E0">
        <w:t>) = $</w:t>
      </w:r>
      <w:r>
        <w:t>7</w:t>
      </w:r>
      <w:r w:rsidRPr="00F239E0">
        <w:t>,</w:t>
      </w:r>
      <w:r>
        <w:t>874</w:t>
      </w:r>
      <w:r w:rsidRPr="00F239E0">
        <w:t xml:space="preserve">.  </w:t>
      </w:r>
      <w:r w:rsidRPr="00F239E0">
        <w:rPr>
          <w:i/>
        </w:rPr>
        <w:t xml:space="preserve">See supra </w:t>
      </w:r>
      <w:r w:rsidRPr="00F239E0">
        <w:t xml:space="preserve">note </w:t>
      </w:r>
      <w:r w:rsidRPr="00F239E0">
        <w:fldChar w:fldCharType="begin"/>
      </w:r>
      <w:r w:rsidRPr="00F239E0">
        <w:instrText xml:space="preserve"> NOTEREF _Ref435170185 \h  \* MERGEFORMAT </w:instrText>
      </w:r>
      <w:r w:rsidRPr="00F239E0">
        <w:fldChar w:fldCharType="separate"/>
      </w:r>
      <w:r>
        <w:t>7</w:t>
      </w:r>
      <w:r w:rsidRPr="00F239E0">
        <w:fldChar w:fldCharType="end"/>
      </w:r>
      <w:r w:rsidRPr="00F239E0">
        <w:t xml:space="preserve"> (discussing the methodology for estimating the hourly rate for internal counsel and the board of directors).</w:t>
      </w:r>
    </w:p>
  </w:footnote>
  <w:footnote w:id="10">
    <w:p w:rsidR="00282802" w:rsidRDefault="00282802" w:rsidP="00282802">
      <w:pPr>
        <w:pStyle w:val="FootnoteText"/>
        <w:rPr>
          <w:szCs w:val="22"/>
        </w:rPr>
      </w:pPr>
      <w:r w:rsidRPr="006C50AA">
        <w:rPr>
          <w:rStyle w:val="FootnoteReference"/>
          <w:rFonts w:ascii="Times New Roman" w:hAnsi="Times New Roman"/>
          <w:sz w:val="22"/>
          <w:szCs w:val="22"/>
        </w:rPr>
        <w:footnoteRef/>
      </w:r>
      <w:r w:rsidRPr="006C50AA">
        <w:rPr>
          <w:szCs w:val="22"/>
        </w:rPr>
        <w:t xml:space="preserve"> </w:t>
      </w:r>
      <w:r w:rsidRPr="006C50AA">
        <w:rPr>
          <w:szCs w:val="22"/>
        </w:rPr>
        <w:tab/>
      </w:r>
      <w:r w:rsidRPr="003C51D6">
        <w:rPr>
          <w:szCs w:val="22"/>
        </w:rPr>
        <w:t xml:space="preserve">Based on a review of entities that the SEC regulates, SEC staff estimates that, as of </w:t>
      </w:r>
      <w:r>
        <w:rPr>
          <w:szCs w:val="22"/>
        </w:rPr>
        <w:t>September 1, 2018</w:t>
      </w:r>
      <w:r w:rsidRPr="003C51D6">
        <w:rPr>
          <w:szCs w:val="22"/>
        </w:rPr>
        <w:t>, there are approximately 1</w:t>
      </w:r>
      <w:r>
        <w:rPr>
          <w:szCs w:val="22"/>
        </w:rPr>
        <w:t>3</w:t>
      </w:r>
      <w:r w:rsidRPr="003C51D6">
        <w:rPr>
          <w:szCs w:val="22"/>
        </w:rPr>
        <w:t>,</w:t>
      </w:r>
      <w:r>
        <w:rPr>
          <w:szCs w:val="22"/>
        </w:rPr>
        <w:t>181</w:t>
      </w:r>
      <w:r w:rsidRPr="003C51D6">
        <w:rPr>
          <w:szCs w:val="22"/>
        </w:rPr>
        <w:t xml:space="preserve"> investment advisers, </w:t>
      </w:r>
      <w:r>
        <w:rPr>
          <w:szCs w:val="22"/>
        </w:rPr>
        <w:t xml:space="preserve">3,839 </w:t>
      </w:r>
      <w:r w:rsidRPr="003C51D6">
        <w:rPr>
          <w:szCs w:val="22"/>
        </w:rPr>
        <w:t>broker</w:t>
      </w:r>
      <w:r w:rsidRPr="003C51D6">
        <w:rPr>
          <w:szCs w:val="22"/>
        </w:rPr>
        <w:noBreakHyphen/>
        <w:t xml:space="preserve">dealers, </w:t>
      </w:r>
      <w:r>
        <w:rPr>
          <w:szCs w:val="22"/>
        </w:rPr>
        <w:t>1,589</w:t>
      </w:r>
      <w:r w:rsidRPr="003C51D6">
        <w:rPr>
          <w:szCs w:val="22"/>
        </w:rPr>
        <w:t xml:space="preserve"> active open</w:t>
      </w:r>
      <w:r w:rsidRPr="003C51D6">
        <w:rPr>
          <w:szCs w:val="22"/>
        </w:rPr>
        <w:noBreakHyphen/>
        <w:t xml:space="preserve">end investment companies, and </w:t>
      </w:r>
      <w:r>
        <w:rPr>
          <w:szCs w:val="22"/>
        </w:rPr>
        <w:t>100</w:t>
      </w:r>
      <w:r w:rsidRPr="003C51D6">
        <w:rPr>
          <w:szCs w:val="22"/>
        </w:rPr>
        <w:t xml:space="preserve"> ESCs.  Of these, staff estimates that all of the broker</w:t>
      </w:r>
      <w:r w:rsidRPr="003C51D6">
        <w:rPr>
          <w:szCs w:val="22"/>
        </w:rPr>
        <w:noBreakHyphen/>
        <w:t>dealers, open</w:t>
      </w:r>
      <w:r w:rsidRPr="003C51D6">
        <w:rPr>
          <w:szCs w:val="22"/>
        </w:rPr>
        <w:noBreakHyphen/>
        <w:t>end investment companies and ESCs are likely to qualify as financial institutions or creditors</w:t>
      </w:r>
      <w:r>
        <w:rPr>
          <w:szCs w:val="22"/>
        </w:rPr>
        <w:t>.  We also estimate that</w:t>
      </w:r>
      <w:r w:rsidRPr="003C51D6">
        <w:rPr>
          <w:szCs w:val="22"/>
        </w:rPr>
        <w:t xml:space="preserve"> approximately</w:t>
      </w:r>
      <w:r>
        <w:rPr>
          <w:szCs w:val="22"/>
        </w:rPr>
        <w:t xml:space="preserve"> 33% of investment advisers, or 4,394</w:t>
      </w:r>
      <w:r w:rsidRPr="003C51D6">
        <w:rPr>
          <w:szCs w:val="22"/>
        </w:rPr>
        <w:t xml:space="preserve"> investment advisers</w:t>
      </w:r>
      <w:r>
        <w:rPr>
          <w:szCs w:val="22"/>
        </w:rPr>
        <w:t xml:space="preserve">, </w:t>
      </w:r>
      <w:r w:rsidRPr="003C51D6">
        <w:rPr>
          <w:szCs w:val="22"/>
        </w:rPr>
        <w:t>are likely to qualify</w:t>
      </w:r>
      <w:r>
        <w:rPr>
          <w:szCs w:val="22"/>
        </w:rPr>
        <w:t xml:space="preserve">.  </w:t>
      </w:r>
      <w:r>
        <w:rPr>
          <w:i/>
          <w:szCs w:val="22"/>
        </w:rPr>
        <w:t xml:space="preserve">See </w:t>
      </w:r>
      <w:r>
        <w:rPr>
          <w:szCs w:val="22"/>
        </w:rPr>
        <w:t xml:space="preserve">Adopting Release, </w:t>
      </w:r>
      <w:r>
        <w:rPr>
          <w:i/>
          <w:szCs w:val="22"/>
        </w:rPr>
        <w:t>supra</w:t>
      </w:r>
      <w:r>
        <w:rPr>
          <w:szCs w:val="22"/>
        </w:rPr>
        <w:t xml:space="preserve"> note </w:t>
      </w:r>
      <w:r>
        <w:rPr>
          <w:szCs w:val="22"/>
        </w:rPr>
        <w:fldChar w:fldCharType="begin"/>
      </w:r>
      <w:r>
        <w:rPr>
          <w:szCs w:val="22"/>
        </w:rPr>
        <w:instrText xml:space="preserve"> NOTEREF _Ref353442714 \h </w:instrText>
      </w:r>
      <w:r>
        <w:rPr>
          <w:szCs w:val="22"/>
        </w:rPr>
      </w:r>
      <w:r>
        <w:rPr>
          <w:szCs w:val="22"/>
        </w:rPr>
        <w:fldChar w:fldCharType="separate"/>
      </w:r>
      <w:r>
        <w:rPr>
          <w:szCs w:val="22"/>
        </w:rPr>
        <w:t>1</w:t>
      </w:r>
      <w:r>
        <w:rPr>
          <w:szCs w:val="22"/>
        </w:rPr>
        <w:fldChar w:fldCharType="end"/>
      </w:r>
      <w:r>
        <w:rPr>
          <w:szCs w:val="22"/>
        </w:rPr>
        <w:t xml:space="preserve">, at n.190 (discussing the staff’s analysis supporting its estimate that 33% of investment advisers are likely to qualify as financial institutions or creditors). </w:t>
      </w:r>
      <w:r>
        <w:rPr>
          <w:i/>
          <w:szCs w:val="22"/>
        </w:rPr>
        <w:t xml:space="preserve"> </w:t>
      </w:r>
      <w:r>
        <w:rPr>
          <w:szCs w:val="22"/>
        </w:rPr>
        <w:t xml:space="preserve">We therefore estimate that </w:t>
      </w:r>
      <w:r w:rsidRPr="003C51D6">
        <w:rPr>
          <w:szCs w:val="22"/>
        </w:rPr>
        <w:t xml:space="preserve">a total of </w:t>
      </w:r>
      <w:r>
        <w:rPr>
          <w:szCs w:val="22"/>
        </w:rPr>
        <w:t>9,922</w:t>
      </w:r>
      <w:r w:rsidRPr="003C51D6">
        <w:rPr>
          <w:szCs w:val="22"/>
        </w:rPr>
        <w:t xml:space="preserve"> financial institutions or creditors will bear the ongoing burden of assessing covered accounts under Regulation S</w:t>
      </w:r>
      <w:r w:rsidRPr="003C51D6">
        <w:rPr>
          <w:szCs w:val="22"/>
        </w:rPr>
        <w:noBreakHyphen/>
      </w:r>
      <w:r>
        <w:rPr>
          <w:szCs w:val="22"/>
        </w:rPr>
        <w:t xml:space="preserve">ID.  </w:t>
      </w:r>
      <w:r w:rsidRPr="003C51D6">
        <w:rPr>
          <w:szCs w:val="22"/>
        </w:rPr>
        <w:t xml:space="preserve">(The SEC staff estimates that the other types of entities that are covered by the scope of the SEC’s rules will not be financial institutions or creditors and therefore </w:t>
      </w:r>
      <w:r>
        <w:rPr>
          <w:szCs w:val="22"/>
        </w:rPr>
        <w:t>will not be subject to the rule</w:t>
      </w:r>
      <w:r w:rsidRPr="003C51D6">
        <w:rPr>
          <w:szCs w:val="22"/>
        </w:rPr>
        <w:t>s</w:t>
      </w:r>
      <w:r>
        <w:rPr>
          <w:szCs w:val="22"/>
        </w:rPr>
        <w:t>’</w:t>
      </w:r>
      <w:r w:rsidRPr="003C51D6">
        <w:rPr>
          <w:szCs w:val="22"/>
        </w:rPr>
        <w:t xml:space="preserve"> requirements.)  </w:t>
      </w:r>
    </w:p>
    <w:p w:rsidR="00282802" w:rsidRPr="006C50AA" w:rsidRDefault="00282802" w:rsidP="00282802">
      <w:pPr>
        <w:pStyle w:val="FootnoteText"/>
        <w:rPr>
          <w:szCs w:val="22"/>
        </w:rPr>
      </w:pPr>
      <w:r>
        <w:rPr>
          <w:szCs w:val="22"/>
        </w:rPr>
        <w:tab/>
      </w:r>
      <w:r w:rsidRPr="00F239E0">
        <w:rPr>
          <w:szCs w:val="22"/>
        </w:rPr>
        <w:t xml:space="preserve">The estimates of </w:t>
      </w:r>
      <w:r>
        <w:rPr>
          <w:szCs w:val="22"/>
        </w:rPr>
        <w:t>9,922</w:t>
      </w:r>
      <w:r w:rsidRPr="00F239E0">
        <w:rPr>
          <w:szCs w:val="22"/>
        </w:rPr>
        <w:t xml:space="preserve"> hours and $</w:t>
      </w:r>
      <w:r>
        <w:rPr>
          <w:szCs w:val="22"/>
        </w:rPr>
        <w:t>3,784,800</w:t>
      </w:r>
      <w:r w:rsidRPr="00F239E0">
        <w:rPr>
          <w:szCs w:val="22"/>
        </w:rPr>
        <w:t xml:space="preserve"> are based on the following calculations: 9,9</w:t>
      </w:r>
      <w:r>
        <w:rPr>
          <w:szCs w:val="22"/>
        </w:rPr>
        <w:t>22</w:t>
      </w:r>
      <w:r w:rsidRPr="00F239E0">
        <w:t xml:space="preserve"> financial institutions and creditors</w:t>
      </w:r>
      <w:r w:rsidRPr="00F239E0">
        <w:rPr>
          <w:szCs w:val="22"/>
        </w:rPr>
        <w:t xml:space="preserve"> x </w:t>
      </w:r>
      <w:r>
        <w:rPr>
          <w:szCs w:val="22"/>
        </w:rPr>
        <w:t>1</w:t>
      </w:r>
      <w:r w:rsidRPr="00F239E0">
        <w:rPr>
          <w:szCs w:val="22"/>
        </w:rPr>
        <w:t xml:space="preserve"> hour = 9,</w:t>
      </w:r>
      <w:r>
        <w:rPr>
          <w:szCs w:val="22"/>
        </w:rPr>
        <w:t>922</w:t>
      </w:r>
      <w:r w:rsidRPr="00F239E0">
        <w:rPr>
          <w:szCs w:val="22"/>
        </w:rPr>
        <w:t xml:space="preserve"> hours; 9,9</w:t>
      </w:r>
      <w:r>
        <w:rPr>
          <w:szCs w:val="22"/>
        </w:rPr>
        <w:t>22</w:t>
      </w:r>
      <w:r w:rsidRPr="00F239E0">
        <w:rPr>
          <w:szCs w:val="22"/>
        </w:rPr>
        <w:t xml:space="preserve"> </w:t>
      </w:r>
      <w:r w:rsidRPr="00F239E0">
        <w:t>financial institutions and creditors x $</w:t>
      </w:r>
      <w:r>
        <w:t>401</w:t>
      </w:r>
      <w:r w:rsidRPr="00F239E0">
        <w:t xml:space="preserve"> = $</w:t>
      </w:r>
      <w:r>
        <w:t>3</w:t>
      </w:r>
      <w:r w:rsidRPr="00F239E0">
        <w:t>,</w:t>
      </w:r>
      <w:r>
        <w:t>978</w:t>
      </w:r>
      <w:r w:rsidRPr="00F239E0">
        <w:t>,</w:t>
      </w:r>
      <w:r>
        <w:t>722</w:t>
      </w:r>
      <w:r w:rsidRPr="00F239E0">
        <w:t>.</w:t>
      </w:r>
      <w:r>
        <w:rPr>
          <w:szCs w:val="22"/>
        </w:rPr>
        <w:tab/>
      </w:r>
      <w:r w:rsidRPr="003C51D6">
        <w:rPr>
          <w:szCs w:val="22"/>
        </w:rPr>
        <w:tab/>
        <w:t xml:space="preserve"> </w:t>
      </w:r>
    </w:p>
  </w:footnote>
  <w:footnote w:id="11">
    <w:p w:rsidR="00282802" w:rsidRPr="006C50AA" w:rsidRDefault="00282802" w:rsidP="00282802">
      <w:pPr>
        <w:pStyle w:val="FootnoteText"/>
        <w:rPr>
          <w:szCs w:val="22"/>
        </w:rPr>
      </w:pPr>
      <w:r w:rsidRPr="006C50AA">
        <w:rPr>
          <w:rStyle w:val="FootnoteReference"/>
          <w:rFonts w:ascii="Times New Roman" w:hAnsi="Times New Roman"/>
          <w:sz w:val="22"/>
          <w:szCs w:val="22"/>
        </w:rPr>
        <w:footnoteRef/>
      </w:r>
      <w:r w:rsidRPr="006C50AA">
        <w:rPr>
          <w:szCs w:val="22"/>
        </w:rPr>
        <w:t xml:space="preserve"> </w:t>
      </w:r>
      <w:r w:rsidRPr="006C50AA">
        <w:rPr>
          <w:szCs w:val="22"/>
        </w:rPr>
        <w:tab/>
      </w:r>
      <w:r>
        <w:rPr>
          <w:i/>
        </w:rPr>
        <w:t>See supra</w:t>
      </w:r>
      <w:r>
        <w:t xml:space="preserve"> note </w:t>
      </w:r>
      <w:r>
        <w:fldChar w:fldCharType="begin"/>
      </w:r>
      <w:r>
        <w:instrText xml:space="preserve"> NOTEREF _Ref353202936 \h </w:instrText>
      </w:r>
      <w:r>
        <w:fldChar w:fldCharType="separate"/>
      </w:r>
      <w:r>
        <w:t>10</w:t>
      </w:r>
      <w:r>
        <w:fldChar w:fldCharType="end"/>
      </w:r>
      <w:r>
        <w:t xml:space="preserve"> and accompanying text.  </w:t>
      </w:r>
      <w:r w:rsidRPr="006C50AA">
        <w:rPr>
          <w:szCs w:val="22"/>
        </w:rPr>
        <w:t>If a financial institution or creditor does not maintain covered accounts, there would be no ongoing annual burden for purposes of the PRA.</w:t>
      </w:r>
    </w:p>
  </w:footnote>
  <w:footnote w:id="12">
    <w:p w:rsidR="00282802" w:rsidRPr="004B092C" w:rsidRDefault="00282802" w:rsidP="00282802">
      <w:pPr>
        <w:pStyle w:val="FootnoteText"/>
      </w:pPr>
      <w:r w:rsidRPr="006C50AA">
        <w:rPr>
          <w:rStyle w:val="FootnoteReference"/>
          <w:rFonts w:ascii="Times New Roman" w:hAnsi="Times New Roman"/>
          <w:sz w:val="22"/>
          <w:szCs w:val="22"/>
        </w:rPr>
        <w:footnoteRef/>
      </w:r>
      <w:r w:rsidRPr="006C50AA">
        <w:rPr>
          <w:szCs w:val="22"/>
        </w:rPr>
        <w:t xml:space="preserve"> </w:t>
      </w:r>
      <w:r w:rsidRPr="006C50AA">
        <w:rPr>
          <w:szCs w:val="22"/>
        </w:rPr>
        <w:tab/>
      </w:r>
      <w:r w:rsidRPr="00F239E0">
        <w:rPr>
          <w:szCs w:val="22"/>
        </w:rPr>
        <w:t xml:space="preserve">These estimates are based on the following calculations: </w:t>
      </w:r>
      <w:r>
        <w:t>8,930</w:t>
      </w:r>
      <w:r w:rsidRPr="00F239E0">
        <w:t xml:space="preserve"> financial institutions and creditors that maintain covered accounts x </w:t>
      </w:r>
      <w:r>
        <w:t>9.5</w:t>
      </w:r>
      <w:r w:rsidRPr="00F239E0">
        <w:t xml:space="preserve"> hours = </w:t>
      </w:r>
      <w:r>
        <w:t>84</w:t>
      </w:r>
      <w:r w:rsidRPr="00F239E0">
        <w:t>,</w:t>
      </w:r>
      <w:r>
        <w:t>835</w:t>
      </w:r>
      <w:r w:rsidRPr="00F239E0">
        <w:t xml:space="preserve"> hours</w:t>
      </w:r>
      <w:r w:rsidRPr="00F239E0">
        <w:rPr>
          <w:szCs w:val="22"/>
        </w:rPr>
        <w:t xml:space="preserve">; </w:t>
      </w:r>
      <w:r w:rsidRPr="00F239E0">
        <w:t>8,9</w:t>
      </w:r>
      <w:r>
        <w:t>30</w:t>
      </w:r>
      <w:r w:rsidRPr="00F239E0">
        <w:t xml:space="preserve"> financial institutions and creditors that maintain covered accounts x $</w:t>
      </w:r>
      <w:r>
        <w:t>7</w:t>
      </w:r>
      <w:r w:rsidRPr="00F239E0">
        <w:t>,</w:t>
      </w:r>
      <w:r>
        <w:t>874</w:t>
      </w:r>
      <w:r w:rsidRPr="00F239E0">
        <w:t xml:space="preserve"> </w:t>
      </w:r>
      <w:r w:rsidRPr="00F239E0">
        <w:rPr>
          <w:szCs w:val="22"/>
        </w:rPr>
        <w:t>= $</w:t>
      </w:r>
      <w:r>
        <w:rPr>
          <w:szCs w:val="22"/>
        </w:rPr>
        <w:t>70</w:t>
      </w:r>
      <w:r w:rsidRPr="00F239E0">
        <w:rPr>
          <w:szCs w:val="22"/>
        </w:rPr>
        <w:t>,</w:t>
      </w:r>
      <w:r>
        <w:rPr>
          <w:szCs w:val="22"/>
        </w:rPr>
        <w:t>314</w:t>
      </w:r>
      <w:r w:rsidRPr="00F239E0">
        <w:rPr>
          <w:szCs w:val="22"/>
        </w:rPr>
        <w:t>,</w:t>
      </w:r>
      <w:r>
        <w:rPr>
          <w:szCs w:val="22"/>
        </w:rPr>
        <w:t>82</w:t>
      </w:r>
      <w:r w:rsidRPr="00F239E0">
        <w:rPr>
          <w:szCs w:val="22"/>
        </w:rPr>
        <w:t>0.</w:t>
      </w:r>
    </w:p>
  </w:footnote>
  <w:footnote w:id="13">
    <w:p w:rsidR="00282802" w:rsidRPr="006C50AA" w:rsidRDefault="00282802" w:rsidP="00282802">
      <w:pPr>
        <w:pStyle w:val="FootnoteText"/>
        <w:rPr>
          <w:szCs w:val="22"/>
        </w:rPr>
      </w:pPr>
      <w:r w:rsidRPr="006C50AA">
        <w:rPr>
          <w:rStyle w:val="FootnoteReference"/>
          <w:rFonts w:ascii="Times New Roman" w:hAnsi="Times New Roman"/>
          <w:sz w:val="22"/>
          <w:szCs w:val="22"/>
        </w:rPr>
        <w:footnoteRef/>
      </w:r>
      <w:r w:rsidRPr="006C50AA">
        <w:rPr>
          <w:szCs w:val="22"/>
        </w:rPr>
        <w:t xml:space="preserve"> </w:t>
      </w:r>
      <w:r w:rsidRPr="006C50AA">
        <w:rPr>
          <w:szCs w:val="22"/>
        </w:rPr>
        <w:tab/>
      </w:r>
      <w:r>
        <w:t xml:space="preserve">These estimates are </w:t>
      </w:r>
      <w:r w:rsidRPr="00F239E0">
        <w:t>based on the following calculations: 9,9</w:t>
      </w:r>
      <w:r>
        <w:t>22</w:t>
      </w:r>
      <w:r w:rsidRPr="00F239E0">
        <w:t xml:space="preserve"> hours + </w:t>
      </w:r>
      <w:r>
        <w:t>84</w:t>
      </w:r>
      <w:r w:rsidRPr="00F239E0">
        <w:t>,</w:t>
      </w:r>
      <w:r>
        <w:t>835</w:t>
      </w:r>
      <w:r w:rsidRPr="00F239E0">
        <w:t xml:space="preserve"> hours = </w:t>
      </w:r>
      <w:r>
        <w:t>94</w:t>
      </w:r>
      <w:r w:rsidRPr="00F239E0">
        <w:t>,</w:t>
      </w:r>
      <w:r>
        <w:t>757</w:t>
      </w:r>
      <w:r w:rsidRPr="00F239E0">
        <w:t xml:space="preserve"> hours; $</w:t>
      </w:r>
      <w:r>
        <w:t>3</w:t>
      </w:r>
      <w:r w:rsidRPr="00F239E0">
        <w:t>,</w:t>
      </w:r>
      <w:r>
        <w:t>978</w:t>
      </w:r>
      <w:r w:rsidRPr="00F239E0">
        <w:t>,</w:t>
      </w:r>
      <w:r>
        <w:t>722</w:t>
      </w:r>
      <w:r w:rsidRPr="00F239E0">
        <w:t xml:space="preserve"> + $</w:t>
      </w:r>
      <w:r>
        <w:rPr>
          <w:szCs w:val="22"/>
        </w:rPr>
        <w:t>70</w:t>
      </w:r>
      <w:r w:rsidRPr="00F239E0">
        <w:rPr>
          <w:szCs w:val="22"/>
        </w:rPr>
        <w:t>,</w:t>
      </w:r>
      <w:r>
        <w:rPr>
          <w:szCs w:val="22"/>
        </w:rPr>
        <w:t>314</w:t>
      </w:r>
      <w:r w:rsidRPr="00F239E0">
        <w:rPr>
          <w:szCs w:val="22"/>
        </w:rPr>
        <w:t>,</w:t>
      </w:r>
      <w:r>
        <w:rPr>
          <w:szCs w:val="22"/>
        </w:rPr>
        <w:t>82</w:t>
      </w:r>
      <w:r w:rsidRPr="00F239E0">
        <w:rPr>
          <w:szCs w:val="22"/>
        </w:rPr>
        <w:t>0</w:t>
      </w:r>
      <w:r>
        <w:rPr>
          <w:szCs w:val="22"/>
        </w:rPr>
        <w:t xml:space="preserve"> </w:t>
      </w:r>
      <w:r w:rsidRPr="00F239E0">
        <w:t>= $</w:t>
      </w:r>
      <w:r>
        <w:t>74</w:t>
      </w:r>
      <w:r w:rsidRPr="00F239E0">
        <w:t>,</w:t>
      </w:r>
      <w:r>
        <w:t>293</w:t>
      </w:r>
      <w:r w:rsidRPr="00F239E0">
        <w:t>,</w:t>
      </w:r>
      <w:r>
        <w:t>542</w:t>
      </w:r>
      <w:r w:rsidRPr="00F239E0">
        <w:t>.</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9AE" w:rsidRDefault="004179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179AE" w:rsidRDefault="004179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9AE" w:rsidRDefault="004179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92EA5">
      <w:rPr>
        <w:rStyle w:val="PageNumber"/>
        <w:noProof/>
      </w:rPr>
      <w:t>2</w:t>
    </w:r>
    <w:r>
      <w:rPr>
        <w:rStyle w:val="PageNumber"/>
      </w:rPr>
      <w:fldChar w:fldCharType="end"/>
    </w:r>
  </w:p>
  <w:p w:rsidR="004179AE" w:rsidRDefault="004179AE">
    <w:pPr>
      <w:pStyle w:val="Header"/>
    </w:pPr>
  </w:p>
  <w:p w:rsidR="00BB44B4" w:rsidRDefault="00BB44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15C" w:rsidRDefault="006631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049"/>
    <w:rsid w:val="00007936"/>
    <w:rsid w:val="00050CE7"/>
    <w:rsid w:val="0005212C"/>
    <w:rsid w:val="000560B4"/>
    <w:rsid w:val="00056432"/>
    <w:rsid w:val="00082908"/>
    <w:rsid w:val="0008333C"/>
    <w:rsid w:val="00083784"/>
    <w:rsid w:val="00096C91"/>
    <w:rsid w:val="000B4D3A"/>
    <w:rsid w:val="000B5C1A"/>
    <w:rsid w:val="000F33AB"/>
    <w:rsid w:val="0014740C"/>
    <w:rsid w:val="00157C27"/>
    <w:rsid w:val="00165419"/>
    <w:rsid w:val="00191065"/>
    <w:rsid w:val="001A2A68"/>
    <w:rsid w:val="001A5BCA"/>
    <w:rsid w:val="001B1344"/>
    <w:rsid w:val="001D419F"/>
    <w:rsid w:val="002044CA"/>
    <w:rsid w:val="002059DC"/>
    <w:rsid w:val="00217349"/>
    <w:rsid w:val="00232304"/>
    <w:rsid w:val="00282802"/>
    <w:rsid w:val="00290878"/>
    <w:rsid w:val="00296BFD"/>
    <w:rsid w:val="002A3498"/>
    <w:rsid w:val="002C406B"/>
    <w:rsid w:val="002D14A8"/>
    <w:rsid w:val="002D289A"/>
    <w:rsid w:val="002F6746"/>
    <w:rsid w:val="00316FFC"/>
    <w:rsid w:val="00320F92"/>
    <w:rsid w:val="00386F3B"/>
    <w:rsid w:val="003932EC"/>
    <w:rsid w:val="0039548F"/>
    <w:rsid w:val="003A55CC"/>
    <w:rsid w:val="003B74BC"/>
    <w:rsid w:val="003E62C4"/>
    <w:rsid w:val="003E7B47"/>
    <w:rsid w:val="004179AE"/>
    <w:rsid w:val="00425D6F"/>
    <w:rsid w:val="00431773"/>
    <w:rsid w:val="004317D7"/>
    <w:rsid w:val="00442A12"/>
    <w:rsid w:val="00456DCC"/>
    <w:rsid w:val="00477DB5"/>
    <w:rsid w:val="00482C68"/>
    <w:rsid w:val="00482EB0"/>
    <w:rsid w:val="004A2876"/>
    <w:rsid w:val="004A3C8E"/>
    <w:rsid w:val="004C52BF"/>
    <w:rsid w:val="004E6327"/>
    <w:rsid w:val="004F3568"/>
    <w:rsid w:val="00504242"/>
    <w:rsid w:val="00525EE0"/>
    <w:rsid w:val="00541A70"/>
    <w:rsid w:val="00551232"/>
    <w:rsid w:val="00562B8E"/>
    <w:rsid w:val="0057015A"/>
    <w:rsid w:val="005B54FC"/>
    <w:rsid w:val="005C2B3C"/>
    <w:rsid w:val="005C7A57"/>
    <w:rsid w:val="005D7BDD"/>
    <w:rsid w:val="005E4890"/>
    <w:rsid w:val="005F09AC"/>
    <w:rsid w:val="005F2B67"/>
    <w:rsid w:val="00641DF7"/>
    <w:rsid w:val="0066315C"/>
    <w:rsid w:val="0067082D"/>
    <w:rsid w:val="006A2DB3"/>
    <w:rsid w:val="006E2049"/>
    <w:rsid w:val="00703059"/>
    <w:rsid w:val="0074782F"/>
    <w:rsid w:val="00774B34"/>
    <w:rsid w:val="007F053B"/>
    <w:rsid w:val="00801987"/>
    <w:rsid w:val="00816AE2"/>
    <w:rsid w:val="00817441"/>
    <w:rsid w:val="008340A5"/>
    <w:rsid w:val="008A4B50"/>
    <w:rsid w:val="008D4175"/>
    <w:rsid w:val="008D6BC7"/>
    <w:rsid w:val="00912511"/>
    <w:rsid w:val="00926337"/>
    <w:rsid w:val="00954DBB"/>
    <w:rsid w:val="0097429C"/>
    <w:rsid w:val="00977A59"/>
    <w:rsid w:val="00996F6D"/>
    <w:rsid w:val="009B345A"/>
    <w:rsid w:val="009B42A3"/>
    <w:rsid w:val="009D10DE"/>
    <w:rsid w:val="009E0F76"/>
    <w:rsid w:val="009F3D43"/>
    <w:rsid w:val="00A05090"/>
    <w:rsid w:val="00A42973"/>
    <w:rsid w:val="00A5078D"/>
    <w:rsid w:val="00A663FC"/>
    <w:rsid w:val="00A71897"/>
    <w:rsid w:val="00A92EA5"/>
    <w:rsid w:val="00AA65D0"/>
    <w:rsid w:val="00AC1EB2"/>
    <w:rsid w:val="00AE52E0"/>
    <w:rsid w:val="00AE6DBB"/>
    <w:rsid w:val="00B129D8"/>
    <w:rsid w:val="00B12AA7"/>
    <w:rsid w:val="00B23748"/>
    <w:rsid w:val="00B90DEC"/>
    <w:rsid w:val="00BB44B4"/>
    <w:rsid w:val="00C0460B"/>
    <w:rsid w:val="00C16009"/>
    <w:rsid w:val="00C26518"/>
    <w:rsid w:val="00C32E87"/>
    <w:rsid w:val="00C77DFC"/>
    <w:rsid w:val="00C969AA"/>
    <w:rsid w:val="00CD192C"/>
    <w:rsid w:val="00CF6527"/>
    <w:rsid w:val="00D0516E"/>
    <w:rsid w:val="00D45224"/>
    <w:rsid w:val="00D55EF7"/>
    <w:rsid w:val="00D5667E"/>
    <w:rsid w:val="00DD0DDA"/>
    <w:rsid w:val="00E00E3B"/>
    <w:rsid w:val="00E76959"/>
    <w:rsid w:val="00E9604E"/>
    <w:rsid w:val="00EC3DA8"/>
    <w:rsid w:val="00ED3CB0"/>
    <w:rsid w:val="00F37365"/>
    <w:rsid w:val="00F51900"/>
    <w:rsid w:val="00F71772"/>
    <w:rsid w:val="00F916EF"/>
    <w:rsid w:val="00FD1B6E"/>
    <w:rsid w:val="00FD330D"/>
    <w:rsid w:val="00FD7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G Times" w:hAnsi="CG Times"/>
      <w:sz w:val="24"/>
      <w:szCs w:val="24"/>
    </w:rPr>
  </w:style>
  <w:style w:type="paragraph" w:styleId="Heading1">
    <w:name w:val="heading 1"/>
    <w:basedOn w:val="Normal"/>
    <w:next w:val="Normal"/>
    <w:link w:val="Heading1Char"/>
    <w:qFormat/>
    <w:rsid w:val="00482EB0"/>
    <w:pPr>
      <w:keepNext/>
      <w:widowControl/>
      <w:autoSpaceDE/>
      <w:autoSpaceDN/>
      <w:adjustRightInd/>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character" w:styleId="EndnoteReference">
    <w:name w:val="endnote reference"/>
    <w:semiHidden/>
    <w:rPr>
      <w:rFonts w:ascii="CG Times" w:hAnsi="CG Times"/>
      <w:sz w:val="24"/>
      <w:szCs w:val="24"/>
      <w:vertAlign w:val="superscript"/>
      <w:lang w:val="en-US"/>
    </w:rPr>
  </w:style>
  <w:style w:type="paragraph" w:styleId="FootnoteText">
    <w:name w:val="footnote text"/>
    <w:aliases w:val="fn,ft,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qFormat/>
    <w:pPr>
      <w:tabs>
        <w:tab w:val="left" w:pos="-720"/>
      </w:tabs>
      <w:suppressAutoHyphens/>
      <w:spacing w:line="240" w:lineRule="atLeast"/>
    </w:pPr>
    <w:rPr>
      <w:rFonts w:ascii="Times New Roman" w:hAnsi="Times New Roman"/>
      <w:sz w:val="20"/>
      <w:szCs w:val="20"/>
    </w:rPr>
  </w:style>
  <w:style w:type="character" w:styleId="FootnoteReference">
    <w:name w:val="footnote reference"/>
    <w:aliases w:val="fr,Style 19,Style 16"/>
    <w:rPr>
      <w:rFonts w:ascii="CG Times" w:hAnsi="CG Times"/>
      <w:sz w:val="24"/>
      <w:szCs w:val="24"/>
      <w:vertAlign w:val="superscript"/>
      <w:lang w:val="en-US"/>
    </w:rPr>
  </w:style>
  <w:style w:type="character" w:customStyle="1" w:styleId="Heading">
    <w:name w:val="Heading"/>
    <w:basedOn w:val="DefaultParagraphFont"/>
  </w:style>
  <w:style w:type="character" w:customStyle="1" w:styleId="RightPar">
    <w:name w:val="Right Par"/>
    <w:basedOn w:val="DefaultParagraphFont"/>
  </w:style>
  <w:style w:type="character" w:customStyle="1" w:styleId="Bibliogrphy">
    <w:name w:val="Bibliogrphy"/>
    <w:basedOn w:val="DefaultParagraphFont"/>
  </w:style>
  <w:style w:type="character" w:customStyle="1" w:styleId="Subheading">
    <w:name w:val="Subheading"/>
    <w:basedOn w:val="DefaultParagraphFont"/>
  </w:style>
  <w:style w:type="character" w:customStyle="1" w:styleId="1">
    <w:name w:val="1"/>
    <w:rPr>
      <w:rFonts w:ascii="CG Times" w:hAnsi="CG Times"/>
      <w:sz w:val="24"/>
      <w:szCs w:val="24"/>
      <w:lang w:val="en-US"/>
    </w:rPr>
  </w:style>
  <w:style w:type="character" w:customStyle="1" w:styleId="Document8">
    <w:name w:val="Document 8"/>
    <w:basedOn w:val="DefaultParagraphFont"/>
  </w:style>
  <w:style w:type="character" w:customStyle="1" w:styleId="Document4">
    <w:name w:val="Document 4"/>
    <w:rPr>
      <w:b/>
      <w:bCs/>
      <w:i/>
      <w:iCs/>
      <w:sz w:val="24"/>
      <w:szCs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G Times" w:hAnsi="CG Times"/>
      <w:sz w:val="24"/>
      <w:szCs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G Times" w:hAnsi="CG Times"/>
      <w:sz w:val="24"/>
      <w:szCs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autoSpaceDE w:val="0"/>
      <w:autoSpaceDN w:val="0"/>
      <w:adjustRightInd w:val="0"/>
      <w:spacing w:line="240" w:lineRule="atLeast"/>
    </w:pPr>
    <w:rPr>
      <w:rFonts w:ascii="CG Times" w:hAnsi="CG Times"/>
      <w:sz w:val="24"/>
      <w:szCs w:val="24"/>
    </w:rPr>
  </w:style>
  <w:style w:type="character" w:customStyle="1" w:styleId="DocInit">
    <w:name w:val="Doc Init"/>
    <w:basedOn w:val="DefaultParagraphFont"/>
  </w:style>
  <w:style w:type="character" w:customStyle="1" w:styleId="TechInit">
    <w:name w:val="Tech Init"/>
    <w:rPr>
      <w:rFonts w:ascii="CG Times" w:hAnsi="CG Times"/>
      <w:sz w:val="24"/>
      <w:szCs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G Times" w:hAnsi="CG Times"/>
      <w:sz w:val="24"/>
      <w:szCs w:val="24"/>
      <w:lang w:val="en-US"/>
    </w:rPr>
  </w:style>
  <w:style w:type="character" w:customStyle="1" w:styleId="Technical3">
    <w:name w:val="Technical 3"/>
    <w:rPr>
      <w:rFonts w:ascii="CG Times" w:hAnsi="CG Times"/>
      <w:sz w:val="24"/>
      <w:szCs w:val="24"/>
      <w:lang w:val="en-US"/>
    </w:rPr>
  </w:style>
  <w:style w:type="character" w:customStyle="1" w:styleId="Technical4">
    <w:name w:val="Technical 4"/>
    <w:basedOn w:val="DefaultParagraphFont"/>
  </w:style>
  <w:style w:type="character" w:customStyle="1" w:styleId="Technical1">
    <w:name w:val="Technical 1"/>
    <w:rPr>
      <w:rFonts w:ascii="CG Times" w:hAnsi="CG Times"/>
      <w:sz w:val="24"/>
      <w:szCs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paragraph" w:customStyle="1" w:styleId="text">
    <w:name w:val="text"/>
    <w:pPr>
      <w:widowControl w:val="0"/>
      <w:tabs>
        <w:tab w:val="left" w:pos="-720"/>
      </w:tabs>
      <w:suppressAutoHyphens/>
      <w:autoSpaceDE w:val="0"/>
      <w:autoSpaceDN w:val="0"/>
      <w:adjustRightInd w:val="0"/>
      <w:spacing w:line="240" w:lineRule="atLeast"/>
      <w:jc w:val="both"/>
    </w:pPr>
    <w:rPr>
      <w:rFonts w:ascii="Bauhaus 93" w:hAnsi="Bauhaus 93"/>
      <w:spacing w:val="-3"/>
      <w:sz w:val="24"/>
      <w:szCs w:val="24"/>
    </w:rPr>
  </w:style>
  <w:style w:type="paragraph" w:customStyle="1" w:styleId="footnotes">
    <w:name w:val="footnotes"/>
    <w:pPr>
      <w:widowControl w:val="0"/>
      <w:tabs>
        <w:tab w:val="left" w:pos="-720"/>
      </w:tabs>
      <w:suppressAutoHyphens/>
      <w:autoSpaceDE w:val="0"/>
      <w:autoSpaceDN w:val="0"/>
      <w:adjustRightInd w:val="0"/>
      <w:spacing w:line="240" w:lineRule="atLeast"/>
      <w:jc w:val="both"/>
    </w:pPr>
    <w:rPr>
      <w:rFonts w:ascii="Arial" w:hAnsi="Arial" w:cs="Arial"/>
      <w:spacing w:val="-2"/>
      <w:sz w:val="16"/>
      <w:szCs w:val="16"/>
    </w:rPr>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paragraph" w:styleId="Header">
    <w:name w:val="header"/>
    <w:basedOn w:val="Normal"/>
    <w:pPr>
      <w:tabs>
        <w:tab w:val="left" w:pos="0"/>
        <w:tab w:val="center" w:pos="4320"/>
        <w:tab w:val="right" w:pos="8640"/>
        <w:tab w:val="left" w:pos="9360"/>
      </w:tabs>
      <w:suppressAutoHyphens/>
      <w:spacing w:line="240" w:lineRule="atLeast"/>
    </w:pPr>
  </w:style>
  <w:style w:type="paragraph" w:styleId="Footer">
    <w:name w:val="footer"/>
    <w:basedOn w:val="Normal"/>
    <w:pPr>
      <w:tabs>
        <w:tab w:val="left" w:pos="0"/>
        <w:tab w:val="center" w:pos="4320"/>
        <w:tab w:val="right" w:pos="8640"/>
        <w:tab w:val="left" w:pos="9360"/>
      </w:tabs>
      <w:suppressAutoHyphens/>
      <w:spacing w:line="240" w:lineRule="atLeast"/>
    </w:pPr>
  </w:style>
  <w:style w:type="character" w:styleId="PageNumber">
    <w:name w:val="page number"/>
    <w:basedOn w:val="DefaultParagraphFont"/>
  </w:style>
  <w:style w:type="paragraph" w:customStyle="1" w:styleId="item">
    <w:name w:val="item"/>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G Times" w:hAnsi="CG Times"/>
      <w:spacing w:val="-3"/>
      <w:sz w:val="24"/>
      <w:szCs w:val="24"/>
    </w:rPr>
  </w:style>
  <w:style w:type="character" w:customStyle="1" w:styleId="Unnamed1">
    <w:name w:val="Unnamed 1"/>
    <w:rPr>
      <w:rFonts w:ascii="CG Times" w:hAnsi="CG Times"/>
      <w:sz w:val="24"/>
      <w:szCs w:val="24"/>
      <w:lang w:val="en-US"/>
    </w:rPr>
  </w:style>
  <w:style w:type="character" w:customStyle="1" w:styleId="14B">
    <w:name w:val="14B"/>
    <w:rPr>
      <w:rFonts w:ascii="Footlight MT Light" w:hAnsi="Footlight MT Light"/>
      <w:b/>
      <w:bCs/>
      <w:sz w:val="28"/>
      <w:szCs w:val="28"/>
      <w:lang w:val="en-US"/>
    </w:rPr>
  </w:style>
  <w:style w:type="character" w:customStyle="1" w:styleId="12B">
    <w:name w:val="12B"/>
    <w:rPr>
      <w:rFonts w:ascii="Footlight MT Light" w:hAnsi="Footlight MT Light"/>
      <w:b/>
      <w:bCs/>
      <w:sz w:val="24"/>
      <w:szCs w:val="24"/>
      <w:lang w:val="en-US"/>
    </w:rPr>
  </w:style>
  <w:style w:type="character" w:customStyle="1" w:styleId="18b">
    <w:name w:val="18b"/>
    <w:rPr>
      <w:rFonts w:ascii="Footlight MT Light" w:hAnsi="Footlight MT Light"/>
      <w:b/>
      <w:bCs/>
      <w:sz w:val="36"/>
      <w:szCs w:val="36"/>
      <w:lang w:val="en-US"/>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sz w:val="20"/>
    </w:rPr>
  </w:style>
  <w:style w:type="character" w:customStyle="1" w:styleId="EquationCaption1">
    <w:name w:val="_Equation Caption1"/>
  </w:style>
  <w:style w:type="character" w:styleId="Hyperlink">
    <w:name w:val="Hyperlink"/>
    <w:rsid w:val="006E2049"/>
    <w:rPr>
      <w:color w:val="0000FF"/>
      <w:u w:val="single"/>
    </w:rPr>
  </w:style>
  <w:style w:type="paragraph" w:styleId="BalloonText">
    <w:name w:val="Balloon Text"/>
    <w:basedOn w:val="Normal"/>
    <w:semiHidden/>
    <w:rsid w:val="0067082D"/>
    <w:rPr>
      <w:rFonts w:ascii="Tahoma" w:hAnsi="Tahoma" w:cs="Tahoma"/>
      <w:sz w:val="16"/>
      <w:szCs w:val="16"/>
    </w:rPr>
  </w:style>
  <w:style w:type="character" w:customStyle="1" w:styleId="Heading1Char">
    <w:name w:val="Heading 1 Char"/>
    <w:basedOn w:val="DefaultParagraphFont"/>
    <w:link w:val="Heading1"/>
    <w:rsid w:val="00482EB0"/>
    <w:rPr>
      <w:b/>
      <w:bCs/>
      <w:sz w:val="24"/>
      <w:szCs w:val="24"/>
    </w:rPr>
  </w:style>
  <w:style w:type="character" w:customStyle="1" w:styleId="FootnoteTextChar">
    <w:name w:val="Footnote Text Char"/>
    <w:aliases w:val="fn Char,ft Char,Footnote Text Char Char Char Char Char Char Char Char Char Char Char Char Char Char Char Char Char Char,Footnote Text Char1 Char"/>
    <w:basedOn w:val="DefaultParagraphFont"/>
    <w:link w:val="FootnoteText"/>
    <w:uiPriority w:val="99"/>
    <w:rsid w:val="00F717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G Times" w:hAnsi="CG Times"/>
      <w:sz w:val="24"/>
      <w:szCs w:val="24"/>
    </w:rPr>
  </w:style>
  <w:style w:type="paragraph" w:styleId="Heading1">
    <w:name w:val="heading 1"/>
    <w:basedOn w:val="Normal"/>
    <w:next w:val="Normal"/>
    <w:link w:val="Heading1Char"/>
    <w:qFormat/>
    <w:rsid w:val="00482EB0"/>
    <w:pPr>
      <w:keepNext/>
      <w:widowControl/>
      <w:autoSpaceDE/>
      <w:autoSpaceDN/>
      <w:adjustRightInd/>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character" w:styleId="EndnoteReference">
    <w:name w:val="endnote reference"/>
    <w:semiHidden/>
    <w:rPr>
      <w:rFonts w:ascii="CG Times" w:hAnsi="CG Times"/>
      <w:sz w:val="24"/>
      <w:szCs w:val="24"/>
      <w:vertAlign w:val="superscript"/>
      <w:lang w:val="en-US"/>
    </w:rPr>
  </w:style>
  <w:style w:type="paragraph" w:styleId="FootnoteText">
    <w:name w:val="footnote text"/>
    <w:aliases w:val="fn,ft,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qFormat/>
    <w:pPr>
      <w:tabs>
        <w:tab w:val="left" w:pos="-720"/>
      </w:tabs>
      <w:suppressAutoHyphens/>
      <w:spacing w:line="240" w:lineRule="atLeast"/>
    </w:pPr>
    <w:rPr>
      <w:rFonts w:ascii="Times New Roman" w:hAnsi="Times New Roman"/>
      <w:sz w:val="20"/>
      <w:szCs w:val="20"/>
    </w:rPr>
  </w:style>
  <w:style w:type="character" w:styleId="FootnoteReference">
    <w:name w:val="footnote reference"/>
    <w:aliases w:val="fr,Style 19,Style 16"/>
    <w:rPr>
      <w:rFonts w:ascii="CG Times" w:hAnsi="CG Times"/>
      <w:sz w:val="24"/>
      <w:szCs w:val="24"/>
      <w:vertAlign w:val="superscript"/>
      <w:lang w:val="en-US"/>
    </w:rPr>
  </w:style>
  <w:style w:type="character" w:customStyle="1" w:styleId="Heading">
    <w:name w:val="Heading"/>
    <w:basedOn w:val="DefaultParagraphFont"/>
  </w:style>
  <w:style w:type="character" w:customStyle="1" w:styleId="RightPar">
    <w:name w:val="Right Par"/>
    <w:basedOn w:val="DefaultParagraphFont"/>
  </w:style>
  <w:style w:type="character" w:customStyle="1" w:styleId="Bibliogrphy">
    <w:name w:val="Bibliogrphy"/>
    <w:basedOn w:val="DefaultParagraphFont"/>
  </w:style>
  <w:style w:type="character" w:customStyle="1" w:styleId="Subheading">
    <w:name w:val="Subheading"/>
    <w:basedOn w:val="DefaultParagraphFont"/>
  </w:style>
  <w:style w:type="character" w:customStyle="1" w:styleId="1">
    <w:name w:val="1"/>
    <w:rPr>
      <w:rFonts w:ascii="CG Times" w:hAnsi="CG Times"/>
      <w:sz w:val="24"/>
      <w:szCs w:val="24"/>
      <w:lang w:val="en-US"/>
    </w:rPr>
  </w:style>
  <w:style w:type="character" w:customStyle="1" w:styleId="Document8">
    <w:name w:val="Document 8"/>
    <w:basedOn w:val="DefaultParagraphFont"/>
  </w:style>
  <w:style w:type="character" w:customStyle="1" w:styleId="Document4">
    <w:name w:val="Document 4"/>
    <w:rPr>
      <w:b/>
      <w:bCs/>
      <w:i/>
      <w:iCs/>
      <w:sz w:val="24"/>
      <w:szCs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G Times" w:hAnsi="CG Times"/>
      <w:sz w:val="24"/>
      <w:szCs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G Times" w:hAnsi="CG Times"/>
      <w:sz w:val="24"/>
      <w:szCs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autoSpaceDE w:val="0"/>
      <w:autoSpaceDN w:val="0"/>
      <w:adjustRightInd w:val="0"/>
      <w:spacing w:line="240" w:lineRule="atLeast"/>
    </w:pPr>
    <w:rPr>
      <w:rFonts w:ascii="CG Times" w:hAnsi="CG Times"/>
      <w:sz w:val="24"/>
      <w:szCs w:val="24"/>
    </w:rPr>
  </w:style>
  <w:style w:type="character" w:customStyle="1" w:styleId="DocInit">
    <w:name w:val="Doc Init"/>
    <w:basedOn w:val="DefaultParagraphFont"/>
  </w:style>
  <w:style w:type="character" w:customStyle="1" w:styleId="TechInit">
    <w:name w:val="Tech Init"/>
    <w:rPr>
      <w:rFonts w:ascii="CG Times" w:hAnsi="CG Times"/>
      <w:sz w:val="24"/>
      <w:szCs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G Times" w:hAnsi="CG Times"/>
      <w:sz w:val="24"/>
      <w:szCs w:val="24"/>
      <w:lang w:val="en-US"/>
    </w:rPr>
  </w:style>
  <w:style w:type="character" w:customStyle="1" w:styleId="Technical3">
    <w:name w:val="Technical 3"/>
    <w:rPr>
      <w:rFonts w:ascii="CG Times" w:hAnsi="CG Times"/>
      <w:sz w:val="24"/>
      <w:szCs w:val="24"/>
      <w:lang w:val="en-US"/>
    </w:rPr>
  </w:style>
  <w:style w:type="character" w:customStyle="1" w:styleId="Technical4">
    <w:name w:val="Technical 4"/>
    <w:basedOn w:val="DefaultParagraphFont"/>
  </w:style>
  <w:style w:type="character" w:customStyle="1" w:styleId="Technical1">
    <w:name w:val="Technical 1"/>
    <w:rPr>
      <w:rFonts w:ascii="CG Times" w:hAnsi="CG Times"/>
      <w:sz w:val="24"/>
      <w:szCs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paragraph" w:customStyle="1" w:styleId="text">
    <w:name w:val="text"/>
    <w:pPr>
      <w:widowControl w:val="0"/>
      <w:tabs>
        <w:tab w:val="left" w:pos="-720"/>
      </w:tabs>
      <w:suppressAutoHyphens/>
      <w:autoSpaceDE w:val="0"/>
      <w:autoSpaceDN w:val="0"/>
      <w:adjustRightInd w:val="0"/>
      <w:spacing w:line="240" w:lineRule="atLeast"/>
      <w:jc w:val="both"/>
    </w:pPr>
    <w:rPr>
      <w:rFonts w:ascii="Bauhaus 93" w:hAnsi="Bauhaus 93"/>
      <w:spacing w:val="-3"/>
      <w:sz w:val="24"/>
      <w:szCs w:val="24"/>
    </w:rPr>
  </w:style>
  <w:style w:type="paragraph" w:customStyle="1" w:styleId="footnotes">
    <w:name w:val="footnotes"/>
    <w:pPr>
      <w:widowControl w:val="0"/>
      <w:tabs>
        <w:tab w:val="left" w:pos="-720"/>
      </w:tabs>
      <w:suppressAutoHyphens/>
      <w:autoSpaceDE w:val="0"/>
      <w:autoSpaceDN w:val="0"/>
      <w:adjustRightInd w:val="0"/>
      <w:spacing w:line="240" w:lineRule="atLeast"/>
      <w:jc w:val="both"/>
    </w:pPr>
    <w:rPr>
      <w:rFonts w:ascii="Arial" w:hAnsi="Arial" w:cs="Arial"/>
      <w:spacing w:val="-2"/>
      <w:sz w:val="16"/>
      <w:szCs w:val="16"/>
    </w:rPr>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paragraph" w:styleId="Header">
    <w:name w:val="header"/>
    <w:basedOn w:val="Normal"/>
    <w:pPr>
      <w:tabs>
        <w:tab w:val="left" w:pos="0"/>
        <w:tab w:val="center" w:pos="4320"/>
        <w:tab w:val="right" w:pos="8640"/>
        <w:tab w:val="left" w:pos="9360"/>
      </w:tabs>
      <w:suppressAutoHyphens/>
      <w:spacing w:line="240" w:lineRule="atLeast"/>
    </w:pPr>
  </w:style>
  <w:style w:type="paragraph" w:styleId="Footer">
    <w:name w:val="footer"/>
    <w:basedOn w:val="Normal"/>
    <w:pPr>
      <w:tabs>
        <w:tab w:val="left" w:pos="0"/>
        <w:tab w:val="center" w:pos="4320"/>
        <w:tab w:val="right" w:pos="8640"/>
        <w:tab w:val="left" w:pos="9360"/>
      </w:tabs>
      <w:suppressAutoHyphens/>
      <w:spacing w:line="240" w:lineRule="atLeast"/>
    </w:pPr>
  </w:style>
  <w:style w:type="character" w:styleId="PageNumber">
    <w:name w:val="page number"/>
    <w:basedOn w:val="DefaultParagraphFont"/>
  </w:style>
  <w:style w:type="paragraph" w:customStyle="1" w:styleId="item">
    <w:name w:val="item"/>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G Times" w:hAnsi="CG Times"/>
      <w:spacing w:val="-3"/>
      <w:sz w:val="24"/>
      <w:szCs w:val="24"/>
    </w:rPr>
  </w:style>
  <w:style w:type="character" w:customStyle="1" w:styleId="Unnamed1">
    <w:name w:val="Unnamed 1"/>
    <w:rPr>
      <w:rFonts w:ascii="CG Times" w:hAnsi="CG Times"/>
      <w:sz w:val="24"/>
      <w:szCs w:val="24"/>
      <w:lang w:val="en-US"/>
    </w:rPr>
  </w:style>
  <w:style w:type="character" w:customStyle="1" w:styleId="14B">
    <w:name w:val="14B"/>
    <w:rPr>
      <w:rFonts w:ascii="Footlight MT Light" w:hAnsi="Footlight MT Light"/>
      <w:b/>
      <w:bCs/>
      <w:sz w:val="28"/>
      <w:szCs w:val="28"/>
      <w:lang w:val="en-US"/>
    </w:rPr>
  </w:style>
  <w:style w:type="character" w:customStyle="1" w:styleId="12B">
    <w:name w:val="12B"/>
    <w:rPr>
      <w:rFonts w:ascii="Footlight MT Light" w:hAnsi="Footlight MT Light"/>
      <w:b/>
      <w:bCs/>
      <w:sz w:val="24"/>
      <w:szCs w:val="24"/>
      <w:lang w:val="en-US"/>
    </w:rPr>
  </w:style>
  <w:style w:type="character" w:customStyle="1" w:styleId="18b">
    <w:name w:val="18b"/>
    <w:rPr>
      <w:rFonts w:ascii="Footlight MT Light" w:hAnsi="Footlight MT Light"/>
      <w:b/>
      <w:bCs/>
      <w:sz w:val="36"/>
      <w:szCs w:val="36"/>
      <w:lang w:val="en-US"/>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sz w:val="20"/>
    </w:rPr>
  </w:style>
  <w:style w:type="character" w:customStyle="1" w:styleId="EquationCaption1">
    <w:name w:val="_Equation Caption1"/>
  </w:style>
  <w:style w:type="character" w:styleId="Hyperlink">
    <w:name w:val="Hyperlink"/>
    <w:rsid w:val="006E2049"/>
    <w:rPr>
      <w:color w:val="0000FF"/>
      <w:u w:val="single"/>
    </w:rPr>
  </w:style>
  <w:style w:type="paragraph" w:styleId="BalloonText">
    <w:name w:val="Balloon Text"/>
    <w:basedOn w:val="Normal"/>
    <w:semiHidden/>
    <w:rsid w:val="0067082D"/>
    <w:rPr>
      <w:rFonts w:ascii="Tahoma" w:hAnsi="Tahoma" w:cs="Tahoma"/>
      <w:sz w:val="16"/>
      <w:szCs w:val="16"/>
    </w:rPr>
  </w:style>
  <w:style w:type="character" w:customStyle="1" w:styleId="Heading1Char">
    <w:name w:val="Heading 1 Char"/>
    <w:basedOn w:val="DefaultParagraphFont"/>
    <w:link w:val="Heading1"/>
    <w:rsid w:val="00482EB0"/>
    <w:rPr>
      <w:b/>
      <w:bCs/>
      <w:sz w:val="24"/>
      <w:szCs w:val="24"/>
    </w:rPr>
  </w:style>
  <w:style w:type="character" w:customStyle="1" w:styleId="FootnoteTextChar">
    <w:name w:val="Footnote Text Char"/>
    <w:aliases w:val="fn Char,ft Char,Footnote Text Char Char Char Char Char Char Char Char Char Char Char Char Char Char Char Char Char Char,Footnote Text Char1 Char"/>
    <w:basedOn w:val="DefaultParagraphFont"/>
    <w:link w:val="FootnoteText"/>
    <w:uiPriority w:val="99"/>
    <w:rsid w:val="00F71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65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agufta_Ahmed@omb.eop.go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reginfo.gov" TargetMode="External"/><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A_Mailbox@sec.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1356</Words>
  <Characters>7731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SECURITIES AND EXCHANGE COMMISSION</vt:lpstr>
    </vt:vector>
  </TitlesOfParts>
  <Company>Securities and Exhange Commission</Company>
  <LinksUpToDate>false</LinksUpToDate>
  <CharactersWithSpaces>9069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SECURITIES AND EXCHANGE COMMISSION</dc:title>
  <dc:creator>us</dc:creator>
  <cp:lastModifiedBy>SYSTEM</cp:lastModifiedBy>
  <cp:revision>2</cp:revision>
  <cp:lastPrinted>2015-11-24T15:26:00Z</cp:lastPrinted>
  <dcterms:created xsi:type="dcterms:W3CDTF">2019-01-31T16:57:00Z</dcterms:created>
  <dcterms:modified xsi:type="dcterms:W3CDTF">2019-01-31T16:57:00Z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gFAAXJDLFUo5N7u6+HKSd+NDwu3MQuIkRFRAO8sne7x7/N5oUpEJ3JoooqCBVp7FHI0aH37gLP5Vdgf7_x000d_
1ICPzP3AHrutdp6dOX3Nw2oRSxzkU87KgAtQqfqzc8oRcjcHZdKaQIipqsgrBBGEYZQDC5miXbI6_x000d_
B3LphHjA+XmD/pFiiVzDonzO2uFGEyGHB6ze87j25WnXJ3uHLPMLEsxDkvL2Figa6IiM/U6oKI+n_x000d_
lzF5NsX7xnQJi9d2B</vt:lpwstr>
  </property>
  <property fmtid="{D5CDD505-2E9C-101B-9397-08002B2CF9AE}" pid="3" name="MAIL_MSG_ID2">
    <vt:lpwstr>Bkmri5wNWoLEe4XGauBLmO6v/XgQ+Kjh5jQsXk8qC9pNw7Sc5uTo2ZnbKDy_x000d_
yoVTRxuCVu1BrnhlMynIzCe8jP/9CNeR5aihEQ==</vt:lpwstr>
  </property>
  <property fmtid="{D5CDD505-2E9C-101B-9397-08002B2CF9AE}" pid="4" name="RESPONSE_SENDER_NAME">
    <vt:lpwstr>sAAAE9kkUq3pEoIy++oh6mLTSlCjliPe41DscdOwZyPrWUE=</vt:lpwstr>
  </property>
  <property fmtid="{D5CDD505-2E9C-101B-9397-08002B2CF9AE}" pid="5" name="EMAIL_OWNER_ADDRESS">
    <vt:lpwstr>sAAA2RgG6J6jCJ0XK72KbWuODL2C2y13Li8EEPY2hVZkUIM=</vt:lpwstr>
  </property>
</Properties>
</file>