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Pr="00C61093" w:rsidR="008C26B3" w:rsidRDefault="000D2326" w14:paraId="50138847" w14:textId="77777777">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r w:rsidRPr="00C61093" w:rsidR="008C26B3">
        <w:rPr>
          <w:rFonts w:ascii="Arial" w:hAnsi="Arial" w:cs="Arial"/>
          <w:szCs w:val="24"/>
        </w:rPr>
        <w:t>Supporting Statement - Part B</w:t>
      </w:r>
    </w:p>
    <w:p w:rsidRPr="00C61093" w:rsidR="008C26B3" w:rsidRDefault="008C26B3" w14:paraId="185FF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Pr="00C61093" w:rsidR="008C26B3" w:rsidRDefault="008C26B3" w14:paraId="33BF7517" w14:textId="11C94464">
      <w:pPr>
        <w:tabs>
          <w:tab w:val="center" w:pos="4680"/>
        </w:tabs>
        <w:rPr>
          <w:rFonts w:ascii="Arial" w:hAnsi="Arial" w:cs="Arial"/>
          <w:szCs w:val="24"/>
        </w:rPr>
      </w:pPr>
      <w:r w:rsidRPr="00C61093">
        <w:rPr>
          <w:rFonts w:ascii="Arial" w:hAnsi="Arial" w:cs="Arial"/>
          <w:szCs w:val="24"/>
        </w:rPr>
        <w:tab/>
      </w:r>
      <w:r w:rsidR="006938C2">
        <w:rPr>
          <w:rFonts w:ascii="Arial" w:hAnsi="Arial" w:cs="Arial"/>
          <w:b/>
          <w:bCs/>
          <w:szCs w:val="24"/>
        </w:rPr>
        <w:t>SOIL HEALTH IN TEXAS</w:t>
      </w:r>
    </w:p>
    <w:p w:rsidRPr="00C61093" w:rsidR="008C26B3" w:rsidRDefault="008C26B3" w14:paraId="52FBCD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2112C7CE" w14:textId="77777777">
      <w:pPr>
        <w:tabs>
          <w:tab w:val="center" w:pos="4680"/>
        </w:tabs>
        <w:rPr>
          <w:rFonts w:ascii="Arial" w:hAnsi="Arial" w:cs="Arial"/>
          <w:szCs w:val="24"/>
        </w:rPr>
      </w:pPr>
      <w:r w:rsidRPr="00C61093">
        <w:rPr>
          <w:rFonts w:ascii="Arial" w:hAnsi="Arial" w:cs="Arial"/>
          <w:szCs w:val="24"/>
        </w:rPr>
        <w:tab/>
      </w:r>
      <w:r w:rsidRPr="006845D8" w:rsidR="00BC17DD">
        <w:rPr>
          <w:rFonts w:ascii="Arial" w:hAnsi="Arial" w:cs="Arial"/>
          <w:szCs w:val="24"/>
        </w:rPr>
        <w:t xml:space="preserve">OMB No. </w:t>
      </w:r>
      <w:r w:rsidRPr="006E77D2" w:rsidR="006E77D2">
        <w:rPr>
          <w:rFonts w:ascii="Arial" w:hAnsi="Arial" w:cs="Arial"/>
          <w:color w:val="000000" w:themeColor="text1"/>
          <w:szCs w:val="24"/>
        </w:rPr>
        <w:t>0535</w:t>
      </w:r>
      <w:r w:rsidRPr="006E77D2" w:rsidR="00BC17DD">
        <w:rPr>
          <w:rFonts w:ascii="Arial" w:hAnsi="Arial" w:cs="Arial"/>
          <w:color w:val="000000" w:themeColor="text1"/>
          <w:szCs w:val="24"/>
        </w:rPr>
        <w:t>-</w:t>
      </w:r>
      <w:r w:rsidRPr="006E77D2" w:rsidR="006E77D2">
        <w:rPr>
          <w:rFonts w:ascii="Arial" w:hAnsi="Arial" w:cs="Arial"/>
          <w:color w:val="000000" w:themeColor="text1"/>
          <w:szCs w:val="24"/>
        </w:rPr>
        <w:t>0264</w:t>
      </w:r>
    </w:p>
    <w:p w:rsidRPr="00C61093" w:rsidR="008C26B3" w:rsidRDefault="008C26B3" w14:paraId="6887E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3FFFC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14:paraId="53BCA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857B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7E75B1" w:rsidR="008C26B3" w:rsidRDefault="008C26B3" w14:paraId="28C2B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B31048" w14:paraId="5067D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w:t>
      </w:r>
      <w:r w:rsidR="009F0A6C">
        <w:rPr>
          <w:rFonts w:ascii="Arial" w:hAnsi="Arial" w:cs="Arial"/>
          <w:szCs w:val="24"/>
        </w:rPr>
        <w:t xml:space="preserve">all active </w:t>
      </w:r>
      <w:r w:rsidRPr="00B31048">
        <w:rPr>
          <w:rFonts w:ascii="Arial" w:hAnsi="Arial" w:cs="Arial"/>
          <w:szCs w:val="24"/>
        </w:rPr>
        <w:t xml:space="preserve">agricultural </w:t>
      </w:r>
      <w:r w:rsidR="00946E51">
        <w:rPr>
          <w:rFonts w:ascii="Arial" w:hAnsi="Arial" w:cs="Arial"/>
          <w:szCs w:val="24"/>
        </w:rPr>
        <w:t>producers in a defined twenty-eight county region in the State of Texas, Brazos Valley Watershed</w:t>
      </w:r>
      <w:r w:rsidRPr="00DB28F3" w:rsidR="008C26B3">
        <w:rPr>
          <w:rFonts w:ascii="Arial" w:hAnsi="Arial" w:cs="Arial"/>
          <w:szCs w:val="24"/>
        </w:rPr>
        <w:t xml:space="preserve">.  </w:t>
      </w:r>
      <w:r>
        <w:rPr>
          <w:rFonts w:ascii="Arial" w:hAnsi="Arial" w:cs="Arial"/>
          <w:szCs w:val="24"/>
        </w:rPr>
        <w:t xml:space="preserve">The </w:t>
      </w:r>
      <w:r w:rsidR="00946E51">
        <w:rPr>
          <w:rFonts w:ascii="Arial" w:hAnsi="Arial" w:cs="Arial"/>
          <w:szCs w:val="24"/>
        </w:rPr>
        <w:t xml:space="preserve">sample </w:t>
      </w:r>
      <w:r>
        <w:rPr>
          <w:rFonts w:ascii="Arial" w:hAnsi="Arial" w:cs="Arial"/>
          <w:szCs w:val="24"/>
        </w:rPr>
        <w:t xml:space="preserve">includes </w:t>
      </w:r>
      <w:r w:rsidR="00946E51">
        <w:rPr>
          <w:rFonts w:ascii="Arial" w:hAnsi="Arial" w:cs="Arial"/>
          <w:szCs w:val="24"/>
        </w:rPr>
        <w:t>producers who reported conservation practices on the 2017 Census of Agriculture, as well as those that do not use conservation practices so that a sample size of 2,900 can be obtained</w:t>
      </w:r>
      <w:r>
        <w:rPr>
          <w:rFonts w:ascii="Arial" w:hAnsi="Arial" w:cs="Arial"/>
          <w:szCs w:val="24"/>
        </w:rPr>
        <w:t>.  The universe is determined by</w:t>
      </w:r>
      <w:r w:rsidR="009F0A6C">
        <w:rPr>
          <w:rFonts w:ascii="Arial" w:hAnsi="Arial" w:cs="Arial"/>
          <w:szCs w:val="24"/>
        </w:rPr>
        <w:t xml:space="preserve"> active farms on the NASS List Frame for </w:t>
      </w:r>
      <w:r w:rsidR="00946E51">
        <w:rPr>
          <w:rFonts w:ascii="Arial" w:hAnsi="Arial" w:cs="Arial"/>
          <w:szCs w:val="24"/>
        </w:rPr>
        <w:t>Texas</w:t>
      </w:r>
      <w:r w:rsidRPr="00DB28F3" w:rsidR="008C26B3">
        <w:rPr>
          <w:rFonts w:ascii="Arial" w:hAnsi="Arial" w:cs="Arial"/>
          <w:szCs w:val="24"/>
        </w:rPr>
        <w:t>.</w:t>
      </w:r>
      <w:r w:rsidR="000607CF">
        <w:rPr>
          <w:rFonts w:ascii="Arial" w:hAnsi="Arial" w:cs="Arial"/>
          <w:szCs w:val="24"/>
        </w:rPr>
        <w:t xml:space="preserve">  </w:t>
      </w:r>
      <w:r w:rsidR="00946E51">
        <w:rPr>
          <w:rFonts w:ascii="Arial" w:hAnsi="Arial" w:cs="Arial"/>
          <w:szCs w:val="24"/>
        </w:rPr>
        <w:t>Telep</w:t>
      </w:r>
      <w:r w:rsidRPr="00DB28F3" w:rsidR="000607CF">
        <w:rPr>
          <w:rFonts w:ascii="Arial" w:hAnsi="Arial" w:cs="Arial"/>
          <w:szCs w:val="24"/>
        </w:rPr>
        <w:t xml:space="preserve">hone follow-up contacts for non-respondents </w:t>
      </w:r>
      <w:r w:rsidR="000607CF">
        <w:rPr>
          <w:rFonts w:ascii="Arial" w:hAnsi="Arial" w:cs="Arial"/>
          <w:szCs w:val="24"/>
        </w:rPr>
        <w:t>will be done to en</w:t>
      </w:r>
      <w:r w:rsidRPr="00DB28F3" w:rsidR="000607CF">
        <w:rPr>
          <w:rFonts w:ascii="Arial" w:hAnsi="Arial" w:cs="Arial"/>
          <w:szCs w:val="24"/>
        </w:rPr>
        <w:t xml:space="preserve">sure a </w:t>
      </w:r>
      <w:r w:rsidR="00194CA6">
        <w:rPr>
          <w:rFonts w:ascii="Arial" w:hAnsi="Arial" w:cs="Arial"/>
          <w:szCs w:val="24"/>
        </w:rPr>
        <w:t>high level of coverage for each farm type and county</w:t>
      </w:r>
      <w:r w:rsidRPr="00DB28F3" w:rsidR="000607CF">
        <w:rPr>
          <w:rFonts w:ascii="Arial" w:hAnsi="Arial" w:cs="Arial"/>
          <w:szCs w:val="24"/>
        </w:rPr>
        <w:t>.</w:t>
      </w:r>
    </w:p>
    <w:p w:rsidR="00D156FE" w:rsidRDefault="00D156FE" w14:paraId="3AD22F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B28F3" w:rsidR="00D156FE" w:rsidRDefault="00D156FE" w14:paraId="2C6B99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Pr="00194CA6" w:rsidR="00194CA6">
        <w:rPr>
          <w:rFonts w:ascii="Arial" w:hAnsi="Arial" w:cs="Arial"/>
          <w:szCs w:val="24"/>
        </w:rPr>
        <w:t>Quick Response for Cooperator-funded Surveys Generic Clearance</w:t>
      </w:r>
      <w:r>
        <w:rPr>
          <w:rFonts w:ascii="Arial" w:hAnsi="Arial" w:cs="Arial"/>
          <w:szCs w:val="24"/>
        </w:rPr>
        <w:t>.</w:t>
      </w:r>
    </w:p>
    <w:p w:rsidRPr="00DB28F3" w:rsidR="008C26B3" w:rsidRDefault="008C26B3" w14:paraId="36FBB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E0A40" w:rsidR="004C1BEC" w:rsidRDefault="004C1BEC" w14:paraId="70F79C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C61093" w:rsidR="008C26B3" w:rsidRDefault="008C26B3" w14:paraId="662CF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Pr="00C61093" w:rsidR="008C26B3" w:rsidRDefault="008C26B3" w14:paraId="65753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Pr="00C61093" w:rsidR="008C26B3" w:rsidRDefault="008C26B3" w14:paraId="5CC90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Pr="00815261" w:rsidR="008C26B3" w:rsidRDefault="008C26B3" w14:paraId="28757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Pr="00815261" w:rsidR="008C26B3" w:rsidRDefault="008C26B3" w14:paraId="3D22F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Pr="00DB28F3" w:rsidR="008C26B3" w:rsidP="00946E51" w:rsidRDefault="008C26B3" w14:paraId="02554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946E51" w:rsidR="00946E51" w:rsidP="00946E51" w:rsidRDefault="00946E51" w14:paraId="1D882D29" w14:textId="12F50E6D">
      <w:pPr>
        <w:ind w:left="720"/>
        <w:rPr>
          <w:rFonts w:ascii="Arial" w:hAnsi="Arial" w:cs="Arial"/>
          <w:szCs w:val="24"/>
        </w:rPr>
      </w:pPr>
      <w:bookmarkStart w:name="OLE_LINK2" w:id="1"/>
      <w:bookmarkStart w:name="OLE_LINK3" w:id="2"/>
      <w:r w:rsidRPr="00946E51">
        <w:rPr>
          <w:rFonts w:ascii="Arial" w:hAnsi="Arial" w:cs="Arial"/>
          <w:szCs w:val="24"/>
        </w:rPr>
        <w:t xml:space="preserve">The Client’s project is focused on 28 Counties in the Brazos Valley of Texas: (Austin, Bell, Bosque, Brazoria, Brazos, Burleson, Burnet, Comanche, Coryell, Erath, Falls, Fort Bend, Grimes, Hamilton, Hill, Lampasas, Lee, Leon, Limestone, Madison, McLennan, Milam, Mills, Robertson, Somervell, Waller, </w:t>
      </w:r>
      <w:r w:rsidR="00271619">
        <w:rPr>
          <w:rFonts w:ascii="Arial" w:hAnsi="Arial" w:cs="Arial"/>
          <w:szCs w:val="24"/>
        </w:rPr>
        <w:t xml:space="preserve">Washington, and </w:t>
      </w:r>
      <w:r w:rsidRPr="00946E51">
        <w:rPr>
          <w:rFonts w:ascii="Arial" w:hAnsi="Arial" w:cs="Arial"/>
          <w:szCs w:val="24"/>
        </w:rPr>
        <w:t>Williams</w:t>
      </w:r>
      <w:r w:rsidR="00271619">
        <w:rPr>
          <w:rFonts w:ascii="Arial" w:hAnsi="Arial" w:cs="Arial"/>
          <w:szCs w:val="24"/>
        </w:rPr>
        <w:t>on)</w:t>
      </w:r>
      <w:r w:rsidRPr="00946E51">
        <w:rPr>
          <w:rFonts w:ascii="Arial" w:hAnsi="Arial" w:cs="Arial"/>
          <w:szCs w:val="24"/>
        </w:rPr>
        <w:t>.</w:t>
      </w:r>
    </w:p>
    <w:p w:rsidRPr="00946E51" w:rsidR="00946E51" w:rsidP="009D22C4" w:rsidRDefault="009D22C4" w14:paraId="0C393A38" w14:textId="414CA537">
      <w:pPr>
        <w:tabs>
          <w:tab w:val="left" w:pos="7695"/>
        </w:tabs>
        <w:ind w:left="720"/>
        <w:rPr>
          <w:rFonts w:ascii="Arial" w:hAnsi="Arial" w:cs="Arial"/>
          <w:szCs w:val="24"/>
        </w:rPr>
      </w:pPr>
      <w:r>
        <w:rPr>
          <w:rFonts w:ascii="Arial" w:hAnsi="Arial" w:cs="Arial"/>
          <w:szCs w:val="24"/>
        </w:rPr>
        <w:tab/>
      </w:r>
    </w:p>
    <w:p w:rsidRPr="007E0F45" w:rsidR="00946E51" w:rsidP="00946E51" w:rsidRDefault="00946E51" w14:paraId="0A7B22EE" w14:textId="5D68356F">
      <w:pPr>
        <w:ind w:left="720"/>
        <w:rPr>
          <w:rFonts w:ascii="Arial" w:hAnsi="Arial" w:cs="Arial"/>
          <w:szCs w:val="24"/>
        </w:rPr>
      </w:pPr>
      <w:r w:rsidRPr="007E0F45">
        <w:rPr>
          <w:rFonts w:ascii="Arial" w:hAnsi="Arial" w:cs="Arial"/>
          <w:szCs w:val="24"/>
        </w:rPr>
        <w:lastRenderedPageBreak/>
        <w:t xml:space="preserve">The </w:t>
      </w:r>
      <w:r w:rsidRPr="007E0F45" w:rsidR="00271619">
        <w:rPr>
          <w:rFonts w:ascii="Arial" w:hAnsi="Arial" w:cs="Arial"/>
          <w:szCs w:val="24"/>
        </w:rPr>
        <w:t>USDA-</w:t>
      </w:r>
      <w:r w:rsidRPr="007E0F45" w:rsidR="000A315F">
        <w:rPr>
          <w:rFonts w:ascii="Arial" w:hAnsi="Arial" w:cs="Arial"/>
          <w:szCs w:val="24"/>
        </w:rPr>
        <w:t xml:space="preserve">NASS </w:t>
      </w:r>
      <w:r w:rsidRPr="007E0F45">
        <w:rPr>
          <w:rFonts w:ascii="Arial" w:hAnsi="Arial" w:cs="Arial"/>
          <w:szCs w:val="24"/>
        </w:rPr>
        <w:t>2017 Census of Agriculture (CoA) will be used as the sampling frame.  Likely all positive responses for conservation practices will be included from the 28 counties that reported positive acres for any of the no-till (K3455), reduced tillage (K3454), and/or intensive (conventional) tillage (K3453) items.</w:t>
      </w:r>
    </w:p>
    <w:p w:rsidRPr="007E0F45" w:rsidR="00946E51" w:rsidP="00946E51" w:rsidRDefault="00946E51" w14:paraId="30F7BADC" w14:textId="77777777">
      <w:pPr>
        <w:ind w:left="720"/>
        <w:rPr>
          <w:rFonts w:ascii="Arial" w:hAnsi="Arial" w:cs="Arial"/>
          <w:szCs w:val="24"/>
        </w:rPr>
      </w:pPr>
    </w:p>
    <w:p w:rsidRPr="007E0F45" w:rsidR="00946E51" w:rsidP="00946E51" w:rsidRDefault="00946E51" w14:paraId="42830A85" w14:textId="67D112F1">
      <w:pPr>
        <w:ind w:left="720"/>
        <w:rPr>
          <w:rFonts w:ascii="Arial" w:hAnsi="Arial" w:cs="Arial"/>
          <w:szCs w:val="24"/>
        </w:rPr>
      </w:pPr>
      <w:r w:rsidRPr="007E0F45">
        <w:rPr>
          <w:rFonts w:ascii="Arial" w:hAnsi="Arial" w:cs="Arial"/>
          <w:szCs w:val="24"/>
        </w:rPr>
        <w:t>The Client’s study aims to have a non-proportionate sampling of 200 adopters</w:t>
      </w:r>
      <w:r w:rsidRPr="007E0F45" w:rsidR="00283C02">
        <w:rPr>
          <w:rFonts w:ascii="Arial" w:hAnsi="Arial" w:cs="Arial"/>
          <w:szCs w:val="24"/>
        </w:rPr>
        <w:t xml:space="preserve"> (A)</w:t>
      </w:r>
      <w:r w:rsidRPr="007E0F45">
        <w:rPr>
          <w:rFonts w:ascii="Arial" w:hAnsi="Arial" w:cs="Arial"/>
          <w:szCs w:val="24"/>
        </w:rPr>
        <w:t xml:space="preserve"> and 200 non-adopters</w:t>
      </w:r>
      <w:r w:rsidRPr="007E0F45" w:rsidR="00283C02">
        <w:rPr>
          <w:rFonts w:ascii="Arial" w:hAnsi="Arial" w:cs="Arial"/>
          <w:szCs w:val="24"/>
        </w:rPr>
        <w:t xml:space="preserve"> (NA)</w:t>
      </w:r>
      <w:r w:rsidRPr="007E0F45" w:rsidR="002E65F7">
        <w:rPr>
          <w:rFonts w:ascii="Arial" w:hAnsi="Arial" w:cs="Arial"/>
          <w:szCs w:val="24"/>
        </w:rPr>
        <w:t>:  These goals were chosen arbitrarily as nice round numbers by the Client</w:t>
      </w:r>
      <w:r w:rsidRPr="007E0F45">
        <w:rPr>
          <w:rFonts w:ascii="Arial" w:hAnsi="Arial" w:cs="Arial"/>
          <w:szCs w:val="24"/>
        </w:rPr>
        <w:t xml:space="preserve">.  The sample size is expected to be around 2,900 included in the initial mailing, accompanied by a telephone follow-up for non-response.  </w:t>
      </w:r>
      <w:r w:rsidR="00D912BF">
        <w:rPr>
          <w:rFonts w:ascii="Arial" w:hAnsi="Arial" w:cs="Arial"/>
          <w:szCs w:val="24"/>
        </w:rPr>
        <w:t>S</w:t>
      </w:r>
      <w:r w:rsidRPr="007E0F45" w:rsidR="002E65F7">
        <w:rPr>
          <w:rFonts w:ascii="Arial" w:hAnsi="Arial" w:cs="Arial"/>
          <w:szCs w:val="24"/>
        </w:rPr>
        <w:t>ample size is expected to exceed th</w:t>
      </w:r>
      <w:r w:rsidR="00D912BF">
        <w:rPr>
          <w:rFonts w:ascii="Arial" w:hAnsi="Arial" w:cs="Arial"/>
          <w:szCs w:val="24"/>
        </w:rPr>
        <w:t>e Client’s goal of 200A/200NA, and b</w:t>
      </w:r>
      <w:r w:rsidRPr="007E0F45">
        <w:rPr>
          <w:rFonts w:ascii="Arial" w:hAnsi="Arial" w:cs="Arial"/>
          <w:szCs w:val="24"/>
        </w:rPr>
        <w:t xml:space="preserve">ased on preliminary </w:t>
      </w:r>
      <w:r w:rsidRPr="007E0F45" w:rsidR="00283C02">
        <w:rPr>
          <w:rFonts w:ascii="Arial" w:hAnsi="Arial" w:cs="Arial"/>
          <w:szCs w:val="24"/>
        </w:rPr>
        <w:t>population counts, the</w:t>
      </w:r>
      <w:r w:rsidRPr="007E0F45">
        <w:rPr>
          <w:rFonts w:ascii="Arial" w:hAnsi="Arial" w:cs="Arial"/>
          <w:szCs w:val="24"/>
        </w:rPr>
        <w:t xml:space="preserve"> sample will </w:t>
      </w:r>
      <w:r w:rsidR="00D912BF">
        <w:rPr>
          <w:rFonts w:ascii="Arial" w:hAnsi="Arial" w:cs="Arial"/>
          <w:szCs w:val="24"/>
        </w:rPr>
        <w:t xml:space="preserve">simulate estimated breakouts illustrated in the table below.  The </w:t>
      </w:r>
      <w:r w:rsidRPr="007E0F45">
        <w:rPr>
          <w:rFonts w:ascii="Arial" w:hAnsi="Arial" w:cs="Arial"/>
          <w:szCs w:val="24"/>
        </w:rPr>
        <w:t xml:space="preserve">sample </w:t>
      </w:r>
      <w:r w:rsidR="00D912BF">
        <w:rPr>
          <w:rFonts w:ascii="Arial" w:hAnsi="Arial" w:cs="Arial"/>
          <w:szCs w:val="24"/>
        </w:rPr>
        <w:t xml:space="preserve">will be marked into 4 </w:t>
      </w:r>
      <w:r w:rsidRPr="007E0F45">
        <w:rPr>
          <w:rFonts w:ascii="Arial" w:hAnsi="Arial" w:cs="Arial"/>
          <w:szCs w:val="24"/>
        </w:rPr>
        <w:t xml:space="preserve">strata </w:t>
      </w:r>
      <w:r w:rsidR="00D912BF">
        <w:rPr>
          <w:rFonts w:ascii="Arial" w:hAnsi="Arial" w:cs="Arial"/>
          <w:szCs w:val="24"/>
        </w:rPr>
        <w:t>defined on value of sales categories where S</w:t>
      </w:r>
      <w:r w:rsidR="00D912BF">
        <w:rPr>
          <w:rFonts w:ascii="Arial" w:hAnsi="Arial" w:cs="Arial"/>
          <w:szCs w:val="24"/>
          <w:vertAlign w:val="subscript"/>
        </w:rPr>
        <w:t>1</w:t>
      </w:r>
      <w:r w:rsidR="00D912BF">
        <w:rPr>
          <w:rFonts w:ascii="Arial" w:hAnsi="Arial" w:cs="Arial"/>
          <w:szCs w:val="24"/>
        </w:rPr>
        <w:t xml:space="preserve"> and S</w:t>
      </w:r>
      <w:r w:rsidR="00D912BF">
        <w:rPr>
          <w:rFonts w:ascii="Arial" w:hAnsi="Arial" w:cs="Arial"/>
          <w:szCs w:val="24"/>
          <w:vertAlign w:val="subscript"/>
        </w:rPr>
        <w:t>2</w:t>
      </w:r>
      <w:r w:rsidR="00D912BF">
        <w:rPr>
          <w:rFonts w:ascii="Arial" w:hAnsi="Arial" w:cs="Arial"/>
          <w:szCs w:val="24"/>
        </w:rPr>
        <w:t xml:space="preserve"> have sales less than $100,000 dollars, and S</w:t>
      </w:r>
      <w:r w:rsidR="00D912BF">
        <w:rPr>
          <w:rFonts w:ascii="Arial" w:hAnsi="Arial" w:cs="Arial"/>
          <w:szCs w:val="24"/>
          <w:vertAlign w:val="subscript"/>
        </w:rPr>
        <w:t>3</w:t>
      </w:r>
      <w:r w:rsidR="00D912BF">
        <w:rPr>
          <w:rFonts w:ascii="Arial" w:hAnsi="Arial" w:cs="Arial"/>
          <w:szCs w:val="24"/>
        </w:rPr>
        <w:t xml:space="preserve"> and S</w:t>
      </w:r>
      <w:r w:rsidR="00D912BF">
        <w:rPr>
          <w:rFonts w:ascii="Arial" w:hAnsi="Arial" w:cs="Arial"/>
          <w:szCs w:val="24"/>
          <w:vertAlign w:val="subscript"/>
        </w:rPr>
        <w:t>4</w:t>
      </w:r>
      <w:r w:rsidR="00D912BF">
        <w:rPr>
          <w:rFonts w:ascii="Arial" w:hAnsi="Arial" w:cs="Arial"/>
          <w:szCs w:val="24"/>
        </w:rPr>
        <w:t xml:space="preserve"> have sales greater than or equal to $100,000 dollars</w:t>
      </w:r>
      <w:r w:rsidRPr="007E0F45">
        <w:rPr>
          <w:rFonts w:ascii="Arial" w:hAnsi="Arial" w:cs="Arial"/>
          <w:szCs w:val="24"/>
        </w:rPr>
        <w:t>.</w:t>
      </w:r>
      <w:r w:rsidR="00D912BF">
        <w:rPr>
          <w:rFonts w:ascii="Arial" w:hAnsi="Arial" w:cs="Arial"/>
          <w:szCs w:val="24"/>
        </w:rPr>
        <w:t xml:space="preserve">  The sample will canvass all commodities; both crops and livestock since each industry can participate in various conservation practices.</w:t>
      </w:r>
    </w:p>
    <w:p w:rsidRPr="007E0F45" w:rsidR="00946E51" w:rsidP="00946E51" w:rsidRDefault="00946E51" w14:paraId="38375DCB" w14:textId="77777777">
      <w:pPr>
        <w:ind w:left="720"/>
        <w:rPr>
          <w:rFonts w:ascii="Arial" w:hAnsi="Arial" w:cs="Arial"/>
          <w:szCs w:val="24"/>
        </w:rPr>
      </w:pPr>
    </w:p>
    <w:p w:rsidRPr="007E0F45" w:rsidR="00946E51" w:rsidP="00946E51" w:rsidRDefault="00946E51" w14:paraId="3F16078B" w14:textId="77777777">
      <w:pPr>
        <w:ind w:left="720"/>
        <w:rPr>
          <w:rFonts w:ascii="Arial" w:hAnsi="Arial" w:cs="Arial"/>
          <w:szCs w:val="24"/>
        </w:rPr>
      </w:pPr>
      <w:r w:rsidRPr="007E0F45">
        <w:rPr>
          <w:rFonts w:ascii="Arial" w:hAnsi="Arial" w:cs="Arial"/>
          <w:szCs w:val="24"/>
        </w:rPr>
        <w:t>The table below provides the sample stratification design in the 28 county area:</w:t>
      </w:r>
    </w:p>
    <w:tbl>
      <w:tblPr>
        <w:tblStyle w:val="TableGrid"/>
        <w:tblW w:w="8635" w:type="dxa"/>
        <w:tblInd w:w="720" w:type="dxa"/>
        <w:tblLook w:val="04A0" w:firstRow="1" w:lastRow="0" w:firstColumn="1" w:lastColumn="0" w:noHBand="0" w:noVBand="1"/>
      </w:tblPr>
      <w:tblGrid>
        <w:gridCol w:w="2245"/>
        <w:gridCol w:w="2250"/>
        <w:gridCol w:w="2340"/>
        <w:gridCol w:w="1800"/>
      </w:tblGrid>
      <w:tr w:rsidRPr="007E0F45" w:rsidR="00946E51" w:rsidTr="009927E3" w14:paraId="61EACC68" w14:textId="77777777">
        <w:tc>
          <w:tcPr>
            <w:tcW w:w="2245" w:type="dxa"/>
            <w:vAlign w:val="center"/>
          </w:tcPr>
          <w:p w:rsidRPr="007E0F45" w:rsidR="00946E51" w:rsidP="006E77D2" w:rsidRDefault="00946E51" w14:paraId="4B2C2E52" w14:textId="77777777">
            <w:pPr>
              <w:jc w:val="center"/>
              <w:rPr>
                <w:rFonts w:ascii="Arial" w:hAnsi="Arial" w:cs="Arial"/>
                <w:szCs w:val="24"/>
              </w:rPr>
            </w:pPr>
            <w:r w:rsidRPr="007E0F45">
              <w:rPr>
                <w:rFonts w:ascii="Arial" w:hAnsi="Arial" w:cs="Arial"/>
                <w:szCs w:val="24"/>
              </w:rPr>
              <w:t>Sample</w:t>
            </w:r>
          </w:p>
        </w:tc>
        <w:tc>
          <w:tcPr>
            <w:tcW w:w="2250" w:type="dxa"/>
            <w:vAlign w:val="center"/>
          </w:tcPr>
          <w:p w:rsidRPr="007E0F45" w:rsidR="00946E51" w:rsidP="006E77D2" w:rsidRDefault="00946E51" w14:paraId="78F9DCEC" w14:textId="77777777">
            <w:pPr>
              <w:jc w:val="center"/>
              <w:rPr>
                <w:rFonts w:ascii="Arial" w:hAnsi="Arial" w:cs="Arial"/>
                <w:szCs w:val="24"/>
              </w:rPr>
            </w:pPr>
            <w:r w:rsidRPr="007E0F45">
              <w:rPr>
                <w:rFonts w:ascii="Arial" w:hAnsi="Arial" w:cs="Arial"/>
                <w:szCs w:val="24"/>
              </w:rPr>
              <w:t>Cons. Adopter</w:t>
            </w:r>
          </w:p>
        </w:tc>
        <w:tc>
          <w:tcPr>
            <w:tcW w:w="2340" w:type="dxa"/>
            <w:vAlign w:val="center"/>
          </w:tcPr>
          <w:p w:rsidRPr="007E0F45" w:rsidR="00946E51" w:rsidP="006E77D2" w:rsidRDefault="00946E51" w14:paraId="249D4179" w14:textId="77777777">
            <w:pPr>
              <w:jc w:val="center"/>
              <w:rPr>
                <w:rFonts w:ascii="Arial" w:hAnsi="Arial" w:cs="Arial"/>
                <w:szCs w:val="24"/>
              </w:rPr>
            </w:pPr>
            <w:r w:rsidRPr="007E0F45">
              <w:rPr>
                <w:rFonts w:ascii="Arial" w:hAnsi="Arial" w:cs="Arial"/>
                <w:szCs w:val="24"/>
              </w:rPr>
              <w:t>Non-Cons. Adopter</w:t>
            </w:r>
          </w:p>
        </w:tc>
        <w:tc>
          <w:tcPr>
            <w:tcW w:w="1800" w:type="dxa"/>
            <w:vAlign w:val="center"/>
          </w:tcPr>
          <w:p w:rsidRPr="007E0F45" w:rsidR="00946E51" w:rsidP="006E77D2" w:rsidRDefault="007E0F45" w14:paraId="3FE57CA0" w14:textId="25AB9DA3">
            <w:pPr>
              <w:jc w:val="center"/>
              <w:rPr>
                <w:rFonts w:ascii="Arial" w:hAnsi="Arial" w:cs="Arial"/>
                <w:szCs w:val="24"/>
              </w:rPr>
            </w:pPr>
            <w:r>
              <w:rPr>
                <w:rFonts w:ascii="Arial" w:hAnsi="Arial" w:cs="Arial"/>
                <w:szCs w:val="24"/>
              </w:rPr>
              <w:t>Total</w:t>
            </w:r>
          </w:p>
        </w:tc>
      </w:tr>
      <w:tr w:rsidRPr="007E0F45" w:rsidR="00946E51" w:rsidTr="009927E3" w14:paraId="20E67A18" w14:textId="77777777">
        <w:tc>
          <w:tcPr>
            <w:tcW w:w="2245" w:type="dxa"/>
          </w:tcPr>
          <w:p w:rsidRPr="007E0F45" w:rsidR="00946E51" w:rsidP="00F52A7F" w:rsidRDefault="00946E51" w14:paraId="07B09A29" w14:textId="5E24FDDD">
            <w:pPr>
              <w:rPr>
                <w:rFonts w:ascii="Arial" w:hAnsi="Arial" w:cs="Arial"/>
                <w:szCs w:val="24"/>
              </w:rPr>
            </w:pPr>
            <w:r w:rsidRPr="007E0F45">
              <w:rPr>
                <w:rFonts w:ascii="Arial" w:hAnsi="Arial" w:cs="Arial"/>
                <w:szCs w:val="24"/>
              </w:rPr>
              <w:t>Small (</w:t>
            </w:r>
            <w:r w:rsidR="00F52A7F">
              <w:rPr>
                <w:rFonts w:ascii="Arial" w:hAnsi="Arial" w:cs="Arial"/>
                <w:szCs w:val="24"/>
              </w:rPr>
              <w:t>ES&lt;100K)</w:t>
            </w:r>
          </w:p>
        </w:tc>
        <w:tc>
          <w:tcPr>
            <w:tcW w:w="2250" w:type="dxa"/>
            <w:vAlign w:val="center"/>
          </w:tcPr>
          <w:p w:rsidRPr="00D912BF" w:rsidR="00946E51" w:rsidP="009927E3" w:rsidRDefault="00AC4A9B" w14:paraId="1D16CB59" w14:textId="13461984">
            <w:pPr>
              <w:jc w:val="center"/>
              <w:rPr>
                <w:rFonts w:ascii="Arial" w:hAnsi="Arial" w:cs="Arial"/>
                <w:szCs w:val="24"/>
                <w:vertAlign w:val="subscript"/>
              </w:rPr>
            </w:pPr>
            <w:r>
              <w:rPr>
                <w:rFonts w:ascii="Arial" w:hAnsi="Arial" w:cs="Arial"/>
                <w:szCs w:val="24"/>
              </w:rPr>
              <w:t xml:space="preserve">775 </w:t>
            </w:r>
            <w:r w:rsidRPr="007E0F45" w:rsidR="00946E51">
              <w:rPr>
                <w:rFonts w:ascii="Arial" w:hAnsi="Arial" w:cs="Arial"/>
                <w:szCs w:val="24"/>
              </w:rPr>
              <w:t>(</w:t>
            </w:r>
            <w:r>
              <w:rPr>
                <w:rFonts w:ascii="Arial" w:hAnsi="Arial" w:cs="Arial"/>
                <w:szCs w:val="24"/>
              </w:rPr>
              <w:t>~4</w:t>
            </w:r>
            <w:r w:rsidR="009927E3">
              <w:rPr>
                <w:rFonts w:ascii="Arial" w:hAnsi="Arial" w:cs="Arial"/>
                <w:szCs w:val="24"/>
              </w:rPr>
              <w:t>8</w:t>
            </w:r>
            <w:r>
              <w:rPr>
                <w:rFonts w:ascii="Arial" w:hAnsi="Arial" w:cs="Arial"/>
                <w:szCs w:val="24"/>
              </w:rPr>
              <w:t>%</w:t>
            </w:r>
            <w:r w:rsidRPr="007E0F45" w:rsidR="00946E51">
              <w:rPr>
                <w:rFonts w:ascii="Arial" w:hAnsi="Arial" w:cs="Arial"/>
                <w:szCs w:val="24"/>
              </w:rPr>
              <w:t>)</w:t>
            </w:r>
            <w:r w:rsidR="00D912BF">
              <w:rPr>
                <w:rFonts w:ascii="Arial" w:hAnsi="Arial" w:cs="Arial"/>
                <w:szCs w:val="24"/>
              </w:rPr>
              <w:t xml:space="preserve"> S</w:t>
            </w:r>
            <w:r w:rsidR="00D912BF">
              <w:rPr>
                <w:rFonts w:ascii="Arial" w:hAnsi="Arial" w:cs="Arial"/>
                <w:szCs w:val="24"/>
                <w:vertAlign w:val="subscript"/>
              </w:rPr>
              <w:t>1</w:t>
            </w:r>
          </w:p>
        </w:tc>
        <w:tc>
          <w:tcPr>
            <w:tcW w:w="2340" w:type="dxa"/>
            <w:vAlign w:val="center"/>
          </w:tcPr>
          <w:p w:rsidRPr="00D912BF" w:rsidR="00946E51" w:rsidP="009927E3" w:rsidRDefault="009927E3" w14:paraId="0E83CE81" w14:textId="2B2A93F7">
            <w:pPr>
              <w:jc w:val="center"/>
              <w:rPr>
                <w:rFonts w:ascii="Arial" w:hAnsi="Arial" w:cs="Arial"/>
                <w:szCs w:val="24"/>
                <w:vertAlign w:val="subscript"/>
              </w:rPr>
            </w:pPr>
            <w:r>
              <w:rPr>
                <w:rFonts w:ascii="Arial" w:hAnsi="Arial" w:cs="Arial"/>
                <w:szCs w:val="24"/>
              </w:rPr>
              <w:t xml:space="preserve">930 </w:t>
            </w:r>
            <w:r w:rsidRPr="007E0F45" w:rsidR="00946E51">
              <w:rPr>
                <w:rFonts w:ascii="Arial" w:hAnsi="Arial" w:cs="Arial"/>
                <w:szCs w:val="24"/>
              </w:rPr>
              <w:t>(</w:t>
            </w:r>
            <w:r w:rsidR="00AC4A9B">
              <w:rPr>
                <w:rFonts w:ascii="Arial" w:hAnsi="Arial" w:cs="Arial"/>
                <w:szCs w:val="24"/>
              </w:rPr>
              <w:t>~75%</w:t>
            </w:r>
            <w:r w:rsidRPr="007E0F45" w:rsidR="00946E51">
              <w:rPr>
                <w:rFonts w:ascii="Arial" w:hAnsi="Arial" w:cs="Arial"/>
                <w:szCs w:val="24"/>
              </w:rPr>
              <w:t>)</w:t>
            </w:r>
            <w:r w:rsidR="00D912BF">
              <w:rPr>
                <w:rFonts w:ascii="Arial" w:hAnsi="Arial" w:cs="Arial"/>
                <w:szCs w:val="24"/>
              </w:rPr>
              <w:t xml:space="preserve"> S</w:t>
            </w:r>
            <w:r w:rsidR="00D912BF">
              <w:rPr>
                <w:rFonts w:ascii="Arial" w:hAnsi="Arial" w:cs="Arial"/>
                <w:szCs w:val="24"/>
                <w:vertAlign w:val="subscript"/>
              </w:rPr>
              <w:t>2</w:t>
            </w:r>
          </w:p>
        </w:tc>
        <w:tc>
          <w:tcPr>
            <w:tcW w:w="1800" w:type="dxa"/>
            <w:vAlign w:val="center"/>
          </w:tcPr>
          <w:p w:rsidRPr="007E0F45" w:rsidR="00946E51" w:rsidP="009927E3" w:rsidRDefault="009927E3" w14:paraId="7195F50A" w14:textId="7B264C53">
            <w:pPr>
              <w:jc w:val="center"/>
              <w:rPr>
                <w:rFonts w:ascii="Arial" w:hAnsi="Arial" w:cs="Arial"/>
                <w:szCs w:val="24"/>
              </w:rPr>
            </w:pPr>
            <w:r>
              <w:rPr>
                <w:rFonts w:ascii="Arial" w:hAnsi="Arial" w:cs="Arial"/>
                <w:szCs w:val="24"/>
              </w:rPr>
              <w:t xml:space="preserve">1,705 </w:t>
            </w:r>
            <w:r w:rsidRPr="007E0F45" w:rsidR="00946E51">
              <w:rPr>
                <w:rFonts w:ascii="Arial" w:hAnsi="Arial" w:cs="Arial"/>
                <w:szCs w:val="24"/>
              </w:rPr>
              <w:t>(</w:t>
            </w:r>
            <w:r>
              <w:rPr>
                <w:rFonts w:ascii="Arial" w:hAnsi="Arial" w:cs="Arial"/>
                <w:szCs w:val="24"/>
              </w:rPr>
              <w:t>~59%</w:t>
            </w:r>
            <w:r w:rsidRPr="007E0F45" w:rsidR="00946E51">
              <w:rPr>
                <w:rFonts w:ascii="Arial" w:hAnsi="Arial" w:cs="Arial"/>
                <w:szCs w:val="24"/>
              </w:rPr>
              <w:t>)</w:t>
            </w:r>
          </w:p>
        </w:tc>
      </w:tr>
      <w:tr w:rsidRPr="007E0F45" w:rsidR="00946E51" w:rsidTr="009927E3" w14:paraId="137FB4EA" w14:textId="77777777">
        <w:tc>
          <w:tcPr>
            <w:tcW w:w="2245" w:type="dxa"/>
          </w:tcPr>
          <w:p w:rsidRPr="007E0F45" w:rsidR="00946E51" w:rsidP="00F52A7F" w:rsidRDefault="00946E51" w14:paraId="44E6AF21" w14:textId="1C2EA1FB">
            <w:pPr>
              <w:rPr>
                <w:rFonts w:ascii="Arial" w:hAnsi="Arial" w:cs="Arial"/>
                <w:szCs w:val="24"/>
              </w:rPr>
            </w:pPr>
            <w:r w:rsidRPr="007E0F45">
              <w:rPr>
                <w:rFonts w:ascii="Arial" w:hAnsi="Arial" w:cs="Arial"/>
                <w:szCs w:val="24"/>
              </w:rPr>
              <w:t>Large (</w:t>
            </w:r>
            <w:r w:rsidR="00F52A7F">
              <w:rPr>
                <w:rFonts w:ascii="Arial" w:hAnsi="Arial" w:cs="Arial"/>
                <w:szCs w:val="24"/>
              </w:rPr>
              <w:t>ES&gt;=100K)</w:t>
            </w:r>
          </w:p>
        </w:tc>
        <w:tc>
          <w:tcPr>
            <w:tcW w:w="2250" w:type="dxa"/>
            <w:vAlign w:val="center"/>
          </w:tcPr>
          <w:p w:rsidRPr="00D912BF" w:rsidR="00946E51" w:rsidP="00D912BF" w:rsidRDefault="00AC4A9B" w14:paraId="60D9589B" w14:textId="3929E798">
            <w:pPr>
              <w:jc w:val="center"/>
              <w:rPr>
                <w:rFonts w:ascii="Arial" w:hAnsi="Arial" w:cs="Arial"/>
                <w:szCs w:val="24"/>
                <w:vertAlign w:val="subscript"/>
              </w:rPr>
            </w:pPr>
            <w:r>
              <w:rPr>
                <w:rFonts w:ascii="Arial" w:hAnsi="Arial" w:cs="Arial"/>
                <w:szCs w:val="24"/>
              </w:rPr>
              <w:t xml:space="preserve">875 </w:t>
            </w:r>
            <w:r w:rsidRPr="007E0F45" w:rsidR="00946E51">
              <w:rPr>
                <w:rFonts w:ascii="Arial" w:hAnsi="Arial" w:cs="Arial"/>
                <w:szCs w:val="24"/>
              </w:rPr>
              <w:t>(</w:t>
            </w:r>
            <w:r>
              <w:rPr>
                <w:rFonts w:ascii="Arial" w:hAnsi="Arial" w:cs="Arial"/>
                <w:szCs w:val="24"/>
              </w:rPr>
              <w:t>~5</w:t>
            </w:r>
            <w:r w:rsidR="009927E3">
              <w:rPr>
                <w:rFonts w:ascii="Arial" w:hAnsi="Arial" w:cs="Arial"/>
                <w:szCs w:val="24"/>
              </w:rPr>
              <w:t>2</w:t>
            </w:r>
            <w:r>
              <w:rPr>
                <w:rFonts w:ascii="Arial" w:hAnsi="Arial" w:cs="Arial"/>
                <w:szCs w:val="24"/>
              </w:rPr>
              <w:t>%</w:t>
            </w:r>
            <w:r w:rsidRPr="007E0F45" w:rsidR="00946E51">
              <w:rPr>
                <w:rFonts w:ascii="Arial" w:hAnsi="Arial" w:cs="Arial"/>
                <w:szCs w:val="24"/>
              </w:rPr>
              <w:t>)</w:t>
            </w:r>
            <w:r w:rsidR="00D912BF">
              <w:rPr>
                <w:rFonts w:ascii="Arial" w:hAnsi="Arial" w:cs="Arial"/>
                <w:szCs w:val="24"/>
              </w:rPr>
              <w:t xml:space="preserve"> S</w:t>
            </w:r>
            <w:r w:rsidR="00D912BF">
              <w:rPr>
                <w:rFonts w:ascii="Arial" w:hAnsi="Arial" w:cs="Arial"/>
                <w:szCs w:val="24"/>
                <w:vertAlign w:val="subscript"/>
              </w:rPr>
              <w:t>3</w:t>
            </w:r>
          </w:p>
        </w:tc>
        <w:tc>
          <w:tcPr>
            <w:tcW w:w="2340" w:type="dxa"/>
            <w:vAlign w:val="center"/>
          </w:tcPr>
          <w:p w:rsidRPr="00D912BF" w:rsidR="00946E51" w:rsidP="00AC4A9B" w:rsidRDefault="00AC4A9B" w14:paraId="0D29276D" w14:textId="005A9636">
            <w:pPr>
              <w:jc w:val="center"/>
              <w:rPr>
                <w:rFonts w:ascii="Arial" w:hAnsi="Arial" w:cs="Arial"/>
                <w:szCs w:val="24"/>
                <w:vertAlign w:val="subscript"/>
              </w:rPr>
            </w:pPr>
            <w:r>
              <w:rPr>
                <w:rFonts w:ascii="Arial" w:hAnsi="Arial" w:cs="Arial"/>
                <w:szCs w:val="24"/>
              </w:rPr>
              <w:t xml:space="preserve">350 </w:t>
            </w:r>
            <w:r w:rsidRPr="007E0F45" w:rsidR="00946E51">
              <w:rPr>
                <w:rFonts w:ascii="Arial" w:hAnsi="Arial" w:cs="Arial"/>
                <w:szCs w:val="24"/>
              </w:rPr>
              <w:t>(</w:t>
            </w:r>
            <w:r>
              <w:rPr>
                <w:rFonts w:ascii="Arial" w:hAnsi="Arial" w:cs="Arial"/>
                <w:szCs w:val="24"/>
              </w:rPr>
              <w:t>~25%</w:t>
            </w:r>
            <w:r w:rsidRPr="007E0F45" w:rsidR="00946E51">
              <w:rPr>
                <w:rFonts w:ascii="Arial" w:hAnsi="Arial" w:cs="Arial"/>
                <w:szCs w:val="24"/>
              </w:rPr>
              <w:t>)</w:t>
            </w:r>
            <w:r w:rsidR="00D912BF">
              <w:rPr>
                <w:rFonts w:ascii="Arial" w:hAnsi="Arial" w:cs="Arial"/>
                <w:szCs w:val="24"/>
              </w:rPr>
              <w:t xml:space="preserve"> S</w:t>
            </w:r>
            <w:r w:rsidR="00D912BF">
              <w:rPr>
                <w:rFonts w:ascii="Arial" w:hAnsi="Arial" w:cs="Arial"/>
                <w:szCs w:val="24"/>
                <w:vertAlign w:val="subscript"/>
              </w:rPr>
              <w:t>4</w:t>
            </w:r>
          </w:p>
        </w:tc>
        <w:tc>
          <w:tcPr>
            <w:tcW w:w="1800" w:type="dxa"/>
            <w:vAlign w:val="center"/>
          </w:tcPr>
          <w:p w:rsidRPr="007E0F45" w:rsidR="00946E51" w:rsidP="009927E3" w:rsidRDefault="009927E3" w14:paraId="7EDA3066" w14:textId="5AAC10A6">
            <w:pPr>
              <w:jc w:val="center"/>
              <w:rPr>
                <w:rFonts w:ascii="Arial" w:hAnsi="Arial" w:cs="Arial"/>
                <w:szCs w:val="24"/>
              </w:rPr>
            </w:pPr>
            <w:r>
              <w:rPr>
                <w:rFonts w:ascii="Arial" w:hAnsi="Arial" w:cs="Arial"/>
                <w:szCs w:val="24"/>
              </w:rPr>
              <w:t xml:space="preserve">1,195 </w:t>
            </w:r>
            <w:r w:rsidRPr="007E0F45" w:rsidR="00946E51">
              <w:rPr>
                <w:rFonts w:ascii="Arial" w:hAnsi="Arial" w:cs="Arial"/>
                <w:szCs w:val="24"/>
              </w:rPr>
              <w:t>(</w:t>
            </w:r>
            <w:r>
              <w:rPr>
                <w:rFonts w:ascii="Arial" w:hAnsi="Arial" w:cs="Arial"/>
                <w:szCs w:val="24"/>
              </w:rPr>
              <w:t>~41%</w:t>
            </w:r>
            <w:r w:rsidRPr="007E0F45" w:rsidR="00946E51">
              <w:rPr>
                <w:rFonts w:ascii="Arial" w:hAnsi="Arial" w:cs="Arial"/>
                <w:szCs w:val="24"/>
              </w:rPr>
              <w:t>)</w:t>
            </w:r>
          </w:p>
        </w:tc>
      </w:tr>
      <w:tr w:rsidRPr="007E0F45" w:rsidR="00946E51" w:rsidTr="009927E3" w14:paraId="02FB7DDA" w14:textId="77777777">
        <w:tc>
          <w:tcPr>
            <w:tcW w:w="2245" w:type="dxa"/>
          </w:tcPr>
          <w:p w:rsidRPr="007E0F45" w:rsidR="00946E51" w:rsidP="006E77D2" w:rsidRDefault="00946E51" w14:paraId="254C323A" w14:textId="4B87E564">
            <w:pPr>
              <w:rPr>
                <w:rFonts w:ascii="Arial" w:hAnsi="Arial" w:cs="Arial"/>
                <w:szCs w:val="24"/>
              </w:rPr>
            </w:pPr>
            <w:r w:rsidRPr="007E0F45">
              <w:rPr>
                <w:rFonts w:ascii="Arial" w:hAnsi="Arial" w:cs="Arial"/>
                <w:szCs w:val="24"/>
              </w:rPr>
              <w:t>Total</w:t>
            </w:r>
          </w:p>
        </w:tc>
        <w:tc>
          <w:tcPr>
            <w:tcW w:w="2250" w:type="dxa"/>
            <w:vAlign w:val="center"/>
          </w:tcPr>
          <w:p w:rsidRPr="007E0F45" w:rsidR="00F52A7F" w:rsidP="00AC4A9B" w:rsidRDefault="00F52A7F" w14:paraId="772F9DE7" w14:textId="598703DB">
            <w:pPr>
              <w:jc w:val="center"/>
              <w:rPr>
                <w:rFonts w:ascii="Arial" w:hAnsi="Arial" w:cs="Arial"/>
                <w:szCs w:val="24"/>
              </w:rPr>
            </w:pPr>
            <w:r>
              <w:rPr>
                <w:rFonts w:ascii="Arial" w:hAnsi="Arial" w:cs="Arial"/>
                <w:szCs w:val="24"/>
              </w:rPr>
              <w:t>1,62</w:t>
            </w:r>
            <w:r w:rsidR="00AC4A9B">
              <w:rPr>
                <w:rFonts w:ascii="Arial" w:hAnsi="Arial" w:cs="Arial"/>
                <w:szCs w:val="24"/>
              </w:rPr>
              <w:t>0</w:t>
            </w:r>
            <w:r>
              <w:rPr>
                <w:rFonts w:ascii="Arial" w:hAnsi="Arial" w:cs="Arial"/>
                <w:szCs w:val="24"/>
              </w:rPr>
              <w:t xml:space="preserve"> (~56%)</w:t>
            </w:r>
          </w:p>
        </w:tc>
        <w:tc>
          <w:tcPr>
            <w:tcW w:w="2340" w:type="dxa"/>
            <w:vAlign w:val="center"/>
          </w:tcPr>
          <w:p w:rsidRPr="007E0F45" w:rsidR="00946E51" w:rsidP="009927E3" w:rsidRDefault="00F52A7F" w14:paraId="78C9A804" w14:textId="53A5B984">
            <w:pPr>
              <w:jc w:val="center"/>
              <w:rPr>
                <w:rFonts w:ascii="Arial" w:hAnsi="Arial" w:cs="Arial"/>
                <w:szCs w:val="24"/>
              </w:rPr>
            </w:pPr>
            <w:r>
              <w:rPr>
                <w:rFonts w:ascii="Arial" w:hAnsi="Arial" w:cs="Arial"/>
                <w:szCs w:val="24"/>
              </w:rPr>
              <w:t>1,</w:t>
            </w:r>
            <w:r w:rsidR="009927E3">
              <w:rPr>
                <w:rFonts w:ascii="Arial" w:hAnsi="Arial" w:cs="Arial"/>
                <w:szCs w:val="24"/>
              </w:rPr>
              <w:t>28</w:t>
            </w:r>
            <w:r>
              <w:rPr>
                <w:rFonts w:ascii="Arial" w:hAnsi="Arial" w:cs="Arial"/>
                <w:szCs w:val="24"/>
              </w:rPr>
              <w:t>0 (~44%)</w:t>
            </w:r>
          </w:p>
        </w:tc>
        <w:tc>
          <w:tcPr>
            <w:tcW w:w="1800" w:type="dxa"/>
            <w:vAlign w:val="center"/>
          </w:tcPr>
          <w:p w:rsidRPr="007E0F45" w:rsidR="00946E51" w:rsidP="006E77D2" w:rsidRDefault="007E0F45" w14:paraId="6B3FA074" w14:textId="226075F7">
            <w:pPr>
              <w:jc w:val="center"/>
              <w:rPr>
                <w:rFonts w:ascii="Arial" w:hAnsi="Arial" w:cs="Arial"/>
                <w:szCs w:val="24"/>
              </w:rPr>
            </w:pPr>
            <w:r>
              <w:rPr>
                <w:rFonts w:ascii="Arial" w:hAnsi="Arial" w:cs="Arial"/>
                <w:szCs w:val="24"/>
              </w:rPr>
              <w:t>2,900</w:t>
            </w:r>
          </w:p>
        </w:tc>
      </w:tr>
    </w:tbl>
    <w:p w:rsidRPr="00D912BF" w:rsidR="00946E51" w:rsidP="00946E51" w:rsidRDefault="00D912BF" w14:paraId="0517C37B" w14:textId="3B04DE4D">
      <w:pPr>
        <w:ind w:left="720"/>
        <w:rPr>
          <w:rFonts w:ascii="Arial" w:hAnsi="Arial" w:cs="Arial"/>
          <w:sz w:val="20"/>
          <w:szCs w:val="24"/>
        </w:rPr>
      </w:pPr>
      <w:r w:rsidRPr="00D912BF">
        <w:rPr>
          <w:rFonts w:ascii="Arial" w:hAnsi="Arial" w:cs="Arial"/>
          <w:sz w:val="20"/>
          <w:szCs w:val="24"/>
        </w:rPr>
        <w:t>S</w:t>
      </w:r>
      <w:r w:rsidRPr="00D912BF">
        <w:rPr>
          <w:rFonts w:ascii="Arial" w:hAnsi="Arial" w:cs="Arial"/>
          <w:sz w:val="20"/>
          <w:szCs w:val="24"/>
          <w:vertAlign w:val="superscript"/>
        </w:rPr>
        <w:t>n</w:t>
      </w:r>
      <w:r w:rsidRPr="00D912BF">
        <w:rPr>
          <w:rFonts w:ascii="Arial" w:hAnsi="Arial" w:cs="Arial"/>
          <w:sz w:val="20"/>
          <w:szCs w:val="24"/>
        </w:rPr>
        <w:t xml:space="preserve"> = strata values</w:t>
      </w:r>
    </w:p>
    <w:p w:rsidR="00D912BF" w:rsidP="00946E51" w:rsidRDefault="00D912BF" w14:paraId="2A98E162" w14:textId="77777777">
      <w:pPr>
        <w:ind w:left="720"/>
        <w:rPr>
          <w:rFonts w:ascii="Arial" w:hAnsi="Arial" w:cs="Arial"/>
          <w:szCs w:val="24"/>
        </w:rPr>
      </w:pPr>
    </w:p>
    <w:p w:rsidRPr="00946E51" w:rsidR="00946E51" w:rsidP="00946E51" w:rsidRDefault="00946E51" w14:paraId="7BB2EA66" w14:textId="13A5FFBA">
      <w:pPr>
        <w:ind w:left="720"/>
        <w:rPr>
          <w:rFonts w:ascii="Arial" w:hAnsi="Arial" w:cs="Arial"/>
          <w:szCs w:val="24"/>
        </w:rPr>
      </w:pPr>
      <w:r w:rsidRPr="007E0F45">
        <w:rPr>
          <w:rFonts w:ascii="Arial" w:hAnsi="Arial" w:cs="Arial"/>
          <w:szCs w:val="24"/>
        </w:rPr>
        <w:t xml:space="preserve">A mail check-in will be performed such that </w:t>
      </w:r>
      <w:r w:rsidR="00F52A7F">
        <w:rPr>
          <w:rFonts w:ascii="Arial" w:hAnsi="Arial" w:cs="Arial"/>
          <w:szCs w:val="24"/>
        </w:rPr>
        <w:t>a</w:t>
      </w:r>
      <w:r w:rsidRPr="007E0F45">
        <w:rPr>
          <w:rFonts w:ascii="Arial" w:hAnsi="Arial" w:cs="Arial"/>
          <w:szCs w:val="24"/>
        </w:rPr>
        <w:t xml:space="preserve"> coverage-oriented </w:t>
      </w:r>
      <w:r w:rsidR="00D912BF">
        <w:rPr>
          <w:rFonts w:ascii="Arial" w:hAnsi="Arial" w:cs="Arial"/>
          <w:szCs w:val="24"/>
        </w:rPr>
        <w:t xml:space="preserve">non-response </w:t>
      </w:r>
      <w:r w:rsidRPr="007E0F45">
        <w:rPr>
          <w:rFonts w:ascii="Arial" w:hAnsi="Arial" w:cs="Arial"/>
          <w:szCs w:val="24"/>
        </w:rPr>
        <w:t>sample may be drawn for follow-up.  For example, if we received 190 Adopters reporting positive data, and 70 percent were large operators, and we received only 40 Non-Adopters total, then the telephone non-response sample would be drawn such that we had a higher chance of contacting a good size mix of the Non-Adopters, and a larger percent of th</w:t>
      </w:r>
      <w:r w:rsidR="00D912BF">
        <w:rPr>
          <w:rFonts w:ascii="Arial" w:hAnsi="Arial" w:cs="Arial"/>
          <w:szCs w:val="24"/>
        </w:rPr>
        <w:t>e smaller-</w:t>
      </w:r>
      <w:r w:rsidRPr="007E0F45">
        <w:rPr>
          <w:rFonts w:ascii="Arial" w:hAnsi="Arial" w:cs="Arial"/>
          <w:szCs w:val="24"/>
        </w:rPr>
        <w:t>sized Adopters.</w:t>
      </w:r>
    </w:p>
    <w:p w:rsidRPr="00946E51" w:rsidR="001900FB" w:rsidP="00946E51" w:rsidRDefault="00737B6B" w14:paraId="19D73C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946E51">
        <w:rPr>
          <w:rFonts w:ascii="Arial" w:hAnsi="Arial" w:cs="Arial"/>
          <w:szCs w:val="24"/>
        </w:rPr>
        <w:t xml:space="preserve"> </w:t>
      </w:r>
    </w:p>
    <w:bookmarkEnd w:id="1"/>
    <w:bookmarkEnd w:id="2"/>
    <w:p w:rsidRPr="00DB28F3" w:rsidR="00BD1225" w:rsidRDefault="00BD1225" w14:paraId="712713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3124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B28F3" w:rsidR="008C26B3" w:rsidRDefault="008C26B3" w14:paraId="6ED88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8C26B3" w:rsidRDefault="004C1D0B" w14:paraId="049D6D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State</w:t>
      </w:r>
      <w:r w:rsidRPr="00DB28F3" w:rsidR="00815261">
        <w:rPr>
          <w:rFonts w:ascii="Arial" w:hAnsi="Arial" w:cs="Arial"/>
          <w:szCs w:val="24"/>
        </w:rPr>
        <w:t xml:space="preserve"> </w:t>
      </w:r>
      <w:r w:rsidR="00FD4ABA">
        <w:rPr>
          <w:rFonts w:ascii="Arial" w:hAnsi="Arial" w:cs="Arial"/>
          <w:szCs w:val="24"/>
        </w:rPr>
        <w:t xml:space="preserve">Field </w:t>
      </w:r>
      <w:r w:rsidRPr="00DB28F3" w:rsidR="008C26B3">
        <w:rPr>
          <w:rFonts w:ascii="Arial" w:hAnsi="Arial" w:cs="Arial"/>
          <w:szCs w:val="24"/>
        </w:rPr>
        <w:t>Office staff routinely visit producers and industry organizations to promote the program</w:t>
      </w:r>
      <w:r w:rsidRPr="00DB28F3" w:rsidR="00815261">
        <w:rPr>
          <w:rFonts w:ascii="Arial" w:hAnsi="Arial" w:cs="Arial"/>
          <w:szCs w:val="24"/>
        </w:rPr>
        <w:t>s</w:t>
      </w:r>
      <w:r w:rsidRPr="00DB28F3" w:rsidR="008C26B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DB28F3" w:rsidR="0063570A">
        <w:rPr>
          <w:rFonts w:ascii="Arial" w:hAnsi="Arial" w:cs="Arial"/>
          <w:szCs w:val="24"/>
        </w:rPr>
        <w:t>-</w:t>
      </w:r>
      <w:r w:rsidRPr="00DB28F3" w:rsidR="008C26B3">
        <w:rPr>
          <w:rFonts w:ascii="Arial" w:hAnsi="Arial" w:cs="Arial"/>
          <w:szCs w:val="24"/>
        </w:rPr>
        <w:t>response follow up.</w:t>
      </w:r>
    </w:p>
    <w:p w:rsidRPr="00DB28F3" w:rsidR="008C26B3" w:rsidRDefault="008C26B3" w14:paraId="266EB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B30F41" w:rsidRDefault="00B30F41" w14:paraId="008D8F36" w14:textId="68A5F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lastRenderedPageBreak/>
        <w:t xml:space="preserve">NASS relies on multiple modes for collecting data. The questionnaires are mailed to the respondents </w:t>
      </w:r>
      <w:r w:rsidRPr="00DB28F3" w:rsidR="00232C82">
        <w:rPr>
          <w:rFonts w:ascii="Arial" w:hAnsi="Arial" w:cs="Arial"/>
          <w:szCs w:val="24"/>
        </w:rPr>
        <w:t>who</w:t>
      </w:r>
      <w:r w:rsidRPr="00DB28F3">
        <w:rPr>
          <w:rFonts w:ascii="Arial" w:hAnsi="Arial" w:cs="Arial"/>
          <w:szCs w:val="24"/>
        </w:rPr>
        <w:t xml:space="preserve"> can either return them by postage paid envelope, email, fax, or telephone.  If we have not received a response within the allotted time, phone enumerators will be used to contact the respondents. </w:t>
      </w:r>
    </w:p>
    <w:p w:rsidRPr="00DB28F3" w:rsidR="008C26B3" w:rsidRDefault="008C26B3" w14:paraId="51BBC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2AF6E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Pr="002D16FB" w:rsidR="008C26B3" w:rsidRDefault="008C26B3" w14:paraId="5D96C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D16FB" w:rsidR="008C26B3" w:rsidRDefault="002E65F7" w14:paraId="7BF84733" w14:textId="21F2EE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E65F7">
        <w:rPr>
          <w:rFonts w:ascii="Arial" w:hAnsi="Arial" w:cs="Arial"/>
          <w:szCs w:val="24"/>
        </w:rPr>
        <w:t xml:space="preserve">The </w:t>
      </w:r>
      <w:r>
        <w:rPr>
          <w:rFonts w:ascii="Arial" w:hAnsi="Arial" w:cs="Arial"/>
          <w:szCs w:val="24"/>
        </w:rPr>
        <w:t xml:space="preserve">test </w:t>
      </w:r>
      <w:r w:rsidRPr="002E65F7">
        <w:rPr>
          <w:rFonts w:ascii="Arial" w:hAnsi="Arial" w:cs="Arial"/>
          <w:szCs w:val="24"/>
        </w:rPr>
        <w:t>survey preparation occurred as follows: First</w:t>
      </w:r>
      <w:r>
        <w:rPr>
          <w:rFonts w:ascii="Arial" w:hAnsi="Arial" w:cs="Arial"/>
          <w:szCs w:val="24"/>
        </w:rPr>
        <w:t xml:space="preserve">, the Client </w:t>
      </w:r>
      <w:r w:rsidRPr="002E65F7">
        <w:rPr>
          <w:rFonts w:ascii="Arial" w:hAnsi="Arial" w:cs="Arial"/>
          <w:szCs w:val="24"/>
        </w:rPr>
        <w:t>had two focus groups with farmers, one group who ha</w:t>
      </w:r>
      <w:r>
        <w:rPr>
          <w:rFonts w:ascii="Arial" w:hAnsi="Arial" w:cs="Arial"/>
          <w:szCs w:val="24"/>
        </w:rPr>
        <w:t>d</w:t>
      </w:r>
      <w:r w:rsidRPr="002E65F7">
        <w:rPr>
          <w:rFonts w:ascii="Arial" w:hAnsi="Arial" w:cs="Arial"/>
          <w:szCs w:val="24"/>
        </w:rPr>
        <w:t xml:space="preserve"> adopted soil conservation practices and another group who ha</w:t>
      </w:r>
      <w:r>
        <w:rPr>
          <w:rFonts w:ascii="Arial" w:hAnsi="Arial" w:cs="Arial"/>
          <w:szCs w:val="24"/>
        </w:rPr>
        <w:t>d</w:t>
      </w:r>
      <w:r w:rsidRPr="002E65F7">
        <w:rPr>
          <w:rFonts w:ascii="Arial" w:hAnsi="Arial" w:cs="Arial"/>
          <w:szCs w:val="24"/>
        </w:rPr>
        <w:t xml:space="preserve"> not. Based on that</w:t>
      </w:r>
      <w:r>
        <w:rPr>
          <w:rFonts w:ascii="Arial" w:hAnsi="Arial" w:cs="Arial"/>
          <w:szCs w:val="24"/>
        </w:rPr>
        <w:t>,</w:t>
      </w:r>
      <w:r w:rsidRPr="002E65F7">
        <w:rPr>
          <w:rFonts w:ascii="Arial" w:hAnsi="Arial" w:cs="Arial"/>
          <w:szCs w:val="24"/>
        </w:rPr>
        <w:t xml:space="preserve"> </w:t>
      </w:r>
      <w:r>
        <w:rPr>
          <w:rFonts w:ascii="Arial" w:hAnsi="Arial" w:cs="Arial"/>
          <w:szCs w:val="24"/>
        </w:rPr>
        <w:t>the Client</w:t>
      </w:r>
      <w:r w:rsidRPr="002E65F7">
        <w:rPr>
          <w:rFonts w:ascii="Arial" w:hAnsi="Arial" w:cs="Arial"/>
          <w:szCs w:val="24"/>
        </w:rPr>
        <w:t xml:space="preserve"> developed an initial version of the survey</w:t>
      </w:r>
      <w:r>
        <w:rPr>
          <w:rFonts w:ascii="Arial" w:hAnsi="Arial" w:cs="Arial"/>
          <w:szCs w:val="24"/>
        </w:rPr>
        <w:t xml:space="preserve"> and</w:t>
      </w:r>
      <w:r w:rsidRPr="002E65F7">
        <w:rPr>
          <w:rFonts w:ascii="Arial" w:hAnsi="Arial" w:cs="Arial"/>
          <w:szCs w:val="24"/>
        </w:rPr>
        <w:t xml:space="preserve"> had a series of meetings </w:t>
      </w:r>
      <w:r w:rsidRPr="00E77DF4">
        <w:rPr>
          <w:rFonts w:ascii="Arial" w:hAnsi="Arial" w:cs="Arial"/>
          <w:szCs w:val="24"/>
        </w:rPr>
        <w:t>in which individuals were asked to complete the survey.  The Client then talked thro</w:t>
      </w:r>
      <w:r w:rsidRPr="002E65F7">
        <w:rPr>
          <w:rFonts w:ascii="Arial" w:hAnsi="Arial" w:cs="Arial"/>
          <w:szCs w:val="24"/>
        </w:rPr>
        <w:t>ugh the survey question by question</w:t>
      </w:r>
      <w:r>
        <w:rPr>
          <w:rFonts w:ascii="Arial" w:hAnsi="Arial" w:cs="Arial"/>
          <w:szCs w:val="24"/>
        </w:rPr>
        <w:t xml:space="preserve">; </w:t>
      </w:r>
      <w:r w:rsidRPr="002E65F7">
        <w:rPr>
          <w:rFonts w:ascii="Arial" w:hAnsi="Arial" w:cs="Arial"/>
          <w:szCs w:val="24"/>
        </w:rPr>
        <w:t xml:space="preserve">first with students </w:t>
      </w:r>
      <w:r>
        <w:rPr>
          <w:rFonts w:ascii="Arial" w:hAnsi="Arial" w:cs="Arial"/>
          <w:szCs w:val="24"/>
        </w:rPr>
        <w:t>having</w:t>
      </w:r>
      <w:r w:rsidRPr="002E65F7">
        <w:rPr>
          <w:rFonts w:ascii="Arial" w:hAnsi="Arial" w:cs="Arial"/>
          <w:szCs w:val="24"/>
        </w:rPr>
        <w:t xml:space="preserve"> significant farming background (3 or 4 separate meetings)</w:t>
      </w:r>
      <w:r w:rsidR="00B16121">
        <w:rPr>
          <w:rFonts w:ascii="Arial" w:hAnsi="Arial" w:cs="Arial"/>
          <w:szCs w:val="24"/>
        </w:rPr>
        <w:t>,</w:t>
      </w:r>
      <w:r w:rsidRPr="002E65F7">
        <w:rPr>
          <w:rFonts w:ascii="Arial" w:hAnsi="Arial" w:cs="Arial"/>
          <w:szCs w:val="24"/>
        </w:rPr>
        <w:t xml:space="preserve"> then with farmers (2-4 separate meetings).  After each such meeting, </w:t>
      </w:r>
      <w:r>
        <w:rPr>
          <w:rFonts w:ascii="Arial" w:hAnsi="Arial" w:cs="Arial"/>
          <w:szCs w:val="24"/>
        </w:rPr>
        <w:t xml:space="preserve">the Client made </w:t>
      </w:r>
      <w:r w:rsidRPr="002E65F7">
        <w:rPr>
          <w:rFonts w:ascii="Arial" w:hAnsi="Arial" w:cs="Arial"/>
          <w:szCs w:val="24"/>
        </w:rPr>
        <w:t>corrections</w:t>
      </w:r>
      <w:r>
        <w:rPr>
          <w:rFonts w:ascii="Arial" w:hAnsi="Arial" w:cs="Arial"/>
          <w:szCs w:val="24"/>
        </w:rPr>
        <w:t>/updates</w:t>
      </w:r>
      <w:r w:rsidRPr="002E65F7">
        <w:rPr>
          <w:rFonts w:ascii="Arial" w:hAnsi="Arial" w:cs="Arial"/>
          <w:szCs w:val="24"/>
        </w:rPr>
        <w:t xml:space="preserve"> to improve clarity and ensure </w:t>
      </w:r>
      <w:r>
        <w:rPr>
          <w:rFonts w:ascii="Arial" w:hAnsi="Arial" w:cs="Arial"/>
          <w:szCs w:val="24"/>
        </w:rPr>
        <w:t xml:space="preserve">they </w:t>
      </w:r>
      <w:r w:rsidRPr="002E65F7">
        <w:rPr>
          <w:rFonts w:ascii="Arial" w:hAnsi="Arial" w:cs="Arial"/>
          <w:szCs w:val="24"/>
        </w:rPr>
        <w:t xml:space="preserve">were getting the information </w:t>
      </w:r>
      <w:r>
        <w:rPr>
          <w:rFonts w:ascii="Arial" w:hAnsi="Arial" w:cs="Arial"/>
          <w:szCs w:val="24"/>
        </w:rPr>
        <w:t>sought.</w:t>
      </w:r>
      <w:r w:rsidRPr="002D16FB">
        <w:rPr>
          <w:rFonts w:ascii="Arial" w:hAnsi="Arial" w:cs="Arial"/>
          <w:szCs w:val="24"/>
        </w:rPr>
        <w:t xml:space="preserve"> </w:t>
      </w:r>
      <w:r w:rsidR="00B16121">
        <w:rPr>
          <w:rFonts w:ascii="Arial" w:hAnsi="Arial" w:cs="Arial"/>
          <w:szCs w:val="24"/>
        </w:rPr>
        <w:t>The final version submitted with this packet is the result</w:t>
      </w:r>
      <w:r w:rsidR="00E77DF4">
        <w:rPr>
          <w:rFonts w:ascii="Arial" w:hAnsi="Arial" w:cs="Arial"/>
          <w:szCs w:val="24"/>
        </w:rPr>
        <w:t xml:space="preserve"> of these tests, along with the average estimate for respondent burden of completing the questionnaire</w:t>
      </w:r>
      <w:r w:rsidR="00B16121">
        <w:rPr>
          <w:rFonts w:ascii="Arial" w:hAnsi="Arial" w:cs="Arial"/>
          <w:szCs w:val="24"/>
        </w:rPr>
        <w:t>.</w:t>
      </w:r>
    </w:p>
    <w:p w:rsidRPr="002D16FB" w:rsidR="008C26B3" w:rsidRDefault="008C26B3" w14:paraId="7ED07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1E440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Pr="002D16FB" w:rsidR="008C26B3" w:rsidRDefault="008C26B3" w14:paraId="31C5D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86BFB" w:rsidR="008C26B3" w:rsidRDefault="004A65AF" w14:paraId="0DD2C28D" w14:textId="31801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Pr="00F86BFB" w:rsidR="008C26B3">
        <w:rPr>
          <w:rFonts w:ascii="Arial" w:hAnsi="Arial" w:cs="Arial"/>
          <w:szCs w:val="24"/>
        </w:rPr>
        <w:t xml:space="preserve">ample sizes are reviewed by the Agency's </w:t>
      </w:r>
      <w:r w:rsidRPr="00F86BFB" w:rsidR="009C0215">
        <w:rPr>
          <w:rFonts w:ascii="Arial" w:hAnsi="Arial" w:cs="Arial"/>
          <w:szCs w:val="24"/>
        </w:rPr>
        <w:t>Sampl</w:t>
      </w:r>
      <w:r w:rsidRPr="00F86BFB" w:rsidR="002D16FB">
        <w:rPr>
          <w:rFonts w:ascii="Arial" w:hAnsi="Arial" w:cs="Arial"/>
          <w:szCs w:val="24"/>
        </w:rPr>
        <w:t xml:space="preserve">ing, Editing and Imputation Methodology Branch, Methods </w:t>
      </w:r>
      <w:r w:rsidRPr="00F86BFB" w:rsidR="008C26B3">
        <w:rPr>
          <w:rFonts w:ascii="Arial" w:hAnsi="Arial" w:cs="Arial"/>
          <w:szCs w:val="24"/>
        </w:rPr>
        <w:t xml:space="preserve">Division; </w:t>
      </w:r>
      <w:r w:rsidRPr="00F86BFB" w:rsidR="002D16FB">
        <w:rPr>
          <w:rFonts w:ascii="Arial" w:hAnsi="Arial" w:cs="Arial"/>
          <w:szCs w:val="24"/>
        </w:rPr>
        <w:t>Branch Chief i</w:t>
      </w:r>
      <w:r w:rsidRPr="00F86BFB" w:rsidR="008C26B3">
        <w:rPr>
          <w:rFonts w:ascii="Arial" w:hAnsi="Arial" w:cs="Arial"/>
          <w:szCs w:val="24"/>
        </w:rPr>
        <w:t xml:space="preserve">s </w:t>
      </w:r>
      <w:r w:rsidRPr="00F86BFB" w:rsidR="002D16FB">
        <w:rPr>
          <w:rFonts w:ascii="Arial" w:hAnsi="Arial" w:cs="Arial"/>
          <w:szCs w:val="24"/>
        </w:rPr>
        <w:t>Mark Apodaca</w:t>
      </w:r>
      <w:r w:rsidRPr="00F86BFB" w:rsidR="009C0215">
        <w:rPr>
          <w:rFonts w:ascii="Arial" w:hAnsi="Arial" w:cs="Arial"/>
          <w:szCs w:val="24"/>
        </w:rPr>
        <w:t xml:space="preserve"> (202) 720-</w:t>
      </w:r>
      <w:r w:rsidRPr="00F86BFB" w:rsidR="002D16FB">
        <w:rPr>
          <w:rFonts w:ascii="Arial" w:hAnsi="Arial" w:cs="Arial"/>
          <w:szCs w:val="24"/>
        </w:rPr>
        <w:t>5805</w:t>
      </w:r>
      <w:r w:rsidRPr="00F86BFB" w:rsidR="008C26B3">
        <w:rPr>
          <w:rFonts w:ascii="Arial" w:hAnsi="Arial" w:cs="Arial"/>
          <w:szCs w:val="24"/>
        </w:rPr>
        <w:t xml:space="preserve">. </w:t>
      </w:r>
    </w:p>
    <w:p w:rsidRPr="00F86BFB" w:rsidR="008C26B3" w:rsidRDefault="008C26B3" w14:paraId="697E52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E0A40" w:rsidR="00495493" w:rsidP="00946E51" w:rsidRDefault="004A65AF" w14:paraId="2E2234C0" w14:textId="26554D38">
      <w:pPr>
        <w:keepNext/>
        <w:ind w:left="720"/>
        <w:rPr>
          <w:rFonts w:ascii="Arial" w:hAnsi="Arial" w:cs="Arial"/>
          <w:color w:val="FF0000"/>
          <w:szCs w:val="24"/>
        </w:rPr>
      </w:pPr>
      <w:r>
        <w:rPr>
          <w:rFonts w:ascii="Arial" w:hAnsi="Arial" w:cs="Arial"/>
        </w:rPr>
        <w:t xml:space="preserve">The NASS survey administration, </w:t>
      </w:r>
      <w:r w:rsidR="002A5AC9">
        <w:rPr>
          <w:rFonts w:ascii="Arial" w:hAnsi="Arial" w:cs="Arial"/>
        </w:rPr>
        <w:t xml:space="preserve">sampling, </w:t>
      </w:r>
      <w:r>
        <w:rPr>
          <w:rFonts w:ascii="Arial" w:hAnsi="Arial" w:cs="Arial"/>
        </w:rPr>
        <w:t>d</w:t>
      </w:r>
      <w:r w:rsidRPr="00F86BFB" w:rsidR="002557B4">
        <w:rPr>
          <w:rFonts w:ascii="Arial" w:hAnsi="Arial" w:cs="Arial"/>
        </w:rPr>
        <w:t>ata collection</w:t>
      </w:r>
      <w:r>
        <w:rPr>
          <w:rFonts w:ascii="Arial" w:hAnsi="Arial" w:cs="Arial"/>
        </w:rPr>
        <w:t>, estimation, and publication</w:t>
      </w:r>
      <w:r w:rsidRPr="00F86BFB" w:rsidR="002557B4">
        <w:rPr>
          <w:rFonts w:ascii="Arial" w:hAnsi="Arial" w:cs="Arial"/>
        </w:rPr>
        <w:t xml:space="preserve"> </w:t>
      </w:r>
      <w:r>
        <w:rPr>
          <w:rFonts w:ascii="Arial" w:hAnsi="Arial" w:cs="Arial"/>
        </w:rPr>
        <w:t>are</w:t>
      </w:r>
      <w:r w:rsidRPr="00F86BFB" w:rsidR="002557B4">
        <w:rPr>
          <w:rFonts w:ascii="Arial" w:hAnsi="Arial" w:cs="Arial"/>
        </w:rPr>
        <w:t xml:space="preserve"> carried out by NASS </w:t>
      </w:r>
      <w:r w:rsidRPr="00F86BFB" w:rsidR="002D16FB">
        <w:rPr>
          <w:rFonts w:ascii="Arial" w:hAnsi="Arial" w:cs="Arial"/>
        </w:rPr>
        <w:t xml:space="preserve">Regional </w:t>
      </w:r>
      <w:r w:rsidRPr="00F86BFB" w:rsidR="002557B4">
        <w:rPr>
          <w:rFonts w:ascii="Arial" w:hAnsi="Arial" w:cs="Arial"/>
        </w:rPr>
        <w:t xml:space="preserve">Field Offices; </w:t>
      </w:r>
      <w:r w:rsidR="00946E51">
        <w:rPr>
          <w:rFonts w:ascii="Arial" w:hAnsi="Arial" w:cs="Arial"/>
        </w:rPr>
        <w:t xml:space="preserve">Eastern </w:t>
      </w:r>
      <w:r w:rsidRPr="00F86BFB" w:rsidR="002557B4">
        <w:rPr>
          <w:rFonts w:ascii="Arial" w:hAnsi="Arial" w:cs="Arial"/>
        </w:rPr>
        <w:t xml:space="preserve">Field Operation’s Director is </w:t>
      </w:r>
      <w:r w:rsidR="00946E51">
        <w:rPr>
          <w:rFonts w:ascii="Arial" w:hAnsi="Arial" w:cs="Arial"/>
        </w:rPr>
        <w:t>Jay Johnson</w:t>
      </w:r>
      <w:r w:rsidRPr="00F86BFB" w:rsidR="002557B4">
        <w:rPr>
          <w:rFonts w:ascii="Arial" w:hAnsi="Arial" w:cs="Arial"/>
        </w:rPr>
        <w:t xml:space="preserve">, </w:t>
      </w:r>
      <w:r w:rsidRPr="00B74380" w:rsidR="0084213F">
        <w:rPr>
          <w:rFonts w:ascii="Arial" w:hAnsi="Arial"/>
          <w:szCs w:val="24"/>
        </w:rPr>
        <w:t>(202) 720-</w:t>
      </w:r>
      <w:r w:rsidR="00946E51">
        <w:rPr>
          <w:rFonts w:ascii="Arial" w:hAnsi="Arial"/>
          <w:szCs w:val="24"/>
        </w:rPr>
        <w:t>3638</w:t>
      </w:r>
      <w:r w:rsidRPr="00F86BFB" w:rsidR="002557B4">
        <w:rPr>
          <w:rFonts w:ascii="Arial" w:hAnsi="Arial" w:cs="Arial"/>
        </w:rPr>
        <w:t>.</w:t>
      </w:r>
      <w:r>
        <w:rPr>
          <w:rFonts w:ascii="Arial" w:hAnsi="Arial" w:cs="Arial"/>
        </w:rPr>
        <w:t xml:space="preserve">  </w:t>
      </w:r>
      <w:r w:rsidRPr="00F86BFB" w:rsid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Pr="00F86BFB" w:rsidR="00F86BFB">
        <w:rPr>
          <w:rFonts w:ascii="Arial" w:hAnsi="Arial" w:cs="Arial"/>
          <w:szCs w:val="24"/>
        </w:rPr>
        <w:t>, training, data processing.</w:t>
      </w:r>
    </w:p>
    <w:sectPr w:rsidRPr="002E0A40" w:rsidR="00495493" w:rsidSect="00815261">
      <w:headerReference w:type="default" r:id="rId8"/>
      <w:foot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F27C5" w14:textId="77777777" w:rsidR="00D912BF" w:rsidRDefault="00D912BF">
      <w:r>
        <w:separator/>
      </w:r>
    </w:p>
  </w:endnote>
  <w:endnote w:type="continuationSeparator" w:id="0">
    <w:p w14:paraId="4B4997F0" w14:textId="77777777" w:rsidR="00D912BF" w:rsidRDefault="00D9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551008"/>
      <w:docPartObj>
        <w:docPartGallery w:val="Page Numbers (Bottom of Page)"/>
        <w:docPartUnique/>
      </w:docPartObj>
    </w:sdtPr>
    <w:sdtEndPr>
      <w:rPr>
        <w:noProof/>
      </w:rPr>
    </w:sdtEndPr>
    <w:sdtContent>
      <w:p w14:paraId="320431C4" w14:textId="1C0359B8" w:rsidR="00D912BF" w:rsidRDefault="00D912BF">
        <w:pPr>
          <w:pStyle w:val="Footer"/>
          <w:jc w:val="center"/>
        </w:pPr>
        <w:r>
          <w:fldChar w:fldCharType="begin"/>
        </w:r>
        <w:r>
          <w:instrText xml:space="preserve"> PAGE   \* MERGEFORMAT </w:instrText>
        </w:r>
        <w:r>
          <w:fldChar w:fldCharType="separate"/>
        </w:r>
        <w:r w:rsidR="006C409E">
          <w:rPr>
            <w:noProof/>
          </w:rPr>
          <w:t>3</w:t>
        </w:r>
        <w:r>
          <w:rPr>
            <w:noProof/>
          </w:rPr>
          <w:fldChar w:fldCharType="end"/>
        </w:r>
      </w:p>
    </w:sdtContent>
  </w:sdt>
  <w:p w14:paraId="65F5FB1A" w14:textId="77777777" w:rsidR="00D912BF" w:rsidRDefault="00D91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8A6BD" w14:textId="77777777" w:rsidR="00D912BF" w:rsidRDefault="00D912BF">
      <w:r>
        <w:separator/>
      </w:r>
    </w:p>
  </w:footnote>
  <w:footnote w:type="continuationSeparator" w:id="0">
    <w:p w14:paraId="62F1FA2C" w14:textId="77777777" w:rsidR="00D912BF" w:rsidRDefault="00D91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F18EC" w14:textId="77777777" w:rsidR="00D912BF" w:rsidRDefault="00D91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16"/>
    <w:rsid w:val="00000ED9"/>
    <w:rsid w:val="0001461A"/>
    <w:rsid w:val="00042C77"/>
    <w:rsid w:val="000607CF"/>
    <w:rsid w:val="00092333"/>
    <w:rsid w:val="00093BDD"/>
    <w:rsid w:val="000A315F"/>
    <w:rsid w:val="000D182C"/>
    <w:rsid w:val="000D2326"/>
    <w:rsid w:val="000D477E"/>
    <w:rsid w:val="000D4D26"/>
    <w:rsid w:val="000D4F21"/>
    <w:rsid w:val="000D749E"/>
    <w:rsid w:val="000F5A0B"/>
    <w:rsid w:val="001459CA"/>
    <w:rsid w:val="0015432E"/>
    <w:rsid w:val="001900FB"/>
    <w:rsid w:val="00191E8C"/>
    <w:rsid w:val="00194CA6"/>
    <w:rsid w:val="001A4DB3"/>
    <w:rsid w:val="001C09FB"/>
    <w:rsid w:val="001E244C"/>
    <w:rsid w:val="001F4263"/>
    <w:rsid w:val="00210814"/>
    <w:rsid w:val="00221275"/>
    <w:rsid w:val="00232C82"/>
    <w:rsid w:val="00237A05"/>
    <w:rsid w:val="002557B4"/>
    <w:rsid w:val="00271619"/>
    <w:rsid w:val="00283C02"/>
    <w:rsid w:val="002A5AC9"/>
    <w:rsid w:val="002B7738"/>
    <w:rsid w:val="002C1DC3"/>
    <w:rsid w:val="002D16FB"/>
    <w:rsid w:val="002D4816"/>
    <w:rsid w:val="002E0A40"/>
    <w:rsid w:val="002E65F7"/>
    <w:rsid w:val="00304420"/>
    <w:rsid w:val="00313D8E"/>
    <w:rsid w:val="00324FEE"/>
    <w:rsid w:val="00327141"/>
    <w:rsid w:val="00331804"/>
    <w:rsid w:val="00333479"/>
    <w:rsid w:val="003939B2"/>
    <w:rsid w:val="003A0CB1"/>
    <w:rsid w:val="003C33EF"/>
    <w:rsid w:val="00402F38"/>
    <w:rsid w:val="004348C2"/>
    <w:rsid w:val="00435118"/>
    <w:rsid w:val="00447C13"/>
    <w:rsid w:val="00455318"/>
    <w:rsid w:val="00480D27"/>
    <w:rsid w:val="00495493"/>
    <w:rsid w:val="004A2B6B"/>
    <w:rsid w:val="004A376C"/>
    <w:rsid w:val="004A65AF"/>
    <w:rsid w:val="004B47C9"/>
    <w:rsid w:val="004B7C20"/>
    <w:rsid w:val="004C1BEC"/>
    <w:rsid w:val="004C1D0B"/>
    <w:rsid w:val="004E0616"/>
    <w:rsid w:val="004F1FC8"/>
    <w:rsid w:val="00527F5D"/>
    <w:rsid w:val="005407E2"/>
    <w:rsid w:val="00545C35"/>
    <w:rsid w:val="005A11B2"/>
    <w:rsid w:val="005E7626"/>
    <w:rsid w:val="006043B0"/>
    <w:rsid w:val="006079CF"/>
    <w:rsid w:val="00611150"/>
    <w:rsid w:val="00614860"/>
    <w:rsid w:val="0063570A"/>
    <w:rsid w:val="006407D3"/>
    <w:rsid w:val="00642F7B"/>
    <w:rsid w:val="00643AAB"/>
    <w:rsid w:val="0066184B"/>
    <w:rsid w:val="00670C9F"/>
    <w:rsid w:val="006938C2"/>
    <w:rsid w:val="006C409E"/>
    <w:rsid w:val="006E77D2"/>
    <w:rsid w:val="00705E65"/>
    <w:rsid w:val="00734F43"/>
    <w:rsid w:val="00737B6B"/>
    <w:rsid w:val="007677C5"/>
    <w:rsid w:val="007E0F45"/>
    <w:rsid w:val="007E75B1"/>
    <w:rsid w:val="007F7CF9"/>
    <w:rsid w:val="008039EE"/>
    <w:rsid w:val="00815261"/>
    <w:rsid w:val="0082191F"/>
    <w:rsid w:val="008245F9"/>
    <w:rsid w:val="00830E62"/>
    <w:rsid w:val="0084213F"/>
    <w:rsid w:val="0084336B"/>
    <w:rsid w:val="00853F13"/>
    <w:rsid w:val="00854AAE"/>
    <w:rsid w:val="00856B2D"/>
    <w:rsid w:val="00856EB8"/>
    <w:rsid w:val="0086496D"/>
    <w:rsid w:val="00866211"/>
    <w:rsid w:val="0089200E"/>
    <w:rsid w:val="00896853"/>
    <w:rsid w:val="008A492B"/>
    <w:rsid w:val="008B2CB5"/>
    <w:rsid w:val="008B620D"/>
    <w:rsid w:val="008C0C8C"/>
    <w:rsid w:val="008C26B3"/>
    <w:rsid w:val="008C3645"/>
    <w:rsid w:val="008E5A67"/>
    <w:rsid w:val="009223AD"/>
    <w:rsid w:val="00923422"/>
    <w:rsid w:val="009267C9"/>
    <w:rsid w:val="0094106A"/>
    <w:rsid w:val="0094207B"/>
    <w:rsid w:val="00946E51"/>
    <w:rsid w:val="0094744E"/>
    <w:rsid w:val="0095407A"/>
    <w:rsid w:val="00965EBD"/>
    <w:rsid w:val="00974A56"/>
    <w:rsid w:val="00974AFC"/>
    <w:rsid w:val="00976261"/>
    <w:rsid w:val="009927E3"/>
    <w:rsid w:val="009977FA"/>
    <w:rsid w:val="009C0215"/>
    <w:rsid w:val="009C7D80"/>
    <w:rsid w:val="009D22C4"/>
    <w:rsid w:val="009E1905"/>
    <w:rsid w:val="009F0A6C"/>
    <w:rsid w:val="00A21C29"/>
    <w:rsid w:val="00A306DC"/>
    <w:rsid w:val="00A62DE2"/>
    <w:rsid w:val="00A77327"/>
    <w:rsid w:val="00AA0C19"/>
    <w:rsid w:val="00AA7C9D"/>
    <w:rsid w:val="00AB658B"/>
    <w:rsid w:val="00AC1653"/>
    <w:rsid w:val="00AC25CA"/>
    <w:rsid w:val="00AC4A9B"/>
    <w:rsid w:val="00AD463C"/>
    <w:rsid w:val="00AD79F4"/>
    <w:rsid w:val="00B00352"/>
    <w:rsid w:val="00B16121"/>
    <w:rsid w:val="00B2474A"/>
    <w:rsid w:val="00B30F41"/>
    <w:rsid w:val="00B31048"/>
    <w:rsid w:val="00B93949"/>
    <w:rsid w:val="00BA4761"/>
    <w:rsid w:val="00BC17DD"/>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B6DB3"/>
    <w:rsid w:val="00CC52A4"/>
    <w:rsid w:val="00D02D82"/>
    <w:rsid w:val="00D156FE"/>
    <w:rsid w:val="00D3525F"/>
    <w:rsid w:val="00D40DEB"/>
    <w:rsid w:val="00D44CA0"/>
    <w:rsid w:val="00D64509"/>
    <w:rsid w:val="00D912BF"/>
    <w:rsid w:val="00DA42D0"/>
    <w:rsid w:val="00DB28F3"/>
    <w:rsid w:val="00DB4BAD"/>
    <w:rsid w:val="00DB7929"/>
    <w:rsid w:val="00DE27C5"/>
    <w:rsid w:val="00E0630B"/>
    <w:rsid w:val="00E51AC3"/>
    <w:rsid w:val="00E54A11"/>
    <w:rsid w:val="00E60364"/>
    <w:rsid w:val="00E77DF4"/>
    <w:rsid w:val="00EC08AB"/>
    <w:rsid w:val="00ED2BAF"/>
    <w:rsid w:val="00F14A88"/>
    <w:rsid w:val="00F52A7F"/>
    <w:rsid w:val="00F65255"/>
    <w:rsid w:val="00F718F8"/>
    <w:rsid w:val="00F7527B"/>
    <w:rsid w:val="00F86BFB"/>
    <w:rsid w:val="00FA7740"/>
    <w:rsid w:val="00FC5803"/>
    <w:rsid w:val="00FD1BF2"/>
    <w:rsid w:val="00FD4ABA"/>
    <w:rsid w:val="00FD529E"/>
    <w:rsid w:val="00FF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2D6CE"/>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table" w:styleId="TableGrid">
    <w:name w:val="Table Grid"/>
    <w:basedOn w:val="TableNormal"/>
    <w:rsid w:val="0094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681589400">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509099980">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BC75-BCEE-4310-84FC-EDE8A81D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80145EBE.dotm</Template>
  <TotalTime>2</TotalTime>
  <Pages>3</Pages>
  <Words>1006</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NASS</cp:lastModifiedBy>
  <cp:revision>2</cp:revision>
  <cp:lastPrinted>2017-09-25T18:12:00Z</cp:lastPrinted>
  <dcterms:created xsi:type="dcterms:W3CDTF">2020-04-03T15:04:00Z</dcterms:created>
  <dcterms:modified xsi:type="dcterms:W3CDTF">2020-04-03T15:04:00Z</dcterms:modified>
</cp:coreProperties>
</file>