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C0CAF" w14:textId="6E9CF0DA" w:rsidR="00384290" w:rsidRPr="009A1674" w:rsidRDefault="00384290" w:rsidP="00384290">
      <w:pPr>
        <w:jc w:val="center"/>
      </w:pPr>
      <w:bookmarkStart w:id="0" w:name="_GoBack"/>
      <w:bookmarkEnd w:id="0"/>
      <w:r>
        <w:t xml:space="preserve">Evaluation of the Food and Drug Administration’s </w:t>
      </w:r>
      <w:r w:rsidR="006B392C">
        <w:t xml:space="preserve">Point-of-Sale </w:t>
      </w:r>
      <w:r>
        <w:t>Campaign</w:t>
      </w:r>
    </w:p>
    <w:p w14:paraId="10AF3DAA" w14:textId="77777777" w:rsidR="00384290" w:rsidRPr="009A1674" w:rsidRDefault="00384290" w:rsidP="00384290">
      <w:pPr>
        <w:jc w:val="center"/>
      </w:pPr>
    </w:p>
    <w:p w14:paraId="2DDD5D0E" w14:textId="77777777" w:rsidR="00384290" w:rsidRDefault="00384290" w:rsidP="00384290">
      <w:pPr>
        <w:jc w:val="center"/>
      </w:pPr>
      <w:r w:rsidRPr="009A1674">
        <w:t>0910-NEW</w:t>
      </w:r>
    </w:p>
    <w:p w14:paraId="2047A1B4" w14:textId="77777777" w:rsidR="00384290" w:rsidRDefault="00384290" w:rsidP="00384290">
      <w:pPr>
        <w:jc w:val="center"/>
      </w:pPr>
    </w:p>
    <w:p w14:paraId="77133208" w14:textId="77777777" w:rsidR="00EB7538" w:rsidRPr="004A3E9D" w:rsidRDefault="00EB7538" w:rsidP="004A3E9D">
      <w:pPr>
        <w:pStyle w:val="Heading1"/>
      </w:pPr>
      <w:bookmarkStart w:id="1" w:name="_Toc365038358"/>
      <w:bookmarkStart w:id="2" w:name="_Toc365473622"/>
      <w:r w:rsidRPr="004A3E9D">
        <w:rPr>
          <w:rFonts w:ascii="Times New Roman" w:hAnsi="Times New Roman"/>
        </w:rPr>
        <w:t>SUPPORTING STATEMENT</w:t>
      </w:r>
      <w:bookmarkEnd w:id="1"/>
      <w:bookmarkEnd w:id="2"/>
    </w:p>
    <w:p w14:paraId="36734D3A" w14:textId="77777777" w:rsidR="00810FF1" w:rsidRDefault="00810FF1" w:rsidP="00B23769">
      <w:pPr>
        <w:jc w:val="center"/>
        <w:rPr>
          <w:b/>
        </w:rPr>
      </w:pPr>
    </w:p>
    <w:p w14:paraId="00666857" w14:textId="77777777" w:rsidR="00EB7538" w:rsidRDefault="00EB7538" w:rsidP="00EB7538">
      <w:pPr>
        <w:pStyle w:val="NormalWeb"/>
      </w:pPr>
      <w:r>
        <w:rPr>
          <w:b/>
          <w:bCs/>
        </w:rPr>
        <w:t>A. Justification</w:t>
      </w:r>
    </w:p>
    <w:p w14:paraId="73BD82E8" w14:textId="77777777"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14:paraId="4853EC0D" w14:textId="0A25AC30" w:rsidR="00384290" w:rsidRPr="00384290" w:rsidRDefault="00384290" w:rsidP="00C0214D">
      <w:pPr>
        <w:spacing w:before="100" w:beforeAutospacing="1" w:after="100" w:afterAutospacing="1"/>
        <w:ind w:left="720"/>
      </w:pPr>
      <w:r w:rsidRPr="00384290">
        <w:t xml:space="preserve">On June 22, 2009, </w:t>
      </w:r>
      <w:r w:rsidR="00C0214D">
        <w:t>the Food and Drug Administration (</w:t>
      </w:r>
      <w:r w:rsidRPr="00384290">
        <w:t>FDA</w:t>
      </w:r>
      <w:r w:rsidR="00C0214D">
        <w:t>)</w:t>
      </w:r>
      <w:r w:rsidRPr="00384290">
        <w:t xml:space="preserve"> was granted new authority to regulate the manufacture, marketing, and distribution of tobacco products and educate the public about the dangers of tobacco use. Under the Family Smoking Prevention and Tobacco Control Act (Toba</w:t>
      </w:r>
      <w:r w:rsidR="00516DC0">
        <w:t>cco Control Act) (P.L. 111-31)</w:t>
      </w:r>
      <w:r w:rsidRPr="00384290">
        <w:t xml:space="preserve">, FDA is responsible for protecting the public health and reducing tobacco use among minors. Section 1003(d)(2)(D) of the Food, Drug and Cosmetic Act (21 U.S.C. Section 393(d)(2)(D)) and Sections 2, 3, 105, 201, 204, 904, and 908 of </w:t>
      </w:r>
      <w:r w:rsidR="00C0214D">
        <w:t xml:space="preserve">the </w:t>
      </w:r>
      <w:r w:rsidRPr="00384290">
        <w:t xml:space="preserve">Tobacco Control Act support the development and implementation of FDA public education campaigns related to tobacco use. Accordingly, FDA will implement </w:t>
      </w:r>
      <w:r w:rsidR="00E66718">
        <w:t xml:space="preserve">a </w:t>
      </w:r>
      <w:r w:rsidR="006B392C">
        <w:t>point-of-sale</w:t>
      </w:r>
      <w:r w:rsidRPr="00384290">
        <w:t xml:space="preserve"> campaign to reduce the public health burden of tobacco that will consist of </w:t>
      </w:r>
      <w:r w:rsidR="00E66718">
        <w:t xml:space="preserve">a </w:t>
      </w:r>
      <w:r w:rsidR="00A97B9D">
        <w:t>convenience</w:t>
      </w:r>
      <w:r w:rsidR="00E66718">
        <w:t xml:space="preserve"> store-based </w:t>
      </w:r>
      <w:r w:rsidR="00C62E13">
        <w:t xml:space="preserve">public education </w:t>
      </w:r>
      <w:r w:rsidR="00E66718">
        <w:t>campaign</w:t>
      </w:r>
      <w:r w:rsidR="00C90823">
        <w:t xml:space="preserve"> targeting adult smokers</w:t>
      </w:r>
      <w:r w:rsidRPr="00384290">
        <w:t>.</w:t>
      </w:r>
    </w:p>
    <w:p w14:paraId="56939AFE" w14:textId="3251D20A" w:rsidR="00384290" w:rsidRPr="00384290" w:rsidRDefault="00384290" w:rsidP="00384290">
      <w:pPr>
        <w:spacing w:before="100" w:beforeAutospacing="1" w:after="100" w:afterAutospacing="1"/>
        <w:ind w:left="720"/>
      </w:pPr>
      <w:r w:rsidRPr="00384290">
        <w:t>Tobacco use is the leading preventable cause of disease, disability, and death in</w:t>
      </w:r>
      <w:r w:rsidR="009940AA">
        <w:t xml:space="preserve"> the United States. More than 48</w:t>
      </w:r>
      <w:r w:rsidRPr="00384290">
        <w:t>0,000 deaths are caused by tobacco use each year in the United States (USDHHS, 201</w:t>
      </w:r>
      <w:r w:rsidR="009940AA">
        <w:t>4</w:t>
      </w:r>
      <w:r w:rsidRPr="00384290">
        <w:t>). Each day</w:t>
      </w:r>
      <w:r w:rsidR="00C90823">
        <w:t xml:space="preserve"> in the United States</w:t>
      </w:r>
      <w:r w:rsidRPr="00384290">
        <w:t xml:space="preserve">, </w:t>
      </w:r>
      <w:r w:rsidR="00C90823">
        <w:t>nearly 2,500</w:t>
      </w:r>
      <w:r w:rsidRPr="00384290">
        <w:t xml:space="preserve"> youth</w:t>
      </w:r>
      <w:r w:rsidR="00C90823">
        <w:t xml:space="preserve"> under age 18</w:t>
      </w:r>
      <w:r w:rsidRPr="00384290">
        <w:t xml:space="preserve"> try their first cigarette</w:t>
      </w:r>
      <w:r w:rsidR="00C90823">
        <w:t xml:space="preserve"> (SAMHSA</w:t>
      </w:r>
      <w:r w:rsidR="00C5795D">
        <w:t>,</w:t>
      </w:r>
      <w:r w:rsidR="00C90823">
        <w:t xml:space="preserve"> 2016)</w:t>
      </w:r>
      <w:r w:rsidR="00C0214D">
        <w:t>,</w:t>
      </w:r>
      <w:r w:rsidRPr="00384290">
        <w:t xml:space="preserve"> and </w:t>
      </w:r>
      <w:r w:rsidR="00F6562D">
        <w:t>16</w:t>
      </w:r>
      <w:r w:rsidR="003F0E09">
        <w:t xml:space="preserve"> million people have at least one serious illness caused by smoking cigarettes</w:t>
      </w:r>
      <w:r w:rsidRPr="00384290">
        <w:t xml:space="preserve"> (</w:t>
      </w:r>
      <w:r w:rsidR="00F6562D">
        <w:t>USDHHS, 2014</w:t>
      </w:r>
      <w:r w:rsidRPr="00384290">
        <w:t>). The FDA Center for Tobacco Products (CTP) was created to carry out the authorities granted under the 2009 Tobacco Control Act to educate the public about the dangers of tobacco use and serve as a public health resource for tobacco and health information.</w:t>
      </w:r>
    </w:p>
    <w:p w14:paraId="77ADEE2B" w14:textId="4016E714" w:rsidR="00FC77B9" w:rsidRDefault="00384290" w:rsidP="00C0214D">
      <w:pPr>
        <w:spacing w:before="100" w:beforeAutospacing="1" w:after="100" w:afterAutospacing="1"/>
        <w:ind w:left="720"/>
        <w:rPr>
          <w:u w:val="single"/>
        </w:rPr>
      </w:pPr>
      <w:r w:rsidRPr="00384290">
        <w:t xml:space="preserve">Through CTP, FDA researches, develops, and distributes information about tobacco and health to the public, professionals, various branches of government, and other interested groups nationwide using a wide array of formats and media channels. CTP collaborates closely with the Centers for Disease Control and Prevention’s (CDC’s) Office on Smoking and Health (OSH), which has experience implementing and evaluating national </w:t>
      </w:r>
      <w:r w:rsidR="00C62E13">
        <w:t>tobacco-focused public education</w:t>
      </w:r>
      <w:r w:rsidRPr="00384290">
        <w:t xml:space="preserve"> campaigns. FDA will implement </w:t>
      </w:r>
      <w:r w:rsidR="00E66718">
        <w:t xml:space="preserve">a </w:t>
      </w:r>
      <w:r w:rsidR="006B392C">
        <w:t>point-of-sale</w:t>
      </w:r>
      <w:r w:rsidRPr="00384290">
        <w:t xml:space="preserve"> campaign, which will include paid media advertising that highlights the </w:t>
      </w:r>
      <w:r w:rsidR="00E66718" w:rsidRPr="007418CC">
        <w:t xml:space="preserve">importance of </w:t>
      </w:r>
      <w:r w:rsidR="007418CC">
        <w:t>attempting to quit smoking</w:t>
      </w:r>
      <w:r w:rsidR="00FA3375">
        <w:t xml:space="preserve"> even after </w:t>
      </w:r>
      <w:r w:rsidR="00C90823">
        <w:t>a previous</w:t>
      </w:r>
      <w:r w:rsidR="00EB406D">
        <w:t xml:space="preserve"> quit</w:t>
      </w:r>
      <w:r w:rsidR="00FA3375">
        <w:t xml:space="preserve"> attempt</w:t>
      </w:r>
      <w:r w:rsidRPr="007418CC">
        <w:t xml:space="preserve">. </w:t>
      </w:r>
      <w:r w:rsidR="00FA3375" w:rsidRPr="00384290">
        <w:t xml:space="preserve">The objective of the evaluation is to measure the effectiveness of </w:t>
      </w:r>
      <w:r w:rsidR="00FA3375">
        <w:t xml:space="preserve">the </w:t>
      </w:r>
      <w:r w:rsidR="00FA3375" w:rsidRPr="00384290">
        <w:t xml:space="preserve">CTP </w:t>
      </w:r>
      <w:r w:rsidR="00FA3375">
        <w:t xml:space="preserve">point-of-sale </w:t>
      </w:r>
      <w:r w:rsidR="00FA3375" w:rsidRPr="00384290">
        <w:t xml:space="preserve">campaign designed to </w:t>
      </w:r>
      <w:r w:rsidR="00BD0169">
        <w:t>increase motivation to quit</w:t>
      </w:r>
      <w:r w:rsidR="00FA3375" w:rsidRPr="00384290">
        <w:t xml:space="preserve"> among </w:t>
      </w:r>
      <w:r w:rsidR="00FA3375">
        <w:t>adult</w:t>
      </w:r>
      <w:r w:rsidR="00C90823">
        <w:t xml:space="preserve"> smokers</w:t>
      </w:r>
      <w:r w:rsidR="00FA3375">
        <w:t xml:space="preserve"> </w:t>
      </w:r>
      <w:r w:rsidR="00FA3375" w:rsidRPr="00384290">
        <w:t xml:space="preserve">aged </w:t>
      </w:r>
      <w:r w:rsidR="00FA3375">
        <w:t>25</w:t>
      </w:r>
      <w:r w:rsidR="00FA3375" w:rsidRPr="00384290">
        <w:t xml:space="preserve"> to </w:t>
      </w:r>
      <w:r w:rsidR="00FA3375">
        <w:t>54</w:t>
      </w:r>
      <w:r w:rsidR="00FA3375" w:rsidRPr="00384290">
        <w:t>. The goal of the proposed information collection is to evaluate the effectiveness of these efforts in affecting specific cognitive and behavioral outcomes related to tobacco use that are targeted by the campaign.</w:t>
      </w:r>
      <w:r w:rsidR="00FA3375">
        <w:t xml:space="preserve"> </w:t>
      </w:r>
      <w:r w:rsidR="00192D76" w:rsidRPr="007418CC">
        <w:t>Thirty</w:t>
      </w:r>
      <w:r w:rsidR="009B0888">
        <w:t xml:space="preserve"> </w:t>
      </w:r>
      <w:r w:rsidR="00192D76" w:rsidRPr="007418CC">
        <w:t xml:space="preserve">counties </w:t>
      </w:r>
      <w:r w:rsidR="00EB406D">
        <w:t xml:space="preserve">with sufficient media capabilities for the campaign </w:t>
      </w:r>
      <w:r w:rsidR="00192D76" w:rsidRPr="007418CC">
        <w:t xml:space="preserve">were randomly selected from a list of </w:t>
      </w:r>
      <w:r w:rsidR="009B0888">
        <w:t>3</w:t>
      </w:r>
      <w:r w:rsidR="007418CC" w:rsidRPr="007418CC">
        <w:t xml:space="preserve">7 </w:t>
      </w:r>
      <w:r w:rsidR="00192D76" w:rsidRPr="007418CC">
        <w:t xml:space="preserve">potential counties for campaign </w:t>
      </w:r>
      <w:r w:rsidR="0003719B" w:rsidRPr="007418CC">
        <w:t>implementation</w:t>
      </w:r>
      <w:r w:rsidR="00192D76" w:rsidRPr="007418CC">
        <w:t xml:space="preserve">. Of </w:t>
      </w:r>
      <w:r w:rsidR="00192D76" w:rsidRPr="007418CC">
        <w:lastRenderedPageBreak/>
        <w:t xml:space="preserve">these, </w:t>
      </w:r>
      <w:r w:rsidR="009B0888">
        <w:t>15</w:t>
      </w:r>
      <w:r w:rsidR="00192D76" w:rsidRPr="007418CC">
        <w:t xml:space="preserve"> counties </w:t>
      </w:r>
      <w:r w:rsidR="0003719B" w:rsidRPr="007418CC">
        <w:t>were</w:t>
      </w:r>
      <w:r w:rsidR="00192D76" w:rsidRPr="007418CC">
        <w:t xml:space="preserve"> randomly assigned to receive the media</w:t>
      </w:r>
      <w:r w:rsidR="00192D76">
        <w:t xml:space="preserve"> intervention, and 1</w:t>
      </w:r>
      <w:r w:rsidR="009B0888">
        <w:t>5</w:t>
      </w:r>
      <w:r w:rsidR="00192D76">
        <w:t xml:space="preserve"> </w:t>
      </w:r>
      <w:r w:rsidR="0003719B">
        <w:t>were randomized to</w:t>
      </w:r>
      <w:r w:rsidR="00192D76">
        <w:t xml:space="preserve"> serve as control counties. </w:t>
      </w:r>
      <w:r w:rsidR="0071364D">
        <w:t>Participation by retailers in the intervention counties is completely voluntary.</w:t>
      </w:r>
    </w:p>
    <w:p w14:paraId="6696D70A" w14:textId="7A488D66" w:rsidR="00FC77B9" w:rsidRPr="000B6E7F" w:rsidRDefault="00FC77B9" w:rsidP="00C0214D">
      <w:pPr>
        <w:spacing w:before="100" w:beforeAutospacing="1" w:after="100" w:afterAutospacing="1"/>
        <w:ind w:left="720"/>
      </w:pPr>
      <w:r w:rsidRPr="00FC77B9">
        <w:t xml:space="preserve">This study is designed to measure awareness of and exposure to FDA’s </w:t>
      </w:r>
      <w:r w:rsidR="006B392C">
        <w:t>point-of-sale</w:t>
      </w:r>
      <w:r w:rsidRPr="00FC77B9">
        <w:t xml:space="preserve"> campaign among </w:t>
      </w:r>
      <w:r w:rsidR="00E66718">
        <w:t>adults</w:t>
      </w:r>
      <w:r w:rsidR="00FA3375">
        <w:t xml:space="preserve"> </w:t>
      </w:r>
      <w:r w:rsidRPr="00FC77B9">
        <w:t xml:space="preserve">and </w:t>
      </w:r>
      <w:r w:rsidR="00C854A7">
        <w:t>the campaign’s impact</w:t>
      </w:r>
      <w:r w:rsidRPr="00FC77B9">
        <w:t xml:space="preserve"> on outcome variables of interest. </w:t>
      </w:r>
      <w:r w:rsidR="00FA3375">
        <w:t>After identifying eligible participants by mail when possible, t</w:t>
      </w:r>
      <w:r w:rsidRPr="00FC77B9">
        <w:t>he study will re</w:t>
      </w:r>
      <w:r w:rsidR="007418CC">
        <w:t xml:space="preserve">ly on in-person </w:t>
      </w:r>
      <w:r w:rsidR="002F771A">
        <w:t xml:space="preserve">and </w:t>
      </w:r>
      <w:r w:rsidR="00F8582F">
        <w:t xml:space="preserve">online </w:t>
      </w:r>
      <w:r w:rsidR="007418CC">
        <w:t xml:space="preserve">data collection, in addition to </w:t>
      </w:r>
      <w:r w:rsidR="00215D67">
        <w:t>3</w:t>
      </w:r>
      <w:r w:rsidR="007418CC">
        <w:t xml:space="preserve"> optional </w:t>
      </w:r>
      <w:r w:rsidR="00C62E13">
        <w:t>app</w:t>
      </w:r>
      <w:r w:rsidR="00E66718">
        <w:t xml:space="preserve">-based </w:t>
      </w:r>
      <w:r w:rsidR="00877F18">
        <w:t>questionnaire</w:t>
      </w:r>
      <w:r w:rsidR="00215D67">
        <w:t>s</w:t>
      </w:r>
      <w:r w:rsidRPr="00FC77B9">
        <w:t xml:space="preserve"> to be self-administered </w:t>
      </w:r>
      <w:r w:rsidR="00EB406D">
        <w:t xml:space="preserve">by participants </w:t>
      </w:r>
      <w:r w:rsidRPr="00FC77B9">
        <w:t xml:space="preserve">on </w:t>
      </w:r>
      <w:r w:rsidR="00EB406D">
        <w:t xml:space="preserve">their </w:t>
      </w:r>
      <w:r w:rsidRPr="00FC77B9">
        <w:t xml:space="preserve">personal </w:t>
      </w:r>
      <w:r w:rsidR="00E66718">
        <w:t>smartphones</w:t>
      </w:r>
      <w:r w:rsidR="00215D67">
        <w:t xml:space="preserve"> and 4 brief telephone verification questionnaires completed by phone to prevent interviewer fraud</w:t>
      </w:r>
      <w:r w:rsidRPr="00FC77B9">
        <w:t xml:space="preserve">. </w:t>
      </w:r>
      <w:r w:rsidR="00D86015">
        <w:t xml:space="preserve">We will also audio record 10% of in-person interviews as a quality control measure. </w:t>
      </w:r>
      <w:r w:rsidR="00927DDC">
        <w:t xml:space="preserve">After the media intervention is launched in January 2018, we anticipate it will take approximately two months to select </w:t>
      </w:r>
      <w:r w:rsidR="00A650F0">
        <w:t>all</w:t>
      </w:r>
      <w:r w:rsidR="00927DDC">
        <w:t xml:space="preserve"> the households, mail them screeners, and receive the completed </w:t>
      </w:r>
      <w:r w:rsidR="009A1973">
        <w:t xml:space="preserve">mail </w:t>
      </w:r>
      <w:r w:rsidR="00927DDC">
        <w:t xml:space="preserve">screeners. As a result, we anticipate that </w:t>
      </w:r>
      <w:r w:rsidR="006B392C">
        <w:t>W</w:t>
      </w:r>
      <w:r w:rsidR="00927DDC">
        <w:t xml:space="preserve">ave </w:t>
      </w:r>
      <w:r w:rsidR="007418CC">
        <w:t xml:space="preserve">1 </w:t>
      </w:r>
      <w:r w:rsidR="00927DDC">
        <w:t>of data collection (</w:t>
      </w:r>
      <w:r w:rsidR="009A1973">
        <w:t>field</w:t>
      </w:r>
      <w:r w:rsidR="00927DDC">
        <w:t xml:space="preserve"> screening and </w:t>
      </w:r>
      <w:r w:rsidR="009A1973">
        <w:t>evaluation</w:t>
      </w:r>
      <w:r w:rsidR="00927DDC">
        <w:t xml:space="preserve"> questionnaire completion) </w:t>
      </w:r>
      <w:r w:rsidRPr="00FC77B9">
        <w:t xml:space="preserve">will </w:t>
      </w:r>
      <w:r w:rsidR="00927DDC">
        <w:t xml:space="preserve">occur </w:t>
      </w:r>
      <w:r w:rsidRPr="00FC77B9">
        <w:t xml:space="preserve">from </w:t>
      </w:r>
      <w:r w:rsidR="009B0888">
        <w:t>March 2018</w:t>
      </w:r>
      <w:r w:rsidRPr="00FC77B9">
        <w:t xml:space="preserve"> </w:t>
      </w:r>
      <w:r w:rsidR="00F80998">
        <w:t>through</w:t>
      </w:r>
      <w:r w:rsidR="00F80998" w:rsidRPr="00FC77B9">
        <w:t xml:space="preserve"> </w:t>
      </w:r>
      <w:r w:rsidR="009B0888">
        <w:t xml:space="preserve">June </w:t>
      </w:r>
      <w:r w:rsidRPr="00FC77B9">
        <w:t>201</w:t>
      </w:r>
      <w:r w:rsidR="009B0888">
        <w:t>8</w:t>
      </w:r>
      <w:r w:rsidR="00927DDC">
        <w:t xml:space="preserve"> (</w:t>
      </w:r>
      <w:r w:rsidR="00F80998">
        <w:t xml:space="preserve">approximately </w:t>
      </w:r>
      <w:r w:rsidR="00941CD7">
        <w:t>4</w:t>
      </w:r>
      <w:r w:rsidR="00927DDC">
        <w:t xml:space="preserve"> </w:t>
      </w:r>
      <w:r w:rsidRPr="00FC77B9">
        <w:t>month</w:t>
      </w:r>
      <w:r w:rsidR="00927DDC">
        <w:t>s)</w:t>
      </w:r>
      <w:r w:rsidRPr="00FC77B9">
        <w:t xml:space="preserve">. </w:t>
      </w:r>
      <w:r w:rsidR="00941CD7">
        <w:t xml:space="preserve">Adults </w:t>
      </w:r>
      <w:r w:rsidR="008C2285">
        <w:t>in the study will complete</w:t>
      </w:r>
      <w:r w:rsidRPr="00FC77B9">
        <w:t xml:space="preserve"> </w:t>
      </w:r>
      <w:r w:rsidR="009B0888">
        <w:t xml:space="preserve">three </w:t>
      </w:r>
      <w:r w:rsidR="00941CD7">
        <w:t xml:space="preserve">additional </w:t>
      </w:r>
      <w:r w:rsidR="00877F18">
        <w:t>questionnaire</w:t>
      </w:r>
      <w:r w:rsidRPr="00FC77B9">
        <w:t>s</w:t>
      </w:r>
      <w:r w:rsidR="009B0888">
        <w:t xml:space="preserve"> (either online or in</w:t>
      </w:r>
      <w:r w:rsidR="00E038A1">
        <w:t xml:space="preserve"> </w:t>
      </w:r>
      <w:r w:rsidR="009B0888">
        <w:t>person)</w:t>
      </w:r>
      <w:r w:rsidR="00D74F44">
        <w:t>,</w:t>
      </w:r>
      <w:r w:rsidRPr="00FC77B9">
        <w:t xml:space="preserve"> </w:t>
      </w:r>
      <w:r w:rsidR="0095513F">
        <w:t>over 24 months (approximately 7 months apart)</w:t>
      </w:r>
      <w:r w:rsidRPr="00FC77B9">
        <w:t xml:space="preserve">. This longitudinal design allows us to calculate changes in campaign-targeted </w:t>
      </w:r>
      <w:r w:rsidRPr="0003719B">
        <w:t xml:space="preserve">outcomes </w:t>
      </w:r>
      <w:r w:rsidR="00941CD7" w:rsidRPr="0003719B">
        <w:t xml:space="preserve">across time for </w:t>
      </w:r>
      <w:r w:rsidRPr="0003719B">
        <w:t>each study participant. We hypothesize that</w:t>
      </w:r>
      <w:r w:rsidR="00D74F44">
        <w:t>,</w:t>
      </w:r>
      <w:r w:rsidRPr="0003719B">
        <w:t xml:space="preserve"> if the </w:t>
      </w:r>
      <w:r w:rsidR="000F4046" w:rsidRPr="0003719B">
        <w:t xml:space="preserve">campaign </w:t>
      </w:r>
      <w:r w:rsidR="00F80998">
        <w:t>is</w:t>
      </w:r>
      <w:r w:rsidRPr="0003719B">
        <w:t xml:space="preserve"> effective, </w:t>
      </w:r>
      <w:r w:rsidR="00941CD7" w:rsidRPr="0003719B">
        <w:t xml:space="preserve">there will be significant differences </w:t>
      </w:r>
      <w:r w:rsidR="00FA3375">
        <w:t xml:space="preserve">in </w:t>
      </w:r>
      <w:r w:rsidR="00941CD7" w:rsidRPr="0003719B">
        <w:t xml:space="preserve">outcomes </w:t>
      </w:r>
      <w:r w:rsidR="00FA3375">
        <w:t xml:space="preserve">between </w:t>
      </w:r>
      <w:r w:rsidR="00941CD7" w:rsidRPr="0003719B">
        <w:t>th</w:t>
      </w:r>
      <w:r w:rsidR="009B0888">
        <w:t>e control and treatment markets</w:t>
      </w:r>
      <w:r w:rsidRPr="00FC77B9">
        <w:t xml:space="preserve">. Eligible </w:t>
      </w:r>
      <w:r w:rsidR="00941CD7">
        <w:t>adults</w:t>
      </w:r>
      <w:r w:rsidR="00941CD7" w:rsidRPr="00FC77B9">
        <w:t xml:space="preserve"> </w:t>
      </w:r>
      <w:r w:rsidRPr="00FC77B9">
        <w:t xml:space="preserve">will be aged </w:t>
      </w:r>
      <w:r w:rsidR="00941CD7">
        <w:t>25</w:t>
      </w:r>
      <w:r w:rsidR="00941CD7" w:rsidRPr="00FC77B9">
        <w:t xml:space="preserve"> </w:t>
      </w:r>
      <w:r w:rsidRPr="00FC77B9">
        <w:t xml:space="preserve">to </w:t>
      </w:r>
      <w:r w:rsidR="00941CD7">
        <w:t>54</w:t>
      </w:r>
      <w:r w:rsidR="00941CD7" w:rsidRPr="00FC77B9">
        <w:t xml:space="preserve"> </w:t>
      </w:r>
      <w:r w:rsidRPr="00FC77B9">
        <w:t xml:space="preserve">at </w:t>
      </w:r>
      <w:r w:rsidR="00FD5501">
        <w:t xml:space="preserve">Wave </w:t>
      </w:r>
      <w:r w:rsidR="00941CD7">
        <w:t>1</w:t>
      </w:r>
      <w:r w:rsidR="00941CD7" w:rsidRPr="00FC77B9">
        <w:t xml:space="preserve"> </w:t>
      </w:r>
      <w:r w:rsidRPr="00FC77B9">
        <w:t xml:space="preserve">and </w:t>
      </w:r>
      <w:r w:rsidR="00C62E13">
        <w:t>27</w:t>
      </w:r>
      <w:r w:rsidR="00C62E13" w:rsidRPr="00FC77B9">
        <w:t xml:space="preserve"> </w:t>
      </w:r>
      <w:r w:rsidRPr="00FC77B9">
        <w:t xml:space="preserve">to </w:t>
      </w:r>
      <w:r w:rsidR="009B0888">
        <w:t>5</w:t>
      </w:r>
      <w:r w:rsidR="00C62E13">
        <w:t>6</w:t>
      </w:r>
      <w:r w:rsidRPr="00FC77B9">
        <w:t xml:space="preserve"> by the end of data collection, allowing us to follow the same </w:t>
      </w:r>
      <w:r w:rsidR="00941CD7">
        <w:t xml:space="preserve">adults </w:t>
      </w:r>
      <w:r w:rsidRPr="00FC77B9">
        <w:t xml:space="preserve">over time and </w:t>
      </w:r>
      <w:r w:rsidRPr="000B6E7F">
        <w:t>understand cessation for the campaign’</w:t>
      </w:r>
      <w:r w:rsidR="00C62E13" w:rsidRPr="000B6E7F">
        <w:t>s</w:t>
      </w:r>
      <w:r w:rsidRPr="000B6E7F">
        <w:t xml:space="preserve"> target audience of </w:t>
      </w:r>
      <w:r w:rsidR="00941CD7" w:rsidRPr="000B6E7F">
        <w:t xml:space="preserve">adults </w:t>
      </w:r>
      <w:r w:rsidRPr="000B6E7F">
        <w:t xml:space="preserve">aged </w:t>
      </w:r>
      <w:r w:rsidR="00941CD7" w:rsidRPr="000B6E7F">
        <w:t>25</w:t>
      </w:r>
      <w:r w:rsidRPr="000B6E7F">
        <w:t xml:space="preserve"> to </w:t>
      </w:r>
      <w:r w:rsidR="00941CD7" w:rsidRPr="000B6E7F">
        <w:t>54</w:t>
      </w:r>
      <w:r w:rsidRPr="000B6E7F">
        <w:t>.</w:t>
      </w:r>
      <w:r w:rsidR="00706056" w:rsidRPr="000B6E7F">
        <w:t xml:space="preserve">  </w:t>
      </w:r>
      <w:r w:rsidR="00DC0E48" w:rsidRPr="00927DDC">
        <w:t>The Wave 1, 2, 3, and 4</w:t>
      </w:r>
      <w:r w:rsidR="0095513F">
        <w:t xml:space="preserve"> evaluation</w:t>
      </w:r>
      <w:r w:rsidR="00DC0E48" w:rsidRPr="00927DDC">
        <w:t xml:space="preserve"> </w:t>
      </w:r>
      <w:r w:rsidR="00877F18">
        <w:t>questionnaire</w:t>
      </w:r>
      <w:r w:rsidR="00DC0E48" w:rsidRPr="00927DDC">
        <w:t>s assess audience self-reported awareness of and exposure to the campaign advertisements and tobacco-related beliefs, attitudes, intentions, and behaviors. The Wave</w:t>
      </w:r>
      <w:r w:rsidR="00DC0E48">
        <w:t>s</w:t>
      </w:r>
      <w:r w:rsidR="00DC0E48" w:rsidRPr="00927DDC">
        <w:t xml:space="preserve"> 1, 2, 3, and 4 </w:t>
      </w:r>
      <w:r w:rsidR="0095513F">
        <w:t xml:space="preserve">evaluation </w:t>
      </w:r>
      <w:r w:rsidR="00DC0E48" w:rsidRPr="00927DDC">
        <w:t>questionnaires are presented as Attachments 2a</w:t>
      </w:r>
      <w:r w:rsidR="00E55F7A">
        <w:t xml:space="preserve"> and</w:t>
      </w:r>
      <w:r w:rsidR="00DC0E48" w:rsidRPr="00927DDC">
        <w:t xml:space="preserve"> 2b. The rationale for use of these specific measures is in Attachment 2</w:t>
      </w:r>
      <w:r w:rsidR="00E55F7A">
        <w:t>c</w:t>
      </w:r>
      <w:r w:rsidR="00DC0E48" w:rsidRPr="00927DDC">
        <w:t>.</w:t>
      </w:r>
    </w:p>
    <w:p w14:paraId="354FC071" w14:textId="61E77796" w:rsidR="00F53667" w:rsidRDefault="00F53667" w:rsidP="000B6E7F">
      <w:pPr>
        <w:pStyle w:val="CommentText"/>
        <w:ind w:left="720"/>
        <w:rPr>
          <w:sz w:val="24"/>
          <w:szCs w:val="24"/>
        </w:rPr>
      </w:pPr>
      <w:r w:rsidRPr="00927DDC">
        <w:rPr>
          <w:sz w:val="24"/>
          <w:szCs w:val="24"/>
        </w:rPr>
        <w:t>Although self-reported exposure to tobacco-focused public education campaigns has been widely used to evaluate broadcast and online campaigns, as media environments become increasingly complex and fragmented, it is increasingly challenging for individuals to accurate</w:t>
      </w:r>
      <w:r>
        <w:rPr>
          <w:sz w:val="24"/>
          <w:szCs w:val="24"/>
        </w:rPr>
        <w:t>ly</w:t>
      </w:r>
      <w:r w:rsidRPr="00927DDC">
        <w:rPr>
          <w:sz w:val="24"/>
          <w:szCs w:val="24"/>
        </w:rPr>
        <w:t xml:space="preserve"> recall where they have seen campaign messages.  T</w:t>
      </w:r>
      <w:r>
        <w:rPr>
          <w:sz w:val="24"/>
          <w:szCs w:val="24"/>
        </w:rPr>
        <w:t>herefore, t</w:t>
      </w:r>
      <w:r w:rsidRPr="00927DDC">
        <w:rPr>
          <w:sz w:val="24"/>
          <w:szCs w:val="24"/>
        </w:rPr>
        <w:t xml:space="preserve">o complement self-reported measures of campaign exposure, we are inviting participants to use a smartphone app that will capture potential campaign exposure passively. That is, </w:t>
      </w:r>
      <w:r w:rsidR="008637D3">
        <w:rPr>
          <w:sz w:val="24"/>
          <w:szCs w:val="24"/>
        </w:rPr>
        <w:t>it will allow us to</w:t>
      </w:r>
      <w:r w:rsidRPr="00927DDC">
        <w:rPr>
          <w:sz w:val="24"/>
          <w:szCs w:val="24"/>
        </w:rPr>
        <w:t xml:space="preserve"> assess how frequently participants visit </w:t>
      </w:r>
      <w:r>
        <w:rPr>
          <w:sz w:val="24"/>
          <w:szCs w:val="24"/>
        </w:rPr>
        <w:t xml:space="preserve">convenience </w:t>
      </w:r>
      <w:r w:rsidRPr="00927DDC">
        <w:rPr>
          <w:sz w:val="24"/>
          <w:szCs w:val="24"/>
        </w:rPr>
        <w:t>stores in wh</w:t>
      </w:r>
      <w:r>
        <w:rPr>
          <w:sz w:val="24"/>
          <w:szCs w:val="24"/>
        </w:rPr>
        <w:t xml:space="preserve">ich FDA’s campaign is present. </w:t>
      </w:r>
      <w:r w:rsidR="0095513F">
        <w:rPr>
          <w:sz w:val="24"/>
          <w:szCs w:val="24"/>
        </w:rPr>
        <w:t xml:space="preserve">During the </w:t>
      </w:r>
      <w:r w:rsidR="003543C8">
        <w:rPr>
          <w:sz w:val="24"/>
          <w:szCs w:val="24"/>
        </w:rPr>
        <w:t xml:space="preserve">Wave </w:t>
      </w:r>
      <w:r w:rsidR="0095513F">
        <w:rPr>
          <w:sz w:val="24"/>
          <w:szCs w:val="24"/>
        </w:rPr>
        <w:t xml:space="preserve">1 evaluation questionnaire, participants will be asked whether they have a smartphone. If they do, the field interviewer will show the participant the consent for the smartphone app-based part of the study (Attachment 3b), which explains that this part of the study is completely voluntary and separate from the </w:t>
      </w:r>
      <w:r w:rsidR="003543C8">
        <w:rPr>
          <w:sz w:val="24"/>
          <w:szCs w:val="24"/>
        </w:rPr>
        <w:t xml:space="preserve">Waves </w:t>
      </w:r>
      <w:r w:rsidR="0095513F">
        <w:rPr>
          <w:sz w:val="24"/>
          <w:szCs w:val="24"/>
        </w:rPr>
        <w:t xml:space="preserve">1-4 evaluation questionnaires. Participants will sign this separate consent form if they would like to participate in this part of the study. The consent form describes the app-based component in detail. </w:t>
      </w:r>
      <w:r w:rsidR="000B6E7F">
        <w:rPr>
          <w:sz w:val="24"/>
          <w:szCs w:val="24"/>
        </w:rPr>
        <w:t xml:space="preserve">A list of convenience stores in which the FDA ads are placed and their locations in treatment counties will be given to the </w:t>
      </w:r>
      <w:r w:rsidR="00945312">
        <w:rPr>
          <w:sz w:val="24"/>
          <w:szCs w:val="24"/>
        </w:rPr>
        <w:t xml:space="preserve">app </w:t>
      </w:r>
      <w:r w:rsidR="000B6E7F">
        <w:rPr>
          <w:sz w:val="24"/>
          <w:szCs w:val="24"/>
        </w:rPr>
        <w:t xml:space="preserve">vendor. </w:t>
      </w:r>
      <w:r w:rsidR="00EB406D">
        <w:rPr>
          <w:sz w:val="24"/>
          <w:szCs w:val="24"/>
        </w:rPr>
        <w:t xml:space="preserve">The creative team will </w:t>
      </w:r>
      <w:r w:rsidR="000B6E7F">
        <w:rPr>
          <w:sz w:val="24"/>
          <w:szCs w:val="24"/>
        </w:rPr>
        <w:t xml:space="preserve">also </w:t>
      </w:r>
      <w:r w:rsidR="00EB406D">
        <w:rPr>
          <w:sz w:val="24"/>
          <w:szCs w:val="24"/>
        </w:rPr>
        <w:t xml:space="preserve">provide </w:t>
      </w:r>
      <w:r w:rsidR="000B6E7F" w:rsidRPr="000B6E7F">
        <w:rPr>
          <w:sz w:val="24"/>
          <w:szCs w:val="24"/>
        </w:rPr>
        <w:t xml:space="preserve">a comparable </w:t>
      </w:r>
      <w:r w:rsidR="000B6E7F">
        <w:rPr>
          <w:sz w:val="24"/>
          <w:szCs w:val="24"/>
        </w:rPr>
        <w:t xml:space="preserve">list </w:t>
      </w:r>
      <w:r w:rsidR="000B6E7F" w:rsidRPr="000B6E7F">
        <w:rPr>
          <w:sz w:val="24"/>
          <w:szCs w:val="24"/>
        </w:rPr>
        <w:t>of conv</w:t>
      </w:r>
      <w:r w:rsidR="000B6E7F">
        <w:rPr>
          <w:sz w:val="24"/>
          <w:szCs w:val="24"/>
        </w:rPr>
        <w:t>enience</w:t>
      </w:r>
      <w:r w:rsidR="000B6E7F" w:rsidRPr="000B6E7F">
        <w:rPr>
          <w:sz w:val="24"/>
          <w:szCs w:val="24"/>
        </w:rPr>
        <w:t xml:space="preserve"> stores in the control communities. The app will record the time and date of visits to </w:t>
      </w:r>
      <w:r w:rsidR="009B0128">
        <w:rPr>
          <w:sz w:val="24"/>
          <w:szCs w:val="24"/>
        </w:rPr>
        <w:t xml:space="preserve">these </w:t>
      </w:r>
      <w:r w:rsidR="000B6E7F" w:rsidRPr="000B6E7F">
        <w:rPr>
          <w:sz w:val="24"/>
          <w:szCs w:val="24"/>
        </w:rPr>
        <w:t xml:space="preserve">convenience stores. </w:t>
      </w:r>
    </w:p>
    <w:p w14:paraId="5B597828" w14:textId="77777777" w:rsidR="00F53667" w:rsidRDefault="00F53667" w:rsidP="000B6E7F">
      <w:pPr>
        <w:pStyle w:val="CommentText"/>
        <w:ind w:left="720"/>
        <w:rPr>
          <w:sz w:val="24"/>
          <w:szCs w:val="24"/>
        </w:rPr>
      </w:pPr>
    </w:p>
    <w:p w14:paraId="40BD7F48" w14:textId="4848A17E" w:rsidR="00927DDC" w:rsidRPr="00927DDC" w:rsidRDefault="0095513F" w:rsidP="006631DC">
      <w:pPr>
        <w:pStyle w:val="CommentText"/>
        <w:ind w:left="720"/>
        <w:rPr>
          <w:sz w:val="24"/>
          <w:szCs w:val="24"/>
        </w:rPr>
      </w:pPr>
      <w:r>
        <w:rPr>
          <w:sz w:val="24"/>
          <w:szCs w:val="24"/>
        </w:rPr>
        <w:t>In addition to tracking store visits, t</w:t>
      </w:r>
      <w:r w:rsidR="0003719B" w:rsidRPr="000B6E7F">
        <w:rPr>
          <w:sz w:val="24"/>
          <w:szCs w:val="24"/>
        </w:rPr>
        <w:t xml:space="preserve">he </w:t>
      </w:r>
      <w:r w:rsidR="00C62E13" w:rsidRPr="000B6E7F">
        <w:rPr>
          <w:sz w:val="24"/>
          <w:szCs w:val="24"/>
        </w:rPr>
        <w:t>app</w:t>
      </w:r>
      <w:r w:rsidR="0003719B" w:rsidRPr="000B6E7F">
        <w:rPr>
          <w:sz w:val="24"/>
          <w:szCs w:val="24"/>
        </w:rPr>
        <w:t xml:space="preserve"> will</w:t>
      </w:r>
      <w:r w:rsidR="00BD3B93" w:rsidRPr="000B6E7F">
        <w:rPr>
          <w:sz w:val="24"/>
          <w:szCs w:val="24"/>
        </w:rPr>
        <w:t xml:space="preserve"> also</w:t>
      </w:r>
      <w:r w:rsidR="0003719B" w:rsidRPr="000B6E7F">
        <w:rPr>
          <w:sz w:val="24"/>
          <w:szCs w:val="24"/>
        </w:rPr>
        <w:t xml:space="preserve"> </w:t>
      </w:r>
      <w:r w:rsidR="00D74F44" w:rsidRPr="000B6E7F">
        <w:rPr>
          <w:sz w:val="24"/>
          <w:szCs w:val="24"/>
        </w:rPr>
        <w:t xml:space="preserve">administer three </w:t>
      </w:r>
      <w:r w:rsidR="0003719B" w:rsidRPr="000B6E7F">
        <w:rPr>
          <w:sz w:val="24"/>
          <w:szCs w:val="24"/>
        </w:rPr>
        <w:t xml:space="preserve">short </w:t>
      </w:r>
      <w:r w:rsidR="00FB31D3">
        <w:rPr>
          <w:sz w:val="24"/>
          <w:szCs w:val="24"/>
        </w:rPr>
        <w:t>questionnaires</w:t>
      </w:r>
      <w:r w:rsidR="00FB31D3" w:rsidRPr="000B6E7F">
        <w:rPr>
          <w:sz w:val="24"/>
          <w:szCs w:val="24"/>
        </w:rPr>
        <w:t xml:space="preserve"> </w:t>
      </w:r>
      <w:r w:rsidR="00FB31D3">
        <w:rPr>
          <w:sz w:val="24"/>
          <w:szCs w:val="24"/>
        </w:rPr>
        <w:t>over 18 months (</w:t>
      </w:r>
      <w:r w:rsidR="00F80998">
        <w:rPr>
          <w:sz w:val="24"/>
          <w:szCs w:val="24"/>
        </w:rPr>
        <w:t xml:space="preserve">approximately </w:t>
      </w:r>
      <w:r w:rsidR="00FB31D3">
        <w:rPr>
          <w:sz w:val="24"/>
          <w:szCs w:val="24"/>
        </w:rPr>
        <w:t xml:space="preserve">every </w:t>
      </w:r>
      <w:r w:rsidR="00941CD7" w:rsidRPr="000B6E7F">
        <w:rPr>
          <w:sz w:val="24"/>
          <w:szCs w:val="24"/>
        </w:rPr>
        <w:t>6</w:t>
      </w:r>
      <w:r w:rsidR="00FB31D3">
        <w:rPr>
          <w:sz w:val="24"/>
          <w:szCs w:val="24"/>
        </w:rPr>
        <w:t xml:space="preserve"> </w:t>
      </w:r>
      <w:r w:rsidR="00FC77B9" w:rsidRPr="000B6E7F">
        <w:rPr>
          <w:sz w:val="24"/>
          <w:szCs w:val="24"/>
        </w:rPr>
        <w:t>month</w:t>
      </w:r>
      <w:r w:rsidR="00FB31D3">
        <w:rPr>
          <w:sz w:val="24"/>
          <w:szCs w:val="24"/>
        </w:rPr>
        <w:t>s)</w:t>
      </w:r>
      <w:r w:rsidR="00D86015">
        <w:rPr>
          <w:sz w:val="24"/>
          <w:szCs w:val="24"/>
        </w:rPr>
        <w:t xml:space="preserve"> </w:t>
      </w:r>
      <w:r w:rsidR="00BD3B93" w:rsidRPr="000B6E7F">
        <w:rPr>
          <w:sz w:val="24"/>
          <w:szCs w:val="24"/>
        </w:rPr>
        <w:t xml:space="preserve">to provide additional data points for </w:t>
      </w:r>
      <w:r w:rsidR="00EB406D">
        <w:rPr>
          <w:sz w:val="24"/>
          <w:szCs w:val="24"/>
        </w:rPr>
        <w:t xml:space="preserve">exposure, </w:t>
      </w:r>
      <w:r w:rsidR="00BD3B93" w:rsidRPr="000B6E7F">
        <w:rPr>
          <w:sz w:val="24"/>
          <w:szCs w:val="24"/>
        </w:rPr>
        <w:t>control</w:t>
      </w:r>
      <w:r w:rsidR="00EB406D">
        <w:rPr>
          <w:sz w:val="24"/>
          <w:szCs w:val="24"/>
        </w:rPr>
        <w:t>,</w:t>
      </w:r>
      <w:r w:rsidR="00BD3B93" w:rsidRPr="000B6E7F">
        <w:rPr>
          <w:sz w:val="24"/>
          <w:szCs w:val="24"/>
        </w:rPr>
        <w:t xml:space="preserve"> and outcome variables</w:t>
      </w:r>
      <w:r w:rsidR="00FC77B9" w:rsidRPr="000B6E7F">
        <w:rPr>
          <w:sz w:val="24"/>
          <w:szCs w:val="24"/>
        </w:rPr>
        <w:t xml:space="preserve">. </w:t>
      </w:r>
      <w:r w:rsidR="00FC77B9" w:rsidRPr="00927DDC">
        <w:rPr>
          <w:sz w:val="24"/>
          <w:szCs w:val="24"/>
        </w:rPr>
        <w:t xml:space="preserve">The </w:t>
      </w:r>
      <w:r w:rsidR="00C62E13" w:rsidRPr="00927DDC">
        <w:rPr>
          <w:sz w:val="24"/>
          <w:szCs w:val="24"/>
        </w:rPr>
        <w:t>app</w:t>
      </w:r>
      <w:r w:rsidR="00941CD7" w:rsidRPr="00927DDC">
        <w:rPr>
          <w:sz w:val="24"/>
          <w:szCs w:val="24"/>
        </w:rPr>
        <w:t xml:space="preserve">-based </w:t>
      </w:r>
      <w:r w:rsidR="00877F18">
        <w:rPr>
          <w:sz w:val="24"/>
          <w:szCs w:val="24"/>
        </w:rPr>
        <w:t>questionnaire</w:t>
      </w:r>
      <w:r w:rsidR="00D506F8">
        <w:rPr>
          <w:sz w:val="24"/>
          <w:szCs w:val="24"/>
        </w:rPr>
        <w:t>s</w:t>
      </w:r>
      <w:r w:rsidR="00FC77B9" w:rsidRPr="00927DDC">
        <w:rPr>
          <w:sz w:val="24"/>
          <w:szCs w:val="24"/>
        </w:rPr>
        <w:t xml:space="preserve"> will assess </w:t>
      </w:r>
      <w:r w:rsidR="00BC3383" w:rsidRPr="00927DDC">
        <w:rPr>
          <w:sz w:val="24"/>
          <w:szCs w:val="24"/>
        </w:rPr>
        <w:t>tobacco use,</w:t>
      </w:r>
      <w:r w:rsidR="007418CC" w:rsidRPr="00927DDC">
        <w:rPr>
          <w:sz w:val="24"/>
          <w:szCs w:val="24"/>
        </w:rPr>
        <w:t xml:space="preserve"> tobacco purchasing behavior</w:t>
      </w:r>
      <w:r w:rsidR="004264D0" w:rsidRPr="00927DDC">
        <w:rPr>
          <w:sz w:val="24"/>
          <w:szCs w:val="24"/>
        </w:rPr>
        <w:t>, intention to quit</w:t>
      </w:r>
      <w:r w:rsidR="007418CC" w:rsidRPr="00927DDC">
        <w:rPr>
          <w:sz w:val="24"/>
          <w:szCs w:val="24"/>
        </w:rPr>
        <w:t xml:space="preserve"> smoking</w:t>
      </w:r>
      <w:r w:rsidR="00BC3383" w:rsidRPr="00927DDC">
        <w:rPr>
          <w:sz w:val="24"/>
          <w:szCs w:val="24"/>
        </w:rPr>
        <w:t>, and campaign awareness</w:t>
      </w:r>
      <w:r w:rsidR="00941CD7" w:rsidRPr="00927DDC">
        <w:rPr>
          <w:sz w:val="24"/>
          <w:szCs w:val="24"/>
        </w:rPr>
        <w:t xml:space="preserve"> </w:t>
      </w:r>
      <w:r w:rsidR="003E33DB" w:rsidRPr="00927DDC">
        <w:rPr>
          <w:sz w:val="24"/>
          <w:szCs w:val="24"/>
        </w:rPr>
        <w:t>(Attachment 4</w:t>
      </w:r>
      <w:r w:rsidR="00D05605" w:rsidRPr="00927DDC">
        <w:rPr>
          <w:sz w:val="24"/>
          <w:szCs w:val="24"/>
        </w:rPr>
        <w:t>a</w:t>
      </w:r>
      <w:r w:rsidR="00FC77B9" w:rsidRPr="00927DDC">
        <w:rPr>
          <w:sz w:val="24"/>
          <w:szCs w:val="24"/>
        </w:rPr>
        <w:t xml:space="preserve">). </w:t>
      </w:r>
      <w:r w:rsidR="00927DDC">
        <w:rPr>
          <w:sz w:val="24"/>
          <w:szCs w:val="24"/>
        </w:rPr>
        <w:t>A</w:t>
      </w:r>
      <w:r w:rsidR="00C62E13" w:rsidRPr="00927DDC">
        <w:rPr>
          <w:sz w:val="24"/>
          <w:szCs w:val="24"/>
        </w:rPr>
        <w:t>pp</w:t>
      </w:r>
      <w:r w:rsidR="0003719B" w:rsidRPr="00927DDC">
        <w:rPr>
          <w:sz w:val="24"/>
          <w:szCs w:val="24"/>
        </w:rPr>
        <w:t xml:space="preserve"> </w:t>
      </w:r>
      <w:r w:rsidR="00FC77B9" w:rsidRPr="00927DDC">
        <w:rPr>
          <w:sz w:val="24"/>
          <w:szCs w:val="24"/>
        </w:rPr>
        <w:t xml:space="preserve">data will not be used to make statistical inferences about the U.S. population of </w:t>
      </w:r>
      <w:r w:rsidR="00941CD7" w:rsidRPr="00927DDC">
        <w:rPr>
          <w:sz w:val="24"/>
          <w:szCs w:val="24"/>
        </w:rPr>
        <w:t>adults</w:t>
      </w:r>
      <w:r w:rsidR="00FC77B9" w:rsidRPr="00927DDC">
        <w:rPr>
          <w:sz w:val="24"/>
          <w:szCs w:val="24"/>
        </w:rPr>
        <w:t xml:space="preserve">. </w:t>
      </w:r>
      <w:r w:rsidR="00D34B8F" w:rsidRPr="00927DDC">
        <w:rPr>
          <w:sz w:val="24"/>
          <w:szCs w:val="24"/>
        </w:rPr>
        <w:t xml:space="preserve">Further </w:t>
      </w:r>
      <w:r w:rsidR="00482371" w:rsidRPr="00927DDC">
        <w:rPr>
          <w:sz w:val="24"/>
          <w:szCs w:val="24"/>
        </w:rPr>
        <w:t xml:space="preserve">rationale for conducting </w:t>
      </w:r>
      <w:r w:rsidR="00941CD7" w:rsidRPr="00927DDC">
        <w:rPr>
          <w:sz w:val="24"/>
          <w:szCs w:val="24"/>
        </w:rPr>
        <w:t xml:space="preserve">this </w:t>
      </w:r>
      <w:r w:rsidR="00877F18">
        <w:rPr>
          <w:sz w:val="24"/>
          <w:szCs w:val="24"/>
        </w:rPr>
        <w:t>questionnaire</w:t>
      </w:r>
      <w:r w:rsidR="00482371" w:rsidRPr="00927DDC">
        <w:rPr>
          <w:sz w:val="24"/>
          <w:szCs w:val="24"/>
        </w:rPr>
        <w:t xml:space="preserve"> can be found in Attachment </w:t>
      </w:r>
      <w:r w:rsidR="00647C92" w:rsidRPr="00927DDC">
        <w:rPr>
          <w:sz w:val="24"/>
          <w:szCs w:val="24"/>
        </w:rPr>
        <w:t>4c</w:t>
      </w:r>
      <w:r w:rsidR="00482371" w:rsidRPr="00927DDC">
        <w:rPr>
          <w:sz w:val="24"/>
          <w:szCs w:val="24"/>
        </w:rPr>
        <w:t>.</w:t>
      </w:r>
      <w:r w:rsidR="00241E08">
        <w:rPr>
          <w:sz w:val="24"/>
          <w:szCs w:val="24"/>
        </w:rPr>
        <w:t xml:space="preserve"> The notifications that will be used to invite participants to complete the app-based questionnaires can be found in Attachment </w:t>
      </w:r>
      <w:r w:rsidR="00215D67">
        <w:rPr>
          <w:sz w:val="24"/>
          <w:szCs w:val="24"/>
        </w:rPr>
        <w:t>4</w:t>
      </w:r>
      <w:r w:rsidR="00241E08">
        <w:rPr>
          <w:sz w:val="24"/>
          <w:szCs w:val="24"/>
        </w:rPr>
        <w:t>d.</w:t>
      </w:r>
      <w:r w:rsidR="00482371" w:rsidRPr="00927DDC">
        <w:rPr>
          <w:sz w:val="24"/>
          <w:szCs w:val="24"/>
        </w:rPr>
        <w:t xml:space="preserve"> </w:t>
      </w:r>
      <w:r w:rsidR="00927DDC" w:rsidRPr="00927DDC">
        <w:rPr>
          <w:sz w:val="24"/>
          <w:szCs w:val="24"/>
        </w:rPr>
        <w:t xml:space="preserve"> </w:t>
      </w:r>
    </w:p>
    <w:p w14:paraId="79E5F590" w14:textId="77777777" w:rsidR="00927DDC" w:rsidRDefault="00927DDC" w:rsidP="00493C0A">
      <w:pPr>
        <w:pStyle w:val="BodyText1"/>
        <w:spacing w:after="0" w:line="240" w:lineRule="auto"/>
        <w:ind w:left="720" w:firstLine="0"/>
        <w:rPr>
          <w:szCs w:val="24"/>
        </w:rPr>
      </w:pPr>
    </w:p>
    <w:p w14:paraId="3EA5D731" w14:textId="2C5D76E6" w:rsidR="0000180C" w:rsidRPr="001E617C" w:rsidRDefault="00313923" w:rsidP="00493C0A">
      <w:pPr>
        <w:pStyle w:val="BodyText1"/>
        <w:spacing w:after="0" w:line="240" w:lineRule="auto"/>
        <w:ind w:left="720" w:firstLine="0"/>
        <w:rPr>
          <w:szCs w:val="24"/>
        </w:rPr>
      </w:pPr>
      <w:r>
        <w:rPr>
          <w:szCs w:val="24"/>
        </w:rPr>
        <w:t>T</w:t>
      </w:r>
      <w:r w:rsidRPr="001E617C">
        <w:rPr>
          <w:szCs w:val="24"/>
        </w:rPr>
        <w:t xml:space="preserve">he highest standard of evidence for causal relationships between health marketing campaigns and behavior change is the demonstration of </w:t>
      </w:r>
      <w:r>
        <w:rPr>
          <w:szCs w:val="24"/>
        </w:rPr>
        <w:t>differences</w:t>
      </w:r>
      <w:r w:rsidRPr="001E617C">
        <w:rPr>
          <w:szCs w:val="24"/>
        </w:rPr>
        <w:t xml:space="preserve"> in behavioral outcomes of interest by media dose (e.g., </w:t>
      </w:r>
      <w:r>
        <w:rPr>
          <w:szCs w:val="24"/>
        </w:rPr>
        <w:t>Farrelly et al., 2005,</w:t>
      </w:r>
      <w:r w:rsidRPr="001E617C">
        <w:rPr>
          <w:szCs w:val="24"/>
        </w:rPr>
        <w:t xml:space="preserve"> 2009</w:t>
      </w:r>
      <w:r w:rsidRPr="001E617C">
        <w:rPr>
          <w:szCs w:val="24"/>
        </w:rPr>
        <w:fldChar w:fldCharType="begin"/>
      </w:r>
      <w:r w:rsidRPr="001E617C">
        <w:rPr>
          <w:szCs w:val="24"/>
        </w:rPr>
        <w:instrText xml:space="preserve"> XE "Farrelly et al., 2005, 2009" </w:instrText>
      </w:r>
      <w:r w:rsidRPr="001E617C">
        <w:rPr>
          <w:szCs w:val="24"/>
        </w:rPr>
        <w:fldChar w:fldCharType="end"/>
      </w:r>
      <w:r>
        <w:rPr>
          <w:szCs w:val="24"/>
        </w:rPr>
        <w:t>,</w:t>
      </w:r>
      <w:r w:rsidRPr="001E617C">
        <w:rPr>
          <w:szCs w:val="24"/>
        </w:rPr>
        <w:t xml:space="preserve"> 201</w:t>
      </w:r>
      <w:r>
        <w:rPr>
          <w:szCs w:val="24"/>
        </w:rPr>
        <w:t>2</w:t>
      </w:r>
      <w:r w:rsidRPr="001E617C">
        <w:rPr>
          <w:szCs w:val="24"/>
        </w:rPr>
        <w:fldChar w:fldCharType="begin"/>
      </w:r>
      <w:r w:rsidRPr="001E617C">
        <w:rPr>
          <w:szCs w:val="24"/>
        </w:rPr>
        <w:instrText xml:space="preserve"> XE "Farrelly et al., 2011" </w:instrText>
      </w:r>
      <w:r w:rsidRPr="001E617C">
        <w:rPr>
          <w:szCs w:val="24"/>
        </w:rPr>
        <w:fldChar w:fldCharType="end"/>
      </w:r>
      <w:r w:rsidRPr="001E617C">
        <w:rPr>
          <w:szCs w:val="24"/>
        </w:rPr>
        <w:t xml:space="preserve">).  </w:t>
      </w:r>
      <w:r w:rsidR="0000180C" w:rsidRPr="00927DDC">
        <w:rPr>
          <w:szCs w:val="24"/>
        </w:rPr>
        <w:t>The requested data collection</w:t>
      </w:r>
      <w:r w:rsidR="0000180C" w:rsidRPr="001E617C">
        <w:rPr>
          <w:szCs w:val="24"/>
        </w:rPr>
        <w:t xml:space="preserve"> is an evaluation designed to assess the planned media dose of </w:t>
      </w:r>
      <w:r w:rsidR="004264D0">
        <w:rPr>
          <w:szCs w:val="24"/>
        </w:rPr>
        <w:t xml:space="preserve">the </w:t>
      </w:r>
      <w:r w:rsidR="0000180C" w:rsidRPr="001E617C">
        <w:rPr>
          <w:szCs w:val="24"/>
        </w:rPr>
        <w:t xml:space="preserve">FDA </w:t>
      </w:r>
      <w:r w:rsidR="006B392C">
        <w:rPr>
          <w:szCs w:val="24"/>
        </w:rPr>
        <w:t>point-of-sale</w:t>
      </w:r>
      <w:r w:rsidR="004264D0">
        <w:rPr>
          <w:szCs w:val="24"/>
        </w:rPr>
        <w:t xml:space="preserve"> </w:t>
      </w:r>
      <w:r w:rsidR="0000180C" w:rsidRPr="001E617C">
        <w:rPr>
          <w:szCs w:val="24"/>
        </w:rPr>
        <w:t xml:space="preserve">campaign </w:t>
      </w:r>
      <w:r w:rsidR="0000180C">
        <w:rPr>
          <w:szCs w:val="24"/>
        </w:rPr>
        <w:t xml:space="preserve">advertisements across the U.S.  The evaluation will rely on </w:t>
      </w:r>
      <w:r w:rsidR="0000180C" w:rsidRPr="0003719B">
        <w:rPr>
          <w:szCs w:val="24"/>
        </w:rPr>
        <w:t xml:space="preserve">a </w:t>
      </w:r>
      <w:r w:rsidR="00941CD7" w:rsidRPr="0003719B">
        <w:rPr>
          <w:szCs w:val="24"/>
        </w:rPr>
        <w:t>control-treatment</w:t>
      </w:r>
      <w:r w:rsidR="0000180C" w:rsidRPr="0003719B">
        <w:rPr>
          <w:szCs w:val="24"/>
        </w:rPr>
        <w:t xml:space="preserve"> evaluation desig</w:t>
      </w:r>
      <w:r w:rsidR="0000180C">
        <w:rPr>
          <w:szCs w:val="24"/>
        </w:rPr>
        <w:t xml:space="preserve">n that leverages variation in exposure to campaign messages across media markets.  </w:t>
      </w:r>
      <w:r w:rsidR="0000180C" w:rsidRPr="001E617C">
        <w:rPr>
          <w:szCs w:val="24"/>
        </w:rPr>
        <w:t>The effect of the campaign on tobacco-related outcomes will be examined using market-level media dose</w:t>
      </w:r>
      <w:r w:rsidR="00C854A7">
        <w:rPr>
          <w:szCs w:val="24"/>
        </w:rPr>
        <w:t xml:space="preserve"> and</w:t>
      </w:r>
      <w:r w:rsidR="0000180C" w:rsidRPr="001E617C">
        <w:rPr>
          <w:szCs w:val="24"/>
        </w:rPr>
        <w:t xml:space="preserve"> self-reported </w:t>
      </w:r>
      <w:r w:rsidR="00911A94">
        <w:rPr>
          <w:szCs w:val="24"/>
        </w:rPr>
        <w:t xml:space="preserve">and passive </w:t>
      </w:r>
      <w:r w:rsidR="0000180C" w:rsidRPr="001E617C">
        <w:rPr>
          <w:szCs w:val="24"/>
        </w:rPr>
        <w:t xml:space="preserve">campaign exposure at the individual-level.  </w:t>
      </w:r>
    </w:p>
    <w:p w14:paraId="7B3D5481" w14:textId="77777777" w:rsidR="0000180C" w:rsidRDefault="0000180C" w:rsidP="00493C0A">
      <w:pPr>
        <w:pStyle w:val="BodyText1"/>
        <w:spacing w:after="0" w:line="240" w:lineRule="auto"/>
        <w:ind w:left="720" w:firstLine="0"/>
        <w:rPr>
          <w:szCs w:val="24"/>
        </w:rPr>
      </w:pPr>
    </w:p>
    <w:p w14:paraId="7ADFD3AB" w14:textId="378D1DCF" w:rsidR="0000180C" w:rsidRPr="001E617C" w:rsidRDefault="00313923" w:rsidP="00493C0A">
      <w:pPr>
        <w:pStyle w:val="BodyText1"/>
        <w:spacing w:after="0" w:line="240" w:lineRule="auto"/>
        <w:ind w:left="720" w:firstLine="0"/>
        <w:rPr>
          <w:szCs w:val="24"/>
        </w:rPr>
      </w:pPr>
      <w:r w:rsidRPr="001E617C">
        <w:rPr>
          <w:szCs w:val="24"/>
        </w:rPr>
        <w:t xml:space="preserve">The primary hypothesis of this approach is that individuals who reside in media markets </w:t>
      </w:r>
      <w:r>
        <w:rPr>
          <w:szCs w:val="24"/>
        </w:rPr>
        <w:t>assigned to be exposed to the campaign</w:t>
      </w:r>
      <w:r w:rsidRPr="001E617C">
        <w:rPr>
          <w:szCs w:val="24"/>
        </w:rPr>
        <w:t xml:space="preserve"> will exhibit </w:t>
      </w:r>
      <w:r>
        <w:rPr>
          <w:szCs w:val="24"/>
        </w:rPr>
        <w:t>a greater motivation and</w:t>
      </w:r>
      <w:r w:rsidRPr="001E617C">
        <w:rPr>
          <w:szCs w:val="24"/>
        </w:rPr>
        <w:t xml:space="preserve"> intention to </w:t>
      </w:r>
      <w:r>
        <w:rPr>
          <w:szCs w:val="24"/>
        </w:rPr>
        <w:t>quit smoking</w:t>
      </w:r>
      <w:r w:rsidRPr="001E617C">
        <w:rPr>
          <w:szCs w:val="24"/>
        </w:rPr>
        <w:t xml:space="preserve">. </w:t>
      </w:r>
      <w:r w:rsidR="0000180C" w:rsidRPr="001E617C">
        <w:rPr>
          <w:szCs w:val="24"/>
        </w:rPr>
        <w:t>Exogenous market-level doses of media</w:t>
      </w:r>
      <w:r w:rsidR="0000180C">
        <w:rPr>
          <w:szCs w:val="24"/>
        </w:rPr>
        <w:t xml:space="preserve"> will be </w:t>
      </w:r>
      <w:r w:rsidR="0000180C" w:rsidRPr="001E617C">
        <w:rPr>
          <w:szCs w:val="24"/>
        </w:rPr>
        <w:t xml:space="preserve">measured with advertising </w:t>
      </w:r>
      <w:r w:rsidR="00911A94">
        <w:rPr>
          <w:szCs w:val="24"/>
        </w:rPr>
        <w:t>g</w:t>
      </w:r>
      <w:r w:rsidR="0003719B">
        <w:rPr>
          <w:szCs w:val="24"/>
        </w:rPr>
        <w:t>ross</w:t>
      </w:r>
      <w:r w:rsidR="0000180C">
        <w:rPr>
          <w:szCs w:val="24"/>
        </w:rPr>
        <w:t xml:space="preserve"> </w:t>
      </w:r>
      <w:r w:rsidR="00911A94">
        <w:rPr>
          <w:szCs w:val="24"/>
        </w:rPr>
        <w:t>r</w:t>
      </w:r>
      <w:r w:rsidR="0000180C">
        <w:rPr>
          <w:szCs w:val="24"/>
        </w:rPr>
        <w:t xml:space="preserve">ating </w:t>
      </w:r>
      <w:r w:rsidR="00911A94">
        <w:rPr>
          <w:szCs w:val="24"/>
        </w:rPr>
        <w:t>p</w:t>
      </w:r>
      <w:r w:rsidR="0000180C">
        <w:rPr>
          <w:szCs w:val="24"/>
        </w:rPr>
        <w:t>oints (</w:t>
      </w:r>
      <w:r w:rsidR="00C365E9">
        <w:rPr>
          <w:szCs w:val="24"/>
        </w:rPr>
        <w:t>G</w:t>
      </w:r>
      <w:r w:rsidR="0000180C" w:rsidRPr="001E617C">
        <w:rPr>
          <w:szCs w:val="24"/>
        </w:rPr>
        <w:t>RPs</w:t>
      </w:r>
      <w:r w:rsidR="0000180C">
        <w:rPr>
          <w:szCs w:val="24"/>
        </w:rPr>
        <w:t xml:space="preserve">). </w:t>
      </w:r>
      <w:r w:rsidR="00C365E9">
        <w:rPr>
          <w:szCs w:val="24"/>
        </w:rPr>
        <w:t>G</w:t>
      </w:r>
      <w:r w:rsidR="0000180C" w:rsidRPr="001E617C">
        <w:rPr>
          <w:szCs w:val="24"/>
        </w:rPr>
        <w:t xml:space="preserve">RPs are </w:t>
      </w:r>
      <w:r w:rsidR="0003719B">
        <w:rPr>
          <w:szCs w:val="24"/>
        </w:rPr>
        <w:t xml:space="preserve">a measure of advertising impact and reflect </w:t>
      </w:r>
      <w:r w:rsidR="00C365E9">
        <w:rPr>
          <w:szCs w:val="24"/>
        </w:rPr>
        <w:t>the availability of advertising space in retail stores</w:t>
      </w:r>
      <w:r w:rsidR="0000180C" w:rsidRPr="001E617C">
        <w:rPr>
          <w:szCs w:val="24"/>
        </w:rPr>
        <w:t>. Th</w:t>
      </w:r>
      <w:r>
        <w:rPr>
          <w:szCs w:val="24"/>
        </w:rPr>
        <w:t>e</w:t>
      </w:r>
      <w:r w:rsidR="0000180C" w:rsidRPr="001E617C">
        <w:rPr>
          <w:szCs w:val="24"/>
        </w:rPr>
        <w:t xml:space="preserve"> hypothesis is testabl</w:t>
      </w:r>
      <w:r w:rsidR="0000180C">
        <w:rPr>
          <w:szCs w:val="24"/>
        </w:rPr>
        <w:t xml:space="preserve">e with the use of market-level campaign </w:t>
      </w:r>
      <w:r w:rsidR="00C365E9">
        <w:rPr>
          <w:szCs w:val="24"/>
        </w:rPr>
        <w:t>G</w:t>
      </w:r>
      <w:r w:rsidR="0000180C" w:rsidRPr="001E617C">
        <w:rPr>
          <w:szCs w:val="24"/>
        </w:rPr>
        <w:t xml:space="preserve">RP data in combination with individual-level </w:t>
      </w:r>
      <w:r w:rsidR="00877F18">
        <w:rPr>
          <w:szCs w:val="24"/>
        </w:rPr>
        <w:t>questionnaire</w:t>
      </w:r>
      <w:r w:rsidR="0000180C" w:rsidRPr="001E617C">
        <w:rPr>
          <w:szCs w:val="24"/>
        </w:rPr>
        <w:t xml:space="preserve"> data</w:t>
      </w:r>
      <w:r w:rsidR="00925194">
        <w:rPr>
          <w:szCs w:val="24"/>
        </w:rPr>
        <w:t xml:space="preserve"> </w:t>
      </w:r>
      <w:r w:rsidR="0000180C" w:rsidRPr="001E617C">
        <w:rPr>
          <w:szCs w:val="24"/>
        </w:rPr>
        <w:t xml:space="preserve">and generally requires two conditions to be met: (1) reasonable randomness in the media delivery at the market level and (2) a sufficient amount of variation in </w:t>
      </w:r>
      <w:r w:rsidR="00C365E9">
        <w:rPr>
          <w:szCs w:val="24"/>
        </w:rPr>
        <w:t>G</w:t>
      </w:r>
      <w:r w:rsidR="0000180C" w:rsidRPr="001E617C">
        <w:rPr>
          <w:szCs w:val="24"/>
        </w:rPr>
        <w:t>RPs to identify statistical relationships between the individual-leve</w:t>
      </w:r>
      <w:r w:rsidR="0000180C">
        <w:rPr>
          <w:szCs w:val="24"/>
        </w:rPr>
        <w:t xml:space="preserve">l </w:t>
      </w:r>
      <w:r w:rsidR="00877F18">
        <w:rPr>
          <w:szCs w:val="24"/>
        </w:rPr>
        <w:t>questionnaire</w:t>
      </w:r>
      <w:r w:rsidR="0000180C">
        <w:rPr>
          <w:szCs w:val="24"/>
        </w:rPr>
        <w:t xml:space="preserve"> data and market-level </w:t>
      </w:r>
      <w:r w:rsidR="00C365E9">
        <w:rPr>
          <w:szCs w:val="24"/>
        </w:rPr>
        <w:t>G</w:t>
      </w:r>
      <w:r w:rsidR="0000180C" w:rsidRPr="001E617C">
        <w:rPr>
          <w:szCs w:val="24"/>
        </w:rPr>
        <w:t xml:space="preserve">RPs. </w:t>
      </w:r>
      <w:r w:rsidR="00375C6A">
        <w:rPr>
          <w:szCs w:val="24"/>
        </w:rPr>
        <w:t xml:space="preserve">Because markets will be randomly assigned to campaign/treatment or control conditions, there is no concern about the randomness of media delivery. With 15 treatment and 15 control markets, there will be a large contrast in potential exposure to the campaign.  </w:t>
      </w:r>
    </w:p>
    <w:p w14:paraId="77C83C3B" w14:textId="77777777" w:rsidR="0000180C" w:rsidRDefault="0000180C" w:rsidP="00493C0A">
      <w:pPr>
        <w:pStyle w:val="BodyText1"/>
        <w:spacing w:after="0" w:line="240" w:lineRule="auto"/>
        <w:ind w:left="720" w:firstLine="0"/>
        <w:rPr>
          <w:szCs w:val="24"/>
        </w:rPr>
      </w:pPr>
    </w:p>
    <w:p w14:paraId="57BBA00A" w14:textId="4ADC06BA" w:rsidR="0000180C" w:rsidRDefault="00313923" w:rsidP="00493C0A">
      <w:pPr>
        <w:pStyle w:val="BodyText1"/>
        <w:spacing w:after="0" w:line="240" w:lineRule="auto"/>
        <w:ind w:left="720" w:firstLine="0"/>
        <w:rPr>
          <w:szCs w:val="24"/>
        </w:rPr>
      </w:pPr>
      <w:r>
        <w:rPr>
          <w:szCs w:val="24"/>
        </w:rPr>
        <w:t xml:space="preserve">We will also use individual measures of exposure to complement market-level exposure data.  </w:t>
      </w:r>
      <w:r w:rsidR="0000180C" w:rsidRPr="001E617C">
        <w:rPr>
          <w:szCs w:val="24"/>
        </w:rPr>
        <w:t>Self-reported recall of campaign ads will be measured at the individual</w:t>
      </w:r>
      <w:r w:rsidR="0062695E">
        <w:rPr>
          <w:szCs w:val="24"/>
        </w:rPr>
        <w:t>-</w:t>
      </w:r>
      <w:r w:rsidR="0000180C" w:rsidRPr="001E617C">
        <w:rPr>
          <w:szCs w:val="24"/>
        </w:rPr>
        <w:t>level.  The primary hypothesis of this approach is that individuals who self-report greater frequency of exposure to campaign advertisements will exhibit an increased likelihood of</w:t>
      </w:r>
      <w:r w:rsidR="00925194">
        <w:rPr>
          <w:szCs w:val="24"/>
        </w:rPr>
        <w:t xml:space="preserve"> quitting-related cognitions and</w:t>
      </w:r>
      <w:r w:rsidR="0000180C" w:rsidRPr="001E617C">
        <w:rPr>
          <w:szCs w:val="24"/>
        </w:rPr>
        <w:t xml:space="preserve"> behavior change.  Th</w:t>
      </w:r>
      <w:r w:rsidR="0000180C">
        <w:rPr>
          <w:szCs w:val="24"/>
        </w:rPr>
        <w:t xml:space="preserve">is </w:t>
      </w:r>
      <w:r w:rsidR="0000180C" w:rsidRPr="001E617C">
        <w:rPr>
          <w:szCs w:val="24"/>
        </w:rPr>
        <w:t xml:space="preserve">approach may result in greater overall variation in exposure and potentially increased statistical power to identify associations between campaign advertisements and key outcomes of interest. The primary limitation of this approach is that self-reported measures of exposure are subject to “selective attention” bias whereby smokers who are more willing to quit </w:t>
      </w:r>
      <w:r>
        <w:rPr>
          <w:szCs w:val="24"/>
        </w:rPr>
        <w:t>may</w:t>
      </w:r>
      <w:r w:rsidRPr="001E617C">
        <w:rPr>
          <w:szCs w:val="24"/>
        </w:rPr>
        <w:t xml:space="preserve"> </w:t>
      </w:r>
      <w:r w:rsidR="0000180C" w:rsidRPr="001E617C">
        <w:rPr>
          <w:szCs w:val="24"/>
        </w:rPr>
        <w:t>also be more attentive to campaign messages an</w:t>
      </w:r>
      <w:r w:rsidR="00EB406D">
        <w:rPr>
          <w:szCs w:val="24"/>
        </w:rPr>
        <w:t>d thus more likely to indicate campaign e</w:t>
      </w:r>
      <w:r w:rsidR="0000180C" w:rsidRPr="001E617C">
        <w:rPr>
          <w:szCs w:val="24"/>
        </w:rPr>
        <w:t xml:space="preserve">xposure. </w:t>
      </w:r>
      <w:r w:rsidR="00CB4EA3">
        <w:rPr>
          <w:szCs w:val="24"/>
        </w:rPr>
        <w:t xml:space="preserve">However, the </w:t>
      </w:r>
      <w:r w:rsidR="006D6440">
        <w:rPr>
          <w:szCs w:val="24"/>
        </w:rPr>
        <w:t xml:space="preserve">smartphone </w:t>
      </w:r>
      <w:r w:rsidR="00C62E13">
        <w:rPr>
          <w:szCs w:val="24"/>
        </w:rPr>
        <w:t>app</w:t>
      </w:r>
      <w:r w:rsidR="0064645B">
        <w:rPr>
          <w:szCs w:val="24"/>
        </w:rPr>
        <w:t>, which is customized to provide passive campaign exposure,</w:t>
      </w:r>
      <w:r w:rsidR="00297D14">
        <w:rPr>
          <w:szCs w:val="24"/>
        </w:rPr>
        <w:t xml:space="preserve"> </w:t>
      </w:r>
      <w:r w:rsidR="00CB4EA3">
        <w:rPr>
          <w:szCs w:val="24"/>
        </w:rPr>
        <w:t xml:space="preserve">will provide us with the ability to assess this bias by calculating the difference between self-reported and </w:t>
      </w:r>
      <w:r w:rsidR="00C62E13">
        <w:rPr>
          <w:szCs w:val="24"/>
        </w:rPr>
        <w:t>app</w:t>
      </w:r>
      <w:r w:rsidR="00CB4EA3">
        <w:rPr>
          <w:szCs w:val="24"/>
        </w:rPr>
        <w:t xml:space="preserve">-calculated campaign exposure. </w:t>
      </w:r>
      <w:r w:rsidR="00090316">
        <w:rPr>
          <w:szCs w:val="24"/>
        </w:rPr>
        <w:t xml:space="preserve">In other words, the app will be an exogenous measure of individual campaign exposure. </w:t>
      </w:r>
      <w:r w:rsidR="0000180C" w:rsidRPr="001E617C">
        <w:rPr>
          <w:szCs w:val="24"/>
        </w:rPr>
        <w:t xml:space="preserve">In summary, the specific and frequent measurement of </w:t>
      </w:r>
      <w:r w:rsidR="0000180C" w:rsidRPr="00BD3B93">
        <w:rPr>
          <w:szCs w:val="24"/>
        </w:rPr>
        <w:t>both market-level and</w:t>
      </w:r>
      <w:r w:rsidR="0000180C" w:rsidRPr="001E617C">
        <w:rPr>
          <w:szCs w:val="24"/>
        </w:rPr>
        <w:t xml:space="preserve"> individual-level campaign exposure requested as part of this data collection effort are necessary to accurately evaluate</w:t>
      </w:r>
      <w:r w:rsidR="0000180C">
        <w:rPr>
          <w:szCs w:val="24"/>
        </w:rPr>
        <w:t xml:space="preserve"> campaign exposure and potential </w:t>
      </w:r>
      <w:r w:rsidR="0000180C" w:rsidRPr="001E617C">
        <w:rPr>
          <w:szCs w:val="24"/>
        </w:rPr>
        <w:t>impact</w:t>
      </w:r>
      <w:r w:rsidR="0000180C">
        <w:rPr>
          <w:szCs w:val="24"/>
        </w:rPr>
        <w:t xml:space="preserve"> </w:t>
      </w:r>
      <w:r w:rsidR="004264D0">
        <w:rPr>
          <w:szCs w:val="24"/>
        </w:rPr>
        <w:t>while</w:t>
      </w:r>
      <w:r w:rsidR="0000180C">
        <w:rPr>
          <w:szCs w:val="24"/>
        </w:rPr>
        <w:t xml:space="preserve"> mitigating the limitations of </w:t>
      </w:r>
      <w:r w:rsidR="006D6440">
        <w:rPr>
          <w:szCs w:val="24"/>
        </w:rPr>
        <w:t xml:space="preserve">using </w:t>
      </w:r>
      <w:r w:rsidR="0000180C">
        <w:rPr>
          <w:szCs w:val="24"/>
        </w:rPr>
        <w:t>one approach in isolation</w:t>
      </w:r>
      <w:r w:rsidR="0000180C" w:rsidRPr="001E617C">
        <w:rPr>
          <w:szCs w:val="24"/>
        </w:rPr>
        <w:t xml:space="preserve">.  </w:t>
      </w:r>
    </w:p>
    <w:p w14:paraId="77FF25F0" w14:textId="77777777" w:rsidR="008B30AB" w:rsidRPr="002746DB" w:rsidRDefault="00EB7538" w:rsidP="006D6440">
      <w:pPr>
        <w:keepNext/>
        <w:numPr>
          <w:ilvl w:val="0"/>
          <w:numId w:val="1"/>
        </w:numPr>
        <w:spacing w:before="100" w:beforeAutospacing="1" w:after="100" w:afterAutospacing="1"/>
        <w:rPr>
          <w:u w:val="single"/>
        </w:rPr>
      </w:pPr>
      <w:r w:rsidRPr="002746DB">
        <w:rPr>
          <w:u w:val="single"/>
        </w:rPr>
        <w:t xml:space="preserve">Purpose and Use of the Information Collection </w:t>
      </w:r>
    </w:p>
    <w:p w14:paraId="125F6A44" w14:textId="38E51247" w:rsidR="008434C7" w:rsidRDefault="008434C7" w:rsidP="008434C7">
      <w:pPr>
        <w:ind w:left="720"/>
      </w:pPr>
      <w:r>
        <w:t xml:space="preserve">The information obtained from the proposed data collection activities is collected from individuals </w:t>
      </w:r>
      <w:r w:rsidR="00BD3B93">
        <w:t xml:space="preserve">or </w:t>
      </w:r>
      <w:r>
        <w:t xml:space="preserve">households and will be used to inform FDA, policy makers in the </w:t>
      </w:r>
      <w:r w:rsidR="0062695E">
        <w:t>U.S.</w:t>
      </w:r>
      <w:r>
        <w:t xml:space="preserve">, prevention practitioners, and researchers about the extent of </w:t>
      </w:r>
      <w:r w:rsidR="004264D0">
        <w:t>adult</w:t>
      </w:r>
      <w:r w:rsidR="00C365E9">
        <w:t>s</w:t>
      </w:r>
      <w:r w:rsidR="004264D0">
        <w:t>’</w:t>
      </w:r>
      <w:r w:rsidR="00C365E9">
        <w:t xml:space="preserve"> </w:t>
      </w:r>
      <w:r>
        <w:t xml:space="preserve">exposure to the </w:t>
      </w:r>
      <w:r w:rsidR="006B392C">
        <w:t>point-of-sale</w:t>
      </w:r>
      <w:r w:rsidR="004264D0">
        <w:t xml:space="preserve"> </w:t>
      </w:r>
      <w:r>
        <w:t>campaign’</w:t>
      </w:r>
      <w:r w:rsidR="004264D0">
        <w:t>s</w:t>
      </w:r>
      <w:r>
        <w:t xml:space="preserve"> message and the extent to which exposure to th</w:t>
      </w:r>
      <w:r w:rsidR="004264D0">
        <w:t>is message</w:t>
      </w:r>
      <w:r>
        <w:t xml:space="preserve"> is associated with changes in target</w:t>
      </w:r>
      <w:r w:rsidR="0062695E">
        <w:t>ed</w:t>
      </w:r>
      <w:r>
        <w:t xml:space="preserve"> outcomes. While not exhaustive, the list below illustrates a range of purposes and uses for the proposed information collection:</w:t>
      </w:r>
    </w:p>
    <w:p w14:paraId="717C72C4" w14:textId="77777777" w:rsidR="008434C7" w:rsidRDefault="008434C7" w:rsidP="008434C7">
      <w:pPr>
        <w:ind w:left="720"/>
      </w:pPr>
    </w:p>
    <w:p w14:paraId="4E4BAEA8" w14:textId="46FB06BC" w:rsidR="008434C7" w:rsidRDefault="008434C7" w:rsidP="0044134D">
      <w:pPr>
        <w:numPr>
          <w:ilvl w:val="1"/>
          <w:numId w:val="1"/>
        </w:numPr>
        <w:tabs>
          <w:tab w:val="left" w:pos="1440"/>
        </w:tabs>
        <w:ind w:left="1440" w:hanging="360"/>
      </w:pPr>
      <w:r>
        <w:t xml:space="preserve">Provide critical data on the reach of the </w:t>
      </w:r>
      <w:r w:rsidR="006B392C">
        <w:t>point-of-sale</w:t>
      </w:r>
      <w:r w:rsidR="004264D0">
        <w:t xml:space="preserve"> </w:t>
      </w:r>
      <w:r>
        <w:t xml:space="preserve">campaign among </w:t>
      </w:r>
      <w:r w:rsidR="00C365E9">
        <w:t xml:space="preserve">adults </w:t>
      </w:r>
      <w:r>
        <w:t>in the United States, particularly with estimates of the proportion of the population that was exposed to the campaign.</w:t>
      </w:r>
    </w:p>
    <w:p w14:paraId="48783AC6" w14:textId="77777777" w:rsidR="008434C7" w:rsidRDefault="008434C7" w:rsidP="008434C7">
      <w:pPr>
        <w:numPr>
          <w:ilvl w:val="1"/>
          <w:numId w:val="1"/>
        </w:numPr>
        <w:tabs>
          <w:tab w:val="left" w:pos="1440"/>
        </w:tabs>
        <w:ind w:left="1440" w:hanging="360"/>
      </w:pPr>
      <w:r>
        <w:t xml:space="preserve">Understand the influence of the </w:t>
      </w:r>
      <w:r w:rsidR="000F4046">
        <w:t xml:space="preserve">campaign </w:t>
      </w:r>
      <w:r>
        <w:t xml:space="preserve">on </w:t>
      </w:r>
      <w:r w:rsidR="00493736">
        <w:t xml:space="preserve">beliefs, </w:t>
      </w:r>
      <w:r>
        <w:t xml:space="preserve">attitudes, </w:t>
      </w:r>
      <w:r w:rsidR="00493736">
        <w:t>intentions</w:t>
      </w:r>
      <w:r>
        <w:t>, and behaviors around tobacco use.</w:t>
      </w:r>
    </w:p>
    <w:p w14:paraId="47738C4E" w14:textId="77777777" w:rsidR="008434C7" w:rsidRDefault="008434C7" w:rsidP="008434C7">
      <w:pPr>
        <w:numPr>
          <w:ilvl w:val="1"/>
          <w:numId w:val="1"/>
        </w:numPr>
        <w:tabs>
          <w:tab w:val="left" w:pos="1440"/>
        </w:tabs>
        <w:ind w:left="1440" w:hanging="360"/>
      </w:pPr>
      <w:r>
        <w:t>Inform FDA, policy makers, and other stakeholders o</w:t>
      </w:r>
      <w:r w:rsidR="00925194">
        <w:t>f</w:t>
      </w:r>
      <w:r>
        <w:t xml:space="preserve"> the impact of the campaign overall.</w:t>
      </w:r>
    </w:p>
    <w:p w14:paraId="36DA6607" w14:textId="77777777" w:rsidR="008434C7" w:rsidRDefault="008434C7" w:rsidP="008434C7">
      <w:pPr>
        <w:numPr>
          <w:ilvl w:val="1"/>
          <w:numId w:val="1"/>
        </w:numPr>
        <w:tabs>
          <w:tab w:val="left" w:pos="1440"/>
        </w:tabs>
        <w:ind w:left="1440" w:hanging="360"/>
      </w:pPr>
      <w:r>
        <w:t>Inform the public about the impact of the campaign.</w:t>
      </w:r>
    </w:p>
    <w:p w14:paraId="7388DE46" w14:textId="77777777" w:rsidR="008434C7" w:rsidRDefault="008434C7" w:rsidP="008434C7">
      <w:pPr>
        <w:numPr>
          <w:ilvl w:val="1"/>
          <w:numId w:val="1"/>
        </w:numPr>
        <w:tabs>
          <w:tab w:val="left" w:pos="1440"/>
        </w:tabs>
        <w:ind w:left="1440" w:hanging="360"/>
      </w:pPr>
      <w:r>
        <w:t>Inform future programs that may be designed for similar purposes.</w:t>
      </w:r>
    </w:p>
    <w:p w14:paraId="1D1A5D7B" w14:textId="19B24615" w:rsidR="00C854A7" w:rsidRDefault="00C854A7" w:rsidP="008434C7">
      <w:pPr>
        <w:numPr>
          <w:ilvl w:val="1"/>
          <w:numId w:val="1"/>
        </w:numPr>
        <w:tabs>
          <w:tab w:val="left" w:pos="1440"/>
        </w:tabs>
        <w:ind w:left="1440" w:hanging="360"/>
      </w:pPr>
      <w:r>
        <w:t>Inform the feasibility, accuracy, and utility of using geolocation technology to measure mass media campaign exposure.</w:t>
      </w:r>
    </w:p>
    <w:p w14:paraId="6A954D17" w14:textId="77777777" w:rsidR="00D506F8" w:rsidRDefault="00D506F8" w:rsidP="008434C7">
      <w:pPr>
        <w:tabs>
          <w:tab w:val="left" w:pos="720"/>
        </w:tabs>
        <w:ind w:left="720"/>
        <w:rPr>
          <w:u w:val="single"/>
        </w:rPr>
      </w:pPr>
    </w:p>
    <w:p w14:paraId="4E9F0591" w14:textId="7B7F8107" w:rsidR="002746DB" w:rsidRPr="004C6979" w:rsidRDefault="00DB1447" w:rsidP="00EB7538">
      <w:pPr>
        <w:numPr>
          <w:ilvl w:val="0"/>
          <w:numId w:val="1"/>
        </w:numPr>
        <w:spacing w:before="100" w:beforeAutospacing="1" w:after="100" w:afterAutospacing="1"/>
        <w:ind w:right="-1440"/>
        <w:rPr>
          <w:u w:val="single"/>
        </w:rPr>
      </w:pPr>
      <w:r w:rsidDel="00DB1447">
        <w:t xml:space="preserve"> </w:t>
      </w:r>
      <w:r w:rsidR="00EB7538" w:rsidRPr="004C6979">
        <w:rPr>
          <w:u w:val="single"/>
        </w:rPr>
        <w:t xml:space="preserve">Use of Improved Information Technology and Burden Reduction </w:t>
      </w:r>
    </w:p>
    <w:p w14:paraId="78AF6288" w14:textId="31A66358" w:rsidR="00A15D0F" w:rsidRDefault="00A15D0F" w:rsidP="00EB406D">
      <w:pPr>
        <w:ind w:left="720"/>
      </w:pPr>
      <w:r>
        <w:t xml:space="preserve">This outcome study will rely on </w:t>
      </w:r>
      <w:r w:rsidR="00FB5319">
        <w:t xml:space="preserve">a mail-based screener, an in-person </w:t>
      </w:r>
      <w:r w:rsidR="00C72194">
        <w:t xml:space="preserve">field </w:t>
      </w:r>
      <w:r w:rsidR="00FB5319">
        <w:t xml:space="preserve">screener, and an </w:t>
      </w:r>
      <w:r w:rsidR="00CB4EA3">
        <w:t xml:space="preserve">in-person </w:t>
      </w:r>
      <w:r w:rsidR="00877F18">
        <w:t xml:space="preserve">evaluation questionnaire </w:t>
      </w:r>
      <w:r>
        <w:t xml:space="preserve">for </w:t>
      </w:r>
      <w:r w:rsidR="00925194">
        <w:t>Wave 1</w:t>
      </w:r>
      <w:r w:rsidR="00FB5319">
        <w:t xml:space="preserve">. Participants will have the option to complete the </w:t>
      </w:r>
      <w:r w:rsidR="00FD5501">
        <w:t>Wave</w:t>
      </w:r>
      <w:r w:rsidR="00103729">
        <w:t>s</w:t>
      </w:r>
      <w:r w:rsidR="00FD5501">
        <w:t xml:space="preserve"> </w:t>
      </w:r>
      <w:r w:rsidR="00925194">
        <w:t>2, 3</w:t>
      </w:r>
      <w:r w:rsidR="00FB5319">
        <w:t>, and 4</w:t>
      </w:r>
      <w:r w:rsidR="00925194">
        <w:t xml:space="preserve"> </w:t>
      </w:r>
      <w:r w:rsidR="00877F18">
        <w:t xml:space="preserve">evaluation questionnaires </w:t>
      </w:r>
      <w:r w:rsidR="00FB5319">
        <w:t>online or in</w:t>
      </w:r>
      <w:r w:rsidR="00E038A1">
        <w:t xml:space="preserve"> </w:t>
      </w:r>
      <w:r w:rsidR="00FB5319">
        <w:t>person</w:t>
      </w:r>
      <w:r w:rsidR="00925194">
        <w:t>. I</w:t>
      </w:r>
      <w:r>
        <w:t>n-person</w:t>
      </w:r>
      <w:r w:rsidR="00925194">
        <w:t xml:space="preserve"> data collection</w:t>
      </w:r>
      <w:r>
        <w:t xml:space="preserve"> increase</w:t>
      </w:r>
      <w:r w:rsidR="00925194">
        <w:t>s</w:t>
      </w:r>
      <w:r>
        <w:t xml:space="preserve"> </w:t>
      </w:r>
      <w:r w:rsidR="00925194">
        <w:t xml:space="preserve">the </w:t>
      </w:r>
      <w:r>
        <w:t xml:space="preserve">accuracy </w:t>
      </w:r>
      <w:r w:rsidR="00925194">
        <w:t>of</w:t>
      </w:r>
      <w:r>
        <w:t xml:space="preserve"> measuremen</w:t>
      </w:r>
      <w:r w:rsidR="00925194">
        <w:t>t of key variables of interest</w:t>
      </w:r>
      <w:r w:rsidR="00C72194">
        <w:t>.</w:t>
      </w:r>
      <w:r w:rsidR="00925194">
        <w:t xml:space="preserve"> </w:t>
      </w:r>
      <w:r>
        <w:t xml:space="preserve"> </w:t>
      </w:r>
      <w:r w:rsidR="00C72194">
        <w:t xml:space="preserve">However, </w:t>
      </w:r>
      <w:r w:rsidR="000F24E9">
        <w:t>o</w:t>
      </w:r>
      <w:r w:rsidR="00FB5319">
        <w:t xml:space="preserve">nline data collection </w:t>
      </w:r>
      <w:r w:rsidR="00C72194">
        <w:t>decreases participant allow</w:t>
      </w:r>
      <w:r w:rsidR="00D86015">
        <w:t>s</w:t>
      </w:r>
      <w:r w:rsidR="00C72194">
        <w:t xml:space="preserve"> the participant to complete the questionnaire at their convenience </w:t>
      </w:r>
      <w:r w:rsidR="00850347">
        <w:t xml:space="preserve">and </w:t>
      </w:r>
      <w:r w:rsidR="00FB5319">
        <w:t xml:space="preserve">keeps costs low. </w:t>
      </w:r>
      <w:r w:rsidR="007D1D92">
        <w:t>Study t</w:t>
      </w:r>
      <w:r w:rsidR="00FB5319">
        <w:t>ablet</w:t>
      </w:r>
      <w:r w:rsidR="00C72194">
        <w:t xml:space="preserve">s will be used for field screening. </w:t>
      </w:r>
      <w:r w:rsidR="007D1D92">
        <w:t>Study l</w:t>
      </w:r>
      <w:r w:rsidR="00FB5319">
        <w:t>aptop</w:t>
      </w:r>
      <w:r w:rsidR="007D1D92">
        <w:t>s</w:t>
      </w:r>
      <w:r w:rsidR="00FB5319">
        <w:t xml:space="preserve"> will be used for </w:t>
      </w:r>
      <w:r w:rsidR="007D1D92">
        <w:t xml:space="preserve">the Wave 1 evaluation questionnaire. Study laptops, participant laptops, or participant tablets will be used to complete the </w:t>
      </w:r>
      <w:r w:rsidR="00C72194">
        <w:t>Wave</w:t>
      </w:r>
      <w:r w:rsidR="007D1D92">
        <w:t>s 2-</w:t>
      </w:r>
      <w:r w:rsidR="00C72194">
        <w:t xml:space="preserve">4 evaluation questionnaires. </w:t>
      </w:r>
      <w:r w:rsidR="007D1D92">
        <w:t>Interviewers will enter responses to the telephone verification surveys into a laptop or tablet computer.</w:t>
      </w:r>
      <w:r w:rsidR="003E0990">
        <w:t xml:space="preserve"> Using tablets for field screening </w:t>
      </w:r>
      <w:r w:rsidR="00EB406D">
        <w:t>provide</w:t>
      </w:r>
      <w:r w:rsidR="003E0990">
        <w:t>s</w:t>
      </w:r>
      <w:r w:rsidR="00EB406D">
        <w:t xml:space="preserve"> the benefits of complex case management tools</w:t>
      </w:r>
      <w:r w:rsidR="003E0990">
        <w:t>, random selection of one participant per household</w:t>
      </w:r>
      <w:r w:rsidR="00EB406D" w:rsidRPr="0096400B">
        <w:t>,</w:t>
      </w:r>
      <w:r w:rsidR="00EB406D">
        <w:t xml:space="preserve"> and quick, secure electronic transfer of data for in-person screening. Use of tablets and laptops also permits the instrument designer to incorporate questionnaire routings that might be overly complex or not possible with </w:t>
      </w:r>
      <w:r w:rsidR="000F24E9">
        <w:t xml:space="preserve">other </w:t>
      </w:r>
      <w:r w:rsidR="00EB406D">
        <w:t xml:space="preserve">methods. </w:t>
      </w:r>
      <w:r>
        <w:t xml:space="preserve">Interviewer and respondent errors caused by faulty implementation of skip instructions are virtually eliminated. </w:t>
      </w:r>
      <w:r w:rsidR="00EB406D">
        <w:t>T</w:t>
      </w:r>
      <w:r>
        <w:t xml:space="preserve">his </w:t>
      </w:r>
      <w:r w:rsidR="009A4EC8">
        <w:t xml:space="preserve">technology </w:t>
      </w:r>
      <w:r w:rsidR="00EB406D">
        <w:t xml:space="preserve">also </w:t>
      </w:r>
      <w:r>
        <w:t xml:space="preserve">increases the consistency of the data. The computer can be programmed to identify inconsistent responses and attempt to resolve them through respondent prompts. This approach reduces the need for most manual and machine editing, thus saving time and </w:t>
      </w:r>
      <w:r w:rsidR="00FB5319">
        <w:t>expense</w:t>
      </w:r>
      <w:r>
        <w:t>. In addition, it is likely that respondent-resolved inconsistencies will result in data that are more accurate than when inconsistencies are resolved using editing rules.</w:t>
      </w:r>
      <w:r w:rsidR="00766C35">
        <w:t xml:space="preserve"> </w:t>
      </w:r>
      <w:r w:rsidR="0072330E">
        <w:t xml:space="preserve">The self-administered format of the </w:t>
      </w:r>
      <w:r w:rsidR="00877F18">
        <w:t xml:space="preserve">Waves 1, 2, 3, and 4 evaluation questionnaires (using a laptop) </w:t>
      </w:r>
      <w:r w:rsidR="007D1D92">
        <w:t xml:space="preserve">and app-based questionnaires (using a smartphone) </w:t>
      </w:r>
      <w:r w:rsidR="0072330E">
        <w:t xml:space="preserve">will increase </w:t>
      </w:r>
      <w:r w:rsidR="00103729">
        <w:t xml:space="preserve">privacy </w:t>
      </w:r>
      <w:r w:rsidR="0072330E">
        <w:t>by allowing participants to input their answers into the computer without the interviewer seeing the</w:t>
      </w:r>
      <w:r w:rsidR="00103729">
        <w:t>ir responses</w:t>
      </w:r>
      <w:r w:rsidR="0072330E">
        <w:t xml:space="preserve">. </w:t>
      </w:r>
    </w:p>
    <w:p w14:paraId="58FDE58C" w14:textId="77777777" w:rsidR="00EB406D" w:rsidRDefault="00EB406D" w:rsidP="00A15D0F">
      <w:pPr>
        <w:ind w:left="720"/>
      </w:pPr>
    </w:p>
    <w:p w14:paraId="7922AE6C" w14:textId="05918884" w:rsidR="009A4EC8" w:rsidRDefault="009A4EC8" w:rsidP="00EB406D">
      <w:pPr>
        <w:ind w:left="720"/>
        <w:rPr>
          <w:u w:val="single"/>
        </w:rPr>
      </w:pPr>
      <w:r>
        <w:t xml:space="preserve">Although the mail screener will not be electronic, </w:t>
      </w:r>
      <w:r w:rsidRPr="00766C35">
        <w:t xml:space="preserve">FDA estimates that </w:t>
      </w:r>
      <w:r>
        <w:t>100</w:t>
      </w:r>
      <w:r w:rsidRPr="00766C35">
        <w:t xml:space="preserve">% of the respondents will use electronic means to </w:t>
      </w:r>
      <w:r>
        <w:t>complete the in-person screener, Wave</w:t>
      </w:r>
      <w:r w:rsidR="00103729">
        <w:t>s</w:t>
      </w:r>
      <w:r>
        <w:t xml:space="preserve"> 1, 2, 3, and 4 </w:t>
      </w:r>
      <w:r w:rsidR="00877F18">
        <w:t>evaluation questionnaire</w:t>
      </w:r>
      <w:r>
        <w:t>s</w:t>
      </w:r>
      <w:r w:rsidR="007D1D92">
        <w:t>, the 3</w:t>
      </w:r>
      <w:r>
        <w:t xml:space="preserve"> app-based</w:t>
      </w:r>
      <w:r w:rsidR="004307A9">
        <w:t xml:space="preserve"> </w:t>
      </w:r>
      <w:r w:rsidR="00877F18">
        <w:t>questionnaires</w:t>
      </w:r>
      <w:r w:rsidR="007D1D92">
        <w:t>, and the 4 telephone verification surveys</w:t>
      </w:r>
      <w:r>
        <w:t xml:space="preserve">. </w:t>
      </w:r>
      <w:r w:rsidR="003E0990">
        <w:t>Based on burden estimates, an estimated 27,651 mail screeners will be completed on paper, which makes up 3</w:t>
      </w:r>
      <w:r w:rsidR="00850347">
        <w:t>6</w:t>
      </w:r>
      <w:r w:rsidR="003E0990">
        <w:t>% of all screeners and questionnaires that will be completed as part of the evaluation (</w:t>
      </w:r>
      <w:r w:rsidR="00850347">
        <w:t>77,433</w:t>
      </w:r>
      <w:r w:rsidR="003E0990">
        <w:t>)</w:t>
      </w:r>
      <w:r w:rsidR="00202AA1" w:rsidRPr="00202AA1">
        <w:t xml:space="preserve"> </w:t>
      </w:r>
      <w:r w:rsidR="00202AA1">
        <w:t>and 25% of the total burden hours</w:t>
      </w:r>
      <w:r w:rsidR="000A54E2">
        <w:t>.</w:t>
      </w:r>
    </w:p>
    <w:p w14:paraId="43EC761C" w14:textId="0E241359" w:rsidR="002746DB" w:rsidRPr="002746DB" w:rsidRDefault="00EB7538" w:rsidP="00103729">
      <w:pPr>
        <w:numPr>
          <w:ilvl w:val="0"/>
          <w:numId w:val="1"/>
        </w:numPr>
        <w:spacing w:before="100" w:beforeAutospacing="1" w:after="100" w:afterAutospacing="1"/>
        <w:ind w:right="-1440"/>
        <w:rPr>
          <w:u w:val="single"/>
        </w:rPr>
      </w:pPr>
      <w:r w:rsidRPr="002746DB">
        <w:rPr>
          <w:u w:val="single"/>
        </w:rPr>
        <w:t xml:space="preserve">Efforts to Identify Duplication and Use of Similar Information </w:t>
      </w:r>
    </w:p>
    <w:p w14:paraId="617BF7CC" w14:textId="25FCB469" w:rsidR="00A15D0F" w:rsidRDefault="00A15D0F" w:rsidP="00A83B43">
      <w:pPr>
        <w:ind w:left="720"/>
      </w:pPr>
      <w:r w:rsidRPr="00A15D0F">
        <w:t xml:space="preserve">FDA’s </w:t>
      </w:r>
      <w:r w:rsidR="006B392C">
        <w:t>point-of-sale</w:t>
      </w:r>
      <w:r w:rsidR="00C365E9">
        <w:t xml:space="preserve"> </w:t>
      </w:r>
      <w:r w:rsidRPr="00A15D0F">
        <w:t>campaign efforts are new. To date, there has been no in-depth evaluation of th</w:t>
      </w:r>
      <w:r w:rsidR="00AD144F">
        <w:t>is</w:t>
      </w:r>
      <w:r w:rsidRPr="00A15D0F">
        <w:t xml:space="preserve"> campaign in a real-world setting, and there are no existing data sources that contain measures on awareness of and exposure to the campaigns</w:t>
      </w:r>
      <w:r w:rsidR="00267657">
        <w:t xml:space="preserve"> for the 15 </w:t>
      </w:r>
      <w:r w:rsidR="00EB406D">
        <w:t>counties</w:t>
      </w:r>
      <w:r w:rsidR="009A4EC8">
        <w:t xml:space="preserve"> </w:t>
      </w:r>
      <w:r w:rsidR="00267657">
        <w:t>targeted by the campaign</w:t>
      </w:r>
      <w:r w:rsidRPr="00A15D0F">
        <w:t xml:space="preserve">. This proposed information collection therefore does not duplicate previous efforts. In designing the proposed data collection activities, we have taken several steps to ensure that this effort does not duplicate ongoing efforts and </w:t>
      </w:r>
      <w:r w:rsidR="00474B92">
        <w:t xml:space="preserve">to ascertain </w:t>
      </w:r>
      <w:r w:rsidRPr="00A15D0F">
        <w:t>that no existing data sets would address the proposed study questions. We have carefully reviewed existing</w:t>
      </w:r>
      <w:r w:rsidR="001D2D00">
        <w:t xml:space="preserve"> data</w:t>
      </w:r>
      <w:r w:rsidRPr="00A15D0F">
        <w:t xml:space="preserve">sets to determine whether any of them are sufficiently similar or could be modified to address FDA’s need for information on the effectiveness of the campaign with respect to </w:t>
      </w:r>
      <w:r w:rsidR="00AD144F">
        <w:t xml:space="preserve">increasing </w:t>
      </w:r>
      <w:r w:rsidR="008D2A1D">
        <w:t>motivation to quit among adult smokers</w:t>
      </w:r>
      <w:r w:rsidRPr="00A15D0F">
        <w:t xml:space="preserve">. We investigated the possibility of using existing data to examine our research questions, such as data collected as part of ongoing national surveillance systems, evaluations of current or past state-level campaigns for </w:t>
      </w:r>
      <w:r w:rsidR="00AD144F">
        <w:t>adults</w:t>
      </w:r>
      <w:r w:rsidRPr="00A15D0F">
        <w:t xml:space="preserve">, the National </w:t>
      </w:r>
      <w:r w:rsidR="00AD144F">
        <w:t xml:space="preserve">Adult </w:t>
      </w:r>
      <w:r w:rsidRPr="00A15D0F">
        <w:t xml:space="preserve">Tobacco Survey, </w:t>
      </w:r>
      <w:r w:rsidR="007169BF">
        <w:t>and the Population Assessment of Tobacco and Health</w:t>
      </w:r>
      <w:r w:rsidRPr="00A15D0F">
        <w:t xml:space="preserve">. </w:t>
      </w:r>
      <w:r w:rsidR="00AD144F">
        <w:t>N</w:t>
      </w:r>
      <w:r w:rsidRPr="00A15D0F">
        <w:t xml:space="preserve">one of these existing data sources </w:t>
      </w:r>
      <w:r w:rsidR="00945312">
        <w:t>meet</w:t>
      </w:r>
      <w:r w:rsidR="00945312" w:rsidRPr="00A15D0F">
        <w:t xml:space="preserve"> </w:t>
      </w:r>
      <w:r w:rsidRPr="00A15D0F">
        <w:t>the data collection needs of the campaign.</w:t>
      </w:r>
    </w:p>
    <w:p w14:paraId="6BDE2EF7" w14:textId="77777777" w:rsidR="002746DB"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14:paraId="45BC9C1C" w14:textId="77777777" w:rsidR="00A15D0F" w:rsidRPr="00A15D0F" w:rsidRDefault="00A15D0F" w:rsidP="00A15D0F">
      <w:pPr>
        <w:spacing w:before="100" w:beforeAutospacing="1" w:after="100" w:afterAutospacing="1"/>
        <w:ind w:left="720"/>
      </w:pPr>
      <w:r w:rsidRPr="00A15D0F">
        <w:t>Respondents in this study will be members of the general public, not business entities. No impact on small businesses or other small entities is anticipated.</w:t>
      </w:r>
    </w:p>
    <w:p w14:paraId="6FBDCB0A" w14:textId="77777777" w:rsidR="00CD77C3"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14:paraId="5F233BE9" w14:textId="1DB5DD5A" w:rsidR="00A15D0F" w:rsidRPr="00A15D0F" w:rsidRDefault="00A15D0F" w:rsidP="00A83B43">
      <w:pPr>
        <w:spacing w:before="100" w:beforeAutospacing="1" w:after="100" w:afterAutospacing="1"/>
        <w:ind w:left="720"/>
      </w:pPr>
      <w:r>
        <w:t xml:space="preserve">Respondents to this collection of information will answer </w:t>
      </w:r>
      <w:r w:rsidR="00FB5319">
        <w:t xml:space="preserve">questions </w:t>
      </w:r>
      <w:r>
        <w:t xml:space="preserve">on an occasional basis. </w:t>
      </w:r>
      <w:r w:rsidRPr="00A15D0F">
        <w:t xml:space="preserve">While there are no legal obstacles to reduce burden, any lack of information needed to evaluate the </w:t>
      </w:r>
      <w:r w:rsidR="001D2D00">
        <w:t>point-of-s</w:t>
      </w:r>
      <w:r w:rsidR="00E66718">
        <w:t>ale</w:t>
      </w:r>
      <w:r w:rsidRPr="00A15D0F">
        <w:t xml:space="preserve"> </w:t>
      </w:r>
      <w:r w:rsidR="001D2D00">
        <w:t>c</w:t>
      </w:r>
      <w:r w:rsidRPr="00A15D0F">
        <w:t xml:space="preserve">ampaign may impede the federal government’s efforts to improve public health. Without the information collection requested for this evaluation study, it would be difficult to determine the value or impact of the campaign on the lives of the people </w:t>
      </w:r>
      <w:r w:rsidR="001D2D00">
        <w:t xml:space="preserve">it is </w:t>
      </w:r>
      <w:r w:rsidRPr="00A15D0F">
        <w:t xml:space="preserve">intended to serve. Failure to collect these data could reduce effective use of FDA’s program resources to benefit </w:t>
      </w:r>
      <w:r w:rsidR="00AD144F">
        <w:t>adults</w:t>
      </w:r>
      <w:r w:rsidR="00AD144F" w:rsidRPr="00A15D0F">
        <w:t xml:space="preserve"> </w:t>
      </w:r>
      <w:r w:rsidRPr="00A15D0F">
        <w:t>in the United States. Careful consideration has been given to how frequently the campaign</w:t>
      </w:r>
      <w:r w:rsidR="00BB7A49">
        <w:t>’</w:t>
      </w:r>
      <w:r w:rsidRPr="00A15D0F">
        <w:t xml:space="preserve">s intended audience should be surveyed for evaluation purposes. We believe that the proposed </w:t>
      </w:r>
      <w:r w:rsidR="00013F4B">
        <w:t xml:space="preserve">mail screener, </w:t>
      </w:r>
      <w:r w:rsidR="00E50EAC">
        <w:t xml:space="preserve">in-person screener, </w:t>
      </w:r>
      <w:r w:rsidR="00877F18">
        <w:t>evaluation questionnaires</w:t>
      </w:r>
      <w:r w:rsidR="00EB406D">
        <w:t>,</w:t>
      </w:r>
      <w:r w:rsidRPr="00A15D0F">
        <w:t xml:space="preserve"> and </w:t>
      </w:r>
      <w:r w:rsidR="00C62E13">
        <w:t>app</w:t>
      </w:r>
      <w:r w:rsidR="00AD144F">
        <w:t xml:space="preserve">-based </w:t>
      </w:r>
      <w:r w:rsidR="00013F4B">
        <w:t xml:space="preserve">geolocation data collection and </w:t>
      </w:r>
      <w:r w:rsidR="00877F18">
        <w:t>brief questionnaires</w:t>
      </w:r>
      <w:r w:rsidR="00877F18" w:rsidRPr="00A15D0F">
        <w:t xml:space="preserve"> </w:t>
      </w:r>
      <w:r w:rsidRPr="00A15D0F">
        <w:t xml:space="preserve">will provide sufficient data to evaluate the </w:t>
      </w:r>
      <w:r w:rsidR="000F4046">
        <w:t xml:space="preserve">campaign </w:t>
      </w:r>
      <w:r w:rsidRPr="00A15D0F">
        <w:t>effectively.</w:t>
      </w:r>
    </w:p>
    <w:p w14:paraId="65BE4E75" w14:textId="77777777"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14:paraId="50D4BF29" w14:textId="77777777" w:rsidR="004E7AB4" w:rsidRDefault="004E7AB4" w:rsidP="004E7AB4">
      <w:pPr>
        <w:ind w:left="720"/>
      </w:pPr>
      <w:r w:rsidRPr="004E7AB4">
        <w:t xml:space="preserve">There are no special circumstances </w:t>
      </w:r>
      <w:r>
        <w:t xml:space="preserve">for this collection of information </w:t>
      </w:r>
      <w:r w:rsidRPr="004E7AB4">
        <w:t xml:space="preserve">that require </w:t>
      </w:r>
      <w:r>
        <w:t xml:space="preserve">the </w:t>
      </w:r>
      <w:r w:rsidRPr="004E7AB4">
        <w:t xml:space="preserve">data collection to be conducted in a manner inconsistent with 5 CRF 1320.5(d)(2). The </w:t>
      </w:r>
      <w:r w:rsidR="00013F4B">
        <w:t>evaluation</w:t>
      </w:r>
      <w:r w:rsidRPr="004E7AB4">
        <w:t xml:space="preserve"> activities fully comply with the guidelines in 5 CFR 1320.5.</w:t>
      </w:r>
    </w:p>
    <w:p w14:paraId="31D803D0" w14:textId="77777777" w:rsidR="00925396" w:rsidRDefault="00925396" w:rsidP="004E7AB4">
      <w:pPr>
        <w:ind w:left="720"/>
      </w:pPr>
    </w:p>
    <w:p w14:paraId="0CB66DE0" w14:textId="77777777" w:rsidR="00CD77C3" w:rsidRDefault="00EB7538" w:rsidP="00EE04FC">
      <w:pPr>
        <w:numPr>
          <w:ilvl w:val="0"/>
          <w:numId w:val="1"/>
        </w:numPr>
        <w:spacing w:before="100" w:beforeAutospacing="1" w:after="100" w:afterAutospacing="1"/>
        <w:contextualSpacing/>
        <w:rPr>
          <w:u w:val="single"/>
        </w:rPr>
      </w:pPr>
      <w:r w:rsidRPr="004C6979">
        <w:rPr>
          <w:u w:val="single"/>
        </w:rPr>
        <w:t>Comments in Response to the Federal Register Notice and Efforts to Consult Outside the Agency</w:t>
      </w:r>
    </w:p>
    <w:p w14:paraId="4BC75183" w14:textId="77777777" w:rsidR="00945312" w:rsidRDefault="00945312" w:rsidP="006631DC">
      <w:pPr>
        <w:ind w:left="720"/>
        <w:contextualSpacing/>
      </w:pPr>
    </w:p>
    <w:p w14:paraId="532B7D23" w14:textId="3CF44810" w:rsidR="00EE04FC" w:rsidRDefault="0089126F" w:rsidP="006631DC">
      <w:pPr>
        <w:ind w:left="720"/>
        <w:contextualSpacing/>
      </w:pPr>
      <w:r w:rsidRPr="0089126F">
        <w:t>In accordance with 5 CFR 1320.8(d), FDA published a 60-day notice for public comment in the Federal Register on</w:t>
      </w:r>
      <w:r w:rsidR="001D2D00">
        <w:t xml:space="preserve"> November </w:t>
      </w:r>
      <w:r w:rsidR="00EE04FC">
        <w:t>15</w:t>
      </w:r>
      <w:r w:rsidRPr="001D2D00">
        <w:t>, 201</w:t>
      </w:r>
      <w:r w:rsidR="001D2D00" w:rsidRPr="001D2D00">
        <w:t>6</w:t>
      </w:r>
      <w:r w:rsidRPr="001D2D00">
        <w:t xml:space="preserve"> </w:t>
      </w:r>
      <w:r w:rsidR="00EE04FC" w:rsidRPr="00724D98">
        <w:t>(81 FR 80075)</w:t>
      </w:r>
      <w:r w:rsidR="00EE04FC">
        <w:t>.</w:t>
      </w:r>
      <w:r w:rsidR="00EE04FC" w:rsidRPr="00724D98">
        <w:t>  Two comments were received, however, only one was PRA-related.</w:t>
      </w:r>
      <w:r w:rsidR="00EE04FC">
        <w:t xml:space="preserve"> The one PRA-related comment claimed that</w:t>
      </w:r>
      <w:r w:rsidR="00EE04FC" w:rsidRPr="00724D98">
        <w:t xml:space="preserve"> requiring or compelling retailers to display “anti-smoking or anti-tobacco advocacy” is prohibited under the First Amendment. </w:t>
      </w:r>
      <w:r w:rsidR="00EE04FC">
        <w:t xml:space="preserve">Because the </w:t>
      </w:r>
      <w:r w:rsidR="00EE04FC" w:rsidRPr="00724D98">
        <w:t>FDA intends to purchase advertising space from retailers on a voluntary basis</w:t>
      </w:r>
      <w:r w:rsidR="00EE04FC">
        <w:t xml:space="preserve">, </w:t>
      </w:r>
      <w:r w:rsidR="00EE04FC" w:rsidRPr="00724D98">
        <w:t>the comment raises an issue that is outside the scope of this proposed information collection.</w:t>
      </w:r>
    </w:p>
    <w:p w14:paraId="09492918" w14:textId="77777777" w:rsidR="006631DC" w:rsidRDefault="006631DC" w:rsidP="004E7AB4">
      <w:pPr>
        <w:ind w:left="720"/>
      </w:pPr>
    </w:p>
    <w:p w14:paraId="570217C5" w14:textId="77777777" w:rsidR="004E7AB4" w:rsidRDefault="004E7AB4" w:rsidP="004E7AB4">
      <w:pPr>
        <w:ind w:left="720"/>
      </w:pPr>
      <w:r>
        <w:t>The following individuals inside the agency have been consulted on the design of the campaign evaluation plan, audience questionnaire development, or intra-agency coordination of information collection efforts:</w:t>
      </w:r>
    </w:p>
    <w:p w14:paraId="0656C520" w14:textId="77777777" w:rsidR="004E7AB4" w:rsidRDefault="004E7AB4" w:rsidP="004E7AB4">
      <w:pPr>
        <w:ind w:left="720"/>
      </w:pPr>
    </w:p>
    <w:p w14:paraId="49D506F6" w14:textId="56BA33F7" w:rsidR="004E7AB4" w:rsidRDefault="00C10175" w:rsidP="004E7AB4">
      <w:pPr>
        <w:ind w:left="720"/>
      </w:pPr>
      <w:r w:rsidRPr="00C10175">
        <w:t>Natalie Gibson</w:t>
      </w:r>
    </w:p>
    <w:p w14:paraId="0C78D6E6" w14:textId="4068780D" w:rsidR="004E7AB4" w:rsidRDefault="004E7AB4" w:rsidP="004E7AB4">
      <w:pPr>
        <w:ind w:left="720"/>
      </w:pPr>
      <w:r>
        <w:t xml:space="preserve">Office of Health Communication </w:t>
      </w:r>
      <w:r w:rsidR="00267657">
        <w:t xml:space="preserve">and </w:t>
      </w:r>
      <w:r>
        <w:t>Education</w:t>
      </w:r>
    </w:p>
    <w:p w14:paraId="12D8ECA1" w14:textId="77777777" w:rsidR="004E7AB4" w:rsidRDefault="004E7AB4" w:rsidP="004E7AB4">
      <w:pPr>
        <w:ind w:left="720"/>
      </w:pPr>
      <w:r>
        <w:t>Center for Tobacco Products</w:t>
      </w:r>
    </w:p>
    <w:p w14:paraId="26FAA35F" w14:textId="77777777" w:rsidR="004E7AB4" w:rsidRDefault="00CD6B1A" w:rsidP="004E7AB4">
      <w:pPr>
        <w:ind w:left="720"/>
      </w:pPr>
      <w:r>
        <w:t xml:space="preserve">U.S. </w:t>
      </w:r>
      <w:r w:rsidR="004E7AB4">
        <w:t>Food and Drug Administration</w:t>
      </w:r>
    </w:p>
    <w:p w14:paraId="5D5CBCFF" w14:textId="77777777" w:rsidR="00925396" w:rsidRDefault="00925396" w:rsidP="00925396">
      <w:pPr>
        <w:ind w:left="720"/>
      </w:pPr>
      <w:r>
        <w:t>10903 New Hampshire Avenue</w:t>
      </w:r>
    </w:p>
    <w:p w14:paraId="49CB737A" w14:textId="77777777" w:rsidR="00925396" w:rsidRDefault="00925396" w:rsidP="00925396">
      <w:pPr>
        <w:ind w:left="720"/>
      </w:pPr>
      <w:r>
        <w:t>Silver Spring, MD 20993</w:t>
      </w:r>
    </w:p>
    <w:p w14:paraId="6C5527F0" w14:textId="59E9D054" w:rsidR="004E7AB4" w:rsidRDefault="004E7AB4" w:rsidP="004E7AB4">
      <w:pPr>
        <w:ind w:left="720"/>
      </w:pPr>
      <w:r>
        <w:t>Phone:</w:t>
      </w:r>
      <w:r>
        <w:tab/>
      </w:r>
      <w:r w:rsidR="00C10175" w:rsidRPr="00C10175">
        <w:t xml:space="preserve"> 240-402-4095</w:t>
      </w:r>
    </w:p>
    <w:p w14:paraId="19EA1CEC" w14:textId="5A604DD4" w:rsidR="004E7AB4" w:rsidRDefault="004E7AB4" w:rsidP="004E7AB4">
      <w:pPr>
        <w:ind w:left="720"/>
      </w:pPr>
      <w:r>
        <w:t>E-mail:</w:t>
      </w:r>
      <w:r>
        <w:tab/>
      </w:r>
      <w:r w:rsidR="00C10175" w:rsidRPr="00C10175">
        <w:t xml:space="preserve"> </w:t>
      </w:r>
      <w:r w:rsidR="00C10175" w:rsidRPr="00C10175">
        <w:rPr>
          <w:rStyle w:val="Hyperlink"/>
        </w:rPr>
        <w:t>natalie.gibson@fda.hhs.gov</w:t>
      </w:r>
    </w:p>
    <w:p w14:paraId="349AEF1D" w14:textId="77777777" w:rsidR="00AD144F" w:rsidRDefault="00AD144F" w:rsidP="006631DC"/>
    <w:p w14:paraId="36D3FC89" w14:textId="77777777" w:rsidR="00AD144F" w:rsidRDefault="00AD144F" w:rsidP="004E7AB4">
      <w:pPr>
        <w:ind w:left="720"/>
      </w:pPr>
      <w:r>
        <w:t>Janine Delahanty</w:t>
      </w:r>
    </w:p>
    <w:p w14:paraId="7D8BD4CE" w14:textId="02D26517" w:rsidR="00AE2051" w:rsidRDefault="00AE2051" w:rsidP="00AE2051">
      <w:pPr>
        <w:ind w:left="720"/>
      </w:pPr>
      <w:r>
        <w:t xml:space="preserve">Office of Health Communication </w:t>
      </w:r>
      <w:r w:rsidR="00267657">
        <w:t xml:space="preserve">and </w:t>
      </w:r>
      <w:r>
        <w:t>Education</w:t>
      </w:r>
    </w:p>
    <w:p w14:paraId="786FD626" w14:textId="77777777" w:rsidR="00AE2051" w:rsidRDefault="00AE2051" w:rsidP="00AE2051">
      <w:pPr>
        <w:ind w:left="720"/>
      </w:pPr>
      <w:r>
        <w:t>Center for Tobacco Products</w:t>
      </w:r>
    </w:p>
    <w:p w14:paraId="75775E9F" w14:textId="77777777" w:rsidR="00AE2051" w:rsidRDefault="00CD6B1A" w:rsidP="00AE2051">
      <w:pPr>
        <w:ind w:left="720"/>
      </w:pPr>
      <w:r>
        <w:t xml:space="preserve">U.S. </w:t>
      </w:r>
      <w:r w:rsidR="00AE2051">
        <w:t>Food and Drug Administration</w:t>
      </w:r>
    </w:p>
    <w:p w14:paraId="78696240" w14:textId="77777777" w:rsidR="00925396" w:rsidRDefault="00925396" w:rsidP="00925396">
      <w:pPr>
        <w:ind w:left="720"/>
      </w:pPr>
      <w:r>
        <w:t>10903 New Hampshire Avenue</w:t>
      </w:r>
    </w:p>
    <w:p w14:paraId="7DEB3306" w14:textId="77777777" w:rsidR="00925396" w:rsidRDefault="00925396" w:rsidP="00925396">
      <w:pPr>
        <w:ind w:left="720"/>
      </w:pPr>
      <w:r>
        <w:t>Silver Spring, MD 20993</w:t>
      </w:r>
    </w:p>
    <w:p w14:paraId="4BCA966F" w14:textId="46CD7569" w:rsidR="00AE2051" w:rsidRDefault="00AE2051" w:rsidP="004E7AB4">
      <w:pPr>
        <w:ind w:left="720"/>
      </w:pPr>
      <w:r>
        <w:t>Phone: 240-402-9705</w:t>
      </w:r>
    </w:p>
    <w:p w14:paraId="44109D7A" w14:textId="41272AE1" w:rsidR="00925396" w:rsidRDefault="00925396" w:rsidP="00925396">
      <w:pPr>
        <w:ind w:left="720"/>
      </w:pPr>
      <w:r>
        <w:t>E-mail:</w:t>
      </w:r>
      <w:r>
        <w:tab/>
      </w:r>
      <w:r w:rsidR="003159D0">
        <w:t xml:space="preserve"> </w:t>
      </w:r>
      <w:hyperlink r:id="rId10" w:history="1">
        <w:r w:rsidR="00945312" w:rsidRPr="00256009">
          <w:rPr>
            <w:rStyle w:val="Hyperlink"/>
          </w:rPr>
          <w:t>janine.delahanty@fda.hhs.gov</w:t>
        </w:r>
      </w:hyperlink>
      <w:r>
        <w:t xml:space="preserve"> </w:t>
      </w:r>
    </w:p>
    <w:p w14:paraId="41B96601" w14:textId="77777777" w:rsidR="00945312" w:rsidRDefault="00945312" w:rsidP="00925396">
      <w:pPr>
        <w:ind w:left="720"/>
      </w:pPr>
    </w:p>
    <w:p w14:paraId="04D7D625" w14:textId="442DAA09" w:rsidR="00945312" w:rsidRDefault="00945312" w:rsidP="00925396">
      <w:pPr>
        <w:ind w:left="720"/>
      </w:pPr>
      <w:r>
        <w:t>Chaunetta Jones</w:t>
      </w:r>
    </w:p>
    <w:p w14:paraId="2AD714AB" w14:textId="77777777" w:rsidR="00945312" w:rsidRDefault="00945312" w:rsidP="00945312">
      <w:pPr>
        <w:ind w:left="720"/>
      </w:pPr>
      <w:r>
        <w:t>Office of Health Communication and Education</w:t>
      </w:r>
    </w:p>
    <w:p w14:paraId="1840A2B0" w14:textId="77777777" w:rsidR="00945312" w:rsidRDefault="00945312" w:rsidP="00945312">
      <w:pPr>
        <w:ind w:left="720"/>
      </w:pPr>
      <w:r>
        <w:t>Center for Tobacco Products</w:t>
      </w:r>
    </w:p>
    <w:p w14:paraId="02AE071E" w14:textId="77777777" w:rsidR="00945312" w:rsidRDefault="00945312" w:rsidP="00945312">
      <w:pPr>
        <w:ind w:left="720"/>
      </w:pPr>
      <w:r>
        <w:t>U.S. Food and Drug Administration</w:t>
      </w:r>
    </w:p>
    <w:p w14:paraId="6953C0D2" w14:textId="77777777" w:rsidR="00945312" w:rsidRDefault="00945312" w:rsidP="00945312">
      <w:pPr>
        <w:ind w:left="720"/>
      </w:pPr>
      <w:r>
        <w:t>10903 New Hampshire Avenue</w:t>
      </w:r>
    </w:p>
    <w:p w14:paraId="4D19179A" w14:textId="77777777" w:rsidR="00945312" w:rsidRDefault="00945312" w:rsidP="00945312">
      <w:pPr>
        <w:ind w:left="720"/>
      </w:pPr>
      <w:r>
        <w:t>Silver Spring, MD 20993</w:t>
      </w:r>
    </w:p>
    <w:p w14:paraId="56AB3B39" w14:textId="776DA9EE" w:rsidR="00945312" w:rsidRDefault="00945312" w:rsidP="00945312">
      <w:pPr>
        <w:ind w:left="720"/>
      </w:pPr>
      <w:r>
        <w:t>Phone: 240-402-0427</w:t>
      </w:r>
    </w:p>
    <w:p w14:paraId="608244F8" w14:textId="12CDFFDC" w:rsidR="00945312" w:rsidRDefault="00945312" w:rsidP="00945312">
      <w:pPr>
        <w:ind w:left="720"/>
      </w:pPr>
      <w:r>
        <w:t>E-mail:</w:t>
      </w:r>
      <w:r>
        <w:tab/>
        <w:t xml:space="preserve"> </w:t>
      </w:r>
      <w:hyperlink r:id="rId11" w:history="1">
        <w:r w:rsidRPr="00256009">
          <w:rPr>
            <w:rStyle w:val="Hyperlink"/>
          </w:rPr>
          <w:t>chaunetta.jones@fda.hhs.gov</w:t>
        </w:r>
      </w:hyperlink>
    </w:p>
    <w:p w14:paraId="020BD01A" w14:textId="6FB3D77A" w:rsidR="00945312" w:rsidRDefault="00945312" w:rsidP="00945312">
      <w:pPr>
        <w:ind w:left="720"/>
      </w:pPr>
    </w:p>
    <w:p w14:paraId="14672C01" w14:textId="7F49FFC7" w:rsidR="006E03CA" w:rsidRDefault="006E03CA" w:rsidP="00945312">
      <w:pPr>
        <w:ind w:left="720"/>
      </w:pPr>
      <w:r>
        <w:t>Gem Benoza</w:t>
      </w:r>
    </w:p>
    <w:p w14:paraId="63797063" w14:textId="77777777" w:rsidR="006E03CA" w:rsidRDefault="006E03CA" w:rsidP="006E03CA">
      <w:pPr>
        <w:ind w:left="720"/>
      </w:pPr>
      <w:r>
        <w:t>Office of Health Communication and Education</w:t>
      </w:r>
    </w:p>
    <w:p w14:paraId="44D97755" w14:textId="77777777" w:rsidR="006E03CA" w:rsidRDefault="006E03CA" w:rsidP="006E03CA">
      <w:pPr>
        <w:ind w:left="720"/>
      </w:pPr>
      <w:r>
        <w:t>Center for Tobacco Products</w:t>
      </w:r>
    </w:p>
    <w:p w14:paraId="65C3CAE6" w14:textId="77777777" w:rsidR="006E03CA" w:rsidRDefault="006E03CA" w:rsidP="006E03CA">
      <w:pPr>
        <w:ind w:left="720"/>
      </w:pPr>
      <w:r>
        <w:t>U.S. Food and Drug Administration</w:t>
      </w:r>
    </w:p>
    <w:p w14:paraId="234BBD49" w14:textId="77777777" w:rsidR="006E03CA" w:rsidRDefault="006E03CA" w:rsidP="006E03CA">
      <w:pPr>
        <w:ind w:left="720"/>
      </w:pPr>
      <w:r>
        <w:t>10903 New Hampshire Avenue</w:t>
      </w:r>
    </w:p>
    <w:p w14:paraId="2BA96A4B" w14:textId="77777777" w:rsidR="006E03CA" w:rsidRDefault="006E03CA" w:rsidP="006E03CA">
      <w:pPr>
        <w:ind w:left="720"/>
      </w:pPr>
      <w:r>
        <w:t>Silver Spring, MD 20993</w:t>
      </w:r>
    </w:p>
    <w:p w14:paraId="1D5F91BF" w14:textId="5352B23E" w:rsidR="006E03CA" w:rsidRDefault="006E03CA" w:rsidP="006E03CA">
      <w:pPr>
        <w:ind w:left="720"/>
      </w:pPr>
      <w:r>
        <w:t>Phone: 240-402-</w:t>
      </w:r>
      <w:r w:rsidR="00F63CEA">
        <w:t>0088</w:t>
      </w:r>
    </w:p>
    <w:p w14:paraId="7666FF56" w14:textId="51495CC1" w:rsidR="006E03CA" w:rsidRDefault="006E03CA" w:rsidP="006E03CA">
      <w:pPr>
        <w:ind w:left="720"/>
      </w:pPr>
      <w:r>
        <w:t>E-mail:</w:t>
      </w:r>
      <w:r>
        <w:tab/>
        <w:t xml:space="preserve"> </w:t>
      </w:r>
      <w:hyperlink r:id="rId12" w:history="1">
        <w:r w:rsidR="00F63CEA" w:rsidRPr="00256009">
          <w:rPr>
            <w:rStyle w:val="Hyperlink"/>
          </w:rPr>
          <w:t>maria.benoza@fda.hhs.gov</w:t>
        </w:r>
      </w:hyperlink>
    </w:p>
    <w:p w14:paraId="77A1FC1A" w14:textId="77777777" w:rsidR="006E03CA" w:rsidRDefault="006E03CA" w:rsidP="00945312">
      <w:pPr>
        <w:ind w:left="720"/>
      </w:pPr>
    </w:p>
    <w:p w14:paraId="73FE4A03" w14:textId="5C1C3240" w:rsidR="006E03CA" w:rsidRDefault="006E03CA" w:rsidP="00945312">
      <w:pPr>
        <w:ind w:left="720"/>
      </w:pPr>
      <w:r>
        <w:t>April Brubach</w:t>
      </w:r>
    </w:p>
    <w:p w14:paraId="756B66F0" w14:textId="77777777" w:rsidR="006E03CA" w:rsidRDefault="006E03CA" w:rsidP="006E03CA">
      <w:pPr>
        <w:ind w:left="720"/>
      </w:pPr>
      <w:r>
        <w:t>Office of Health Communication and Education</w:t>
      </w:r>
    </w:p>
    <w:p w14:paraId="345902FE" w14:textId="77777777" w:rsidR="006E03CA" w:rsidRDefault="006E03CA" w:rsidP="006E03CA">
      <w:pPr>
        <w:ind w:left="720"/>
      </w:pPr>
      <w:r>
        <w:t>Center for Tobacco Products</w:t>
      </w:r>
    </w:p>
    <w:p w14:paraId="55D4A336" w14:textId="77777777" w:rsidR="006E03CA" w:rsidRDefault="006E03CA" w:rsidP="006E03CA">
      <w:pPr>
        <w:ind w:left="720"/>
      </w:pPr>
      <w:r>
        <w:t>U.S. Food and Drug Administration</w:t>
      </w:r>
    </w:p>
    <w:p w14:paraId="59863FC2" w14:textId="77777777" w:rsidR="006E03CA" w:rsidRDefault="006E03CA" w:rsidP="006E03CA">
      <w:pPr>
        <w:ind w:left="720"/>
      </w:pPr>
      <w:r>
        <w:t>10903 New Hampshire Avenue</w:t>
      </w:r>
    </w:p>
    <w:p w14:paraId="0E48D9F5" w14:textId="77777777" w:rsidR="006E03CA" w:rsidRDefault="006E03CA" w:rsidP="006E03CA">
      <w:pPr>
        <w:ind w:left="720"/>
      </w:pPr>
      <w:r>
        <w:t>Silver Spring, MD 20993</w:t>
      </w:r>
    </w:p>
    <w:p w14:paraId="1BDE55BC" w14:textId="3610AA99" w:rsidR="006E03CA" w:rsidRDefault="00F63CEA" w:rsidP="006E03CA">
      <w:pPr>
        <w:ind w:left="720"/>
      </w:pPr>
      <w:r>
        <w:t>Phone: 240-796</w:t>
      </w:r>
      <w:r w:rsidR="006E03CA">
        <w:t>-</w:t>
      </w:r>
      <w:r>
        <w:t>9214</w:t>
      </w:r>
    </w:p>
    <w:p w14:paraId="3B8BDCF2" w14:textId="7E999A7B" w:rsidR="006E03CA" w:rsidRDefault="006E03CA" w:rsidP="006E03CA">
      <w:pPr>
        <w:ind w:left="720"/>
      </w:pPr>
      <w:r>
        <w:t>E-mail:</w:t>
      </w:r>
      <w:r>
        <w:tab/>
        <w:t xml:space="preserve"> </w:t>
      </w:r>
      <w:hyperlink r:id="rId13" w:history="1">
        <w:r w:rsidR="00F63CEA" w:rsidRPr="00256009">
          <w:rPr>
            <w:rStyle w:val="Hyperlink"/>
          </w:rPr>
          <w:t>april.brubach@fda.hhs.gov</w:t>
        </w:r>
      </w:hyperlink>
    </w:p>
    <w:p w14:paraId="66C96ADC" w14:textId="77777777" w:rsidR="006E03CA" w:rsidRDefault="006E03CA" w:rsidP="00945312">
      <w:pPr>
        <w:ind w:left="720"/>
      </w:pPr>
    </w:p>
    <w:p w14:paraId="20267C49" w14:textId="5CD67725" w:rsidR="00EE04FC" w:rsidRDefault="006E03CA" w:rsidP="00A75165">
      <w:pPr>
        <w:ind w:left="720"/>
      </w:pPr>
      <w:r>
        <w:t>Katherine Margolis</w:t>
      </w:r>
    </w:p>
    <w:p w14:paraId="6B164E7E" w14:textId="24D50813" w:rsidR="006E03CA" w:rsidRDefault="006E03CA" w:rsidP="006E03CA">
      <w:pPr>
        <w:ind w:left="720"/>
      </w:pPr>
      <w:r>
        <w:t>Office of Science</w:t>
      </w:r>
    </w:p>
    <w:p w14:paraId="51CE356D" w14:textId="77777777" w:rsidR="006E03CA" w:rsidRDefault="006E03CA" w:rsidP="006E03CA">
      <w:pPr>
        <w:ind w:left="720"/>
      </w:pPr>
      <w:r>
        <w:t>Center for Tobacco Products</w:t>
      </w:r>
    </w:p>
    <w:p w14:paraId="6EE487F6" w14:textId="77777777" w:rsidR="006E03CA" w:rsidRDefault="006E03CA" w:rsidP="006E03CA">
      <w:pPr>
        <w:ind w:left="720"/>
      </w:pPr>
      <w:r>
        <w:t>U.S. Food and Drug Administration</w:t>
      </w:r>
    </w:p>
    <w:p w14:paraId="5040E1C0" w14:textId="77777777" w:rsidR="006E03CA" w:rsidRDefault="006E03CA" w:rsidP="006E03CA">
      <w:pPr>
        <w:ind w:left="720"/>
      </w:pPr>
      <w:r>
        <w:t>10903 New Hampshire Avenue</w:t>
      </w:r>
    </w:p>
    <w:p w14:paraId="6421667A" w14:textId="77777777" w:rsidR="006E03CA" w:rsidRDefault="006E03CA" w:rsidP="006E03CA">
      <w:pPr>
        <w:ind w:left="720"/>
      </w:pPr>
      <w:r>
        <w:t>Silver Spring, MD 20993</w:t>
      </w:r>
    </w:p>
    <w:p w14:paraId="70654D74" w14:textId="375843A7" w:rsidR="006E03CA" w:rsidRDefault="006E03CA" w:rsidP="006E03CA">
      <w:pPr>
        <w:ind w:left="720"/>
      </w:pPr>
      <w:r>
        <w:t>Phone: 240-402-6766</w:t>
      </w:r>
    </w:p>
    <w:p w14:paraId="795953FF" w14:textId="63B4DCD0" w:rsidR="006E03CA" w:rsidRDefault="006E03CA" w:rsidP="006E03CA">
      <w:pPr>
        <w:ind w:left="720"/>
      </w:pPr>
      <w:r>
        <w:t>E-mail:</w:t>
      </w:r>
      <w:r>
        <w:tab/>
        <w:t xml:space="preserve"> </w:t>
      </w:r>
      <w:hyperlink r:id="rId14" w:history="1">
        <w:r w:rsidRPr="00256009">
          <w:rPr>
            <w:rStyle w:val="Hyperlink"/>
          </w:rPr>
          <w:t>katherine.margolis@fda.hhs.gov</w:t>
        </w:r>
      </w:hyperlink>
    </w:p>
    <w:p w14:paraId="26019405" w14:textId="77777777" w:rsidR="006E03CA" w:rsidRDefault="006E03CA" w:rsidP="006E03CA">
      <w:pPr>
        <w:ind w:left="720"/>
      </w:pPr>
    </w:p>
    <w:p w14:paraId="3EB55671" w14:textId="4B7FE925" w:rsidR="00F63CEA" w:rsidRDefault="00F63CEA" w:rsidP="004E7AB4">
      <w:pPr>
        <w:ind w:left="720"/>
      </w:pPr>
      <w:r>
        <w:t>David Portnoy</w:t>
      </w:r>
    </w:p>
    <w:p w14:paraId="7558EDBF" w14:textId="77777777" w:rsidR="00F63CEA" w:rsidRDefault="00F63CEA" w:rsidP="00F63CEA">
      <w:pPr>
        <w:ind w:left="720"/>
      </w:pPr>
      <w:r>
        <w:t>Office of Science</w:t>
      </w:r>
    </w:p>
    <w:p w14:paraId="6FA5A2EF" w14:textId="77777777" w:rsidR="00F63CEA" w:rsidRDefault="00F63CEA" w:rsidP="00F63CEA">
      <w:pPr>
        <w:ind w:left="720"/>
      </w:pPr>
      <w:r>
        <w:t>Center for Tobacco Products</w:t>
      </w:r>
    </w:p>
    <w:p w14:paraId="40688FE7" w14:textId="77777777" w:rsidR="00F63CEA" w:rsidRDefault="00F63CEA" w:rsidP="00F63CEA">
      <w:pPr>
        <w:ind w:left="720"/>
      </w:pPr>
      <w:r>
        <w:t>U.S. Food and Drug Administration</w:t>
      </w:r>
    </w:p>
    <w:p w14:paraId="06656C1C" w14:textId="77777777" w:rsidR="00F63CEA" w:rsidRDefault="00F63CEA" w:rsidP="00F63CEA">
      <w:pPr>
        <w:ind w:left="720"/>
      </w:pPr>
      <w:r>
        <w:t>10903 New Hampshire Avenue</w:t>
      </w:r>
    </w:p>
    <w:p w14:paraId="7BF123D1" w14:textId="77777777" w:rsidR="00F63CEA" w:rsidRDefault="00F63CEA" w:rsidP="00F63CEA">
      <w:pPr>
        <w:ind w:left="720"/>
      </w:pPr>
      <w:r>
        <w:t>Silver Spring, MD 20993</w:t>
      </w:r>
    </w:p>
    <w:p w14:paraId="6CF80B39" w14:textId="696B72F3" w:rsidR="00F63CEA" w:rsidRDefault="00F63CEA" w:rsidP="00F63CEA">
      <w:pPr>
        <w:ind w:left="720"/>
      </w:pPr>
      <w:r>
        <w:t>Phone: 240-796-9298</w:t>
      </w:r>
    </w:p>
    <w:p w14:paraId="7E377724" w14:textId="31890251" w:rsidR="00F63CEA" w:rsidRDefault="00F63CEA" w:rsidP="00F63CEA">
      <w:pPr>
        <w:ind w:left="720"/>
      </w:pPr>
      <w:r>
        <w:t>E-mail:</w:t>
      </w:r>
      <w:r>
        <w:tab/>
        <w:t xml:space="preserve"> </w:t>
      </w:r>
      <w:hyperlink r:id="rId15" w:history="1">
        <w:r w:rsidRPr="00256009">
          <w:rPr>
            <w:rStyle w:val="Hyperlink"/>
          </w:rPr>
          <w:t>david.portnoy@fda.hhs.gov</w:t>
        </w:r>
      </w:hyperlink>
    </w:p>
    <w:p w14:paraId="3204F264" w14:textId="77777777" w:rsidR="00F63CEA" w:rsidRDefault="00F63CEA" w:rsidP="00A75165">
      <w:pPr>
        <w:ind w:left="720"/>
      </w:pPr>
    </w:p>
    <w:p w14:paraId="400DDF16" w14:textId="05D06B83" w:rsidR="004E7AB4" w:rsidRDefault="004E7AB4" w:rsidP="004E7AB4">
      <w:pPr>
        <w:ind w:left="720"/>
      </w:pPr>
      <w:r>
        <w:t xml:space="preserve">The following individuals outside of the agency have been consulted on questionnaire development. Additionally, input has been solicited and received from FDA on the design of this study, including participation by FDA </w:t>
      </w:r>
      <w:r w:rsidR="00DA202E">
        <w:t>in meetings with</w:t>
      </w:r>
      <w:r>
        <w:t xml:space="preserve"> OMB.</w:t>
      </w:r>
    </w:p>
    <w:p w14:paraId="6F341FD6" w14:textId="77777777" w:rsidR="004E7AB4" w:rsidRDefault="004E7AB4" w:rsidP="004E7AB4">
      <w:pPr>
        <w:ind w:left="720"/>
      </w:pPr>
    </w:p>
    <w:p w14:paraId="3DB65492" w14:textId="77777777" w:rsidR="00AD144F" w:rsidRDefault="00A07C1E" w:rsidP="004E7AB4">
      <w:pPr>
        <w:ind w:left="720"/>
      </w:pPr>
      <w:r>
        <w:t>James Nonnemaker</w:t>
      </w:r>
    </w:p>
    <w:p w14:paraId="16D73A63" w14:textId="77777777" w:rsidR="00A07C1E" w:rsidRDefault="00A07C1E" w:rsidP="00A07C1E">
      <w:pPr>
        <w:ind w:left="720"/>
      </w:pPr>
      <w:r>
        <w:t>RTI International</w:t>
      </w:r>
    </w:p>
    <w:p w14:paraId="59E7972B" w14:textId="77777777" w:rsidR="00A07C1E" w:rsidRDefault="00A07C1E" w:rsidP="00A07C1E">
      <w:pPr>
        <w:ind w:left="720"/>
      </w:pPr>
      <w:r>
        <w:t>3040 Cornwallis Road</w:t>
      </w:r>
    </w:p>
    <w:p w14:paraId="249F3719" w14:textId="77777777" w:rsidR="00A07C1E" w:rsidRDefault="00A07C1E" w:rsidP="00A07C1E">
      <w:pPr>
        <w:ind w:left="720"/>
      </w:pPr>
      <w:r>
        <w:t>Research Triangle Park, NC 27709</w:t>
      </w:r>
    </w:p>
    <w:p w14:paraId="0B1171D5" w14:textId="77777777" w:rsidR="00A07C1E" w:rsidRDefault="00A07C1E" w:rsidP="00A07C1E">
      <w:pPr>
        <w:ind w:left="720"/>
      </w:pPr>
      <w:r>
        <w:t>Phone:</w:t>
      </w:r>
      <w:r>
        <w:tab/>
        <w:t>919-541-</w:t>
      </w:r>
      <w:r w:rsidR="00DE756D">
        <w:t>7064</w:t>
      </w:r>
    </w:p>
    <w:p w14:paraId="3748B140" w14:textId="6A9BEE63" w:rsidR="00A07C1E" w:rsidRDefault="00A07C1E" w:rsidP="00A07C1E">
      <w:pPr>
        <w:ind w:left="720"/>
      </w:pPr>
      <w:r>
        <w:t>E-mail:</w:t>
      </w:r>
      <w:r w:rsidR="003159D0">
        <w:t xml:space="preserve"> </w:t>
      </w:r>
      <w:hyperlink r:id="rId16" w:history="1">
        <w:r w:rsidR="00DE756D" w:rsidRPr="006827B5">
          <w:rPr>
            <w:rStyle w:val="Hyperlink"/>
          </w:rPr>
          <w:t>jnonnemaker@rti.org</w:t>
        </w:r>
      </w:hyperlink>
    </w:p>
    <w:p w14:paraId="7AC4B8EA" w14:textId="77777777" w:rsidR="00AD144F" w:rsidRDefault="00AD144F" w:rsidP="004E7AB4">
      <w:pPr>
        <w:ind w:left="720"/>
      </w:pPr>
    </w:p>
    <w:p w14:paraId="67F6F2F3" w14:textId="77777777" w:rsidR="00AD144F" w:rsidRDefault="00AD144F" w:rsidP="004E7AB4">
      <w:pPr>
        <w:ind w:left="720"/>
      </w:pPr>
      <w:r>
        <w:t>Carol Schmitt</w:t>
      </w:r>
    </w:p>
    <w:p w14:paraId="07D33D8E" w14:textId="77777777" w:rsidR="00DE756D" w:rsidRDefault="00DE756D" w:rsidP="004E7AB4">
      <w:pPr>
        <w:ind w:left="720"/>
      </w:pPr>
      <w:r>
        <w:t xml:space="preserve">RTI International </w:t>
      </w:r>
    </w:p>
    <w:p w14:paraId="4DED2BEE" w14:textId="77777777" w:rsidR="00DE756D" w:rsidRDefault="00DE756D" w:rsidP="004E7AB4">
      <w:pPr>
        <w:ind w:left="720"/>
      </w:pPr>
      <w:r>
        <w:t>701 13</w:t>
      </w:r>
      <w:r w:rsidRPr="00DE756D">
        <w:rPr>
          <w:vertAlign w:val="superscript"/>
        </w:rPr>
        <w:t>th</w:t>
      </w:r>
      <w:r>
        <w:t xml:space="preserve"> Street NW #750</w:t>
      </w:r>
    </w:p>
    <w:p w14:paraId="1EBB1DE8" w14:textId="77777777" w:rsidR="00DE756D" w:rsidRDefault="00DE756D" w:rsidP="004E7AB4">
      <w:pPr>
        <w:ind w:left="720"/>
      </w:pPr>
      <w:r>
        <w:t>Washington, DC 20005</w:t>
      </w:r>
    </w:p>
    <w:p w14:paraId="0B771BF6" w14:textId="77777777" w:rsidR="00DE756D" w:rsidRDefault="00DE756D" w:rsidP="004E7AB4">
      <w:pPr>
        <w:ind w:left="720"/>
      </w:pPr>
      <w:r>
        <w:t>Phone: 202-728-2046</w:t>
      </w:r>
    </w:p>
    <w:p w14:paraId="73785533" w14:textId="77777777" w:rsidR="00DE756D" w:rsidRDefault="00DE756D" w:rsidP="004E7AB4">
      <w:pPr>
        <w:ind w:left="720"/>
      </w:pPr>
      <w:r>
        <w:t xml:space="preserve">E-mail: </w:t>
      </w:r>
      <w:hyperlink r:id="rId17" w:history="1">
        <w:r w:rsidRPr="006827B5">
          <w:rPr>
            <w:rStyle w:val="Hyperlink"/>
          </w:rPr>
          <w:t>cschmitt@rti.org</w:t>
        </w:r>
      </w:hyperlink>
    </w:p>
    <w:p w14:paraId="6A698581" w14:textId="77777777" w:rsidR="00413192" w:rsidRDefault="00413192" w:rsidP="004E7AB4">
      <w:pPr>
        <w:ind w:left="720"/>
      </w:pPr>
    </w:p>
    <w:p w14:paraId="6D3388FE" w14:textId="77777777" w:rsidR="004E7AB4" w:rsidRDefault="004E7AB4" w:rsidP="004E7AB4">
      <w:pPr>
        <w:ind w:left="720"/>
      </w:pPr>
      <w:r>
        <w:t>Matthew Farrelly</w:t>
      </w:r>
    </w:p>
    <w:p w14:paraId="6D1B5E06" w14:textId="77777777" w:rsidR="004E7AB4" w:rsidRDefault="004E7AB4" w:rsidP="004E7AB4">
      <w:pPr>
        <w:ind w:left="720"/>
      </w:pPr>
      <w:r>
        <w:t>RTI International</w:t>
      </w:r>
    </w:p>
    <w:p w14:paraId="4DF2FFCB" w14:textId="77777777" w:rsidR="004E7AB4" w:rsidRDefault="004E7AB4" w:rsidP="004E7AB4">
      <w:pPr>
        <w:ind w:left="720"/>
      </w:pPr>
      <w:r>
        <w:t>3040 Cornwallis Road</w:t>
      </w:r>
    </w:p>
    <w:p w14:paraId="7E4BF312" w14:textId="77777777" w:rsidR="004E7AB4" w:rsidRDefault="004E7AB4" w:rsidP="004E7AB4">
      <w:pPr>
        <w:ind w:left="720"/>
      </w:pPr>
      <w:r>
        <w:t>Research Triangle Park, NC 27709</w:t>
      </w:r>
    </w:p>
    <w:p w14:paraId="42B9020F" w14:textId="77777777" w:rsidR="004E7AB4" w:rsidRDefault="004E7AB4" w:rsidP="004E7AB4">
      <w:pPr>
        <w:ind w:left="720"/>
      </w:pPr>
      <w:r>
        <w:t>Phone:</w:t>
      </w:r>
      <w:r>
        <w:tab/>
        <w:t>919-541-6852</w:t>
      </w:r>
    </w:p>
    <w:p w14:paraId="4E90D17D" w14:textId="77777777" w:rsidR="004E7AB4" w:rsidRDefault="004E7AB4" w:rsidP="004E7AB4">
      <w:pPr>
        <w:ind w:left="720"/>
      </w:pPr>
      <w:r>
        <w:t>E-mail:</w:t>
      </w:r>
      <w:r>
        <w:tab/>
      </w:r>
      <w:hyperlink r:id="rId18" w:history="1">
        <w:r w:rsidRPr="004A3E9D">
          <w:rPr>
            <w:rStyle w:val="Hyperlink"/>
          </w:rPr>
          <w:t>mcf@rti.org</w:t>
        </w:r>
      </w:hyperlink>
    </w:p>
    <w:p w14:paraId="24C192A9" w14:textId="77777777" w:rsidR="004E7AB4" w:rsidRDefault="004E7AB4" w:rsidP="004E7AB4">
      <w:pPr>
        <w:ind w:left="720"/>
      </w:pPr>
    </w:p>
    <w:p w14:paraId="3124269A" w14:textId="77777777" w:rsidR="004E7AB4" w:rsidRDefault="00013F4B" w:rsidP="004E7AB4">
      <w:pPr>
        <w:ind w:left="720"/>
      </w:pPr>
      <w:r>
        <w:t>Joseph McMichael</w:t>
      </w:r>
    </w:p>
    <w:p w14:paraId="52E9A72E" w14:textId="77777777" w:rsidR="00013F4B" w:rsidRDefault="00013F4B" w:rsidP="00013F4B">
      <w:pPr>
        <w:ind w:left="720"/>
      </w:pPr>
      <w:r>
        <w:t>RTI International</w:t>
      </w:r>
    </w:p>
    <w:p w14:paraId="68BF6341" w14:textId="77777777" w:rsidR="00013F4B" w:rsidRDefault="00013F4B" w:rsidP="00013F4B">
      <w:pPr>
        <w:ind w:left="720"/>
      </w:pPr>
      <w:r>
        <w:t>3040 Cornwallis Road</w:t>
      </w:r>
    </w:p>
    <w:p w14:paraId="114FA2C3" w14:textId="77777777" w:rsidR="00013F4B" w:rsidRDefault="00013F4B" w:rsidP="00013F4B">
      <w:pPr>
        <w:ind w:left="720"/>
      </w:pPr>
      <w:r>
        <w:t>Research Triangle Park, NC 27709</w:t>
      </w:r>
    </w:p>
    <w:p w14:paraId="3723C6C4" w14:textId="77777777" w:rsidR="00013F4B" w:rsidRDefault="00013F4B" w:rsidP="00013F4B">
      <w:pPr>
        <w:ind w:left="720"/>
      </w:pPr>
      <w:r>
        <w:t>Phone:</w:t>
      </w:r>
      <w:r>
        <w:tab/>
        <w:t>919-485-5519</w:t>
      </w:r>
    </w:p>
    <w:p w14:paraId="728D2252" w14:textId="0D4A6B7C" w:rsidR="00013F4B" w:rsidRDefault="00013F4B" w:rsidP="00013F4B">
      <w:pPr>
        <w:ind w:left="720"/>
      </w:pPr>
      <w:r>
        <w:t>E-mail:</w:t>
      </w:r>
      <w:r w:rsidR="003159D0">
        <w:t xml:space="preserve"> </w:t>
      </w:r>
      <w:r>
        <w:t>mcmichael@rti.org</w:t>
      </w:r>
    </w:p>
    <w:p w14:paraId="2B6A8AD1" w14:textId="77777777" w:rsidR="00013F4B" w:rsidRDefault="00013F4B" w:rsidP="004E7AB4">
      <w:pPr>
        <w:ind w:left="720"/>
      </w:pPr>
    </w:p>
    <w:p w14:paraId="315C447A" w14:textId="77777777" w:rsidR="00013F4B" w:rsidRDefault="00013F4B" w:rsidP="004E7AB4">
      <w:pPr>
        <w:ind w:left="720"/>
      </w:pPr>
      <w:r>
        <w:t>Susan Pedrazzani</w:t>
      </w:r>
    </w:p>
    <w:p w14:paraId="3BBBB9E9" w14:textId="77777777" w:rsidR="00013F4B" w:rsidRDefault="00013F4B" w:rsidP="00013F4B">
      <w:pPr>
        <w:ind w:left="720"/>
      </w:pPr>
      <w:r>
        <w:t>RTI International</w:t>
      </w:r>
    </w:p>
    <w:p w14:paraId="2BD80553" w14:textId="77777777" w:rsidR="00013F4B" w:rsidRDefault="00013F4B" w:rsidP="00013F4B">
      <w:pPr>
        <w:ind w:left="720"/>
      </w:pPr>
      <w:r>
        <w:t>3040 Cornwallis Road</w:t>
      </w:r>
    </w:p>
    <w:p w14:paraId="1951074A" w14:textId="77777777" w:rsidR="00013F4B" w:rsidRDefault="00013F4B" w:rsidP="00013F4B">
      <w:pPr>
        <w:ind w:left="720"/>
      </w:pPr>
      <w:r>
        <w:t>Research Triangle Park, NC 27709</w:t>
      </w:r>
    </w:p>
    <w:p w14:paraId="549155F5" w14:textId="77777777" w:rsidR="00013F4B" w:rsidRDefault="00013F4B" w:rsidP="00013F4B">
      <w:pPr>
        <w:ind w:left="720"/>
      </w:pPr>
      <w:r>
        <w:t>Phone:</w:t>
      </w:r>
      <w:r>
        <w:tab/>
        <w:t>919-541-6744</w:t>
      </w:r>
    </w:p>
    <w:p w14:paraId="669B7B0F" w14:textId="77777777" w:rsidR="00013F4B" w:rsidRDefault="00013F4B" w:rsidP="00013F4B">
      <w:pPr>
        <w:ind w:left="720"/>
      </w:pPr>
      <w:r>
        <w:t>E-mail:</w:t>
      </w:r>
      <w:r>
        <w:tab/>
      </w:r>
      <w:hyperlink r:id="rId19" w:history="1">
        <w:r w:rsidRPr="00E75D15">
          <w:rPr>
            <w:rStyle w:val="Hyperlink"/>
          </w:rPr>
          <w:t>sdp@rti.org</w:t>
        </w:r>
      </w:hyperlink>
    </w:p>
    <w:p w14:paraId="75CCCD3B" w14:textId="77777777" w:rsidR="00013F4B" w:rsidRDefault="00013F4B" w:rsidP="004E7AB4">
      <w:pPr>
        <w:ind w:left="720"/>
      </w:pPr>
    </w:p>
    <w:p w14:paraId="4CEA4805" w14:textId="77777777" w:rsidR="00013F4B" w:rsidRDefault="00013F4B" w:rsidP="004E7AB4">
      <w:pPr>
        <w:ind w:left="720"/>
      </w:pPr>
      <w:r>
        <w:t>Thomas Walker</w:t>
      </w:r>
    </w:p>
    <w:p w14:paraId="52D9BDC2" w14:textId="77777777" w:rsidR="00013F4B" w:rsidRDefault="00013F4B" w:rsidP="004E7AB4">
      <w:pPr>
        <w:ind w:left="720"/>
      </w:pPr>
      <w:r>
        <w:t>RTI International</w:t>
      </w:r>
    </w:p>
    <w:p w14:paraId="0651A26F" w14:textId="77777777" w:rsidR="00013F4B" w:rsidRDefault="00013F4B" w:rsidP="00013F4B">
      <w:pPr>
        <w:ind w:left="720"/>
      </w:pPr>
      <w:r>
        <w:t>701 13</w:t>
      </w:r>
      <w:r w:rsidRPr="00DE756D">
        <w:rPr>
          <w:vertAlign w:val="superscript"/>
        </w:rPr>
        <w:t>th</w:t>
      </w:r>
      <w:r>
        <w:t xml:space="preserve"> Street NW #750</w:t>
      </w:r>
    </w:p>
    <w:p w14:paraId="04D11F78" w14:textId="77777777" w:rsidR="00013F4B" w:rsidRDefault="00013F4B" w:rsidP="00013F4B">
      <w:pPr>
        <w:ind w:left="720"/>
      </w:pPr>
      <w:r>
        <w:t>Washington, DC 20005</w:t>
      </w:r>
    </w:p>
    <w:p w14:paraId="65B0F956" w14:textId="77777777" w:rsidR="00013F4B" w:rsidRDefault="00013F4B" w:rsidP="004E7AB4">
      <w:pPr>
        <w:ind w:left="720"/>
      </w:pPr>
      <w:r>
        <w:t>Phone: 202-974-7802</w:t>
      </w:r>
    </w:p>
    <w:p w14:paraId="515A41AA" w14:textId="77777777" w:rsidR="00013F4B" w:rsidRDefault="00013F4B" w:rsidP="004E7AB4">
      <w:pPr>
        <w:ind w:left="720"/>
      </w:pPr>
      <w:r>
        <w:t xml:space="preserve">E-mail: </w:t>
      </w:r>
      <w:hyperlink r:id="rId20" w:history="1">
        <w:r w:rsidRPr="00E75D15">
          <w:rPr>
            <w:rStyle w:val="Hyperlink"/>
          </w:rPr>
          <w:t>tomw@rti.org</w:t>
        </w:r>
      </w:hyperlink>
    </w:p>
    <w:p w14:paraId="0E960668" w14:textId="77777777" w:rsidR="00013F4B" w:rsidRDefault="00013F4B" w:rsidP="004E7AB4">
      <w:pPr>
        <w:ind w:left="720"/>
      </w:pPr>
    </w:p>
    <w:p w14:paraId="2C80699F" w14:textId="77777777" w:rsidR="00013F4B" w:rsidRDefault="00013F4B" w:rsidP="004E7AB4">
      <w:pPr>
        <w:ind w:left="720"/>
      </w:pPr>
      <w:r>
        <w:t>Christine Carr</w:t>
      </w:r>
    </w:p>
    <w:p w14:paraId="5560C82F" w14:textId="77777777" w:rsidR="00013F4B" w:rsidRDefault="00013F4B" w:rsidP="004E7AB4">
      <w:pPr>
        <w:ind w:left="720"/>
      </w:pPr>
      <w:r>
        <w:t>RTI International</w:t>
      </w:r>
    </w:p>
    <w:p w14:paraId="7CECA197" w14:textId="77777777" w:rsidR="00013F4B" w:rsidRDefault="00013F4B" w:rsidP="004E7AB4">
      <w:pPr>
        <w:ind w:left="720"/>
      </w:pPr>
      <w:r>
        <w:t>230 W. Monroe St, Suite 2100</w:t>
      </w:r>
      <w:r>
        <w:br/>
        <w:t>Chicago, IL 60606</w:t>
      </w:r>
    </w:p>
    <w:p w14:paraId="1D001AFD" w14:textId="77777777" w:rsidR="00013F4B" w:rsidRDefault="00013F4B" w:rsidP="004E7AB4">
      <w:pPr>
        <w:ind w:left="720"/>
      </w:pPr>
      <w:r>
        <w:t>Phone: 312-777-5209</w:t>
      </w:r>
    </w:p>
    <w:p w14:paraId="28181C93" w14:textId="77777777" w:rsidR="00013F4B" w:rsidRDefault="00013F4B" w:rsidP="004E7AB4">
      <w:pPr>
        <w:ind w:left="720"/>
      </w:pPr>
      <w:r>
        <w:t xml:space="preserve">E-mail: </w:t>
      </w:r>
      <w:hyperlink r:id="rId21" w:history="1">
        <w:r w:rsidRPr="00E75D15">
          <w:rPr>
            <w:rStyle w:val="Hyperlink"/>
          </w:rPr>
          <w:t>ccarr@rti.org</w:t>
        </w:r>
      </w:hyperlink>
    </w:p>
    <w:p w14:paraId="400D03E0" w14:textId="77777777" w:rsidR="004E7AB4" w:rsidRDefault="004E7AB4" w:rsidP="00AE2051"/>
    <w:p w14:paraId="4E5A855C" w14:textId="77777777" w:rsidR="00013F4B" w:rsidRDefault="00013F4B" w:rsidP="004E7AB4">
      <w:pPr>
        <w:ind w:left="720"/>
      </w:pPr>
      <w:r>
        <w:t>Ashley Amaya</w:t>
      </w:r>
    </w:p>
    <w:p w14:paraId="01BB043A" w14:textId="77777777" w:rsidR="00AE2051" w:rsidRDefault="00AE2051" w:rsidP="00AE2051">
      <w:pPr>
        <w:ind w:left="720"/>
      </w:pPr>
      <w:r>
        <w:t>RTI International</w:t>
      </w:r>
    </w:p>
    <w:p w14:paraId="7E9DC476" w14:textId="77777777" w:rsidR="00AE2051" w:rsidRDefault="00AE2051" w:rsidP="00AE2051">
      <w:pPr>
        <w:ind w:left="720"/>
      </w:pPr>
      <w:r>
        <w:t>701 13</w:t>
      </w:r>
      <w:r w:rsidRPr="00DE756D">
        <w:rPr>
          <w:vertAlign w:val="superscript"/>
        </w:rPr>
        <w:t>th</w:t>
      </w:r>
      <w:r>
        <w:t xml:space="preserve"> Street NW #750</w:t>
      </w:r>
    </w:p>
    <w:p w14:paraId="0586E732" w14:textId="77777777" w:rsidR="00AE2051" w:rsidRDefault="00AE2051" w:rsidP="00AE2051">
      <w:pPr>
        <w:ind w:left="720"/>
      </w:pPr>
      <w:r>
        <w:t>Washington, DC 20005</w:t>
      </w:r>
    </w:p>
    <w:p w14:paraId="23602B2E" w14:textId="77777777" w:rsidR="00AE2051" w:rsidRDefault="00AE2051" w:rsidP="004E7AB4">
      <w:pPr>
        <w:ind w:left="720"/>
      </w:pPr>
      <w:r>
        <w:t>Phone: 202-728-2486</w:t>
      </w:r>
    </w:p>
    <w:p w14:paraId="3B653829" w14:textId="77777777" w:rsidR="00AE2051" w:rsidRDefault="00AE2051" w:rsidP="00AE2051">
      <w:pPr>
        <w:ind w:left="720"/>
        <w:rPr>
          <w:rStyle w:val="Hyperlink"/>
        </w:rPr>
      </w:pPr>
      <w:r>
        <w:t xml:space="preserve">E-mail: </w:t>
      </w:r>
      <w:hyperlink r:id="rId22" w:history="1">
        <w:r w:rsidRPr="00E75D15">
          <w:rPr>
            <w:rStyle w:val="Hyperlink"/>
          </w:rPr>
          <w:t>aamaya@rti.org</w:t>
        </w:r>
      </w:hyperlink>
    </w:p>
    <w:p w14:paraId="6DCCCB2B" w14:textId="77777777" w:rsidR="00E50EAC" w:rsidRDefault="00E50EAC" w:rsidP="00AE2051">
      <w:pPr>
        <w:ind w:left="720"/>
      </w:pPr>
    </w:p>
    <w:p w14:paraId="649B32D8" w14:textId="14999456" w:rsidR="00E50EAC" w:rsidRDefault="00E50EAC" w:rsidP="00AE2051">
      <w:pPr>
        <w:ind w:left="720"/>
      </w:pPr>
      <w:r>
        <w:t>Melissa Hobbs</w:t>
      </w:r>
    </w:p>
    <w:p w14:paraId="30FA7CFC" w14:textId="244206D6" w:rsidR="00E50EAC" w:rsidRDefault="00E50EAC" w:rsidP="00AE2051">
      <w:pPr>
        <w:ind w:left="720"/>
      </w:pPr>
      <w:r>
        <w:t>RTI International</w:t>
      </w:r>
    </w:p>
    <w:p w14:paraId="7AA8A3EA" w14:textId="77777777" w:rsidR="00E50EAC" w:rsidRDefault="00E50EAC" w:rsidP="00E50EAC">
      <w:pPr>
        <w:ind w:left="720"/>
      </w:pPr>
      <w:r>
        <w:t>3040 Cornwallis Road</w:t>
      </w:r>
    </w:p>
    <w:p w14:paraId="32A536E7" w14:textId="77777777" w:rsidR="00E50EAC" w:rsidRDefault="00E50EAC" w:rsidP="00E50EAC">
      <w:pPr>
        <w:ind w:left="720"/>
      </w:pPr>
      <w:r>
        <w:t>Research Triangle Park, NC 27709</w:t>
      </w:r>
    </w:p>
    <w:p w14:paraId="62DC50FA" w14:textId="2FEFA68C" w:rsidR="00E50EAC" w:rsidRDefault="00E50EAC" w:rsidP="00AE2051">
      <w:pPr>
        <w:ind w:left="720"/>
      </w:pPr>
      <w:r>
        <w:t>Phone: 919-485-5744</w:t>
      </w:r>
    </w:p>
    <w:p w14:paraId="17D5179D" w14:textId="6361A99E" w:rsidR="00E50EAC" w:rsidRDefault="00E50EAC" w:rsidP="00AE2051">
      <w:pPr>
        <w:ind w:left="720"/>
      </w:pPr>
      <w:r>
        <w:t xml:space="preserve">E-mail: </w:t>
      </w:r>
      <w:hyperlink r:id="rId23" w:history="1">
        <w:r w:rsidRPr="00C13957">
          <w:rPr>
            <w:rStyle w:val="Hyperlink"/>
          </w:rPr>
          <w:t>mehobbs@rti.org</w:t>
        </w:r>
      </w:hyperlink>
    </w:p>
    <w:p w14:paraId="64F791D6" w14:textId="77777777" w:rsidR="00E50EAC" w:rsidRDefault="00E50EAC" w:rsidP="00AE2051">
      <w:pPr>
        <w:ind w:left="720"/>
      </w:pPr>
    </w:p>
    <w:p w14:paraId="027D742B" w14:textId="6A1119F3" w:rsidR="00EB406D" w:rsidRDefault="00EB406D" w:rsidP="00AE2051">
      <w:pPr>
        <w:ind w:left="720"/>
      </w:pPr>
      <w:r>
        <w:t>Leslie Erickson</w:t>
      </w:r>
    </w:p>
    <w:p w14:paraId="491C4319" w14:textId="77777777" w:rsidR="001D5CC4" w:rsidRDefault="001D5CC4" w:rsidP="001D5CC4">
      <w:pPr>
        <w:ind w:left="720"/>
      </w:pPr>
      <w:r>
        <w:t>RTI International</w:t>
      </w:r>
    </w:p>
    <w:p w14:paraId="5C46F77D" w14:textId="77777777" w:rsidR="001D5CC4" w:rsidRDefault="001D5CC4" w:rsidP="001D5CC4">
      <w:pPr>
        <w:ind w:left="720"/>
      </w:pPr>
      <w:r>
        <w:t>3040 Cornwallis Road</w:t>
      </w:r>
    </w:p>
    <w:p w14:paraId="29915559" w14:textId="77777777" w:rsidR="001D5CC4" w:rsidRDefault="001D5CC4" w:rsidP="001D5CC4">
      <w:pPr>
        <w:ind w:left="720"/>
      </w:pPr>
      <w:r>
        <w:t>Research Triangle Park, NC 27709</w:t>
      </w:r>
    </w:p>
    <w:p w14:paraId="71F9C809" w14:textId="2BD9B5E1" w:rsidR="001D5CC4" w:rsidRDefault="001D5CC4" w:rsidP="001D5CC4">
      <w:pPr>
        <w:ind w:left="720"/>
      </w:pPr>
      <w:r>
        <w:t>Phone: 919-316-3775</w:t>
      </w:r>
    </w:p>
    <w:p w14:paraId="167C05E5" w14:textId="7FABEB28" w:rsidR="001D5CC4" w:rsidRDefault="001D5CC4" w:rsidP="001D5CC4">
      <w:pPr>
        <w:ind w:left="720"/>
      </w:pPr>
      <w:r>
        <w:t xml:space="preserve">E-mail: </w:t>
      </w:r>
      <w:hyperlink r:id="rId24" w:history="1">
        <w:r w:rsidRPr="00B34EE7">
          <w:rPr>
            <w:rStyle w:val="Hyperlink"/>
          </w:rPr>
          <w:t>lerickson@rti.org</w:t>
        </w:r>
      </w:hyperlink>
    </w:p>
    <w:p w14:paraId="21DE5935" w14:textId="77777777" w:rsidR="00EB406D" w:rsidRDefault="00EB406D" w:rsidP="00AE2051">
      <w:pPr>
        <w:ind w:left="720"/>
      </w:pPr>
    </w:p>
    <w:p w14:paraId="34B50EDC" w14:textId="4353A38D" w:rsidR="00E50EAC" w:rsidRDefault="00E50EAC" w:rsidP="00AE2051">
      <w:pPr>
        <w:ind w:left="720"/>
      </w:pPr>
      <w:r>
        <w:t>Lauren Dutra</w:t>
      </w:r>
    </w:p>
    <w:p w14:paraId="2107CD17" w14:textId="3BFE9239" w:rsidR="00E50EAC" w:rsidRDefault="00E50EAC" w:rsidP="00AE2051">
      <w:pPr>
        <w:ind w:left="720"/>
      </w:pPr>
      <w:r>
        <w:t>RTI International</w:t>
      </w:r>
    </w:p>
    <w:p w14:paraId="7AB63AE6" w14:textId="1B35ADD7" w:rsidR="00E50EAC" w:rsidRDefault="00E50EAC" w:rsidP="00AE2051">
      <w:pPr>
        <w:ind w:left="720"/>
      </w:pPr>
      <w:r>
        <w:t>2150 Shattuck Avenue, Suite 800</w:t>
      </w:r>
    </w:p>
    <w:p w14:paraId="303C7A89" w14:textId="3ACEE4C7" w:rsidR="00E50EAC" w:rsidRDefault="00E50EAC" w:rsidP="00AE2051">
      <w:pPr>
        <w:ind w:left="720"/>
      </w:pPr>
      <w:r>
        <w:t>Berkeley, CA 94118</w:t>
      </w:r>
    </w:p>
    <w:p w14:paraId="755AE34D" w14:textId="558EEDA5" w:rsidR="00E50EAC" w:rsidRDefault="00E50EAC" w:rsidP="00AE2051">
      <w:pPr>
        <w:ind w:left="720"/>
      </w:pPr>
      <w:r>
        <w:t>Phone: 510-665-8297</w:t>
      </w:r>
    </w:p>
    <w:p w14:paraId="4B655D3A" w14:textId="77777777" w:rsidR="00BE24D6" w:rsidRDefault="00E50EAC" w:rsidP="00BE24D6">
      <w:pPr>
        <w:ind w:left="720"/>
      </w:pPr>
      <w:r>
        <w:t>E-mail: ldutra@rti.org</w:t>
      </w:r>
      <w:r w:rsidR="00BE24D6" w:rsidRPr="00BE24D6">
        <w:t xml:space="preserve"> </w:t>
      </w:r>
    </w:p>
    <w:p w14:paraId="0DC6D9F4" w14:textId="77777777" w:rsidR="00BE24D6" w:rsidRDefault="00BE24D6" w:rsidP="00BE24D6">
      <w:pPr>
        <w:ind w:left="720"/>
      </w:pPr>
    </w:p>
    <w:p w14:paraId="26C86CAA" w14:textId="0AB646CD" w:rsidR="00BE24D6" w:rsidRDefault="00BE24D6" w:rsidP="00BE24D6">
      <w:pPr>
        <w:ind w:left="720"/>
      </w:pPr>
      <w:r>
        <w:t>Pamela Rao</w:t>
      </w:r>
    </w:p>
    <w:p w14:paraId="71FD7CB6" w14:textId="77777777" w:rsidR="00BE24D6" w:rsidRPr="00B662BE" w:rsidRDefault="00BE24D6" w:rsidP="00BE24D6">
      <w:pPr>
        <w:ind w:left="720"/>
      </w:pPr>
      <w:r w:rsidRPr="00B662BE">
        <w:t>Akira Technologies, Inc.</w:t>
      </w:r>
    </w:p>
    <w:p w14:paraId="24A652D9" w14:textId="77777777" w:rsidR="00BE24D6" w:rsidRPr="00B662BE" w:rsidRDefault="00BE24D6" w:rsidP="00BE24D6">
      <w:pPr>
        <w:ind w:left="720"/>
      </w:pPr>
      <w:r w:rsidRPr="00B662BE">
        <w:t>1747 Pennsylvania Ave NW Suite 600</w:t>
      </w:r>
    </w:p>
    <w:p w14:paraId="1BC5048F" w14:textId="77777777" w:rsidR="00BE24D6" w:rsidRPr="00B662BE" w:rsidRDefault="00BE24D6" w:rsidP="00BE24D6">
      <w:pPr>
        <w:ind w:left="720"/>
      </w:pPr>
      <w:r w:rsidRPr="00B662BE">
        <w:t>Washington, DC 20002</w:t>
      </w:r>
    </w:p>
    <w:p w14:paraId="704C9E7D" w14:textId="77777777" w:rsidR="00BE24D6" w:rsidRPr="00B662BE" w:rsidRDefault="00BE24D6" w:rsidP="00BE24D6">
      <w:pPr>
        <w:ind w:left="720"/>
      </w:pPr>
      <w:r>
        <w:t>Phone:</w:t>
      </w:r>
      <w:r>
        <w:tab/>
      </w:r>
      <w:hyperlink r:id="rId25" w:tooltip="Call via Hangouts" w:history="1">
        <w:r w:rsidRPr="00B662BE">
          <w:t>(202) 517-7187</w:t>
        </w:r>
      </w:hyperlink>
    </w:p>
    <w:p w14:paraId="4669189F" w14:textId="77777777" w:rsidR="00BE24D6" w:rsidRDefault="00BE24D6" w:rsidP="00BE24D6">
      <w:pPr>
        <w:ind w:left="720"/>
      </w:pPr>
      <w:r>
        <w:t>Email:</w:t>
      </w:r>
      <w:r>
        <w:tab/>
      </w:r>
      <w:hyperlink r:id="rId26" w:history="1">
        <w:r w:rsidRPr="00B662BE">
          <w:rPr>
            <w:rStyle w:val="Hyperlink"/>
          </w:rPr>
          <w:t>prao@akira-tech.com</w:t>
        </w:r>
      </w:hyperlink>
    </w:p>
    <w:p w14:paraId="48E2654D" w14:textId="77777777" w:rsidR="00BE24D6" w:rsidRDefault="00BE24D6" w:rsidP="00BE24D6">
      <w:pPr>
        <w:ind w:left="720"/>
      </w:pPr>
    </w:p>
    <w:p w14:paraId="2D1D3CE8" w14:textId="77777777" w:rsidR="00BE24D6" w:rsidRPr="00B662BE" w:rsidRDefault="00BE24D6" w:rsidP="00BE24D6">
      <w:pPr>
        <w:ind w:left="720"/>
      </w:pPr>
      <w:r w:rsidRPr="00B662BE">
        <w:t>Xiaoquan Zhao</w:t>
      </w:r>
    </w:p>
    <w:p w14:paraId="55B65344" w14:textId="77777777" w:rsidR="00BE24D6" w:rsidRPr="00B662BE" w:rsidRDefault="00BE24D6" w:rsidP="00BE24D6">
      <w:pPr>
        <w:ind w:left="720"/>
      </w:pPr>
      <w:r w:rsidRPr="00B662BE">
        <w:t>Department of Communication</w:t>
      </w:r>
    </w:p>
    <w:p w14:paraId="4EA54061" w14:textId="77777777" w:rsidR="00BE24D6" w:rsidRPr="00B662BE" w:rsidRDefault="00BE24D6" w:rsidP="00BE24D6">
      <w:pPr>
        <w:ind w:left="720"/>
      </w:pPr>
      <w:r w:rsidRPr="00B662BE">
        <w:t>George Mason University</w:t>
      </w:r>
    </w:p>
    <w:p w14:paraId="34A39990" w14:textId="77777777" w:rsidR="00BE24D6" w:rsidRPr="00B662BE" w:rsidRDefault="00BE24D6" w:rsidP="00BE24D6">
      <w:pPr>
        <w:ind w:left="720"/>
      </w:pPr>
      <w:r w:rsidRPr="00B662BE">
        <w:t>Robinson Hall A, Room 307B</w:t>
      </w:r>
    </w:p>
    <w:p w14:paraId="0346F85E" w14:textId="77777777" w:rsidR="00BE24D6" w:rsidRPr="00B662BE" w:rsidRDefault="00BE24D6" w:rsidP="00BE24D6">
      <w:pPr>
        <w:ind w:left="720"/>
      </w:pPr>
      <w:r w:rsidRPr="00B662BE">
        <w:t>4400 University Drive, 3D6</w:t>
      </w:r>
    </w:p>
    <w:p w14:paraId="54B2D376" w14:textId="77777777" w:rsidR="00BE24D6" w:rsidRPr="00B662BE" w:rsidRDefault="00BE24D6" w:rsidP="00BE24D6">
      <w:pPr>
        <w:ind w:left="720"/>
      </w:pPr>
      <w:r w:rsidRPr="00B662BE">
        <w:t>Fairfax, VA 22030</w:t>
      </w:r>
    </w:p>
    <w:p w14:paraId="6B67413D" w14:textId="77777777" w:rsidR="00BE24D6" w:rsidRPr="00B662BE" w:rsidRDefault="00BE24D6" w:rsidP="00BE24D6">
      <w:pPr>
        <w:ind w:left="720"/>
      </w:pPr>
      <w:r>
        <w:t>Phone:</w:t>
      </w:r>
      <w:r>
        <w:tab/>
      </w:r>
      <w:hyperlink r:id="rId27" w:history="1">
        <w:r w:rsidRPr="00B662BE">
          <w:t>703-993-4008</w:t>
        </w:r>
      </w:hyperlink>
    </w:p>
    <w:p w14:paraId="733EBD2A" w14:textId="77777777" w:rsidR="00BE24D6" w:rsidRPr="00B662BE" w:rsidRDefault="00BE24D6" w:rsidP="00BE24D6">
      <w:pPr>
        <w:ind w:left="720"/>
      </w:pPr>
      <w:r>
        <w:t>E-mail:</w:t>
      </w:r>
      <w:r>
        <w:tab/>
      </w:r>
      <w:hyperlink r:id="rId28" w:history="1">
        <w:r w:rsidRPr="00B662BE">
          <w:rPr>
            <w:rStyle w:val="Hyperlink"/>
          </w:rPr>
          <w:t>xzhao3@gmu.edu</w:t>
        </w:r>
      </w:hyperlink>
    </w:p>
    <w:p w14:paraId="673FACA1" w14:textId="6A94D0D8" w:rsidR="00E50EAC" w:rsidRDefault="00E50EAC" w:rsidP="00E50EAC">
      <w:pPr>
        <w:ind w:left="720"/>
      </w:pPr>
    </w:p>
    <w:p w14:paraId="100B846E" w14:textId="5AFAF7F6" w:rsidR="006E03CA" w:rsidRDefault="006E03CA" w:rsidP="00E50EAC">
      <w:pPr>
        <w:ind w:left="720"/>
      </w:pPr>
      <w:r>
        <w:t>Mark Hall</w:t>
      </w:r>
    </w:p>
    <w:p w14:paraId="3932995A" w14:textId="7794F5CE" w:rsidR="006E03CA" w:rsidRDefault="006E03CA" w:rsidP="00E50EAC">
      <w:pPr>
        <w:ind w:left="720"/>
      </w:pPr>
      <w:r>
        <w:t>FCB New York</w:t>
      </w:r>
    </w:p>
    <w:p w14:paraId="2C5CBEE4" w14:textId="77777777" w:rsidR="006E03CA" w:rsidRDefault="006E03CA" w:rsidP="00E50EAC">
      <w:pPr>
        <w:ind w:left="720"/>
      </w:pPr>
      <w:r>
        <w:t>100 West 33rd Street</w:t>
      </w:r>
    </w:p>
    <w:p w14:paraId="2A053AB0" w14:textId="01F8470F" w:rsidR="006E03CA" w:rsidRDefault="006E03CA" w:rsidP="00E50EAC">
      <w:pPr>
        <w:ind w:left="720"/>
      </w:pPr>
      <w:r w:rsidRPr="006E03CA">
        <w:t>New York, NY 10001</w:t>
      </w:r>
    </w:p>
    <w:p w14:paraId="5030629D" w14:textId="484205D0" w:rsidR="000A3773" w:rsidRDefault="000A3773" w:rsidP="000A3773">
      <w:pPr>
        <w:ind w:left="720"/>
      </w:pPr>
      <w:r>
        <w:t>Phone: 212-885-3372</w:t>
      </w:r>
    </w:p>
    <w:p w14:paraId="6B4404B0" w14:textId="3E63F75F" w:rsidR="000A3773" w:rsidRDefault="000A3773" w:rsidP="000A3773">
      <w:pPr>
        <w:ind w:left="720"/>
      </w:pPr>
      <w:r>
        <w:t xml:space="preserve">E-mail: </w:t>
      </w:r>
      <w:hyperlink r:id="rId29" w:history="1">
        <w:r w:rsidR="008D6E7B" w:rsidRPr="00A638DA">
          <w:rPr>
            <w:rStyle w:val="Hyperlink"/>
          </w:rPr>
          <w:t>mark.w.hall@fcb.com</w:t>
        </w:r>
      </w:hyperlink>
    </w:p>
    <w:p w14:paraId="04DA79F7" w14:textId="77777777" w:rsidR="006E03CA" w:rsidRDefault="006E03CA" w:rsidP="00E50EAC">
      <w:pPr>
        <w:ind w:left="720"/>
      </w:pPr>
    </w:p>
    <w:p w14:paraId="2010400B" w14:textId="2B7645D2" w:rsidR="006E03CA" w:rsidRDefault="006E03CA" w:rsidP="00E50EAC">
      <w:pPr>
        <w:ind w:left="720"/>
      </w:pPr>
      <w:r>
        <w:t>Suzanne Santiago</w:t>
      </w:r>
    </w:p>
    <w:p w14:paraId="2A169204" w14:textId="0E996DD2" w:rsidR="006E03CA" w:rsidRDefault="006E03CA" w:rsidP="00E50EAC">
      <w:pPr>
        <w:ind w:left="720"/>
      </w:pPr>
      <w:r>
        <w:t>FCB New York</w:t>
      </w:r>
    </w:p>
    <w:p w14:paraId="13D9E647" w14:textId="77777777" w:rsidR="000A3773" w:rsidRDefault="000A3773" w:rsidP="000A3773">
      <w:pPr>
        <w:ind w:left="720"/>
      </w:pPr>
      <w:r>
        <w:t>100 West 33rd Street</w:t>
      </w:r>
    </w:p>
    <w:p w14:paraId="2963E233" w14:textId="77777777" w:rsidR="000A3773" w:rsidRDefault="000A3773" w:rsidP="000A3773">
      <w:pPr>
        <w:ind w:left="720"/>
      </w:pPr>
      <w:r w:rsidRPr="006E03CA">
        <w:t>New York, NY 10001</w:t>
      </w:r>
    </w:p>
    <w:p w14:paraId="73049AD0" w14:textId="3642A202" w:rsidR="000A3773" w:rsidRDefault="000A3773" w:rsidP="00E50EAC">
      <w:pPr>
        <w:ind w:left="720"/>
      </w:pPr>
      <w:r>
        <w:t>Phone: 212-885-3651</w:t>
      </w:r>
    </w:p>
    <w:p w14:paraId="5C0A4915" w14:textId="1C15D5D9" w:rsidR="000A3773" w:rsidRDefault="000A3773" w:rsidP="00E50EAC">
      <w:pPr>
        <w:ind w:left="720"/>
      </w:pPr>
      <w:r>
        <w:t xml:space="preserve">E-mail: </w:t>
      </w:r>
      <w:hyperlink r:id="rId30" w:history="1">
        <w:r w:rsidR="008D6E7B" w:rsidRPr="00A638DA">
          <w:rPr>
            <w:rStyle w:val="Hyperlink"/>
          </w:rPr>
          <w:t>suzanne.santiago@fcb.com</w:t>
        </w:r>
      </w:hyperlink>
    </w:p>
    <w:p w14:paraId="35285C6E" w14:textId="77777777" w:rsidR="00CD77C3" w:rsidRPr="00FA3375" w:rsidRDefault="0072330E" w:rsidP="00E00EA0">
      <w:pPr>
        <w:numPr>
          <w:ilvl w:val="0"/>
          <w:numId w:val="1"/>
        </w:numPr>
        <w:spacing w:before="100" w:beforeAutospacing="1" w:after="100" w:afterAutospacing="1"/>
        <w:rPr>
          <w:u w:val="single"/>
        </w:rPr>
      </w:pPr>
      <w:r>
        <w:rPr>
          <w:u w:val="single"/>
        </w:rPr>
        <w:t>E</w:t>
      </w:r>
      <w:r w:rsidR="00EB7538" w:rsidRPr="00FA3375">
        <w:rPr>
          <w:u w:val="single"/>
        </w:rPr>
        <w:t xml:space="preserve">xplanation of Any </w:t>
      </w:r>
      <w:r w:rsidR="00897B8C" w:rsidRPr="00FA3375">
        <w:rPr>
          <w:u w:val="single"/>
        </w:rPr>
        <w:t xml:space="preserve">Incentive </w:t>
      </w:r>
      <w:r w:rsidR="00EB7538" w:rsidRPr="00FA3375">
        <w:rPr>
          <w:u w:val="single"/>
        </w:rPr>
        <w:t>or Gift to Respondents</w:t>
      </w:r>
    </w:p>
    <w:p w14:paraId="4BD3A4D3" w14:textId="4F33675F" w:rsidR="00BD3F0C" w:rsidRDefault="00FA3375" w:rsidP="00BD3F0C">
      <w:pPr>
        <w:ind w:left="720"/>
      </w:pPr>
      <w:r>
        <w:t>Potential p</w:t>
      </w:r>
      <w:r w:rsidR="001A4207">
        <w:t>a</w:t>
      </w:r>
      <w:r w:rsidR="002C511F">
        <w:t xml:space="preserve">rticipants will be </w:t>
      </w:r>
      <w:r>
        <w:t xml:space="preserve">sent a mail screener with a </w:t>
      </w:r>
      <w:r w:rsidR="002031DC">
        <w:t>$2 prepaid cash incentive ($2 bill)</w:t>
      </w:r>
      <w:r w:rsidR="002C511F">
        <w:t>. Pa</w:t>
      </w:r>
      <w:r w:rsidR="00730D95">
        <w:t>rticipants will be offered a $25</w:t>
      </w:r>
      <w:r w:rsidR="002C511F">
        <w:t xml:space="preserve"> </w:t>
      </w:r>
      <w:r w:rsidR="005D4A1F">
        <w:t xml:space="preserve">cash </w:t>
      </w:r>
      <w:r w:rsidR="002C511F">
        <w:t xml:space="preserve">incentive for completion of </w:t>
      </w:r>
      <w:r w:rsidR="00DE756D">
        <w:t xml:space="preserve">the </w:t>
      </w:r>
      <w:r w:rsidR="002C511F">
        <w:t>Wave 1</w:t>
      </w:r>
      <w:r w:rsidR="00F8582F">
        <w:t xml:space="preserve"> </w:t>
      </w:r>
      <w:r w:rsidR="00877F18">
        <w:t>questionnaire</w:t>
      </w:r>
      <w:r w:rsidR="00F8582F">
        <w:t>. Participants will be offered a $25 incentive</w:t>
      </w:r>
      <w:r w:rsidR="00D76FEA">
        <w:t xml:space="preserve"> per </w:t>
      </w:r>
      <w:r w:rsidR="002F771A">
        <w:t xml:space="preserve">wave </w:t>
      </w:r>
      <w:r w:rsidR="00D76FEA">
        <w:t>for the completion of</w:t>
      </w:r>
      <w:r w:rsidR="00F8582F">
        <w:t xml:space="preserve"> the </w:t>
      </w:r>
      <w:r w:rsidR="006B392C">
        <w:t>W</w:t>
      </w:r>
      <w:r w:rsidR="00F8582F">
        <w:t xml:space="preserve">aves </w:t>
      </w:r>
      <w:r w:rsidR="00DE756D">
        <w:t>2, 3</w:t>
      </w:r>
      <w:r w:rsidR="00E50EAC">
        <w:t>, and 4</w:t>
      </w:r>
      <w:r w:rsidR="00DE756D">
        <w:t xml:space="preserve"> </w:t>
      </w:r>
      <w:r w:rsidR="00877F18">
        <w:t>outcome evaluation questionnaires</w:t>
      </w:r>
      <w:r w:rsidR="00D76FEA">
        <w:t>,</w:t>
      </w:r>
      <w:r w:rsidR="002C511F">
        <w:t xml:space="preserve"> </w:t>
      </w:r>
      <w:r w:rsidR="00F8582F">
        <w:t xml:space="preserve">and an additional $5 for each </w:t>
      </w:r>
      <w:r w:rsidR="00664911">
        <w:t xml:space="preserve">of the </w:t>
      </w:r>
      <w:r w:rsidR="006B392C">
        <w:t>W</w:t>
      </w:r>
      <w:r w:rsidR="00664911">
        <w:t xml:space="preserve">aves 2, 3, and 4 </w:t>
      </w:r>
      <w:r w:rsidR="00877F18">
        <w:t xml:space="preserve">questionnaires </w:t>
      </w:r>
      <w:r w:rsidR="00F8582F">
        <w:t xml:space="preserve">if </w:t>
      </w:r>
      <w:r w:rsidR="00664911">
        <w:t xml:space="preserve">they </w:t>
      </w:r>
      <w:r w:rsidR="00F8582F">
        <w:t xml:space="preserve">complete </w:t>
      </w:r>
      <w:r w:rsidR="00664911">
        <w:t xml:space="preserve">them </w:t>
      </w:r>
      <w:r w:rsidR="00F8582F">
        <w:t xml:space="preserve">online before a specific </w:t>
      </w:r>
      <w:r w:rsidR="00BD3F0C">
        <w:t xml:space="preserve">“early bird” </w:t>
      </w:r>
      <w:r w:rsidR="00F8582F">
        <w:t>date</w:t>
      </w:r>
      <w:r w:rsidR="005D4A1F">
        <w:t xml:space="preserve"> (in cash for in-person interviews, by check if completed online)</w:t>
      </w:r>
      <w:r w:rsidR="00F8582F">
        <w:t xml:space="preserve">. This additional $5 incentive is </w:t>
      </w:r>
      <w:r w:rsidR="00F8582F" w:rsidRPr="00305473">
        <w:t xml:space="preserve">intended to facilitate </w:t>
      </w:r>
      <w:r w:rsidR="00D20952" w:rsidRPr="00305473">
        <w:t xml:space="preserve">timely </w:t>
      </w:r>
      <w:r w:rsidR="00877F18">
        <w:t>questionnaires</w:t>
      </w:r>
      <w:r w:rsidR="00877F18" w:rsidRPr="00305473">
        <w:t xml:space="preserve"> </w:t>
      </w:r>
      <w:r w:rsidR="00D20952" w:rsidRPr="00305473">
        <w:t xml:space="preserve">completion and </w:t>
      </w:r>
      <w:r w:rsidR="00FF5F92" w:rsidRPr="00305473">
        <w:t>increase the response rate.</w:t>
      </w:r>
      <w:r w:rsidR="00305473" w:rsidRPr="00305473">
        <w:t xml:space="preserve"> </w:t>
      </w:r>
      <w:r w:rsidR="00BD3F0C">
        <w:t xml:space="preserve">The cost of the additional incentive is easily offset by reducing the cost of in-person data collection. The early bird </w:t>
      </w:r>
      <w:r w:rsidR="00305473" w:rsidRPr="00305473">
        <w:t>incentive was implemented as part of the FDA’s Rural Smokeless Tobacco Evaluation Campaign (RuSTEC) and found to substantially increase response rates (45% of respondents completed the questionnaire online during the early bird period for the first follow-up).</w:t>
      </w:r>
      <w:r w:rsidR="00F8582F" w:rsidRPr="00305473">
        <w:t xml:space="preserve"> </w:t>
      </w:r>
      <w:r w:rsidR="00D76FEA">
        <w:t>P</w:t>
      </w:r>
      <w:r w:rsidR="00E50EAC" w:rsidRPr="00305473">
        <w:t xml:space="preserve">articipants will be offered </w:t>
      </w:r>
      <w:r w:rsidR="00BD3F0C">
        <w:t>$5</w:t>
      </w:r>
      <w:r w:rsidR="00E50EAC" w:rsidRPr="00305473">
        <w:t xml:space="preserve"> </w:t>
      </w:r>
      <w:r w:rsidR="005D4A1F">
        <w:t>(delivered as an electronic gift card o</w:t>
      </w:r>
      <w:r w:rsidR="002F771A">
        <w:t>r as</w:t>
      </w:r>
      <w:r w:rsidR="005D4A1F">
        <w:t xml:space="preserve"> $5 worth of electronic points that can be redeemed from an online vendor) </w:t>
      </w:r>
      <w:r w:rsidR="00E50EAC" w:rsidRPr="00305473">
        <w:t xml:space="preserve">for completing each of the three </w:t>
      </w:r>
      <w:r w:rsidR="00877F18">
        <w:t xml:space="preserve">brief </w:t>
      </w:r>
      <w:r w:rsidR="00C62E13" w:rsidRPr="00305473">
        <w:t>app</w:t>
      </w:r>
      <w:r w:rsidR="00BD3F0C">
        <w:t xml:space="preserve">-based </w:t>
      </w:r>
      <w:r w:rsidR="00877F18">
        <w:t xml:space="preserve">questionnaires </w:t>
      </w:r>
      <w:r w:rsidR="00BD3F0C">
        <w:t xml:space="preserve">to maintain participation. </w:t>
      </w:r>
      <w:r w:rsidR="002F771A">
        <w:t>The g</w:t>
      </w:r>
      <w:r w:rsidR="005D4A1F">
        <w:t>ift cards</w:t>
      </w:r>
      <w:r w:rsidR="002F771A">
        <w:t>/</w:t>
      </w:r>
      <w:r w:rsidR="005D4A1F">
        <w:t>electronic p</w:t>
      </w:r>
      <w:r w:rsidR="00BD3F0C">
        <w:t xml:space="preserve">oints </w:t>
      </w:r>
      <w:r w:rsidR="005D4A1F">
        <w:t>delivered after completion of</w:t>
      </w:r>
      <w:r w:rsidR="00BD3F0C">
        <w:t xml:space="preserve"> the three app-based surveys </w:t>
      </w:r>
      <w:r w:rsidR="005D4A1F">
        <w:t xml:space="preserve">are </w:t>
      </w:r>
      <w:r w:rsidR="00D76FEA">
        <w:t>value</w:t>
      </w:r>
      <w:r w:rsidR="005D4A1F">
        <w:t>d</w:t>
      </w:r>
      <w:r w:rsidR="00D76FEA">
        <w:t xml:space="preserve"> </w:t>
      </w:r>
      <w:r w:rsidR="005D4A1F">
        <w:t>at</w:t>
      </w:r>
      <w:r w:rsidR="00BD3F0C">
        <w:t xml:space="preserve"> $15 over the course of the study. </w:t>
      </w:r>
    </w:p>
    <w:p w14:paraId="382C1CE5" w14:textId="77777777" w:rsidR="00BD3F0C" w:rsidRDefault="00BD3F0C" w:rsidP="00BD3F0C">
      <w:pPr>
        <w:ind w:left="720"/>
      </w:pPr>
    </w:p>
    <w:p w14:paraId="686EB223" w14:textId="245D3396" w:rsidR="001A4207" w:rsidRDefault="001A4207" w:rsidP="00BD3F0C">
      <w:pPr>
        <w:ind w:left="720"/>
      </w:pPr>
      <w:r>
        <w:t xml:space="preserve">We estimate that the </w:t>
      </w:r>
      <w:r w:rsidR="00E50EAC">
        <w:t xml:space="preserve">mail </w:t>
      </w:r>
      <w:r w:rsidR="00CB34CA">
        <w:t xml:space="preserve">screener will </w:t>
      </w:r>
      <w:r>
        <w:t xml:space="preserve">take </w:t>
      </w:r>
      <w:r w:rsidR="00CB34CA">
        <w:t>1</w:t>
      </w:r>
      <w:r>
        <w:t xml:space="preserve">0 minutes to complete, </w:t>
      </w:r>
      <w:r w:rsidR="00E50EAC">
        <w:t>the in-person screen</w:t>
      </w:r>
      <w:r w:rsidR="00AF7EDD">
        <w:t>er</w:t>
      </w:r>
      <w:r w:rsidR="00E50EAC">
        <w:t xml:space="preserve"> will take 10 minutes to complete (some, but not all participants will complete both), </w:t>
      </w:r>
      <w:r w:rsidR="00A83B43">
        <w:t xml:space="preserve">and </w:t>
      </w:r>
      <w:r w:rsidR="00CB34CA">
        <w:t xml:space="preserve">that the </w:t>
      </w:r>
      <w:r w:rsidR="00FD5501">
        <w:t xml:space="preserve">Waves </w:t>
      </w:r>
      <w:r w:rsidR="00CB34CA">
        <w:t>1, 2, 3</w:t>
      </w:r>
      <w:r w:rsidR="00E50EAC">
        <w:t>, and 4</w:t>
      </w:r>
      <w:r w:rsidR="00CB34CA">
        <w:t xml:space="preserve"> </w:t>
      </w:r>
      <w:r w:rsidR="00877F18">
        <w:t>questionnaire</w:t>
      </w:r>
      <w:r w:rsidR="00CB34CA">
        <w:t>s will take 40</w:t>
      </w:r>
      <w:r>
        <w:t xml:space="preserve"> minutes</w:t>
      </w:r>
      <w:r w:rsidR="00CB34CA">
        <w:t xml:space="preserve"> each</w:t>
      </w:r>
      <w:r>
        <w:t xml:space="preserve">. </w:t>
      </w:r>
      <w:r w:rsidR="00CB34CA">
        <w:t xml:space="preserve">We anticipate that each of the three </w:t>
      </w:r>
      <w:r w:rsidR="00C62E13">
        <w:t>app</w:t>
      </w:r>
      <w:r w:rsidR="00CB34CA">
        <w:t>-based</w:t>
      </w:r>
      <w:r w:rsidR="00877F18">
        <w:t xml:space="preserve"> brief</w:t>
      </w:r>
      <w:r w:rsidR="00CB34CA">
        <w:t xml:space="preserve"> </w:t>
      </w:r>
      <w:r w:rsidR="00877F18">
        <w:t>questionnaires</w:t>
      </w:r>
      <w:r w:rsidR="00CB34CA">
        <w:t xml:space="preserve"> will take 5 minutes. </w:t>
      </w:r>
      <w:r>
        <w:t xml:space="preserve">The incentives are intended to recognize the time burden placed on participants, encourage their cooperation, and convey appreciation for contributing to this important study and are similar to incentives that are offered for most surveys of this type. Numerous empirical studies have shown that incentives can significantly increase response rates in cross-sectional surveys and reduce attrition in longitudinal surveys (e.g., Abreu &amp; Winters, 1999; Castiglioni, Pforr, &amp; Krieger, 2008; Jäckle &amp; Lynn, 2008; Shettle &amp; Mooney, 1999; Singer, 2002). The decision to use incentives for this study is based on the need to ensure high retention from baseline to follow-up in order to retain the necessary analytic power of the longitudinal sample. </w:t>
      </w:r>
    </w:p>
    <w:p w14:paraId="0E68B23B" w14:textId="77777777" w:rsidR="0072330E" w:rsidRDefault="0072330E" w:rsidP="00621286">
      <w:pPr>
        <w:ind w:left="720"/>
      </w:pPr>
    </w:p>
    <w:p w14:paraId="0D114C59" w14:textId="2CEB0750" w:rsidR="004E7AB4" w:rsidRDefault="001A4207" w:rsidP="00DD09F5">
      <w:pPr>
        <w:ind w:left="720"/>
      </w:pPr>
      <w:r>
        <w:t xml:space="preserve">A more detailed justification for the use of incentives is </w:t>
      </w:r>
      <w:r w:rsidRPr="0036619E">
        <w:t xml:space="preserve">provided in Attachment </w:t>
      </w:r>
      <w:r w:rsidR="00FF160F">
        <w:t>1</w:t>
      </w:r>
      <w:r w:rsidR="00AF574A">
        <w:t>1</w:t>
      </w:r>
      <w:r w:rsidR="000F4046" w:rsidRPr="0036619E">
        <w:t xml:space="preserve">. </w:t>
      </w:r>
      <w:r w:rsidRPr="0036619E">
        <w:t>The</w:t>
      </w:r>
      <w:r>
        <w:t xml:space="preserv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surveys. The use of incentives will help ensure that data collection is completed in a timely manner and potentially reduce the number of follow-up visits needed to contact nonrespondents. The specific amount</w:t>
      </w:r>
      <w:r w:rsidR="00D20952">
        <w:t>s</w:t>
      </w:r>
      <w:r>
        <w:t xml:space="preserve"> of the proposed incentive</w:t>
      </w:r>
      <w:r w:rsidR="00D20952">
        <w:t>s</w:t>
      </w:r>
      <w:r>
        <w:t xml:space="preserve"> </w:t>
      </w:r>
      <w:r w:rsidR="00D20952">
        <w:t xml:space="preserve">(see </w:t>
      </w:r>
      <w:r w:rsidR="0047253A">
        <w:t xml:space="preserve">Table </w:t>
      </w:r>
      <w:r w:rsidR="00D20952">
        <w:t>1)</w:t>
      </w:r>
      <w:r w:rsidR="00BD3F0C">
        <w:t xml:space="preserve"> </w:t>
      </w:r>
      <w:r w:rsidR="00D20952">
        <w:t xml:space="preserve">are </w:t>
      </w:r>
      <w:r>
        <w:t xml:space="preserve">based on </w:t>
      </w:r>
      <w:r w:rsidR="00D20952">
        <w:t xml:space="preserve">RTI’s previous work on evaluations of </w:t>
      </w:r>
      <w:r w:rsidR="00D20952" w:rsidRPr="006631DC">
        <w:t>FDA’s public education</w:t>
      </w:r>
      <w:r w:rsidRPr="006631DC">
        <w:t xml:space="preserve"> </w:t>
      </w:r>
      <w:r w:rsidR="00D20952" w:rsidRPr="006631DC">
        <w:t>campaigns</w:t>
      </w:r>
      <w:r w:rsidRPr="006631DC">
        <w:t xml:space="preserve">, including </w:t>
      </w:r>
      <w:r w:rsidR="00D20952" w:rsidRPr="006631DC">
        <w:t>ExPECTT (Evaluation of the FDA’s Public Education Campaign on Teen Tobacco), RuSTEC (Rural Smokeless Tobacco Evaluation Campaign), and EFECT (Evaluation of Fresh Empire Campaign on Tobacco)</w:t>
      </w:r>
      <w:r w:rsidR="00A83B43" w:rsidRPr="006631DC">
        <w:t>,</w:t>
      </w:r>
      <w:r w:rsidRPr="006631DC">
        <w:t xml:space="preserve"> which found that use of similar incentives increased response rates among youth, particularly for retention in longitudinal studies.</w:t>
      </w:r>
      <w:r w:rsidR="00BD3F0C" w:rsidRPr="00BD3F0C">
        <w:t xml:space="preserve"> </w:t>
      </w:r>
      <w:r w:rsidR="00BD3F0C">
        <w:t>Whenever a participant receives an incentive, he or she will sign the Incentive Receipt Form (Attachment 8) for RTI internal recordkeeping purposes.</w:t>
      </w:r>
    </w:p>
    <w:p w14:paraId="6BAAA4FB" w14:textId="4787C450" w:rsidR="001A4207" w:rsidRPr="00AC47CE" w:rsidRDefault="0047253A" w:rsidP="00EC375A">
      <w:pPr>
        <w:pStyle w:val="FigureTitle"/>
        <w:ind w:firstLine="720"/>
      </w:pPr>
      <w:bookmarkStart w:id="3" w:name="_Toc361824169"/>
      <w:r>
        <w:t>Table</w:t>
      </w:r>
      <w:r w:rsidRPr="00AC47CE">
        <w:t xml:space="preserve"> </w:t>
      </w:r>
      <w:r w:rsidR="001A4207" w:rsidRPr="00AC47CE">
        <w:t>1.</w:t>
      </w:r>
      <w:r w:rsidR="000A54E2">
        <w:t xml:space="preserve">  </w:t>
      </w:r>
      <w:r w:rsidR="001A4207" w:rsidRPr="00AC47CE">
        <w:t>Incentive Type and Amount</w:t>
      </w:r>
      <w:bookmarkEnd w:id="3"/>
    </w:p>
    <w:tbl>
      <w:tblPr>
        <w:tblW w:w="958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267"/>
        <w:gridCol w:w="2909"/>
        <w:gridCol w:w="2244"/>
        <w:gridCol w:w="2161"/>
      </w:tblGrid>
      <w:tr w:rsidR="00BC7D89" w:rsidRPr="00AC47CE" w14:paraId="04B4E9F4" w14:textId="77777777" w:rsidTr="009037FB">
        <w:trPr>
          <w:cantSplit/>
          <w:trHeight w:val="771"/>
        </w:trPr>
        <w:tc>
          <w:tcPr>
            <w:tcW w:w="2267" w:type="dxa"/>
            <w:vAlign w:val="bottom"/>
          </w:tcPr>
          <w:p w14:paraId="0C88294C" w14:textId="77777777" w:rsidR="00BC7D89" w:rsidRPr="00AC47CE" w:rsidRDefault="00BC7D89" w:rsidP="00BE1984">
            <w:pPr>
              <w:keepNext/>
              <w:spacing w:before="80" w:after="80"/>
              <w:jc w:val="center"/>
              <w:rPr>
                <w:b/>
                <w:sz w:val="22"/>
              </w:rPr>
            </w:pPr>
            <w:r w:rsidRPr="00AC47CE">
              <w:rPr>
                <w:b/>
                <w:sz w:val="22"/>
              </w:rPr>
              <w:t>Type of Incentive</w:t>
            </w:r>
          </w:p>
        </w:tc>
        <w:tc>
          <w:tcPr>
            <w:tcW w:w="2909" w:type="dxa"/>
            <w:vAlign w:val="bottom"/>
          </w:tcPr>
          <w:p w14:paraId="5EA502AD" w14:textId="77777777" w:rsidR="00BC7D89" w:rsidRPr="00AC47CE" w:rsidRDefault="00BC7D89" w:rsidP="00BE1984">
            <w:pPr>
              <w:keepNext/>
              <w:spacing w:before="80" w:after="80"/>
              <w:jc w:val="center"/>
              <w:rPr>
                <w:b/>
                <w:sz w:val="22"/>
              </w:rPr>
            </w:pPr>
            <w:r w:rsidRPr="00AC47CE">
              <w:rPr>
                <w:b/>
                <w:sz w:val="22"/>
              </w:rPr>
              <w:t>Participant</w:t>
            </w:r>
          </w:p>
        </w:tc>
        <w:tc>
          <w:tcPr>
            <w:tcW w:w="2244" w:type="dxa"/>
            <w:vAlign w:val="bottom"/>
          </w:tcPr>
          <w:p w14:paraId="7B649E48" w14:textId="77777777" w:rsidR="00BC7D89" w:rsidRPr="00AC47CE" w:rsidRDefault="00BC7D89" w:rsidP="00BE1984">
            <w:pPr>
              <w:keepNext/>
              <w:spacing w:before="80" w:after="80"/>
              <w:jc w:val="center"/>
              <w:rPr>
                <w:b/>
                <w:sz w:val="22"/>
              </w:rPr>
            </w:pPr>
            <w:r w:rsidRPr="00AC47CE">
              <w:rPr>
                <w:b/>
                <w:sz w:val="22"/>
              </w:rPr>
              <w:t>Amount/Value</w:t>
            </w:r>
          </w:p>
        </w:tc>
        <w:tc>
          <w:tcPr>
            <w:tcW w:w="2161" w:type="dxa"/>
          </w:tcPr>
          <w:p w14:paraId="5E191E86" w14:textId="77777777" w:rsidR="00BC7D89" w:rsidRPr="00AC47CE" w:rsidRDefault="00BC7D89" w:rsidP="00BE1984">
            <w:pPr>
              <w:keepNext/>
              <w:spacing w:before="80" w:after="80"/>
              <w:jc w:val="center"/>
              <w:rPr>
                <w:b/>
                <w:sz w:val="22"/>
              </w:rPr>
            </w:pPr>
            <w:r>
              <w:rPr>
                <w:b/>
                <w:sz w:val="22"/>
              </w:rPr>
              <w:t>Total Amount for Completing all Waves</w:t>
            </w:r>
          </w:p>
        </w:tc>
      </w:tr>
      <w:tr w:rsidR="00CB34CA" w:rsidRPr="00AC47CE" w14:paraId="1E7B1F61" w14:textId="77777777" w:rsidTr="009037FB">
        <w:trPr>
          <w:cantSplit/>
          <w:trHeight w:val="890"/>
        </w:trPr>
        <w:tc>
          <w:tcPr>
            <w:tcW w:w="2267" w:type="dxa"/>
          </w:tcPr>
          <w:p w14:paraId="2B7FDF01" w14:textId="77777777" w:rsidR="00CB34CA" w:rsidRPr="00AC47CE" w:rsidRDefault="00FA3375" w:rsidP="008E29BA">
            <w:pPr>
              <w:keepNext/>
              <w:spacing w:before="80" w:after="80"/>
              <w:rPr>
                <w:sz w:val="22"/>
              </w:rPr>
            </w:pPr>
            <w:r>
              <w:rPr>
                <w:sz w:val="22"/>
              </w:rPr>
              <w:t>Mail</w:t>
            </w:r>
            <w:r w:rsidR="00CB34CA">
              <w:rPr>
                <w:sz w:val="22"/>
              </w:rPr>
              <w:t xml:space="preserve"> screener</w:t>
            </w:r>
          </w:p>
        </w:tc>
        <w:tc>
          <w:tcPr>
            <w:tcW w:w="2909" w:type="dxa"/>
          </w:tcPr>
          <w:p w14:paraId="639AE707" w14:textId="5DF0426D" w:rsidR="00CB34CA" w:rsidRPr="00AC47CE" w:rsidRDefault="00CB34CA" w:rsidP="00BD3F0C">
            <w:pPr>
              <w:keepNext/>
              <w:spacing w:before="80" w:after="80"/>
              <w:rPr>
                <w:sz w:val="22"/>
              </w:rPr>
            </w:pPr>
            <w:r>
              <w:rPr>
                <w:sz w:val="22"/>
              </w:rPr>
              <w:t>All households identified as containing potential participants in the 3</w:t>
            </w:r>
            <w:r w:rsidR="004849E7">
              <w:rPr>
                <w:sz w:val="22"/>
              </w:rPr>
              <w:t>0</w:t>
            </w:r>
            <w:r>
              <w:rPr>
                <w:sz w:val="22"/>
              </w:rPr>
              <w:t xml:space="preserve"> </w:t>
            </w:r>
            <w:r w:rsidR="00BD3F0C">
              <w:rPr>
                <w:sz w:val="22"/>
              </w:rPr>
              <w:t>U</w:t>
            </w:r>
            <w:r w:rsidR="009037FB">
              <w:rPr>
                <w:sz w:val="22"/>
              </w:rPr>
              <w:t>.</w:t>
            </w:r>
            <w:r w:rsidR="00BD3F0C">
              <w:rPr>
                <w:sz w:val="22"/>
              </w:rPr>
              <w:t>S</w:t>
            </w:r>
            <w:r w:rsidR="009037FB">
              <w:rPr>
                <w:sz w:val="22"/>
              </w:rPr>
              <w:t>.</w:t>
            </w:r>
            <w:r>
              <w:rPr>
                <w:sz w:val="22"/>
              </w:rPr>
              <w:t xml:space="preserve"> counties</w:t>
            </w:r>
          </w:p>
        </w:tc>
        <w:tc>
          <w:tcPr>
            <w:tcW w:w="2244" w:type="dxa"/>
          </w:tcPr>
          <w:p w14:paraId="489DE430" w14:textId="77777777" w:rsidR="00CB34CA" w:rsidRPr="00AC47CE" w:rsidRDefault="00CB34CA" w:rsidP="00BE1984">
            <w:pPr>
              <w:keepNext/>
              <w:spacing w:before="80" w:after="80"/>
              <w:rPr>
                <w:sz w:val="22"/>
              </w:rPr>
            </w:pPr>
            <w:r>
              <w:rPr>
                <w:sz w:val="22"/>
              </w:rPr>
              <w:t>$2</w:t>
            </w:r>
          </w:p>
        </w:tc>
        <w:tc>
          <w:tcPr>
            <w:tcW w:w="2161" w:type="dxa"/>
          </w:tcPr>
          <w:p w14:paraId="6C47EDCF" w14:textId="77777777" w:rsidR="00CB34CA" w:rsidRDefault="00CB34CA" w:rsidP="00BE1984">
            <w:pPr>
              <w:keepNext/>
              <w:spacing w:before="80" w:after="80"/>
              <w:rPr>
                <w:sz w:val="22"/>
              </w:rPr>
            </w:pPr>
            <w:r>
              <w:rPr>
                <w:sz w:val="22"/>
              </w:rPr>
              <w:t>$2</w:t>
            </w:r>
          </w:p>
        </w:tc>
      </w:tr>
      <w:tr w:rsidR="00FA3375" w:rsidRPr="00AC47CE" w14:paraId="5A6DD7CB" w14:textId="77777777" w:rsidTr="009037FB">
        <w:trPr>
          <w:cantSplit/>
          <w:trHeight w:val="636"/>
        </w:trPr>
        <w:tc>
          <w:tcPr>
            <w:tcW w:w="2267" w:type="dxa"/>
          </w:tcPr>
          <w:p w14:paraId="746F8568" w14:textId="26BC7F9E" w:rsidR="00FA3375" w:rsidRPr="00AC47CE" w:rsidRDefault="009037FB" w:rsidP="00FA3375">
            <w:pPr>
              <w:keepNext/>
              <w:spacing w:before="80" w:after="80"/>
              <w:rPr>
                <w:sz w:val="22"/>
              </w:rPr>
            </w:pPr>
            <w:r>
              <w:rPr>
                <w:sz w:val="22"/>
              </w:rPr>
              <w:t>A</w:t>
            </w:r>
            <w:r w:rsidR="00C62E13">
              <w:rPr>
                <w:sz w:val="22"/>
              </w:rPr>
              <w:t>pp</w:t>
            </w:r>
            <w:r w:rsidR="00FA3375">
              <w:rPr>
                <w:sz w:val="22"/>
              </w:rPr>
              <w:t xml:space="preserve">-based </w:t>
            </w:r>
            <w:r w:rsidR="00877F18">
              <w:rPr>
                <w:sz w:val="22"/>
              </w:rPr>
              <w:t>questionnaire</w:t>
            </w:r>
            <w:r w:rsidR="00FA3375">
              <w:rPr>
                <w:sz w:val="22"/>
              </w:rPr>
              <w:t>s (3)</w:t>
            </w:r>
          </w:p>
        </w:tc>
        <w:tc>
          <w:tcPr>
            <w:tcW w:w="2909" w:type="dxa"/>
          </w:tcPr>
          <w:p w14:paraId="755DD752" w14:textId="1888E1D9" w:rsidR="00FA3375" w:rsidRPr="00AC47CE" w:rsidRDefault="00FA3375" w:rsidP="00BD3F0C">
            <w:pPr>
              <w:keepNext/>
              <w:spacing w:before="80" w:after="80"/>
              <w:rPr>
                <w:sz w:val="22"/>
              </w:rPr>
            </w:pPr>
            <w:r w:rsidRPr="00AC47CE">
              <w:rPr>
                <w:sz w:val="22"/>
              </w:rPr>
              <w:t xml:space="preserve">All </w:t>
            </w:r>
            <w:r>
              <w:rPr>
                <w:sz w:val="22"/>
              </w:rPr>
              <w:t xml:space="preserve">longitudinal </w:t>
            </w:r>
            <w:r w:rsidRPr="00AC47CE">
              <w:rPr>
                <w:sz w:val="22"/>
              </w:rPr>
              <w:t>panel members</w:t>
            </w:r>
            <w:r>
              <w:rPr>
                <w:sz w:val="22"/>
              </w:rPr>
              <w:t xml:space="preserve"> who chose to download the </w:t>
            </w:r>
            <w:r w:rsidR="00C62E13">
              <w:rPr>
                <w:sz w:val="22"/>
              </w:rPr>
              <w:t>app</w:t>
            </w:r>
          </w:p>
        </w:tc>
        <w:tc>
          <w:tcPr>
            <w:tcW w:w="2244" w:type="dxa"/>
          </w:tcPr>
          <w:p w14:paraId="2C1A5E66" w14:textId="6F078F2B" w:rsidR="00FA3375" w:rsidRPr="00AC47CE" w:rsidRDefault="00FA3375" w:rsidP="00BD271D">
            <w:pPr>
              <w:keepNext/>
              <w:spacing w:before="80" w:after="80"/>
              <w:rPr>
                <w:sz w:val="22"/>
              </w:rPr>
            </w:pPr>
            <w:r>
              <w:rPr>
                <w:sz w:val="22"/>
              </w:rPr>
              <w:t xml:space="preserve">Electronic </w:t>
            </w:r>
            <w:r w:rsidR="00BD271D">
              <w:rPr>
                <w:sz w:val="22"/>
              </w:rPr>
              <w:t xml:space="preserve">points </w:t>
            </w:r>
            <w:r w:rsidR="005D4A1F">
              <w:rPr>
                <w:sz w:val="22"/>
              </w:rPr>
              <w:t xml:space="preserve">or electronic gift card </w:t>
            </w:r>
            <w:r w:rsidR="00BD271D">
              <w:rPr>
                <w:sz w:val="22"/>
              </w:rPr>
              <w:t>valued at</w:t>
            </w:r>
            <w:r>
              <w:rPr>
                <w:sz w:val="22"/>
              </w:rPr>
              <w:t xml:space="preserve"> $5</w:t>
            </w:r>
          </w:p>
        </w:tc>
        <w:tc>
          <w:tcPr>
            <w:tcW w:w="2161" w:type="dxa"/>
          </w:tcPr>
          <w:p w14:paraId="0AA44168" w14:textId="43152BF9" w:rsidR="00FA3375" w:rsidRDefault="00730D95" w:rsidP="00BD271D">
            <w:pPr>
              <w:keepNext/>
              <w:spacing w:before="80" w:after="80"/>
              <w:rPr>
                <w:sz w:val="22"/>
              </w:rPr>
            </w:pPr>
            <w:r>
              <w:rPr>
                <w:sz w:val="22"/>
              </w:rPr>
              <w:t xml:space="preserve">Electronic </w:t>
            </w:r>
            <w:r w:rsidR="00BD271D">
              <w:rPr>
                <w:sz w:val="22"/>
              </w:rPr>
              <w:t xml:space="preserve">points </w:t>
            </w:r>
            <w:r w:rsidR="005D4A1F">
              <w:rPr>
                <w:sz w:val="22"/>
              </w:rPr>
              <w:t xml:space="preserve">or electronic gift card </w:t>
            </w:r>
            <w:r w:rsidR="00BD271D">
              <w:rPr>
                <w:sz w:val="22"/>
              </w:rPr>
              <w:t>totaling</w:t>
            </w:r>
            <w:r>
              <w:rPr>
                <w:sz w:val="22"/>
              </w:rPr>
              <w:t xml:space="preserve"> $15</w:t>
            </w:r>
          </w:p>
        </w:tc>
      </w:tr>
      <w:tr w:rsidR="00FA3375" w:rsidRPr="00AC47CE" w14:paraId="77F90708" w14:textId="77777777" w:rsidTr="009037FB">
        <w:trPr>
          <w:cantSplit/>
          <w:trHeight w:val="647"/>
        </w:trPr>
        <w:tc>
          <w:tcPr>
            <w:tcW w:w="2267" w:type="dxa"/>
          </w:tcPr>
          <w:p w14:paraId="42FC7C9C" w14:textId="3E831817" w:rsidR="00FA3375" w:rsidRPr="00AC47CE" w:rsidRDefault="00730D95" w:rsidP="0001309A">
            <w:pPr>
              <w:keepNext/>
              <w:spacing w:before="80" w:after="80"/>
              <w:rPr>
                <w:sz w:val="22"/>
              </w:rPr>
            </w:pPr>
            <w:r>
              <w:rPr>
                <w:sz w:val="22"/>
              </w:rPr>
              <w:t xml:space="preserve">Wave 1 </w:t>
            </w:r>
            <w:r w:rsidR="00376B11">
              <w:rPr>
                <w:sz w:val="22"/>
              </w:rPr>
              <w:t>q</w:t>
            </w:r>
            <w:r w:rsidR="00FA3375">
              <w:rPr>
                <w:sz w:val="22"/>
              </w:rPr>
              <w:t xml:space="preserve">uestionnaire </w:t>
            </w:r>
          </w:p>
        </w:tc>
        <w:tc>
          <w:tcPr>
            <w:tcW w:w="2909" w:type="dxa"/>
          </w:tcPr>
          <w:p w14:paraId="6B453BCB" w14:textId="77777777" w:rsidR="00FA3375" w:rsidRPr="00AC47CE" w:rsidRDefault="00FA3375" w:rsidP="00FA3375">
            <w:pPr>
              <w:keepNext/>
              <w:spacing w:before="80" w:after="80"/>
              <w:rPr>
                <w:sz w:val="22"/>
              </w:rPr>
            </w:pPr>
            <w:r w:rsidRPr="00AC47CE">
              <w:rPr>
                <w:sz w:val="22"/>
              </w:rPr>
              <w:t xml:space="preserve">All </w:t>
            </w:r>
            <w:r>
              <w:rPr>
                <w:sz w:val="22"/>
              </w:rPr>
              <w:t xml:space="preserve">longitudinal </w:t>
            </w:r>
            <w:r w:rsidRPr="00AC47CE">
              <w:rPr>
                <w:sz w:val="22"/>
              </w:rPr>
              <w:t>panel members</w:t>
            </w:r>
          </w:p>
        </w:tc>
        <w:tc>
          <w:tcPr>
            <w:tcW w:w="2244" w:type="dxa"/>
          </w:tcPr>
          <w:p w14:paraId="5A13D3C1" w14:textId="525AA0AC" w:rsidR="00FA3375" w:rsidRPr="00AC47CE" w:rsidRDefault="00FA3375" w:rsidP="00730D95">
            <w:pPr>
              <w:keepNext/>
              <w:spacing w:before="80" w:after="80"/>
              <w:rPr>
                <w:sz w:val="22"/>
              </w:rPr>
            </w:pPr>
            <w:r w:rsidRPr="00AC47CE">
              <w:rPr>
                <w:sz w:val="22"/>
              </w:rPr>
              <w:t>$2</w:t>
            </w:r>
            <w:r w:rsidR="00730D95">
              <w:rPr>
                <w:sz w:val="22"/>
              </w:rPr>
              <w:t>5</w:t>
            </w:r>
          </w:p>
        </w:tc>
        <w:tc>
          <w:tcPr>
            <w:tcW w:w="2161" w:type="dxa"/>
          </w:tcPr>
          <w:p w14:paraId="45AF7A70" w14:textId="63C304BD" w:rsidR="00FA3375" w:rsidRPr="00AC47CE" w:rsidRDefault="00730D95" w:rsidP="00FA3375">
            <w:pPr>
              <w:keepNext/>
              <w:spacing w:before="80" w:after="80"/>
              <w:rPr>
                <w:sz w:val="22"/>
              </w:rPr>
            </w:pPr>
            <w:r>
              <w:rPr>
                <w:sz w:val="22"/>
              </w:rPr>
              <w:t>$25</w:t>
            </w:r>
          </w:p>
        </w:tc>
      </w:tr>
      <w:tr w:rsidR="00730D95" w:rsidRPr="00AC47CE" w14:paraId="5D2E7A8D" w14:textId="77777777" w:rsidTr="009037FB">
        <w:trPr>
          <w:cantSplit/>
          <w:trHeight w:val="1133"/>
        </w:trPr>
        <w:tc>
          <w:tcPr>
            <w:tcW w:w="2267" w:type="dxa"/>
          </w:tcPr>
          <w:p w14:paraId="08F7EC35" w14:textId="1F867401" w:rsidR="00730D95" w:rsidRDefault="00730D95" w:rsidP="0001309A">
            <w:pPr>
              <w:keepNext/>
              <w:spacing w:before="80" w:after="80"/>
              <w:rPr>
                <w:sz w:val="22"/>
              </w:rPr>
            </w:pPr>
            <w:r>
              <w:rPr>
                <w:sz w:val="22"/>
              </w:rPr>
              <w:t xml:space="preserve">Waves 2, 3, and 4 </w:t>
            </w:r>
            <w:r w:rsidR="00376B11">
              <w:rPr>
                <w:sz w:val="22"/>
              </w:rPr>
              <w:t xml:space="preserve">in-person </w:t>
            </w:r>
            <w:r w:rsidR="00BD3F0C">
              <w:rPr>
                <w:sz w:val="22"/>
              </w:rPr>
              <w:t>or</w:t>
            </w:r>
            <w:r w:rsidR="00376B11">
              <w:rPr>
                <w:sz w:val="22"/>
              </w:rPr>
              <w:t xml:space="preserve"> online q</w:t>
            </w:r>
            <w:r w:rsidR="00BD3F0C">
              <w:rPr>
                <w:sz w:val="22"/>
              </w:rPr>
              <w:t>uestionnaire</w:t>
            </w:r>
            <w:r w:rsidR="0001309A">
              <w:rPr>
                <w:sz w:val="22"/>
              </w:rPr>
              <w:t>s</w:t>
            </w:r>
            <w:r w:rsidR="00BD3F0C">
              <w:rPr>
                <w:sz w:val="22"/>
              </w:rPr>
              <w:t xml:space="preserve"> </w:t>
            </w:r>
          </w:p>
        </w:tc>
        <w:tc>
          <w:tcPr>
            <w:tcW w:w="2909" w:type="dxa"/>
          </w:tcPr>
          <w:p w14:paraId="2A2D73B0" w14:textId="11825197" w:rsidR="00730D95" w:rsidRPr="00AC47CE" w:rsidRDefault="00730D95" w:rsidP="00FA3375">
            <w:pPr>
              <w:keepNext/>
              <w:spacing w:before="80" w:after="80"/>
              <w:rPr>
                <w:sz w:val="22"/>
              </w:rPr>
            </w:pPr>
            <w:r w:rsidRPr="00AC47CE">
              <w:rPr>
                <w:sz w:val="22"/>
              </w:rPr>
              <w:t xml:space="preserve">All </w:t>
            </w:r>
            <w:r>
              <w:rPr>
                <w:sz w:val="22"/>
              </w:rPr>
              <w:t xml:space="preserve">longitudinal </w:t>
            </w:r>
            <w:r w:rsidRPr="00AC47CE">
              <w:rPr>
                <w:sz w:val="22"/>
              </w:rPr>
              <w:t>panel members</w:t>
            </w:r>
          </w:p>
        </w:tc>
        <w:tc>
          <w:tcPr>
            <w:tcW w:w="2244" w:type="dxa"/>
          </w:tcPr>
          <w:p w14:paraId="2CBBF6E3" w14:textId="2878909D" w:rsidR="00730D95" w:rsidRPr="00AC47CE" w:rsidRDefault="00730D95" w:rsidP="00BD3F0C">
            <w:pPr>
              <w:keepNext/>
              <w:spacing w:before="80" w:after="80"/>
              <w:rPr>
                <w:sz w:val="22"/>
              </w:rPr>
            </w:pPr>
            <w:r>
              <w:rPr>
                <w:sz w:val="22"/>
              </w:rPr>
              <w:t xml:space="preserve">$25 (plus $5 </w:t>
            </w:r>
            <w:r w:rsidR="00BD3F0C">
              <w:rPr>
                <w:sz w:val="22"/>
              </w:rPr>
              <w:t>“</w:t>
            </w:r>
            <w:r>
              <w:rPr>
                <w:sz w:val="22"/>
              </w:rPr>
              <w:t>early bird</w:t>
            </w:r>
            <w:r w:rsidR="00BD3F0C">
              <w:rPr>
                <w:sz w:val="22"/>
              </w:rPr>
              <w:t>”</w:t>
            </w:r>
            <w:r>
              <w:rPr>
                <w:sz w:val="22"/>
              </w:rPr>
              <w:t xml:space="preserve"> incentive for online </w:t>
            </w:r>
            <w:r w:rsidR="00877F18">
              <w:rPr>
                <w:sz w:val="22"/>
              </w:rPr>
              <w:t>questionnaire</w:t>
            </w:r>
            <w:r>
              <w:rPr>
                <w:sz w:val="22"/>
              </w:rPr>
              <w:t xml:space="preserve"> completion</w:t>
            </w:r>
            <w:r w:rsidR="00C800F2">
              <w:rPr>
                <w:sz w:val="22"/>
              </w:rPr>
              <w:t xml:space="preserve"> </w:t>
            </w:r>
            <w:r w:rsidR="00BD3F0C">
              <w:rPr>
                <w:sz w:val="22"/>
              </w:rPr>
              <w:t>by a specific date</w:t>
            </w:r>
            <w:r>
              <w:rPr>
                <w:sz w:val="22"/>
              </w:rPr>
              <w:t>)</w:t>
            </w:r>
          </w:p>
        </w:tc>
        <w:tc>
          <w:tcPr>
            <w:tcW w:w="2161" w:type="dxa"/>
          </w:tcPr>
          <w:p w14:paraId="41FB3509" w14:textId="18047CE2" w:rsidR="00730D95" w:rsidRDefault="00730D95" w:rsidP="00FA3375">
            <w:pPr>
              <w:keepNext/>
              <w:spacing w:before="80" w:after="80"/>
              <w:rPr>
                <w:sz w:val="22"/>
              </w:rPr>
            </w:pPr>
            <w:r>
              <w:rPr>
                <w:sz w:val="22"/>
              </w:rPr>
              <w:t>$75-$90</w:t>
            </w:r>
          </w:p>
        </w:tc>
      </w:tr>
    </w:tbl>
    <w:p w14:paraId="278FB0C6" w14:textId="77777777" w:rsidR="001A4207" w:rsidRPr="00AC47CE" w:rsidRDefault="001A4207" w:rsidP="001A4207">
      <w:pPr>
        <w:pStyle w:val="exhibitsource"/>
        <w:ind w:left="720"/>
      </w:pPr>
    </w:p>
    <w:p w14:paraId="4E7D60F0" w14:textId="77777777" w:rsidR="00CD77C3" w:rsidRDefault="00EB7538" w:rsidP="00BB7A49">
      <w:pPr>
        <w:keepNext/>
        <w:numPr>
          <w:ilvl w:val="0"/>
          <w:numId w:val="1"/>
        </w:numPr>
        <w:spacing w:before="100" w:beforeAutospacing="1" w:after="100" w:afterAutospacing="1"/>
        <w:rPr>
          <w:u w:val="single"/>
        </w:rPr>
      </w:pPr>
      <w:r w:rsidRPr="004C6979">
        <w:rPr>
          <w:u w:val="single"/>
        </w:rPr>
        <w:t xml:space="preserve">Assurance of </w:t>
      </w:r>
      <w:r w:rsidR="00DA202E">
        <w:rPr>
          <w:u w:val="single"/>
        </w:rPr>
        <w:t>Privacy</w:t>
      </w:r>
      <w:r w:rsidR="00DA202E" w:rsidRPr="004C6979">
        <w:rPr>
          <w:u w:val="single"/>
        </w:rPr>
        <w:t xml:space="preserve"> </w:t>
      </w:r>
      <w:r w:rsidRPr="004C6979">
        <w:rPr>
          <w:u w:val="single"/>
        </w:rPr>
        <w:t>Provided to Respondents</w:t>
      </w:r>
    </w:p>
    <w:p w14:paraId="3AFCBC31" w14:textId="14B2C92A" w:rsidR="00B6547C" w:rsidRDefault="006D0AA6" w:rsidP="00B6547C">
      <w:pPr>
        <w:spacing w:before="100" w:beforeAutospacing="1" w:after="100" w:afterAutospacing="1"/>
        <w:ind w:left="720"/>
      </w:pPr>
      <w:r>
        <w:t xml:space="preserve">In addition to </w:t>
      </w:r>
      <w:r w:rsidR="006631DC">
        <w:t xml:space="preserve">the </w:t>
      </w:r>
      <w:r>
        <w:t xml:space="preserve">FDA, </w:t>
      </w:r>
      <w:r w:rsidR="00B6547C">
        <w:t xml:space="preserve">RTI’s Institutional Review Board (IRB) will review and approve the protocols and consent forms for the outcome evaluation </w:t>
      </w:r>
      <w:r w:rsidR="00877F18">
        <w:t>questionnaire</w:t>
      </w:r>
      <w:r w:rsidR="00B6547C">
        <w:t xml:space="preserve"> and </w:t>
      </w:r>
      <w:r w:rsidR="00C62E13">
        <w:t>app</w:t>
      </w:r>
      <w:r w:rsidR="00CB34CA">
        <w:t xml:space="preserve">-based data collection </w:t>
      </w:r>
      <w:r w:rsidR="00B6547C">
        <w:t xml:space="preserve">prior to any respondent </w:t>
      </w:r>
      <w:r w:rsidR="00B6547C" w:rsidRPr="0036619E">
        <w:t>contact (Attachment</w:t>
      </w:r>
      <w:r w:rsidR="00EF6554" w:rsidRPr="0036619E">
        <w:t>s</w:t>
      </w:r>
      <w:r w:rsidR="00B6547C" w:rsidRPr="0036619E">
        <w:t xml:space="preserve"> </w:t>
      </w:r>
      <w:r w:rsidR="00FF160F">
        <w:t>3</w:t>
      </w:r>
      <w:r w:rsidR="00C854A7">
        <w:t xml:space="preserve">a, </w:t>
      </w:r>
      <w:r w:rsidR="00FF160F">
        <w:t>3b</w:t>
      </w:r>
      <w:r w:rsidR="00B6547C" w:rsidRPr="0036619E">
        <w:t>). The</w:t>
      </w:r>
      <w:r w:rsidR="00B6547C">
        <w:t xml:space="preserve"> IRB’s primary concern is protecting respondents’ rights, one of which is the </w:t>
      </w:r>
      <w:r w:rsidR="00387FCC">
        <w:t xml:space="preserve">privacy </w:t>
      </w:r>
      <w:r w:rsidR="00B6547C">
        <w:t>of respondent information</w:t>
      </w:r>
      <w:r w:rsidR="00BD3F0C">
        <w:t>, which we will maintain</w:t>
      </w:r>
      <w:r w:rsidR="00387FCC">
        <w:t xml:space="preserve"> to the fullest extent of the law</w:t>
      </w:r>
      <w:r w:rsidR="00B6547C">
        <w:t>.</w:t>
      </w:r>
    </w:p>
    <w:p w14:paraId="4B3C1215" w14:textId="77777777" w:rsidR="007C02BF" w:rsidRDefault="00B6547C" w:rsidP="00B6547C">
      <w:pPr>
        <w:spacing w:before="100" w:beforeAutospacing="1" w:after="100" w:afterAutospacing="1"/>
        <w:ind w:left="720"/>
      </w:pPr>
      <w:r>
        <w:t xml:space="preserve">Concern for </w:t>
      </w:r>
      <w:r w:rsidR="00387FCC">
        <w:t>privacy</w:t>
      </w:r>
      <w:r>
        <w:t xml:space="preserve"> and protection of respondents’ rights will play a central part in the implementation of the outcome evaluation study and will receive the utmost emphasis. Interviewers will be thoroughly educated in methods for maximizing a respondent’s understanding of the government’s commitment to </w:t>
      </w:r>
      <w:r w:rsidR="00387FCC">
        <w:t>privacy to the fullest extent of the law</w:t>
      </w:r>
      <w:r w:rsidR="007C02BF">
        <w:t>.</w:t>
      </w:r>
    </w:p>
    <w:p w14:paraId="0CCC77F3" w14:textId="1BC1E3FE" w:rsidR="00B6547C" w:rsidRDefault="00B6547C" w:rsidP="00B6547C">
      <w:pPr>
        <w:spacing w:before="100" w:beforeAutospacing="1" w:after="100" w:afterAutospacing="1"/>
        <w:ind w:left="720"/>
      </w:pPr>
      <w:r>
        <w:t xml:space="preserve">Several procedures ensure that respondents’ rights are protected. </w:t>
      </w:r>
      <w:r w:rsidR="0036619E">
        <w:t>T</w:t>
      </w:r>
      <w:r>
        <w:t xml:space="preserve">he interviewer </w:t>
      </w:r>
      <w:r w:rsidR="0036619E">
        <w:t xml:space="preserve">will </w:t>
      </w:r>
      <w:r>
        <w:t>introduce</w:t>
      </w:r>
      <w:r w:rsidR="0036619E">
        <w:t xml:space="preserve"> the</w:t>
      </w:r>
      <w:r>
        <w:t xml:space="preserve"> study</w:t>
      </w:r>
      <w:r w:rsidRPr="0096400B">
        <w:t xml:space="preserve"> </w:t>
      </w:r>
      <w:r w:rsidR="00961167" w:rsidRPr="0096400B">
        <w:t xml:space="preserve">to potential </w:t>
      </w:r>
      <w:r w:rsidR="001D3941" w:rsidRPr="0096400B">
        <w:t xml:space="preserve">adult </w:t>
      </w:r>
      <w:r w:rsidR="00961167" w:rsidRPr="0096400B">
        <w:t>respondents</w:t>
      </w:r>
      <w:r>
        <w:t xml:space="preserve"> </w:t>
      </w:r>
      <w:r w:rsidR="00F87FA4">
        <w:t xml:space="preserve">by handing </w:t>
      </w:r>
      <w:r w:rsidR="002B588C">
        <w:t xml:space="preserve">him or her a tablet displaying the </w:t>
      </w:r>
      <w:r>
        <w:t>Informed Consent Scripts (Attachment</w:t>
      </w:r>
      <w:r w:rsidR="00807306">
        <w:t xml:space="preserve">s </w:t>
      </w:r>
      <w:r w:rsidR="00FF160F">
        <w:t>3</w:t>
      </w:r>
      <w:r w:rsidR="005825B5">
        <w:t xml:space="preserve">a, </w:t>
      </w:r>
      <w:r w:rsidR="00FF160F">
        <w:t>3</w:t>
      </w:r>
      <w:r w:rsidR="005825B5">
        <w:t>b</w:t>
      </w:r>
      <w:r>
        <w:t>)</w:t>
      </w:r>
      <w:r w:rsidR="002B588C">
        <w:t xml:space="preserve"> </w:t>
      </w:r>
      <w:r w:rsidR="00F87FA4">
        <w:t>to read</w:t>
      </w:r>
      <w:r>
        <w:t xml:space="preserve">. </w:t>
      </w:r>
      <w:r w:rsidR="0036619E">
        <w:t xml:space="preserve">If respondents have additional questions about the study during or after the </w:t>
      </w:r>
      <w:r w:rsidR="0006710B">
        <w:t xml:space="preserve">informed consent </w:t>
      </w:r>
      <w:r w:rsidR="0036619E">
        <w:t xml:space="preserve">process, the interviewer can </w:t>
      </w:r>
      <w:r w:rsidR="002B588C">
        <w:t xml:space="preserve">field these questions using </w:t>
      </w:r>
      <w:r w:rsidR="0036619E">
        <w:t xml:space="preserve">the Questions and Answers About the </w:t>
      </w:r>
      <w:r w:rsidR="00AF574A">
        <w:t>Study</w:t>
      </w:r>
      <w:r w:rsidR="0036619E">
        <w:t xml:space="preserve"> document </w:t>
      </w:r>
      <w:r w:rsidR="00FF160F">
        <w:t>(Attachment 7</w:t>
      </w:r>
      <w:r w:rsidR="002B588C">
        <w:t>)</w:t>
      </w:r>
      <w:r>
        <w:t xml:space="preserve">, which includes information on their rights as study participants. </w:t>
      </w:r>
      <w:r w:rsidR="00CB34CA">
        <w:t>C</w:t>
      </w:r>
      <w:r>
        <w:t xml:space="preserve">onsent </w:t>
      </w:r>
      <w:r w:rsidR="00CB34CA">
        <w:t>will be requested by the interviewer from each respondent</w:t>
      </w:r>
      <w:r w:rsidRPr="0096400B">
        <w:t>.</w:t>
      </w:r>
      <w:r w:rsidR="00C465A3" w:rsidRPr="0096400B">
        <w:t xml:space="preserve"> Although full names of respondents and contact information will be collected for all respondents</w:t>
      </w:r>
      <w:r w:rsidR="000E3AC3">
        <w:t xml:space="preserve"> for the purpose of scheduling follow-up appointments</w:t>
      </w:r>
      <w:r w:rsidR="00C465A3" w:rsidRPr="0096400B">
        <w:t xml:space="preserve">, signed consent </w:t>
      </w:r>
      <w:r w:rsidR="00CB34CA">
        <w:t>is</w:t>
      </w:r>
      <w:r w:rsidR="00C465A3" w:rsidRPr="0096400B">
        <w:t xml:space="preserve"> waived in this study</w:t>
      </w:r>
      <w:r w:rsidR="00FA3375">
        <w:t xml:space="preserve"> because only adults will be sampled and no sensitive questions will be asked.</w:t>
      </w:r>
      <w:r w:rsidR="0072330E">
        <w:t xml:space="preserve"> </w:t>
      </w:r>
    </w:p>
    <w:p w14:paraId="1B225815" w14:textId="0E2E57DA" w:rsidR="00B6547C" w:rsidRDefault="00B6547C" w:rsidP="00B6547C">
      <w:pPr>
        <w:spacing w:before="100" w:beforeAutospacing="1" w:after="100" w:afterAutospacing="1"/>
        <w:ind w:left="720"/>
      </w:pPr>
      <w:r>
        <w:t xml:space="preserve">After obtaining informed consent, interviewers make every attempt to secure an interview setting in the respondent’s home that is as private as possible. In addition, the interview process, by design, includes techniques to afford privacy for the respondent. The </w:t>
      </w:r>
      <w:r w:rsidR="00877F18">
        <w:t xml:space="preserve">use of a laptop for the evaluation questionnaire </w:t>
      </w:r>
      <w:r>
        <w:t xml:space="preserve">maximizes privacy by </w:t>
      </w:r>
      <w:r w:rsidR="00877F18">
        <w:t>allowing participants to enter their responses directly into the laptop</w:t>
      </w:r>
      <w:r>
        <w:t>. This allows the respondent to read the questions directly from the computer screen and then key his or her own responses into the computer via the keyboard.</w:t>
      </w:r>
      <w:r w:rsidR="00F87FA4">
        <w:t xml:space="preserve"> Participants can refuse to answer any questions except those necessary for determining participant eligibility to participate in the study.</w:t>
      </w:r>
    </w:p>
    <w:p w14:paraId="0F99D6F4" w14:textId="29DC1172" w:rsidR="00B6547C" w:rsidRDefault="006D0AA6" w:rsidP="00B6547C">
      <w:pPr>
        <w:spacing w:before="100" w:beforeAutospacing="1" w:after="100" w:afterAutospacing="1"/>
        <w:ind w:left="720"/>
      </w:pPr>
      <w:r>
        <w:t>Every 48 hours</w:t>
      </w:r>
      <w:r w:rsidR="00B6547C">
        <w:t xml:space="preserve">, interviewers </w:t>
      </w:r>
      <w:r w:rsidR="00BD3F0C">
        <w:t xml:space="preserve">will </w:t>
      </w:r>
      <w:r w:rsidR="00B6547C">
        <w:t xml:space="preserve">electronically transmit all completed screening and interview data to RTI’s servers via secure encrypted data transmission. </w:t>
      </w:r>
      <w:r w:rsidR="00BD3F0C">
        <w:t>I</w:t>
      </w:r>
      <w:r w:rsidR="00B6547C">
        <w:t xml:space="preserve">n the data files, respondents are distinguished only by a unique </w:t>
      </w:r>
      <w:r w:rsidR="00C465A3" w:rsidRPr="0096400B">
        <w:t>identifier</w:t>
      </w:r>
      <w:r w:rsidR="00B6547C">
        <w:t xml:space="preserve"> assigned to screenings and interviews. </w:t>
      </w:r>
      <w:r w:rsidR="00C465A3" w:rsidRPr="0096400B">
        <w:t>These identifiers will not be linked</w:t>
      </w:r>
      <w:r w:rsidR="00B6547C">
        <w:t xml:space="preserve"> with </w:t>
      </w:r>
      <w:r w:rsidR="00C465A3" w:rsidRPr="0096400B">
        <w:t>names</w:t>
      </w:r>
      <w:r w:rsidR="00B6547C">
        <w:t xml:space="preserve"> and </w:t>
      </w:r>
      <w:r w:rsidR="00C465A3" w:rsidRPr="0096400B">
        <w:t xml:space="preserve">will </w:t>
      </w:r>
      <w:r w:rsidR="00CB34CA">
        <w:t xml:space="preserve">only </w:t>
      </w:r>
      <w:r w:rsidR="00C465A3" w:rsidRPr="0096400B">
        <w:t xml:space="preserve">be used to link </w:t>
      </w:r>
      <w:r w:rsidR="00877F18">
        <w:t>questionnaire</w:t>
      </w:r>
      <w:r w:rsidR="00CB34CA">
        <w:t xml:space="preserve"> data </w:t>
      </w:r>
      <w:r w:rsidR="00BD3F0C">
        <w:t>and</w:t>
      </w:r>
      <w:r w:rsidR="00CB34CA">
        <w:t xml:space="preserve"> </w:t>
      </w:r>
      <w:r w:rsidR="00C62E13">
        <w:t>app</w:t>
      </w:r>
      <w:r w:rsidR="00CB34CA">
        <w:t>-based data</w:t>
      </w:r>
      <w:r w:rsidR="00B6547C">
        <w:t>.</w:t>
      </w:r>
    </w:p>
    <w:p w14:paraId="1BD80065" w14:textId="337B8DF3" w:rsidR="00B6547C" w:rsidRDefault="00B6547C" w:rsidP="00983DC7">
      <w:pPr>
        <w:spacing w:before="100" w:beforeAutospacing="1" w:after="100" w:afterAutospacing="1"/>
        <w:ind w:left="720"/>
      </w:pPr>
      <w:r>
        <w:t xml:space="preserve">Security for respondents of the </w:t>
      </w:r>
      <w:r w:rsidR="00C62E13">
        <w:t>app</w:t>
      </w:r>
      <w:r>
        <w:t xml:space="preserve">-based </w:t>
      </w:r>
      <w:r w:rsidR="00CB34CA">
        <w:t xml:space="preserve">geolocation information collection and </w:t>
      </w:r>
      <w:r w:rsidR="00877F18">
        <w:t>questionnaire</w:t>
      </w:r>
      <w:r w:rsidR="00CB34CA">
        <w:t>s</w:t>
      </w:r>
      <w:r>
        <w:t xml:space="preserve"> will be assured in a number of ways: (1) </w:t>
      </w:r>
      <w:r w:rsidR="0001309A">
        <w:t>All data collected from the app will be stored on secure cloud-based or physical (network) servers and transmitted from the app vendor to RTI via a secure connection</w:t>
      </w:r>
      <w:r>
        <w:t>; (</w:t>
      </w:r>
      <w:r w:rsidR="00FA3375">
        <w:t>2</w:t>
      </w:r>
      <w:r>
        <w:t xml:space="preserve">) respondents will be provided with information about the </w:t>
      </w:r>
      <w:r w:rsidR="002F771A">
        <w:t xml:space="preserve">protection of the </w:t>
      </w:r>
      <w:r w:rsidR="00387FCC">
        <w:t>privacy</w:t>
      </w:r>
      <w:r>
        <w:t xml:space="preserve"> of their data </w:t>
      </w:r>
      <w:r w:rsidR="00387FCC">
        <w:t xml:space="preserve">to the fullest extent of the law </w:t>
      </w:r>
      <w:r>
        <w:t xml:space="preserve">before they </w:t>
      </w:r>
      <w:r w:rsidR="00F87FA4">
        <w:t xml:space="preserve">download the </w:t>
      </w:r>
      <w:r w:rsidR="00C62E13">
        <w:t>app</w:t>
      </w:r>
      <w:r>
        <w:t>; (</w:t>
      </w:r>
      <w:r w:rsidR="00FA3375">
        <w:t>3</w:t>
      </w:r>
      <w:r>
        <w:t xml:space="preserve">) respondents will be required to provide their </w:t>
      </w:r>
      <w:r w:rsidR="00FA3375">
        <w:t>consent</w:t>
      </w:r>
      <w:r>
        <w:t xml:space="preserve"> before they encounter the first </w:t>
      </w:r>
      <w:r w:rsidR="00877F18">
        <w:t>questionnaire</w:t>
      </w:r>
      <w:r>
        <w:t xml:space="preserve"> item</w:t>
      </w:r>
      <w:r w:rsidR="0001309A">
        <w:t xml:space="preserve"> for each of the 3 app-based questionnaires</w:t>
      </w:r>
      <w:r>
        <w:t>; (</w:t>
      </w:r>
      <w:r w:rsidR="00FA3375">
        <w:t>4</w:t>
      </w:r>
      <w:r>
        <w:t xml:space="preserve">) respondents will have the option to decline to respond to any item in the </w:t>
      </w:r>
      <w:r w:rsidR="00877F18">
        <w:t>questionnaire</w:t>
      </w:r>
      <w:r>
        <w:t xml:space="preserve"> for any reason; </w:t>
      </w:r>
      <w:r w:rsidR="00FA3375">
        <w:t xml:space="preserve">(5) respondents will have the option to delete the </w:t>
      </w:r>
      <w:r w:rsidR="00C62E13">
        <w:t>app</w:t>
      </w:r>
      <w:r w:rsidR="00FA3375">
        <w:t xml:space="preserve"> from their phone at any time; </w:t>
      </w:r>
      <w:r>
        <w:t xml:space="preserve">and (6) </w:t>
      </w:r>
      <w:r w:rsidR="0001309A">
        <w:t>a</w:t>
      </w:r>
      <w:r>
        <w:t xml:space="preserve">ll those who handle or analyze data will be required to adhere to the standard data security policies of RTI. </w:t>
      </w:r>
      <w:r w:rsidR="007D1D92">
        <w:t xml:space="preserve">Respondents will </w:t>
      </w:r>
      <w:r w:rsidR="005D4A1F">
        <w:t xml:space="preserve">either </w:t>
      </w:r>
      <w:r w:rsidR="007D1D92">
        <w:t>use a</w:t>
      </w:r>
      <w:r w:rsidR="005D4A1F">
        <w:t xml:space="preserve"> case identification number or a</w:t>
      </w:r>
      <w:r w:rsidR="007D1D92">
        <w:t>n e-mail address of their choice to log into the app</w:t>
      </w:r>
      <w:r w:rsidR="002F771A">
        <w:t xml:space="preserve">. Participants will be asked to provide an e-mail address to receive </w:t>
      </w:r>
      <w:r w:rsidR="007D1D92">
        <w:t xml:space="preserve">incentives for completing the app-based questionnaires. E-mail addresses will be stored on the app developer’s secure cloud-based server and RTI’s secure server, and all communication of information from the app developer to RTI will be secure. In addition, consent forms state that e-mail addresses will be collected for the app-based portion of the evaluation. E-mail addresses </w:t>
      </w:r>
      <w:r w:rsidR="00D86015">
        <w:t xml:space="preserve">or case identification numbers </w:t>
      </w:r>
      <w:r w:rsidR="007D1D92">
        <w:t xml:space="preserve">may be used to link participants’ app-based data to their evaluation questionnaire data. </w:t>
      </w:r>
    </w:p>
    <w:p w14:paraId="4893ED8B" w14:textId="43E04B02" w:rsidR="00B6547C" w:rsidRDefault="00F87FA4" w:rsidP="00B6547C">
      <w:pPr>
        <w:spacing w:before="100" w:beforeAutospacing="1" w:after="100" w:afterAutospacing="1"/>
        <w:ind w:left="720"/>
      </w:pPr>
      <w:r>
        <w:t xml:space="preserve">A detailed description of privacy safeguards is provided with this </w:t>
      </w:r>
      <w:r w:rsidRPr="005C26D1">
        <w:t>s</w:t>
      </w:r>
      <w:r w:rsidR="00FF160F">
        <w:t>ubmission (Attachment 1</w:t>
      </w:r>
      <w:r w:rsidR="00AF574A">
        <w:t>2</w:t>
      </w:r>
      <w:r w:rsidRPr="005C26D1">
        <w:t xml:space="preserve">). </w:t>
      </w:r>
      <w:r w:rsidR="00B6547C">
        <w:t xml:space="preserve">To ensure data security, all RTI project staff are required to adhere to strict standards and to sign a nondisclosure agreement as a condition of employment on this project. </w:t>
      </w:r>
      <w:r>
        <w:t xml:space="preserve">In addition, all interviewers sign an </w:t>
      </w:r>
      <w:r w:rsidR="00B8277F">
        <w:t xml:space="preserve">Interviewer Confidentiality Agreement </w:t>
      </w:r>
      <w:r w:rsidR="006903EB">
        <w:t xml:space="preserve">(Attachment 10) </w:t>
      </w:r>
      <w:r>
        <w:t>to ensure that they do not share participant responses or any other study information with anyone outside of</w:t>
      </w:r>
      <w:r w:rsidR="00FF160F">
        <w:t xml:space="preserve"> the research team</w:t>
      </w:r>
      <w:r>
        <w:t xml:space="preserve">. </w:t>
      </w:r>
      <w:r w:rsidR="00B6547C">
        <w:t xml:space="preserve">RTI maintains restricted access to all data preparation areas (i.e., receipt and coding). All data files on multi-user systems will be under the control of a database manager, with access limited to project staff on a “need-to-know” basis only. </w:t>
      </w:r>
      <w:r w:rsidR="00B6547C" w:rsidRPr="005C26D1">
        <w:t>No respondent identifiers will be contained in reports to FDA, and results will only be presented in aggregate form.</w:t>
      </w:r>
    </w:p>
    <w:p w14:paraId="6E0CD8F1" w14:textId="04EDF3CA" w:rsidR="00B6547C" w:rsidRDefault="00B6547C" w:rsidP="00B6547C">
      <w:pPr>
        <w:spacing w:before="100" w:beforeAutospacing="1" w:after="100" w:afterAutospacing="1"/>
        <w:ind w:left="720"/>
      </w:pPr>
      <w:r>
        <w:t xml:space="preserve">Implementation of data security systems and processes will occur as part of the </w:t>
      </w:r>
      <w:r w:rsidR="00877F18">
        <w:t>questionnaire</w:t>
      </w:r>
      <w:r>
        <w:t xml:space="preserve"> data collection. Data security provisions will involve the following:</w:t>
      </w:r>
    </w:p>
    <w:p w14:paraId="7DEB8185" w14:textId="77777777" w:rsidR="00B6547C" w:rsidRDefault="00B6547C" w:rsidP="00DA4596">
      <w:pPr>
        <w:numPr>
          <w:ilvl w:val="1"/>
          <w:numId w:val="1"/>
        </w:numPr>
        <w:spacing w:before="100" w:beforeAutospacing="1" w:after="100" w:afterAutospacing="1"/>
        <w:ind w:left="1440" w:hanging="360"/>
      </w:pPr>
      <w:r>
        <w:t xml:space="preserve">All data collection activities will be conducted in full compliance with FDA regulations to maintain the </w:t>
      </w:r>
      <w:r w:rsidR="00387FCC">
        <w:t>privacy</w:t>
      </w:r>
      <w:r>
        <w:t xml:space="preserve"> of data obtained from respondents and to protect the rights and welfare of human research subjects as contained in their regulations. Respondents will receive information about </w:t>
      </w:r>
      <w:r w:rsidR="00387FCC">
        <w:t>privacy</w:t>
      </w:r>
      <w:r>
        <w:t xml:space="preserve"> protections as part of the informed consent process.</w:t>
      </w:r>
    </w:p>
    <w:p w14:paraId="4ED4C1C7" w14:textId="7EDF7CFE" w:rsidR="00B6547C" w:rsidRDefault="00B6547C" w:rsidP="00DA4596">
      <w:pPr>
        <w:numPr>
          <w:ilvl w:val="1"/>
          <w:numId w:val="1"/>
        </w:numPr>
        <w:spacing w:before="100" w:beforeAutospacing="1" w:after="100" w:afterAutospacing="1"/>
        <w:ind w:left="1440" w:hanging="360"/>
      </w:pPr>
      <w:r>
        <w:t xml:space="preserve">All data collectors will be trained </w:t>
      </w:r>
      <w:r w:rsidR="00BD3F0C">
        <w:t>i</w:t>
      </w:r>
      <w:r>
        <w:t xml:space="preserve">n </w:t>
      </w:r>
      <w:r w:rsidR="00387FCC">
        <w:t>privacy</w:t>
      </w:r>
      <w:r>
        <w:t xml:space="preserve"> procedures and be prepared to describe them in full detail, if necessary, or to answer any related questions raised by respondents. Training will include procedures for safeguarding sample member information in the field, including securing laptops in the field, while traveling, and in respondent homes, and protecting the identity of </w:t>
      </w:r>
      <w:r w:rsidR="00BD3F0C">
        <w:t>participants</w:t>
      </w:r>
      <w:r>
        <w:t>.</w:t>
      </w:r>
    </w:p>
    <w:p w14:paraId="5B79CCBA" w14:textId="0EAA70F5" w:rsidR="00B6547C" w:rsidRDefault="00DA4596" w:rsidP="00DA4596">
      <w:pPr>
        <w:numPr>
          <w:ilvl w:val="1"/>
          <w:numId w:val="1"/>
        </w:numPr>
        <w:spacing w:before="100" w:beforeAutospacing="1" w:after="100" w:afterAutospacing="1"/>
        <w:ind w:left="1440" w:hanging="360"/>
      </w:pPr>
      <w:r>
        <w:t>All</w:t>
      </w:r>
      <w:r w:rsidR="00B6547C">
        <w:t xml:space="preserve"> field staff laptops will be equipped with encryption software so that only the </w:t>
      </w:r>
      <w:r w:rsidR="0001309A">
        <w:t xml:space="preserve">field interviewer </w:t>
      </w:r>
      <w:r w:rsidR="00B6547C">
        <w:t>or RTI administrators can access any data on the hard drive even if the hard drive is removed and linked to another computer.</w:t>
      </w:r>
    </w:p>
    <w:p w14:paraId="6AAFEB83" w14:textId="77777777" w:rsidR="00B6547C" w:rsidRDefault="00DA4596" w:rsidP="00DA4596">
      <w:pPr>
        <w:numPr>
          <w:ilvl w:val="1"/>
          <w:numId w:val="1"/>
        </w:numPr>
        <w:spacing w:before="100" w:beforeAutospacing="1" w:after="100" w:afterAutospacing="1"/>
        <w:ind w:left="1440" w:hanging="360"/>
      </w:pPr>
      <w:r>
        <w:t>Laptops</w:t>
      </w:r>
      <w:r w:rsidR="00B6547C">
        <w:t xml:space="preserve"> will use the Microsoft Windows operating system and require a valid login ID and password to access any applications or data.</w:t>
      </w:r>
    </w:p>
    <w:p w14:paraId="79EAE8A9" w14:textId="78A35555" w:rsidR="00B6547C" w:rsidRDefault="00DA4596" w:rsidP="00DA4596">
      <w:pPr>
        <w:numPr>
          <w:ilvl w:val="1"/>
          <w:numId w:val="1"/>
        </w:numPr>
        <w:spacing w:before="100" w:beforeAutospacing="1" w:after="100" w:afterAutospacing="1"/>
        <w:ind w:left="1440" w:hanging="360"/>
      </w:pPr>
      <w:r>
        <w:t>All</w:t>
      </w:r>
      <w:r w:rsidR="00B6547C">
        <w:t xml:space="preserve"> data transferred to RTI servers from field staff laptops will be encrypted and transferred via a secure (SSL) broadband connection or optionally a secure telephone (land) line. Data will be passed through a firewall at RTI and then collected and stored on a protected network share on the RTI </w:t>
      </w:r>
      <w:r w:rsidR="006903EB">
        <w:t>n</w:t>
      </w:r>
      <w:r w:rsidR="00B6547C">
        <w:t>etwork. Only authorized RTI project staff members will have access to the data on the secure network share.</w:t>
      </w:r>
    </w:p>
    <w:p w14:paraId="43ECA710" w14:textId="6329801F" w:rsidR="00B6547C" w:rsidRDefault="00DA4596" w:rsidP="00DA4596">
      <w:pPr>
        <w:numPr>
          <w:ilvl w:val="1"/>
          <w:numId w:val="1"/>
        </w:numPr>
        <w:spacing w:before="100" w:beforeAutospacing="1" w:after="100" w:afterAutospacing="1"/>
        <w:ind w:left="1440" w:hanging="360"/>
      </w:pPr>
      <w:r>
        <w:t>Following</w:t>
      </w:r>
      <w:r w:rsidR="00B6547C">
        <w:t xml:space="preserve"> receipt from the field, </w:t>
      </w:r>
      <w:r w:rsidR="006903EB">
        <w:t xml:space="preserve">personally identifiable information </w:t>
      </w:r>
      <w:r w:rsidR="00B6547C">
        <w:t>(PII) will</w:t>
      </w:r>
      <w:r w:rsidR="0045480A">
        <w:t xml:space="preserve"> be stored only on RTI password-</w:t>
      </w:r>
      <w:r w:rsidR="00B6547C">
        <w:t xml:space="preserve">protected, secured servers. </w:t>
      </w:r>
      <w:r w:rsidR="002F771A">
        <w:t xml:space="preserve">In addition, the app vendor will have access to participant e-mail addresses. This information will also be stored on secured servers. </w:t>
      </w:r>
      <w:r w:rsidR="00B6547C">
        <w:t xml:space="preserve">Only authorized project members </w:t>
      </w:r>
      <w:r w:rsidR="002F771A">
        <w:t xml:space="preserve">and app vendor staff </w:t>
      </w:r>
      <w:r w:rsidR="00B6547C">
        <w:t xml:space="preserve">will have access to PII for </w:t>
      </w:r>
      <w:r w:rsidR="00BD3F0C">
        <w:t>participants</w:t>
      </w:r>
      <w:r w:rsidR="00B6547C">
        <w:t>.</w:t>
      </w:r>
    </w:p>
    <w:p w14:paraId="68D1DA77" w14:textId="10020F55" w:rsidR="00B6547C" w:rsidRDefault="00DA4596" w:rsidP="00DA4596">
      <w:pPr>
        <w:numPr>
          <w:ilvl w:val="1"/>
          <w:numId w:val="1"/>
        </w:numPr>
        <w:spacing w:before="100" w:beforeAutospacing="1" w:after="100" w:afterAutospacing="1"/>
        <w:ind w:left="1440" w:hanging="360"/>
      </w:pPr>
      <w:r>
        <w:t>For</w:t>
      </w:r>
      <w:r w:rsidR="00CB34CA">
        <w:t xml:space="preserve"> </w:t>
      </w:r>
      <w:r w:rsidR="00C62E13">
        <w:t>app</w:t>
      </w:r>
      <w:r w:rsidR="00CB34CA">
        <w:t>-based data collection</w:t>
      </w:r>
      <w:r w:rsidR="00B6547C">
        <w:t xml:space="preserve">, </w:t>
      </w:r>
      <w:r w:rsidR="0001309A">
        <w:t>the only identifying information that will be logged by</w:t>
      </w:r>
      <w:r w:rsidR="0072330E">
        <w:t xml:space="preserve"> the </w:t>
      </w:r>
      <w:r w:rsidR="00C62E13">
        <w:t>app</w:t>
      </w:r>
      <w:r w:rsidR="0072330E">
        <w:t xml:space="preserve"> </w:t>
      </w:r>
      <w:r w:rsidR="0001309A">
        <w:t xml:space="preserve">and </w:t>
      </w:r>
      <w:r w:rsidR="0072330E">
        <w:t xml:space="preserve">stored on </w:t>
      </w:r>
      <w:r w:rsidR="0064645B">
        <w:t>the app vendor</w:t>
      </w:r>
      <w:r w:rsidR="0072330E">
        <w:t>’s server</w:t>
      </w:r>
      <w:r w:rsidR="0001309A">
        <w:t xml:space="preserve"> is the e-mail address provided by the participant</w:t>
      </w:r>
      <w:r w:rsidR="005D4A1F">
        <w:t xml:space="preserve"> or the case identification assigned to the participant</w:t>
      </w:r>
      <w:r w:rsidR="0072330E">
        <w:t xml:space="preserve">. Data from the </w:t>
      </w:r>
      <w:r w:rsidR="00C62E13">
        <w:t>app</w:t>
      </w:r>
      <w:r w:rsidR="0072330E">
        <w:t xml:space="preserve"> stored on RTI’s secure server will be linked with the participant’s </w:t>
      </w:r>
      <w:r w:rsidR="0001309A">
        <w:t>e-mail address</w:t>
      </w:r>
      <w:r w:rsidR="0072330E">
        <w:t xml:space="preserve"> </w:t>
      </w:r>
      <w:r w:rsidR="005D4A1F">
        <w:t xml:space="preserve">or case identification number to </w:t>
      </w:r>
      <w:r w:rsidR="0072330E">
        <w:t xml:space="preserve">match </w:t>
      </w:r>
      <w:r w:rsidR="00C62E13">
        <w:t>app</w:t>
      </w:r>
      <w:r w:rsidR="0072330E">
        <w:t xml:space="preserve"> data with in-person </w:t>
      </w:r>
      <w:r w:rsidR="00877F18">
        <w:t>questionnaire</w:t>
      </w:r>
      <w:r w:rsidR="0072330E">
        <w:t xml:space="preserve"> responses. </w:t>
      </w:r>
      <w:r w:rsidR="00A268E3">
        <w:t xml:space="preserve"> </w:t>
      </w:r>
    </w:p>
    <w:p w14:paraId="55B6F646" w14:textId="301FEBC3" w:rsidR="00B6547C" w:rsidRDefault="00B6547C" w:rsidP="00B6547C">
      <w:pPr>
        <w:spacing w:before="100" w:beforeAutospacing="1" w:after="100" w:afterAutospacing="1"/>
        <w:ind w:left="720"/>
      </w:pPr>
      <w:r>
        <w:t xml:space="preserve">All respondents will be assured that the information they provide will be maintained in a secure manner and will be used only for the purpose of this research. Respondents will be assured that their answers will not be shared and that their names will not be reported with responses provided. Respondents will be told that the information obtained from all of the </w:t>
      </w:r>
      <w:r w:rsidR="00877F18">
        <w:t>questionnaire</w:t>
      </w:r>
      <w:r>
        <w:t>s will be combined into a summary report so that details of individual questionnaires cannot be linked to a specific participant.</w:t>
      </w:r>
    </w:p>
    <w:p w14:paraId="6712BC9C" w14:textId="00584119" w:rsidR="00B6547C" w:rsidRPr="00B6547C" w:rsidRDefault="00B6547C" w:rsidP="00B6547C">
      <w:pPr>
        <w:spacing w:before="100" w:beforeAutospacing="1" w:after="100" w:afterAutospacing="1"/>
        <w:ind w:left="720"/>
      </w:pPr>
      <w:r>
        <w:t xml:space="preserve">Respondents will participate on a voluntary basis. The voluntary nature of the information collection </w:t>
      </w:r>
      <w:r w:rsidRPr="00E45BB2">
        <w:t xml:space="preserve">is described in the introductory section of the Screener and Consent </w:t>
      </w:r>
      <w:r w:rsidRPr="00F87FA4">
        <w:t>Process (Attachment</w:t>
      </w:r>
      <w:r w:rsidR="00807306" w:rsidRPr="00F87FA4">
        <w:t>s</w:t>
      </w:r>
      <w:r w:rsidRPr="00F87FA4">
        <w:t xml:space="preserve"> </w:t>
      </w:r>
      <w:r w:rsidR="00FF160F">
        <w:t>3</w:t>
      </w:r>
      <w:r w:rsidR="00F87FA4" w:rsidRPr="00F87FA4">
        <w:t>a</w:t>
      </w:r>
      <w:r w:rsidR="005C26D1" w:rsidRPr="00F87FA4">
        <w:t xml:space="preserve">, </w:t>
      </w:r>
      <w:r w:rsidR="00FF160F">
        <w:t>3</w:t>
      </w:r>
      <w:r w:rsidR="00F87FA4" w:rsidRPr="00F87FA4">
        <w:t>b</w:t>
      </w:r>
      <w:r w:rsidRPr="00F87FA4">
        <w:t>)</w:t>
      </w:r>
      <w:r w:rsidR="00F87FA4" w:rsidRPr="00F87FA4">
        <w:t>.</w:t>
      </w:r>
    </w:p>
    <w:p w14:paraId="54DA9D10" w14:textId="77777777" w:rsidR="004C6979" w:rsidRPr="004C6979" w:rsidRDefault="00DA4596" w:rsidP="00EB7538">
      <w:pPr>
        <w:numPr>
          <w:ilvl w:val="0"/>
          <w:numId w:val="1"/>
        </w:numPr>
        <w:spacing w:before="100" w:beforeAutospacing="1" w:after="100" w:afterAutospacing="1"/>
        <w:rPr>
          <w:u w:val="single"/>
        </w:rPr>
      </w:pPr>
      <w:r>
        <w:rPr>
          <w:u w:val="single"/>
        </w:rPr>
        <w:t>Ju</w:t>
      </w:r>
      <w:r w:rsidR="00EB7538" w:rsidRPr="004C6979">
        <w:rPr>
          <w:u w:val="single"/>
        </w:rPr>
        <w:t>stification for Sensitive Questions</w:t>
      </w:r>
    </w:p>
    <w:p w14:paraId="61C85A55" w14:textId="53A46CF5" w:rsidR="00DA4596" w:rsidRDefault="00DA4596" w:rsidP="00DA4596">
      <w:pPr>
        <w:ind w:left="720"/>
      </w:pPr>
      <w:r>
        <w:t>The majority of questions asked will not be of a sensitive nature. There will be no requests for a respondent’s Social Security Number. However, it will be necessary to ask some questions that may be considered to be of a sensitive nature in order to assess specific health behaviors, such as cigarette smoking. These questions are essential to the objectives of this information collection</w:t>
      </w:r>
      <w:r w:rsidRPr="004B525F">
        <w:t>. Questions about lifestyle (e.g., smoking, current smoking behavior, attempts to quit smoking) and some demographic information, such as race, ethnicity, and income, could be considered sensitive, but not highly sensitive. To address any concerns about inadvertent disclosure of sensitive information, respond</w:t>
      </w:r>
      <w:r>
        <w:t>ents will be fully informed of the applicable privacy safeguards. The informed consent protocol (</w:t>
      </w:r>
      <w:r w:rsidRPr="00F87FA4">
        <w:t>see Attachment</w:t>
      </w:r>
      <w:r w:rsidR="00EF6554" w:rsidRPr="00F87FA4">
        <w:t>s</w:t>
      </w:r>
      <w:r w:rsidRPr="00F87FA4">
        <w:t xml:space="preserve"> </w:t>
      </w:r>
      <w:r w:rsidR="00FF160F">
        <w:t>3</w:t>
      </w:r>
      <w:r w:rsidR="00EF6554" w:rsidRPr="00F87FA4">
        <w:t xml:space="preserve">a, </w:t>
      </w:r>
      <w:r w:rsidR="00FF160F">
        <w:t>3b</w:t>
      </w:r>
      <w:r w:rsidRPr="00F87FA4">
        <w:t>) will</w:t>
      </w:r>
      <w:r>
        <w:t xml:space="preserve"> apprise respondents that these topics will be covered during the </w:t>
      </w:r>
      <w:r w:rsidR="00877F18">
        <w:t>questionnaire</w:t>
      </w:r>
      <w:r>
        <w:t>. This study includes a number of procedures and methodological characteristics that will minimize potential negative reactions to these types of questions, including the following:</w:t>
      </w:r>
    </w:p>
    <w:p w14:paraId="5E3E61D1" w14:textId="77777777" w:rsidR="00DA4596" w:rsidRDefault="00DA4596" w:rsidP="00DA4596">
      <w:pPr>
        <w:ind w:left="720"/>
      </w:pPr>
    </w:p>
    <w:p w14:paraId="77D80EB6" w14:textId="65F4DA07" w:rsidR="00DA4596" w:rsidRDefault="00DE756D" w:rsidP="00DA4596">
      <w:pPr>
        <w:numPr>
          <w:ilvl w:val="1"/>
          <w:numId w:val="1"/>
        </w:numPr>
        <w:ind w:left="1440" w:hanging="360"/>
      </w:pPr>
      <w:r>
        <w:t>Computer-based</w:t>
      </w:r>
      <w:r w:rsidR="00DA4596">
        <w:t xml:space="preserve"> </w:t>
      </w:r>
      <w:r w:rsidR="00877F18">
        <w:t>questionnaire</w:t>
      </w:r>
      <w:r w:rsidR="00DA4596">
        <w:t xml:space="preserve">s maximize respondent privacy </w:t>
      </w:r>
      <w:r w:rsidR="000F5008">
        <w:t xml:space="preserve">by eliminating </w:t>
      </w:r>
      <w:r w:rsidR="00DA4596">
        <w:t>the need to verbalize responses.</w:t>
      </w:r>
      <w:r w:rsidR="00F87FA4">
        <w:t xml:space="preserve"> </w:t>
      </w:r>
    </w:p>
    <w:p w14:paraId="36B95B1F" w14:textId="0BE75196" w:rsidR="00DA4596" w:rsidRDefault="00DA4596" w:rsidP="00DA4596">
      <w:pPr>
        <w:numPr>
          <w:ilvl w:val="1"/>
          <w:numId w:val="1"/>
        </w:numPr>
        <w:ind w:left="1440" w:hanging="360"/>
      </w:pPr>
      <w:r>
        <w:t xml:space="preserve">Participants will be provided with a specific toll-free phone number (linking directly to the RTI IRB Office) to call in case they have a question or concern about the </w:t>
      </w:r>
      <w:r w:rsidR="004B525F">
        <w:t>study</w:t>
      </w:r>
      <w:r>
        <w:t>.</w:t>
      </w:r>
    </w:p>
    <w:p w14:paraId="7FE9899A" w14:textId="201F712A" w:rsidR="0072330E" w:rsidRDefault="0072330E" w:rsidP="0072330E">
      <w:pPr>
        <w:numPr>
          <w:ilvl w:val="1"/>
          <w:numId w:val="1"/>
        </w:numPr>
        <w:ind w:left="1440" w:hanging="360"/>
      </w:pPr>
      <w:r>
        <w:t xml:space="preserve">Participants will complete a consent form for the study overall and a specific consent form for the optional </w:t>
      </w:r>
      <w:r w:rsidR="00C62E13">
        <w:t>app</w:t>
      </w:r>
      <w:r>
        <w:t>-based portion of the study.</w:t>
      </w:r>
    </w:p>
    <w:p w14:paraId="10F68DC4" w14:textId="5ACBFB43" w:rsidR="00F87FA4" w:rsidRDefault="0072330E" w:rsidP="0072330E">
      <w:pPr>
        <w:numPr>
          <w:ilvl w:val="1"/>
          <w:numId w:val="1"/>
        </w:numPr>
        <w:ind w:left="1440" w:hanging="360"/>
      </w:pPr>
      <w:r>
        <w:t xml:space="preserve">Participants will have the option to refuse to answer any in-person or </w:t>
      </w:r>
      <w:r w:rsidR="00C62E13">
        <w:t>app</w:t>
      </w:r>
      <w:r>
        <w:t xml:space="preserve">-based </w:t>
      </w:r>
      <w:r w:rsidR="00877F18">
        <w:t>questionnaire</w:t>
      </w:r>
      <w:r>
        <w:t xml:space="preserve"> </w:t>
      </w:r>
      <w:r w:rsidR="00877F18">
        <w:t xml:space="preserve">items </w:t>
      </w:r>
      <w:r w:rsidR="004B525F">
        <w:t>(except those necessary for determining eligibility for participation)</w:t>
      </w:r>
      <w:r w:rsidR="00F87FA4">
        <w:t>.</w:t>
      </w:r>
    </w:p>
    <w:p w14:paraId="3D50D4E1" w14:textId="7BD5A739" w:rsidR="0072330E" w:rsidRDefault="00F87FA4" w:rsidP="0072330E">
      <w:pPr>
        <w:numPr>
          <w:ilvl w:val="1"/>
          <w:numId w:val="1"/>
        </w:numPr>
        <w:ind w:left="1440" w:hanging="360"/>
      </w:pPr>
      <w:r>
        <w:t xml:space="preserve">Participants will also have the option to refuse to complete additional interviews or </w:t>
      </w:r>
      <w:r w:rsidR="00C62E13">
        <w:t>app</w:t>
      </w:r>
      <w:r>
        <w:t xml:space="preserve">-based </w:t>
      </w:r>
      <w:r w:rsidR="00877F18">
        <w:t>questionnaire</w:t>
      </w:r>
      <w:r>
        <w:t xml:space="preserve">s and </w:t>
      </w:r>
      <w:r w:rsidR="0072330E">
        <w:t xml:space="preserve">to delete the </w:t>
      </w:r>
      <w:r w:rsidR="00C62E13">
        <w:t>app</w:t>
      </w:r>
      <w:r w:rsidR="0072330E">
        <w:t xml:space="preserve"> at any time. </w:t>
      </w:r>
    </w:p>
    <w:p w14:paraId="61037FFF" w14:textId="77777777" w:rsidR="00DA4596" w:rsidRDefault="00DA4596" w:rsidP="00DA4596">
      <w:pPr>
        <w:ind w:left="720"/>
      </w:pPr>
    </w:p>
    <w:p w14:paraId="5E5245AF" w14:textId="0F1B28F6" w:rsidR="00DA4596" w:rsidRDefault="00DA4596" w:rsidP="00DA4596">
      <w:pPr>
        <w:ind w:left="720"/>
      </w:pPr>
      <w:r>
        <w:t xml:space="preserve">Finally, as with all information collected, these data </w:t>
      </w:r>
      <w:r w:rsidR="00BD3F0C">
        <w:t xml:space="preserve">resulting from this evaluation </w:t>
      </w:r>
      <w:r>
        <w:t xml:space="preserve">will </w:t>
      </w:r>
      <w:r w:rsidR="00BD3F0C">
        <w:t xml:space="preserve">only </w:t>
      </w:r>
      <w:r>
        <w:t>be presented with all identifiers removed.</w:t>
      </w:r>
    </w:p>
    <w:p w14:paraId="15482192" w14:textId="77777777" w:rsid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14:paraId="0B3C8D19" w14:textId="77777777" w:rsidR="003D1153" w:rsidRDefault="003D1153" w:rsidP="003D1153">
      <w:pPr>
        <w:ind w:left="720"/>
      </w:pPr>
      <w:r>
        <w:rPr>
          <w:u w:val="single"/>
        </w:rPr>
        <w:t>12 a. Annualized Hour Burden Estimate</w:t>
      </w:r>
    </w:p>
    <w:p w14:paraId="2CFDAE42" w14:textId="1F4F6D6A" w:rsidR="00A268E3" w:rsidRDefault="003F74A3" w:rsidP="0041479B">
      <w:pPr>
        <w:spacing w:before="100" w:beforeAutospacing="1" w:after="100" w:afterAutospacing="1"/>
        <w:ind w:left="720"/>
      </w:pPr>
      <w:r w:rsidRPr="003F74A3">
        <w:t xml:space="preserve">FDA estimates the </w:t>
      </w:r>
      <w:r w:rsidR="00A268E3">
        <w:t xml:space="preserve">total </w:t>
      </w:r>
      <w:r>
        <w:t xml:space="preserve">time </w:t>
      </w:r>
      <w:r w:rsidRPr="003F74A3">
        <w:t>reporting burden</w:t>
      </w:r>
      <w:r>
        <w:t xml:space="preserve"> for this collection to be </w:t>
      </w:r>
      <w:r w:rsidR="00CD60E3">
        <w:t>18,</w:t>
      </w:r>
      <w:r w:rsidR="008D6E7B">
        <w:t>773</w:t>
      </w:r>
      <w:r w:rsidR="00A268E3">
        <w:t xml:space="preserve"> hours</w:t>
      </w:r>
      <w:r>
        <w:t xml:space="preserve">. The analogous number in Table 1, </w:t>
      </w:r>
      <w:r w:rsidR="004B525F">
        <w:t>6,</w:t>
      </w:r>
      <w:r w:rsidR="008D6E7B">
        <w:t>258</w:t>
      </w:r>
      <w:r>
        <w:t xml:space="preserve">, </w:t>
      </w:r>
      <w:r w:rsidRPr="003F74A3">
        <w:t xml:space="preserve">is </w:t>
      </w:r>
      <w:r w:rsidR="00F96D40">
        <w:t>the</w:t>
      </w:r>
      <w:r w:rsidRPr="003F74A3">
        <w:t xml:space="preserve"> result of dividing by </w:t>
      </w:r>
      <w:r w:rsidR="00C640A9">
        <w:t>3</w:t>
      </w:r>
      <w:r w:rsidRPr="003F74A3">
        <w:t xml:space="preserve"> </w:t>
      </w:r>
      <w:r w:rsidR="00F96D40">
        <w:t>the one-</w:t>
      </w:r>
      <w:r>
        <w:t xml:space="preserve">time </w:t>
      </w:r>
      <w:r w:rsidRPr="003F74A3">
        <w:t>burde</w:t>
      </w:r>
      <w:r w:rsidR="00940C27">
        <w:t>n</w:t>
      </w:r>
      <w:r w:rsidR="00A268E3">
        <w:t xml:space="preserve"> in order to create an annualized estimate</w:t>
      </w:r>
      <w:r w:rsidR="0041479B">
        <w:t xml:space="preserve">. </w:t>
      </w:r>
      <w:r w:rsidR="00DA4596" w:rsidRPr="004B525F">
        <w:t>Statistical power estimates provide guidance on reasonab</w:t>
      </w:r>
      <w:r w:rsidR="00DA4596">
        <w:t xml:space="preserve">le expectations for observing statistically significant change in outcomes of interest as detailed </w:t>
      </w:r>
      <w:r w:rsidR="00DA4596" w:rsidRPr="00F8582F">
        <w:t>in Section B.1.</w:t>
      </w:r>
    </w:p>
    <w:p w14:paraId="1B12D9F8" w14:textId="10701BC2" w:rsidR="00DA4596" w:rsidRDefault="00DA4596" w:rsidP="00DA4596">
      <w:pPr>
        <w:spacing w:before="100" w:beforeAutospacing="1" w:after="100" w:afterAutospacing="1"/>
        <w:ind w:left="720"/>
      </w:pPr>
      <w:r>
        <w:t xml:space="preserve">Because we anticipate respondent attrition between the </w:t>
      </w:r>
      <w:r w:rsidR="00B936E9">
        <w:t xml:space="preserve">Wave 1 </w:t>
      </w:r>
      <w:r>
        <w:t xml:space="preserve">and </w:t>
      </w:r>
      <w:r w:rsidR="00877F18">
        <w:t xml:space="preserve">the Waves 2, 3, and </w:t>
      </w:r>
      <w:r w:rsidR="00D506F8">
        <w:t>4 questionnaires</w:t>
      </w:r>
      <w:r w:rsidR="00877F18">
        <w:t xml:space="preserve"> </w:t>
      </w:r>
      <w:r>
        <w:t>(</w:t>
      </w:r>
      <w:r w:rsidR="004849E7">
        <w:t>15-</w:t>
      </w:r>
      <w:r w:rsidR="00B01E83">
        <w:t>2</w:t>
      </w:r>
      <w:r>
        <w:t xml:space="preserve">0%), we must collect enough interviews at </w:t>
      </w:r>
      <w:r w:rsidR="00B936E9">
        <w:t xml:space="preserve">Wave 1 </w:t>
      </w:r>
      <w:r>
        <w:t xml:space="preserve">to yield the desired sample sizes at follow-up waves. Based on data from previous longitudinal studies conducted, we estimate that a total of </w:t>
      </w:r>
      <w:r w:rsidR="00EF3665">
        <w:rPr>
          <w:szCs w:val="20"/>
        </w:rPr>
        <w:t>53,</w:t>
      </w:r>
      <w:r w:rsidR="00F96D40">
        <w:rPr>
          <w:szCs w:val="20"/>
        </w:rPr>
        <w:t xml:space="preserve">910 </w:t>
      </w:r>
      <w:r w:rsidR="00821D32">
        <w:t xml:space="preserve">screeners </w:t>
      </w:r>
      <w:r w:rsidR="00821D32" w:rsidRPr="00AF574A">
        <w:t>(Attachment 1a, 1b)</w:t>
      </w:r>
      <w:r w:rsidR="00F96D40">
        <w:t xml:space="preserve"> </w:t>
      </w:r>
      <w:r w:rsidR="00367E66">
        <w:t>will be completed</w:t>
      </w:r>
      <w:r w:rsidR="00F96D40">
        <w:t xml:space="preserve">, </w:t>
      </w:r>
      <w:r w:rsidR="004B525F">
        <w:t xml:space="preserve">27,651 </w:t>
      </w:r>
      <w:r w:rsidR="00F96D40">
        <w:t>by mail (</w:t>
      </w:r>
      <w:r w:rsidR="004B525F">
        <w:t>9,2</w:t>
      </w:r>
      <w:r w:rsidR="00F04A3E">
        <w:t>17 annualized</w:t>
      </w:r>
      <w:r w:rsidR="00D60FC3">
        <w:t xml:space="preserve"> respondents</w:t>
      </w:r>
      <w:r w:rsidR="004B525F">
        <w:t xml:space="preserve">) and 26,258 </w:t>
      </w:r>
      <w:r w:rsidR="00B84B3F">
        <w:t>using the field screener</w:t>
      </w:r>
      <w:r w:rsidR="004B525F">
        <w:t xml:space="preserve"> </w:t>
      </w:r>
      <w:r w:rsidR="00B84B3F">
        <w:t>(</w:t>
      </w:r>
      <w:r w:rsidR="004B525F">
        <w:t>8,753 annualized</w:t>
      </w:r>
      <w:r w:rsidR="00D60FC3">
        <w:t xml:space="preserve"> respondents</w:t>
      </w:r>
      <w:r w:rsidR="004B525F">
        <w:t>)</w:t>
      </w:r>
      <w:r w:rsidR="00B84B3F">
        <w:t>.  At</w:t>
      </w:r>
      <w:r w:rsidR="004B525F">
        <w:t xml:space="preserve"> 10 minutes each, we estimate a total burden of 9,16</w:t>
      </w:r>
      <w:r w:rsidR="00367E66">
        <w:t>5</w:t>
      </w:r>
      <w:r w:rsidR="004B525F">
        <w:t xml:space="preserve"> hours (3,055 annualized) for the screening process. </w:t>
      </w:r>
    </w:p>
    <w:p w14:paraId="325D2921" w14:textId="123CA5D6" w:rsidR="00367E66" w:rsidRDefault="00C640A9" w:rsidP="00DA4596">
      <w:pPr>
        <w:spacing w:before="100" w:beforeAutospacing="1" w:after="100" w:afterAutospacing="1"/>
        <w:ind w:left="720"/>
      </w:pPr>
      <w:r>
        <w:t>A</w:t>
      </w:r>
      <w:r w:rsidR="00DA4596">
        <w:t xml:space="preserve">n estimated </w:t>
      </w:r>
      <w:r w:rsidR="004B525F">
        <w:t>4,282</w:t>
      </w:r>
      <w:r>
        <w:t xml:space="preserve"> adults</w:t>
      </w:r>
      <w:r w:rsidR="00DA4596">
        <w:t xml:space="preserve"> </w:t>
      </w:r>
      <w:r w:rsidR="005D5693">
        <w:t xml:space="preserve">(1,427 annualized) </w:t>
      </w:r>
      <w:r w:rsidR="00DA4596">
        <w:t xml:space="preserve">will complete </w:t>
      </w:r>
      <w:r w:rsidR="004B525F">
        <w:t xml:space="preserve">the consent </w:t>
      </w:r>
      <w:r w:rsidR="00251B99">
        <w:t>process (see Attachment</w:t>
      </w:r>
      <w:r w:rsidR="00FF160F">
        <w:t xml:space="preserve"> 3</w:t>
      </w:r>
      <w:r w:rsidR="004B525F" w:rsidRPr="00F87FA4">
        <w:t>a)</w:t>
      </w:r>
      <w:r w:rsidR="004B525F">
        <w:t xml:space="preserve"> and the </w:t>
      </w:r>
      <w:r w:rsidR="00781A73">
        <w:t xml:space="preserve">Wave </w:t>
      </w:r>
      <w:r>
        <w:t xml:space="preserve">1 </w:t>
      </w:r>
      <w:r w:rsidR="00821D32">
        <w:t xml:space="preserve">evaluation </w:t>
      </w:r>
      <w:r w:rsidR="00525366">
        <w:t>questionnaire</w:t>
      </w:r>
      <w:r w:rsidR="00FF160F">
        <w:t xml:space="preserve"> (Attachment </w:t>
      </w:r>
      <w:r w:rsidR="003E33DB">
        <w:t>2a</w:t>
      </w:r>
      <w:r w:rsidR="00FF160F">
        <w:t>)</w:t>
      </w:r>
      <w:r w:rsidR="005D5693">
        <w:t xml:space="preserve">. Assuming 80% retention between </w:t>
      </w:r>
      <w:r w:rsidR="003543C8">
        <w:t xml:space="preserve">Waves </w:t>
      </w:r>
      <w:r w:rsidR="005D5693">
        <w:t xml:space="preserve">1 and 2 and 85% retention between </w:t>
      </w:r>
      <w:r w:rsidR="00B84B3F">
        <w:t xml:space="preserve">Waves </w:t>
      </w:r>
      <w:r w:rsidR="005D5693">
        <w:t>2 and 3</w:t>
      </w:r>
      <w:r w:rsidR="008251EA">
        <w:t xml:space="preserve">, </w:t>
      </w:r>
      <w:r w:rsidR="005D5693">
        <w:t xml:space="preserve">and </w:t>
      </w:r>
      <w:r w:rsidR="008251EA">
        <w:t xml:space="preserve">between Waves </w:t>
      </w:r>
      <w:r w:rsidR="005D5693">
        <w:t xml:space="preserve">3 and 4, we anticipate </w:t>
      </w:r>
      <w:r w:rsidR="004B525F">
        <w:t>3,426</w:t>
      </w:r>
      <w:r w:rsidR="00DA4596">
        <w:t xml:space="preserve"> completes at </w:t>
      </w:r>
      <w:r w:rsidR="00781A73">
        <w:t xml:space="preserve">Wave </w:t>
      </w:r>
      <w:r>
        <w:t>2</w:t>
      </w:r>
      <w:r w:rsidR="005D5693">
        <w:t xml:space="preserve"> (1,142 annualized)</w:t>
      </w:r>
      <w:r w:rsidR="00DA4596">
        <w:t xml:space="preserve">, </w:t>
      </w:r>
      <w:r w:rsidR="004B525F">
        <w:t>2,912</w:t>
      </w:r>
      <w:r w:rsidR="00DA4596">
        <w:t xml:space="preserve"> completes at </w:t>
      </w:r>
      <w:r w:rsidR="00781A73">
        <w:t xml:space="preserve">Wave </w:t>
      </w:r>
      <w:r>
        <w:t>3</w:t>
      </w:r>
      <w:r w:rsidR="005D5693">
        <w:t xml:space="preserve"> (971 annualized)</w:t>
      </w:r>
      <w:r w:rsidR="004B525F">
        <w:t xml:space="preserve">, and 2,475 completes at </w:t>
      </w:r>
      <w:r w:rsidR="00781A73">
        <w:t xml:space="preserve">Wave </w:t>
      </w:r>
      <w:r w:rsidR="004B525F">
        <w:t>4</w:t>
      </w:r>
      <w:r w:rsidR="005D5693">
        <w:t xml:space="preserve"> (825 annualized)</w:t>
      </w:r>
      <w:r w:rsidR="00DA4596">
        <w:t>. The estimated burden per response is 4</w:t>
      </w:r>
      <w:r>
        <w:t>0</w:t>
      </w:r>
      <w:r w:rsidR="00DA4596">
        <w:t xml:space="preserve"> minutes for each questionnaire, </w:t>
      </w:r>
      <w:r w:rsidR="00A94D21">
        <w:t>for</w:t>
      </w:r>
      <w:r w:rsidR="00367E66">
        <w:t xml:space="preserve"> a</w:t>
      </w:r>
      <w:r w:rsidR="00A94D21">
        <w:t xml:space="preserve"> total of </w:t>
      </w:r>
      <w:r w:rsidR="004B525F">
        <w:t>2,869</w:t>
      </w:r>
      <w:r w:rsidR="00DA4596">
        <w:t xml:space="preserve"> burden hour</w:t>
      </w:r>
      <w:r w:rsidR="00A94D21">
        <w:t xml:space="preserve">s for </w:t>
      </w:r>
      <w:r w:rsidR="00781A73">
        <w:t xml:space="preserve">Wave </w:t>
      </w:r>
      <w:r>
        <w:t>1</w:t>
      </w:r>
      <w:r w:rsidR="00246005">
        <w:t xml:space="preserve"> (956 annualized)</w:t>
      </w:r>
      <w:r w:rsidR="00A94D21">
        <w:t xml:space="preserve">, </w:t>
      </w:r>
      <w:r w:rsidR="004B525F">
        <w:t>2,295</w:t>
      </w:r>
      <w:r w:rsidR="00DA4596">
        <w:t xml:space="preserve"> hours for</w:t>
      </w:r>
      <w:r w:rsidR="00A94D21">
        <w:t xml:space="preserve"> </w:t>
      </w:r>
      <w:r w:rsidR="00781A73">
        <w:t xml:space="preserve">Wave </w:t>
      </w:r>
      <w:r>
        <w:t>2</w:t>
      </w:r>
      <w:r w:rsidR="00246005">
        <w:t xml:space="preserve"> (765 annualized)</w:t>
      </w:r>
      <w:r w:rsidR="00A94D21">
        <w:t xml:space="preserve">, </w:t>
      </w:r>
      <w:r w:rsidR="004B525F">
        <w:t>1,95</w:t>
      </w:r>
      <w:r w:rsidR="00367E66">
        <w:t>1</w:t>
      </w:r>
      <w:r w:rsidR="00DA4596">
        <w:t xml:space="preserve"> hours for </w:t>
      </w:r>
      <w:r w:rsidR="00781A73">
        <w:t xml:space="preserve">Wave </w:t>
      </w:r>
      <w:r>
        <w:t>3</w:t>
      </w:r>
      <w:r w:rsidR="00246005">
        <w:t xml:space="preserve"> (650 annualized)</w:t>
      </w:r>
      <w:r w:rsidR="004B525F">
        <w:t xml:space="preserve">, and 1,658 hours for </w:t>
      </w:r>
      <w:r w:rsidR="00781A73">
        <w:t xml:space="preserve">Wave </w:t>
      </w:r>
      <w:r w:rsidR="004B525F">
        <w:t>4</w:t>
      </w:r>
      <w:r w:rsidR="00246005">
        <w:t xml:space="preserve"> (553</w:t>
      </w:r>
      <w:r w:rsidR="00BD3F0C">
        <w:t xml:space="preserve"> hours annualized</w:t>
      </w:r>
      <w:r w:rsidR="00246005">
        <w:t>)</w:t>
      </w:r>
      <w:r w:rsidR="00DA4596">
        <w:t>.</w:t>
      </w:r>
      <w:r w:rsidR="004849E7" w:rsidRPr="004849E7">
        <w:t xml:space="preserve"> </w:t>
      </w:r>
      <w:r w:rsidR="00251B99">
        <w:t>The Waves 2-4 evaluation questionnaire is provided as Attachment 2b.</w:t>
      </w:r>
    </w:p>
    <w:p w14:paraId="7F4A92C7" w14:textId="01E89B78" w:rsidR="005030A4" w:rsidRDefault="004849E7" w:rsidP="005030A4">
      <w:pPr>
        <w:spacing w:before="100" w:beforeAutospacing="1" w:after="100" w:afterAutospacing="1"/>
        <w:ind w:left="720"/>
      </w:pPr>
      <w:r>
        <w:t xml:space="preserve">We also plan to complete </w:t>
      </w:r>
      <w:r w:rsidR="0022457A">
        <w:t>6,923</w:t>
      </w:r>
      <w:r>
        <w:t xml:space="preserve"> (</w:t>
      </w:r>
      <w:r w:rsidR="0022457A">
        <w:t>2,308</w:t>
      </w:r>
      <w:r>
        <w:t xml:space="preserve"> participants times 3 </w:t>
      </w:r>
      <w:r w:rsidR="00877F18">
        <w:t>questionnaire</w:t>
      </w:r>
      <w:r>
        <w:t>s</w:t>
      </w:r>
      <w:r w:rsidR="00821D32">
        <w:t>;</w:t>
      </w:r>
      <w:r w:rsidR="005D5693">
        <w:t xml:space="preserve"> </w:t>
      </w:r>
      <w:r w:rsidR="00821D32">
        <w:t>2,</w:t>
      </w:r>
      <w:r w:rsidR="0022457A">
        <w:t>308</w:t>
      </w:r>
      <w:r w:rsidR="00821D32">
        <w:t xml:space="preserve"> annualized</w:t>
      </w:r>
      <w:r>
        <w:t xml:space="preserve">) </w:t>
      </w:r>
      <w:r w:rsidR="00C62E13">
        <w:t>app</w:t>
      </w:r>
      <w:r>
        <w:t xml:space="preserve">-based </w:t>
      </w:r>
      <w:r w:rsidR="00877F18">
        <w:t>questionnaire</w:t>
      </w:r>
      <w:r>
        <w:t xml:space="preserve">s </w:t>
      </w:r>
      <w:r w:rsidR="00821D32">
        <w:t xml:space="preserve">over 18 months (approximately every </w:t>
      </w:r>
      <w:r>
        <w:t>6</w:t>
      </w:r>
      <w:r w:rsidR="00821D32">
        <w:t xml:space="preserve"> </w:t>
      </w:r>
      <w:r>
        <w:t>month</w:t>
      </w:r>
      <w:r w:rsidR="00821D32">
        <w:t>s)</w:t>
      </w:r>
      <w:r>
        <w:t xml:space="preserve"> with the same </w:t>
      </w:r>
      <w:r w:rsidR="00821D32">
        <w:t xml:space="preserve">participants who complete the </w:t>
      </w:r>
      <w:r>
        <w:t xml:space="preserve">longitudinal </w:t>
      </w:r>
      <w:r w:rsidR="00821D32">
        <w:t xml:space="preserve">evaluation </w:t>
      </w:r>
      <w:r w:rsidR="00877F18">
        <w:t>questionnaire</w:t>
      </w:r>
      <w:r w:rsidR="00821D32">
        <w:t>s</w:t>
      </w:r>
      <w:r>
        <w:t>.</w:t>
      </w:r>
      <w:r w:rsidR="00367E66">
        <w:t xml:space="preserve"> </w:t>
      </w:r>
      <w:r w:rsidR="005030A4">
        <w:t xml:space="preserve">This figure is based on our assumption that </w:t>
      </w:r>
      <w:r w:rsidR="0022457A">
        <w:t xml:space="preserve">77% of </w:t>
      </w:r>
      <w:r w:rsidR="00DD7B0B">
        <w:t xml:space="preserve">Wave </w:t>
      </w:r>
      <w:r w:rsidR="0022457A">
        <w:t xml:space="preserve">1 questionnaire completers will have smartphones (Smith, 2017) and that 70% of those who have smartphones will agree to download the app and complete the 3 app-based questionnaires. </w:t>
      </w:r>
      <w:r w:rsidR="005030A4">
        <w:t xml:space="preserve"> At </w:t>
      </w:r>
      <w:r w:rsidR="00C640A9">
        <w:t>5</w:t>
      </w:r>
      <w:r w:rsidR="00DA4596">
        <w:t xml:space="preserve"> minutes</w:t>
      </w:r>
      <w:r w:rsidR="000F5008">
        <w:t xml:space="preserve"> per </w:t>
      </w:r>
      <w:r w:rsidR="00877F18">
        <w:t>questionnaire</w:t>
      </w:r>
      <w:r w:rsidR="00DA4596">
        <w:t xml:space="preserve">, </w:t>
      </w:r>
      <w:r w:rsidR="005030A4">
        <w:t xml:space="preserve">we estimate a </w:t>
      </w:r>
      <w:r w:rsidR="00DA4596">
        <w:t>total</w:t>
      </w:r>
      <w:r w:rsidR="00A94D21">
        <w:t xml:space="preserve"> burden of </w:t>
      </w:r>
      <w:r w:rsidR="0022457A">
        <w:t xml:space="preserve">554 </w:t>
      </w:r>
      <w:r w:rsidR="00367E66">
        <w:t>hours (</w:t>
      </w:r>
      <w:r w:rsidR="0022457A">
        <w:t>185</w:t>
      </w:r>
      <w:r w:rsidR="00367E66">
        <w:t xml:space="preserve"> annualized) </w:t>
      </w:r>
      <w:r w:rsidR="00DA4596">
        <w:t xml:space="preserve">for </w:t>
      </w:r>
      <w:r w:rsidR="00246005">
        <w:t>the</w:t>
      </w:r>
      <w:r w:rsidR="00C640A9">
        <w:t xml:space="preserve"> three </w:t>
      </w:r>
      <w:r w:rsidR="00C62E13">
        <w:t>app</w:t>
      </w:r>
      <w:r w:rsidR="00C640A9">
        <w:t xml:space="preserve">-based </w:t>
      </w:r>
      <w:r w:rsidR="00877F18">
        <w:t>questionnaire</w:t>
      </w:r>
      <w:r w:rsidR="00C640A9">
        <w:t>s</w:t>
      </w:r>
      <w:r w:rsidR="00DA4596">
        <w:t xml:space="preserve">. </w:t>
      </w:r>
    </w:p>
    <w:p w14:paraId="76C194B1" w14:textId="5A6641EA" w:rsidR="00C640A9" w:rsidRDefault="005030A4" w:rsidP="005030A4">
      <w:pPr>
        <w:spacing w:before="100" w:beforeAutospacing="1" w:after="100" w:afterAutospacing="1"/>
        <w:ind w:left="720"/>
      </w:pPr>
      <w:r>
        <w:t xml:space="preserve">In addition to the 4 waves of evaluation questionnaires (over 24 months) and 3 app-based </w:t>
      </w:r>
      <w:r w:rsidR="00B84B3F">
        <w:t>questionnaires</w:t>
      </w:r>
      <w:r>
        <w:t xml:space="preserve"> (over 18 months), we will also administer </w:t>
      </w:r>
      <w:r w:rsidR="008251EA">
        <w:t>a series of</w:t>
      </w:r>
      <w:r>
        <w:t xml:space="preserve"> </w:t>
      </w:r>
      <w:r w:rsidR="008D6E7B">
        <w:t>five</w:t>
      </w:r>
      <w:r w:rsidR="00367E66">
        <w:t xml:space="preserve">-minute telephone verification </w:t>
      </w:r>
      <w:r w:rsidR="00877F18">
        <w:t>questionnaire</w:t>
      </w:r>
      <w:r>
        <w:t>s</w:t>
      </w:r>
      <w:r w:rsidR="00367E66">
        <w:t xml:space="preserve"> to a small </w:t>
      </w:r>
      <w:r>
        <w:t>sub</w:t>
      </w:r>
      <w:r w:rsidR="00367E66">
        <w:t>sample of participants</w:t>
      </w:r>
      <w:r>
        <w:t xml:space="preserve">. Each of the telephone verification </w:t>
      </w:r>
      <w:r w:rsidR="00B84B3F">
        <w:t>questionnaires</w:t>
      </w:r>
      <w:r>
        <w:t xml:space="preserve"> will occur during the outcome evaluation questionnaire data collection period. This </w:t>
      </w:r>
      <w:r w:rsidR="00B84B3F">
        <w:t>survey</w:t>
      </w:r>
      <w:r>
        <w:t xml:space="preserve"> is designed to ensure </w:t>
      </w:r>
      <w:r w:rsidR="00367E66">
        <w:t xml:space="preserve">that all study procedures are followed </w:t>
      </w:r>
      <w:r w:rsidR="005D0E91">
        <w:t xml:space="preserve">and incentives distributed </w:t>
      </w:r>
      <w:r w:rsidR="00367E66">
        <w:t>appropriately</w:t>
      </w:r>
      <w:r w:rsidR="005D0E91">
        <w:t xml:space="preserve"> (Attachment 13</w:t>
      </w:r>
      <w:r w:rsidR="00367E66">
        <w:t xml:space="preserve">). We anticipate that </w:t>
      </w:r>
      <w:r w:rsidR="008251EA">
        <w:t xml:space="preserve">a random sample of </w:t>
      </w:r>
      <w:r w:rsidR="00367E66">
        <w:t>2,</w:t>
      </w:r>
      <w:r w:rsidR="00F96D40">
        <w:t xml:space="preserve">199 </w:t>
      </w:r>
      <w:r w:rsidR="00367E66">
        <w:t>participants (</w:t>
      </w:r>
      <w:r w:rsidR="00F96D40">
        <w:t xml:space="preserve">733 </w:t>
      </w:r>
      <w:r w:rsidR="00367E66">
        <w:t>annualized)</w:t>
      </w:r>
      <w:r w:rsidR="008251EA">
        <w:t xml:space="preserve">, and a random sample of 10% of participants who completed the Waves 1 – 4 questionnaires (1,308 individuals [436 annualized]) </w:t>
      </w:r>
      <w:r w:rsidR="00367E66">
        <w:t>will complete</w:t>
      </w:r>
      <w:r w:rsidR="00F96D40">
        <w:t xml:space="preserve"> the telephone verification</w:t>
      </w:r>
      <w:r w:rsidR="00367E66">
        <w:t xml:space="preserve">. </w:t>
      </w:r>
      <w:r w:rsidR="008251EA" w:rsidRPr="004913F1">
        <w:t xml:space="preserve">At 5 minutes per verification questionnaire, this results in </w:t>
      </w:r>
      <w:r w:rsidR="008251EA">
        <w:t>177</w:t>
      </w:r>
      <w:r w:rsidR="008251EA" w:rsidRPr="004913F1">
        <w:t xml:space="preserve"> burden hours (</w:t>
      </w:r>
      <w:r w:rsidR="008251EA">
        <w:t>59</w:t>
      </w:r>
      <w:r w:rsidR="008251EA" w:rsidRPr="004913F1">
        <w:t xml:space="preserve"> annualized) for </w:t>
      </w:r>
      <w:r w:rsidR="008251EA">
        <w:t>the field screener</w:t>
      </w:r>
      <w:r w:rsidR="008251EA" w:rsidRPr="004913F1">
        <w:t xml:space="preserve"> telephone </w:t>
      </w:r>
      <w:r w:rsidR="008251EA">
        <w:t>verifications and 105 burden hours (35 annualized) for the 4 evaluation questionnaire telephone verifications</w:t>
      </w:r>
      <w:r w:rsidR="008251EA" w:rsidRPr="004913F1">
        <w:t xml:space="preserve">. </w:t>
      </w:r>
      <w:r w:rsidR="00D86015">
        <w:t>With participants’ permission, we will perform audio recording of 10% of in-person interviews for quality control. This procedure does not affect burden.</w:t>
      </w:r>
    </w:p>
    <w:p w14:paraId="7B7230B9" w14:textId="00BFF68E" w:rsidR="00DA4596" w:rsidRDefault="005030A4" w:rsidP="00DA4596">
      <w:pPr>
        <w:spacing w:before="100" w:beforeAutospacing="1" w:after="100" w:afterAutospacing="1"/>
        <w:ind w:left="720"/>
      </w:pPr>
      <w:r>
        <w:t>All d</w:t>
      </w:r>
      <w:r w:rsidR="00DA4596">
        <w:t>ata collection will take place in 201</w:t>
      </w:r>
      <w:r w:rsidR="00246005">
        <w:t>8</w:t>
      </w:r>
      <w:r w:rsidR="00DA4596">
        <w:t>, 201</w:t>
      </w:r>
      <w:r w:rsidR="00246005">
        <w:t>9</w:t>
      </w:r>
      <w:r w:rsidR="00DA4596">
        <w:t>, and 20</w:t>
      </w:r>
      <w:r w:rsidR="00246005">
        <w:t>20</w:t>
      </w:r>
      <w:r w:rsidR="00DA4596">
        <w:t xml:space="preserve">. </w:t>
      </w:r>
      <w:r w:rsidR="00367E66">
        <w:t>T</w:t>
      </w:r>
      <w:r w:rsidR="00DA4596">
        <w:t xml:space="preserve">he target number of completed campaign questionnaires for all respondents is </w:t>
      </w:r>
      <w:r w:rsidR="00B56F2A">
        <w:t>77,433</w:t>
      </w:r>
      <w:r w:rsidR="00367E66">
        <w:t xml:space="preserve"> (</w:t>
      </w:r>
      <w:r w:rsidR="00B56F2A">
        <w:t>25,811</w:t>
      </w:r>
      <w:r w:rsidR="00367E66">
        <w:t xml:space="preserve"> annualized)</w:t>
      </w:r>
      <w:r w:rsidR="00DA4596">
        <w:t xml:space="preserve">, and the annualized response burden is estimated at </w:t>
      </w:r>
      <w:r w:rsidR="00367E66">
        <w:t>18,</w:t>
      </w:r>
      <w:r w:rsidR="0022457A">
        <w:t>772</w:t>
      </w:r>
      <w:r>
        <w:t xml:space="preserve"> </w:t>
      </w:r>
      <w:r w:rsidR="00367E66">
        <w:t>hours (6,</w:t>
      </w:r>
      <w:r w:rsidR="0022457A">
        <w:t>25</w:t>
      </w:r>
      <w:r w:rsidR="006B577A">
        <w:t>8</w:t>
      </w:r>
      <w:r w:rsidR="00367E66">
        <w:t xml:space="preserve"> annualized)</w:t>
      </w:r>
      <w:r w:rsidR="00DA4596">
        <w:t>. OMB approval is requested for 3 years</w:t>
      </w:r>
      <w:r w:rsidR="00DA4596" w:rsidRPr="00CF7290">
        <w:t xml:space="preserve">. </w:t>
      </w:r>
      <w:r w:rsidR="0047253A">
        <w:t>Table</w:t>
      </w:r>
      <w:r w:rsidR="0047253A" w:rsidRPr="00367E66">
        <w:t xml:space="preserve"> </w:t>
      </w:r>
      <w:r w:rsidR="00DA4596" w:rsidRPr="00367E66">
        <w:t>2 provides</w:t>
      </w:r>
      <w:r w:rsidR="00DA4596">
        <w:t xml:space="preserve"> details about how this estimate was calculated. </w:t>
      </w:r>
    </w:p>
    <w:p w14:paraId="66C43519" w14:textId="1BBA0916" w:rsidR="009B7DA1" w:rsidRDefault="005A1BF6" w:rsidP="00693C40">
      <w:pPr>
        <w:spacing w:before="100" w:beforeAutospacing="1" w:after="100" w:afterAutospacing="1"/>
        <w:ind w:firstLine="720"/>
        <w:rPr>
          <w:sz w:val="20"/>
          <w:szCs w:val="20"/>
        </w:rPr>
      </w:pPr>
      <w:bookmarkStart w:id="4" w:name="_Toc361824170"/>
      <w:r w:rsidRPr="005A1BF6">
        <w:rPr>
          <w:b/>
        </w:rPr>
        <w:t xml:space="preserve">Table </w:t>
      </w:r>
      <w:r w:rsidR="0047253A">
        <w:rPr>
          <w:b/>
        </w:rPr>
        <w:t>2</w:t>
      </w:r>
      <w:r w:rsidRPr="005A1BF6">
        <w:rPr>
          <w:b/>
        </w:rPr>
        <w:t>.--Estimated Annual Reporting Burden</w:t>
      </w:r>
      <w:r w:rsidR="002F2E75" w:rsidRPr="00A339F1">
        <w:rPr>
          <w:sz w:val="20"/>
          <w:szCs w:val="20"/>
        </w:rPr>
        <w:t>¹</w:t>
      </w:r>
      <w:bookmarkEnd w:id="4"/>
    </w:p>
    <w:tbl>
      <w:tblPr>
        <w:tblW w:w="4824"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6"/>
        <w:gridCol w:w="1863"/>
        <w:gridCol w:w="1349"/>
        <w:gridCol w:w="1264"/>
        <w:gridCol w:w="1147"/>
        <w:gridCol w:w="1094"/>
        <w:gridCol w:w="976"/>
      </w:tblGrid>
      <w:tr w:rsidR="00DA65E8" w:rsidRPr="00DA65E8" w14:paraId="17228C5F" w14:textId="77777777" w:rsidTr="006D416D">
        <w:trPr>
          <w:cantSplit/>
          <w:trHeight w:val="20"/>
          <w:tblHeader/>
        </w:trPr>
        <w:tc>
          <w:tcPr>
            <w:tcW w:w="837" w:type="pct"/>
            <w:vAlign w:val="bottom"/>
          </w:tcPr>
          <w:p w14:paraId="3BDEAE58" w14:textId="77777777" w:rsidR="00DA65E8" w:rsidRPr="00DA65E8" w:rsidRDefault="00DA65E8" w:rsidP="00DA65E8">
            <w:pPr>
              <w:keepNext/>
              <w:spacing w:before="20"/>
              <w:jc w:val="center"/>
              <w:rPr>
                <w:b/>
                <w:sz w:val="20"/>
                <w:szCs w:val="20"/>
              </w:rPr>
            </w:pPr>
            <w:r w:rsidRPr="00DA65E8">
              <w:rPr>
                <w:b/>
                <w:sz w:val="20"/>
                <w:szCs w:val="20"/>
              </w:rPr>
              <w:br w:type="page"/>
            </w:r>
            <w:r w:rsidRPr="00DA65E8">
              <w:rPr>
                <w:b/>
                <w:sz w:val="20"/>
                <w:szCs w:val="20"/>
              </w:rPr>
              <w:br w:type="page"/>
              <w:t>Type of Respondent</w:t>
            </w:r>
          </w:p>
        </w:tc>
        <w:tc>
          <w:tcPr>
            <w:tcW w:w="1008" w:type="pct"/>
            <w:shd w:val="clear" w:color="auto" w:fill="auto"/>
            <w:vAlign w:val="bottom"/>
          </w:tcPr>
          <w:p w14:paraId="68D33BB9" w14:textId="77777777" w:rsidR="00DA65E8" w:rsidRPr="00DA65E8" w:rsidRDefault="00DA65E8" w:rsidP="00DA65E8">
            <w:pPr>
              <w:keepNext/>
              <w:spacing w:before="20"/>
              <w:jc w:val="center"/>
              <w:rPr>
                <w:b/>
                <w:sz w:val="20"/>
                <w:szCs w:val="20"/>
              </w:rPr>
            </w:pPr>
            <w:r w:rsidRPr="00DA65E8">
              <w:rPr>
                <w:b/>
                <w:sz w:val="20"/>
                <w:szCs w:val="20"/>
              </w:rPr>
              <w:t>Activity</w:t>
            </w:r>
          </w:p>
        </w:tc>
        <w:tc>
          <w:tcPr>
            <w:tcW w:w="730" w:type="pct"/>
            <w:shd w:val="clear" w:color="auto" w:fill="auto"/>
            <w:vAlign w:val="bottom"/>
          </w:tcPr>
          <w:p w14:paraId="0AA710F6" w14:textId="77777777" w:rsidR="00DA65E8" w:rsidRPr="00DA65E8" w:rsidRDefault="00DA65E8" w:rsidP="00DA65E8">
            <w:pPr>
              <w:keepNext/>
              <w:spacing w:before="20"/>
              <w:jc w:val="center"/>
              <w:rPr>
                <w:b/>
                <w:sz w:val="20"/>
                <w:szCs w:val="20"/>
              </w:rPr>
            </w:pPr>
            <w:r w:rsidRPr="00DA65E8">
              <w:rPr>
                <w:b/>
                <w:sz w:val="20"/>
                <w:szCs w:val="20"/>
              </w:rPr>
              <w:t>No. of Respondents</w:t>
            </w:r>
          </w:p>
        </w:tc>
        <w:tc>
          <w:tcPr>
            <w:tcW w:w="683" w:type="pct"/>
            <w:shd w:val="clear" w:color="auto" w:fill="auto"/>
            <w:vAlign w:val="bottom"/>
          </w:tcPr>
          <w:p w14:paraId="46425E4C" w14:textId="77777777" w:rsidR="00DA65E8" w:rsidRPr="00DA65E8" w:rsidRDefault="00DA65E8" w:rsidP="00DA65E8">
            <w:pPr>
              <w:keepNext/>
              <w:spacing w:before="20"/>
              <w:jc w:val="center"/>
              <w:rPr>
                <w:b/>
                <w:sz w:val="20"/>
                <w:szCs w:val="20"/>
              </w:rPr>
            </w:pPr>
            <w:r w:rsidRPr="00DA65E8">
              <w:rPr>
                <w:b/>
                <w:sz w:val="20"/>
                <w:szCs w:val="20"/>
              </w:rPr>
              <w:t>No. of Responses per Respondent</w:t>
            </w:r>
          </w:p>
        </w:tc>
        <w:tc>
          <w:tcPr>
            <w:tcW w:w="621" w:type="pct"/>
            <w:shd w:val="clear" w:color="auto" w:fill="auto"/>
            <w:vAlign w:val="bottom"/>
          </w:tcPr>
          <w:p w14:paraId="7B285489" w14:textId="77777777" w:rsidR="00DA65E8" w:rsidRPr="00DA65E8" w:rsidRDefault="00DA65E8" w:rsidP="00DA65E8">
            <w:pPr>
              <w:keepNext/>
              <w:spacing w:before="20"/>
              <w:jc w:val="center"/>
              <w:rPr>
                <w:b/>
                <w:sz w:val="20"/>
                <w:szCs w:val="20"/>
              </w:rPr>
            </w:pPr>
            <w:r w:rsidRPr="00DA65E8">
              <w:rPr>
                <w:b/>
                <w:sz w:val="20"/>
                <w:szCs w:val="20"/>
              </w:rPr>
              <w:t>Total Annual Responses</w:t>
            </w:r>
          </w:p>
        </w:tc>
        <w:tc>
          <w:tcPr>
            <w:tcW w:w="592" w:type="pct"/>
            <w:shd w:val="clear" w:color="auto" w:fill="auto"/>
            <w:vAlign w:val="bottom"/>
          </w:tcPr>
          <w:p w14:paraId="553FFE2F" w14:textId="77777777" w:rsidR="00DA65E8" w:rsidRPr="00DA65E8" w:rsidRDefault="00DA65E8" w:rsidP="00DA65E8">
            <w:pPr>
              <w:keepNext/>
              <w:spacing w:before="20"/>
              <w:jc w:val="center"/>
              <w:rPr>
                <w:b/>
                <w:sz w:val="20"/>
                <w:szCs w:val="20"/>
              </w:rPr>
            </w:pPr>
            <w:r w:rsidRPr="00DA65E8">
              <w:rPr>
                <w:b/>
                <w:sz w:val="20"/>
                <w:szCs w:val="20"/>
              </w:rPr>
              <w:t>Average Burden per Response</w:t>
            </w:r>
          </w:p>
        </w:tc>
        <w:tc>
          <w:tcPr>
            <w:tcW w:w="529" w:type="pct"/>
            <w:shd w:val="clear" w:color="auto" w:fill="auto"/>
            <w:vAlign w:val="bottom"/>
          </w:tcPr>
          <w:p w14:paraId="13073901" w14:textId="77777777" w:rsidR="00DA65E8" w:rsidRPr="00DA65E8" w:rsidRDefault="00DA65E8" w:rsidP="00DA65E8">
            <w:pPr>
              <w:keepNext/>
              <w:spacing w:before="20"/>
              <w:ind w:right="112"/>
              <w:jc w:val="center"/>
              <w:rPr>
                <w:b/>
                <w:sz w:val="20"/>
                <w:szCs w:val="20"/>
              </w:rPr>
            </w:pPr>
            <w:r w:rsidRPr="00DA65E8">
              <w:rPr>
                <w:b/>
                <w:sz w:val="20"/>
                <w:szCs w:val="20"/>
              </w:rPr>
              <w:t>Total Hours</w:t>
            </w:r>
          </w:p>
        </w:tc>
      </w:tr>
      <w:tr w:rsidR="00DA65E8" w:rsidRPr="00DA65E8" w14:paraId="1F57D7B5" w14:textId="77777777" w:rsidTr="006D416D">
        <w:trPr>
          <w:cantSplit/>
          <w:trHeight w:val="20"/>
        </w:trPr>
        <w:tc>
          <w:tcPr>
            <w:tcW w:w="837" w:type="pct"/>
            <w:vMerge w:val="restart"/>
            <w:vAlign w:val="center"/>
          </w:tcPr>
          <w:p w14:paraId="236FC40C" w14:textId="77777777" w:rsidR="00DA65E8" w:rsidRPr="00DA65E8" w:rsidRDefault="00DA65E8" w:rsidP="00DA65E8">
            <w:pPr>
              <w:rPr>
                <w:sz w:val="20"/>
                <w:szCs w:val="20"/>
              </w:rPr>
            </w:pPr>
            <w:r w:rsidRPr="00DA65E8">
              <w:rPr>
                <w:sz w:val="20"/>
                <w:szCs w:val="20"/>
              </w:rPr>
              <w:t>Households (adults 18 and up)</w:t>
            </w:r>
          </w:p>
        </w:tc>
        <w:tc>
          <w:tcPr>
            <w:tcW w:w="1008" w:type="pct"/>
            <w:shd w:val="clear" w:color="auto" w:fill="auto"/>
          </w:tcPr>
          <w:p w14:paraId="11C0C84B" w14:textId="77777777" w:rsidR="00DA65E8" w:rsidRPr="00DA65E8" w:rsidRDefault="00DA65E8" w:rsidP="00DA65E8">
            <w:pPr>
              <w:rPr>
                <w:sz w:val="20"/>
                <w:szCs w:val="20"/>
              </w:rPr>
            </w:pPr>
            <w:r w:rsidRPr="00DA65E8">
              <w:rPr>
                <w:sz w:val="20"/>
                <w:szCs w:val="20"/>
              </w:rPr>
              <w:t>Mail screener</w:t>
            </w:r>
          </w:p>
        </w:tc>
        <w:tc>
          <w:tcPr>
            <w:tcW w:w="730" w:type="pct"/>
            <w:shd w:val="clear" w:color="auto" w:fill="auto"/>
          </w:tcPr>
          <w:p w14:paraId="2BD0A71C" w14:textId="77777777" w:rsidR="00DA65E8" w:rsidRPr="00DA65E8" w:rsidRDefault="00DA65E8" w:rsidP="00DA65E8">
            <w:pPr>
              <w:jc w:val="right"/>
              <w:rPr>
                <w:sz w:val="20"/>
                <w:szCs w:val="20"/>
              </w:rPr>
            </w:pPr>
            <w:r w:rsidRPr="00DA65E8">
              <w:rPr>
                <w:sz w:val="20"/>
                <w:szCs w:val="20"/>
              </w:rPr>
              <w:t>9,217</w:t>
            </w:r>
          </w:p>
        </w:tc>
        <w:tc>
          <w:tcPr>
            <w:tcW w:w="683" w:type="pct"/>
            <w:shd w:val="clear" w:color="auto" w:fill="auto"/>
          </w:tcPr>
          <w:p w14:paraId="7EA7AA0B" w14:textId="77777777" w:rsidR="00DA65E8" w:rsidRPr="00DA65E8" w:rsidRDefault="00DA65E8" w:rsidP="00DA65E8">
            <w:pPr>
              <w:jc w:val="right"/>
              <w:rPr>
                <w:sz w:val="20"/>
                <w:szCs w:val="20"/>
              </w:rPr>
            </w:pPr>
            <w:r w:rsidRPr="00DA65E8">
              <w:rPr>
                <w:sz w:val="20"/>
                <w:szCs w:val="20"/>
              </w:rPr>
              <w:t>1</w:t>
            </w:r>
          </w:p>
        </w:tc>
        <w:tc>
          <w:tcPr>
            <w:tcW w:w="621" w:type="pct"/>
            <w:shd w:val="clear" w:color="auto" w:fill="auto"/>
          </w:tcPr>
          <w:p w14:paraId="01337624" w14:textId="77777777" w:rsidR="00DA65E8" w:rsidRPr="00DA65E8" w:rsidRDefault="00DA65E8" w:rsidP="00DA65E8">
            <w:pPr>
              <w:jc w:val="right"/>
              <w:rPr>
                <w:sz w:val="20"/>
                <w:szCs w:val="20"/>
              </w:rPr>
            </w:pPr>
            <w:r w:rsidRPr="00DA65E8">
              <w:rPr>
                <w:sz w:val="20"/>
                <w:szCs w:val="20"/>
              </w:rPr>
              <w:t>9,217</w:t>
            </w:r>
          </w:p>
        </w:tc>
        <w:tc>
          <w:tcPr>
            <w:tcW w:w="592" w:type="pct"/>
            <w:shd w:val="clear" w:color="auto" w:fill="auto"/>
          </w:tcPr>
          <w:p w14:paraId="2E47E639" w14:textId="77777777" w:rsidR="00DA65E8" w:rsidRPr="00DA65E8" w:rsidRDefault="00DA65E8" w:rsidP="00DA65E8">
            <w:pPr>
              <w:jc w:val="right"/>
              <w:rPr>
                <w:sz w:val="20"/>
                <w:szCs w:val="20"/>
              </w:rPr>
            </w:pPr>
            <w:r w:rsidRPr="00DA65E8">
              <w:rPr>
                <w:sz w:val="20"/>
                <w:szCs w:val="20"/>
              </w:rPr>
              <w:t xml:space="preserve">0.17 </w:t>
            </w:r>
          </w:p>
        </w:tc>
        <w:tc>
          <w:tcPr>
            <w:tcW w:w="529" w:type="pct"/>
            <w:shd w:val="clear" w:color="auto" w:fill="auto"/>
          </w:tcPr>
          <w:p w14:paraId="1757D374" w14:textId="77777777" w:rsidR="00DA65E8" w:rsidRPr="00DA65E8" w:rsidRDefault="00DA65E8" w:rsidP="00DA65E8">
            <w:pPr>
              <w:jc w:val="right"/>
              <w:rPr>
                <w:sz w:val="20"/>
                <w:szCs w:val="20"/>
              </w:rPr>
            </w:pPr>
            <w:r w:rsidRPr="00DA65E8">
              <w:rPr>
                <w:sz w:val="20"/>
                <w:szCs w:val="20"/>
              </w:rPr>
              <w:t>1,567</w:t>
            </w:r>
          </w:p>
        </w:tc>
      </w:tr>
      <w:tr w:rsidR="00DA65E8" w:rsidRPr="00DA65E8" w14:paraId="4429C806" w14:textId="77777777" w:rsidTr="006D416D">
        <w:trPr>
          <w:cantSplit/>
          <w:trHeight w:val="71"/>
        </w:trPr>
        <w:tc>
          <w:tcPr>
            <w:tcW w:w="837" w:type="pct"/>
            <w:vMerge/>
            <w:vAlign w:val="center"/>
          </w:tcPr>
          <w:p w14:paraId="07FAEC53" w14:textId="77777777" w:rsidR="00DA65E8" w:rsidRPr="00DA65E8" w:rsidRDefault="00DA65E8" w:rsidP="00DA65E8">
            <w:pPr>
              <w:rPr>
                <w:sz w:val="20"/>
                <w:szCs w:val="20"/>
              </w:rPr>
            </w:pPr>
          </w:p>
        </w:tc>
        <w:tc>
          <w:tcPr>
            <w:tcW w:w="1008" w:type="pct"/>
            <w:shd w:val="clear" w:color="auto" w:fill="auto"/>
          </w:tcPr>
          <w:p w14:paraId="4048D267" w14:textId="77777777" w:rsidR="00DA65E8" w:rsidRPr="00DA65E8" w:rsidRDefault="00DA65E8" w:rsidP="00DA65E8">
            <w:pPr>
              <w:rPr>
                <w:sz w:val="20"/>
                <w:szCs w:val="20"/>
              </w:rPr>
            </w:pPr>
            <w:r w:rsidRPr="00DA65E8">
              <w:rPr>
                <w:sz w:val="20"/>
                <w:szCs w:val="20"/>
              </w:rPr>
              <w:t>Field screener</w:t>
            </w:r>
          </w:p>
        </w:tc>
        <w:tc>
          <w:tcPr>
            <w:tcW w:w="730" w:type="pct"/>
            <w:shd w:val="clear" w:color="auto" w:fill="auto"/>
          </w:tcPr>
          <w:p w14:paraId="44BC9BFC" w14:textId="77777777" w:rsidR="00DA65E8" w:rsidRPr="00DA65E8" w:rsidRDefault="00DA65E8" w:rsidP="00DA65E8">
            <w:pPr>
              <w:jc w:val="right"/>
              <w:rPr>
                <w:sz w:val="20"/>
                <w:szCs w:val="20"/>
              </w:rPr>
            </w:pPr>
            <w:r w:rsidRPr="00DA65E8">
              <w:rPr>
                <w:sz w:val="20"/>
                <w:szCs w:val="20"/>
              </w:rPr>
              <w:t>8,753</w:t>
            </w:r>
          </w:p>
        </w:tc>
        <w:tc>
          <w:tcPr>
            <w:tcW w:w="683" w:type="pct"/>
            <w:shd w:val="clear" w:color="auto" w:fill="auto"/>
          </w:tcPr>
          <w:p w14:paraId="12B8FD8C" w14:textId="77777777" w:rsidR="00DA65E8" w:rsidRPr="00DA65E8" w:rsidRDefault="00DA65E8" w:rsidP="00DA65E8">
            <w:pPr>
              <w:jc w:val="right"/>
              <w:rPr>
                <w:sz w:val="20"/>
                <w:szCs w:val="20"/>
              </w:rPr>
            </w:pPr>
            <w:r w:rsidRPr="00DA65E8">
              <w:rPr>
                <w:sz w:val="20"/>
                <w:szCs w:val="20"/>
              </w:rPr>
              <w:t>1</w:t>
            </w:r>
          </w:p>
        </w:tc>
        <w:tc>
          <w:tcPr>
            <w:tcW w:w="621" w:type="pct"/>
            <w:shd w:val="clear" w:color="auto" w:fill="auto"/>
          </w:tcPr>
          <w:p w14:paraId="5DE3A605" w14:textId="77777777" w:rsidR="00DA65E8" w:rsidRPr="00DA65E8" w:rsidRDefault="00DA65E8" w:rsidP="00DA65E8">
            <w:pPr>
              <w:jc w:val="right"/>
              <w:rPr>
                <w:sz w:val="20"/>
                <w:szCs w:val="20"/>
              </w:rPr>
            </w:pPr>
            <w:r w:rsidRPr="00DA65E8">
              <w:rPr>
                <w:sz w:val="20"/>
                <w:szCs w:val="20"/>
              </w:rPr>
              <w:t>8,753</w:t>
            </w:r>
          </w:p>
        </w:tc>
        <w:tc>
          <w:tcPr>
            <w:tcW w:w="592" w:type="pct"/>
            <w:shd w:val="clear" w:color="auto" w:fill="auto"/>
          </w:tcPr>
          <w:p w14:paraId="0164F692" w14:textId="77777777" w:rsidR="00DA65E8" w:rsidRPr="00DA65E8" w:rsidRDefault="00DA65E8" w:rsidP="00DA65E8">
            <w:pPr>
              <w:jc w:val="right"/>
              <w:rPr>
                <w:sz w:val="20"/>
                <w:szCs w:val="20"/>
              </w:rPr>
            </w:pPr>
            <w:r w:rsidRPr="00DA65E8">
              <w:rPr>
                <w:sz w:val="20"/>
                <w:szCs w:val="20"/>
              </w:rPr>
              <w:t xml:space="preserve">0.17 </w:t>
            </w:r>
          </w:p>
        </w:tc>
        <w:tc>
          <w:tcPr>
            <w:tcW w:w="529" w:type="pct"/>
            <w:shd w:val="clear" w:color="auto" w:fill="auto"/>
          </w:tcPr>
          <w:p w14:paraId="1953EFF8" w14:textId="77777777" w:rsidR="00DA65E8" w:rsidRPr="00DA65E8" w:rsidRDefault="00DA65E8" w:rsidP="00DA65E8">
            <w:pPr>
              <w:jc w:val="right"/>
              <w:rPr>
                <w:sz w:val="20"/>
                <w:szCs w:val="20"/>
              </w:rPr>
            </w:pPr>
            <w:r w:rsidRPr="00DA65E8">
              <w:rPr>
                <w:sz w:val="20"/>
                <w:szCs w:val="20"/>
              </w:rPr>
              <w:t>1,488</w:t>
            </w:r>
          </w:p>
        </w:tc>
      </w:tr>
      <w:tr w:rsidR="00DA65E8" w:rsidRPr="00DA65E8" w14:paraId="530B467B" w14:textId="77777777" w:rsidTr="006D416D">
        <w:trPr>
          <w:cantSplit/>
          <w:trHeight w:val="20"/>
        </w:trPr>
        <w:tc>
          <w:tcPr>
            <w:tcW w:w="837" w:type="pct"/>
            <w:vMerge/>
            <w:vAlign w:val="center"/>
          </w:tcPr>
          <w:p w14:paraId="11EB65BD" w14:textId="77777777" w:rsidR="00DA65E8" w:rsidRPr="00DA65E8" w:rsidRDefault="00DA65E8" w:rsidP="00DA65E8">
            <w:pPr>
              <w:rPr>
                <w:sz w:val="20"/>
                <w:szCs w:val="20"/>
              </w:rPr>
            </w:pPr>
          </w:p>
        </w:tc>
        <w:tc>
          <w:tcPr>
            <w:tcW w:w="1008" w:type="pct"/>
            <w:shd w:val="clear" w:color="auto" w:fill="auto"/>
          </w:tcPr>
          <w:p w14:paraId="0EAAAD79" w14:textId="77777777" w:rsidR="00DA65E8" w:rsidRPr="00DA65E8" w:rsidRDefault="00DA65E8" w:rsidP="00DA65E8">
            <w:pPr>
              <w:rPr>
                <w:sz w:val="20"/>
                <w:szCs w:val="20"/>
              </w:rPr>
            </w:pPr>
            <w:r w:rsidRPr="00DA65E8">
              <w:rPr>
                <w:sz w:val="20"/>
                <w:szCs w:val="20"/>
              </w:rPr>
              <w:t>Telephone verification, field screener</w:t>
            </w:r>
          </w:p>
        </w:tc>
        <w:tc>
          <w:tcPr>
            <w:tcW w:w="730" w:type="pct"/>
            <w:shd w:val="clear" w:color="auto" w:fill="auto"/>
          </w:tcPr>
          <w:p w14:paraId="44CDBC12" w14:textId="77777777" w:rsidR="00DA65E8" w:rsidRPr="00DA65E8" w:rsidRDefault="00DA65E8" w:rsidP="00DA65E8">
            <w:pPr>
              <w:jc w:val="right"/>
              <w:rPr>
                <w:sz w:val="20"/>
                <w:szCs w:val="20"/>
              </w:rPr>
            </w:pPr>
            <w:r w:rsidRPr="00DA65E8">
              <w:rPr>
                <w:sz w:val="20"/>
                <w:szCs w:val="20"/>
              </w:rPr>
              <w:t>733</w:t>
            </w:r>
          </w:p>
        </w:tc>
        <w:tc>
          <w:tcPr>
            <w:tcW w:w="683" w:type="pct"/>
            <w:shd w:val="clear" w:color="auto" w:fill="auto"/>
          </w:tcPr>
          <w:p w14:paraId="23B4D276" w14:textId="77777777" w:rsidR="00DA65E8" w:rsidRPr="00DA65E8" w:rsidRDefault="00DA65E8" w:rsidP="00DA65E8">
            <w:pPr>
              <w:jc w:val="right"/>
              <w:rPr>
                <w:sz w:val="20"/>
                <w:szCs w:val="20"/>
              </w:rPr>
            </w:pPr>
            <w:r w:rsidRPr="00DA65E8">
              <w:rPr>
                <w:sz w:val="20"/>
                <w:szCs w:val="20"/>
              </w:rPr>
              <w:t>1</w:t>
            </w:r>
          </w:p>
        </w:tc>
        <w:tc>
          <w:tcPr>
            <w:tcW w:w="621" w:type="pct"/>
            <w:shd w:val="clear" w:color="auto" w:fill="auto"/>
          </w:tcPr>
          <w:p w14:paraId="6AFABD20" w14:textId="77777777" w:rsidR="00DA65E8" w:rsidRPr="00DA65E8" w:rsidRDefault="00DA65E8" w:rsidP="00DA65E8">
            <w:pPr>
              <w:jc w:val="right"/>
              <w:rPr>
                <w:sz w:val="20"/>
                <w:szCs w:val="20"/>
              </w:rPr>
            </w:pPr>
            <w:r w:rsidRPr="00DA65E8">
              <w:rPr>
                <w:sz w:val="20"/>
                <w:szCs w:val="20"/>
              </w:rPr>
              <w:t>733</w:t>
            </w:r>
          </w:p>
        </w:tc>
        <w:tc>
          <w:tcPr>
            <w:tcW w:w="592" w:type="pct"/>
            <w:shd w:val="clear" w:color="auto" w:fill="auto"/>
          </w:tcPr>
          <w:p w14:paraId="303660AC" w14:textId="77777777" w:rsidR="00DA65E8" w:rsidRPr="00DA65E8" w:rsidRDefault="00DA65E8" w:rsidP="00DA65E8">
            <w:pPr>
              <w:jc w:val="right"/>
              <w:rPr>
                <w:sz w:val="20"/>
                <w:szCs w:val="20"/>
              </w:rPr>
            </w:pPr>
            <w:r w:rsidRPr="00DA65E8">
              <w:rPr>
                <w:sz w:val="20"/>
                <w:szCs w:val="20"/>
              </w:rPr>
              <w:t>0.08</w:t>
            </w:r>
          </w:p>
        </w:tc>
        <w:tc>
          <w:tcPr>
            <w:tcW w:w="529" w:type="pct"/>
            <w:shd w:val="clear" w:color="auto" w:fill="auto"/>
          </w:tcPr>
          <w:p w14:paraId="31277DA1" w14:textId="77777777" w:rsidR="00DA65E8" w:rsidRPr="00DA65E8" w:rsidRDefault="00DA65E8" w:rsidP="00DA65E8">
            <w:pPr>
              <w:jc w:val="right"/>
              <w:rPr>
                <w:noProof/>
                <w:sz w:val="20"/>
                <w:szCs w:val="20"/>
              </w:rPr>
            </w:pPr>
            <w:r w:rsidRPr="00DA65E8">
              <w:rPr>
                <w:noProof/>
                <w:sz w:val="20"/>
                <w:szCs w:val="20"/>
              </w:rPr>
              <w:t>59</w:t>
            </w:r>
          </w:p>
        </w:tc>
      </w:tr>
      <w:tr w:rsidR="00DA65E8" w:rsidRPr="00DA65E8" w14:paraId="42C7EDFB" w14:textId="77777777" w:rsidTr="006D416D">
        <w:trPr>
          <w:cantSplit/>
          <w:trHeight w:val="20"/>
        </w:trPr>
        <w:tc>
          <w:tcPr>
            <w:tcW w:w="837" w:type="pct"/>
            <w:vMerge w:val="restart"/>
            <w:vAlign w:val="center"/>
          </w:tcPr>
          <w:p w14:paraId="729BB0FA" w14:textId="77777777" w:rsidR="00DA65E8" w:rsidRPr="00DA65E8" w:rsidRDefault="00DA65E8" w:rsidP="00DA65E8">
            <w:pPr>
              <w:rPr>
                <w:sz w:val="20"/>
                <w:szCs w:val="20"/>
              </w:rPr>
            </w:pPr>
            <w:r w:rsidRPr="00DA65E8">
              <w:rPr>
                <w:sz w:val="20"/>
                <w:szCs w:val="20"/>
              </w:rPr>
              <w:t>Adult smokers ages 25 to 54</w:t>
            </w:r>
          </w:p>
        </w:tc>
        <w:tc>
          <w:tcPr>
            <w:tcW w:w="1008" w:type="pct"/>
            <w:shd w:val="clear" w:color="auto" w:fill="auto"/>
          </w:tcPr>
          <w:p w14:paraId="59E14DEC" w14:textId="77777777" w:rsidR="00DA65E8" w:rsidRPr="00DA65E8" w:rsidRDefault="00DA65E8" w:rsidP="00DA65E8">
            <w:pPr>
              <w:rPr>
                <w:sz w:val="20"/>
                <w:szCs w:val="20"/>
              </w:rPr>
            </w:pPr>
            <w:r w:rsidRPr="00DA65E8">
              <w:rPr>
                <w:sz w:val="20"/>
                <w:szCs w:val="20"/>
              </w:rPr>
              <w:t>Wave 1 questionnaire</w:t>
            </w:r>
          </w:p>
        </w:tc>
        <w:tc>
          <w:tcPr>
            <w:tcW w:w="730" w:type="pct"/>
            <w:shd w:val="clear" w:color="auto" w:fill="auto"/>
          </w:tcPr>
          <w:p w14:paraId="33772E2D" w14:textId="77777777" w:rsidR="00DA65E8" w:rsidRPr="00DA65E8" w:rsidRDefault="00DA65E8" w:rsidP="00DA65E8">
            <w:pPr>
              <w:jc w:val="right"/>
              <w:rPr>
                <w:sz w:val="20"/>
                <w:szCs w:val="20"/>
              </w:rPr>
            </w:pPr>
            <w:r w:rsidRPr="00DA65E8">
              <w:rPr>
                <w:sz w:val="20"/>
                <w:szCs w:val="20"/>
              </w:rPr>
              <w:t>1,427</w:t>
            </w:r>
          </w:p>
        </w:tc>
        <w:tc>
          <w:tcPr>
            <w:tcW w:w="683" w:type="pct"/>
            <w:shd w:val="clear" w:color="auto" w:fill="auto"/>
          </w:tcPr>
          <w:p w14:paraId="7E334D36" w14:textId="77777777" w:rsidR="00DA65E8" w:rsidRPr="00DA65E8" w:rsidRDefault="00DA65E8" w:rsidP="00DA65E8">
            <w:pPr>
              <w:jc w:val="right"/>
              <w:rPr>
                <w:sz w:val="20"/>
                <w:szCs w:val="20"/>
              </w:rPr>
            </w:pPr>
            <w:r w:rsidRPr="00DA65E8">
              <w:rPr>
                <w:sz w:val="20"/>
                <w:szCs w:val="20"/>
              </w:rPr>
              <w:t>1</w:t>
            </w:r>
          </w:p>
        </w:tc>
        <w:tc>
          <w:tcPr>
            <w:tcW w:w="621" w:type="pct"/>
            <w:shd w:val="clear" w:color="auto" w:fill="auto"/>
          </w:tcPr>
          <w:p w14:paraId="1125FACB" w14:textId="77777777" w:rsidR="00DA65E8" w:rsidRPr="00DA65E8" w:rsidRDefault="00DA65E8" w:rsidP="00DA65E8">
            <w:pPr>
              <w:jc w:val="right"/>
              <w:rPr>
                <w:sz w:val="20"/>
                <w:szCs w:val="20"/>
              </w:rPr>
            </w:pPr>
            <w:r w:rsidRPr="00DA65E8">
              <w:rPr>
                <w:sz w:val="20"/>
                <w:szCs w:val="20"/>
              </w:rPr>
              <w:t>1,427</w:t>
            </w:r>
          </w:p>
        </w:tc>
        <w:tc>
          <w:tcPr>
            <w:tcW w:w="592" w:type="pct"/>
            <w:shd w:val="clear" w:color="auto" w:fill="auto"/>
          </w:tcPr>
          <w:p w14:paraId="7913000E" w14:textId="77777777" w:rsidR="00DA65E8" w:rsidRPr="00DA65E8" w:rsidRDefault="00DA65E8" w:rsidP="00DA65E8">
            <w:pPr>
              <w:jc w:val="right"/>
              <w:rPr>
                <w:sz w:val="20"/>
                <w:szCs w:val="20"/>
              </w:rPr>
            </w:pPr>
            <w:r w:rsidRPr="00DA65E8">
              <w:rPr>
                <w:sz w:val="20"/>
                <w:szCs w:val="20"/>
              </w:rPr>
              <w:t xml:space="preserve">0.67 </w:t>
            </w:r>
          </w:p>
        </w:tc>
        <w:tc>
          <w:tcPr>
            <w:tcW w:w="529" w:type="pct"/>
            <w:shd w:val="clear" w:color="auto" w:fill="auto"/>
          </w:tcPr>
          <w:p w14:paraId="68F60FC5" w14:textId="77777777" w:rsidR="00DA65E8" w:rsidRPr="00DA65E8" w:rsidRDefault="00DA65E8" w:rsidP="00DA65E8">
            <w:pPr>
              <w:jc w:val="right"/>
              <w:rPr>
                <w:sz w:val="20"/>
                <w:szCs w:val="20"/>
              </w:rPr>
            </w:pPr>
            <w:r w:rsidRPr="00DA65E8">
              <w:rPr>
                <w:sz w:val="20"/>
                <w:szCs w:val="20"/>
              </w:rPr>
              <w:t>956</w:t>
            </w:r>
          </w:p>
        </w:tc>
      </w:tr>
      <w:tr w:rsidR="00DA65E8" w:rsidRPr="00DA65E8" w14:paraId="4AF30D4D" w14:textId="77777777" w:rsidTr="006D416D">
        <w:trPr>
          <w:cantSplit/>
          <w:trHeight w:val="107"/>
        </w:trPr>
        <w:tc>
          <w:tcPr>
            <w:tcW w:w="837" w:type="pct"/>
            <w:vMerge/>
            <w:vAlign w:val="center"/>
          </w:tcPr>
          <w:p w14:paraId="0B0181DD" w14:textId="77777777" w:rsidR="00DA65E8" w:rsidRPr="00DA65E8" w:rsidRDefault="00DA65E8" w:rsidP="00DA65E8">
            <w:pPr>
              <w:rPr>
                <w:sz w:val="20"/>
                <w:szCs w:val="20"/>
              </w:rPr>
            </w:pPr>
          </w:p>
        </w:tc>
        <w:tc>
          <w:tcPr>
            <w:tcW w:w="1008" w:type="pct"/>
            <w:shd w:val="clear" w:color="auto" w:fill="auto"/>
          </w:tcPr>
          <w:p w14:paraId="53DFC04B" w14:textId="77777777" w:rsidR="00DA65E8" w:rsidRPr="00DA65E8" w:rsidRDefault="00DA65E8" w:rsidP="00DA65E8">
            <w:pPr>
              <w:rPr>
                <w:sz w:val="20"/>
                <w:szCs w:val="20"/>
              </w:rPr>
            </w:pPr>
            <w:r w:rsidRPr="00DA65E8">
              <w:rPr>
                <w:sz w:val="20"/>
                <w:szCs w:val="20"/>
              </w:rPr>
              <w:t>Wave 2 - 4 questionnaires</w:t>
            </w:r>
          </w:p>
        </w:tc>
        <w:tc>
          <w:tcPr>
            <w:tcW w:w="730" w:type="pct"/>
            <w:shd w:val="clear" w:color="auto" w:fill="auto"/>
          </w:tcPr>
          <w:p w14:paraId="49E0E240" w14:textId="77777777" w:rsidR="00DA65E8" w:rsidRPr="00DA65E8" w:rsidRDefault="00DA65E8" w:rsidP="00DA65E8">
            <w:pPr>
              <w:jc w:val="right"/>
              <w:rPr>
                <w:sz w:val="20"/>
                <w:szCs w:val="20"/>
              </w:rPr>
            </w:pPr>
            <w:r w:rsidRPr="00DA65E8">
              <w:rPr>
                <w:sz w:val="20"/>
                <w:szCs w:val="20"/>
              </w:rPr>
              <w:t>2,938</w:t>
            </w:r>
          </w:p>
        </w:tc>
        <w:tc>
          <w:tcPr>
            <w:tcW w:w="683" w:type="pct"/>
            <w:shd w:val="clear" w:color="auto" w:fill="auto"/>
          </w:tcPr>
          <w:p w14:paraId="53548565" w14:textId="77777777" w:rsidR="00DA65E8" w:rsidRPr="00DA65E8" w:rsidRDefault="00DA65E8" w:rsidP="00DA65E8">
            <w:pPr>
              <w:jc w:val="right"/>
              <w:rPr>
                <w:sz w:val="20"/>
                <w:szCs w:val="20"/>
              </w:rPr>
            </w:pPr>
            <w:r w:rsidRPr="00DA65E8">
              <w:rPr>
                <w:sz w:val="20"/>
                <w:szCs w:val="20"/>
              </w:rPr>
              <w:t>1</w:t>
            </w:r>
          </w:p>
        </w:tc>
        <w:tc>
          <w:tcPr>
            <w:tcW w:w="621" w:type="pct"/>
            <w:shd w:val="clear" w:color="auto" w:fill="auto"/>
          </w:tcPr>
          <w:p w14:paraId="6C8E4CDB" w14:textId="77777777" w:rsidR="00DA65E8" w:rsidRPr="00DA65E8" w:rsidRDefault="00DA65E8" w:rsidP="00DA65E8">
            <w:pPr>
              <w:jc w:val="right"/>
              <w:rPr>
                <w:sz w:val="20"/>
                <w:szCs w:val="20"/>
              </w:rPr>
            </w:pPr>
            <w:r w:rsidRPr="00DA65E8">
              <w:rPr>
                <w:sz w:val="20"/>
                <w:szCs w:val="20"/>
              </w:rPr>
              <w:t>2,938</w:t>
            </w:r>
          </w:p>
        </w:tc>
        <w:tc>
          <w:tcPr>
            <w:tcW w:w="592" w:type="pct"/>
            <w:shd w:val="clear" w:color="auto" w:fill="auto"/>
          </w:tcPr>
          <w:p w14:paraId="2A274D3E" w14:textId="77777777" w:rsidR="00DA65E8" w:rsidRPr="00DA65E8" w:rsidRDefault="00DA65E8" w:rsidP="00DA65E8">
            <w:pPr>
              <w:jc w:val="right"/>
              <w:rPr>
                <w:sz w:val="20"/>
                <w:szCs w:val="20"/>
              </w:rPr>
            </w:pPr>
            <w:r w:rsidRPr="00DA65E8">
              <w:rPr>
                <w:sz w:val="20"/>
                <w:szCs w:val="20"/>
              </w:rPr>
              <w:t>0.67</w:t>
            </w:r>
          </w:p>
        </w:tc>
        <w:tc>
          <w:tcPr>
            <w:tcW w:w="529" w:type="pct"/>
            <w:shd w:val="clear" w:color="auto" w:fill="auto"/>
          </w:tcPr>
          <w:p w14:paraId="40CB1BB7" w14:textId="77777777" w:rsidR="00DA65E8" w:rsidRPr="00DA65E8" w:rsidRDefault="00DA65E8" w:rsidP="00DA65E8">
            <w:pPr>
              <w:jc w:val="right"/>
              <w:rPr>
                <w:noProof/>
                <w:sz w:val="20"/>
                <w:szCs w:val="20"/>
              </w:rPr>
            </w:pPr>
            <w:r w:rsidRPr="00DA65E8">
              <w:rPr>
                <w:noProof/>
                <w:sz w:val="20"/>
                <w:szCs w:val="20"/>
              </w:rPr>
              <w:t>1,968</w:t>
            </w:r>
          </w:p>
        </w:tc>
      </w:tr>
      <w:tr w:rsidR="00DA65E8" w:rsidRPr="00DA65E8" w14:paraId="539650B3" w14:textId="77777777" w:rsidTr="006D416D">
        <w:trPr>
          <w:cantSplit/>
          <w:trHeight w:val="20"/>
        </w:trPr>
        <w:tc>
          <w:tcPr>
            <w:tcW w:w="837" w:type="pct"/>
            <w:vMerge/>
            <w:vAlign w:val="center"/>
          </w:tcPr>
          <w:p w14:paraId="69522A4C" w14:textId="77777777" w:rsidR="00DA65E8" w:rsidRPr="00DA65E8" w:rsidRDefault="00DA65E8" w:rsidP="00DA65E8">
            <w:pPr>
              <w:rPr>
                <w:sz w:val="20"/>
                <w:szCs w:val="20"/>
              </w:rPr>
            </w:pPr>
          </w:p>
        </w:tc>
        <w:tc>
          <w:tcPr>
            <w:tcW w:w="1008" w:type="pct"/>
            <w:shd w:val="clear" w:color="auto" w:fill="auto"/>
          </w:tcPr>
          <w:p w14:paraId="102D91F5" w14:textId="77777777" w:rsidR="00DA65E8" w:rsidRPr="00DA65E8" w:rsidRDefault="00DA65E8" w:rsidP="00DA65E8">
            <w:pPr>
              <w:rPr>
                <w:sz w:val="20"/>
                <w:szCs w:val="20"/>
              </w:rPr>
            </w:pPr>
            <w:r w:rsidRPr="00DA65E8">
              <w:rPr>
                <w:sz w:val="20"/>
                <w:szCs w:val="20"/>
              </w:rPr>
              <w:t>Telephone verification, questionnaires 1- 4</w:t>
            </w:r>
          </w:p>
        </w:tc>
        <w:tc>
          <w:tcPr>
            <w:tcW w:w="730" w:type="pct"/>
            <w:shd w:val="clear" w:color="auto" w:fill="auto"/>
          </w:tcPr>
          <w:p w14:paraId="3F453082" w14:textId="77777777" w:rsidR="00DA65E8" w:rsidRPr="00DA65E8" w:rsidRDefault="00DA65E8" w:rsidP="00DA65E8">
            <w:pPr>
              <w:jc w:val="right"/>
              <w:rPr>
                <w:sz w:val="20"/>
                <w:szCs w:val="20"/>
              </w:rPr>
            </w:pPr>
            <w:r w:rsidRPr="00DA65E8">
              <w:rPr>
                <w:sz w:val="20"/>
                <w:szCs w:val="20"/>
              </w:rPr>
              <w:t>436</w:t>
            </w:r>
          </w:p>
        </w:tc>
        <w:tc>
          <w:tcPr>
            <w:tcW w:w="683" w:type="pct"/>
            <w:shd w:val="clear" w:color="auto" w:fill="auto"/>
          </w:tcPr>
          <w:p w14:paraId="5C62B029" w14:textId="77777777" w:rsidR="00DA65E8" w:rsidRPr="00DA65E8" w:rsidRDefault="00DA65E8" w:rsidP="00DA65E8">
            <w:pPr>
              <w:jc w:val="right"/>
              <w:rPr>
                <w:sz w:val="20"/>
                <w:szCs w:val="20"/>
              </w:rPr>
            </w:pPr>
            <w:r w:rsidRPr="00DA65E8">
              <w:rPr>
                <w:sz w:val="20"/>
                <w:szCs w:val="20"/>
              </w:rPr>
              <w:t>1</w:t>
            </w:r>
          </w:p>
        </w:tc>
        <w:tc>
          <w:tcPr>
            <w:tcW w:w="621" w:type="pct"/>
            <w:shd w:val="clear" w:color="auto" w:fill="auto"/>
          </w:tcPr>
          <w:p w14:paraId="510CF2EE" w14:textId="77777777" w:rsidR="00DA65E8" w:rsidRPr="00DA65E8" w:rsidRDefault="00DA65E8" w:rsidP="00DA65E8">
            <w:pPr>
              <w:jc w:val="right"/>
              <w:rPr>
                <w:sz w:val="20"/>
                <w:szCs w:val="20"/>
              </w:rPr>
            </w:pPr>
            <w:r w:rsidRPr="00DA65E8">
              <w:rPr>
                <w:sz w:val="20"/>
                <w:szCs w:val="20"/>
              </w:rPr>
              <w:t>436</w:t>
            </w:r>
          </w:p>
        </w:tc>
        <w:tc>
          <w:tcPr>
            <w:tcW w:w="592" w:type="pct"/>
            <w:shd w:val="clear" w:color="auto" w:fill="auto"/>
          </w:tcPr>
          <w:p w14:paraId="78D06CB9" w14:textId="77777777" w:rsidR="00DA65E8" w:rsidRPr="00DA65E8" w:rsidRDefault="00DA65E8" w:rsidP="00DA65E8">
            <w:pPr>
              <w:jc w:val="right"/>
              <w:rPr>
                <w:sz w:val="20"/>
                <w:szCs w:val="20"/>
              </w:rPr>
            </w:pPr>
            <w:r w:rsidRPr="00DA65E8">
              <w:rPr>
                <w:sz w:val="20"/>
                <w:szCs w:val="20"/>
              </w:rPr>
              <w:t>0.08</w:t>
            </w:r>
          </w:p>
        </w:tc>
        <w:tc>
          <w:tcPr>
            <w:tcW w:w="529" w:type="pct"/>
            <w:shd w:val="clear" w:color="auto" w:fill="auto"/>
          </w:tcPr>
          <w:p w14:paraId="6EE7F45C" w14:textId="77777777" w:rsidR="00DA65E8" w:rsidRPr="00DA65E8" w:rsidRDefault="00DA65E8" w:rsidP="00DA65E8">
            <w:pPr>
              <w:jc w:val="right"/>
              <w:rPr>
                <w:sz w:val="20"/>
                <w:szCs w:val="20"/>
              </w:rPr>
            </w:pPr>
            <w:r w:rsidRPr="00DA65E8">
              <w:rPr>
                <w:sz w:val="20"/>
                <w:szCs w:val="20"/>
              </w:rPr>
              <w:t>35</w:t>
            </w:r>
          </w:p>
        </w:tc>
      </w:tr>
      <w:tr w:rsidR="00DA65E8" w:rsidRPr="00DA65E8" w14:paraId="66084EE6" w14:textId="77777777" w:rsidTr="006D416D">
        <w:trPr>
          <w:cantSplit/>
          <w:trHeight w:val="20"/>
        </w:trPr>
        <w:tc>
          <w:tcPr>
            <w:tcW w:w="837" w:type="pct"/>
            <w:vAlign w:val="center"/>
          </w:tcPr>
          <w:p w14:paraId="48A2D6CB" w14:textId="77777777" w:rsidR="00DA65E8" w:rsidRPr="00DA65E8" w:rsidRDefault="00DA65E8" w:rsidP="00DA65E8">
            <w:pPr>
              <w:rPr>
                <w:sz w:val="20"/>
                <w:szCs w:val="20"/>
              </w:rPr>
            </w:pPr>
            <w:r w:rsidRPr="00DA65E8">
              <w:rPr>
                <w:sz w:val="20"/>
                <w:szCs w:val="20"/>
              </w:rPr>
              <w:t>Study participants (opt in)</w:t>
            </w:r>
          </w:p>
        </w:tc>
        <w:tc>
          <w:tcPr>
            <w:tcW w:w="1008" w:type="pct"/>
            <w:shd w:val="clear" w:color="auto" w:fill="auto"/>
          </w:tcPr>
          <w:p w14:paraId="2A16F593" w14:textId="77777777" w:rsidR="00DA65E8" w:rsidRPr="00DA65E8" w:rsidRDefault="00DA65E8" w:rsidP="00DA65E8">
            <w:pPr>
              <w:rPr>
                <w:sz w:val="20"/>
                <w:szCs w:val="20"/>
              </w:rPr>
            </w:pPr>
            <w:r w:rsidRPr="00DA65E8">
              <w:rPr>
                <w:sz w:val="20"/>
                <w:szCs w:val="20"/>
              </w:rPr>
              <w:t>App-based questionnaire</w:t>
            </w:r>
          </w:p>
        </w:tc>
        <w:tc>
          <w:tcPr>
            <w:tcW w:w="730" w:type="pct"/>
            <w:shd w:val="clear" w:color="auto" w:fill="auto"/>
          </w:tcPr>
          <w:p w14:paraId="4DD7DB59" w14:textId="77777777" w:rsidR="00DA65E8" w:rsidRPr="00DA65E8" w:rsidRDefault="00DA65E8" w:rsidP="00DA65E8">
            <w:pPr>
              <w:jc w:val="right"/>
              <w:rPr>
                <w:sz w:val="20"/>
                <w:szCs w:val="20"/>
              </w:rPr>
            </w:pPr>
            <w:r w:rsidRPr="00DA65E8">
              <w:rPr>
                <w:color w:val="000000"/>
                <w:sz w:val="20"/>
                <w:szCs w:val="20"/>
              </w:rPr>
              <w:t>769</w:t>
            </w:r>
          </w:p>
        </w:tc>
        <w:tc>
          <w:tcPr>
            <w:tcW w:w="683" w:type="pct"/>
            <w:shd w:val="clear" w:color="auto" w:fill="auto"/>
          </w:tcPr>
          <w:p w14:paraId="6D06C217" w14:textId="77777777" w:rsidR="00DA65E8" w:rsidRPr="00DA65E8" w:rsidRDefault="00DA65E8" w:rsidP="00DA65E8">
            <w:pPr>
              <w:jc w:val="right"/>
              <w:rPr>
                <w:sz w:val="20"/>
                <w:szCs w:val="20"/>
              </w:rPr>
            </w:pPr>
            <w:r w:rsidRPr="00DA65E8">
              <w:rPr>
                <w:sz w:val="20"/>
                <w:szCs w:val="20"/>
              </w:rPr>
              <w:t>3</w:t>
            </w:r>
          </w:p>
        </w:tc>
        <w:tc>
          <w:tcPr>
            <w:tcW w:w="621" w:type="pct"/>
            <w:shd w:val="clear" w:color="auto" w:fill="auto"/>
          </w:tcPr>
          <w:p w14:paraId="3750E79D" w14:textId="5F624CEC" w:rsidR="00DA65E8" w:rsidRPr="00DA65E8" w:rsidRDefault="00B56F2A" w:rsidP="00B56F2A">
            <w:pPr>
              <w:jc w:val="right"/>
              <w:rPr>
                <w:sz w:val="20"/>
                <w:szCs w:val="20"/>
              </w:rPr>
            </w:pPr>
            <w:r>
              <w:rPr>
                <w:sz w:val="20"/>
                <w:szCs w:val="20"/>
              </w:rPr>
              <w:t>2,307</w:t>
            </w:r>
          </w:p>
        </w:tc>
        <w:tc>
          <w:tcPr>
            <w:tcW w:w="592" w:type="pct"/>
            <w:shd w:val="clear" w:color="auto" w:fill="auto"/>
          </w:tcPr>
          <w:p w14:paraId="35D2443C" w14:textId="77777777" w:rsidR="00DA65E8" w:rsidRPr="00DA65E8" w:rsidRDefault="00DA65E8" w:rsidP="00DA65E8">
            <w:pPr>
              <w:jc w:val="right"/>
              <w:rPr>
                <w:sz w:val="20"/>
                <w:szCs w:val="20"/>
              </w:rPr>
            </w:pPr>
            <w:r w:rsidRPr="00DA65E8">
              <w:rPr>
                <w:sz w:val="20"/>
                <w:szCs w:val="20"/>
              </w:rPr>
              <w:t xml:space="preserve">0.08 </w:t>
            </w:r>
          </w:p>
        </w:tc>
        <w:tc>
          <w:tcPr>
            <w:tcW w:w="529" w:type="pct"/>
            <w:shd w:val="clear" w:color="auto" w:fill="auto"/>
          </w:tcPr>
          <w:p w14:paraId="5E906F3D" w14:textId="77777777" w:rsidR="00DA65E8" w:rsidRPr="00DA65E8" w:rsidRDefault="00DA65E8" w:rsidP="00DA65E8">
            <w:pPr>
              <w:jc w:val="right"/>
              <w:rPr>
                <w:sz w:val="20"/>
                <w:szCs w:val="20"/>
              </w:rPr>
            </w:pPr>
            <w:r w:rsidRPr="00DA65E8">
              <w:rPr>
                <w:sz w:val="20"/>
                <w:szCs w:val="20"/>
              </w:rPr>
              <w:t>185</w:t>
            </w:r>
          </w:p>
        </w:tc>
      </w:tr>
      <w:tr w:rsidR="006D416D" w:rsidRPr="006D416D" w14:paraId="678DFB03" w14:textId="77777777" w:rsidTr="006D416D">
        <w:trPr>
          <w:cantSplit/>
          <w:trHeight w:val="20"/>
        </w:trPr>
        <w:tc>
          <w:tcPr>
            <w:tcW w:w="3259" w:type="pct"/>
            <w:gridSpan w:val="4"/>
            <w:vAlign w:val="center"/>
          </w:tcPr>
          <w:p w14:paraId="1F69F04D" w14:textId="6BC90093" w:rsidR="006D416D" w:rsidRPr="006D416D" w:rsidRDefault="006D416D" w:rsidP="006D416D">
            <w:pPr>
              <w:rPr>
                <w:b/>
                <w:sz w:val="20"/>
                <w:szCs w:val="20"/>
              </w:rPr>
            </w:pPr>
            <w:r w:rsidRPr="006D416D">
              <w:rPr>
                <w:b/>
                <w:sz w:val="20"/>
                <w:szCs w:val="20"/>
              </w:rPr>
              <w:t>Totals</w:t>
            </w:r>
          </w:p>
        </w:tc>
        <w:tc>
          <w:tcPr>
            <w:tcW w:w="621" w:type="pct"/>
            <w:shd w:val="clear" w:color="auto" w:fill="auto"/>
          </w:tcPr>
          <w:p w14:paraId="3E347AC9" w14:textId="592DE16F" w:rsidR="006D416D" w:rsidRPr="006D416D" w:rsidRDefault="00B56F2A" w:rsidP="00DA65E8">
            <w:pPr>
              <w:jc w:val="right"/>
              <w:rPr>
                <w:b/>
                <w:sz w:val="20"/>
                <w:szCs w:val="20"/>
              </w:rPr>
            </w:pPr>
            <w:r>
              <w:rPr>
                <w:b/>
                <w:sz w:val="20"/>
                <w:szCs w:val="20"/>
              </w:rPr>
              <w:t>25,811</w:t>
            </w:r>
          </w:p>
        </w:tc>
        <w:tc>
          <w:tcPr>
            <w:tcW w:w="592" w:type="pct"/>
            <w:shd w:val="clear" w:color="auto" w:fill="auto"/>
          </w:tcPr>
          <w:p w14:paraId="7E574F6D" w14:textId="77777777" w:rsidR="006D416D" w:rsidRPr="006D416D" w:rsidRDefault="006D416D" w:rsidP="00DA65E8">
            <w:pPr>
              <w:jc w:val="right"/>
              <w:rPr>
                <w:b/>
                <w:sz w:val="20"/>
                <w:szCs w:val="20"/>
              </w:rPr>
            </w:pPr>
          </w:p>
        </w:tc>
        <w:tc>
          <w:tcPr>
            <w:tcW w:w="529" w:type="pct"/>
            <w:shd w:val="clear" w:color="auto" w:fill="auto"/>
          </w:tcPr>
          <w:p w14:paraId="768F03B4" w14:textId="7D765B76" w:rsidR="006D416D" w:rsidRPr="006D416D" w:rsidRDefault="006D416D" w:rsidP="00DA65E8">
            <w:pPr>
              <w:jc w:val="right"/>
              <w:rPr>
                <w:b/>
                <w:sz w:val="20"/>
                <w:szCs w:val="20"/>
              </w:rPr>
            </w:pPr>
            <w:r w:rsidRPr="006D416D">
              <w:rPr>
                <w:b/>
                <w:sz w:val="20"/>
                <w:szCs w:val="20"/>
              </w:rPr>
              <w:fldChar w:fldCharType="begin"/>
            </w:r>
            <w:r w:rsidRPr="006D416D">
              <w:rPr>
                <w:b/>
                <w:sz w:val="20"/>
                <w:szCs w:val="20"/>
              </w:rPr>
              <w:instrText xml:space="preserve"> =SUM(ABOVE) </w:instrText>
            </w:r>
            <w:r w:rsidRPr="006D416D">
              <w:rPr>
                <w:b/>
                <w:sz w:val="20"/>
                <w:szCs w:val="20"/>
              </w:rPr>
              <w:fldChar w:fldCharType="separate"/>
            </w:r>
            <w:r w:rsidRPr="006D416D">
              <w:rPr>
                <w:b/>
                <w:noProof/>
                <w:sz w:val="20"/>
                <w:szCs w:val="20"/>
              </w:rPr>
              <w:t>6,258</w:t>
            </w:r>
            <w:r w:rsidRPr="006D416D">
              <w:rPr>
                <w:b/>
                <w:sz w:val="20"/>
                <w:szCs w:val="20"/>
              </w:rPr>
              <w:fldChar w:fldCharType="end"/>
            </w:r>
          </w:p>
        </w:tc>
      </w:tr>
    </w:tbl>
    <w:p w14:paraId="1C431D94" w14:textId="77777777" w:rsidR="00C640A9" w:rsidRPr="00943C2E" w:rsidRDefault="00C640A9" w:rsidP="00693C40">
      <w:pPr>
        <w:ind w:firstLine="720"/>
        <w:rPr>
          <w:sz w:val="19"/>
          <w:szCs w:val="19"/>
        </w:rPr>
      </w:pPr>
      <w:r w:rsidRPr="00943C2E">
        <w:rPr>
          <w:sz w:val="19"/>
          <w:szCs w:val="19"/>
          <w:vertAlign w:val="superscript"/>
        </w:rPr>
        <w:t>1</w:t>
      </w:r>
      <w:r w:rsidRPr="00943C2E">
        <w:rPr>
          <w:sz w:val="19"/>
          <w:szCs w:val="19"/>
        </w:rPr>
        <w:t xml:space="preserve"> There are no capital costs or operating and maintenance costs associated with this collection of information.</w:t>
      </w:r>
    </w:p>
    <w:p w14:paraId="55D27029" w14:textId="77777777" w:rsidR="00FE6913" w:rsidRPr="00EF0090" w:rsidRDefault="00FE6913" w:rsidP="00EF0090"/>
    <w:p w14:paraId="0525B3FC" w14:textId="77777777" w:rsidR="007930F0" w:rsidRPr="00C11D41" w:rsidRDefault="0098142A" w:rsidP="00DA65E8">
      <w:pPr>
        <w:pStyle w:val="BodyText2"/>
        <w:keepNext/>
        <w:ind w:left="720"/>
      </w:pPr>
      <w:r w:rsidRPr="00C11D41">
        <w:rPr>
          <w:u w:val="single"/>
        </w:rPr>
        <w:t>12b. Annualized Cost Burden Estimate</w:t>
      </w:r>
    </w:p>
    <w:p w14:paraId="1E39C227" w14:textId="77777777" w:rsidR="0047253A" w:rsidRDefault="0047253A" w:rsidP="00DA65E8">
      <w:pPr>
        <w:pStyle w:val="BodyText2"/>
        <w:keepNext/>
        <w:ind w:left="720"/>
      </w:pPr>
    </w:p>
    <w:p w14:paraId="12766AEB" w14:textId="08CA3EA1" w:rsidR="007930F0" w:rsidRDefault="007930F0" w:rsidP="0045480A">
      <w:pPr>
        <w:pStyle w:val="BodyText2"/>
        <w:ind w:left="720"/>
      </w:pPr>
      <w:r w:rsidRPr="00C11D41">
        <w:t xml:space="preserve">Respondents participate on a purely voluntary basis and, therefore, are subject to no direct costs other than time to participate. There are also no start-up or maintenance costs. RTI has conducted many </w:t>
      </w:r>
      <w:r w:rsidR="00CF7290" w:rsidRPr="00C11D41">
        <w:t>tobacco</w:t>
      </w:r>
      <w:r w:rsidRPr="00C11D41">
        <w:t>-related surveys of similar length among</w:t>
      </w:r>
      <w:r w:rsidR="005F2D99" w:rsidRPr="00C11D41">
        <w:t xml:space="preserve"> adults</w:t>
      </w:r>
      <w:r w:rsidRPr="00C11D41">
        <w:t>. We have examined diagnostic data from each of these prior surveys and estimate that data collection for this</w:t>
      </w:r>
      <w:r w:rsidR="005F2D99" w:rsidRPr="00C11D41">
        <w:t xml:space="preserve"> study will take approximately 4</w:t>
      </w:r>
      <w:r w:rsidRPr="00C11D41">
        <w:t>0 minutes per respondent. According to the U.S. Department of Labor (DOL) Bureau of Labor Statistics</w:t>
      </w:r>
      <w:r w:rsidR="00BD3F0C">
        <w:t>,</w:t>
      </w:r>
      <w:r w:rsidRPr="00C11D41">
        <w:t xml:space="preserve"> as of </w:t>
      </w:r>
      <w:r w:rsidR="005F2D99" w:rsidRPr="00C11D41">
        <w:t>May 201</w:t>
      </w:r>
      <w:r w:rsidR="006D0AA6">
        <w:t>7</w:t>
      </w:r>
      <w:r w:rsidR="00BD3F0C">
        <w:t>,</w:t>
      </w:r>
      <w:r w:rsidRPr="00C11D41">
        <w:t xml:space="preserve"> the national average hourly wage is $</w:t>
      </w:r>
      <w:r w:rsidR="006D0AA6">
        <w:t>26.22</w:t>
      </w:r>
      <w:r w:rsidRPr="00C11D41">
        <w:t>. Thus, assuming an average hourly wage of $</w:t>
      </w:r>
      <w:r w:rsidR="006D0AA6">
        <w:t>26.22</w:t>
      </w:r>
      <w:r w:rsidRPr="00C11D41">
        <w:t>, the estimated one-year annualized c</w:t>
      </w:r>
      <w:r w:rsidR="00A94D21" w:rsidRPr="00C11D41">
        <w:t xml:space="preserve">ost to </w:t>
      </w:r>
      <w:r w:rsidR="006D0AA6">
        <w:t xml:space="preserve">all </w:t>
      </w:r>
      <w:r w:rsidR="00A94D21" w:rsidRPr="00C11D41">
        <w:t>participants will be $</w:t>
      </w:r>
      <w:r w:rsidR="005804A4">
        <w:t>164,085</w:t>
      </w:r>
      <w:r w:rsidRPr="00C11D41">
        <w:t xml:space="preserve">. The estimated value of respondents’ time for participating in the information collection is summarized in </w:t>
      </w:r>
      <w:r w:rsidR="0047253A">
        <w:t>Table</w:t>
      </w:r>
      <w:r w:rsidR="0047253A" w:rsidRPr="00C11D41">
        <w:t xml:space="preserve"> </w:t>
      </w:r>
      <w:r w:rsidRPr="00C11D41">
        <w:t>3.</w:t>
      </w:r>
    </w:p>
    <w:p w14:paraId="63F07ED4" w14:textId="533F40C6" w:rsidR="007930F0" w:rsidRDefault="0047253A" w:rsidP="0007268D">
      <w:pPr>
        <w:keepNext/>
        <w:keepLines/>
        <w:spacing w:before="240" w:after="240"/>
        <w:ind w:firstLine="720"/>
        <w:rPr>
          <w:b/>
          <w:szCs w:val="20"/>
        </w:rPr>
      </w:pPr>
      <w:r>
        <w:rPr>
          <w:b/>
          <w:szCs w:val="20"/>
        </w:rPr>
        <w:t xml:space="preserve">Table </w:t>
      </w:r>
      <w:r w:rsidR="0045480A">
        <w:rPr>
          <w:b/>
          <w:szCs w:val="20"/>
        </w:rPr>
        <w:t>3</w:t>
      </w:r>
      <w:r w:rsidR="007930F0" w:rsidRPr="007930F0">
        <w:rPr>
          <w:b/>
          <w:szCs w:val="20"/>
        </w:rPr>
        <w:t>. Estimated Annual</w:t>
      </w:r>
      <w:r w:rsidR="00934028">
        <w:rPr>
          <w:b/>
          <w:szCs w:val="20"/>
        </w:rPr>
        <w:t xml:space="preserve"> </w:t>
      </w:r>
      <w:r w:rsidR="007930F0" w:rsidRPr="007930F0">
        <w:rPr>
          <w:b/>
          <w:szCs w:val="20"/>
        </w:rPr>
        <w:t>Cost</w:t>
      </w:r>
    </w:p>
    <w:tbl>
      <w:tblPr>
        <w:tblW w:w="442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3"/>
        <w:gridCol w:w="2585"/>
        <w:gridCol w:w="1350"/>
        <w:gridCol w:w="1506"/>
        <w:gridCol w:w="1567"/>
      </w:tblGrid>
      <w:tr w:rsidR="006D416D" w:rsidRPr="006D416D" w14:paraId="31F7E684" w14:textId="1B067356" w:rsidTr="006D416D">
        <w:trPr>
          <w:cantSplit/>
          <w:trHeight w:val="20"/>
          <w:tblHeader/>
        </w:trPr>
        <w:tc>
          <w:tcPr>
            <w:tcW w:w="868" w:type="pct"/>
            <w:vAlign w:val="bottom"/>
          </w:tcPr>
          <w:p w14:paraId="64961682" w14:textId="77777777" w:rsidR="006D416D" w:rsidRPr="006D416D" w:rsidRDefault="006D416D" w:rsidP="006D416D">
            <w:pPr>
              <w:keepNext/>
              <w:spacing w:before="20"/>
              <w:jc w:val="center"/>
              <w:rPr>
                <w:b/>
                <w:sz w:val="22"/>
                <w:szCs w:val="20"/>
              </w:rPr>
            </w:pPr>
            <w:r w:rsidRPr="006D416D">
              <w:rPr>
                <w:b/>
                <w:sz w:val="22"/>
                <w:szCs w:val="20"/>
              </w:rPr>
              <w:br w:type="page"/>
            </w:r>
            <w:r w:rsidRPr="006D416D">
              <w:rPr>
                <w:b/>
                <w:sz w:val="22"/>
                <w:szCs w:val="20"/>
              </w:rPr>
              <w:br w:type="page"/>
              <w:t>Type of Respondent</w:t>
            </w:r>
          </w:p>
        </w:tc>
        <w:tc>
          <w:tcPr>
            <w:tcW w:w="1524" w:type="pct"/>
            <w:shd w:val="clear" w:color="auto" w:fill="auto"/>
            <w:vAlign w:val="bottom"/>
          </w:tcPr>
          <w:p w14:paraId="6CEA771B" w14:textId="77777777" w:rsidR="006D416D" w:rsidRPr="006D416D" w:rsidRDefault="006D416D" w:rsidP="006D416D">
            <w:pPr>
              <w:keepNext/>
              <w:spacing w:before="20"/>
              <w:jc w:val="center"/>
              <w:rPr>
                <w:b/>
                <w:sz w:val="22"/>
                <w:szCs w:val="20"/>
              </w:rPr>
            </w:pPr>
            <w:r w:rsidRPr="006D416D">
              <w:rPr>
                <w:b/>
                <w:sz w:val="22"/>
                <w:szCs w:val="20"/>
              </w:rPr>
              <w:t>Activity</w:t>
            </w:r>
          </w:p>
        </w:tc>
        <w:tc>
          <w:tcPr>
            <w:tcW w:w="796" w:type="pct"/>
            <w:shd w:val="clear" w:color="auto" w:fill="auto"/>
            <w:vAlign w:val="bottom"/>
          </w:tcPr>
          <w:p w14:paraId="078FC7FD" w14:textId="6E05328C" w:rsidR="006D416D" w:rsidRPr="006D416D" w:rsidRDefault="006D416D" w:rsidP="006D416D">
            <w:pPr>
              <w:keepNext/>
              <w:spacing w:before="20"/>
              <w:ind w:right="112"/>
              <w:jc w:val="center"/>
              <w:rPr>
                <w:b/>
                <w:sz w:val="22"/>
                <w:szCs w:val="20"/>
              </w:rPr>
            </w:pPr>
            <w:r w:rsidRPr="006D416D">
              <w:rPr>
                <w:b/>
                <w:sz w:val="22"/>
                <w:szCs w:val="20"/>
              </w:rPr>
              <w:t>Annual Burden Hours</w:t>
            </w:r>
          </w:p>
        </w:tc>
        <w:tc>
          <w:tcPr>
            <w:tcW w:w="888" w:type="pct"/>
            <w:vAlign w:val="bottom"/>
          </w:tcPr>
          <w:p w14:paraId="2FA46FD1" w14:textId="0F7496A9" w:rsidR="006D416D" w:rsidRPr="006D416D" w:rsidRDefault="006D416D" w:rsidP="006D416D">
            <w:pPr>
              <w:keepNext/>
              <w:spacing w:before="20"/>
              <w:ind w:right="112"/>
              <w:jc w:val="center"/>
              <w:rPr>
                <w:b/>
                <w:sz w:val="22"/>
                <w:szCs w:val="20"/>
              </w:rPr>
            </w:pPr>
            <w:r w:rsidRPr="006D416D">
              <w:rPr>
                <w:b/>
                <w:sz w:val="22"/>
                <w:szCs w:val="22"/>
              </w:rPr>
              <w:t>Hourly Wage Rate</w:t>
            </w:r>
          </w:p>
        </w:tc>
        <w:tc>
          <w:tcPr>
            <w:tcW w:w="924" w:type="pct"/>
            <w:vAlign w:val="bottom"/>
          </w:tcPr>
          <w:p w14:paraId="61837877" w14:textId="06C499DB" w:rsidR="006D416D" w:rsidRPr="006D416D" w:rsidRDefault="006D416D" w:rsidP="006D416D">
            <w:pPr>
              <w:keepNext/>
              <w:spacing w:before="20"/>
              <w:ind w:right="112"/>
              <w:jc w:val="center"/>
              <w:rPr>
                <w:b/>
                <w:sz w:val="22"/>
                <w:szCs w:val="20"/>
              </w:rPr>
            </w:pPr>
            <w:r w:rsidRPr="006D416D">
              <w:rPr>
                <w:b/>
                <w:sz w:val="22"/>
                <w:szCs w:val="22"/>
              </w:rPr>
              <w:t>Total Cost</w:t>
            </w:r>
          </w:p>
        </w:tc>
      </w:tr>
      <w:tr w:rsidR="006D416D" w:rsidRPr="006D416D" w14:paraId="6D6001BD" w14:textId="0BB15F5A" w:rsidTr="006D416D">
        <w:trPr>
          <w:cantSplit/>
          <w:trHeight w:val="20"/>
        </w:trPr>
        <w:tc>
          <w:tcPr>
            <w:tcW w:w="868" w:type="pct"/>
            <w:vMerge w:val="restart"/>
            <w:vAlign w:val="center"/>
          </w:tcPr>
          <w:p w14:paraId="0E5312E0" w14:textId="77777777" w:rsidR="006D416D" w:rsidRPr="006D416D" w:rsidRDefault="006D416D" w:rsidP="006D416D">
            <w:pPr>
              <w:rPr>
                <w:sz w:val="22"/>
                <w:szCs w:val="20"/>
              </w:rPr>
            </w:pPr>
            <w:r w:rsidRPr="006D416D">
              <w:rPr>
                <w:sz w:val="22"/>
                <w:szCs w:val="20"/>
              </w:rPr>
              <w:t>Households (adults 18 and up)</w:t>
            </w:r>
          </w:p>
        </w:tc>
        <w:tc>
          <w:tcPr>
            <w:tcW w:w="1524" w:type="pct"/>
            <w:shd w:val="clear" w:color="auto" w:fill="auto"/>
          </w:tcPr>
          <w:p w14:paraId="2407C257" w14:textId="77777777" w:rsidR="006D416D" w:rsidRPr="006D416D" w:rsidRDefault="006D416D" w:rsidP="006D416D">
            <w:pPr>
              <w:rPr>
                <w:sz w:val="22"/>
                <w:szCs w:val="20"/>
              </w:rPr>
            </w:pPr>
            <w:r w:rsidRPr="006D416D">
              <w:rPr>
                <w:sz w:val="22"/>
                <w:szCs w:val="20"/>
              </w:rPr>
              <w:t>Mail screener</w:t>
            </w:r>
          </w:p>
        </w:tc>
        <w:tc>
          <w:tcPr>
            <w:tcW w:w="796" w:type="pct"/>
            <w:shd w:val="clear" w:color="auto" w:fill="auto"/>
          </w:tcPr>
          <w:p w14:paraId="2BF4E773" w14:textId="77777777" w:rsidR="006D416D" w:rsidRPr="006D416D" w:rsidRDefault="006D416D" w:rsidP="006D416D">
            <w:pPr>
              <w:jc w:val="right"/>
              <w:rPr>
                <w:sz w:val="22"/>
                <w:szCs w:val="20"/>
              </w:rPr>
            </w:pPr>
            <w:r w:rsidRPr="006D416D">
              <w:rPr>
                <w:sz w:val="22"/>
                <w:szCs w:val="20"/>
              </w:rPr>
              <w:t>1,567</w:t>
            </w:r>
          </w:p>
        </w:tc>
        <w:tc>
          <w:tcPr>
            <w:tcW w:w="888" w:type="pct"/>
            <w:vAlign w:val="center"/>
          </w:tcPr>
          <w:p w14:paraId="267B0454" w14:textId="0DF16099" w:rsidR="006D416D" w:rsidRPr="006D416D" w:rsidRDefault="006D416D" w:rsidP="006D416D">
            <w:pPr>
              <w:jc w:val="right"/>
              <w:rPr>
                <w:sz w:val="22"/>
                <w:szCs w:val="20"/>
              </w:rPr>
            </w:pPr>
            <w:r w:rsidRPr="006D416D">
              <w:rPr>
                <w:noProof/>
                <w:sz w:val="22"/>
                <w:szCs w:val="22"/>
              </w:rPr>
              <w:t>26.22</w:t>
            </w:r>
          </w:p>
        </w:tc>
        <w:tc>
          <w:tcPr>
            <w:tcW w:w="924" w:type="pct"/>
          </w:tcPr>
          <w:p w14:paraId="2EA3A550" w14:textId="2421334A" w:rsidR="006D416D" w:rsidRPr="006D416D" w:rsidRDefault="006D416D" w:rsidP="006D416D">
            <w:pPr>
              <w:jc w:val="right"/>
              <w:rPr>
                <w:sz w:val="22"/>
                <w:szCs w:val="20"/>
              </w:rPr>
            </w:pPr>
            <w:r>
              <w:rPr>
                <w:sz w:val="22"/>
                <w:szCs w:val="20"/>
              </w:rPr>
              <w:fldChar w:fldCharType="begin"/>
            </w:r>
            <w:r>
              <w:rPr>
                <w:sz w:val="22"/>
                <w:szCs w:val="20"/>
              </w:rPr>
              <w:instrText xml:space="preserve"> =product(LEFT) \# "#,##0" </w:instrText>
            </w:r>
            <w:r>
              <w:rPr>
                <w:sz w:val="22"/>
                <w:szCs w:val="20"/>
              </w:rPr>
              <w:fldChar w:fldCharType="separate"/>
            </w:r>
            <w:r>
              <w:rPr>
                <w:noProof/>
                <w:sz w:val="22"/>
                <w:szCs w:val="20"/>
              </w:rPr>
              <w:t>41,087</w:t>
            </w:r>
            <w:r>
              <w:rPr>
                <w:sz w:val="22"/>
                <w:szCs w:val="20"/>
              </w:rPr>
              <w:fldChar w:fldCharType="end"/>
            </w:r>
          </w:p>
        </w:tc>
      </w:tr>
      <w:tr w:rsidR="006D416D" w:rsidRPr="006D416D" w14:paraId="7964AEE9" w14:textId="5709A895" w:rsidTr="006D416D">
        <w:trPr>
          <w:cantSplit/>
          <w:trHeight w:val="71"/>
        </w:trPr>
        <w:tc>
          <w:tcPr>
            <w:tcW w:w="868" w:type="pct"/>
            <w:vMerge/>
            <w:vAlign w:val="center"/>
          </w:tcPr>
          <w:p w14:paraId="172F9D22" w14:textId="77777777" w:rsidR="006D416D" w:rsidRPr="006D416D" w:rsidRDefault="006D416D" w:rsidP="006D416D">
            <w:pPr>
              <w:rPr>
                <w:sz w:val="22"/>
                <w:szCs w:val="20"/>
              </w:rPr>
            </w:pPr>
          </w:p>
        </w:tc>
        <w:tc>
          <w:tcPr>
            <w:tcW w:w="1524" w:type="pct"/>
            <w:shd w:val="clear" w:color="auto" w:fill="auto"/>
          </w:tcPr>
          <w:p w14:paraId="18ABE35E" w14:textId="77777777" w:rsidR="006D416D" w:rsidRPr="006D416D" w:rsidRDefault="006D416D" w:rsidP="006D416D">
            <w:pPr>
              <w:rPr>
                <w:sz w:val="22"/>
                <w:szCs w:val="20"/>
              </w:rPr>
            </w:pPr>
            <w:r w:rsidRPr="006D416D">
              <w:rPr>
                <w:sz w:val="22"/>
                <w:szCs w:val="20"/>
              </w:rPr>
              <w:t>Field screener</w:t>
            </w:r>
          </w:p>
        </w:tc>
        <w:tc>
          <w:tcPr>
            <w:tcW w:w="796" w:type="pct"/>
            <w:shd w:val="clear" w:color="auto" w:fill="auto"/>
          </w:tcPr>
          <w:p w14:paraId="3E52611F" w14:textId="77777777" w:rsidR="006D416D" w:rsidRPr="006D416D" w:rsidRDefault="006D416D" w:rsidP="006D416D">
            <w:pPr>
              <w:jc w:val="right"/>
              <w:rPr>
                <w:sz w:val="22"/>
                <w:szCs w:val="20"/>
              </w:rPr>
            </w:pPr>
            <w:r w:rsidRPr="006D416D">
              <w:rPr>
                <w:sz w:val="22"/>
                <w:szCs w:val="20"/>
              </w:rPr>
              <w:t>1,488</w:t>
            </w:r>
          </w:p>
        </w:tc>
        <w:tc>
          <w:tcPr>
            <w:tcW w:w="888" w:type="pct"/>
            <w:vAlign w:val="center"/>
          </w:tcPr>
          <w:p w14:paraId="39AE4057" w14:textId="00137CB7" w:rsidR="006D416D" w:rsidRPr="006D416D" w:rsidRDefault="006D416D" w:rsidP="006D416D">
            <w:pPr>
              <w:jc w:val="right"/>
              <w:rPr>
                <w:sz w:val="22"/>
                <w:szCs w:val="20"/>
              </w:rPr>
            </w:pPr>
            <w:r w:rsidRPr="006D416D">
              <w:rPr>
                <w:noProof/>
                <w:sz w:val="22"/>
                <w:szCs w:val="22"/>
              </w:rPr>
              <w:t>26.22</w:t>
            </w:r>
          </w:p>
        </w:tc>
        <w:tc>
          <w:tcPr>
            <w:tcW w:w="924" w:type="pct"/>
          </w:tcPr>
          <w:p w14:paraId="289530A6" w14:textId="0F62D300" w:rsidR="006D416D" w:rsidRPr="006D416D" w:rsidRDefault="006D416D" w:rsidP="006D416D">
            <w:pPr>
              <w:jc w:val="right"/>
              <w:rPr>
                <w:sz w:val="22"/>
                <w:szCs w:val="20"/>
              </w:rPr>
            </w:pPr>
            <w:r>
              <w:rPr>
                <w:sz w:val="22"/>
                <w:szCs w:val="20"/>
              </w:rPr>
              <w:fldChar w:fldCharType="begin"/>
            </w:r>
            <w:r>
              <w:rPr>
                <w:sz w:val="22"/>
                <w:szCs w:val="20"/>
              </w:rPr>
              <w:instrText xml:space="preserve"> =product(LEFT) \# "#,##0" </w:instrText>
            </w:r>
            <w:r>
              <w:rPr>
                <w:sz w:val="22"/>
                <w:szCs w:val="20"/>
              </w:rPr>
              <w:fldChar w:fldCharType="separate"/>
            </w:r>
            <w:r>
              <w:rPr>
                <w:noProof/>
                <w:sz w:val="22"/>
                <w:szCs w:val="20"/>
              </w:rPr>
              <w:t>39,015</w:t>
            </w:r>
            <w:r>
              <w:rPr>
                <w:sz w:val="22"/>
                <w:szCs w:val="20"/>
              </w:rPr>
              <w:fldChar w:fldCharType="end"/>
            </w:r>
          </w:p>
        </w:tc>
      </w:tr>
      <w:tr w:rsidR="006D416D" w:rsidRPr="006D416D" w14:paraId="0673648B" w14:textId="7E7825F2" w:rsidTr="006D416D">
        <w:trPr>
          <w:cantSplit/>
          <w:trHeight w:val="20"/>
        </w:trPr>
        <w:tc>
          <w:tcPr>
            <w:tcW w:w="868" w:type="pct"/>
            <w:vMerge/>
            <w:vAlign w:val="center"/>
          </w:tcPr>
          <w:p w14:paraId="269719E1" w14:textId="77777777" w:rsidR="006D416D" w:rsidRPr="006D416D" w:rsidRDefault="006D416D" w:rsidP="006D416D">
            <w:pPr>
              <w:rPr>
                <w:sz w:val="22"/>
                <w:szCs w:val="20"/>
              </w:rPr>
            </w:pPr>
          </w:p>
        </w:tc>
        <w:tc>
          <w:tcPr>
            <w:tcW w:w="1524" w:type="pct"/>
            <w:shd w:val="clear" w:color="auto" w:fill="auto"/>
          </w:tcPr>
          <w:p w14:paraId="0DC8A2AF" w14:textId="77777777" w:rsidR="006D416D" w:rsidRPr="006D416D" w:rsidRDefault="006D416D" w:rsidP="006D416D">
            <w:pPr>
              <w:rPr>
                <w:sz w:val="22"/>
                <w:szCs w:val="20"/>
              </w:rPr>
            </w:pPr>
            <w:r w:rsidRPr="006D416D">
              <w:rPr>
                <w:sz w:val="22"/>
                <w:szCs w:val="20"/>
              </w:rPr>
              <w:t>Telephone verification, field screener</w:t>
            </w:r>
          </w:p>
        </w:tc>
        <w:tc>
          <w:tcPr>
            <w:tcW w:w="796" w:type="pct"/>
            <w:shd w:val="clear" w:color="auto" w:fill="auto"/>
          </w:tcPr>
          <w:p w14:paraId="124544F7" w14:textId="77777777" w:rsidR="006D416D" w:rsidRPr="006D416D" w:rsidRDefault="006D416D" w:rsidP="006D416D">
            <w:pPr>
              <w:jc w:val="right"/>
              <w:rPr>
                <w:noProof/>
                <w:sz w:val="22"/>
                <w:szCs w:val="20"/>
              </w:rPr>
            </w:pPr>
            <w:r w:rsidRPr="006D416D">
              <w:rPr>
                <w:noProof/>
                <w:sz w:val="22"/>
                <w:szCs w:val="20"/>
              </w:rPr>
              <w:t>59</w:t>
            </w:r>
          </w:p>
        </w:tc>
        <w:tc>
          <w:tcPr>
            <w:tcW w:w="888" w:type="pct"/>
            <w:vAlign w:val="center"/>
          </w:tcPr>
          <w:p w14:paraId="7B50122F" w14:textId="06A435A0" w:rsidR="006D416D" w:rsidRPr="006D416D" w:rsidRDefault="006D416D" w:rsidP="006D416D">
            <w:pPr>
              <w:jc w:val="right"/>
              <w:rPr>
                <w:noProof/>
                <w:sz w:val="22"/>
                <w:szCs w:val="20"/>
              </w:rPr>
            </w:pPr>
            <w:r w:rsidRPr="006D416D">
              <w:rPr>
                <w:noProof/>
                <w:sz w:val="22"/>
                <w:szCs w:val="22"/>
              </w:rPr>
              <w:t>26.22</w:t>
            </w:r>
          </w:p>
        </w:tc>
        <w:tc>
          <w:tcPr>
            <w:tcW w:w="924" w:type="pct"/>
          </w:tcPr>
          <w:p w14:paraId="6254A65B" w14:textId="07F29C69" w:rsidR="006D416D" w:rsidRPr="006D416D" w:rsidRDefault="006D416D" w:rsidP="006D416D">
            <w:pPr>
              <w:jc w:val="right"/>
              <w:rPr>
                <w:noProof/>
                <w:sz w:val="22"/>
                <w:szCs w:val="20"/>
              </w:rPr>
            </w:pPr>
            <w:r>
              <w:rPr>
                <w:noProof/>
                <w:sz w:val="22"/>
                <w:szCs w:val="20"/>
              </w:rPr>
              <w:fldChar w:fldCharType="begin"/>
            </w:r>
            <w:r>
              <w:rPr>
                <w:noProof/>
                <w:sz w:val="22"/>
                <w:szCs w:val="20"/>
              </w:rPr>
              <w:instrText xml:space="preserve"> =product(LEFT) \# "#,##0" </w:instrText>
            </w:r>
            <w:r>
              <w:rPr>
                <w:noProof/>
                <w:sz w:val="22"/>
                <w:szCs w:val="20"/>
              </w:rPr>
              <w:fldChar w:fldCharType="separate"/>
            </w:r>
            <w:r>
              <w:rPr>
                <w:noProof/>
                <w:sz w:val="22"/>
                <w:szCs w:val="20"/>
              </w:rPr>
              <w:t>1,547</w:t>
            </w:r>
            <w:r>
              <w:rPr>
                <w:noProof/>
                <w:sz w:val="22"/>
                <w:szCs w:val="20"/>
              </w:rPr>
              <w:fldChar w:fldCharType="end"/>
            </w:r>
          </w:p>
        </w:tc>
      </w:tr>
      <w:tr w:rsidR="006D416D" w:rsidRPr="006D416D" w14:paraId="057D6EA5" w14:textId="647ECB32" w:rsidTr="006D416D">
        <w:trPr>
          <w:cantSplit/>
          <w:trHeight w:val="20"/>
        </w:trPr>
        <w:tc>
          <w:tcPr>
            <w:tcW w:w="868" w:type="pct"/>
            <w:vMerge w:val="restart"/>
            <w:vAlign w:val="center"/>
          </w:tcPr>
          <w:p w14:paraId="13E4CD70" w14:textId="77777777" w:rsidR="006D416D" w:rsidRPr="006D416D" w:rsidRDefault="006D416D" w:rsidP="006D416D">
            <w:pPr>
              <w:rPr>
                <w:sz w:val="22"/>
                <w:szCs w:val="20"/>
              </w:rPr>
            </w:pPr>
            <w:r w:rsidRPr="006D416D">
              <w:rPr>
                <w:sz w:val="22"/>
                <w:szCs w:val="20"/>
              </w:rPr>
              <w:t>Adult smokers ages 25 to 54</w:t>
            </w:r>
          </w:p>
        </w:tc>
        <w:tc>
          <w:tcPr>
            <w:tcW w:w="1524" w:type="pct"/>
            <w:shd w:val="clear" w:color="auto" w:fill="auto"/>
          </w:tcPr>
          <w:p w14:paraId="4BAA0A38" w14:textId="77777777" w:rsidR="006D416D" w:rsidRPr="006D416D" w:rsidRDefault="006D416D" w:rsidP="006D416D">
            <w:pPr>
              <w:rPr>
                <w:sz w:val="22"/>
                <w:szCs w:val="20"/>
              </w:rPr>
            </w:pPr>
            <w:r w:rsidRPr="006D416D">
              <w:rPr>
                <w:sz w:val="22"/>
                <w:szCs w:val="20"/>
              </w:rPr>
              <w:t>Wave 1 questionnaire</w:t>
            </w:r>
          </w:p>
        </w:tc>
        <w:tc>
          <w:tcPr>
            <w:tcW w:w="796" w:type="pct"/>
            <w:shd w:val="clear" w:color="auto" w:fill="auto"/>
          </w:tcPr>
          <w:p w14:paraId="7E8D1577" w14:textId="77777777" w:rsidR="006D416D" w:rsidRPr="006D416D" w:rsidRDefault="006D416D" w:rsidP="006D416D">
            <w:pPr>
              <w:jc w:val="right"/>
              <w:rPr>
                <w:sz w:val="22"/>
                <w:szCs w:val="20"/>
              </w:rPr>
            </w:pPr>
            <w:r w:rsidRPr="006D416D">
              <w:rPr>
                <w:sz w:val="22"/>
                <w:szCs w:val="20"/>
              </w:rPr>
              <w:t>956</w:t>
            </w:r>
          </w:p>
        </w:tc>
        <w:tc>
          <w:tcPr>
            <w:tcW w:w="888" w:type="pct"/>
            <w:vAlign w:val="center"/>
          </w:tcPr>
          <w:p w14:paraId="48CA8F4C" w14:textId="64A9F6FE" w:rsidR="006D416D" w:rsidRPr="006D416D" w:rsidRDefault="006D416D" w:rsidP="006D416D">
            <w:pPr>
              <w:jc w:val="right"/>
              <w:rPr>
                <w:sz w:val="22"/>
                <w:szCs w:val="20"/>
              </w:rPr>
            </w:pPr>
            <w:r w:rsidRPr="006D416D">
              <w:rPr>
                <w:noProof/>
                <w:sz w:val="22"/>
                <w:szCs w:val="22"/>
              </w:rPr>
              <w:t>26.22</w:t>
            </w:r>
          </w:p>
        </w:tc>
        <w:tc>
          <w:tcPr>
            <w:tcW w:w="924" w:type="pct"/>
          </w:tcPr>
          <w:p w14:paraId="6F462AB5" w14:textId="76FEEEA7" w:rsidR="006D416D" w:rsidRPr="006D416D" w:rsidRDefault="006D416D" w:rsidP="006D416D">
            <w:pPr>
              <w:jc w:val="right"/>
              <w:rPr>
                <w:sz w:val="22"/>
                <w:szCs w:val="20"/>
              </w:rPr>
            </w:pPr>
            <w:r>
              <w:rPr>
                <w:sz w:val="22"/>
                <w:szCs w:val="20"/>
              </w:rPr>
              <w:fldChar w:fldCharType="begin"/>
            </w:r>
            <w:r>
              <w:rPr>
                <w:sz w:val="22"/>
                <w:szCs w:val="20"/>
              </w:rPr>
              <w:instrText xml:space="preserve"> =product(LEFT) \# "#,##0" </w:instrText>
            </w:r>
            <w:r>
              <w:rPr>
                <w:sz w:val="22"/>
                <w:szCs w:val="20"/>
              </w:rPr>
              <w:fldChar w:fldCharType="separate"/>
            </w:r>
            <w:r>
              <w:rPr>
                <w:noProof/>
                <w:sz w:val="22"/>
                <w:szCs w:val="20"/>
              </w:rPr>
              <w:t>25,066</w:t>
            </w:r>
            <w:r>
              <w:rPr>
                <w:sz w:val="22"/>
                <w:szCs w:val="20"/>
              </w:rPr>
              <w:fldChar w:fldCharType="end"/>
            </w:r>
          </w:p>
        </w:tc>
      </w:tr>
      <w:tr w:rsidR="006D416D" w:rsidRPr="006D416D" w14:paraId="39652935" w14:textId="71E15105" w:rsidTr="006D416D">
        <w:trPr>
          <w:cantSplit/>
          <w:trHeight w:val="107"/>
        </w:trPr>
        <w:tc>
          <w:tcPr>
            <w:tcW w:w="868" w:type="pct"/>
            <w:vMerge/>
            <w:vAlign w:val="center"/>
          </w:tcPr>
          <w:p w14:paraId="380A5F86" w14:textId="77777777" w:rsidR="006D416D" w:rsidRPr="006D416D" w:rsidRDefault="006D416D" w:rsidP="006D416D">
            <w:pPr>
              <w:rPr>
                <w:sz w:val="22"/>
                <w:szCs w:val="20"/>
              </w:rPr>
            </w:pPr>
          </w:p>
        </w:tc>
        <w:tc>
          <w:tcPr>
            <w:tcW w:w="1524" w:type="pct"/>
            <w:shd w:val="clear" w:color="auto" w:fill="auto"/>
          </w:tcPr>
          <w:p w14:paraId="00FF5846" w14:textId="77777777" w:rsidR="006D416D" w:rsidRPr="006D416D" w:rsidRDefault="006D416D" w:rsidP="006D416D">
            <w:pPr>
              <w:rPr>
                <w:sz w:val="22"/>
                <w:szCs w:val="20"/>
              </w:rPr>
            </w:pPr>
            <w:r w:rsidRPr="006D416D">
              <w:rPr>
                <w:sz w:val="22"/>
                <w:szCs w:val="20"/>
              </w:rPr>
              <w:t>Wave 2 - 4 questionnaires</w:t>
            </w:r>
          </w:p>
        </w:tc>
        <w:tc>
          <w:tcPr>
            <w:tcW w:w="796" w:type="pct"/>
            <w:shd w:val="clear" w:color="auto" w:fill="auto"/>
          </w:tcPr>
          <w:p w14:paraId="6812EEEF" w14:textId="77777777" w:rsidR="006D416D" w:rsidRPr="006D416D" w:rsidRDefault="006D416D" w:rsidP="006D416D">
            <w:pPr>
              <w:jc w:val="right"/>
              <w:rPr>
                <w:noProof/>
                <w:sz w:val="22"/>
                <w:szCs w:val="20"/>
              </w:rPr>
            </w:pPr>
            <w:r w:rsidRPr="006D416D">
              <w:rPr>
                <w:noProof/>
                <w:sz w:val="22"/>
                <w:szCs w:val="20"/>
              </w:rPr>
              <w:t>1,968</w:t>
            </w:r>
          </w:p>
        </w:tc>
        <w:tc>
          <w:tcPr>
            <w:tcW w:w="888" w:type="pct"/>
            <w:vAlign w:val="center"/>
          </w:tcPr>
          <w:p w14:paraId="707A933B" w14:textId="67755AC9" w:rsidR="006D416D" w:rsidRPr="006D416D" w:rsidRDefault="006D416D" w:rsidP="006D416D">
            <w:pPr>
              <w:jc w:val="right"/>
              <w:rPr>
                <w:noProof/>
                <w:sz w:val="22"/>
                <w:szCs w:val="20"/>
              </w:rPr>
            </w:pPr>
            <w:r w:rsidRPr="006D416D">
              <w:rPr>
                <w:noProof/>
                <w:sz w:val="22"/>
                <w:szCs w:val="22"/>
              </w:rPr>
              <w:t>26.22</w:t>
            </w:r>
          </w:p>
        </w:tc>
        <w:tc>
          <w:tcPr>
            <w:tcW w:w="924" w:type="pct"/>
          </w:tcPr>
          <w:p w14:paraId="6BEE22FA" w14:textId="770AEA88" w:rsidR="006D416D" w:rsidRPr="006D416D" w:rsidRDefault="006D416D" w:rsidP="006D416D">
            <w:pPr>
              <w:jc w:val="right"/>
              <w:rPr>
                <w:noProof/>
                <w:sz w:val="22"/>
                <w:szCs w:val="20"/>
              </w:rPr>
            </w:pPr>
            <w:r>
              <w:rPr>
                <w:noProof/>
                <w:sz w:val="22"/>
                <w:szCs w:val="20"/>
              </w:rPr>
              <w:fldChar w:fldCharType="begin"/>
            </w:r>
            <w:r>
              <w:rPr>
                <w:noProof/>
                <w:sz w:val="22"/>
                <w:szCs w:val="20"/>
              </w:rPr>
              <w:instrText xml:space="preserve"> =product(LEFT) \# "#,##0" </w:instrText>
            </w:r>
            <w:r>
              <w:rPr>
                <w:noProof/>
                <w:sz w:val="22"/>
                <w:szCs w:val="20"/>
              </w:rPr>
              <w:fldChar w:fldCharType="separate"/>
            </w:r>
            <w:r>
              <w:rPr>
                <w:noProof/>
                <w:sz w:val="22"/>
                <w:szCs w:val="20"/>
              </w:rPr>
              <w:t>51,601</w:t>
            </w:r>
            <w:r>
              <w:rPr>
                <w:noProof/>
                <w:sz w:val="22"/>
                <w:szCs w:val="20"/>
              </w:rPr>
              <w:fldChar w:fldCharType="end"/>
            </w:r>
          </w:p>
        </w:tc>
      </w:tr>
      <w:tr w:rsidR="006D416D" w:rsidRPr="006D416D" w14:paraId="5B58C116" w14:textId="29C0BBE5" w:rsidTr="006D416D">
        <w:trPr>
          <w:cantSplit/>
          <w:trHeight w:val="20"/>
        </w:trPr>
        <w:tc>
          <w:tcPr>
            <w:tcW w:w="868" w:type="pct"/>
            <w:vMerge/>
            <w:vAlign w:val="center"/>
          </w:tcPr>
          <w:p w14:paraId="78EA9CAF" w14:textId="77777777" w:rsidR="006D416D" w:rsidRPr="006D416D" w:rsidRDefault="006D416D" w:rsidP="006D416D">
            <w:pPr>
              <w:rPr>
                <w:sz w:val="22"/>
                <w:szCs w:val="20"/>
              </w:rPr>
            </w:pPr>
          </w:p>
        </w:tc>
        <w:tc>
          <w:tcPr>
            <w:tcW w:w="1524" w:type="pct"/>
            <w:shd w:val="clear" w:color="auto" w:fill="auto"/>
          </w:tcPr>
          <w:p w14:paraId="5B89DBE2" w14:textId="77777777" w:rsidR="006D416D" w:rsidRPr="006D416D" w:rsidRDefault="006D416D" w:rsidP="006D416D">
            <w:pPr>
              <w:rPr>
                <w:sz w:val="22"/>
                <w:szCs w:val="20"/>
              </w:rPr>
            </w:pPr>
            <w:r w:rsidRPr="006D416D">
              <w:rPr>
                <w:sz w:val="22"/>
                <w:szCs w:val="20"/>
              </w:rPr>
              <w:t>Telephone verification, questionnaires 1- 4</w:t>
            </w:r>
          </w:p>
        </w:tc>
        <w:tc>
          <w:tcPr>
            <w:tcW w:w="796" w:type="pct"/>
            <w:shd w:val="clear" w:color="auto" w:fill="auto"/>
          </w:tcPr>
          <w:p w14:paraId="46EF09D3" w14:textId="77777777" w:rsidR="006D416D" w:rsidRPr="006D416D" w:rsidRDefault="006D416D" w:rsidP="006D416D">
            <w:pPr>
              <w:jc w:val="right"/>
              <w:rPr>
                <w:sz w:val="22"/>
                <w:szCs w:val="20"/>
              </w:rPr>
            </w:pPr>
            <w:r w:rsidRPr="006D416D">
              <w:rPr>
                <w:sz w:val="22"/>
                <w:szCs w:val="20"/>
              </w:rPr>
              <w:t>35</w:t>
            </w:r>
          </w:p>
        </w:tc>
        <w:tc>
          <w:tcPr>
            <w:tcW w:w="888" w:type="pct"/>
            <w:vAlign w:val="center"/>
          </w:tcPr>
          <w:p w14:paraId="28E5C5DE" w14:textId="1C28C9F5" w:rsidR="006D416D" w:rsidRPr="006D416D" w:rsidRDefault="006D416D" w:rsidP="006D416D">
            <w:pPr>
              <w:jc w:val="right"/>
              <w:rPr>
                <w:sz w:val="22"/>
                <w:szCs w:val="20"/>
              </w:rPr>
            </w:pPr>
            <w:r w:rsidRPr="006D416D">
              <w:rPr>
                <w:noProof/>
                <w:sz w:val="22"/>
                <w:szCs w:val="22"/>
              </w:rPr>
              <w:t>26.22</w:t>
            </w:r>
          </w:p>
        </w:tc>
        <w:tc>
          <w:tcPr>
            <w:tcW w:w="924" w:type="pct"/>
          </w:tcPr>
          <w:p w14:paraId="61F50965" w14:textId="0EC370E9" w:rsidR="006D416D" w:rsidRPr="006D416D" w:rsidRDefault="006D416D" w:rsidP="006D416D">
            <w:pPr>
              <w:jc w:val="right"/>
              <w:rPr>
                <w:sz w:val="22"/>
                <w:szCs w:val="20"/>
              </w:rPr>
            </w:pPr>
            <w:r>
              <w:rPr>
                <w:sz w:val="22"/>
                <w:szCs w:val="20"/>
              </w:rPr>
              <w:fldChar w:fldCharType="begin"/>
            </w:r>
            <w:r>
              <w:rPr>
                <w:sz w:val="22"/>
                <w:szCs w:val="20"/>
              </w:rPr>
              <w:instrText xml:space="preserve"> =product(LEFT) \# "#,##0" </w:instrText>
            </w:r>
            <w:r>
              <w:rPr>
                <w:sz w:val="22"/>
                <w:szCs w:val="20"/>
              </w:rPr>
              <w:fldChar w:fldCharType="separate"/>
            </w:r>
            <w:r>
              <w:rPr>
                <w:noProof/>
                <w:sz w:val="22"/>
                <w:szCs w:val="20"/>
              </w:rPr>
              <w:t xml:space="preserve"> 918</w:t>
            </w:r>
            <w:r>
              <w:rPr>
                <w:sz w:val="22"/>
                <w:szCs w:val="20"/>
              </w:rPr>
              <w:fldChar w:fldCharType="end"/>
            </w:r>
          </w:p>
        </w:tc>
      </w:tr>
      <w:tr w:rsidR="006D416D" w:rsidRPr="006D416D" w14:paraId="3D5B99DF" w14:textId="1076534B" w:rsidTr="006D416D">
        <w:trPr>
          <w:cantSplit/>
          <w:trHeight w:val="20"/>
        </w:trPr>
        <w:tc>
          <w:tcPr>
            <w:tcW w:w="868" w:type="pct"/>
            <w:vAlign w:val="center"/>
          </w:tcPr>
          <w:p w14:paraId="76F4563C" w14:textId="77777777" w:rsidR="006D416D" w:rsidRPr="006D416D" w:rsidRDefault="006D416D" w:rsidP="006D416D">
            <w:pPr>
              <w:rPr>
                <w:sz w:val="22"/>
                <w:szCs w:val="20"/>
              </w:rPr>
            </w:pPr>
            <w:r w:rsidRPr="006D416D">
              <w:rPr>
                <w:sz w:val="22"/>
                <w:szCs w:val="20"/>
              </w:rPr>
              <w:t>Study participants (opt in)</w:t>
            </w:r>
          </w:p>
        </w:tc>
        <w:tc>
          <w:tcPr>
            <w:tcW w:w="1524" w:type="pct"/>
            <w:shd w:val="clear" w:color="auto" w:fill="auto"/>
          </w:tcPr>
          <w:p w14:paraId="169D358F" w14:textId="77777777" w:rsidR="006D416D" w:rsidRPr="006D416D" w:rsidRDefault="006D416D" w:rsidP="006D416D">
            <w:pPr>
              <w:rPr>
                <w:sz w:val="22"/>
                <w:szCs w:val="20"/>
              </w:rPr>
            </w:pPr>
            <w:r w:rsidRPr="006D416D">
              <w:rPr>
                <w:sz w:val="22"/>
                <w:szCs w:val="20"/>
              </w:rPr>
              <w:t>App-based questionnaire</w:t>
            </w:r>
          </w:p>
        </w:tc>
        <w:tc>
          <w:tcPr>
            <w:tcW w:w="796" w:type="pct"/>
            <w:shd w:val="clear" w:color="auto" w:fill="auto"/>
          </w:tcPr>
          <w:p w14:paraId="4142DE6C" w14:textId="77777777" w:rsidR="006D416D" w:rsidRPr="006D416D" w:rsidRDefault="006D416D" w:rsidP="006D416D">
            <w:pPr>
              <w:jc w:val="right"/>
              <w:rPr>
                <w:sz w:val="22"/>
                <w:szCs w:val="20"/>
              </w:rPr>
            </w:pPr>
            <w:r w:rsidRPr="006D416D">
              <w:rPr>
                <w:sz w:val="22"/>
                <w:szCs w:val="20"/>
              </w:rPr>
              <w:t>185</w:t>
            </w:r>
          </w:p>
        </w:tc>
        <w:tc>
          <w:tcPr>
            <w:tcW w:w="888" w:type="pct"/>
            <w:vAlign w:val="center"/>
          </w:tcPr>
          <w:p w14:paraId="099DE915" w14:textId="63D875EC" w:rsidR="006D416D" w:rsidRPr="006D416D" w:rsidRDefault="006D416D" w:rsidP="006D416D">
            <w:pPr>
              <w:jc w:val="right"/>
              <w:rPr>
                <w:sz w:val="22"/>
                <w:szCs w:val="20"/>
              </w:rPr>
            </w:pPr>
            <w:r w:rsidRPr="006D416D">
              <w:rPr>
                <w:noProof/>
                <w:sz w:val="22"/>
                <w:szCs w:val="22"/>
              </w:rPr>
              <w:t>26.22</w:t>
            </w:r>
          </w:p>
        </w:tc>
        <w:tc>
          <w:tcPr>
            <w:tcW w:w="924" w:type="pct"/>
          </w:tcPr>
          <w:p w14:paraId="2666116E" w14:textId="3B9FA44E" w:rsidR="006D416D" w:rsidRPr="006D416D" w:rsidRDefault="006D416D" w:rsidP="006D416D">
            <w:pPr>
              <w:jc w:val="right"/>
              <w:rPr>
                <w:sz w:val="22"/>
                <w:szCs w:val="20"/>
              </w:rPr>
            </w:pPr>
            <w:r>
              <w:rPr>
                <w:sz w:val="22"/>
                <w:szCs w:val="20"/>
              </w:rPr>
              <w:fldChar w:fldCharType="begin"/>
            </w:r>
            <w:r>
              <w:rPr>
                <w:sz w:val="22"/>
                <w:szCs w:val="20"/>
              </w:rPr>
              <w:instrText xml:space="preserve"> =product(LEFT) \# "#,##0" </w:instrText>
            </w:r>
            <w:r>
              <w:rPr>
                <w:sz w:val="22"/>
                <w:szCs w:val="20"/>
              </w:rPr>
              <w:fldChar w:fldCharType="separate"/>
            </w:r>
            <w:r>
              <w:rPr>
                <w:noProof/>
                <w:sz w:val="22"/>
                <w:szCs w:val="20"/>
              </w:rPr>
              <w:t>4,851</w:t>
            </w:r>
            <w:r>
              <w:rPr>
                <w:sz w:val="22"/>
                <w:szCs w:val="20"/>
              </w:rPr>
              <w:fldChar w:fldCharType="end"/>
            </w:r>
          </w:p>
        </w:tc>
      </w:tr>
      <w:tr w:rsidR="006D416D" w:rsidRPr="006D416D" w14:paraId="2F67FF38" w14:textId="77777777" w:rsidTr="006D416D">
        <w:trPr>
          <w:cantSplit/>
          <w:trHeight w:val="20"/>
        </w:trPr>
        <w:tc>
          <w:tcPr>
            <w:tcW w:w="2392" w:type="pct"/>
            <w:gridSpan w:val="2"/>
            <w:vAlign w:val="center"/>
          </w:tcPr>
          <w:p w14:paraId="249F51FB" w14:textId="0A5C5022" w:rsidR="006D416D" w:rsidRPr="006D416D" w:rsidRDefault="006D416D" w:rsidP="006D416D">
            <w:pPr>
              <w:rPr>
                <w:b/>
                <w:sz w:val="22"/>
                <w:szCs w:val="20"/>
              </w:rPr>
            </w:pPr>
            <w:r w:rsidRPr="006D416D">
              <w:rPr>
                <w:b/>
                <w:sz w:val="22"/>
                <w:szCs w:val="20"/>
              </w:rPr>
              <w:t>Totals</w:t>
            </w:r>
          </w:p>
        </w:tc>
        <w:tc>
          <w:tcPr>
            <w:tcW w:w="796" w:type="pct"/>
            <w:shd w:val="clear" w:color="auto" w:fill="auto"/>
          </w:tcPr>
          <w:p w14:paraId="0F18C648" w14:textId="24F0EA36" w:rsidR="006D416D" w:rsidRPr="006D416D" w:rsidRDefault="006D416D" w:rsidP="006D416D">
            <w:pPr>
              <w:jc w:val="right"/>
              <w:rPr>
                <w:b/>
                <w:sz w:val="22"/>
                <w:szCs w:val="20"/>
              </w:rPr>
            </w:pPr>
            <w:r w:rsidRPr="006D416D">
              <w:rPr>
                <w:b/>
                <w:sz w:val="22"/>
                <w:szCs w:val="20"/>
              </w:rPr>
              <w:fldChar w:fldCharType="begin"/>
            </w:r>
            <w:r w:rsidRPr="006D416D">
              <w:rPr>
                <w:b/>
                <w:sz w:val="22"/>
                <w:szCs w:val="20"/>
              </w:rPr>
              <w:instrText xml:space="preserve"> =SUM(ABOVE) </w:instrText>
            </w:r>
            <w:r w:rsidRPr="006D416D">
              <w:rPr>
                <w:b/>
                <w:sz w:val="22"/>
                <w:szCs w:val="20"/>
              </w:rPr>
              <w:fldChar w:fldCharType="separate"/>
            </w:r>
            <w:r w:rsidRPr="006D416D">
              <w:rPr>
                <w:b/>
                <w:noProof/>
                <w:sz w:val="22"/>
                <w:szCs w:val="20"/>
              </w:rPr>
              <w:t>6,258</w:t>
            </w:r>
            <w:r w:rsidRPr="006D416D">
              <w:rPr>
                <w:b/>
                <w:sz w:val="22"/>
                <w:szCs w:val="20"/>
              </w:rPr>
              <w:fldChar w:fldCharType="end"/>
            </w:r>
          </w:p>
        </w:tc>
        <w:tc>
          <w:tcPr>
            <w:tcW w:w="888" w:type="pct"/>
            <w:vAlign w:val="center"/>
          </w:tcPr>
          <w:p w14:paraId="447B5F32" w14:textId="77777777" w:rsidR="006D416D" w:rsidRPr="006D416D" w:rsidRDefault="006D416D" w:rsidP="006D416D">
            <w:pPr>
              <w:jc w:val="right"/>
              <w:rPr>
                <w:b/>
                <w:noProof/>
                <w:sz w:val="22"/>
                <w:szCs w:val="22"/>
              </w:rPr>
            </w:pPr>
          </w:p>
        </w:tc>
        <w:tc>
          <w:tcPr>
            <w:tcW w:w="924" w:type="pct"/>
          </w:tcPr>
          <w:p w14:paraId="4BFFCCFE" w14:textId="7B0A3272" w:rsidR="006D416D" w:rsidRPr="006D416D" w:rsidRDefault="006D416D" w:rsidP="006D416D">
            <w:pPr>
              <w:jc w:val="right"/>
              <w:rPr>
                <w:b/>
                <w:sz w:val="22"/>
                <w:szCs w:val="20"/>
              </w:rPr>
            </w:pPr>
            <w:r w:rsidRPr="006D416D">
              <w:rPr>
                <w:b/>
                <w:sz w:val="22"/>
                <w:szCs w:val="20"/>
              </w:rPr>
              <w:t>$</w:t>
            </w:r>
            <w:r w:rsidRPr="006D416D">
              <w:rPr>
                <w:b/>
                <w:sz w:val="22"/>
                <w:szCs w:val="20"/>
              </w:rPr>
              <w:fldChar w:fldCharType="begin"/>
            </w:r>
            <w:r w:rsidRPr="006D416D">
              <w:rPr>
                <w:b/>
                <w:sz w:val="22"/>
                <w:szCs w:val="20"/>
              </w:rPr>
              <w:instrText xml:space="preserve"> =SUM(ABOVE) </w:instrText>
            </w:r>
            <w:r w:rsidRPr="006D416D">
              <w:rPr>
                <w:b/>
                <w:sz w:val="22"/>
                <w:szCs w:val="20"/>
              </w:rPr>
              <w:fldChar w:fldCharType="separate"/>
            </w:r>
            <w:r w:rsidRPr="006D416D">
              <w:rPr>
                <w:b/>
                <w:noProof/>
                <w:sz w:val="22"/>
                <w:szCs w:val="20"/>
              </w:rPr>
              <w:t>164,085</w:t>
            </w:r>
            <w:r w:rsidRPr="006D416D">
              <w:rPr>
                <w:b/>
                <w:sz w:val="22"/>
                <w:szCs w:val="20"/>
              </w:rPr>
              <w:fldChar w:fldCharType="end"/>
            </w:r>
          </w:p>
        </w:tc>
      </w:tr>
    </w:tbl>
    <w:p w14:paraId="3F0DED6F"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14:paraId="145A9684" w14:textId="77777777" w:rsidR="00350523" w:rsidRDefault="00350523" w:rsidP="009B7DA1">
      <w:pPr>
        <w:ind w:left="720"/>
      </w:pPr>
      <w:r>
        <w:t>There are no capital, start-up, operating</w:t>
      </w:r>
      <w:r w:rsidR="0045480A">
        <w:t>,</w:t>
      </w:r>
      <w:r>
        <w:t xml:space="preserve"> or maintenance costs associated with this information collection.</w:t>
      </w:r>
    </w:p>
    <w:p w14:paraId="724CFB99" w14:textId="77777777" w:rsidR="004C6979" w:rsidRPr="004C6979" w:rsidRDefault="00EB7538" w:rsidP="005804A4">
      <w:pPr>
        <w:keepNext/>
        <w:numPr>
          <w:ilvl w:val="0"/>
          <w:numId w:val="1"/>
        </w:numPr>
        <w:spacing w:before="100" w:beforeAutospacing="1" w:after="100" w:afterAutospacing="1"/>
        <w:rPr>
          <w:u w:val="single"/>
        </w:rPr>
      </w:pPr>
      <w:r w:rsidRPr="004C6979">
        <w:rPr>
          <w:u w:val="single"/>
        </w:rPr>
        <w:t>Annualized Cost to the Federal Government</w:t>
      </w:r>
    </w:p>
    <w:p w14:paraId="0E5D1EE3" w14:textId="50DC3CEF" w:rsidR="009B7DA1" w:rsidRPr="00D86015" w:rsidRDefault="009B7DA1" w:rsidP="0045480A">
      <w:pPr>
        <w:pStyle w:val="BodyText1"/>
        <w:spacing w:after="0" w:line="240" w:lineRule="auto"/>
        <w:ind w:left="720" w:firstLine="0"/>
      </w:pPr>
      <w:r w:rsidRPr="00AC47CE">
        <w:t xml:space="preserve">This information collection is </w:t>
      </w:r>
      <w:r w:rsidRPr="00D86015">
        <w:t xml:space="preserve">funded through a contract with RTI. The total estimated costs attributable to this data collection are </w:t>
      </w:r>
      <w:r w:rsidR="00B0074A">
        <w:t>$</w:t>
      </w:r>
      <w:r w:rsidR="00542EF6" w:rsidRPr="00542EF6">
        <w:t>$9,398,395.90</w:t>
      </w:r>
      <w:r w:rsidR="00542EF6" w:rsidRPr="00D86015">
        <w:t xml:space="preserve"> </w:t>
      </w:r>
      <w:r w:rsidRPr="00D86015">
        <w:t>(</w:t>
      </w:r>
      <w:r w:rsidR="0047253A" w:rsidRPr="00D86015">
        <w:t xml:space="preserve">Table </w:t>
      </w:r>
      <w:r w:rsidRPr="00D86015">
        <w:t>4). There are additional contract-funded activities occurring before and after this data collection that include project planning and data analysis. Other activities outside this data collection include coordination with FDA and its media contractor, evaluation plan development, instrument development, reporting, RTI IRB, and progress reporting and project management. This information collection will occur from 201</w:t>
      </w:r>
      <w:r w:rsidR="00037313" w:rsidRPr="00D86015">
        <w:t>8 through 2020</w:t>
      </w:r>
      <w:r w:rsidRPr="00D86015">
        <w:t>.</w:t>
      </w:r>
    </w:p>
    <w:p w14:paraId="25769926" w14:textId="77777777" w:rsidR="00410B6A" w:rsidRPr="00D86015" w:rsidRDefault="00410B6A" w:rsidP="0045480A">
      <w:pPr>
        <w:pStyle w:val="BodyText1"/>
        <w:spacing w:after="0" w:line="240" w:lineRule="auto"/>
        <w:ind w:left="720" w:firstLine="0"/>
      </w:pPr>
      <w:bookmarkStart w:id="5" w:name="_Toc361824171"/>
    </w:p>
    <w:p w14:paraId="51DE0080" w14:textId="52E1C5AF" w:rsidR="009B7DA1" w:rsidRPr="00D86015" w:rsidRDefault="0047253A" w:rsidP="009B7DA1">
      <w:pPr>
        <w:pStyle w:val="FigureTitle"/>
        <w:ind w:left="720"/>
      </w:pPr>
      <w:r w:rsidRPr="00D86015">
        <w:t xml:space="preserve">Table </w:t>
      </w:r>
      <w:r w:rsidR="009B7DA1" w:rsidRPr="00D86015">
        <w:t>4. Itemized Cost to the Federal Government</w:t>
      </w:r>
      <w:bookmarkEnd w:id="5"/>
    </w:p>
    <w:tbl>
      <w:tblPr>
        <w:tblW w:w="8748" w:type="dxa"/>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442"/>
        <w:gridCol w:w="1913"/>
      </w:tblGrid>
      <w:tr w:rsidR="00155FD2" w:rsidRPr="00D86015" w14:paraId="09C13AE6" w14:textId="77777777" w:rsidTr="00B0074A">
        <w:tc>
          <w:tcPr>
            <w:tcW w:w="2386" w:type="dxa"/>
            <w:tcBorders>
              <w:top w:val="single" w:sz="12" w:space="0" w:color="auto"/>
              <w:left w:val="single" w:sz="4" w:space="0" w:color="auto"/>
            </w:tcBorders>
            <w:shd w:val="clear" w:color="auto" w:fill="auto"/>
          </w:tcPr>
          <w:p w14:paraId="4CC60318" w14:textId="77777777" w:rsidR="00155FD2" w:rsidRPr="00D86015" w:rsidRDefault="00155FD2" w:rsidP="00662A36">
            <w:pPr>
              <w:pStyle w:val="FigureTitle"/>
              <w:spacing w:before="0" w:after="120"/>
              <w:jc w:val="center"/>
            </w:pPr>
            <w:r w:rsidRPr="00D86015">
              <w:rPr>
                <w:sz w:val="22"/>
              </w:rPr>
              <w:t>Government Personnel</w:t>
            </w:r>
          </w:p>
        </w:tc>
        <w:tc>
          <w:tcPr>
            <w:tcW w:w="2007" w:type="dxa"/>
            <w:tcBorders>
              <w:top w:val="single" w:sz="12" w:space="0" w:color="auto"/>
            </w:tcBorders>
            <w:shd w:val="clear" w:color="auto" w:fill="auto"/>
          </w:tcPr>
          <w:p w14:paraId="63718C54" w14:textId="77777777" w:rsidR="00155FD2" w:rsidRPr="00D86015" w:rsidRDefault="00155FD2" w:rsidP="00662A36">
            <w:pPr>
              <w:pStyle w:val="FigureTitle"/>
              <w:spacing w:before="0" w:after="120"/>
              <w:jc w:val="center"/>
            </w:pPr>
            <w:r w:rsidRPr="00D86015">
              <w:rPr>
                <w:sz w:val="22"/>
              </w:rPr>
              <w:t>Time Commitment</w:t>
            </w:r>
          </w:p>
        </w:tc>
        <w:tc>
          <w:tcPr>
            <w:tcW w:w="2442" w:type="dxa"/>
            <w:tcBorders>
              <w:top w:val="single" w:sz="12" w:space="0" w:color="auto"/>
            </w:tcBorders>
            <w:shd w:val="clear" w:color="auto" w:fill="auto"/>
            <w:vAlign w:val="bottom"/>
          </w:tcPr>
          <w:p w14:paraId="16215FD7" w14:textId="77777777" w:rsidR="00155FD2" w:rsidRPr="00D86015" w:rsidRDefault="00155FD2" w:rsidP="00662A36">
            <w:pPr>
              <w:pStyle w:val="FigureTitle"/>
              <w:spacing w:before="0" w:after="120"/>
              <w:jc w:val="center"/>
            </w:pPr>
            <w:r w:rsidRPr="00D86015">
              <w:rPr>
                <w:sz w:val="22"/>
              </w:rPr>
              <w:t>Average Annual Salary</w:t>
            </w:r>
          </w:p>
        </w:tc>
        <w:tc>
          <w:tcPr>
            <w:tcW w:w="1913" w:type="dxa"/>
            <w:tcBorders>
              <w:top w:val="single" w:sz="12" w:space="0" w:color="auto"/>
              <w:right w:val="single" w:sz="4" w:space="0" w:color="auto"/>
            </w:tcBorders>
            <w:shd w:val="clear" w:color="auto" w:fill="auto"/>
          </w:tcPr>
          <w:p w14:paraId="19666F1C" w14:textId="77777777" w:rsidR="00155FD2" w:rsidRPr="00D86015" w:rsidRDefault="00155FD2" w:rsidP="00662A36">
            <w:pPr>
              <w:pStyle w:val="FigureTitle"/>
              <w:spacing w:before="0" w:after="120"/>
              <w:jc w:val="center"/>
            </w:pPr>
            <w:r w:rsidRPr="00D86015">
              <w:rPr>
                <w:sz w:val="22"/>
              </w:rPr>
              <w:t>Total</w:t>
            </w:r>
          </w:p>
        </w:tc>
      </w:tr>
      <w:tr w:rsidR="00155FD2" w:rsidRPr="00D86015" w14:paraId="6DA725E0" w14:textId="77777777" w:rsidTr="00B0074A">
        <w:tc>
          <w:tcPr>
            <w:tcW w:w="2386" w:type="dxa"/>
            <w:tcBorders>
              <w:left w:val="single" w:sz="4" w:space="0" w:color="auto"/>
            </w:tcBorders>
            <w:shd w:val="clear" w:color="auto" w:fill="auto"/>
          </w:tcPr>
          <w:p w14:paraId="54FD4619" w14:textId="77777777" w:rsidR="00155FD2" w:rsidRPr="00D86015" w:rsidRDefault="00155FD2" w:rsidP="00983DC7">
            <w:pPr>
              <w:pStyle w:val="FigureTitle"/>
              <w:spacing w:before="0" w:after="60"/>
              <w:jc w:val="center"/>
              <w:rPr>
                <w:b w:val="0"/>
                <w:sz w:val="22"/>
              </w:rPr>
            </w:pPr>
            <w:r w:rsidRPr="00D86015">
              <w:rPr>
                <w:b w:val="0"/>
                <w:sz w:val="22"/>
              </w:rPr>
              <w:t>GS-13</w:t>
            </w:r>
          </w:p>
        </w:tc>
        <w:tc>
          <w:tcPr>
            <w:tcW w:w="2007" w:type="dxa"/>
            <w:shd w:val="clear" w:color="auto" w:fill="auto"/>
          </w:tcPr>
          <w:p w14:paraId="1376FDEF" w14:textId="77777777" w:rsidR="00155FD2" w:rsidRPr="00D86015" w:rsidRDefault="00155FD2" w:rsidP="00983DC7">
            <w:pPr>
              <w:pStyle w:val="FigureTitle"/>
              <w:spacing w:before="0" w:after="60"/>
              <w:jc w:val="center"/>
              <w:rPr>
                <w:b w:val="0"/>
                <w:sz w:val="22"/>
              </w:rPr>
            </w:pPr>
            <w:r w:rsidRPr="00D86015">
              <w:rPr>
                <w:b w:val="0"/>
                <w:sz w:val="22"/>
              </w:rPr>
              <w:t>15%</w:t>
            </w:r>
          </w:p>
        </w:tc>
        <w:tc>
          <w:tcPr>
            <w:tcW w:w="2442" w:type="dxa"/>
            <w:shd w:val="clear" w:color="auto" w:fill="auto"/>
          </w:tcPr>
          <w:p w14:paraId="56F86CED" w14:textId="064DA83C" w:rsidR="00155FD2" w:rsidRPr="00D86015" w:rsidRDefault="00155FD2" w:rsidP="0021615E">
            <w:pPr>
              <w:pStyle w:val="FigureTitle"/>
              <w:spacing w:before="0" w:after="60"/>
              <w:jc w:val="right"/>
              <w:rPr>
                <w:b w:val="0"/>
                <w:sz w:val="22"/>
              </w:rPr>
            </w:pPr>
            <w:r w:rsidRPr="00D86015">
              <w:rPr>
                <w:b w:val="0"/>
                <w:sz w:val="22"/>
              </w:rPr>
              <w:t>$</w:t>
            </w:r>
            <w:r w:rsidR="0021615E" w:rsidRPr="00D86015">
              <w:rPr>
                <w:b w:val="0"/>
                <w:sz w:val="22"/>
              </w:rPr>
              <w:t>107,435</w:t>
            </w:r>
          </w:p>
        </w:tc>
        <w:tc>
          <w:tcPr>
            <w:tcW w:w="1913" w:type="dxa"/>
            <w:tcBorders>
              <w:right w:val="single" w:sz="4" w:space="0" w:color="auto"/>
            </w:tcBorders>
            <w:shd w:val="clear" w:color="auto" w:fill="auto"/>
          </w:tcPr>
          <w:p w14:paraId="1377954B" w14:textId="791075D6" w:rsidR="00155FD2" w:rsidRPr="00D86015" w:rsidRDefault="008642E3" w:rsidP="0021615E">
            <w:pPr>
              <w:pStyle w:val="FigureTitle"/>
              <w:spacing w:before="0" w:after="60"/>
              <w:jc w:val="right"/>
              <w:rPr>
                <w:b w:val="0"/>
                <w:sz w:val="22"/>
              </w:rPr>
            </w:pPr>
            <w:r w:rsidRPr="00D86015">
              <w:rPr>
                <w:b w:val="0"/>
                <w:sz w:val="22"/>
              </w:rPr>
              <w:t>$</w:t>
            </w:r>
            <w:r w:rsidR="0021615E" w:rsidRPr="00D86015">
              <w:rPr>
                <w:b w:val="0"/>
                <w:sz w:val="22"/>
              </w:rPr>
              <w:t>16,115</w:t>
            </w:r>
            <w:r w:rsidR="00B0074A">
              <w:rPr>
                <w:b w:val="0"/>
                <w:sz w:val="22"/>
              </w:rPr>
              <w:t>.00</w:t>
            </w:r>
          </w:p>
        </w:tc>
      </w:tr>
      <w:tr w:rsidR="00155FD2" w:rsidRPr="00D86015" w14:paraId="2D8F970D" w14:textId="77777777" w:rsidTr="00B0074A">
        <w:tc>
          <w:tcPr>
            <w:tcW w:w="2386" w:type="dxa"/>
            <w:tcBorders>
              <w:left w:val="single" w:sz="4" w:space="0" w:color="auto"/>
              <w:bottom w:val="single" w:sz="4" w:space="0" w:color="auto"/>
            </w:tcBorders>
            <w:shd w:val="clear" w:color="auto" w:fill="auto"/>
          </w:tcPr>
          <w:p w14:paraId="4064F517" w14:textId="61318578" w:rsidR="00155FD2" w:rsidRPr="00D86015" w:rsidRDefault="00155FD2" w:rsidP="005D5693">
            <w:pPr>
              <w:pStyle w:val="FigureTitle"/>
              <w:spacing w:before="0" w:after="60"/>
              <w:jc w:val="center"/>
              <w:rPr>
                <w:b w:val="0"/>
                <w:sz w:val="22"/>
              </w:rPr>
            </w:pPr>
            <w:r w:rsidRPr="00D86015">
              <w:rPr>
                <w:b w:val="0"/>
                <w:sz w:val="22"/>
              </w:rPr>
              <w:t>GS-1</w:t>
            </w:r>
            <w:r w:rsidR="005D5693" w:rsidRPr="00D86015">
              <w:rPr>
                <w:b w:val="0"/>
                <w:sz w:val="22"/>
              </w:rPr>
              <w:t>4</w:t>
            </w:r>
          </w:p>
        </w:tc>
        <w:tc>
          <w:tcPr>
            <w:tcW w:w="2007" w:type="dxa"/>
            <w:tcBorders>
              <w:bottom w:val="single" w:sz="4" w:space="0" w:color="auto"/>
            </w:tcBorders>
            <w:shd w:val="clear" w:color="auto" w:fill="auto"/>
          </w:tcPr>
          <w:p w14:paraId="7C1B50CA" w14:textId="77777777" w:rsidR="00155FD2" w:rsidRPr="00D86015" w:rsidRDefault="00155FD2" w:rsidP="00983DC7">
            <w:pPr>
              <w:pStyle w:val="FigureTitle"/>
              <w:spacing w:before="0" w:after="60"/>
              <w:jc w:val="center"/>
              <w:rPr>
                <w:b w:val="0"/>
                <w:sz w:val="22"/>
              </w:rPr>
            </w:pPr>
            <w:r w:rsidRPr="00D86015">
              <w:rPr>
                <w:b w:val="0"/>
                <w:sz w:val="22"/>
              </w:rPr>
              <w:t>25%</w:t>
            </w:r>
          </w:p>
        </w:tc>
        <w:tc>
          <w:tcPr>
            <w:tcW w:w="2442" w:type="dxa"/>
            <w:tcBorders>
              <w:bottom w:val="single" w:sz="4" w:space="0" w:color="auto"/>
            </w:tcBorders>
            <w:shd w:val="clear" w:color="auto" w:fill="auto"/>
          </w:tcPr>
          <w:p w14:paraId="3EF742A1" w14:textId="239DC3BF" w:rsidR="00155FD2" w:rsidRPr="00D86015" w:rsidRDefault="00155FD2" w:rsidP="0021615E">
            <w:pPr>
              <w:pStyle w:val="FigureTitle"/>
              <w:spacing w:before="0" w:after="60"/>
              <w:jc w:val="right"/>
              <w:rPr>
                <w:b w:val="0"/>
                <w:sz w:val="22"/>
              </w:rPr>
            </w:pPr>
            <w:r w:rsidRPr="00D86015">
              <w:rPr>
                <w:b w:val="0"/>
                <w:sz w:val="22"/>
              </w:rPr>
              <w:t>$</w:t>
            </w:r>
            <w:r w:rsidR="0021615E" w:rsidRPr="00D86015">
              <w:rPr>
                <w:b w:val="0"/>
                <w:sz w:val="22"/>
              </w:rPr>
              <w:t>126,958</w:t>
            </w:r>
          </w:p>
        </w:tc>
        <w:tc>
          <w:tcPr>
            <w:tcW w:w="1913" w:type="dxa"/>
            <w:tcBorders>
              <w:bottom w:val="single" w:sz="4" w:space="0" w:color="auto"/>
              <w:right w:val="single" w:sz="4" w:space="0" w:color="auto"/>
            </w:tcBorders>
            <w:shd w:val="clear" w:color="auto" w:fill="auto"/>
          </w:tcPr>
          <w:p w14:paraId="2EC3EE09" w14:textId="4D63B61A" w:rsidR="00155FD2" w:rsidRPr="00D86015" w:rsidRDefault="008642E3" w:rsidP="0021615E">
            <w:pPr>
              <w:pStyle w:val="FigureTitle"/>
              <w:spacing w:before="0" w:after="60"/>
              <w:jc w:val="right"/>
              <w:rPr>
                <w:b w:val="0"/>
                <w:sz w:val="22"/>
              </w:rPr>
            </w:pPr>
            <w:r w:rsidRPr="00D86015">
              <w:rPr>
                <w:b w:val="0"/>
                <w:sz w:val="22"/>
              </w:rPr>
              <w:t>$</w:t>
            </w:r>
            <w:r w:rsidR="0021615E" w:rsidRPr="00D86015">
              <w:rPr>
                <w:b w:val="0"/>
                <w:sz w:val="22"/>
              </w:rPr>
              <w:t>31,739</w:t>
            </w:r>
            <w:r w:rsidR="00B0074A">
              <w:rPr>
                <w:b w:val="0"/>
                <w:sz w:val="22"/>
              </w:rPr>
              <w:t>.00</w:t>
            </w:r>
          </w:p>
        </w:tc>
      </w:tr>
      <w:tr w:rsidR="00155FD2" w:rsidRPr="00D86015" w14:paraId="704F1779" w14:textId="77777777" w:rsidTr="00B0074A">
        <w:tc>
          <w:tcPr>
            <w:tcW w:w="2386" w:type="dxa"/>
            <w:tcBorders>
              <w:left w:val="single" w:sz="4" w:space="0" w:color="auto"/>
              <w:bottom w:val="single" w:sz="12" w:space="0" w:color="auto"/>
            </w:tcBorders>
            <w:shd w:val="clear" w:color="auto" w:fill="auto"/>
          </w:tcPr>
          <w:p w14:paraId="78A2A802" w14:textId="77777777" w:rsidR="00155FD2" w:rsidRPr="00D86015" w:rsidRDefault="00155FD2" w:rsidP="00983DC7">
            <w:pPr>
              <w:pStyle w:val="FigureTitle"/>
              <w:spacing w:before="0" w:after="60"/>
              <w:jc w:val="center"/>
              <w:rPr>
                <w:b w:val="0"/>
                <w:sz w:val="22"/>
              </w:rPr>
            </w:pPr>
            <w:r w:rsidRPr="00D86015">
              <w:rPr>
                <w:b w:val="0"/>
                <w:sz w:val="22"/>
              </w:rPr>
              <w:t>GS-15</w:t>
            </w:r>
          </w:p>
        </w:tc>
        <w:tc>
          <w:tcPr>
            <w:tcW w:w="2007" w:type="dxa"/>
            <w:tcBorders>
              <w:bottom w:val="single" w:sz="12" w:space="0" w:color="auto"/>
            </w:tcBorders>
            <w:shd w:val="clear" w:color="auto" w:fill="auto"/>
          </w:tcPr>
          <w:p w14:paraId="13145036" w14:textId="77777777" w:rsidR="00155FD2" w:rsidRPr="00D86015" w:rsidRDefault="00155FD2" w:rsidP="00983DC7">
            <w:pPr>
              <w:pStyle w:val="FigureTitle"/>
              <w:spacing w:before="0" w:after="60"/>
              <w:jc w:val="center"/>
              <w:rPr>
                <w:b w:val="0"/>
                <w:sz w:val="22"/>
              </w:rPr>
            </w:pPr>
            <w:r w:rsidRPr="00D86015">
              <w:rPr>
                <w:b w:val="0"/>
                <w:sz w:val="22"/>
              </w:rPr>
              <w:t>5%</w:t>
            </w:r>
          </w:p>
        </w:tc>
        <w:tc>
          <w:tcPr>
            <w:tcW w:w="2442" w:type="dxa"/>
            <w:tcBorders>
              <w:bottom w:val="single" w:sz="12" w:space="0" w:color="auto"/>
            </w:tcBorders>
            <w:shd w:val="clear" w:color="auto" w:fill="auto"/>
          </w:tcPr>
          <w:p w14:paraId="0D55E849" w14:textId="4BD983C2" w:rsidR="00155FD2" w:rsidRPr="00D86015" w:rsidRDefault="00566AAF" w:rsidP="0021615E">
            <w:pPr>
              <w:pStyle w:val="FigureTitle"/>
              <w:spacing w:before="0" w:after="60"/>
              <w:jc w:val="right"/>
              <w:rPr>
                <w:b w:val="0"/>
                <w:sz w:val="22"/>
              </w:rPr>
            </w:pPr>
            <w:r w:rsidRPr="00D86015">
              <w:rPr>
                <w:b w:val="0"/>
                <w:sz w:val="22"/>
              </w:rPr>
              <w:t>$</w:t>
            </w:r>
            <w:r w:rsidR="0021615E" w:rsidRPr="00D86015">
              <w:rPr>
                <w:b w:val="0"/>
                <w:sz w:val="22"/>
              </w:rPr>
              <w:t>149,337</w:t>
            </w:r>
          </w:p>
        </w:tc>
        <w:tc>
          <w:tcPr>
            <w:tcW w:w="1913" w:type="dxa"/>
            <w:tcBorders>
              <w:bottom w:val="single" w:sz="12" w:space="0" w:color="auto"/>
              <w:right w:val="single" w:sz="4" w:space="0" w:color="auto"/>
            </w:tcBorders>
            <w:shd w:val="clear" w:color="auto" w:fill="auto"/>
          </w:tcPr>
          <w:p w14:paraId="33BCE2A1" w14:textId="08F809FF" w:rsidR="001E1AE0" w:rsidRPr="00D86015" w:rsidRDefault="008642E3" w:rsidP="0021615E">
            <w:pPr>
              <w:pStyle w:val="FigureTitle"/>
              <w:spacing w:before="0" w:after="60"/>
              <w:jc w:val="right"/>
              <w:rPr>
                <w:b w:val="0"/>
                <w:sz w:val="22"/>
              </w:rPr>
            </w:pPr>
            <w:r w:rsidRPr="00D86015">
              <w:rPr>
                <w:b w:val="0"/>
                <w:sz w:val="22"/>
              </w:rPr>
              <w:t>$</w:t>
            </w:r>
            <w:r w:rsidR="0021615E" w:rsidRPr="00D86015">
              <w:rPr>
                <w:b w:val="0"/>
                <w:sz w:val="22"/>
              </w:rPr>
              <w:t>7,467</w:t>
            </w:r>
            <w:r w:rsidR="00B0074A">
              <w:rPr>
                <w:b w:val="0"/>
                <w:sz w:val="22"/>
              </w:rPr>
              <w:t>.00</w:t>
            </w:r>
          </w:p>
        </w:tc>
      </w:tr>
      <w:tr w:rsidR="001E1AE0" w:rsidRPr="00D86015" w14:paraId="0CF747C1" w14:textId="77777777" w:rsidTr="00B0074A">
        <w:tc>
          <w:tcPr>
            <w:tcW w:w="2386" w:type="dxa"/>
            <w:tcBorders>
              <w:top w:val="single" w:sz="12" w:space="0" w:color="auto"/>
              <w:left w:val="single" w:sz="4" w:space="0" w:color="auto"/>
              <w:bottom w:val="single" w:sz="4" w:space="0" w:color="auto"/>
            </w:tcBorders>
            <w:shd w:val="clear" w:color="auto" w:fill="auto"/>
          </w:tcPr>
          <w:p w14:paraId="151BCAF0" w14:textId="77777777" w:rsidR="001E1AE0" w:rsidRPr="00D86015" w:rsidRDefault="001E1AE0" w:rsidP="00983DC7">
            <w:pPr>
              <w:pStyle w:val="FigureTitle"/>
              <w:spacing w:before="0" w:after="60"/>
              <w:jc w:val="center"/>
              <w:rPr>
                <w:b w:val="0"/>
                <w:sz w:val="22"/>
              </w:rPr>
            </w:pPr>
          </w:p>
        </w:tc>
        <w:tc>
          <w:tcPr>
            <w:tcW w:w="2007" w:type="dxa"/>
            <w:tcBorders>
              <w:top w:val="single" w:sz="12" w:space="0" w:color="auto"/>
              <w:bottom w:val="single" w:sz="4" w:space="0" w:color="auto"/>
            </w:tcBorders>
            <w:shd w:val="clear" w:color="auto" w:fill="auto"/>
          </w:tcPr>
          <w:p w14:paraId="66452324" w14:textId="77777777" w:rsidR="001E1AE0" w:rsidRPr="00D86015" w:rsidRDefault="001E1AE0" w:rsidP="00983DC7">
            <w:pPr>
              <w:pStyle w:val="FigureTitle"/>
              <w:spacing w:before="0" w:after="60"/>
              <w:jc w:val="center"/>
              <w:rPr>
                <w:b w:val="0"/>
                <w:sz w:val="22"/>
              </w:rPr>
            </w:pPr>
          </w:p>
        </w:tc>
        <w:tc>
          <w:tcPr>
            <w:tcW w:w="2442" w:type="dxa"/>
            <w:tcBorders>
              <w:top w:val="single" w:sz="12" w:space="0" w:color="auto"/>
              <w:bottom w:val="single" w:sz="4" w:space="0" w:color="auto"/>
            </w:tcBorders>
            <w:shd w:val="clear" w:color="auto" w:fill="auto"/>
          </w:tcPr>
          <w:p w14:paraId="056200A3" w14:textId="77777777" w:rsidR="001E1AE0" w:rsidRPr="00D86015" w:rsidRDefault="001E1AE0" w:rsidP="00983DC7">
            <w:pPr>
              <w:pStyle w:val="FigureTitle"/>
              <w:spacing w:before="0" w:after="60"/>
              <w:jc w:val="right"/>
              <w:rPr>
                <w:sz w:val="22"/>
              </w:rPr>
            </w:pPr>
            <w:r w:rsidRPr="00D86015">
              <w:rPr>
                <w:sz w:val="22"/>
              </w:rPr>
              <w:t>Total Salary Costs</w:t>
            </w:r>
          </w:p>
        </w:tc>
        <w:tc>
          <w:tcPr>
            <w:tcW w:w="1913" w:type="dxa"/>
            <w:tcBorders>
              <w:top w:val="single" w:sz="12" w:space="0" w:color="auto"/>
              <w:bottom w:val="single" w:sz="4" w:space="0" w:color="auto"/>
              <w:right w:val="single" w:sz="4" w:space="0" w:color="auto"/>
            </w:tcBorders>
            <w:shd w:val="clear" w:color="auto" w:fill="auto"/>
          </w:tcPr>
          <w:p w14:paraId="1BBF178D" w14:textId="3C9E1285" w:rsidR="001E1AE0" w:rsidRPr="00D86015" w:rsidRDefault="001E1AE0" w:rsidP="0021615E">
            <w:pPr>
              <w:pStyle w:val="FigureTitle"/>
              <w:spacing w:before="0" w:after="60"/>
              <w:jc w:val="right"/>
              <w:rPr>
                <w:b w:val="0"/>
                <w:sz w:val="22"/>
              </w:rPr>
            </w:pPr>
            <w:r w:rsidRPr="00D86015">
              <w:rPr>
                <w:b w:val="0"/>
                <w:sz w:val="22"/>
              </w:rPr>
              <w:fldChar w:fldCharType="begin"/>
            </w:r>
            <w:r w:rsidRPr="00D86015">
              <w:rPr>
                <w:b w:val="0"/>
                <w:sz w:val="22"/>
              </w:rPr>
              <w:instrText xml:space="preserve"> =SUM(ABOVE) </w:instrText>
            </w:r>
            <w:r w:rsidRPr="00D86015">
              <w:rPr>
                <w:b w:val="0"/>
                <w:sz w:val="22"/>
              </w:rPr>
              <w:fldChar w:fldCharType="separate"/>
            </w:r>
            <w:r w:rsidR="00B0074A">
              <w:rPr>
                <w:b w:val="0"/>
                <w:noProof/>
                <w:sz w:val="22"/>
              </w:rPr>
              <w:t>$55,321.00</w:t>
            </w:r>
            <w:r w:rsidRPr="00D86015">
              <w:rPr>
                <w:b w:val="0"/>
                <w:sz w:val="22"/>
              </w:rPr>
              <w:fldChar w:fldCharType="end"/>
            </w:r>
          </w:p>
        </w:tc>
      </w:tr>
      <w:tr w:rsidR="003A4D03" w:rsidRPr="00D86015" w14:paraId="0B7E9330" w14:textId="77777777" w:rsidTr="00B0074A">
        <w:tc>
          <w:tcPr>
            <w:tcW w:w="6835" w:type="dxa"/>
            <w:gridSpan w:val="3"/>
            <w:tcBorders>
              <w:left w:val="single" w:sz="4" w:space="0" w:color="auto"/>
              <w:bottom w:val="single" w:sz="12" w:space="0" w:color="auto"/>
            </w:tcBorders>
            <w:shd w:val="clear" w:color="auto" w:fill="auto"/>
          </w:tcPr>
          <w:p w14:paraId="05886E31" w14:textId="77777777" w:rsidR="003A4D03" w:rsidRPr="00D86015" w:rsidRDefault="003A4D03" w:rsidP="009513F4">
            <w:pPr>
              <w:pStyle w:val="FigureTitle"/>
              <w:spacing w:before="0" w:after="60"/>
              <w:jc w:val="right"/>
              <w:rPr>
                <w:sz w:val="22"/>
                <w:szCs w:val="22"/>
              </w:rPr>
            </w:pPr>
            <w:r w:rsidRPr="00D86015">
              <w:rPr>
                <w:sz w:val="22"/>
                <w:szCs w:val="22"/>
              </w:rPr>
              <w:t>Contract Cost</w:t>
            </w:r>
          </w:p>
        </w:tc>
        <w:tc>
          <w:tcPr>
            <w:tcW w:w="1913" w:type="dxa"/>
            <w:tcBorders>
              <w:bottom w:val="single" w:sz="12" w:space="0" w:color="auto"/>
              <w:right w:val="single" w:sz="4" w:space="0" w:color="auto"/>
            </w:tcBorders>
            <w:shd w:val="clear" w:color="auto" w:fill="auto"/>
            <w:vAlign w:val="center"/>
          </w:tcPr>
          <w:p w14:paraId="5DF7EE51" w14:textId="2D8C5A47" w:rsidR="003A4D03" w:rsidRPr="00B0074A" w:rsidRDefault="003A4D03" w:rsidP="00B0074A">
            <w:pPr>
              <w:pStyle w:val="FigureTitle"/>
              <w:spacing w:before="0" w:after="60"/>
              <w:jc w:val="right"/>
              <w:rPr>
                <w:b w:val="0"/>
                <w:sz w:val="22"/>
              </w:rPr>
            </w:pPr>
            <w:r w:rsidRPr="00B0074A">
              <w:rPr>
                <w:b w:val="0"/>
                <w:sz w:val="22"/>
              </w:rPr>
              <w:t>$</w:t>
            </w:r>
            <w:r w:rsidR="00B0074A" w:rsidRPr="00B0074A">
              <w:rPr>
                <w:b w:val="0"/>
                <w:sz w:val="22"/>
              </w:rPr>
              <w:t>9,343,074.90</w:t>
            </w:r>
          </w:p>
        </w:tc>
      </w:tr>
      <w:tr w:rsidR="00566AAF" w:rsidRPr="00C133A6" w14:paraId="07BC124F" w14:textId="77777777" w:rsidTr="00B0074A">
        <w:tc>
          <w:tcPr>
            <w:tcW w:w="6835" w:type="dxa"/>
            <w:gridSpan w:val="3"/>
            <w:tcBorders>
              <w:left w:val="single" w:sz="4" w:space="0" w:color="auto"/>
              <w:bottom w:val="single" w:sz="12" w:space="0" w:color="auto"/>
            </w:tcBorders>
            <w:shd w:val="clear" w:color="auto" w:fill="auto"/>
          </w:tcPr>
          <w:p w14:paraId="11E15249" w14:textId="77777777" w:rsidR="00566AAF" w:rsidRPr="00D86015" w:rsidRDefault="00566AAF" w:rsidP="00662A36">
            <w:pPr>
              <w:pStyle w:val="FigureTitle"/>
              <w:spacing w:before="0" w:after="60"/>
              <w:jc w:val="right"/>
              <w:rPr>
                <w:sz w:val="22"/>
              </w:rPr>
            </w:pPr>
            <w:r w:rsidRPr="00D86015">
              <w:rPr>
                <w:sz w:val="22"/>
              </w:rPr>
              <w:t>Total</w:t>
            </w:r>
          </w:p>
        </w:tc>
        <w:tc>
          <w:tcPr>
            <w:tcW w:w="1913" w:type="dxa"/>
            <w:tcBorders>
              <w:bottom w:val="single" w:sz="12" w:space="0" w:color="auto"/>
              <w:right w:val="single" w:sz="4" w:space="0" w:color="auto"/>
            </w:tcBorders>
            <w:shd w:val="clear" w:color="auto" w:fill="auto"/>
          </w:tcPr>
          <w:p w14:paraId="0C1E76B1" w14:textId="5DF2FDF8" w:rsidR="00566AAF" w:rsidRPr="00B0074A" w:rsidRDefault="00542EF6" w:rsidP="0021615E">
            <w:pPr>
              <w:pStyle w:val="FigureTitle"/>
              <w:spacing w:before="0" w:after="60"/>
              <w:jc w:val="right"/>
              <w:rPr>
                <w:b w:val="0"/>
                <w:sz w:val="22"/>
              </w:rPr>
            </w:pPr>
            <w:r>
              <w:rPr>
                <w:b w:val="0"/>
                <w:sz w:val="22"/>
              </w:rPr>
              <w:t>$</w:t>
            </w:r>
            <w:r w:rsidRPr="00542EF6">
              <w:rPr>
                <w:b w:val="0"/>
                <w:sz w:val="22"/>
              </w:rPr>
              <w:t>9,398,395.9</w:t>
            </w:r>
            <w:r>
              <w:rPr>
                <w:b w:val="0"/>
                <w:sz w:val="22"/>
              </w:rPr>
              <w:t>0</w:t>
            </w:r>
          </w:p>
        </w:tc>
      </w:tr>
    </w:tbl>
    <w:p w14:paraId="55172868" w14:textId="77777777"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14:paraId="7475F119" w14:textId="77777777" w:rsidR="009F66B5" w:rsidRDefault="00280CAF" w:rsidP="009B7DA1">
      <w:pPr>
        <w:pStyle w:val="BodyTextIndent"/>
        <w:ind w:left="720"/>
      </w:pPr>
      <w:r>
        <w:t>This is a new data collection.</w:t>
      </w:r>
    </w:p>
    <w:p w14:paraId="6BAF4BAF" w14:textId="77777777"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14:paraId="3EF75F4D" w14:textId="3A69BF77" w:rsidR="009B7DA1" w:rsidRDefault="009B7DA1" w:rsidP="009B7DA1">
      <w:pPr>
        <w:pStyle w:val="BodyText1"/>
        <w:spacing w:after="0" w:line="240" w:lineRule="auto"/>
        <w:ind w:left="720" w:firstLine="0"/>
      </w:pPr>
      <w:r w:rsidRPr="00AC47CE">
        <w:t xml:space="preserve">Data from this information collection will be used to estimate awareness of and exposure to the campaign among </w:t>
      </w:r>
      <w:r w:rsidR="00BC2ED5">
        <w:t>adult</w:t>
      </w:r>
      <w:r w:rsidR="0047253A">
        <w:t xml:space="preserve"> smokers</w:t>
      </w:r>
      <w:r w:rsidRPr="00AC47CE">
        <w:t xml:space="preserve">. These estimates will take the form of self-reported ad recognition and recall that assess basic exposure as well as frequency of ad exposure. </w:t>
      </w:r>
    </w:p>
    <w:p w14:paraId="330FE803" w14:textId="77777777" w:rsidR="009B7DA1" w:rsidRDefault="009B7DA1" w:rsidP="009B7DA1">
      <w:pPr>
        <w:pStyle w:val="BodyText1"/>
        <w:spacing w:after="0" w:line="240" w:lineRule="auto"/>
        <w:ind w:left="720" w:firstLine="0"/>
      </w:pPr>
    </w:p>
    <w:p w14:paraId="0444892B" w14:textId="489EB70E" w:rsidR="009B7DA1" w:rsidRDefault="009B7DA1" w:rsidP="009B7DA1">
      <w:pPr>
        <w:pStyle w:val="BodyText1"/>
        <w:spacing w:after="0" w:line="240" w:lineRule="auto"/>
        <w:ind w:left="720" w:firstLine="0"/>
      </w:pPr>
      <w:r>
        <w:t>D</w:t>
      </w:r>
      <w:r w:rsidRPr="00AC47CE">
        <w:t xml:space="preserve">ata from this information collection will also be used to examine statistical associations between exposure to </w:t>
      </w:r>
      <w:r w:rsidR="00CF7290">
        <w:t xml:space="preserve">and awareness of </w:t>
      </w:r>
      <w:r w:rsidRPr="00AC47CE">
        <w:t xml:space="preserve">the </w:t>
      </w:r>
      <w:r w:rsidR="000F4046">
        <w:t xml:space="preserve">campaigns </w:t>
      </w:r>
      <w:r w:rsidRPr="00AC47CE">
        <w:t xml:space="preserve">and </w:t>
      </w:r>
      <w:r w:rsidR="00BC2ED5">
        <w:t xml:space="preserve">treatment-control differences </w:t>
      </w:r>
      <w:r w:rsidRPr="00AC47CE">
        <w:t xml:space="preserve">in specific outcomes of interest. This will be accomplished with the use of multivariate models that </w:t>
      </w:r>
      <w:r w:rsidR="00BC2ED5">
        <w:t>compare</w:t>
      </w:r>
      <w:r w:rsidRPr="00AC47CE">
        <w:t xml:space="preserve"> measures of each relevant outcome </w:t>
      </w:r>
      <w:r w:rsidR="00BC2ED5">
        <w:t>among treatment participants versus control participants</w:t>
      </w:r>
      <w:r w:rsidRPr="00AC47CE">
        <w:t>, controlling for individual characteristics that may confound the relationship</w:t>
      </w:r>
      <w:r w:rsidR="00BC2ED5">
        <w:t xml:space="preserve"> between campaign exposure and differences</w:t>
      </w:r>
      <w:r w:rsidRPr="00AC47CE">
        <w:t xml:space="preserve"> i</w:t>
      </w:r>
      <w:r w:rsidR="00BD3F0C">
        <w:t>n outcomes. The primary outcome</w:t>
      </w:r>
      <w:r w:rsidRPr="00AC47CE">
        <w:t xml:space="preserve"> of interest</w:t>
      </w:r>
      <w:r w:rsidR="00BD3F0C">
        <w:t xml:space="preserve"> is quit attempts</w:t>
      </w:r>
      <w:r w:rsidRPr="00AC47CE">
        <w:t xml:space="preserve">. We hypothesize that there should be larger </w:t>
      </w:r>
      <w:r w:rsidR="00BC2ED5">
        <w:t>differences</w:t>
      </w:r>
      <w:r w:rsidRPr="00AC47CE">
        <w:t xml:space="preserve"> in outcomes </w:t>
      </w:r>
      <w:r w:rsidR="00BC2ED5">
        <w:t xml:space="preserve">between the control group and </w:t>
      </w:r>
      <w:r w:rsidRPr="00AC47CE">
        <w:t xml:space="preserve">individuals </w:t>
      </w:r>
      <w:r w:rsidR="00BC2ED5">
        <w:t xml:space="preserve">in the treatment group </w:t>
      </w:r>
      <w:r w:rsidRPr="00AC47CE">
        <w:t xml:space="preserve">who are exposed to the </w:t>
      </w:r>
      <w:r w:rsidR="000F4046">
        <w:t xml:space="preserve">campaigns </w:t>
      </w:r>
      <w:r w:rsidRPr="00AC47CE">
        <w:t xml:space="preserve">more frequently </w:t>
      </w:r>
      <w:r w:rsidR="00BC2ED5">
        <w:t xml:space="preserve">or at a higher intensity </w:t>
      </w:r>
      <w:r w:rsidRPr="00AC47CE">
        <w:t>(i.e., dose-response effects).</w:t>
      </w:r>
    </w:p>
    <w:p w14:paraId="544EF470" w14:textId="77777777" w:rsidR="009B7DA1" w:rsidRDefault="009B7DA1" w:rsidP="009B7DA1">
      <w:pPr>
        <w:pStyle w:val="BodyText1"/>
        <w:spacing w:after="0" w:line="240" w:lineRule="auto"/>
        <w:ind w:left="720" w:firstLine="0"/>
      </w:pPr>
    </w:p>
    <w:p w14:paraId="740440E7" w14:textId="332F9471" w:rsidR="009B7DA1" w:rsidRDefault="009B7DA1" w:rsidP="009B7DA1">
      <w:pPr>
        <w:pStyle w:val="BodyText1"/>
        <w:spacing w:after="0" w:line="240" w:lineRule="auto"/>
        <w:ind w:left="720" w:firstLine="0"/>
      </w:pPr>
      <w:r>
        <w:t>W</w:t>
      </w:r>
      <w:r w:rsidRPr="00AC47CE">
        <w:t xml:space="preserve">e will also utilize measures of market-level campaign intensity, which will be constructed with available data on campaign gross rating points (GRPs) for each market covered by this survey. These data provide an overall measure of the reach and frequency of campaign ads within any given media market. These data will be merged </w:t>
      </w:r>
      <w:r w:rsidR="00202AA1">
        <w:t>with</w:t>
      </w:r>
      <w:r w:rsidR="00202AA1" w:rsidRPr="00AC47CE">
        <w:t xml:space="preserve"> </w:t>
      </w:r>
      <w:r w:rsidR="00202AA1">
        <w:t xml:space="preserve">the </w:t>
      </w:r>
      <w:r w:rsidR="00877F18">
        <w:t xml:space="preserve">data from </w:t>
      </w:r>
      <w:r w:rsidRPr="00AC47CE">
        <w:t xml:space="preserve">the </w:t>
      </w:r>
      <w:r w:rsidR="00877F18">
        <w:t>outcome evaluation questionnaire</w:t>
      </w:r>
      <w:r w:rsidRPr="00AC47CE">
        <w:t xml:space="preserve"> to provide an additional measure of campaign exposure among study participants. This will allow us to analyze the relationship between the market-level delivery of the </w:t>
      </w:r>
      <w:r w:rsidR="000F4046">
        <w:t xml:space="preserve">campaigns </w:t>
      </w:r>
      <w:r w:rsidRPr="00AC47CE">
        <w:t>and actual levels of awareness in each sample that is collected. This will also facilitate further analyses of the relationship between exogenous market-level measures of campaign dose and changes in the aforementioned outcome variables of interest.</w:t>
      </w:r>
      <w:r w:rsidR="00BD3F0C">
        <w:t xml:space="preserve"> Analyses of campaign exposure from the app will supplement this information.</w:t>
      </w:r>
    </w:p>
    <w:p w14:paraId="623AE46A" w14:textId="77777777" w:rsidR="009B7DA1" w:rsidRDefault="009B7DA1" w:rsidP="009B7DA1">
      <w:pPr>
        <w:pStyle w:val="BodyText1"/>
        <w:spacing w:after="0" w:line="240" w:lineRule="auto"/>
        <w:ind w:left="720" w:firstLine="0"/>
      </w:pPr>
    </w:p>
    <w:p w14:paraId="54DED9BE" w14:textId="4BD7103F" w:rsidR="00B0074A" w:rsidRPr="00542EF6" w:rsidRDefault="00B0074A" w:rsidP="00542EF6">
      <w:pPr>
        <w:pStyle w:val="BodyText1"/>
        <w:spacing w:after="0" w:line="240" w:lineRule="auto"/>
        <w:ind w:left="720" w:firstLine="0"/>
      </w:pPr>
      <w:r>
        <w:t>The reporting and dissemination mechanism will consist of three primary components: (1) summary statistics (in the form of PowerPoint presentations and other briefings) on awareness of and reactions to the campaign, (2) comprehensive evaluation report</w:t>
      </w:r>
      <w:r w:rsidR="00542EF6" w:rsidRPr="00542EF6">
        <w:t>s</w:t>
      </w:r>
      <w:r>
        <w:t xml:space="preserve"> summarizing findings from this information collection, and (3) </w:t>
      </w:r>
      <w:r w:rsidRPr="00542EF6">
        <w:t xml:space="preserve">manuscript development </w:t>
      </w:r>
      <w:r w:rsidR="00542EF6" w:rsidRPr="00542EF6">
        <w:t>for</w:t>
      </w:r>
      <w:r w:rsidRPr="00542EF6">
        <w:t xml:space="preserve"> </w:t>
      </w:r>
      <w:r>
        <w:t xml:space="preserve">peer-reviewed journal articles that document the relationships between campaign exposure and changes in the aforementioned outcomes of interest. The key events and reports to be prepared are listed in Table 5. </w:t>
      </w:r>
    </w:p>
    <w:p w14:paraId="6D351A47" w14:textId="77777777" w:rsidR="009B7DA1" w:rsidRDefault="009B7DA1" w:rsidP="009B7DA1">
      <w:pPr>
        <w:pStyle w:val="BodyText1"/>
        <w:spacing w:after="0" w:line="240" w:lineRule="auto"/>
        <w:ind w:left="720" w:firstLine="0"/>
      </w:pPr>
    </w:p>
    <w:p w14:paraId="293E0716" w14:textId="633A23A5" w:rsidR="009B7DA1" w:rsidRDefault="009B7DA1" w:rsidP="009B7DA1">
      <w:pPr>
        <w:pStyle w:val="BodyText1"/>
        <w:spacing w:after="0" w:line="240" w:lineRule="auto"/>
        <w:ind w:left="720" w:firstLine="0"/>
      </w:pPr>
      <w:r w:rsidRPr="00AC47CE">
        <w:t>OMB approval is requested as soon as possible</w:t>
      </w:r>
      <w:r w:rsidR="00CF7290">
        <w:t xml:space="preserve"> to begin to recruit, hire, and orient the large study staff that will complete in-person </w:t>
      </w:r>
      <w:r w:rsidR="00BD3F0C">
        <w:t xml:space="preserve">screenings and </w:t>
      </w:r>
      <w:r w:rsidR="00CF7290">
        <w:t>interviews</w:t>
      </w:r>
      <w:r w:rsidRPr="00AC47CE">
        <w:t>.</w:t>
      </w:r>
    </w:p>
    <w:p w14:paraId="4BA2A30B" w14:textId="77777777" w:rsidR="009B7DA1" w:rsidRPr="00AC47CE" w:rsidRDefault="009B7DA1" w:rsidP="009B7DA1">
      <w:pPr>
        <w:pStyle w:val="BodyText1"/>
        <w:spacing w:after="0" w:line="240" w:lineRule="auto"/>
        <w:ind w:left="720" w:firstLine="0"/>
      </w:pPr>
    </w:p>
    <w:p w14:paraId="2A6D893B" w14:textId="453DADF2" w:rsidR="009B7DA1" w:rsidRDefault="0047253A" w:rsidP="00DE7324">
      <w:pPr>
        <w:pStyle w:val="FigureTitle"/>
        <w:spacing w:before="0" w:after="0"/>
        <w:ind w:left="720"/>
      </w:pPr>
      <w:bookmarkStart w:id="6" w:name="_Toc66689102"/>
      <w:bookmarkStart w:id="7" w:name="_Toc140476560"/>
      <w:bookmarkStart w:id="8" w:name="_Toc216595340"/>
      <w:bookmarkStart w:id="9" w:name="_Toc361824172"/>
      <w:r>
        <w:t>Table</w:t>
      </w:r>
      <w:r w:rsidRPr="00AC47CE">
        <w:t xml:space="preserve"> </w:t>
      </w:r>
      <w:r w:rsidR="009B7DA1" w:rsidRPr="00AC47CE">
        <w:t>5.</w:t>
      </w:r>
      <w:bookmarkEnd w:id="6"/>
      <w:bookmarkEnd w:id="7"/>
      <w:bookmarkEnd w:id="8"/>
      <w:r w:rsidR="009B7DA1" w:rsidRPr="00AC47CE">
        <w:t xml:space="preserve"> Project Schedule</w:t>
      </w:r>
      <w:bookmarkEnd w:id="9"/>
    </w:p>
    <w:tbl>
      <w:tblPr>
        <w:tblW w:w="8791"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4291"/>
        <w:gridCol w:w="4500"/>
      </w:tblGrid>
      <w:tr w:rsidR="009B7DA1" w:rsidRPr="00AC47CE" w14:paraId="191BFF6A" w14:textId="77777777" w:rsidTr="00875ACE">
        <w:trPr>
          <w:cantSplit/>
        </w:trPr>
        <w:tc>
          <w:tcPr>
            <w:tcW w:w="4291" w:type="dxa"/>
            <w:tcBorders>
              <w:top w:val="single" w:sz="12" w:space="0" w:color="auto"/>
              <w:bottom w:val="single" w:sz="6" w:space="0" w:color="auto"/>
            </w:tcBorders>
            <w:vAlign w:val="bottom"/>
          </w:tcPr>
          <w:p w14:paraId="47367273" w14:textId="77777777" w:rsidR="009B7DA1" w:rsidRPr="00AC47CE" w:rsidRDefault="009B7DA1" w:rsidP="00455A96">
            <w:pPr>
              <w:pStyle w:val="TableHeaders"/>
              <w:keepNext/>
            </w:pPr>
            <w:r w:rsidRPr="00AC47CE">
              <w:t>Project Activity</w:t>
            </w:r>
          </w:p>
        </w:tc>
        <w:tc>
          <w:tcPr>
            <w:tcW w:w="4500" w:type="dxa"/>
            <w:tcBorders>
              <w:top w:val="single" w:sz="12" w:space="0" w:color="auto"/>
              <w:bottom w:val="single" w:sz="6" w:space="0" w:color="auto"/>
            </w:tcBorders>
            <w:vAlign w:val="bottom"/>
          </w:tcPr>
          <w:p w14:paraId="0ED193B3" w14:textId="77777777" w:rsidR="009B7DA1" w:rsidRPr="00AC47CE" w:rsidRDefault="009B7DA1" w:rsidP="00455A96">
            <w:pPr>
              <w:pStyle w:val="TableHeaders"/>
              <w:keepNext/>
            </w:pPr>
            <w:r w:rsidRPr="00AC47CE">
              <w:t>Date</w:t>
            </w:r>
          </w:p>
        </w:tc>
      </w:tr>
      <w:tr w:rsidR="0041479B" w:rsidRPr="00AC47CE" w14:paraId="06D78796" w14:textId="77777777" w:rsidTr="00875ACE">
        <w:tblPrEx>
          <w:tblCellMar>
            <w:top w:w="0" w:type="dxa"/>
          </w:tblCellMar>
        </w:tblPrEx>
        <w:trPr>
          <w:cantSplit/>
        </w:trPr>
        <w:tc>
          <w:tcPr>
            <w:tcW w:w="4291" w:type="dxa"/>
          </w:tcPr>
          <w:p w14:paraId="622240A0" w14:textId="310A2E64" w:rsidR="0041479B" w:rsidRDefault="00037313" w:rsidP="00CF7290">
            <w:pPr>
              <w:keepNext/>
              <w:spacing w:before="40" w:after="40"/>
              <w:rPr>
                <w:sz w:val="22"/>
                <w:szCs w:val="22"/>
              </w:rPr>
            </w:pPr>
            <w:r>
              <w:rPr>
                <w:sz w:val="22"/>
                <w:szCs w:val="22"/>
              </w:rPr>
              <w:t>Mail</w:t>
            </w:r>
            <w:r w:rsidR="00CF7290">
              <w:rPr>
                <w:sz w:val="22"/>
                <w:szCs w:val="22"/>
              </w:rPr>
              <w:t xml:space="preserve"> s</w:t>
            </w:r>
            <w:r w:rsidR="0041479B">
              <w:rPr>
                <w:sz w:val="22"/>
                <w:szCs w:val="22"/>
              </w:rPr>
              <w:t>creening</w:t>
            </w:r>
          </w:p>
        </w:tc>
        <w:tc>
          <w:tcPr>
            <w:tcW w:w="4500" w:type="dxa"/>
          </w:tcPr>
          <w:p w14:paraId="57162007" w14:textId="3B5E265E" w:rsidR="0041479B" w:rsidRDefault="00C11D41" w:rsidP="00455A96">
            <w:pPr>
              <w:keepNext/>
              <w:tabs>
                <w:tab w:val="right" w:pos="9350"/>
              </w:tabs>
              <w:autoSpaceDE w:val="0"/>
              <w:autoSpaceDN w:val="0"/>
              <w:adjustRightInd w:val="0"/>
              <w:spacing w:before="40" w:after="40"/>
              <w:rPr>
                <w:sz w:val="22"/>
                <w:szCs w:val="22"/>
              </w:rPr>
            </w:pPr>
            <w:r>
              <w:rPr>
                <w:sz w:val="22"/>
                <w:szCs w:val="22"/>
              </w:rPr>
              <w:t>February 2018 to March 2018</w:t>
            </w:r>
          </w:p>
        </w:tc>
      </w:tr>
      <w:tr w:rsidR="009B7DA1" w:rsidRPr="00AC47CE" w14:paraId="68EA6EC2" w14:textId="77777777" w:rsidTr="00875ACE">
        <w:tblPrEx>
          <w:tblCellMar>
            <w:top w:w="0" w:type="dxa"/>
          </w:tblCellMar>
        </w:tblPrEx>
        <w:trPr>
          <w:cantSplit/>
        </w:trPr>
        <w:tc>
          <w:tcPr>
            <w:tcW w:w="4291" w:type="dxa"/>
          </w:tcPr>
          <w:p w14:paraId="15792D35" w14:textId="3E617846" w:rsidR="00C11D41" w:rsidRPr="00C11D41" w:rsidRDefault="00C11D41" w:rsidP="009114C7">
            <w:pPr>
              <w:keepNext/>
              <w:spacing w:before="40" w:after="40"/>
              <w:rPr>
                <w:sz w:val="22"/>
                <w:szCs w:val="22"/>
              </w:rPr>
            </w:pPr>
            <w:r>
              <w:rPr>
                <w:sz w:val="22"/>
                <w:szCs w:val="22"/>
              </w:rPr>
              <w:t xml:space="preserve">Household screening and </w:t>
            </w:r>
            <w:r w:rsidR="00781A73">
              <w:rPr>
                <w:sz w:val="22"/>
                <w:szCs w:val="22"/>
              </w:rPr>
              <w:t xml:space="preserve">Wave </w:t>
            </w:r>
            <w:r w:rsidR="00BC2ED5">
              <w:rPr>
                <w:sz w:val="22"/>
                <w:szCs w:val="22"/>
              </w:rPr>
              <w:t xml:space="preserve">1 </w:t>
            </w:r>
            <w:r w:rsidR="009114C7">
              <w:rPr>
                <w:sz w:val="22"/>
                <w:szCs w:val="22"/>
              </w:rPr>
              <w:t>evaluation questionnaire</w:t>
            </w:r>
          </w:p>
        </w:tc>
        <w:tc>
          <w:tcPr>
            <w:tcW w:w="4500" w:type="dxa"/>
          </w:tcPr>
          <w:p w14:paraId="64C80811" w14:textId="24AB5ADF" w:rsidR="009B7DA1" w:rsidRPr="00AC47CE" w:rsidRDefault="00C11D41" w:rsidP="00C11D41">
            <w:pPr>
              <w:keepNext/>
              <w:tabs>
                <w:tab w:val="right" w:pos="9350"/>
              </w:tabs>
              <w:autoSpaceDE w:val="0"/>
              <w:autoSpaceDN w:val="0"/>
              <w:adjustRightInd w:val="0"/>
              <w:spacing w:before="40" w:after="40"/>
              <w:rPr>
                <w:szCs w:val="22"/>
                <w:highlight w:val="yellow"/>
              </w:rPr>
            </w:pPr>
            <w:r>
              <w:rPr>
                <w:sz w:val="22"/>
                <w:szCs w:val="22"/>
              </w:rPr>
              <w:t xml:space="preserve">March 2018 </w:t>
            </w:r>
            <w:r w:rsidR="0047253A">
              <w:rPr>
                <w:sz w:val="22"/>
                <w:szCs w:val="22"/>
              </w:rPr>
              <w:t>through</w:t>
            </w:r>
            <w:r>
              <w:rPr>
                <w:sz w:val="22"/>
                <w:szCs w:val="22"/>
              </w:rPr>
              <w:t xml:space="preserve"> June 2018</w:t>
            </w:r>
          </w:p>
        </w:tc>
      </w:tr>
      <w:tr w:rsidR="00C11D41" w:rsidRPr="00AC47CE" w14:paraId="3CAC8E2A" w14:textId="77777777" w:rsidTr="00875ACE">
        <w:tblPrEx>
          <w:tblCellMar>
            <w:top w:w="0" w:type="dxa"/>
          </w:tblCellMar>
        </w:tblPrEx>
        <w:trPr>
          <w:cantSplit/>
        </w:trPr>
        <w:tc>
          <w:tcPr>
            <w:tcW w:w="4291" w:type="dxa"/>
          </w:tcPr>
          <w:p w14:paraId="00BF8DA5" w14:textId="04AED0A8" w:rsidR="00C11D41" w:rsidRDefault="00C11D41" w:rsidP="00C11D41">
            <w:pPr>
              <w:keepNext/>
              <w:spacing w:before="40" w:after="40"/>
              <w:rPr>
                <w:sz w:val="22"/>
                <w:szCs w:val="22"/>
              </w:rPr>
            </w:pPr>
            <w:r>
              <w:rPr>
                <w:sz w:val="22"/>
                <w:szCs w:val="22"/>
              </w:rPr>
              <w:t>Telephone verification</w:t>
            </w:r>
            <w:r w:rsidR="00875ACE">
              <w:rPr>
                <w:sz w:val="22"/>
                <w:szCs w:val="22"/>
              </w:rPr>
              <w:t>, field screener and</w:t>
            </w:r>
            <w:r>
              <w:rPr>
                <w:sz w:val="22"/>
                <w:szCs w:val="22"/>
              </w:rPr>
              <w:t xml:space="preserve"> </w:t>
            </w:r>
            <w:r w:rsidR="00877F18">
              <w:rPr>
                <w:sz w:val="22"/>
                <w:szCs w:val="22"/>
              </w:rPr>
              <w:t>questionnaire</w:t>
            </w:r>
            <w:r w:rsidR="009114C7">
              <w:rPr>
                <w:sz w:val="22"/>
                <w:szCs w:val="22"/>
              </w:rPr>
              <w:t xml:space="preserve"> 1</w:t>
            </w:r>
          </w:p>
        </w:tc>
        <w:tc>
          <w:tcPr>
            <w:tcW w:w="4500" w:type="dxa"/>
          </w:tcPr>
          <w:p w14:paraId="4FA9B5B4" w14:textId="7308D4BB" w:rsidR="00C11D41" w:rsidRDefault="00875ACE" w:rsidP="00C11D41">
            <w:pPr>
              <w:keepNext/>
              <w:tabs>
                <w:tab w:val="right" w:pos="9350"/>
              </w:tabs>
              <w:autoSpaceDE w:val="0"/>
              <w:autoSpaceDN w:val="0"/>
              <w:adjustRightInd w:val="0"/>
              <w:spacing w:before="40" w:after="40"/>
              <w:rPr>
                <w:sz w:val="22"/>
                <w:szCs w:val="22"/>
              </w:rPr>
            </w:pPr>
            <w:r>
              <w:rPr>
                <w:sz w:val="22"/>
                <w:szCs w:val="22"/>
              </w:rPr>
              <w:t>March 2018 through June 2018</w:t>
            </w:r>
          </w:p>
        </w:tc>
      </w:tr>
      <w:tr w:rsidR="00C11D41" w:rsidRPr="00AC47CE" w14:paraId="2CE9EB97" w14:textId="77777777" w:rsidTr="00875ACE">
        <w:tblPrEx>
          <w:tblCellMar>
            <w:top w:w="0" w:type="dxa"/>
          </w:tblCellMar>
        </w:tblPrEx>
        <w:trPr>
          <w:cantSplit/>
        </w:trPr>
        <w:tc>
          <w:tcPr>
            <w:tcW w:w="4291" w:type="dxa"/>
          </w:tcPr>
          <w:p w14:paraId="74811B6A" w14:textId="6252F376" w:rsidR="00C11D41" w:rsidRDefault="0047253A" w:rsidP="00C11D41">
            <w:pPr>
              <w:keepNext/>
              <w:spacing w:before="40" w:after="40"/>
              <w:rPr>
                <w:sz w:val="22"/>
                <w:szCs w:val="22"/>
              </w:rPr>
            </w:pPr>
            <w:r>
              <w:rPr>
                <w:sz w:val="22"/>
                <w:szCs w:val="22"/>
              </w:rPr>
              <w:t>A</w:t>
            </w:r>
            <w:r w:rsidR="00C62E13">
              <w:rPr>
                <w:sz w:val="22"/>
                <w:szCs w:val="22"/>
              </w:rPr>
              <w:t>pp</w:t>
            </w:r>
            <w:r w:rsidR="00C11D41">
              <w:rPr>
                <w:sz w:val="22"/>
                <w:szCs w:val="22"/>
              </w:rPr>
              <w:t xml:space="preserve">-based </w:t>
            </w:r>
            <w:r w:rsidR="00877F18">
              <w:rPr>
                <w:sz w:val="22"/>
                <w:szCs w:val="22"/>
              </w:rPr>
              <w:t>questionnaire</w:t>
            </w:r>
            <w:r w:rsidR="00C11D41">
              <w:rPr>
                <w:sz w:val="22"/>
                <w:szCs w:val="22"/>
              </w:rPr>
              <w:t xml:space="preserve"> 1</w:t>
            </w:r>
          </w:p>
        </w:tc>
        <w:tc>
          <w:tcPr>
            <w:tcW w:w="4500" w:type="dxa"/>
          </w:tcPr>
          <w:p w14:paraId="1805ADD1" w14:textId="4F40ED2D" w:rsidR="00C11D41" w:rsidRDefault="00BD3F0C" w:rsidP="00BD3F0C">
            <w:pPr>
              <w:keepNext/>
              <w:tabs>
                <w:tab w:val="right" w:pos="9350"/>
              </w:tabs>
              <w:autoSpaceDE w:val="0"/>
              <w:autoSpaceDN w:val="0"/>
              <w:adjustRightInd w:val="0"/>
              <w:spacing w:before="40" w:after="40"/>
              <w:rPr>
                <w:sz w:val="22"/>
                <w:szCs w:val="22"/>
              </w:rPr>
            </w:pPr>
            <w:r>
              <w:rPr>
                <w:sz w:val="22"/>
                <w:szCs w:val="22"/>
              </w:rPr>
              <w:t>August</w:t>
            </w:r>
            <w:r w:rsidR="00C11D41">
              <w:rPr>
                <w:sz w:val="22"/>
                <w:szCs w:val="22"/>
              </w:rPr>
              <w:t xml:space="preserve"> 2018</w:t>
            </w:r>
          </w:p>
        </w:tc>
      </w:tr>
      <w:tr w:rsidR="009B7DA1" w:rsidRPr="00AC47CE" w14:paraId="0E44CA4A" w14:textId="77777777" w:rsidTr="00875ACE">
        <w:tblPrEx>
          <w:tblCellMar>
            <w:top w:w="0" w:type="dxa"/>
          </w:tblCellMar>
        </w:tblPrEx>
        <w:trPr>
          <w:cantSplit/>
        </w:trPr>
        <w:tc>
          <w:tcPr>
            <w:tcW w:w="4291" w:type="dxa"/>
          </w:tcPr>
          <w:p w14:paraId="04A7E89D" w14:textId="2352D40E" w:rsidR="009B7DA1" w:rsidRPr="00AC47CE" w:rsidRDefault="00BC2ED5" w:rsidP="009114C7">
            <w:pPr>
              <w:keepNext/>
              <w:spacing w:before="40" w:after="40"/>
              <w:rPr>
                <w:szCs w:val="22"/>
              </w:rPr>
            </w:pPr>
            <w:r>
              <w:rPr>
                <w:sz w:val="22"/>
                <w:szCs w:val="22"/>
              </w:rPr>
              <w:t>Wave 2</w:t>
            </w:r>
            <w:r w:rsidR="009B7DA1" w:rsidRPr="00AC47CE">
              <w:rPr>
                <w:sz w:val="22"/>
                <w:szCs w:val="22"/>
              </w:rPr>
              <w:t xml:space="preserve"> </w:t>
            </w:r>
            <w:r w:rsidR="009114C7">
              <w:rPr>
                <w:sz w:val="22"/>
                <w:szCs w:val="22"/>
              </w:rPr>
              <w:t xml:space="preserve">evaluation questionnaire </w:t>
            </w:r>
          </w:p>
        </w:tc>
        <w:tc>
          <w:tcPr>
            <w:tcW w:w="4500" w:type="dxa"/>
          </w:tcPr>
          <w:p w14:paraId="3893843C" w14:textId="7C2EF20D" w:rsidR="009B7DA1" w:rsidRPr="00AC47CE" w:rsidRDefault="00C11D41" w:rsidP="00BC2ED5">
            <w:pPr>
              <w:keepNext/>
              <w:spacing w:before="40" w:after="40"/>
              <w:rPr>
                <w:sz w:val="22"/>
                <w:szCs w:val="22"/>
              </w:rPr>
            </w:pPr>
            <w:r>
              <w:rPr>
                <w:sz w:val="22"/>
                <w:szCs w:val="22"/>
              </w:rPr>
              <w:t xml:space="preserve">October 2018 </w:t>
            </w:r>
            <w:r w:rsidR="0047253A">
              <w:rPr>
                <w:sz w:val="22"/>
                <w:szCs w:val="22"/>
              </w:rPr>
              <w:t>through</w:t>
            </w:r>
            <w:r>
              <w:rPr>
                <w:sz w:val="22"/>
                <w:szCs w:val="22"/>
              </w:rPr>
              <w:t xml:space="preserve"> January 2019</w:t>
            </w:r>
          </w:p>
        </w:tc>
      </w:tr>
      <w:tr w:rsidR="009114C7" w:rsidRPr="00AC47CE" w14:paraId="7AE26D20" w14:textId="77777777" w:rsidTr="00875ACE">
        <w:tblPrEx>
          <w:tblCellMar>
            <w:top w:w="0" w:type="dxa"/>
          </w:tblCellMar>
        </w:tblPrEx>
        <w:trPr>
          <w:cantSplit/>
        </w:trPr>
        <w:tc>
          <w:tcPr>
            <w:tcW w:w="4291" w:type="dxa"/>
          </w:tcPr>
          <w:p w14:paraId="40BA26F7" w14:textId="239CC3F8" w:rsidR="009114C7" w:rsidRDefault="009114C7" w:rsidP="00455A96">
            <w:pPr>
              <w:keepNext/>
              <w:spacing w:before="40" w:after="40"/>
              <w:rPr>
                <w:sz w:val="22"/>
                <w:szCs w:val="22"/>
              </w:rPr>
            </w:pPr>
            <w:r>
              <w:rPr>
                <w:sz w:val="22"/>
                <w:szCs w:val="22"/>
              </w:rPr>
              <w:t>Telephone verification</w:t>
            </w:r>
            <w:r w:rsidR="00875ACE">
              <w:rPr>
                <w:sz w:val="22"/>
                <w:szCs w:val="22"/>
              </w:rPr>
              <w:t>,</w:t>
            </w:r>
            <w:r>
              <w:rPr>
                <w:sz w:val="22"/>
                <w:szCs w:val="22"/>
              </w:rPr>
              <w:t xml:space="preserve"> questionnaire 2</w:t>
            </w:r>
          </w:p>
        </w:tc>
        <w:tc>
          <w:tcPr>
            <w:tcW w:w="4500" w:type="dxa"/>
          </w:tcPr>
          <w:p w14:paraId="40759BAF" w14:textId="1D1E04E5" w:rsidR="009114C7" w:rsidRDefault="009114C7" w:rsidP="00BC2ED5">
            <w:pPr>
              <w:keepNext/>
              <w:spacing w:before="40" w:after="40"/>
              <w:rPr>
                <w:sz w:val="22"/>
                <w:szCs w:val="22"/>
              </w:rPr>
            </w:pPr>
            <w:r>
              <w:rPr>
                <w:sz w:val="22"/>
                <w:szCs w:val="22"/>
              </w:rPr>
              <w:t>October 2018 through January 2019</w:t>
            </w:r>
          </w:p>
        </w:tc>
      </w:tr>
      <w:tr w:rsidR="00C11D41" w:rsidRPr="00AC47CE" w14:paraId="25640558" w14:textId="77777777" w:rsidTr="00875ACE">
        <w:tblPrEx>
          <w:tblCellMar>
            <w:top w:w="0" w:type="dxa"/>
          </w:tblCellMar>
        </w:tblPrEx>
        <w:trPr>
          <w:cantSplit/>
        </w:trPr>
        <w:tc>
          <w:tcPr>
            <w:tcW w:w="4291" w:type="dxa"/>
          </w:tcPr>
          <w:p w14:paraId="4447315D" w14:textId="3B9DDCED" w:rsidR="00C11D41" w:rsidRDefault="0047253A" w:rsidP="00455A96">
            <w:pPr>
              <w:keepNext/>
              <w:spacing w:before="40" w:after="40"/>
              <w:rPr>
                <w:sz w:val="22"/>
                <w:szCs w:val="22"/>
              </w:rPr>
            </w:pPr>
            <w:r>
              <w:rPr>
                <w:sz w:val="22"/>
                <w:szCs w:val="22"/>
              </w:rPr>
              <w:t>A</w:t>
            </w:r>
            <w:r w:rsidR="00C62E13">
              <w:rPr>
                <w:sz w:val="22"/>
                <w:szCs w:val="22"/>
              </w:rPr>
              <w:t>pp</w:t>
            </w:r>
            <w:r w:rsidR="00C11D41">
              <w:rPr>
                <w:sz w:val="22"/>
                <w:szCs w:val="22"/>
              </w:rPr>
              <w:t xml:space="preserve">-based </w:t>
            </w:r>
            <w:r w:rsidR="00877F18">
              <w:rPr>
                <w:sz w:val="22"/>
                <w:szCs w:val="22"/>
              </w:rPr>
              <w:t>questionnaire</w:t>
            </w:r>
            <w:r w:rsidR="00C11D41">
              <w:rPr>
                <w:sz w:val="22"/>
                <w:szCs w:val="22"/>
              </w:rPr>
              <w:t xml:space="preserve"> 2</w:t>
            </w:r>
          </w:p>
        </w:tc>
        <w:tc>
          <w:tcPr>
            <w:tcW w:w="4500" w:type="dxa"/>
          </w:tcPr>
          <w:p w14:paraId="7A3D86A9" w14:textId="3E725168" w:rsidR="00C11D41" w:rsidRDefault="00C11D41" w:rsidP="00BC2ED5">
            <w:pPr>
              <w:keepNext/>
              <w:spacing w:before="40" w:after="40"/>
              <w:rPr>
                <w:sz w:val="22"/>
                <w:szCs w:val="22"/>
              </w:rPr>
            </w:pPr>
            <w:r>
              <w:rPr>
                <w:sz w:val="22"/>
                <w:szCs w:val="22"/>
              </w:rPr>
              <w:t>March 2019</w:t>
            </w:r>
          </w:p>
        </w:tc>
      </w:tr>
      <w:tr w:rsidR="00BC2ED5" w:rsidRPr="00AC47CE" w14:paraId="1C97EA23" w14:textId="77777777" w:rsidTr="00875ACE">
        <w:tblPrEx>
          <w:tblCellMar>
            <w:top w:w="0" w:type="dxa"/>
          </w:tblCellMar>
        </w:tblPrEx>
        <w:trPr>
          <w:cantSplit/>
        </w:trPr>
        <w:tc>
          <w:tcPr>
            <w:tcW w:w="4291" w:type="dxa"/>
          </w:tcPr>
          <w:p w14:paraId="00114038" w14:textId="323140A6" w:rsidR="00BC2ED5" w:rsidRDefault="00BC2ED5" w:rsidP="009114C7">
            <w:pPr>
              <w:keepNext/>
              <w:spacing w:before="40" w:after="40"/>
              <w:rPr>
                <w:sz w:val="22"/>
                <w:szCs w:val="22"/>
              </w:rPr>
            </w:pPr>
            <w:r>
              <w:rPr>
                <w:sz w:val="22"/>
                <w:szCs w:val="22"/>
              </w:rPr>
              <w:t xml:space="preserve">Wave 3 </w:t>
            </w:r>
            <w:r w:rsidR="009114C7">
              <w:rPr>
                <w:sz w:val="22"/>
                <w:szCs w:val="22"/>
              </w:rPr>
              <w:t>evaluation questionnaire</w:t>
            </w:r>
          </w:p>
        </w:tc>
        <w:tc>
          <w:tcPr>
            <w:tcW w:w="4500" w:type="dxa"/>
          </w:tcPr>
          <w:p w14:paraId="30D954D3" w14:textId="5D473655" w:rsidR="00BC2ED5" w:rsidRDefault="00C11D41" w:rsidP="00BD3F0C">
            <w:pPr>
              <w:keepNext/>
              <w:spacing w:before="40" w:after="40"/>
              <w:rPr>
                <w:sz w:val="22"/>
                <w:szCs w:val="22"/>
              </w:rPr>
            </w:pPr>
            <w:r>
              <w:rPr>
                <w:sz w:val="22"/>
                <w:szCs w:val="22"/>
              </w:rPr>
              <w:t xml:space="preserve">May 2019 </w:t>
            </w:r>
            <w:r w:rsidR="0047253A">
              <w:rPr>
                <w:sz w:val="22"/>
                <w:szCs w:val="22"/>
              </w:rPr>
              <w:t>through</w:t>
            </w:r>
            <w:r>
              <w:rPr>
                <w:sz w:val="22"/>
                <w:szCs w:val="22"/>
              </w:rPr>
              <w:t xml:space="preserve"> August 2019</w:t>
            </w:r>
          </w:p>
        </w:tc>
      </w:tr>
      <w:tr w:rsidR="009114C7" w:rsidRPr="00AC47CE" w14:paraId="193119C9" w14:textId="77777777" w:rsidTr="00875ACE">
        <w:tblPrEx>
          <w:tblCellMar>
            <w:top w:w="0" w:type="dxa"/>
          </w:tblCellMar>
        </w:tblPrEx>
        <w:trPr>
          <w:cantSplit/>
        </w:trPr>
        <w:tc>
          <w:tcPr>
            <w:tcW w:w="4291" w:type="dxa"/>
          </w:tcPr>
          <w:p w14:paraId="2924E6CE" w14:textId="202C849E" w:rsidR="009114C7" w:rsidRDefault="009114C7" w:rsidP="009114C7">
            <w:pPr>
              <w:keepNext/>
              <w:spacing w:before="40" w:after="40"/>
              <w:rPr>
                <w:sz w:val="22"/>
                <w:szCs w:val="22"/>
              </w:rPr>
            </w:pPr>
            <w:r>
              <w:rPr>
                <w:sz w:val="22"/>
                <w:szCs w:val="22"/>
              </w:rPr>
              <w:t>Telephone verification</w:t>
            </w:r>
            <w:r w:rsidR="00875ACE">
              <w:rPr>
                <w:sz w:val="22"/>
                <w:szCs w:val="22"/>
              </w:rPr>
              <w:t>,</w:t>
            </w:r>
            <w:r>
              <w:rPr>
                <w:sz w:val="22"/>
                <w:szCs w:val="22"/>
              </w:rPr>
              <w:t xml:space="preserve"> questionnaire 3</w:t>
            </w:r>
          </w:p>
        </w:tc>
        <w:tc>
          <w:tcPr>
            <w:tcW w:w="4500" w:type="dxa"/>
          </w:tcPr>
          <w:p w14:paraId="07B72C74" w14:textId="4E4000D4" w:rsidR="009114C7" w:rsidRDefault="009114C7" w:rsidP="00BD3F0C">
            <w:pPr>
              <w:keepNext/>
              <w:spacing w:before="40" w:after="40"/>
              <w:rPr>
                <w:sz w:val="22"/>
                <w:szCs w:val="22"/>
              </w:rPr>
            </w:pPr>
            <w:r>
              <w:rPr>
                <w:sz w:val="22"/>
                <w:szCs w:val="22"/>
              </w:rPr>
              <w:t>May 2019 through August 2019</w:t>
            </w:r>
          </w:p>
        </w:tc>
      </w:tr>
      <w:tr w:rsidR="00C11D41" w:rsidRPr="00AC47CE" w14:paraId="39470C44" w14:textId="77777777" w:rsidTr="00875ACE">
        <w:tblPrEx>
          <w:tblCellMar>
            <w:top w:w="0" w:type="dxa"/>
          </w:tblCellMar>
        </w:tblPrEx>
        <w:trPr>
          <w:cantSplit/>
        </w:trPr>
        <w:tc>
          <w:tcPr>
            <w:tcW w:w="4291" w:type="dxa"/>
          </w:tcPr>
          <w:p w14:paraId="05B5B458" w14:textId="2689DDE6" w:rsidR="00C11D41" w:rsidRDefault="0047253A" w:rsidP="00455A96">
            <w:pPr>
              <w:keepNext/>
              <w:spacing w:before="40" w:after="40"/>
              <w:rPr>
                <w:sz w:val="22"/>
                <w:szCs w:val="22"/>
              </w:rPr>
            </w:pPr>
            <w:r>
              <w:rPr>
                <w:sz w:val="22"/>
                <w:szCs w:val="22"/>
              </w:rPr>
              <w:t>A</w:t>
            </w:r>
            <w:r w:rsidR="00C62E13">
              <w:rPr>
                <w:sz w:val="22"/>
                <w:szCs w:val="22"/>
              </w:rPr>
              <w:t>pp</w:t>
            </w:r>
            <w:r w:rsidR="00C11D41">
              <w:rPr>
                <w:sz w:val="22"/>
                <w:szCs w:val="22"/>
              </w:rPr>
              <w:t xml:space="preserve">-based </w:t>
            </w:r>
            <w:r w:rsidR="00877F18">
              <w:rPr>
                <w:sz w:val="22"/>
                <w:szCs w:val="22"/>
              </w:rPr>
              <w:t>questionnaire</w:t>
            </w:r>
            <w:r w:rsidR="00C11D41">
              <w:rPr>
                <w:sz w:val="22"/>
                <w:szCs w:val="22"/>
              </w:rPr>
              <w:t xml:space="preserve"> 3</w:t>
            </w:r>
          </w:p>
        </w:tc>
        <w:tc>
          <w:tcPr>
            <w:tcW w:w="4500" w:type="dxa"/>
          </w:tcPr>
          <w:p w14:paraId="26D44AD1" w14:textId="3F83C9F4" w:rsidR="00C11D41" w:rsidRDefault="00C11D41" w:rsidP="00C23CE3">
            <w:pPr>
              <w:keepNext/>
              <w:spacing w:before="40" w:after="40"/>
              <w:rPr>
                <w:sz w:val="22"/>
                <w:szCs w:val="22"/>
              </w:rPr>
            </w:pPr>
            <w:r>
              <w:rPr>
                <w:sz w:val="22"/>
                <w:szCs w:val="22"/>
              </w:rPr>
              <w:t>October 2019</w:t>
            </w:r>
          </w:p>
        </w:tc>
      </w:tr>
      <w:tr w:rsidR="00C11D41" w:rsidRPr="00AC47CE" w14:paraId="75818650" w14:textId="77777777" w:rsidTr="00875ACE">
        <w:tblPrEx>
          <w:tblCellMar>
            <w:top w:w="0" w:type="dxa"/>
          </w:tblCellMar>
        </w:tblPrEx>
        <w:trPr>
          <w:cantSplit/>
        </w:trPr>
        <w:tc>
          <w:tcPr>
            <w:tcW w:w="4291" w:type="dxa"/>
          </w:tcPr>
          <w:p w14:paraId="73A33017" w14:textId="12127FDF" w:rsidR="00C11D41" w:rsidRDefault="00C11D41" w:rsidP="009114C7">
            <w:pPr>
              <w:keepNext/>
              <w:spacing w:before="40" w:after="40"/>
              <w:rPr>
                <w:sz w:val="22"/>
                <w:szCs w:val="22"/>
              </w:rPr>
            </w:pPr>
            <w:r>
              <w:rPr>
                <w:sz w:val="22"/>
                <w:szCs w:val="22"/>
              </w:rPr>
              <w:t xml:space="preserve">Wave 4 </w:t>
            </w:r>
            <w:r w:rsidR="009114C7">
              <w:rPr>
                <w:sz w:val="22"/>
                <w:szCs w:val="22"/>
              </w:rPr>
              <w:t>evaluation questionnaire</w:t>
            </w:r>
          </w:p>
        </w:tc>
        <w:tc>
          <w:tcPr>
            <w:tcW w:w="4500" w:type="dxa"/>
          </w:tcPr>
          <w:p w14:paraId="5678DB4A" w14:textId="6AC05424" w:rsidR="00C11D41" w:rsidRDefault="00C11D41" w:rsidP="009114C7">
            <w:pPr>
              <w:keepNext/>
              <w:spacing w:before="40" w:after="40"/>
              <w:rPr>
                <w:sz w:val="22"/>
                <w:szCs w:val="22"/>
              </w:rPr>
            </w:pPr>
            <w:r>
              <w:rPr>
                <w:sz w:val="22"/>
                <w:szCs w:val="22"/>
              </w:rPr>
              <w:t>January 201</w:t>
            </w:r>
            <w:r w:rsidR="009114C7">
              <w:rPr>
                <w:sz w:val="22"/>
                <w:szCs w:val="22"/>
              </w:rPr>
              <w:t>9</w:t>
            </w:r>
            <w:r>
              <w:rPr>
                <w:sz w:val="22"/>
                <w:szCs w:val="22"/>
              </w:rPr>
              <w:t xml:space="preserve"> </w:t>
            </w:r>
            <w:r w:rsidR="0047253A">
              <w:rPr>
                <w:sz w:val="22"/>
                <w:szCs w:val="22"/>
              </w:rPr>
              <w:t>through</w:t>
            </w:r>
            <w:r>
              <w:rPr>
                <w:sz w:val="22"/>
                <w:szCs w:val="22"/>
              </w:rPr>
              <w:t xml:space="preserve"> April 2020</w:t>
            </w:r>
          </w:p>
        </w:tc>
      </w:tr>
      <w:tr w:rsidR="009114C7" w:rsidRPr="00AC47CE" w14:paraId="5B774780" w14:textId="77777777" w:rsidTr="00875ACE">
        <w:tblPrEx>
          <w:tblCellMar>
            <w:top w:w="0" w:type="dxa"/>
          </w:tblCellMar>
        </w:tblPrEx>
        <w:trPr>
          <w:cantSplit/>
        </w:trPr>
        <w:tc>
          <w:tcPr>
            <w:tcW w:w="4291" w:type="dxa"/>
          </w:tcPr>
          <w:p w14:paraId="1DED5912" w14:textId="0CAEB457" w:rsidR="009114C7" w:rsidRDefault="009114C7" w:rsidP="009114C7">
            <w:pPr>
              <w:keepNext/>
              <w:spacing w:before="40" w:after="40"/>
              <w:rPr>
                <w:sz w:val="22"/>
                <w:szCs w:val="22"/>
              </w:rPr>
            </w:pPr>
            <w:r>
              <w:rPr>
                <w:sz w:val="22"/>
                <w:szCs w:val="22"/>
              </w:rPr>
              <w:t>Telephone verification</w:t>
            </w:r>
            <w:r w:rsidR="00875ACE">
              <w:rPr>
                <w:sz w:val="22"/>
                <w:szCs w:val="22"/>
              </w:rPr>
              <w:t>,</w:t>
            </w:r>
            <w:r>
              <w:rPr>
                <w:sz w:val="22"/>
                <w:szCs w:val="22"/>
              </w:rPr>
              <w:t xml:space="preserve"> questionnaire 4</w:t>
            </w:r>
          </w:p>
        </w:tc>
        <w:tc>
          <w:tcPr>
            <w:tcW w:w="4500" w:type="dxa"/>
          </w:tcPr>
          <w:p w14:paraId="357EC5CE" w14:textId="08806252" w:rsidR="009114C7" w:rsidRDefault="009114C7" w:rsidP="009114C7">
            <w:pPr>
              <w:keepNext/>
              <w:spacing w:before="40" w:after="40"/>
              <w:rPr>
                <w:sz w:val="22"/>
                <w:szCs w:val="22"/>
              </w:rPr>
            </w:pPr>
            <w:r>
              <w:rPr>
                <w:sz w:val="22"/>
                <w:szCs w:val="22"/>
              </w:rPr>
              <w:t>January 2019 through April 2020</w:t>
            </w:r>
          </w:p>
        </w:tc>
      </w:tr>
      <w:tr w:rsidR="009B7DA1" w:rsidRPr="00AC47CE" w14:paraId="6448207B" w14:textId="77777777" w:rsidTr="00875ACE">
        <w:tblPrEx>
          <w:tblCellMar>
            <w:top w:w="0" w:type="dxa"/>
          </w:tblCellMar>
        </w:tblPrEx>
        <w:trPr>
          <w:cantSplit/>
        </w:trPr>
        <w:tc>
          <w:tcPr>
            <w:tcW w:w="4291" w:type="dxa"/>
          </w:tcPr>
          <w:p w14:paraId="0AFE0CC5" w14:textId="77777777" w:rsidR="009B7DA1" w:rsidRPr="00AC47CE" w:rsidRDefault="009B7DA1" w:rsidP="00455A96">
            <w:pPr>
              <w:keepNext/>
              <w:spacing w:before="40" w:after="40"/>
              <w:rPr>
                <w:szCs w:val="22"/>
              </w:rPr>
            </w:pPr>
            <w:r w:rsidRPr="00AC47CE">
              <w:rPr>
                <w:sz w:val="22"/>
                <w:szCs w:val="22"/>
              </w:rPr>
              <w:t>Preparation of analytic data file</w:t>
            </w:r>
          </w:p>
        </w:tc>
        <w:tc>
          <w:tcPr>
            <w:tcW w:w="4500" w:type="dxa"/>
          </w:tcPr>
          <w:p w14:paraId="4F3CA30E" w14:textId="77777777" w:rsidR="009B7DA1" w:rsidRPr="00AC47CE" w:rsidRDefault="009B7DA1" w:rsidP="00455A96">
            <w:pPr>
              <w:keepNext/>
              <w:spacing w:before="40" w:after="40"/>
              <w:rPr>
                <w:szCs w:val="22"/>
              </w:rPr>
            </w:pPr>
            <w:r w:rsidRPr="00AC47CE">
              <w:rPr>
                <w:sz w:val="22"/>
                <w:szCs w:val="22"/>
              </w:rPr>
              <w:t>Approximately 2–4 weeks after completion of data collection</w:t>
            </w:r>
          </w:p>
        </w:tc>
      </w:tr>
      <w:tr w:rsidR="009B7DA1" w:rsidRPr="00AC47CE" w14:paraId="371EBBAE" w14:textId="77777777" w:rsidTr="00875ACE">
        <w:tblPrEx>
          <w:tblCellMar>
            <w:top w:w="0" w:type="dxa"/>
          </w:tblCellMar>
        </w:tblPrEx>
        <w:trPr>
          <w:cantSplit/>
        </w:trPr>
        <w:tc>
          <w:tcPr>
            <w:tcW w:w="4291" w:type="dxa"/>
            <w:tcBorders>
              <w:bottom w:val="nil"/>
            </w:tcBorders>
          </w:tcPr>
          <w:p w14:paraId="3E130B11" w14:textId="77777777" w:rsidR="009B7DA1" w:rsidRPr="00AC47CE" w:rsidRDefault="009B7DA1" w:rsidP="00455A96">
            <w:pPr>
              <w:keepNext/>
              <w:spacing w:before="40" w:after="40"/>
              <w:rPr>
                <w:szCs w:val="22"/>
              </w:rPr>
            </w:pPr>
            <w:r w:rsidRPr="00AC47CE">
              <w:rPr>
                <w:sz w:val="22"/>
                <w:szCs w:val="22"/>
              </w:rPr>
              <w:t>Data analysis</w:t>
            </w:r>
          </w:p>
        </w:tc>
        <w:tc>
          <w:tcPr>
            <w:tcW w:w="4500" w:type="dxa"/>
            <w:tcBorders>
              <w:bottom w:val="nil"/>
            </w:tcBorders>
          </w:tcPr>
          <w:p w14:paraId="7B9C52BB" w14:textId="77777777" w:rsidR="009B7DA1" w:rsidRPr="00AC47CE" w:rsidRDefault="00C23CE3" w:rsidP="00455A96">
            <w:pPr>
              <w:keepNext/>
              <w:spacing w:before="40" w:after="40"/>
              <w:rPr>
                <w:szCs w:val="22"/>
              </w:rPr>
            </w:pPr>
            <w:r>
              <w:rPr>
                <w:sz w:val="22"/>
                <w:szCs w:val="22"/>
              </w:rPr>
              <w:t>Approximately 5–12</w:t>
            </w:r>
            <w:r w:rsidR="009B7DA1" w:rsidRPr="00AC47CE">
              <w:rPr>
                <w:sz w:val="22"/>
                <w:szCs w:val="22"/>
              </w:rPr>
              <w:t xml:space="preserve"> weeks after completion of each analytic data file</w:t>
            </w:r>
          </w:p>
        </w:tc>
      </w:tr>
      <w:tr w:rsidR="009B7DA1" w:rsidRPr="00AC47CE" w14:paraId="0566F0B7" w14:textId="77777777" w:rsidTr="00875ACE">
        <w:tblPrEx>
          <w:tblCellMar>
            <w:top w:w="0" w:type="dxa"/>
          </w:tblCellMar>
        </w:tblPrEx>
        <w:trPr>
          <w:cantSplit/>
        </w:trPr>
        <w:tc>
          <w:tcPr>
            <w:tcW w:w="4291" w:type="dxa"/>
            <w:tcBorders>
              <w:top w:val="nil"/>
              <w:bottom w:val="single" w:sz="12" w:space="0" w:color="auto"/>
            </w:tcBorders>
          </w:tcPr>
          <w:p w14:paraId="3112E3D8" w14:textId="77777777" w:rsidR="009B7DA1" w:rsidRPr="00AC47CE" w:rsidRDefault="009B7DA1" w:rsidP="00455A96">
            <w:pPr>
              <w:keepNext/>
              <w:spacing w:before="40" w:after="40"/>
              <w:rPr>
                <w:szCs w:val="22"/>
              </w:rPr>
            </w:pPr>
            <w:r w:rsidRPr="00AC47CE">
              <w:rPr>
                <w:sz w:val="22"/>
                <w:szCs w:val="22"/>
              </w:rPr>
              <w:t>Report writing and dissemination</w:t>
            </w:r>
          </w:p>
        </w:tc>
        <w:tc>
          <w:tcPr>
            <w:tcW w:w="4500" w:type="dxa"/>
            <w:tcBorders>
              <w:top w:val="nil"/>
              <w:bottom w:val="single" w:sz="12" w:space="0" w:color="auto"/>
            </w:tcBorders>
          </w:tcPr>
          <w:p w14:paraId="3CBBA2F2" w14:textId="77777777" w:rsidR="009B7DA1" w:rsidRPr="00AC47CE" w:rsidRDefault="00C23CE3" w:rsidP="00C23CE3">
            <w:pPr>
              <w:keepNext/>
              <w:spacing w:before="40" w:after="40"/>
              <w:rPr>
                <w:szCs w:val="22"/>
              </w:rPr>
            </w:pPr>
            <w:r>
              <w:rPr>
                <w:sz w:val="22"/>
                <w:szCs w:val="22"/>
              </w:rPr>
              <w:t>Approximately 12-16</w:t>
            </w:r>
            <w:r w:rsidR="009B7DA1" w:rsidRPr="00AC47CE">
              <w:rPr>
                <w:sz w:val="22"/>
                <w:szCs w:val="22"/>
              </w:rPr>
              <w:t xml:space="preserve"> weeks after completion of each analytic data file</w:t>
            </w:r>
          </w:p>
        </w:tc>
      </w:tr>
    </w:tbl>
    <w:p w14:paraId="592D44F1" w14:textId="77777777" w:rsidR="009B7DA1" w:rsidRDefault="009B7DA1" w:rsidP="00D730BF">
      <w:pPr>
        <w:ind w:left="720"/>
      </w:pPr>
    </w:p>
    <w:p w14:paraId="38BAAEB0" w14:textId="77777777"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14:paraId="6CCC674F" w14:textId="77777777" w:rsidR="004C6979" w:rsidRDefault="00455A96" w:rsidP="00D730BF">
      <w:pPr>
        <w:ind w:left="720"/>
      </w:pPr>
      <w:r w:rsidRPr="00455A96">
        <w:t>Not applicable. All data collection instruments will display the expiration date for OMB approval of the information collection.</w:t>
      </w:r>
    </w:p>
    <w:p w14:paraId="78A42593" w14:textId="77777777"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14:paraId="4C427D8D" w14:textId="77777777" w:rsidR="00E00EA0" w:rsidRDefault="00455A96" w:rsidP="00D730BF">
      <w:pPr>
        <w:spacing w:before="100" w:beforeAutospacing="1" w:after="100" w:afterAutospacing="1"/>
        <w:ind w:left="720"/>
      </w:pPr>
      <w:r w:rsidRPr="00455A96">
        <w:t xml:space="preserve">Not applicable. </w:t>
      </w:r>
      <w:r>
        <w:t>There are n</w:t>
      </w:r>
      <w:r w:rsidRPr="00455A96">
        <w:t>o exceptions to the certification statement</w:t>
      </w:r>
      <w:r>
        <w:t>.</w:t>
      </w:r>
    </w:p>
    <w:p w14:paraId="2DD75B85" w14:textId="77777777" w:rsidR="003D1153" w:rsidRDefault="003D1153" w:rsidP="002D4799">
      <w:pPr>
        <w:spacing w:before="100" w:beforeAutospacing="1" w:after="100" w:afterAutospacing="1"/>
      </w:pPr>
    </w:p>
    <w:p w14:paraId="3566C5E7" w14:textId="4048A9B3" w:rsidR="006550EE" w:rsidRPr="009114C7" w:rsidRDefault="007C7037" w:rsidP="009114C7">
      <w:pPr>
        <w:spacing w:before="100" w:beforeAutospacing="1" w:after="100" w:afterAutospacing="1"/>
      </w:pPr>
      <w:r w:rsidRPr="0096400B" w:rsidDel="004D7B44">
        <w:rPr>
          <w:sz w:val="20"/>
        </w:rPr>
        <w:t xml:space="preserve"> </w:t>
      </w:r>
    </w:p>
    <w:sectPr w:rsidR="006550EE" w:rsidRPr="009114C7" w:rsidSect="00EB7538">
      <w:footerReference w:type="even" r:id="rId31"/>
      <w:footerReference w:type="default" r:id="rId3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C7C32" w14:textId="77777777" w:rsidR="00A650F0" w:rsidRDefault="00A650F0">
      <w:r>
        <w:separator/>
      </w:r>
    </w:p>
  </w:endnote>
  <w:endnote w:type="continuationSeparator" w:id="0">
    <w:p w14:paraId="76A984EF" w14:textId="77777777" w:rsidR="00A650F0" w:rsidRDefault="00A650F0">
      <w:r>
        <w:continuationSeparator/>
      </w:r>
    </w:p>
  </w:endnote>
  <w:endnote w:type="continuationNotice" w:id="1">
    <w:p w14:paraId="09D21E7B" w14:textId="77777777" w:rsidR="00A650F0" w:rsidRDefault="00A65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Optima">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4ABF3" w14:textId="77777777" w:rsidR="00A650F0" w:rsidRDefault="00A650F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4567D7" w14:textId="77777777" w:rsidR="00A650F0" w:rsidRDefault="00A650F0">
    <w:pPr>
      <w:pStyle w:val="Footer"/>
    </w:pPr>
  </w:p>
  <w:p w14:paraId="39AD5F6C" w14:textId="77777777" w:rsidR="00A650F0" w:rsidRDefault="00A650F0"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957F5" w14:textId="0415C7A3" w:rsidR="00A650F0" w:rsidRDefault="00A650F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6D1E">
      <w:rPr>
        <w:rStyle w:val="PageNumber"/>
        <w:noProof/>
      </w:rPr>
      <w:t>1</w:t>
    </w:r>
    <w:r>
      <w:rPr>
        <w:rStyle w:val="PageNumber"/>
      </w:rPr>
      <w:fldChar w:fldCharType="end"/>
    </w:r>
  </w:p>
  <w:p w14:paraId="17F13709" w14:textId="77777777" w:rsidR="00A650F0" w:rsidRDefault="00A650F0" w:rsidP="009A4E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D01B8" w14:textId="77777777" w:rsidR="00A650F0" w:rsidRDefault="00A650F0">
      <w:r>
        <w:separator/>
      </w:r>
    </w:p>
  </w:footnote>
  <w:footnote w:type="continuationSeparator" w:id="0">
    <w:p w14:paraId="027F1895" w14:textId="77777777" w:rsidR="00A650F0" w:rsidRDefault="00A650F0">
      <w:r>
        <w:continuationSeparator/>
      </w:r>
    </w:p>
  </w:footnote>
  <w:footnote w:type="continuationNotice" w:id="1">
    <w:p w14:paraId="5E4F3920" w14:textId="77777777" w:rsidR="00A650F0" w:rsidRDefault="00A650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A028EB"/>
    <w:multiLevelType w:val="hybridMultilevel"/>
    <w:tmpl w:val="0CEAC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0537"/>
    <w:rsid w:val="0000180C"/>
    <w:rsid w:val="000117A6"/>
    <w:rsid w:val="0001309A"/>
    <w:rsid w:val="00013F4B"/>
    <w:rsid w:val="0003719B"/>
    <w:rsid w:val="00037313"/>
    <w:rsid w:val="000467E8"/>
    <w:rsid w:val="0006570F"/>
    <w:rsid w:val="0006710B"/>
    <w:rsid w:val="00070ABF"/>
    <w:rsid w:val="0007268D"/>
    <w:rsid w:val="00073FA7"/>
    <w:rsid w:val="00075713"/>
    <w:rsid w:val="000815B0"/>
    <w:rsid w:val="00083E53"/>
    <w:rsid w:val="00090316"/>
    <w:rsid w:val="000921F8"/>
    <w:rsid w:val="000A3773"/>
    <w:rsid w:val="000A54E2"/>
    <w:rsid w:val="000A7906"/>
    <w:rsid w:val="000B1E56"/>
    <w:rsid w:val="000B4D98"/>
    <w:rsid w:val="000B6E7F"/>
    <w:rsid w:val="000C2A8A"/>
    <w:rsid w:val="000C346A"/>
    <w:rsid w:val="000D0BDC"/>
    <w:rsid w:val="000D48FD"/>
    <w:rsid w:val="000E1A8F"/>
    <w:rsid w:val="000E1C64"/>
    <w:rsid w:val="000E3AC3"/>
    <w:rsid w:val="000E4BFD"/>
    <w:rsid w:val="000F147B"/>
    <w:rsid w:val="000F24E9"/>
    <w:rsid w:val="000F4046"/>
    <w:rsid w:val="000F5008"/>
    <w:rsid w:val="000F71B8"/>
    <w:rsid w:val="00100739"/>
    <w:rsid w:val="00103729"/>
    <w:rsid w:val="00107885"/>
    <w:rsid w:val="00110CC5"/>
    <w:rsid w:val="00112815"/>
    <w:rsid w:val="00114165"/>
    <w:rsid w:val="00114FC4"/>
    <w:rsid w:val="0012329C"/>
    <w:rsid w:val="00134FA7"/>
    <w:rsid w:val="00137950"/>
    <w:rsid w:val="00151876"/>
    <w:rsid w:val="00152F29"/>
    <w:rsid w:val="00155FD2"/>
    <w:rsid w:val="001627FC"/>
    <w:rsid w:val="0016624B"/>
    <w:rsid w:val="0017112E"/>
    <w:rsid w:val="00185270"/>
    <w:rsid w:val="00192D76"/>
    <w:rsid w:val="001A2580"/>
    <w:rsid w:val="001A3B5A"/>
    <w:rsid w:val="001A4207"/>
    <w:rsid w:val="001B0661"/>
    <w:rsid w:val="001B56D7"/>
    <w:rsid w:val="001B7CE9"/>
    <w:rsid w:val="001C0748"/>
    <w:rsid w:val="001C222D"/>
    <w:rsid w:val="001C68FD"/>
    <w:rsid w:val="001D108B"/>
    <w:rsid w:val="001D2D00"/>
    <w:rsid w:val="001D3941"/>
    <w:rsid w:val="001D495A"/>
    <w:rsid w:val="001D5ADA"/>
    <w:rsid w:val="001D5CC4"/>
    <w:rsid w:val="001E1AE0"/>
    <w:rsid w:val="00202AA1"/>
    <w:rsid w:val="002031DC"/>
    <w:rsid w:val="00215923"/>
    <w:rsid w:val="00215D67"/>
    <w:rsid w:val="0021615E"/>
    <w:rsid w:val="0022457A"/>
    <w:rsid w:val="002259EF"/>
    <w:rsid w:val="00232886"/>
    <w:rsid w:val="00235401"/>
    <w:rsid w:val="00241E08"/>
    <w:rsid w:val="00242ED1"/>
    <w:rsid w:val="002446E5"/>
    <w:rsid w:val="00246005"/>
    <w:rsid w:val="00251B99"/>
    <w:rsid w:val="0025322A"/>
    <w:rsid w:val="00253F77"/>
    <w:rsid w:val="00254069"/>
    <w:rsid w:val="00254AB3"/>
    <w:rsid w:val="0026099E"/>
    <w:rsid w:val="00260A2F"/>
    <w:rsid w:val="00264EB2"/>
    <w:rsid w:val="00267657"/>
    <w:rsid w:val="00271A53"/>
    <w:rsid w:val="002734E5"/>
    <w:rsid w:val="002746DB"/>
    <w:rsid w:val="00280CAF"/>
    <w:rsid w:val="00282F09"/>
    <w:rsid w:val="002906E1"/>
    <w:rsid w:val="00297D14"/>
    <w:rsid w:val="002A339A"/>
    <w:rsid w:val="002B15E7"/>
    <w:rsid w:val="002B588C"/>
    <w:rsid w:val="002C511F"/>
    <w:rsid w:val="002C51D4"/>
    <w:rsid w:val="002D14D8"/>
    <w:rsid w:val="002D29B4"/>
    <w:rsid w:val="002D4799"/>
    <w:rsid w:val="002E2466"/>
    <w:rsid w:val="002E3FA4"/>
    <w:rsid w:val="002F2E75"/>
    <w:rsid w:val="002F771A"/>
    <w:rsid w:val="0030309E"/>
    <w:rsid w:val="00305473"/>
    <w:rsid w:val="003061FE"/>
    <w:rsid w:val="003131D6"/>
    <w:rsid w:val="00313923"/>
    <w:rsid w:val="003159D0"/>
    <w:rsid w:val="0032277F"/>
    <w:rsid w:val="003255A3"/>
    <w:rsid w:val="00326D91"/>
    <w:rsid w:val="0033209F"/>
    <w:rsid w:val="00340405"/>
    <w:rsid w:val="00345680"/>
    <w:rsid w:val="00350523"/>
    <w:rsid w:val="00353778"/>
    <w:rsid w:val="00354083"/>
    <w:rsid w:val="003543C8"/>
    <w:rsid w:val="00355CE0"/>
    <w:rsid w:val="0036619E"/>
    <w:rsid w:val="00367E66"/>
    <w:rsid w:val="003740BC"/>
    <w:rsid w:val="003744B4"/>
    <w:rsid w:val="00375C6A"/>
    <w:rsid w:val="00376B11"/>
    <w:rsid w:val="003801A3"/>
    <w:rsid w:val="00382C13"/>
    <w:rsid w:val="00383D90"/>
    <w:rsid w:val="00384290"/>
    <w:rsid w:val="0038782E"/>
    <w:rsid w:val="00387FCC"/>
    <w:rsid w:val="00392FC6"/>
    <w:rsid w:val="003972EB"/>
    <w:rsid w:val="003A4A07"/>
    <w:rsid w:val="003A4D03"/>
    <w:rsid w:val="003A4F7C"/>
    <w:rsid w:val="003B080B"/>
    <w:rsid w:val="003B42B3"/>
    <w:rsid w:val="003B6384"/>
    <w:rsid w:val="003C3B4A"/>
    <w:rsid w:val="003C4BF5"/>
    <w:rsid w:val="003C4EBB"/>
    <w:rsid w:val="003C53F3"/>
    <w:rsid w:val="003D1153"/>
    <w:rsid w:val="003D1531"/>
    <w:rsid w:val="003D3949"/>
    <w:rsid w:val="003D46AB"/>
    <w:rsid w:val="003E0990"/>
    <w:rsid w:val="003E33DB"/>
    <w:rsid w:val="003E4EC6"/>
    <w:rsid w:val="003E527E"/>
    <w:rsid w:val="003E553E"/>
    <w:rsid w:val="003E7078"/>
    <w:rsid w:val="003F0E09"/>
    <w:rsid w:val="003F3DF5"/>
    <w:rsid w:val="003F47F7"/>
    <w:rsid w:val="003F74A3"/>
    <w:rsid w:val="004046BD"/>
    <w:rsid w:val="00404772"/>
    <w:rsid w:val="00404A9C"/>
    <w:rsid w:val="00410B6A"/>
    <w:rsid w:val="00411137"/>
    <w:rsid w:val="00411D11"/>
    <w:rsid w:val="0041231F"/>
    <w:rsid w:val="00413192"/>
    <w:rsid w:val="0041479B"/>
    <w:rsid w:val="00415E23"/>
    <w:rsid w:val="00417410"/>
    <w:rsid w:val="00420124"/>
    <w:rsid w:val="0042087C"/>
    <w:rsid w:val="00424061"/>
    <w:rsid w:val="004264D0"/>
    <w:rsid w:val="00426C97"/>
    <w:rsid w:val="004307A9"/>
    <w:rsid w:val="00432A3E"/>
    <w:rsid w:val="00434A09"/>
    <w:rsid w:val="00435C82"/>
    <w:rsid w:val="00440CE3"/>
    <w:rsid w:val="0044134D"/>
    <w:rsid w:val="00443969"/>
    <w:rsid w:val="004443B9"/>
    <w:rsid w:val="00445BBD"/>
    <w:rsid w:val="00447D74"/>
    <w:rsid w:val="00450A74"/>
    <w:rsid w:val="00453E92"/>
    <w:rsid w:val="0045480A"/>
    <w:rsid w:val="00455A96"/>
    <w:rsid w:val="00461833"/>
    <w:rsid w:val="00465350"/>
    <w:rsid w:val="004669FC"/>
    <w:rsid w:val="0047253A"/>
    <w:rsid w:val="004737AF"/>
    <w:rsid w:val="00474B92"/>
    <w:rsid w:val="00482371"/>
    <w:rsid w:val="00483E38"/>
    <w:rsid w:val="00484295"/>
    <w:rsid w:val="004846BF"/>
    <w:rsid w:val="004849E7"/>
    <w:rsid w:val="00493736"/>
    <w:rsid w:val="00493C0A"/>
    <w:rsid w:val="0049517C"/>
    <w:rsid w:val="0049559C"/>
    <w:rsid w:val="0049638F"/>
    <w:rsid w:val="004A311A"/>
    <w:rsid w:val="004A3E9D"/>
    <w:rsid w:val="004B4897"/>
    <w:rsid w:val="004B4E1D"/>
    <w:rsid w:val="004B525F"/>
    <w:rsid w:val="004B7F00"/>
    <w:rsid w:val="004C6979"/>
    <w:rsid w:val="004D2EE6"/>
    <w:rsid w:val="004D3E7A"/>
    <w:rsid w:val="004E141E"/>
    <w:rsid w:val="004E7AB4"/>
    <w:rsid w:val="004F527C"/>
    <w:rsid w:val="005030A4"/>
    <w:rsid w:val="00513084"/>
    <w:rsid w:val="00516DC0"/>
    <w:rsid w:val="00525366"/>
    <w:rsid w:val="0053196E"/>
    <w:rsid w:val="0053196F"/>
    <w:rsid w:val="00542EF6"/>
    <w:rsid w:val="00544138"/>
    <w:rsid w:val="0054427E"/>
    <w:rsid w:val="005507C2"/>
    <w:rsid w:val="00555924"/>
    <w:rsid w:val="00555D80"/>
    <w:rsid w:val="00566AAF"/>
    <w:rsid w:val="00576B71"/>
    <w:rsid w:val="005804A4"/>
    <w:rsid w:val="005825B5"/>
    <w:rsid w:val="00584583"/>
    <w:rsid w:val="00593758"/>
    <w:rsid w:val="005A1BF6"/>
    <w:rsid w:val="005A4099"/>
    <w:rsid w:val="005C26D1"/>
    <w:rsid w:val="005C38B2"/>
    <w:rsid w:val="005C3CDA"/>
    <w:rsid w:val="005C5029"/>
    <w:rsid w:val="005C55C2"/>
    <w:rsid w:val="005C5FF0"/>
    <w:rsid w:val="005D061D"/>
    <w:rsid w:val="005D0E91"/>
    <w:rsid w:val="005D4A1F"/>
    <w:rsid w:val="005D4DF5"/>
    <w:rsid w:val="005D5693"/>
    <w:rsid w:val="005F02C1"/>
    <w:rsid w:val="005F2D99"/>
    <w:rsid w:val="00600F95"/>
    <w:rsid w:val="00606DE4"/>
    <w:rsid w:val="00611D6B"/>
    <w:rsid w:val="006130DE"/>
    <w:rsid w:val="00621286"/>
    <w:rsid w:val="00621E74"/>
    <w:rsid w:val="00624000"/>
    <w:rsid w:val="0062695E"/>
    <w:rsid w:val="006277F2"/>
    <w:rsid w:val="0063024A"/>
    <w:rsid w:val="00631D1F"/>
    <w:rsid w:val="0063441D"/>
    <w:rsid w:val="0064645B"/>
    <w:rsid w:val="00647C92"/>
    <w:rsid w:val="006550EE"/>
    <w:rsid w:val="006572CE"/>
    <w:rsid w:val="006614EA"/>
    <w:rsid w:val="00662A36"/>
    <w:rsid w:val="006631DC"/>
    <w:rsid w:val="00664911"/>
    <w:rsid w:val="00680A32"/>
    <w:rsid w:val="0068225F"/>
    <w:rsid w:val="006863A6"/>
    <w:rsid w:val="006903EB"/>
    <w:rsid w:val="006904FA"/>
    <w:rsid w:val="0069365B"/>
    <w:rsid w:val="00693C40"/>
    <w:rsid w:val="006A26C6"/>
    <w:rsid w:val="006A7D5D"/>
    <w:rsid w:val="006B04D1"/>
    <w:rsid w:val="006B392C"/>
    <w:rsid w:val="006B577A"/>
    <w:rsid w:val="006C03DF"/>
    <w:rsid w:val="006D0AA6"/>
    <w:rsid w:val="006D416D"/>
    <w:rsid w:val="006D6440"/>
    <w:rsid w:val="006E03CA"/>
    <w:rsid w:val="006E0F22"/>
    <w:rsid w:val="006E1181"/>
    <w:rsid w:val="006F4D6D"/>
    <w:rsid w:val="007036B5"/>
    <w:rsid w:val="00704910"/>
    <w:rsid w:val="00705086"/>
    <w:rsid w:val="00706056"/>
    <w:rsid w:val="0071364D"/>
    <w:rsid w:val="0071386C"/>
    <w:rsid w:val="007169BF"/>
    <w:rsid w:val="0072330E"/>
    <w:rsid w:val="00730D95"/>
    <w:rsid w:val="00741790"/>
    <w:rsid w:val="007418CC"/>
    <w:rsid w:val="00745AA8"/>
    <w:rsid w:val="00754497"/>
    <w:rsid w:val="007658CC"/>
    <w:rsid w:val="00766C35"/>
    <w:rsid w:val="00767505"/>
    <w:rsid w:val="00776171"/>
    <w:rsid w:val="00781A73"/>
    <w:rsid w:val="007861EA"/>
    <w:rsid w:val="00787C39"/>
    <w:rsid w:val="007930F0"/>
    <w:rsid w:val="00793454"/>
    <w:rsid w:val="00795DF3"/>
    <w:rsid w:val="007A373C"/>
    <w:rsid w:val="007A7EE1"/>
    <w:rsid w:val="007B225C"/>
    <w:rsid w:val="007C02BF"/>
    <w:rsid w:val="007C7037"/>
    <w:rsid w:val="007C75B1"/>
    <w:rsid w:val="007D1D92"/>
    <w:rsid w:val="007D3DFC"/>
    <w:rsid w:val="007D4EE0"/>
    <w:rsid w:val="007D56F0"/>
    <w:rsid w:val="007E0250"/>
    <w:rsid w:val="007F0A3D"/>
    <w:rsid w:val="007F1B17"/>
    <w:rsid w:val="008004D2"/>
    <w:rsid w:val="00803F3B"/>
    <w:rsid w:val="00806F60"/>
    <w:rsid w:val="00807306"/>
    <w:rsid w:val="0080776D"/>
    <w:rsid w:val="00810145"/>
    <w:rsid w:val="008108FA"/>
    <w:rsid w:val="00810FF1"/>
    <w:rsid w:val="00813D49"/>
    <w:rsid w:val="00821D32"/>
    <w:rsid w:val="00822336"/>
    <w:rsid w:val="00823DFA"/>
    <w:rsid w:val="008251EA"/>
    <w:rsid w:val="008434C7"/>
    <w:rsid w:val="00843752"/>
    <w:rsid w:val="008459C8"/>
    <w:rsid w:val="00850347"/>
    <w:rsid w:val="008514E1"/>
    <w:rsid w:val="008637D3"/>
    <w:rsid w:val="008642E3"/>
    <w:rsid w:val="00875ACE"/>
    <w:rsid w:val="00877F18"/>
    <w:rsid w:val="00880E6D"/>
    <w:rsid w:val="00881057"/>
    <w:rsid w:val="0088206B"/>
    <w:rsid w:val="00885B09"/>
    <w:rsid w:val="0089126F"/>
    <w:rsid w:val="00892400"/>
    <w:rsid w:val="0089675C"/>
    <w:rsid w:val="00897B8C"/>
    <w:rsid w:val="00897F8F"/>
    <w:rsid w:val="008A209D"/>
    <w:rsid w:val="008A25BA"/>
    <w:rsid w:val="008A57CC"/>
    <w:rsid w:val="008B011F"/>
    <w:rsid w:val="008B0E29"/>
    <w:rsid w:val="008B0EFA"/>
    <w:rsid w:val="008B2F52"/>
    <w:rsid w:val="008B30AB"/>
    <w:rsid w:val="008B39D8"/>
    <w:rsid w:val="008B646F"/>
    <w:rsid w:val="008B700C"/>
    <w:rsid w:val="008C0247"/>
    <w:rsid w:val="008C2285"/>
    <w:rsid w:val="008D00DF"/>
    <w:rsid w:val="008D2A1D"/>
    <w:rsid w:val="008D6A29"/>
    <w:rsid w:val="008D6E7B"/>
    <w:rsid w:val="008D79DD"/>
    <w:rsid w:val="008E1566"/>
    <w:rsid w:val="008E29BA"/>
    <w:rsid w:val="008F6C87"/>
    <w:rsid w:val="009037FB"/>
    <w:rsid w:val="00905DEF"/>
    <w:rsid w:val="00906353"/>
    <w:rsid w:val="009114C7"/>
    <w:rsid w:val="00911A94"/>
    <w:rsid w:val="00913B43"/>
    <w:rsid w:val="00914867"/>
    <w:rsid w:val="00920EF0"/>
    <w:rsid w:val="00924C1D"/>
    <w:rsid w:val="00925194"/>
    <w:rsid w:val="00925396"/>
    <w:rsid w:val="00927DDC"/>
    <w:rsid w:val="00930203"/>
    <w:rsid w:val="009311D2"/>
    <w:rsid w:val="00931275"/>
    <w:rsid w:val="00932BA0"/>
    <w:rsid w:val="00934028"/>
    <w:rsid w:val="00936458"/>
    <w:rsid w:val="00936AC7"/>
    <w:rsid w:val="00940C27"/>
    <w:rsid w:val="00941CD7"/>
    <w:rsid w:val="00945312"/>
    <w:rsid w:val="009513F4"/>
    <w:rsid w:val="00955016"/>
    <w:rsid w:val="0095513F"/>
    <w:rsid w:val="00961167"/>
    <w:rsid w:val="0096400B"/>
    <w:rsid w:val="009648FC"/>
    <w:rsid w:val="00966D1E"/>
    <w:rsid w:val="00980475"/>
    <w:rsid w:val="0098142A"/>
    <w:rsid w:val="00983DC7"/>
    <w:rsid w:val="00983E03"/>
    <w:rsid w:val="0098484C"/>
    <w:rsid w:val="00990FC8"/>
    <w:rsid w:val="009940AA"/>
    <w:rsid w:val="00996557"/>
    <w:rsid w:val="009A1674"/>
    <w:rsid w:val="009A1973"/>
    <w:rsid w:val="009A4EC8"/>
    <w:rsid w:val="009B0128"/>
    <w:rsid w:val="009B0888"/>
    <w:rsid w:val="009B15CE"/>
    <w:rsid w:val="009B7DA1"/>
    <w:rsid w:val="009C684F"/>
    <w:rsid w:val="009C7D6A"/>
    <w:rsid w:val="009D074C"/>
    <w:rsid w:val="009E0991"/>
    <w:rsid w:val="009F08D8"/>
    <w:rsid w:val="009F2B4F"/>
    <w:rsid w:val="009F66B5"/>
    <w:rsid w:val="009F6D9F"/>
    <w:rsid w:val="00A03719"/>
    <w:rsid w:val="00A05DBA"/>
    <w:rsid w:val="00A07C1E"/>
    <w:rsid w:val="00A15D0F"/>
    <w:rsid w:val="00A1632A"/>
    <w:rsid w:val="00A20A7D"/>
    <w:rsid w:val="00A26407"/>
    <w:rsid w:val="00A268E3"/>
    <w:rsid w:val="00A35D42"/>
    <w:rsid w:val="00A442FC"/>
    <w:rsid w:val="00A447F8"/>
    <w:rsid w:val="00A46CCF"/>
    <w:rsid w:val="00A52FA3"/>
    <w:rsid w:val="00A6062B"/>
    <w:rsid w:val="00A62FB4"/>
    <w:rsid w:val="00A650F0"/>
    <w:rsid w:val="00A65FA5"/>
    <w:rsid w:val="00A70426"/>
    <w:rsid w:val="00A75165"/>
    <w:rsid w:val="00A773D6"/>
    <w:rsid w:val="00A80897"/>
    <w:rsid w:val="00A81D89"/>
    <w:rsid w:val="00A83B43"/>
    <w:rsid w:val="00A84DF9"/>
    <w:rsid w:val="00A91E9A"/>
    <w:rsid w:val="00A93ED9"/>
    <w:rsid w:val="00A94D21"/>
    <w:rsid w:val="00A97B9D"/>
    <w:rsid w:val="00AA6992"/>
    <w:rsid w:val="00AA6A1E"/>
    <w:rsid w:val="00AA6E63"/>
    <w:rsid w:val="00AA71E7"/>
    <w:rsid w:val="00AB2933"/>
    <w:rsid w:val="00AB49AE"/>
    <w:rsid w:val="00AB7BA7"/>
    <w:rsid w:val="00AC0B2D"/>
    <w:rsid w:val="00AC6A99"/>
    <w:rsid w:val="00AD144F"/>
    <w:rsid w:val="00AE2051"/>
    <w:rsid w:val="00AE2DEF"/>
    <w:rsid w:val="00AE6360"/>
    <w:rsid w:val="00AF0B2B"/>
    <w:rsid w:val="00AF232C"/>
    <w:rsid w:val="00AF574A"/>
    <w:rsid w:val="00AF7EDD"/>
    <w:rsid w:val="00B0074A"/>
    <w:rsid w:val="00B01E83"/>
    <w:rsid w:val="00B055EF"/>
    <w:rsid w:val="00B05761"/>
    <w:rsid w:val="00B11B5E"/>
    <w:rsid w:val="00B23769"/>
    <w:rsid w:val="00B32893"/>
    <w:rsid w:val="00B378D2"/>
    <w:rsid w:val="00B46136"/>
    <w:rsid w:val="00B553CC"/>
    <w:rsid w:val="00B56F2A"/>
    <w:rsid w:val="00B57849"/>
    <w:rsid w:val="00B6002E"/>
    <w:rsid w:val="00B606E0"/>
    <w:rsid w:val="00B621D8"/>
    <w:rsid w:val="00B6547C"/>
    <w:rsid w:val="00B66695"/>
    <w:rsid w:val="00B7549F"/>
    <w:rsid w:val="00B770B4"/>
    <w:rsid w:val="00B824F7"/>
    <w:rsid w:val="00B8277F"/>
    <w:rsid w:val="00B842E0"/>
    <w:rsid w:val="00B84B3F"/>
    <w:rsid w:val="00B863A8"/>
    <w:rsid w:val="00B86DFA"/>
    <w:rsid w:val="00B911EE"/>
    <w:rsid w:val="00B936D0"/>
    <w:rsid w:val="00B936E9"/>
    <w:rsid w:val="00BB0C07"/>
    <w:rsid w:val="00BB108D"/>
    <w:rsid w:val="00BB1AEF"/>
    <w:rsid w:val="00BB22B0"/>
    <w:rsid w:val="00BB61DE"/>
    <w:rsid w:val="00BB7A49"/>
    <w:rsid w:val="00BC2ED5"/>
    <w:rsid w:val="00BC3383"/>
    <w:rsid w:val="00BC7D89"/>
    <w:rsid w:val="00BD0169"/>
    <w:rsid w:val="00BD271D"/>
    <w:rsid w:val="00BD3B93"/>
    <w:rsid w:val="00BD3F0C"/>
    <w:rsid w:val="00BE1984"/>
    <w:rsid w:val="00BE24D6"/>
    <w:rsid w:val="00BE3600"/>
    <w:rsid w:val="00BE447D"/>
    <w:rsid w:val="00BE5C6C"/>
    <w:rsid w:val="00C01F6F"/>
    <w:rsid w:val="00C0214D"/>
    <w:rsid w:val="00C0518E"/>
    <w:rsid w:val="00C064CF"/>
    <w:rsid w:val="00C10175"/>
    <w:rsid w:val="00C10F15"/>
    <w:rsid w:val="00C118CF"/>
    <w:rsid w:val="00C11D41"/>
    <w:rsid w:val="00C133A6"/>
    <w:rsid w:val="00C149AB"/>
    <w:rsid w:val="00C179E6"/>
    <w:rsid w:val="00C20616"/>
    <w:rsid w:val="00C221BB"/>
    <w:rsid w:val="00C23CE3"/>
    <w:rsid w:val="00C365E9"/>
    <w:rsid w:val="00C40694"/>
    <w:rsid w:val="00C465A3"/>
    <w:rsid w:val="00C46A7F"/>
    <w:rsid w:val="00C53B81"/>
    <w:rsid w:val="00C5795D"/>
    <w:rsid w:val="00C62E13"/>
    <w:rsid w:val="00C640A9"/>
    <w:rsid w:val="00C64F09"/>
    <w:rsid w:val="00C70542"/>
    <w:rsid w:val="00C72194"/>
    <w:rsid w:val="00C72647"/>
    <w:rsid w:val="00C75CBF"/>
    <w:rsid w:val="00C800F2"/>
    <w:rsid w:val="00C854A7"/>
    <w:rsid w:val="00C90823"/>
    <w:rsid w:val="00C91B6C"/>
    <w:rsid w:val="00C937ED"/>
    <w:rsid w:val="00CA10C7"/>
    <w:rsid w:val="00CA54DF"/>
    <w:rsid w:val="00CB34CA"/>
    <w:rsid w:val="00CB4EA3"/>
    <w:rsid w:val="00CC2894"/>
    <w:rsid w:val="00CC501E"/>
    <w:rsid w:val="00CD11B9"/>
    <w:rsid w:val="00CD4E09"/>
    <w:rsid w:val="00CD60E3"/>
    <w:rsid w:val="00CD6B1A"/>
    <w:rsid w:val="00CD77C3"/>
    <w:rsid w:val="00CE112C"/>
    <w:rsid w:val="00CE196F"/>
    <w:rsid w:val="00CF7290"/>
    <w:rsid w:val="00D05605"/>
    <w:rsid w:val="00D05B66"/>
    <w:rsid w:val="00D06227"/>
    <w:rsid w:val="00D1443E"/>
    <w:rsid w:val="00D20952"/>
    <w:rsid w:val="00D25C01"/>
    <w:rsid w:val="00D26D86"/>
    <w:rsid w:val="00D27B4D"/>
    <w:rsid w:val="00D30C58"/>
    <w:rsid w:val="00D31F35"/>
    <w:rsid w:val="00D34B8F"/>
    <w:rsid w:val="00D36775"/>
    <w:rsid w:val="00D504BC"/>
    <w:rsid w:val="00D506F8"/>
    <w:rsid w:val="00D6058F"/>
    <w:rsid w:val="00D608DA"/>
    <w:rsid w:val="00D60FC3"/>
    <w:rsid w:val="00D730BF"/>
    <w:rsid w:val="00D7344E"/>
    <w:rsid w:val="00D74F44"/>
    <w:rsid w:val="00D76FEA"/>
    <w:rsid w:val="00D8009C"/>
    <w:rsid w:val="00D81838"/>
    <w:rsid w:val="00D85569"/>
    <w:rsid w:val="00D86015"/>
    <w:rsid w:val="00D92911"/>
    <w:rsid w:val="00DA202E"/>
    <w:rsid w:val="00DA4596"/>
    <w:rsid w:val="00DA65E8"/>
    <w:rsid w:val="00DB1447"/>
    <w:rsid w:val="00DC006D"/>
    <w:rsid w:val="00DC0E48"/>
    <w:rsid w:val="00DC6551"/>
    <w:rsid w:val="00DC76C7"/>
    <w:rsid w:val="00DD09F5"/>
    <w:rsid w:val="00DD3668"/>
    <w:rsid w:val="00DD4201"/>
    <w:rsid w:val="00DD6D38"/>
    <w:rsid w:val="00DD7B0B"/>
    <w:rsid w:val="00DE5711"/>
    <w:rsid w:val="00DE6F44"/>
    <w:rsid w:val="00DE7324"/>
    <w:rsid w:val="00DE756D"/>
    <w:rsid w:val="00DF2112"/>
    <w:rsid w:val="00DF4E59"/>
    <w:rsid w:val="00E003AB"/>
    <w:rsid w:val="00E00EA0"/>
    <w:rsid w:val="00E038A1"/>
    <w:rsid w:val="00E117C1"/>
    <w:rsid w:val="00E12F84"/>
    <w:rsid w:val="00E1447C"/>
    <w:rsid w:val="00E21003"/>
    <w:rsid w:val="00E24339"/>
    <w:rsid w:val="00E26758"/>
    <w:rsid w:val="00E3198E"/>
    <w:rsid w:val="00E37246"/>
    <w:rsid w:val="00E433C5"/>
    <w:rsid w:val="00E4357B"/>
    <w:rsid w:val="00E45BB2"/>
    <w:rsid w:val="00E45ECB"/>
    <w:rsid w:val="00E50EAC"/>
    <w:rsid w:val="00E50FAB"/>
    <w:rsid w:val="00E513D3"/>
    <w:rsid w:val="00E55F7A"/>
    <w:rsid w:val="00E61B82"/>
    <w:rsid w:val="00E63DE5"/>
    <w:rsid w:val="00E65A37"/>
    <w:rsid w:val="00E66718"/>
    <w:rsid w:val="00E716B9"/>
    <w:rsid w:val="00E77B48"/>
    <w:rsid w:val="00E84576"/>
    <w:rsid w:val="00E91799"/>
    <w:rsid w:val="00E970FE"/>
    <w:rsid w:val="00EA0CF3"/>
    <w:rsid w:val="00EA2F4B"/>
    <w:rsid w:val="00EA34E3"/>
    <w:rsid w:val="00EB1881"/>
    <w:rsid w:val="00EB320B"/>
    <w:rsid w:val="00EB406D"/>
    <w:rsid w:val="00EB747C"/>
    <w:rsid w:val="00EB7538"/>
    <w:rsid w:val="00EC375A"/>
    <w:rsid w:val="00EE04FC"/>
    <w:rsid w:val="00EF0090"/>
    <w:rsid w:val="00EF3665"/>
    <w:rsid w:val="00EF6554"/>
    <w:rsid w:val="00F04A3E"/>
    <w:rsid w:val="00F053E5"/>
    <w:rsid w:val="00F13FA4"/>
    <w:rsid w:val="00F207A4"/>
    <w:rsid w:val="00F24710"/>
    <w:rsid w:val="00F3461C"/>
    <w:rsid w:val="00F355AC"/>
    <w:rsid w:val="00F367C4"/>
    <w:rsid w:val="00F41565"/>
    <w:rsid w:val="00F53667"/>
    <w:rsid w:val="00F537E2"/>
    <w:rsid w:val="00F56AEA"/>
    <w:rsid w:val="00F63CEA"/>
    <w:rsid w:val="00F6562D"/>
    <w:rsid w:val="00F661F1"/>
    <w:rsid w:val="00F71A5A"/>
    <w:rsid w:val="00F75B62"/>
    <w:rsid w:val="00F769E0"/>
    <w:rsid w:val="00F8083E"/>
    <w:rsid w:val="00F80998"/>
    <w:rsid w:val="00F85756"/>
    <w:rsid w:val="00F8582F"/>
    <w:rsid w:val="00F87FA4"/>
    <w:rsid w:val="00F9048F"/>
    <w:rsid w:val="00F96D40"/>
    <w:rsid w:val="00FA0175"/>
    <w:rsid w:val="00FA2997"/>
    <w:rsid w:val="00FA3375"/>
    <w:rsid w:val="00FB31D3"/>
    <w:rsid w:val="00FB5319"/>
    <w:rsid w:val="00FC531D"/>
    <w:rsid w:val="00FC6BDE"/>
    <w:rsid w:val="00FC77B9"/>
    <w:rsid w:val="00FD5501"/>
    <w:rsid w:val="00FE6913"/>
    <w:rsid w:val="00FE7E9D"/>
    <w:rsid w:val="00FF160F"/>
    <w:rsid w:val="00FF5F92"/>
    <w:rsid w:val="00FF7F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FC1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16D"/>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 w:type="character" w:styleId="FollowedHyperlink">
    <w:name w:val="FollowedHyperlink"/>
    <w:basedOn w:val="DefaultParagraphFont"/>
    <w:semiHidden/>
    <w:unhideWhenUsed/>
    <w:rsid w:val="005D56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16D"/>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 w:type="character" w:styleId="FollowedHyperlink">
    <w:name w:val="FollowedHyperlink"/>
    <w:basedOn w:val="DefaultParagraphFont"/>
    <w:semiHidden/>
    <w:unhideWhenUsed/>
    <w:rsid w:val="005D56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4154">
      <w:bodyDiv w:val="1"/>
      <w:marLeft w:val="0"/>
      <w:marRight w:val="0"/>
      <w:marTop w:val="0"/>
      <w:marBottom w:val="0"/>
      <w:divBdr>
        <w:top w:val="none" w:sz="0" w:space="0" w:color="auto"/>
        <w:left w:val="none" w:sz="0" w:space="0" w:color="auto"/>
        <w:bottom w:val="none" w:sz="0" w:space="0" w:color="auto"/>
        <w:right w:val="none" w:sz="0" w:space="0" w:color="auto"/>
      </w:divBdr>
    </w:div>
    <w:div w:id="35276135">
      <w:bodyDiv w:val="1"/>
      <w:marLeft w:val="0"/>
      <w:marRight w:val="0"/>
      <w:marTop w:val="0"/>
      <w:marBottom w:val="0"/>
      <w:divBdr>
        <w:top w:val="none" w:sz="0" w:space="0" w:color="auto"/>
        <w:left w:val="none" w:sz="0" w:space="0" w:color="auto"/>
        <w:bottom w:val="none" w:sz="0" w:space="0" w:color="auto"/>
        <w:right w:val="none" w:sz="0" w:space="0" w:color="auto"/>
      </w:divBdr>
    </w:div>
    <w:div w:id="138964410">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78082532">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438915810">
      <w:bodyDiv w:val="1"/>
      <w:marLeft w:val="0"/>
      <w:marRight w:val="0"/>
      <w:marTop w:val="0"/>
      <w:marBottom w:val="0"/>
      <w:divBdr>
        <w:top w:val="none" w:sz="0" w:space="0" w:color="auto"/>
        <w:left w:val="none" w:sz="0" w:space="0" w:color="auto"/>
        <w:bottom w:val="none" w:sz="0" w:space="0" w:color="auto"/>
        <w:right w:val="none" w:sz="0" w:space="0" w:color="auto"/>
      </w:divBdr>
    </w:div>
    <w:div w:id="493377563">
      <w:bodyDiv w:val="1"/>
      <w:marLeft w:val="0"/>
      <w:marRight w:val="0"/>
      <w:marTop w:val="0"/>
      <w:marBottom w:val="0"/>
      <w:divBdr>
        <w:top w:val="none" w:sz="0" w:space="0" w:color="auto"/>
        <w:left w:val="none" w:sz="0" w:space="0" w:color="auto"/>
        <w:bottom w:val="none" w:sz="0" w:space="0" w:color="auto"/>
        <w:right w:val="none" w:sz="0" w:space="0" w:color="auto"/>
      </w:divBdr>
    </w:div>
    <w:div w:id="533350746">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021081055">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898007583">
      <w:bodyDiv w:val="1"/>
      <w:marLeft w:val="0"/>
      <w:marRight w:val="0"/>
      <w:marTop w:val="0"/>
      <w:marBottom w:val="0"/>
      <w:divBdr>
        <w:top w:val="none" w:sz="0" w:space="0" w:color="auto"/>
        <w:left w:val="none" w:sz="0" w:space="0" w:color="auto"/>
        <w:bottom w:val="none" w:sz="0" w:space="0" w:color="auto"/>
        <w:right w:val="none" w:sz="0" w:space="0" w:color="auto"/>
      </w:divBdr>
    </w:div>
    <w:div w:id="1994488117">
      <w:bodyDiv w:val="1"/>
      <w:marLeft w:val="0"/>
      <w:marRight w:val="0"/>
      <w:marTop w:val="0"/>
      <w:marBottom w:val="0"/>
      <w:divBdr>
        <w:top w:val="none" w:sz="0" w:space="0" w:color="auto"/>
        <w:left w:val="none" w:sz="0" w:space="0" w:color="auto"/>
        <w:bottom w:val="none" w:sz="0" w:space="0" w:color="auto"/>
        <w:right w:val="none" w:sz="0" w:space="0" w:color="auto"/>
      </w:divBdr>
    </w:div>
    <w:div w:id="21092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ril.brubach@fda.hhs.gov" TargetMode="External"/><Relationship Id="rId18" Type="http://schemas.openxmlformats.org/officeDocument/2006/relationships/hyperlink" Target="mailto:mcf@rti.org" TargetMode="External"/><Relationship Id="rId26" Type="http://schemas.openxmlformats.org/officeDocument/2006/relationships/hyperlink" Target="mailto:prao@akira-tech.com" TargetMode="External"/><Relationship Id="rId3" Type="http://schemas.openxmlformats.org/officeDocument/2006/relationships/numbering" Target="numbering.xml"/><Relationship Id="rId21" Type="http://schemas.openxmlformats.org/officeDocument/2006/relationships/hyperlink" Target="mailto:ccarr@rti.org"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aria.benoza@fda.hhs.gov" TargetMode="External"/><Relationship Id="rId17" Type="http://schemas.openxmlformats.org/officeDocument/2006/relationships/hyperlink" Target="mailto:cschmitt@rti.org" TargetMode="External"/><Relationship Id="rId25" Type="http://schemas.openxmlformats.org/officeDocument/2006/relationships/hyperlink" Target="javascript:void(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nonnemaker@rti.org" TargetMode="External"/><Relationship Id="rId20" Type="http://schemas.openxmlformats.org/officeDocument/2006/relationships/hyperlink" Target="mailto:tomw@rti.org" TargetMode="External"/><Relationship Id="rId29" Type="http://schemas.openxmlformats.org/officeDocument/2006/relationships/hyperlink" Target="mailto:mark.w.hall@fcb.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unetta.jones@fda.hhs.gov" TargetMode="External"/><Relationship Id="rId24" Type="http://schemas.openxmlformats.org/officeDocument/2006/relationships/hyperlink" Target="mailto:lerickson@rti.org" TargetMode="External"/><Relationship Id="rId32"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mailto:david.portnoy@fda.hhs.gov" TargetMode="External"/><Relationship Id="rId23" Type="http://schemas.openxmlformats.org/officeDocument/2006/relationships/hyperlink" Target="mailto:mehobbs@rti.org" TargetMode="External"/><Relationship Id="rId28" Type="http://schemas.openxmlformats.org/officeDocument/2006/relationships/hyperlink" Target="mailto:xzhao3@gmu.edu" TargetMode="External"/><Relationship Id="rId10" Type="http://schemas.openxmlformats.org/officeDocument/2006/relationships/hyperlink" Target="mailto:janine.delahanty@fda.hhs.gov" TargetMode="External"/><Relationship Id="rId19" Type="http://schemas.openxmlformats.org/officeDocument/2006/relationships/hyperlink" Target="mailto:sdp@rti.org"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katherine.margolis@fda.hhs.gov" TargetMode="External"/><Relationship Id="rId22" Type="http://schemas.openxmlformats.org/officeDocument/2006/relationships/hyperlink" Target="mailto:aamaya@rti.org" TargetMode="External"/><Relationship Id="rId27" Type="http://schemas.openxmlformats.org/officeDocument/2006/relationships/hyperlink" Target="tel:+1-703-993-4008" TargetMode="External"/><Relationship Id="rId30" Type="http://schemas.openxmlformats.org/officeDocument/2006/relationships/hyperlink" Target="mailto:suzanne.santiago@fc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4359E-EDF7-4D2F-8DFC-E81B6B8F44D5}">
  <ds:schemaRefs>
    <ds:schemaRef ds:uri="http://schemas.openxmlformats.org/officeDocument/2006/bibliography"/>
  </ds:schemaRefs>
</ds:datastoreItem>
</file>

<file path=customXml/itemProps2.xml><?xml version="1.0" encoding="utf-8"?>
<ds:datastoreItem xmlns:ds="http://schemas.openxmlformats.org/officeDocument/2006/customXml" ds:itemID="{3D45E53F-14A0-45CD-B982-4721F8948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7386</Words>
  <Characters>42101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49389</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Chaunetta Jones</dc:creator>
  <cp:lastModifiedBy>SYSTEM</cp:lastModifiedBy>
  <cp:revision>2</cp:revision>
  <dcterms:created xsi:type="dcterms:W3CDTF">2017-10-27T15:51:00Z</dcterms:created>
  <dcterms:modified xsi:type="dcterms:W3CDTF">2017-10-27T15:51:00Z</dcterms:modified>
</cp:coreProperties>
</file>