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41F" w:rsidRDefault="000E141F">
      <w:pPr>
        <w:spacing w:line="240" w:lineRule="auto"/>
        <w:rPr>
          <w:rFonts w:cs="Calibri"/>
        </w:rPr>
      </w:pPr>
      <w:bookmarkStart w:id="0" w:name="_GoBack"/>
      <w:bookmarkEnd w:id="0"/>
    </w:p>
    <w:p w:rsidR="000E141F" w:rsidRDefault="000E141F">
      <w:pPr>
        <w:pBdr>
          <w:top w:val="thinThickThinSmallGap" w:sz="12" w:space="1" w:color="auto"/>
          <w:left w:val="thinThickThinSmallGap" w:sz="12" w:space="4" w:color="auto"/>
          <w:bottom w:val="thinThickThinSmallGap" w:sz="12" w:space="0" w:color="auto"/>
          <w:right w:val="thinThickThinSmallGap" w:sz="12" w:space="4" w:color="auto"/>
        </w:pBdr>
        <w:shd w:val="clear" w:color="auto" w:fill="000000"/>
        <w:jc w:val="center"/>
        <w:rPr>
          <w:rFonts w:ascii="Arial Black" w:hAnsi="Arial Black"/>
          <w:bCs/>
          <w:sz w:val="40"/>
        </w:rPr>
      </w:pPr>
    </w:p>
    <w:p w:rsidR="00123DDC" w:rsidRDefault="00665228" w:rsidP="00123DDC">
      <w:pPr>
        <w:pBdr>
          <w:top w:val="thinThickThinSmallGap" w:sz="12" w:space="1" w:color="auto"/>
          <w:left w:val="thinThickThinSmallGap" w:sz="12" w:space="4" w:color="auto"/>
          <w:bottom w:val="thinThickThinSmallGap" w:sz="12" w:space="0" w:color="auto"/>
          <w:right w:val="thinThickThinSmallGap" w:sz="12" w:space="4" w:color="auto"/>
        </w:pBdr>
        <w:shd w:val="clear" w:color="auto" w:fill="000000"/>
        <w:spacing w:after="0" w:line="240" w:lineRule="auto"/>
        <w:jc w:val="center"/>
        <w:rPr>
          <w:bCs/>
          <w:sz w:val="40"/>
        </w:rPr>
      </w:pPr>
      <w:r>
        <w:rPr>
          <w:bCs/>
          <w:sz w:val="40"/>
        </w:rPr>
        <w:t>Information Collection Request</w:t>
      </w:r>
      <w:r w:rsidR="00123DDC">
        <w:rPr>
          <w:bCs/>
          <w:sz w:val="40"/>
        </w:rPr>
        <w:t xml:space="preserve"> </w:t>
      </w:r>
      <w:r w:rsidR="00735866">
        <w:rPr>
          <w:bCs/>
          <w:sz w:val="40"/>
        </w:rPr>
        <w:t xml:space="preserve">Reinstatement </w:t>
      </w:r>
    </w:p>
    <w:p w:rsidR="000E141F" w:rsidRDefault="00665228" w:rsidP="00123DDC">
      <w:pPr>
        <w:pBdr>
          <w:top w:val="thinThickThinSmallGap" w:sz="12" w:space="1" w:color="auto"/>
          <w:left w:val="thinThickThinSmallGap" w:sz="12" w:space="4" w:color="auto"/>
          <w:bottom w:val="thinThickThinSmallGap" w:sz="12" w:space="0" w:color="auto"/>
          <w:right w:val="thinThickThinSmallGap" w:sz="12" w:space="4" w:color="auto"/>
        </w:pBdr>
        <w:shd w:val="clear" w:color="auto" w:fill="000000"/>
        <w:spacing w:after="0" w:line="240" w:lineRule="auto"/>
        <w:jc w:val="center"/>
        <w:rPr>
          <w:b/>
          <w:sz w:val="36"/>
        </w:rPr>
      </w:pPr>
      <w:r>
        <w:rPr>
          <w:bCs/>
          <w:sz w:val="40"/>
        </w:rPr>
        <w:t>Supporting Statement Part B</w:t>
      </w:r>
    </w:p>
    <w:p w:rsidR="000E141F" w:rsidRDefault="000E141F">
      <w:pPr>
        <w:pBdr>
          <w:top w:val="thinThickThinSmallGap" w:sz="12" w:space="1" w:color="auto"/>
          <w:left w:val="thinThickThinSmallGap" w:sz="12" w:space="4" w:color="auto"/>
          <w:bottom w:val="thinThickThinSmallGap" w:sz="12" w:space="0" w:color="auto"/>
          <w:right w:val="thinThickThinSmallGap" w:sz="12" w:space="4" w:color="auto"/>
        </w:pBdr>
        <w:shd w:val="clear" w:color="auto" w:fill="000000"/>
        <w:tabs>
          <w:tab w:val="left" w:pos="1080"/>
        </w:tabs>
        <w:spacing w:after="120"/>
        <w:jc w:val="center"/>
        <w:rPr>
          <w:b/>
          <w:sz w:val="36"/>
          <w:lang w:val="x-none" w:eastAsia="x-none"/>
        </w:rPr>
      </w:pPr>
    </w:p>
    <w:p w:rsidR="000E141F" w:rsidRPr="007357A1" w:rsidRDefault="000E141F">
      <w:pPr>
        <w:tabs>
          <w:tab w:val="left" w:pos="1080"/>
        </w:tabs>
        <w:spacing w:after="120"/>
        <w:jc w:val="center"/>
        <w:rPr>
          <w:b/>
          <w:sz w:val="32"/>
          <w:lang w:eastAsia="x-none"/>
        </w:rPr>
      </w:pPr>
    </w:p>
    <w:p w:rsidR="000E141F" w:rsidRDefault="000E141F">
      <w:pPr>
        <w:spacing w:line="240" w:lineRule="auto"/>
        <w:jc w:val="center"/>
        <w:rPr>
          <w:rFonts w:cs="Calibri"/>
          <w:b/>
        </w:rPr>
      </w:pPr>
    </w:p>
    <w:p w:rsidR="000E141F" w:rsidRDefault="00665228">
      <w:pPr>
        <w:spacing w:line="240" w:lineRule="auto"/>
        <w:jc w:val="center"/>
        <w:rPr>
          <w:rFonts w:cs="Calibri"/>
          <w:b/>
          <w:sz w:val="48"/>
          <w:szCs w:val="48"/>
        </w:rPr>
      </w:pPr>
      <w:r>
        <w:rPr>
          <w:rFonts w:cs="Calibri"/>
          <w:b/>
          <w:sz w:val="48"/>
          <w:szCs w:val="48"/>
        </w:rPr>
        <w:t>Sudden Death in the Young Registry</w:t>
      </w:r>
    </w:p>
    <w:p w:rsidR="000E141F" w:rsidRDefault="00283BDA">
      <w:pPr>
        <w:spacing w:line="240" w:lineRule="auto"/>
        <w:jc w:val="center"/>
        <w:rPr>
          <w:rFonts w:cs="Calibri"/>
          <w:b/>
        </w:rPr>
      </w:pPr>
      <w:r>
        <w:rPr>
          <w:rFonts w:eastAsia="Times New Roman" w:cs="Calibri"/>
          <w:b/>
          <w:sz w:val="24"/>
          <w:szCs w:val="24"/>
        </w:rPr>
        <w:t xml:space="preserve">Reinstatement </w:t>
      </w:r>
      <w:r w:rsidR="00665228">
        <w:rPr>
          <w:rFonts w:eastAsia="Times New Roman" w:cs="Calibri"/>
          <w:b/>
          <w:sz w:val="24"/>
          <w:szCs w:val="24"/>
        </w:rPr>
        <w:t xml:space="preserve">of OMB Number </w:t>
      </w:r>
      <w:r w:rsidR="00665228">
        <w:rPr>
          <w:rFonts w:cs="Calibri"/>
          <w:b/>
          <w:sz w:val="24"/>
          <w:szCs w:val="24"/>
        </w:rPr>
        <w:t>0920-1092</w:t>
      </w:r>
    </w:p>
    <w:p w:rsidR="000E141F" w:rsidRDefault="000E141F">
      <w:pPr>
        <w:spacing w:line="240" w:lineRule="auto"/>
        <w:jc w:val="center"/>
        <w:rPr>
          <w:rFonts w:cs="Calibri"/>
          <w:b/>
        </w:rPr>
      </w:pPr>
    </w:p>
    <w:p w:rsidR="000E141F" w:rsidRDefault="00665228">
      <w:pPr>
        <w:spacing w:after="0" w:line="240" w:lineRule="auto"/>
        <w:jc w:val="center"/>
        <w:rPr>
          <w:rFonts w:cs="Calibri"/>
        </w:rPr>
      </w:pPr>
      <w:r>
        <w:rPr>
          <w:rFonts w:cs="Calibri"/>
        </w:rPr>
        <w:t>Project Officer: Carri Cottengim</w:t>
      </w:r>
    </w:p>
    <w:p w:rsidR="000E141F" w:rsidRDefault="00665228">
      <w:pPr>
        <w:autoSpaceDE w:val="0"/>
        <w:autoSpaceDN w:val="0"/>
        <w:adjustRightInd w:val="0"/>
        <w:spacing w:after="0" w:line="240" w:lineRule="auto"/>
        <w:jc w:val="center"/>
        <w:rPr>
          <w:rFonts w:cs="Calibri"/>
        </w:rPr>
      </w:pPr>
      <w:r>
        <w:rPr>
          <w:rFonts w:cs="Calibri"/>
        </w:rPr>
        <w:t>Health Scientist, Sudden Unexpected Infant Death Initiative</w:t>
      </w:r>
    </w:p>
    <w:p w:rsidR="000E141F" w:rsidRDefault="00665228">
      <w:pPr>
        <w:autoSpaceDE w:val="0"/>
        <w:autoSpaceDN w:val="0"/>
        <w:adjustRightInd w:val="0"/>
        <w:spacing w:after="0" w:line="240" w:lineRule="auto"/>
        <w:jc w:val="center"/>
        <w:rPr>
          <w:rFonts w:cs="Calibri"/>
        </w:rPr>
      </w:pPr>
      <w:r>
        <w:rPr>
          <w:rFonts w:cs="Calibri"/>
        </w:rPr>
        <w:t>Division of Reproductive Health</w:t>
      </w:r>
    </w:p>
    <w:p w:rsidR="000E141F" w:rsidRDefault="00665228">
      <w:pPr>
        <w:tabs>
          <w:tab w:val="left" w:pos="-1080"/>
          <w:tab w:val="left" w:pos="-720"/>
          <w:tab w:val="left" w:pos="0"/>
          <w:tab w:val="left" w:pos="720"/>
          <w:tab w:val="left" w:pos="1440"/>
          <w:tab w:val="left" w:pos="2160"/>
          <w:tab w:val="left" w:pos="2880"/>
          <w:tab w:val="left" w:pos="3600"/>
          <w:tab w:val="left" w:pos="4320"/>
          <w:tab w:val="left" w:pos="5040"/>
          <w:tab w:val="left" w:pos="6120"/>
        </w:tabs>
        <w:spacing w:after="0" w:line="240" w:lineRule="auto"/>
        <w:jc w:val="center"/>
        <w:rPr>
          <w:rFonts w:cs="Calibri"/>
        </w:rPr>
      </w:pPr>
      <w:r>
        <w:t>National Center for Chronic Disease Prevention and Health Promotion</w:t>
      </w:r>
    </w:p>
    <w:p w:rsidR="000E141F" w:rsidRDefault="00665228">
      <w:pPr>
        <w:autoSpaceDE w:val="0"/>
        <w:autoSpaceDN w:val="0"/>
        <w:adjustRightInd w:val="0"/>
        <w:spacing w:after="0" w:line="240" w:lineRule="auto"/>
        <w:jc w:val="center"/>
        <w:rPr>
          <w:rFonts w:cs="Calibri"/>
        </w:rPr>
      </w:pPr>
      <w:r>
        <w:rPr>
          <w:rFonts w:cs="Calibri"/>
        </w:rPr>
        <w:t>Centers for Disease Control &amp; Prevention</w:t>
      </w:r>
    </w:p>
    <w:p w:rsidR="000E141F" w:rsidRDefault="00665228">
      <w:pPr>
        <w:spacing w:after="0" w:line="240" w:lineRule="auto"/>
        <w:jc w:val="center"/>
        <w:rPr>
          <w:rFonts w:cs="Calibri"/>
        </w:rPr>
      </w:pPr>
      <w:r>
        <w:rPr>
          <w:rFonts w:cs="Calibri"/>
        </w:rPr>
        <w:t>770-488-4290 phone</w:t>
      </w:r>
    </w:p>
    <w:p w:rsidR="000E141F" w:rsidRDefault="0023017C">
      <w:pPr>
        <w:spacing w:after="0" w:line="240" w:lineRule="auto"/>
        <w:jc w:val="center"/>
        <w:rPr>
          <w:rFonts w:cs="Calibri"/>
        </w:rPr>
      </w:pPr>
      <w:hyperlink r:id="rId9" w:history="1">
        <w:r w:rsidR="00665228">
          <w:rPr>
            <w:rFonts w:cs="Calibri"/>
            <w:color w:val="0000FF"/>
            <w:u w:val="single"/>
          </w:rPr>
          <w:t>wsh2@cdc.gov</w:t>
        </w:r>
      </w:hyperlink>
    </w:p>
    <w:p w:rsidR="000E141F" w:rsidRDefault="00665228">
      <w:pPr>
        <w:spacing w:after="0" w:line="240" w:lineRule="auto"/>
        <w:jc w:val="center"/>
        <w:rPr>
          <w:rFonts w:cs="Calibri"/>
        </w:rPr>
      </w:pPr>
      <w:r>
        <w:rPr>
          <w:rFonts w:cs="Calibri"/>
        </w:rPr>
        <w:t>(770) 488-6283 fax</w:t>
      </w:r>
    </w:p>
    <w:p w:rsidR="000E141F" w:rsidRDefault="000E141F">
      <w:pPr>
        <w:spacing w:after="0" w:line="240" w:lineRule="auto"/>
        <w:jc w:val="center"/>
        <w:rPr>
          <w:rFonts w:cs="Calibri"/>
        </w:rPr>
      </w:pPr>
    </w:p>
    <w:p w:rsidR="000E141F" w:rsidRDefault="00283BDA">
      <w:pPr>
        <w:spacing w:after="0" w:line="240" w:lineRule="auto"/>
        <w:jc w:val="center"/>
        <w:rPr>
          <w:rFonts w:cs="Calibri"/>
        </w:rPr>
      </w:pPr>
      <w:r>
        <w:rPr>
          <w:rFonts w:cs="Calibri"/>
        </w:rPr>
        <w:t xml:space="preserve">January </w:t>
      </w:r>
      <w:r w:rsidR="00735866">
        <w:rPr>
          <w:rFonts w:cs="Calibri"/>
        </w:rPr>
        <w:t>25</w:t>
      </w:r>
      <w:r>
        <w:rPr>
          <w:rFonts w:cs="Calibri"/>
        </w:rPr>
        <w:t>, 2019</w:t>
      </w:r>
    </w:p>
    <w:p w:rsidR="000E141F" w:rsidRDefault="000E141F">
      <w:pPr>
        <w:spacing w:after="0" w:line="240" w:lineRule="auto"/>
        <w:rPr>
          <w:rFonts w:cs="Calibri"/>
        </w:rPr>
      </w:pPr>
    </w:p>
    <w:p w:rsidR="000E141F" w:rsidRDefault="000E141F">
      <w:pPr>
        <w:tabs>
          <w:tab w:val="left" w:pos="-1080"/>
          <w:tab w:val="left" w:pos="-720"/>
          <w:tab w:val="left" w:pos="0"/>
          <w:tab w:val="left" w:pos="720"/>
          <w:tab w:val="left" w:pos="1440"/>
          <w:tab w:val="left" w:pos="2160"/>
          <w:tab w:val="left" w:pos="2880"/>
          <w:tab w:val="left" w:pos="3600"/>
          <w:tab w:val="left" w:pos="4320"/>
          <w:tab w:val="left" w:pos="5040"/>
          <w:tab w:val="left" w:pos="6120"/>
        </w:tabs>
        <w:spacing w:after="0" w:line="240" w:lineRule="auto"/>
        <w:jc w:val="center"/>
        <w:rPr>
          <w:i/>
        </w:rPr>
      </w:pPr>
    </w:p>
    <w:p w:rsidR="000E141F" w:rsidRDefault="000E141F">
      <w:pPr>
        <w:tabs>
          <w:tab w:val="left" w:pos="-1080"/>
          <w:tab w:val="left" w:pos="-720"/>
          <w:tab w:val="left" w:pos="0"/>
          <w:tab w:val="left" w:pos="720"/>
          <w:tab w:val="left" w:pos="1440"/>
          <w:tab w:val="left" w:pos="2160"/>
          <w:tab w:val="left" w:pos="2880"/>
          <w:tab w:val="left" w:pos="3600"/>
          <w:tab w:val="left" w:pos="4320"/>
          <w:tab w:val="left" w:pos="5040"/>
          <w:tab w:val="left" w:pos="6120"/>
        </w:tabs>
        <w:spacing w:after="0" w:line="240" w:lineRule="auto"/>
        <w:jc w:val="center"/>
        <w:rPr>
          <w:i/>
        </w:rPr>
      </w:pPr>
    </w:p>
    <w:p w:rsidR="000E141F" w:rsidRDefault="000E141F">
      <w:pPr>
        <w:tabs>
          <w:tab w:val="left" w:pos="-1080"/>
          <w:tab w:val="left" w:pos="-720"/>
          <w:tab w:val="left" w:pos="0"/>
          <w:tab w:val="left" w:pos="720"/>
          <w:tab w:val="left" w:pos="1440"/>
          <w:tab w:val="left" w:pos="2160"/>
          <w:tab w:val="left" w:pos="2880"/>
          <w:tab w:val="left" w:pos="3600"/>
          <w:tab w:val="left" w:pos="4320"/>
          <w:tab w:val="left" w:pos="5040"/>
          <w:tab w:val="left" w:pos="6120"/>
        </w:tabs>
        <w:spacing w:after="0" w:line="240" w:lineRule="auto"/>
        <w:jc w:val="center"/>
        <w:rPr>
          <w:i/>
        </w:rPr>
      </w:pPr>
    </w:p>
    <w:p w:rsidR="000E141F" w:rsidRDefault="000E141F">
      <w:pPr>
        <w:tabs>
          <w:tab w:val="left" w:pos="-1080"/>
          <w:tab w:val="left" w:pos="-720"/>
          <w:tab w:val="left" w:pos="0"/>
          <w:tab w:val="left" w:pos="720"/>
          <w:tab w:val="left" w:pos="1440"/>
          <w:tab w:val="left" w:pos="2160"/>
          <w:tab w:val="left" w:pos="2880"/>
          <w:tab w:val="left" w:pos="3600"/>
          <w:tab w:val="left" w:pos="4320"/>
          <w:tab w:val="left" w:pos="5040"/>
          <w:tab w:val="left" w:pos="6120"/>
        </w:tabs>
        <w:spacing w:after="0" w:line="240" w:lineRule="auto"/>
        <w:jc w:val="center"/>
        <w:rPr>
          <w:i/>
        </w:rPr>
      </w:pPr>
    </w:p>
    <w:p w:rsidR="000E141F" w:rsidRDefault="000E141F">
      <w:pPr>
        <w:tabs>
          <w:tab w:val="left" w:pos="-1080"/>
          <w:tab w:val="left" w:pos="-720"/>
          <w:tab w:val="left" w:pos="0"/>
          <w:tab w:val="left" w:pos="720"/>
          <w:tab w:val="left" w:pos="1440"/>
          <w:tab w:val="left" w:pos="2160"/>
          <w:tab w:val="left" w:pos="2880"/>
          <w:tab w:val="left" w:pos="3600"/>
          <w:tab w:val="left" w:pos="4320"/>
          <w:tab w:val="left" w:pos="5040"/>
          <w:tab w:val="left" w:pos="6120"/>
        </w:tabs>
        <w:spacing w:after="0" w:line="240" w:lineRule="auto"/>
        <w:jc w:val="center"/>
        <w:rPr>
          <w:i/>
        </w:rPr>
      </w:pPr>
    </w:p>
    <w:p w:rsidR="000E141F" w:rsidRDefault="000E141F">
      <w:pPr>
        <w:tabs>
          <w:tab w:val="left" w:pos="-1080"/>
          <w:tab w:val="left" w:pos="-720"/>
          <w:tab w:val="left" w:pos="0"/>
          <w:tab w:val="left" w:pos="720"/>
          <w:tab w:val="left" w:pos="1440"/>
          <w:tab w:val="left" w:pos="2160"/>
          <w:tab w:val="left" w:pos="2880"/>
          <w:tab w:val="left" w:pos="3600"/>
          <w:tab w:val="left" w:pos="4320"/>
          <w:tab w:val="left" w:pos="5040"/>
          <w:tab w:val="left" w:pos="6120"/>
        </w:tabs>
        <w:spacing w:after="0" w:line="240" w:lineRule="auto"/>
        <w:jc w:val="center"/>
        <w:rPr>
          <w:i/>
        </w:rPr>
      </w:pPr>
    </w:p>
    <w:p w:rsidR="000E141F" w:rsidRDefault="000E141F">
      <w:pPr>
        <w:tabs>
          <w:tab w:val="left" w:pos="-1080"/>
          <w:tab w:val="left" w:pos="-720"/>
          <w:tab w:val="left" w:pos="0"/>
          <w:tab w:val="left" w:pos="720"/>
          <w:tab w:val="left" w:pos="1440"/>
          <w:tab w:val="left" w:pos="2160"/>
          <w:tab w:val="left" w:pos="2880"/>
          <w:tab w:val="left" w:pos="3600"/>
          <w:tab w:val="left" w:pos="4320"/>
          <w:tab w:val="left" w:pos="5040"/>
          <w:tab w:val="left" w:pos="6120"/>
        </w:tabs>
        <w:spacing w:after="0" w:line="240" w:lineRule="auto"/>
        <w:jc w:val="center"/>
        <w:rPr>
          <w:i/>
        </w:rPr>
      </w:pPr>
    </w:p>
    <w:p w:rsidR="000E141F" w:rsidRDefault="000E141F">
      <w:pPr>
        <w:tabs>
          <w:tab w:val="left" w:pos="-1080"/>
          <w:tab w:val="left" w:pos="-720"/>
          <w:tab w:val="left" w:pos="0"/>
          <w:tab w:val="left" w:pos="720"/>
          <w:tab w:val="left" w:pos="1440"/>
          <w:tab w:val="left" w:pos="2160"/>
          <w:tab w:val="left" w:pos="2880"/>
          <w:tab w:val="left" w:pos="3600"/>
          <w:tab w:val="left" w:pos="4320"/>
          <w:tab w:val="left" w:pos="5040"/>
          <w:tab w:val="left" w:pos="6120"/>
        </w:tabs>
        <w:spacing w:after="0" w:line="240" w:lineRule="auto"/>
        <w:jc w:val="center"/>
        <w:rPr>
          <w:i/>
        </w:rPr>
      </w:pPr>
    </w:p>
    <w:p w:rsidR="000E141F" w:rsidRDefault="00665228">
      <w:pPr>
        <w:rPr>
          <w:rFonts w:eastAsia="Times New Roman"/>
          <w:b/>
          <w:bCs/>
        </w:rPr>
      </w:pPr>
      <w:r>
        <w:rPr>
          <w:rFonts w:eastAsia="Times New Roman"/>
          <w:b/>
          <w:bCs/>
        </w:rPr>
        <w:br w:type="page"/>
      </w:r>
    </w:p>
    <w:p w:rsidR="000E141F" w:rsidRDefault="000E141F">
      <w:pPr>
        <w:rPr>
          <w:rFonts w:eastAsia="Times New Roman"/>
          <w:b/>
          <w:bCs/>
        </w:rPr>
      </w:pPr>
    </w:p>
    <w:sdt>
      <w:sdtPr>
        <w:rPr>
          <w:rFonts w:ascii="Calibri" w:eastAsia="Calibri" w:hAnsi="Calibri" w:cs="Times New Roman"/>
          <w:color w:val="auto"/>
          <w:sz w:val="22"/>
          <w:szCs w:val="22"/>
        </w:rPr>
        <w:id w:val="1624567657"/>
        <w:docPartObj>
          <w:docPartGallery w:val="Table of Contents"/>
          <w:docPartUnique/>
        </w:docPartObj>
      </w:sdtPr>
      <w:sdtEndPr>
        <w:rPr>
          <w:b/>
          <w:bCs/>
          <w:noProof/>
        </w:rPr>
      </w:sdtEndPr>
      <w:sdtContent>
        <w:p w:rsidR="000E141F" w:rsidRDefault="00665228">
          <w:pPr>
            <w:pStyle w:val="TOCHeading"/>
          </w:pPr>
          <w:r>
            <w:t>Table of Contents</w:t>
          </w:r>
        </w:p>
        <w:p w:rsidR="000E141F" w:rsidRDefault="00665228">
          <w:pPr>
            <w:pStyle w:val="TOC2"/>
            <w:tabs>
              <w:tab w:val="right" w:leader="dot" w:pos="10070"/>
            </w:tabs>
            <w:rPr>
              <w:rFonts w:cstheme="minorBidi"/>
              <w:noProof/>
            </w:rPr>
          </w:pPr>
          <w:r>
            <w:rPr>
              <w:b/>
              <w:bCs/>
              <w:noProof/>
            </w:rPr>
            <w:fldChar w:fldCharType="begin"/>
          </w:r>
          <w:r>
            <w:rPr>
              <w:b/>
              <w:bCs/>
              <w:noProof/>
            </w:rPr>
            <w:instrText xml:space="preserve"> TOC \o "1-3" \h \z \u </w:instrText>
          </w:r>
          <w:r>
            <w:rPr>
              <w:b/>
              <w:bCs/>
              <w:noProof/>
            </w:rPr>
            <w:fldChar w:fldCharType="separate"/>
          </w:r>
          <w:hyperlink w:anchor="_Toc520118182" w:history="1">
            <w:r>
              <w:rPr>
                <w:rStyle w:val="Hyperlink"/>
                <w:rFonts w:cstheme="minorHAnsi"/>
                <w:b/>
                <w:noProof/>
              </w:rPr>
              <w:t>Collection of Information Employing Statistical Methods</w:t>
            </w:r>
            <w:r>
              <w:rPr>
                <w:noProof/>
                <w:webHidden/>
              </w:rPr>
              <w:tab/>
            </w:r>
            <w:r>
              <w:rPr>
                <w:noProof/>
                <w:webHidden/>
              </w:rPr>
              <w:fldChar w:fldCharType="begin"/>
            </w:r>
            <w:r>
              <w:rPr>
                <w:noProof/>
                <w:webHidden/>
              </w:rPr>
              <w:instrText xml:space="preserve"> PAGEREF _Toc520118182 \h </w:instrText>
            </w:r>
            <w:r>
              <w:rPr>
                <w:noProof/>
                <w:webHidden/>
              </w:rPr>
            </w:r>
            <w:r>
              <w:rPr>
                <w:noProof/>
                <w:webHidden/>
              </w:rPr>
              <w:fldChar w:fldCharType="separate"/>
            </w:r>
            <w:r>
              <w:rPr>
                <w:noProof/>
                <w:webHidden/>
              </w:rPr>
              <w:t>4</w:t>
            </w:r>
            <w:r>
              <w:rPr>
                <w:noProof/>
                <w:webHidden/>
              </w:rPr>
              <w:fldChar w:fldCharType="end"/>
            </w:r>
          </w:hyperlink>
        </w:p>
        <w:p w:rsidR="000E141F" w:rsidRDefault="0023017C">
          <w:pPr>
            <w:pStyle w:val="TOC2"/>
            <w:tabs>
              <w:tab w:val="left" w:pos="660"/>
              <w:tab w:val="right" w:leader="dot" w:pos="10070"/>
            </w:tabs>
            <w:rPr>
              <w:rFonts w:cstheme="minorBidi"/>
              <w:noProof/>
            </w:rPr>
          </w:pPr>
          <w:hyperlink w:anchor="_Toc520118183" w:history="1">
            <w:r w:rsidR="00665228">
              <w:rPr>
                <w:rStyle w:val="Hyperlink"/>
                <w:rFonts w:cstheme="minorHAnsi"/>
                <w:b/>
                <w:noProof/>
              </w:rPr>
              <w:t>1.</w:t>
            </w:r>
            <w:r w:rsidR="00665228">
              <w:rPr>
                <w:rFonts w:cstheme="minorBidi"/>
                <w:noProof/>
              </w:rPr>
              <w:tab/>
            </w:r>
            <w:r w:rsidR="00665228">
              <w:rPr>
                <w:rStyle w:val="Hyperlink"/>
                <w:rFonts w:cstheme="minorHAnsi"/>
                <w:b/>
                <w:noProof/>
              </w:rPr>
              <w:t>Respondent Universe and Sampling Methods</w:t>
            </w:r>
            <w:r w:rsidR="00665228">
              <w:rPr>
                <w:noProof/>
                <w:webHidden/>
              </w:rPr>
              <w:tab/>
            </w:r>
            <w:r w:rsidR="00665228">
              <w:rPr>
                <w:noProof/>
                <w:webHidden/>
              </w:rPr>
              <w:fldChar w:fldCharType="begin"/>
            </w:r>
            <w:r w:rsidR="00665228">
              <w:rPr>
                <w:noProof/>
                <w:webHidden/>
              </w:rPr>
              <w:instrText xml:space="preserve"> PAGEREF _Toc520118183 \h </w:instrText>
            </w:r>
            <w:r w:rsidR="00665228">
              <w:rPr>
                <w:noProof/>
                <w:webHidden/>
              </w:rPr>
            </w:r>
            <w:r w:rsidR="00665228">
              <w:rPr>
                <w:noProof/>
                <w:webHidden/>
              </w:rPr>
              <w:fldChar w:fldCharType="separate"/>
            </w:r>
            <w:r w:rsidR="00665228">
              <w:rPr>
                <w:noProof/>
                <w:webHidden/>
              </w:rPr>
              <w:t>4</w:t>
            </w:r>
            <w:r w:rsidR="00665228">
              <w:rPr>
                <w:noProof/>
                <w:webHidden/>
              </w:rPr>
              <w:fldChar w:fldCharType="end"/>
            </w:r>
          </w:hyperlink>
        </w:p>
        <w:p w:rsidR="000E141F" w:rsidRDefault="0023017C">
          <w:pPr>
            <w:pStyle w:val="TOC2"/>
            <w:tabs>
              <w:tab w:val="left" w:pos="660"/>
              <w:tab w:val="right" w:leader="dot" w:pos="10070"/>
            </w:tabs>
            <w:rPr>
              <w:rFonts w:cstheme="minorBidi"/>
              <w:noProof/>
            </w:rPr>
          </w:pPr>
          <w:hyperlink w:anchor="_Toc520118184" w:history="1">
            <w:r w:rsidR="00665228">
              <w:rPr>
                <w:rStyle w:val="Hyperlink"/>
                <w:rFonts w:cstheme="minorHAnsi"/>
                <w:b/>
                <w:noProof/>
              </w:rPr>
              <w:t>2.</w:t>
            </w:r>
            <w:r w:rsidR="00665228">
              <w:rPr>
                <w:rFonts w:cstheme="minorBidi"/>
                <w:noProof/>
              </w:rPr>
              <w:tab/>
            </w:r>
            <w:r w:rsidR="00665228">
              <w:rPr>
                <w:rStyle w:val="Hyperlink"/>
                <w:rFonts w:cstheme="minorHAnsi"/>
                <w:b/>
                <w:noProof/>
              </w:rPr>
              <w:t>Procedures for the Collection of Information</w:t>
            </w:r>
            <w:r w:rsidR="00665228">
              <w:rPr>
                <w:noProof/>
                <w:webHidden/>
              </w:rPr>
              <w:tab/>
            </w:r>
            <w:r w:rsidR="00665228">
              <w:rPr>
                <w:noProof/>
                <w:webHidden/>
              </w:rPr>
              <w:fldChar w:fldCharType="begin"/>
            </w:r>
            <w:r w:rsidR="00665228">
              <w:rPr>
                <w:noProof/>
                <w:webHidden/>
              </w:rPr>
              <w:instrText xml:space="preserve"> PAGEREF _Toc520118184 \h </w:instrText>
            </w:r>
            <w:r w:rsidR="00665228">
              <w:rPr>
                <w:noProof/>
                <w:webHidden/>
              </w:rPr>
            </w:r>
            <w:r w:rsidR="00665228">
              <w:rPr>
                <w:noProof/>
                <w:webHidden/>
              </w:rPr>
              <w:fldChar w:fldCharType="separate"/>
            </w:r>
            <w:r w:rsidR="00665228">
              <w:rPr>
                <w:noProof/>
                <w:webHidden/>
              </w:rPr>
              <w:t>4</w:t>
            </w:r>
            <w:r w:rsidR="00665228">
              <w:rPr>
                <w:noProof/>
                <w:webHidden/>
              </w:rPr>
              <w:fldChar w:fldCharType="end"/>
            </w:r>
          </w:hyperlink>
        </w:p>
        <w:p w:rsidR="000E141F" w:rsidRDefault="0023017C">
          <w:pPr>
            <w:pStyle w:val="TOC2"/>
            <w:tabs>
              <w:tab w:val="left" w:pos="660"/>
              <w:tab w:val="right" w:leader="dot" w:pos="10070"/>
            </w:tabs>
            <w:rPr>
              <w:rFonts w:cstheme="minorBidi"/>
              <w:noProof/>
            </w:rPr>
          </w:pPr>
          <w:hyperlink w:anchor="_Toc520118185" w:history="1">
            <w:r w:rsidR="00665228">
              <w:rPr>
                <w:rStyle w:val="Hyperlink"/>
                <w:rFonts w:cstheme="minorHAnsi"/>
                <w:b/>
                <w:noProof/>
              </w:rPr>
              <w:t>3.</w:t>
            </w:r>
            <w:r w:rsidR="00665228">
              <w:rPr>
                <w:rFonts w:cstheme="minorBidi"/>
                <w:noProof/>
              </w:rPr>
              <w:tab/>
            </w:r>
            <w:r w:rsidR="00665228">
              <w:rPr>
                <w:rStyle w:val="Hyperlink"/>
                <w:rFonts w:cstheme="minorHAnsi"/>
                <w:b/>
                <w:noProof/>
              </w:rPr>
              <w:t>Methods to Maximize Response Rates and Deal with Non-response</w:t>
            </w:r>
            <w:r w:rsidR="00665228">
              <w:rPr>
                <w:noProof/>
                <w:webHidden/>
              </w:rPr>
              <w:tab/>
            </w:r>
            <w:r w:rsidR="00665228">
              <w:rPr>
                <w:noProof/>
                <w:webHidden/>
              </w:rPr>
              <w:fldChar w:fldCharType="begin"/>
            </w:r>
            <w:r w:rsidR="00665228">
              <w:rPr>
                <w:noProof/>
                <w:webHidden/>
              </w:rPr>
              <w:instrText xml:space="preserve"> PAGEREF _Toc520118185 \h </w:instrText>
            </w:r>
            <w:r w:rsidR="00665228">
              <w:rPr>
                <w:noProof/>
                <w:webHidden/>
              </w:rPr>
            </w:r>
            <w:r w:rsidR="00665228">
              <w:rPr>
                <w:noProof/>
                <w:webHidden/>
              </w:rPr>
              <w:fldChar w:fldCharType="separate"/>
            </w:r>
            <w:r w:rsidR="00665228">
              <w:rPr>
                <w:noProof/>
                <w:webHidden/>
              </w:rPr>
              <w:t>4</w:t>
            </w:r>
            <w:r w:rsidR="00665228">
              <w:rPr>
                <w:noProof/>
                <w:webHidden/>
              </w:rPr>
              <w:fldChar w:fldCharType="end"/>
            </w:r>
          </w:hyperlink>
        </w:p>
        <w:p w:rsidR="000E141F" w:rsidRDefault="0023017C">
          <w:pPr>
            <w:pStyle w:val="TOC2"/>
            <w:tabs>
              <w:tab w:val="left" w:pos="660"/>
              <w:tab w:val="right" w:leader="dot" w:pos="10070"/>
            </w:tabs>
            <w:rPr>
              <w:rFonts w:cstheme="minorBidi"/>
              <w:noProof/>
            </w:rPr>
          </w:pPr>
          <w:hyperlink w:anchor="_Toc520118186" w:history="1">
            <w:r w:rsidR="00665228">
              <w:rPr>
                <w:rStyle w:val="Hyperlink"/>
                <w:rFonts w:cstheme="minorHAnsi"/>
                <w:b/>
                <w:noProof/>
              </w:rPr>
              <w:t>4.</w:t>
            </w:r>
            <w:r w:rsidR="00665228">
              <w:rPr>
                <w:rFonts w:cstheme="minorBidi"/>
                <w:noProof/>
              </w:rPr>
              <w:tab/>
            </w:r>
            <w:r w:rsidR="00665228">
              <w:rPr>
                <w:rStyle w:val="Hyperlink"/>
                <w:rFonts w:cstheme="minorHAnsi"/>
                <w:b/>
                <w:noProof/>
              </w:rPr>
              <w:t>Tests of Procedures or Methods to be Undertaken</w:t>
            </w:r>
            <w:r w:rsidR="00665228">
              <w:rPr>
                <w:noProof/>
                <w:webHidden/>
              </w:rPr>
              <w:tab/>
            </w:r>
            <w:r w:rsidR="00665228">
              <w:rPr>
                <w:noProof/>
                <w:webHidden/>
              </w:rPr>
              <w:fldChar w:fldCharType="begin"/>
            </w:r>
            <w:r w:rsidR="00665228">
              <w:rPr>
                <w:noProof/>
                <w:webHidden/>
              </w:rPr>
              <w:instrText xml:space="preserve"> PAGEREF _Toc520118186 \h </w:instrText>
            </w:r>
            <w:r w:rsidR="00665228">
              <w:rPr>
                <w:noProof/>
                <w:webHidden/>
              </w:rPr>
            </w:r>
            <w:r w:rsidR="00665228">
              <w:rPr>
                <w:noProof/>
                <w:webHidden/>
              </w:rPr>
              <w:fldChar w:fldCharType="separate"/>
            </w:r>
            <w:r w:rsidR="00665228">
              <w:rPr>
                <w:noProof/>
                <w:webHidden/>
              </w:rPr>
              <w:t>5</w:t>
            </w:r>
            <w:r w:rsidR="00665228">
              <w:rPr>
                <w:noProof/>
                <w:webHidden/>
              </w:rPr>
              <w:fldChar w:fldCharType="end"/>
            </w:r>
          </w:hyperlink>
        </w:p>
        <w:p w:rsidR="000E141F" w:rsidRDefault="0023017C">
          <w:pPr>
            <w:pStyle w:val="TOC2"/>
            <w:tabs>
              <w:tab w:val="left" w:pos="660"/>
              <w:tab w:val="right" w:leader="dot" w:pos="10070"/>
            </w:tabs>
            <w:rPr>
              <w:rFonts w:cstheme="minorBidi"/>
              <w:noProof/>
            </w:rPr>
          </w:pPr>
          <w:hyperlink w:anchor="_Toc520118187" w:history="1">
            <w:r w:rsidR="00665228">
              <w:rPr>
                <w:rStyle w:val="Hyperlink"/>
                <w:rFonts w:cstheme="minorHAnsi"/>
                <w:b/>
                <w:noProof/>
              </w:rPr>
              <w:t>5.</w:t>
            </w:r>
            <w:r w:rsidR="00665228">
              <w:rPr>
                <w:rFonts w:cstheme="minorBidi"/>
                <w:noProof/>
              </w:rPr>
              <w:tab/>
            </w:r>
            <w:r w:rsidR="00665228">
              <w:rPr>
                <w:rStyle w:val="Hyperlink"/>
                <w:rFonts w:cstheme="minorHAnsi"/>
                <w:b/>
                <w:noProof/>
              </w:rPr>
              <w:t>Individuals Consulted on Statistical Aspects and Individuals Collecting and/or Analyzing Data</w:t>
            </w:r>
            <w:r w:rsidR="00665228">
              <w:rPr>
                <w:noProof/>
                <w:webHidden/>
              </w:rPr>
              <w:tab/>
            </w:r>
            <w:r w:rsidR="00665228">
              <w:rPr>
                <w:noProof/>
                <w:webHidden/>
              </w:rPr>
              <w:fldChar w:fldCharType="begin"/>
            </w:r>
            <w:r w:rsidR="00665228">
              <w:rPr>
                <w:noProof/>
                <w:webHidden/>
              </w:rPr>
              <w:instrText xml:space="preserve"> PAGEREF _Toc520118187 \h </w:instrText>
            </w:r>
            <w:r w:rsidR="00665228">
              <w:rPr>
                <w:noProof/>
                <w:webHidden/>
              </w:rPr>
            </w:r>
            <w:r w:rsidR="00665228">
              <w:rPr>
                <w:noProof/>
                <w:webHidden/>
              </w:rPr>
              <w:fldChar w:fldCharType="separate"/>
            </w:r>
            <w:r w:rsidR="00665228">
              <w:rPr>
                <w:noProof/>
                <w:webHidden/>
              </w:rPr>
              <w:t>5</w:t>
            </w:r>
            <w:r w:rsidR="00665228">
              <w:rPr>
                <w:noProof/>
                <w:webHidden/>
              </w:rPr>
              <w:fldChar w:fldCharType="end"/>
            </w:r>
          </w:hyperlink>
        </w:p>
        <w:p w:rsidR="000E141F" w:rsidRDefault="00665228">
          <w:r>
            <w:rPr>
              <w:b/>
              <w:bCs/>
              <w:noProof/>
            </w:rPr>
            <w:fldChar w:fldCharType="end"/>
          </w:r>
        </w:p>
      </w:sdtContent>
    </w:sdt>
    <w:p w:rsidR="000E141F" w:rsidRDefault="00665228">
      <w:pPr>
        <w:rPr>
          <w:rFonts w:asciiTheme="minorHAnsi" w:eastAsia="Times New Roman" w:hAnsiTheme="minorHAnsi" w:cstheme="minorHAnsi"/>
          <w:b/>
          <w:sz w:val="24"/>
          <w:szCs w:val="20"/>
          <w:lang w:val="x-none" w:eastAsia="x-none"/>
        </w:rPr>
      </w:pPr>
      <w:r>
        <w:rPr>
          <w:rFonts w:asciiTheme="minorHAnsi" w:hAnsiTheme="minorHAnsi" w:cstheme="minorHAnsi"/>
        </w:rPr>
        <w:br w:type="page"/>
      </w:r>
    </w:p>
    <w:p w:rsidR="000E141F" w:rsidRDefault="00665228">
      <w:pPr>
        <w:pStyle w:val="Heading6"/>
        <w:rPr>
          <w:rFonts w:asciiTheme="minorHAnsi" w:hAnsiTheme="minorHAnsi" w:cstheme="minorHAnsi"/>
        </w:rPr>
      </w:pPr>
      <w:r>
        <w:rPr>
          <w:rFonts w:asciiTheme="minorHAnsi" w:hAnsiTheme="minorHAnsi" w:cstheme="minorHAnsi"/>
        </w:rPr>
        <w:lastRenderedPageBreak/>
        <w:t xml:space="preserve">List of Attachments </w:t>
      </w:r>
    </w:p>
    <w:p w:rsidR="00283BDA" w:rsidRPr="00283BDA" w:rsidRDefault="00283BDA" w:rsidP="00283BDA">
      <w:pPr>
        <w:rPr>
          <w:lang w:val="x-none" w:eastAsia="x-none"/>
        </w:rPr>
      </w:pPr>
    </w:p>
    <w:p w:rsidR="00283BDA" w:rsidRDefault="00283BDA" w:rsidP="00283BDA">
      <w:pPr>
        <w:numPr>
          <w:ilvl w:val="0"/>
          <w:numId w:val="2"/>
        </w:numPr>
        <w:spacing w:after="0" w:line="240" w:lineRule="auto"/>
        <w:rPr>
          <w:rFonts w:asciiTheme="minorHAnsi" w:hAnsiTheme="minorHAnsi" w:cstheme="minorHAnsi"/>
        </w:rPr>
      </w:pPr>
      <w:r>
        <w:rPr>
          <w:rFonts w:asciiTheme="minorHAnsi" w:hAnsiTheme="minorHAnsi" w:cstheme="minorHAnsi"/>
        </w:rPr>
        <w:t>Applicable Laws</w:t>
      </w:r>
    </w:p>
    <w:p w:rsidR="00283BDA" w:rsidRDefault="00283BDA" w:rsidP="00283BDA">
      <w:pPr>
        <w:numPr>
          <w:ilvl w:val="1"/>
          <w:numId w:val="2"/>
        </w:numPr>
        <w:spacing w:after="0" w:line="240" w:lineRule="auto"/>
        <w:rPr>
          <w:rFonts w:asciiTheme="minorHAnsi" w:hAnsiTheme="minorHAnsi" w:cstheme="minorHAnsi"/>
        </w:rPr>
      </w:pPr>
      <w:r>
        <w:rPr>
          <w:rFonts w:asciiTheme="minorHAnsi" w:hAnsiTheme="minorHAnsi" w:cstheme="minorHAnsi"/>
          <w:lang w:val="en"/>
        </w:rPr>
        <w:t xml:space="preserve">Public Health Service Act, Section 301(a) and Section 317K, 42 USC 241(a), 42 USC 247b-12 </w:t>
      </w:r>
    </w:p>
    <w:p w:rsidR="00283BDA" w:rsidRPr="00DC00BC" w:rsidRDefault="00283BDA" w:rsidP="00283BDA">
      <w:pPr>
        <w:numPr>
          <w:ilvl w:val="1"/>
          <w:numId w:val="2"/>
        </w:numPr>
        <w:spacing w:after="0" w:line="240" w:lineRule="auto"/>
        <w:rPr>
          <w:rFonts w:asciiTheme="minorHAnsi" w:hAnsiTheme="minorHAnsi" w:cstheme="minorHAnsi"/>
        </w:rPr>
      </w:pPr>
      <w:r>
        <w:rPr>
          <w:rFonts w:asciiTheme="minorHAnsi" w:hAnsiTheme="minorHAnsi" w:cstheme="minorHAnsi"/>
          <w:lang w:val="en"/>
        </w:rPr>
        <w:t xml:space="preserve">Sudden Unexpected Death Data Enhancement and Awareness Act, </w:t>
      </w:r>
      <w:r>
        <w:rPr>
          <w:rFonts w:asciiTheme="minorHAnsi" w:hAnsiTheme="minorHAnsi" w:cstheme="minorHAnsi"/>
          <w:bCs/>
          <w:lang w:val="en"/>
        </w:rPr>
        <w:t>Public Law Number 113-236</w:t>
      </w:r>
      <w:r>
        <w:rPr>
          <w:rFonts w:asciiTheme="minorHAnsi" w:hAnsiTheme="minorHAnsi" w:cstheme="minorHAnsi"/>
          <w:b/>
          <w:bCs/>
          <w:lang w:val="en"/>
        </w:rPr>
        <w:t xml:space="preserve"> </w:t>
      </w:r>
      <w:r>
        <w:rPr>
          <w:rFonts w:asciiTheme="minorHAnsi" w:hAnsiTheme="minorHAnsi" w:cstheme="minorHAnsi"/>
          <w:bCs/>
          <w:lang w:val="en"/>
        </w:rPr>
        <w:t>(</w:t>
      </w:r>
      <w:r>
        <w:rPr>
          <w:rFonts w:asciiTheme="minorHAnsi" w:hAnsiTheme="minorHAnsi" w:cstheme="minorHAnsi"/>
          <w:lang w:val="en"/>
        </w:rPr>
        <w:t>enacted into law on December 18, 2014)</w:t>
      </w:r>
    </w:p>
    <w:p w:rsidR="00283BDA" w:rsidRDefault="00283BDA" w:rsidP="00283BDA">
      <w:pPr>
        <w:numPr>
          <w:ilvl w:val="0"/>
          <w:numId w:val="2"/>
        </w:numPr>
        <w:spacing w:after="0" w:line="240" w:lineRule="auto"/>
        <w:rPr>
          <w:rFonts w:asciiTheme="minorHAnsi" w:hAnsiTheme="minorHAnsi" w:cstheme="minorHAnsi"/>
        </w:rPr>
      </w:pPr>
      <w:r>
        <w:rPr>
          <w:rFonts w:asciiTheme="minorHAnsi" w:hAnsiTheme="minorHAnsi" w:cstheme="minorHAnsi"/>
        </w:rPr>
        <w:t xml:space="preserve"> 60 Day Federal Register Notice </w:t>
      </w:r>
    </w:p>
    <w:p w:rsidR="00283BDA" w:rsidRDefault="00283BDA" w:rsidP="00283BDA">
      <w:pPr>
        <w:spacing w:after="0" w:line="240" w:lineRule="auto"/>
        <w:rPr>
          <w:rFonts w:asciiTheme="minorHAnsi" w:hAnsiTheme="minorHAnsi" w:cstheme="minorHAnsi"/>
        </w:rPr>
      </w:pPr>
      <w:r>
        <w:rPr>
          <w:rFonts w:asciiTheme="minorHAnsi" w:hAnsiTheme="minorHAnsi" w:cstheme="minorHAnsi"/>
        </w:rPr>
        <w:t xml:space="preserve">  </w:t>
      </w:r>
    </w:p>
    <w:p w:rsidR="00283BDA" w:rsidRDefault="00283BDA" w:rsidP="00283BDA">
      <w:pPr>
        <w:numPr>
          <w:ilvl w:val="0"/>
          <w:numId w:val="2"/>
        </w:numPr>
        <w:spacing w:after="0" w:line="240" w:lineRule="auto"/>
        <w:rPr>
          <w:rFonts w:asciiTheme="minorHAnsi" w:hAnsiTheme="minorHAnsi" w:cstheme="minorHAnsi"/>
        </w:rPr>
      </w:pPr>
      <w:r>
        <w:rPr>
          <w:rFonts w:asciiTheme="minorHAnsi" w:hAnsiTheme="minorHAnsi" w:cstheme="minorHAnsi"/>
        </w:rPr>
        <w:t xml:space="preserve">  Data Use Agreements</w:t>
      </w:r>
    </w:p>
    <w:p w:rsidR="00283BDA" w:rsidRDefault="00283BDA" w:rsidP="00283BDA">
      <w:pPr>
        <w:pStyle w:val="ListParagraph"/>
        <w:numPr>
          <w:ilvl w:val="1"/>
          <w:numId w:val="2"/>
        </w:numPr>
        <w:spacing w:after="0" w:line="240" w:lineRule="auto"/>
        <w:rPr>
          <w:rFonts w:asciiTheme="minorHAnsi" w:hAnsiTheme="minorHAnsi" w:cstheme="minorHAnsi"/>
        </w:rPr>
      </w:pPr>
      <w:r>
        <w:rPr>
          <w:rFonts w:asciiTheme="minorHAnsi" w:hAnsiTheme="minorHAnsi" w:cstheme="minorHAnsi"/>
        </w:rPr>
        <w:t>Agreement between CDC and MPHI</w:t>
      </w:r>
    </w:p>
    <w:p w:rsidR="00283BDA" w:rsidRDefault="00283BDA" w:rsidP="00283BDA">
      <w:pPr>
        <w:pStyle w:val="ListParagraph"/>
        <w:numPr>
          <w:ilvl w:val="1"/>
          <w:numId w:val="2"/>
        </w:numPr>
        <w:spacing w:after="0" w:line="240" w:lineRule="auto"/>
        <w:rPr>
          <w:rFonts w:asciiTheme="minorHAnsi" w:hAnsiTheme="minorHAnsi" w:cstheme="minorHAnsi"/>
        </w:rPr>
      </w:pPr>
      <w:r>
        <w:rPr>
          <w:rFonts w:asciiTheme="minorHAnsi" w:hAnsiTheme="minorHAnsi" w:cstheme="minorHAnsi"/>
        </w:rPr>
        <w:t>Agreement between CDC and state/jurisdiction awardees</w:t>
      </w:r>
    </w:p>
    <w:p w:rsidR="00283BDA" w:rsidRDefault="00283BDA" w:rsidP="00283BDA">
      <w:pPr>
        <w:pStyle w:val="ListParagraph"/>
        <w:numPr>
          <w:ilvl w:val="0"/>
          <w:numId w:val="2"/>
        </w:numPr>
        <w:spacing w:after="0" w:line="240" w:lineRule="auto"/>
        <w:rPr>
          <w:rFonts w:asciiTheme="minorHAnsi" w:hAnsiTheme="minorHAnsi" w:cstheme="minorHAnsi"/>
        </w:rPr>
      </w:pPr>
      <w:r>
        <w:rPr>
          <w:rFonts w:asciiTheme="minorHAnsi" w:hAnsiTheme="minorHAnsi" w:cstheme="minorHAnsi"/>
        </w:rPr>
        <w:t xml:space="preserve">  Data Security Policy documents</w:t>
      </w:r>
    </w:p>
    <w:p w:rsidR="00283BDA" w:rsidRDefault="00283BDA" w:rsidP="00283BDA">
      <w:pPr>
        <w:numPr>
          <w:ilvl w:val="1"/>
          <w:numId w:val="2"/>
        </w:numPr>
        <w:spacing w:after="0" w:line="240" w:lineRule="auto"/>
        <w:rPr>
          <w:rFonts w:asciiTheme="minorHAnsi" w:hAnsiTheme="minorHAnsi" w:cstheme="minorHAnsi"/>
        </w:rPr>
      </w:pPr>
      <w:r>
        <w:rPr>
          <w:rFonts w:asciiTheme="minorHAnsi" w:hAnsiTheme="minorHAnsi" w:cstheme="minorHAnsi"/>
        </w:rPr>
        <w:t>MPHI Security Policy</w:t>
      </w:r>
    </w:p>
    <w:p w:rsidR="00283BDA" w:rsidRDefault="00283BDA" w:rsidP="00283BDA">
      <w:pPr>
        <w:numPr>
          <w:ilvl w:val="1"/>
          <w:numId w:val="2"/>
        </w:numPr>
        <w:spacing w:after="0" w:line="240" w:lineRule="auto"/>
        <w:rPr>
          <w:rFonts w:asciiTheme="minorHAnsi" w:hAnsiTheme="minorHAnsi" w:cstheme="minorHAnsi"/>
        </w:rPr>
      </w:pPr>
      <w:r>
        <w:rPr>
          <w:rFonts w:asciiTheme="minorHAnsi" w:hAnsiTheme="minorHAnsi" w:cstheme="minorHAnsi"/>
        </w:rPr>
        <w:t>NCFRP Child Death Review – Case Reporting System Security Information</w:t>
      </w:r>
    </w:p>
    <w:p w:rsidR="00283BDA" w:rsidRDefault="00283BDA" w:rsidP="00283BDA">
      <w:pPr>
        <w:numPr>
          <w:ilvl w:val="0"/>
          <w:numId w:val="2"/>
        </w:numPr>
        <w:spacing w:after="0" w:line="240" w:lineRule="auto"/>
        <w:rPr>
          <w:rFonts w:asciiTheme="minorHAnsi" w:hAnsiTheme="minorHAnsi" w:cstheme="minorHAnsi"/>
          <w:color w:val="000000" w:themeColor="text1"/>
        </w:rPr>
      </w:pPr>
      <w:r>
        <w:rPr>
          <w:rFonts w:asciiTheme="minorHAnsi" w:hAnsiTheme="minorHAnsi" w:cstheme="minorHAnsi"/>
        </w:rPr>
        <w:t xml:space="preserve">Institutional </w:t>
      </w:r>
      <w:r>
        <w:rPr>
          <w:rFonts w:asciiTheme="minorHAnsi" w:hAnsiTheme="minorHAnsi" w:cstheme="minorHAnsi"/>
          <w:color w:val="000000" w:themeColor="text1"/>
        </w:rPr>
        <w:t xml:space="preserve">Request for Determination of Research Status </w:t>
      </w:r>
    </w:p>
    <w:p w:rsidR="00283BDA" w:rsidRDefault="00283BDA" w:rsidP="00283BDA">
      <w:pPr>
        <w:pStyle w:val="ListParagraph"/>
        <w:numPr>
          <w:ilvl w:val="0"/>
          <w:numId w:val="2"/>
        </w:numPr>
        <w:spacing w:after="0" w:line="240" w:lineRule="auto"/>
        <w:rPr>
          <w:rFonts w:asciiTheme="minorHAnsi" w:hAnsiTheme="minorHAnsi" w:cstheme="minorHAnsi"/>
        </w:rPr>
      </w:pPr>
      <w:r>
        <w:rPr>
          <w:rFonts w:asciiTheme="minorHAnsi" w:hAnsiTheme="minorHAnsi" w:cstheme="minorHAnsi"/>
        </w:rPr>
        <w:t>SDY awardees and expected number of cases</w:t>
      </w:r>
    </w:p>
    <w:p w:rsidR="00283BDA" w:rsidRDefault="00283BDA" w:rsidP="00283BDA">
      <w:pPr>
        <w:numPr>
          <w:ilvl w:val="0"/>
          <w:numId w:val="2"/>
        </w:numPr>
        <w:spacing w:after="0" w:line="240" w:lineRule="auto"/>
        <w:rPr>
          <w:rFonts w:asciiTheme="minorHAnsi" w:hAnsiTheme="minorHAnsi" w:cstheme="minorHAnsi"/>
        </w:rPr>
      </w:pPr>
      <w:r>
        <w:rPr>
          <w:rFonts w:asciiTheme="minorHAnsi" w:hAnsiTheme="minorHAnsi" w:cstheme="minorHAnsi"/>
        </w:rPr>
        <w:t>Data Collection Tools</w:t>
      </w:r>
    </w:p>
    <w:p w:rsidR="00283BDA" w:rsidRDefault="00283BDA" w:rsidP="00283BDA">
      <w:pPr>
        <w:numPr>
          <w:ilvl w:val="1"/>
          <w:numId w:val="2"/>
        </w:numPr>
        <w:spacing w:after="0" w:line="240" w:lineRule="auto"/>
        <w:rPr>
          <w:rFonts w:asciiTheme="minorHAnsi" w:hAnsiTheme="minorHAnsi" w:cstheme="minorHAnsi"/>
        </w:rPr>
      </w:pPr>
      <w:r>
        <w:rPr>
          <w:rFonts w:asciiTheme="minorHAnsi" w:hAnsiTheme="minorHAnsi" w:cstheme="minorHAnsi"/>
        </w:rPr>
        <w:t>SDY Module Section I</w:t>
      </w:r>
    </w:p>
    <w:p w:rsidR="00283BDA" w:rsidRDefault="00283BDA" w:rsidP="00283BDA">
      <w:pPr>
        <w:pStyle w:val="ListParagraph"/>
        <w:numPr>
          <w:ilvl w:val="1"/>
          <w:numId w:val="2"/>
        </w:numPr>
        <w:spacing w:after="0" w:line="240" w:lineRule="auto"/>
        <w:rPr>
          <w:rFonts w:asciiTheme="minorHAnsi" w:hAnsiTheme="minorHAnsi" w:cstheme="minorHAnsi"/>
        </w:rPr>
      </w:pPr>
      <w:r>
        <w:rPr>
          <w:rFonts w:asciiTheme="minorHAnsi" w:hAnsiTheme="minorHAnsi" w:cstheme="minorHAnsi"/>
        </w:rPr>
        <w:t>Advanced Review Discussion Topics</w:t>
      </w:r>
    </w:p>
    <w:p w:rsidR="00283BDA" w:rsidRDefault="00283BDA" w:rsidP="00283BDA">
      <w:pPr>
        <w:numPr>
          <w:ilvl w:val="1"/>
          <w:numId w:val="2"/>
        </w:numPr>
        <w:spacing w:after="0" w:line="240" w:lineRule="auto"/>
        <w:rPr>
          <w:rFonts w:asciiTheme="minorHAnsi" w:hAnsiTheme="minorHAnsi" w:cstheme="minorHAnsi"/>
        </w:rPr>
      </w:pPr>
      <w:r>
        <w:rPr>
          <w:rFonts w:asciiTheme="minorHAnsi" w:hAnsiTheme="minorHAnsi" w:cstheme="minorHAnsi"/>
        </w:rPr>
        <w:t>SDY Module Section N</w:t>
      </w:r>
    </w:p>
    <w:p w:rsidR="000E141F" w:rsidRDefault="00665228">
      <w:pPr>
        <w:rPr>
          <w:sz w:val="24"/>
          <w:szCs w:val="24"/>
        </w:rPr>
      </w:pPr>
      <w:r>
        <w:rPr>
          <w:sz w:val="24"/>
          <w:szCs w:val="24"/>
        </w:rPr>
        <w:br w:type="page"/>
      </w:r>
    </w:p>
    <w:p w:rsidR="000E141F" w:rsidRDefault="000E141F">
      <w:pPr>
        <w:spacing w:line="240" w:lineRule="auto"/>
        <w:rPr>
          <w:sz w:val="24"/>
          <w:szCs w:val="24"/>
        </w:rPr>
      </w:pPr>
    </w:p>
    <w:p w:rsidR="000E141F" w:rsidRDefault="00665228">
      <w:pPr>
        <w:tabs>
          <w:tab w:val="left" w:pos="630"/>
        </w:tabs>
        <w:spacing w:line="240" w:lineRule="auto"/>
        <w:jc w:val="center"/>
        <w:rPr>
          <w:rFonts w:cs="Calibri"/>
          <w:b/>
          <w:sz w:val="28"/>
          <w:szCs w:val="28"/>
        </w:rPr>
      </w:pPr>
      <w:r>
        <w:rPr>
          <w:rFonts w:cs="Calibri"/>
          <w:b/>
          <w:sz w:val="28"/>
          <w:szCs w:val="28"/>
        </w:rPr>
        <w:t>Supporting Statement B</w:t>
      </w:r>
    </w:p>
    <w:p w:rsidR="000E141F" w:rsidRDefault="00665228">
      <w:pPr>
        <w:pStyle w:val="Heading2"/>
        <w:rPr>
          <w:rStyle w:val="Strong"/>
          <w:rFonts w:asciiTheme="minorHAnsi" w:hAnsiTheme="minorHAnsi" w:cstheme="minorHAnsi"/>
          <w:bCs w:val="0"/>
          <w:color w:val="000000" w:themeColor="text1"/>
          <w:sz w:val="22"/>
          <w:szCs w:val="22"/>
        </w:rPr>
      </w:pPr>
      <w:bookmarkStart w:id="1" w:name="_Toc520118182"/>
      <w:r>
        <w:rPr>
          <w:rStyle w:val="Strong"/>
          <w:rFonts w:asciiTheme="minorHAnsi" w:hAnsiTheme="minorHAnsi" w:cstheme="minorHAnsi"/>
          <w:bCs w:val="0"/>
          <w:color w:val="000000" w:themeColor="text1"/>
          <w:sz w:val="22"/>
          <w:szCs w:val="22"/>
        </w:rPr>
        <w:t>Collection of Information Employing Statistical Methods</w:t>
      </w:r>
      <w:bookmarkEnd w:id="1"/>
    </w:p>
    <w:p w:rsidR="000E141F" w:rsidRDefault="000E141F">
      <w:pPr>
        <w:widowControl w:val="0"/>
        <w:autoSpaceDE w:val="0"/>
        <w:autoSpaceDN w:val="0"/>
        <w:adjustRightInd w:val="0"/>
        <w:spacing w:after="0" w:line="240" w:lineRule="auto"/>
        <w:rPr>
          <w:rFonts w:eastAsia="Times New Roman"/>
        </w:rPr>
      </w:pPr>
    </w:p>
    <w:p w:rsidR="000E141F" w:rsidRDefault="00665228">
      <w:pPr>
        <w:pStyle w:val="Heading2"/>
        <w:rPr>
          <w:rFonts w:asciiTheme="minorHAnsi" w:hAnsiTheme="minorHAnsi" w:cstheme="minorHAnsi"/>
          <w:b/>
          <w:color w:val="000000" w:themeColor="text1"/>
          <w:sz w:val="22"/>
          <w:szCs w:val="22"/>
        </w:rPr>
      </w:pPr>
      <w:bookmarkStart w:id="2" w:name="_Toc520118183"/>
      <w:r>
        <w:rPr>
          <w:rFonts w:asciiTheme="minorHAnsi" w:hAnsiTheme="minorHAnsi" w:cstheme="minorHAnsi"/>
          <w:b/>
          <w:color w:val="000000" w:themeColor="text1"/>
          <w:sz w:val="22"/>
          <w:szCs w:val="22"/>
        </w:rPr>
        <w:t>1.</w:t>
      </w:r>
      <w:r>
        <w:rPr>
          <w:rFonts w:asciiTheme="minorHAnsi" w:hAnsiTheme="minorHAnsi" w:cstheme="minorHAnsi"/>
          <w:b/>
          <w:color w:val="000000" w:themeColor="text1"/>
          <w:sz w:val="22"/>
          <w:szCs w:val="22"/>
        </w:rPr>
        <w:tab/>
        <w:t>Respondent Universe and Sampling Methods</w:t>
      </w:r>
      <w:bookmarkEnd w:id="2"/>
    </w:p>
    <w:p w:rsidR="000E141F" w:rsidRDefault="00E44DD3">
      <w:pPr>
        <w:widowControl w:val="0"/>
        <w:autoSpaceDE w:val="0"/>
        <w:autoSpaceDN w:val="0"/>
        <w:adjustRightInd w:val="0"/>
        <w:spacing w:after="0" w:line="240" w:lineRule="auto"/>
        <w:rPr>
          <w:i/>
        </w:rPr>
      </w:pPr>
      <w:r>
        <w:rPr>
          <w:rFonts w:eastAsia="Times New Roman"/>
        </w:rPr>
        <w:t>Surveillance</w:t>
      </w:r>
      <w:r w:rsidR="00665228">
        <w:rPr>
          <w:rFonts w:eastAsia="Times New Roman"/>
        </w:rPr>
        <w:t xml:space="preserve"> of </w:t>
      </w:r>
      <w:r>
        <w:rPr>
          <w:rFonts w:eastAsia="Times New Roman"/>
        </w:rPr>
        <w:t>a census (</w:t>
      </w:r>
      <w:r w:rsidR="00665228">
        <w:rPr>
          <w:rFonts w:eastAsia="Times New Roman"/>
        </w:rPr>
        <w:t>all</w:t>
      </w:r>
      <w:r>
        <w:rPr>
          <w:rFonts w:eastAsia="Times New Roman"/>
        </w:rPr>
        <w:t>)</w:t>
      </w:r>
      <w:r w:rsidR="00665228">
        <w:rPr>
          <w:rFonts w:eastAsia="Times New Roman"/>
        </w:rPr>
        <w:t xml:space="preserve"> sudden deaths in the young (0-19 years old) within 14 awardee jurisdictions is being sought; thus no sampling methods will be employed. The </w:t>
      </w:r>
      <w:r w:rsidR="00665228">
        <w:t xml:space="preserve">anticipated number of SDY cases each year </w:t>
      </w:r>
      <w:r w:rsidR="00E046EE">
        <w:t>(</w:t>
      </w:r>
      <w:r w:rsidR="009701D2">
        <w:t>739</w:t>
      </w:r>
      <w:r w:rsidR="00E046EE">
        <w:t xml:space="preserve">) </w:t>
      </w:r>
      <w:r w:rsidR="00665228">
        <w:t xml:space="preserve">was derived using </w:t>
      </w:r>
      <w:hyperlink r:id="rId10" w:history="1">
        <w:r w:rsidR="00665228">
          <w:rPr>
            <w:rStyle w:val="Hyperlink"/>
          </w:rPr>
          <w:t>CDC Wonder</w:t>
        </w:r>
      </w:hyperlink>
      <w:r w:rsidR="00665228">
        <w:rPr>
          <w:rStyle w:val="FootnoteReference"/>
          <w:color w:val="0000FF"/>
          <w:u w:val="single"/>
        </w:rPr>
        <w:footnoteReference w:id="1"/>
      </w:r>
      <w:r w:rsidR="00665228">
        <w:t xml:space="preserve"> data (2012-16) </w:t>
      </w:r>
      <w:r w:rsidR="009E11EB">
        <w:t xml:space="preserve">to calculate </w:t>
      </w:r>
      <w:r w:rsidR="00665228">
        <w:t>the</w:t>
      </w:r>
      <w:r w:rsidR="009E11EB">
        <w:t xml:space="preserve"> approximate estimated</w:t>
      </w:r>
      <w:r w:rsidR="00665228">
        <w:t xml:space="preserve"> incidence of SDY (</w:t>
      </w:r>
      <w:r w:rsidR="00665228">
        <w:rPr>
          <w:b/>
          <w:color w:val="000000" w:themeColor="text1"/>
        </w:rPr>
        <w:t>Attachment 6</w:t>
      </w:r>
      <w:r w:rsidR="00665228">
        <w:t xml:space="preserve">). CDC Wonder is an online database for the analysis of public health data. </w:t>
      </w:r>
      <w:r w:rsidR="00735866">
        <w:t xml:space="preserve">An estimated </w:t>
      </w:r>
      <w:r>
        <w:t xml:space="preserve">739 SDY cases will have data entry completed on the SDY Module. </w:t>
      </w:r>
      <w:r w:rsidR="00933F10">
        <w:t>Using data from CDC’s first SDY Case Registry funding cycle (2015-2018) w</w:t>
      </w:r>
      <w:r w:rsidR="00665228">
        <w:t>e also estimated the number of SDY cases that</w:t>
      </w:r>
      <w:r w:rsidR="009E11EB">
        <w:t xml:space="preserve"> will</w:t>
      </w:r>
      <w:r w:rsidR="00665228">
        <w:t xml:space="preserve"> meet eligibility criteria for advanced review and </w:t>
      </w:r>
      <w:r w:rsidR="009E11EB">
        <w:t xml:space="preserve">be </w:t>
      </w:r>
      <w:r w:rsidR="00665228">
        <w:t xml:space="preserve">required to undergo review at an advanced review meeting. Per our assessment, approximately 50% of all SDY cases, or 370 cases </w:t>
      </w:r>
      <w:r w:rsidR="009701D2">
        <w:t xml:space="preserve">will </w:t>
      </w:r>
      <w:r w:rsidR="00665228">
        <w:t xml:space="preserve">continue on to </w:t>
      </w:r>
      <w:r w:rsidR="009701D2">
        <w:t xml:space="preserve">the </w:t>
      </w:r>
      <w:r w:rsidR="00665228">
        <w:t>advanced review</w:t>
      </w:r>
      <w:r w:rsidR="009701D2">
        <w:t xml:space="preserve"> process</w:t>
      </w:r>
      <w:r w:rsidR="00665228">
        <w:t xml:space="preserve"> each year.</w:t>
      </w:r>
      <w:r w:rsidR="00123DDC">
        <w:t xml:space="preserve"> </w:t>
      </w:r>
    </w:p>
    <w:p w:rsidR="000E141F" w:rsidRDefault="000E141F">
      <w:pPr>
        <w:widowControl w:val="0"/>
        <w:autoSpaceDE w:val="0"/>
        <w:autoSpaceDN w:val="0"/>
        <w:adjustRightInd w:val="0"/>
        <w:spacing w:after="0" w:line="240" w:lineRule="auto"/>
        <w:rPr>
          <w:rFonts w:eastAsia="Times New Roman"/>
        </w:rPr>
      </w:pPr>
    </w:p>
    <w:p w:rsidR="000E141F" w:rsidRDefault="00665228">
      <w:pPr>
        <w:pStyle w:val="Heading2"/>
        <w:rPr>
          <w:rFonts w:asciiTheme="minorHAnsi" w:hAnsiTheme="minorHAnsi" w:cstheme="minorHAnsi"/>
          <w:b/>
          <w:color w:val="000000" w:themeColor="text1"/>
          <w:sz w:val="22"/>
          <w:szCs w:val="22"/>
        </w:rPr>
      </w:pPr>
      <w:bookmarkStart w:id="3" w:name="_Toc520118184"/>
      <w:r>
        <w:rPr>
          <w:rFonts w:asciiTheme="minorHAnsi" w:hAnsiTheme="minorHAnsi" w:cstheme="minorHAnsi"/>
          <w:b/>
          <w:color w:val="000000" w:themeColor="text1"/>
          <w:sz w:val="22"/>
          <w:szCs w:val="22"/>
        </w:rPr>
        <w:t>2.</w:t>
      </w:r>
      <w:r>
        <w:rPr>
          <w:rFonts w:asciiTheme="minorHAnsi" w:hAnsiTheme="minorHAnsi" w:cstheme="minorHAnsi"/>
          <w:b/>
          <w:color w:val="000000" w:themeColor="text1"/>
          <w:sz w:val="22"/>
          <w:szCs w:val="22"/>
        </w:rPr>
        <w:tab/>
        <w:t>Procedures for the Collection of Information</w:t>
      </w:r>
      <w:bookmarkEnd w:id="3"/>
    </w:p>
    <w:p w:rsidR="000E141F" w:rsidRDefault="00665228">
      <w:pPr>
        <w:keepNext/>
        <w:keepLines/>
        <w:widowControl w:val="0"/>
        <w:autoSpaceDE w:val="0"/>
        <w:autoSpaceDN w:val="0"/>
        <w:adjustRightInd w:val="0"/>
        <w:spacing w:after="0" w:line="240" w:lineRule="auto"/>
        <w:rPr>
          <w:rFonts w:eastAsia="Times New Roman"/>
        </w:rPr>
      </w:pPr>
      <w:r>
        <w:rPr>
          <w:rFonts w:eastAsia="Times New Roman"/>
        </w:rPr>
        <w:t xml:space="preserve">Through their existing </w:t>
      </w:r>
      <w:r w:rsidR="009701D2">
        <w:rPr>
          <w:rFonts w:eastAsia="Times New Roman"/>
        </w:rPr>
        <w:t>c</w:t>
      </w:r>
      <w:r>
        <w:rPr>
          <w:rFonts w:eastAsia="Times New Roman"/>
        </w:rPr>
        <w:t xml:space="preserve">hild </w:t>
      </w:r>
      <w:r w:rsidR="009701D2">
        <w:rPr>
          <w:rFonts w:eastAsia="Times New Roman"/>
        </w:rPr>
        <w:t>d</w:t>
      </w:r>
      <w:r>
        <w:rPr>
          <w:rFonts w:eastAsia="Times New Roman"/>
        </w:rPr>
        <w:t xml:space="preserve">eath </w:t>
      </w:r>
      <w:r w:rsidR="009701D2">
        <w:rPr>
          <w:rFonts w:eastAsia="Times New Roman"/>
        </w:rPr>
        <w:t>r</w:t>
      </w:r>
      <w:r>
        <w:rPr>
          <w:rFonts w:eastAsia="Times New Roman"/>
        </w:rPr>
        <w:t xml:space="preserve">eview (CDR) programs, awardees will compile data </w:t>
      </w:r>
      <w:r w:rsidR="009E11EB">
        <w:rPr>
          <w:rFonts w:eastAsia="Times New Roman"/>
        </w:rPr>
        <w:t xml:space="preserve">for 739 SDY cases </w:t>
      </w:r>
      <w:r>
        <w:rPr>
          <w:rFonts w:eastAsia="Times New Roman"/>
        </w:rPr>
        <w:t>on a defined set of SDY questions and enter them into the existing</w:t>
      </w:r>
      <w:r w:rsidR="009701D2">
        <w:rPr>
          <w:rFonts w:eastAsia="Times New Roman"/>
        </w:rPr>
        <w:t xml:space="preserve"> </w:t>
      </w:r>
      <w:r>
        <w:rPr>
          <w:rFonts w:eastAsia="Times New Roman"/>
        </w:rPr>
        <w:t xml:space="preserve">SDY module that is part of a larger </w:t>
      </w:r>
      <w:r w:rsidR="006B7C9F">
        <w:rPr>
          <w:rFonts w:eastAsia="Times New Roman"/>
        </w:rPr>
        <w:t>National Fatality Review-</w:t>
      </w:r>
      <w:r>
        <w:rPr>
          <w:rFonts w:eastAsia="Times New Roman"/>
        </w:rPr>
        <w:t>Case Reporting System (</w:t>
      </w:r>
      <w:r w:rsidR="006B7C9F">
        <w:rPr>
          <w:rFonts w:eastAsia="Times New Roman"/>
        </w:rPr>
        <w:t>NFR-</w:t>
      </w:r>
      <w:r>
        <w:rPr>
          <w:rFonts w:eastAsia="Times New Roman"/>
        </w:rPr>
        <w:t>CRS) run through the Michigan Public Health Institute’s (MPHI) National Center for Fatality Review and Prevention (NCFRP) program.</w:t>
      </w:r>
      <w:r w:rsidR="00123DDC" w:rsidRPr="00123DDC">
        <w:rPr>
          <w:rFonts w:eastAsia="Times New Roman"/>
        </w:rPr>
        <w:t xml:space="preserve"> </w:t>
      </w:r>
      <w:r w:rsidR="00E44DD3">
        <w:t>The enhanced SDY modules I and N</w:t>
      </w:r>
      <w:r w:rsidR="00E44DD3" w:rsidRPr="00C30B7A">
        <w:rPr>
          <w:rFonts w:eastAsia="Times New Roman"/>
        </w:rPr>
        <w:t xml:space="preserve"> </w:t>
      </w:r>
      <w:r w:rsidR="00E44DD3" w:rsidRPr="00C30B7A">
        <w:t>(</w:t>
      </w:r>
      <w:r w:rsidR="00E44DD3" w:rsidRPr="00C30B7A">
        <w:rPr>
          <w:b/>
        </w:rPr>
        <w:t xml:space="preserve">Attachments </w:t>
      </w:r>
      <w:r w:rsidR="00E44DD3">
        <w:rPr>
          <w:b/>
        </w:rPr>
        <w:t>7a and 7c</w:t>
      </w:r>
      <w:r w:rsidR="00E44DD3" w:rsidRPr="00C30B7A">
        <w:t>)</w:t>
      </w:r>
      <w:r w:rsidR="00E44DD3">
        <w:t>, which contain approximately 70 variables, will be completed for each case</w:t>
      </w:r>
      <w:r w:rsidR="00BF2533">
        <w:t xml:space="preserve">, yet </w:t>
      </w:r>
      <w:r w:rsidR="00BF2533">
        <w:rPr>
          <w:rFonts w:eastAsia="Times New Roman"/>
        </w:rPr>
        <w:t>not every variable will apply to every case.</w:t>
      </w:r>
      <w:r w:rsidR="00E44DD3">
        <w:t xml:space="preserve">. </w:t>
      </w:r>
      <w:r w:rsidR="00123DDC">
        <w:rPr>
          <w:rFonts w:eastAsia="Times New Roman"/>
        </w:rPr>
        <w:t>Data will be abstracted from primary data sources, including medical examiner/coroner reports, death investigation reports, medical records, and child protective services records.</w:t>
      </w:r>
      <w:r>
        <w:rPr>
          <w:rFonts w:eastAsia="Times New Roman"/>
        </w:rPr>
        <w:t xml:space="preserve"> </w:t>
      </w:r>
      <w:r w:rsidR="00123DDC">
        <w:rPr>
          <w:rFonts w:eastAsia="Times New Roman"/>
        </w:rPr>
        <w:t>For 370 of these cases</w:t>
      </w:r>
      <w:r w:rsidR="009E11EB">
        <w:rPr>
          <w:rFonts w:eastAsia="Times New Roman"/>
        </w:rPr>
        <w:t>,</w:t>
      </w:r>
      <w:r w:rsidR="00123DDC">
        <w:rPr>
          <w:rFonts w:eastAsia="Times New Roman"/>
        </w:rPr>
        <w:t xml:space="preserve"> a</w:t>
      </w:r>
      <w:r>
        <w:rPr>
          <w:rFonts w:eastAsia="Times New Roman"/>
        </w:rPr>
        <w:t xml:space="preserve">wardee jurisdictions will also convene an advanced review team with relevant clinical expertise, including state health personnel, pediatric cardiologists, pediatric neurologists or epileptologists, and forensic pathologists.  </w:t>
      </w:r>
      <w:r w:rsidR="006B7C9F">
        <w:rPr>
          <w:rFonts w:eastAsia="Times New Roman"/>
        </w:rPr>
        <w:t xml:space="preserve">This advanced review team will </w:t>
      </w:r>
      <w:r w:rsidR="006B7C9F" w:rsidRPr="006B7C9F">
        <w:rPr>
          <w:rFonts w:eastAsia="Times New Roman"/>
        </w:rPr>
        <w:t>comprehensively review information from multiple data sources, discuss the information and use the information to classify cases according to a standardized algorithm that differentiates causes</w:t>
      </w:r>
      <w:r w:rsidR="00E44DD3">
        <w:rPr>
          <w:rFonts w:eastAsia="Times New Roman"/>
        </w:rPr>
        <w:t xml:space="preserve"> (</w:t>
      </w:r>
      <w:r w:rsidR="00E44DD3" w:rsidRPr="00BF2533">
        <w:rPr>
          <w:rFonts w:eastAsia="Times New Roman"/>
          <w:b/>
        </w:rPr>
        <w:t>Attachments 7b</w:t>
      </w:r>
      <w:r w:rsidR="00E44DD3">
        <w:rPr>
          <w:rFonts w:eastAsia="Times New Roman"/>
        </w:rPr>
        <w:t>)</w:t>
      </w:r>
      <w:r w:rsidR="006B7C9F" w:rsidRPr="006B7C9F">
        <w:rPr>
          <w:rFonts w:eastAsia="Times New Roman"/>
        </w:rPr>
        <w:t>.</w:t>
      </w:r>
      <w:r w:rsidR="006B7C9F">
        <w:rPr>
          <w:rFonts w:eastAsia="Times New Roman"/>
        </w:rPr>
        <w:t xml:space="preserve"> </w:t>
      </w:r>
      <w:r>
        <w:rPr>
          <w:rFonts w:eastAsia="Times New Roman"/>
        </w:rPr>
        <w:t xml:space="preserve">Additional information from these advanced case reviews will be </w:t>
      </w:r>
      <w:r w:rsidR="00123DDC">
        <w:rPr>
          <w:rFonts w:eastAsia="Times New Roman"/>
        </w:rPr>
        <w:t>added to</w:t>
      </w:r>
      <w:r>
        <w:rPr>
          <w:rFonts w:eastAsia="Times New Roman"/>
        </w:rPr>
        <w:t xml:space="preserve"> the SDY module</w:t>
      </w:r>
      <w:r w:rsidR="00BF2533">
        <w:rPr>
          <w:rFonts w:eastAsia="Times New Roman"/>
        </w:rPr>
        <w:t xml:space="preserve"> as applicable</w:t>
      </w:r>
      <w:r>
        <w:rPr>
          <w:rFonts w:eastAsia="Times New Roman"/>
        </w:rPr>
        <w:t xml:space="preserve">. Password-controlled access for </w:t>
      </w:r>
      <w:r w:rsidR="006B7C9F">
        <w:rPr>
          <w:rFonts w:eastAsia="Times New Roman"/>
        </w:rPr>
        <w:t>awardees</w:t>
      </w:r>
      <w:r>
        <w:rPr>
          <w:rFonts w:eastAsia="Times New Roman"/>
        </w:rPr>
        <w:t xml:space="preserve"> is administered by the NCFRP per NCFRP’s data security policies and user agreements (</w:t>
      </w:r>
      <w:r>
        <w:rPr>
          <w:rFonts w:eastAsia="Times New Roman"/>
          <w:b/>
        </w:rPr>
        <w:t>Attachments 3</w:t>
      </w:r>
      <w:r w:rsidR="00283BDA">
        <w:rPr>
          <w:rFonts w:eastAsia="Times New Roman"/>
          <w:b/>
        </w:rPr>
        <w:t>a-b</w:t>
      </w:r>
      <w:r>
        <w:rPr>
          <w:rFonts w:eastAsia="Times New Roman"/>
          <w:b/>
        </w:rPr>
        <w:t xml:space="preserve"> and 4</w:t>
      </w:r>
      <w:r w:rsidR="00283BDA">
        <w:rPr>
          <w:rFonts w:eastAsia="Times New Roman"/>
          <w:b/>
        </w:rPr>
        <w:t>a-b</w:t>
      </w:r>
      <w:r>
        <w:rPr>
          <w:rFonts w:eastAsia="Times New Roman"/>
        </w:rPr>
        <w:t xml:space="preserve">). </w:t>
      </w:r>
    </w:p>
    <w:p w:rsidR="000E141F" w:rsidRDefault="000E141F">
      <w:pPr>
        <w:widowControl w:val="0"/>
        <w:tabs>
          <w:tab w:val="left" w:pos="-1440"/>
        </w:tabs>
        <w:autoSpaceDE w:val="0"/>
        <w:autoSpaceDN w:val="0"/>
        <w:adjustRightInd w:val="0"/>
        <w:spacing w:after="0" w:line="240" w:lineRule="auto"/>
        <w:ind w:left="720" w:hanging="720"/>
        <w:rPr>
          <w:rFonts w:eastAsia="Times New Roman"/>
        </w:rPr>
      </w:pPr>
    </w:p>
    <w:p w:rsidR="000E141F" w:rsidRDefault="00665228">
      <w:pPr>
        <w:pStyle w:val="Heading2"/>
        <w:rPr>
          <w:rFonts w:asciiTheme="minorHAnsi" w:hAnsiTheme="minorHAnsi" w:cstheme="minorHAnsi"/>
          <w:b/>
          <w:color w:val="000000" w:themeColor="text1"/>
          <w:sz w:val="22"/>
          <w:szCs w:val="22"/>
        </w:rPr>
      </w:pPr>
      <w:bookmarkStart w:id="4" w:name="_Toc520118185"/>
      <w:r>
        <w:rPr>
          <w:rFonts w:asciiTheme="minorHAnsi" w:hAnsiTheme="minorHAnsi" w:cstheme="minorHAnsi"/>
          <w:b/>
          <w:color w:val="000000" w:themeColor="text1"/>
          <w:sz w:val="22"/>
          <w:szCs w:val="22"/>
        </w:rPr>
        <w:t>3.</w:t>
      </w:r>
      <w:r>
        <w:rPr>
          <w:rFonts w:asciiTheme="minorHAnsi" w:hAnsiTheme="minorHAnsi" w:cstheme="minorHAnsi"/>
          <w:b/>
          <w:color w:val="000000" w:themeColor="text1"/>
          <w:sz w:val="22"/>
          <w:szCs w:val="22"/>
        </w:rPr>
        <w:tab/>
        <w:t>Methods to Maximize Response Rates and Deal with Non-response</w:t>
      </w:r>
      <w:bookmarkEnd w:id="4"/>
    </w:p>
    <w:p w:rsidR="000E141F" w:rsidRDefault="00665228" w:rsidP="00665228">
      <w:pPr>
        <w:widowControl w:val="0"/>
        <w:autoSpaceDE w:val="0"/>
        <w:autoSpaceDN w:val="0"/>
        <w:adjustRightInd w:val="0"/>
        <w:spacing w:after="0" w:line="240" w:lineRule="auto"/>
        <w:rPr>
          <w:rFonts w:eastAsia="Times New Roman"/>
          <w:color w:val="000000"/>
        </w:rPr>
      </w:pPr>
      <w:r>
        <w:rPr>
          <w:rFonts w:eastAsia="Times New Roman"/>
          <w:color w:val="000000"/>
        </w:rPr>
        <w:t>Efforts are made to maximize the response rate</w:t>
      </w:r>
      <w:r w:rsidR="00784DC3">
        <w:rPr>
          <w:rFonts w:eastAsia="Times New Roman"/>
          <w:color w:val="000000"/>
        </w:rPr>
        <w:t xml:space="preserve"> as achieving population-level </w:t>
      </w:r>
      <w:r w:rsidR="00741973">
        <w:rPr>
          <w:rFonts w:eastAsia="Times New Roman"/>
          <w:color w:val="000000"/>
        </w:rPr>
        <w:t>representativeness</w:t>
      </w:r>
      <w:r>
        <w:rPr>
          <w:rFonts w:eastAsia="Times New Roman"/>
          <w:color w:val="000000"/>
        </w:rPr>
        <w:t xml:space="preserve"> </w:t>
      </w:r>
      <w:r w:rsidR="00BF2533">
        <w:rPr>
          <w:rFonts w:eastAsia="Times New Roman"/>
          <w:color w:val="000000"/>
        </w:rPr>
        <w:t xml:space="preserve">and data completeness </w:t>
      </w:r>
      <w:r>
        <w:rPr>
          <w:rFonts w:eastAsia="Times New Roman"/>
          <w:color w:val="000000"/>
        </w:rPr>
        <w:t xml:space="preserve">is the primary purpose of this funding. CDC provides guidance to awardees on strategies to minimize missing or unknown responses to SDY variables. These methods include building partnerships with agencies that collect the primary data and providing feedback to these agencies so they might improve the </w:t>
      </w:r>
      <w:r w:rsidR="00FE1E3F">
        <w:rPr>
          <w:rFonts w:eastAsia="Times New Roman"/>
          <w:color w:val="000000"/>
        </w:rPr>
        <w:t>quality of the data</w:t>
      </w:r>
      <w:r>
        <w:rPr>
          <w:rFonts w:eastAsia="Times New Roman"/>
          <w:color w:val="000000"/>
        </w:rPr>
        <w:t>. As outlined in the funding announcement for the cooperative agreement, CDC and the Data Coordinating Center at the Michigan Public Health Institute (MPHI) will provide awardees with a quarterly Data Quality Summary report that will include the frequency of missing and unknown responses that are considered essential to the case definition and classification protocol. This allows CDC and the awardee to track the</w:t>
      </w:r>
      <w:r w:rsidR="00C30B7A">
        <w:rPr>
          <w:rFonts w:eastAsia="Times New Roman"/>
          <w:color w:val="000000"/>
        </w:rPr>
        <w:t xml:space="preserve"> </w:t>
      </w:r>
      <w:r>
        <w:rPr>
          <w:rFonts w:eastAsia="Times New Roman"/>
          <w:color w:val="000000"/>
        </w:rPr>
        <w:t xml:space="preserve">outcome of data improvement strategies and to </w:t>
      </w:r>
      <w:r w:rsidR="00784DC3">
        <w:rPr>
          <w:rFonts w:eastAsia="Times New Roman"/>
          <w:color w:val="000000"/>
        </w:rPr>
        <w:t xml:space="preserve">track </w:t>
      </w:r>
      <w:r>
        <w:rPr>
          <w:rFonts w:eastAsia="Times New Roman"/>
          <w:color w:val="000000"/>
        </w:rPr>
        <w:t>awardees</w:t>
      </w:r>
      <w:r w:rsidR="00784DC3">
        <w:rPr>
          <w:rFonts w:eastAsia="Times New Roman"/>
          <w:color w:val="000000"/>
        </w:rPr>
        <w:t>’</w:t>
      </w:r>
      <w:r>
        <w:rPr>
          <w:rFonts w:eastAsia="Times New Roman"/>
          <w:color w:val="000000"/>
        </w:rPr>
        <w:t xml:space="preserve"> progress over time. The goal is for the </w:t>
      </w:r>
      <w:r w:rsidR="00FE1E3F">
        <w:rPr>
          <w:rFonts w:eastAsia="Times New Roman"/>
          <w:color w:val="000000"/>
        </w:rPr>
        <w:t xml:space="preserve">Registry </w:t>
      </w:r>
      <w:r>
        <w:rPr>
          <w:rFonts w:eastAsia="Times New Roman"/>
          <w:color w:val="000000"/>
        </w:rPr>
        <w:t>to capture complete information from data abstracted from primary sources that will allow states and jurisdictions to calculate accurate and reliable SDY incidence.</w:t>
      </w:r>
    </w:p>
    <w:p w:rsidR="000E141F" w:rsidRDefault="000E141F">
      <w:pPr>
        <w:widowControl w:val="0"/>
        <w:autoSpaceDE w:val="0"/>
        <w:autoSpaceDN w:val="0"/>
        <w:adjustRightInd w:val="0"/>
        <w:spacing w:after="0" w:line="240" w:lineRule="auto"/>
        <w:rPr>
          <w:rFonts w:eastAsia="Times New Roman"/>
          <w:b/>
          <w:bCs/>
          <w:color w:val="000000"/>
        </w:rPr>
      </w:pPr>
    </w:p>
    <w:p w:rsidR="000E141F" w:rsidRDefault="000E141F">
      <w:pPr>
        <w:widowControl w:val="0"/>
        <w:autoSpaceDE w:val="0"/>
        <w:autoSpaceDN w:val="0"/>
        <w:adjustRightInd w:val="0"/>
        <w:spacing w:after="0" w:line="240" w:lineRule="auto"/>
        <w:rPr>
          <w:rFonts w:eastAsia="Times New Roman"/>
          <w:b/>
          <w:bCs/>
          <w:color w:val="000000"/>
        </w:rPr>
      </w:pPr>
    </w:p>
    <w:p w:rsidR="000E141F" w:rsidRDefault="000E141F">
      <w:pPr>
        <w:widowControl w:val="0"/>
        <w:autoSpaceDE w:val="0"/>
        <w:autoSpaceDN w:val="0"/>
        <w:adjustRightInd w:val="0"/>
        <w:spacing w:after="0" w:line="240" w:lineRule="auto"/>
        <w:rPr>
          <w:rFonts w:eastAsia="Times New Roman"/>
          <w:b/>
          <w:bCs/>
          <w:color w:val="000000"/>
        </w:rPr>
      </w:pPr>
    </w:p>
    <w:p w:rsidR="000E141F" w:rsidRDefault="00665228">
      <w:pPr>
        <w:pStyle w:val="Heading2"/>
        <w:rPr>
          <w:rFonts w:asciiTheme="minorHAnsi" w:hAnsiTheme="minorHAnsi" w:cstheme="minorHAnsi"/>
          <w:b/>
          <w:color w:val="000000" w:themeColor="text1"/>
          <w:sz w:val="22"/>
          <w:szCs w:val="22"/>
        </w:rPr>
      </w:pPr>
      <w:bookmarkStart w:id="5" w:name="_Toc520118186"/>
      <w:r>
        <w:rPr>
          <w:rFonts w:asciiTheme="minorHAnsi" w:hAnsiTheme="minorHAnsi" w:cstheme="minorHAnsi"/>
          <w:b/>
          <w:color w:val="000000" w:themeColor="text1"/>
          <w:sz w:val="22"/>
          <w:szCs w:val="22"/>
        </w:rPr>
        <w:t>4.</w:t>
      </w:r>
      <w:r>
        <w:rPr>
          <w:rFonts w:asciiTheme="minorHAnsi" w:hAnsiTheme="minorHAnsi" w:cstheme="minorHAnsi"/>
          <w:b/>
          <w:color w:val="000000" w:themeColor="text1"/>
          <w:sz w:val="22"/>
          <w:szCs w:val="22"/>
        </w:rPr>
        <w:tab/>
        <w:t>Tests of Procedures or Methods to be Undertaken</w:t>
      </w:r>
      <w:bookmarkEnd w:id="5"/>
    </w:p>
    <w:p w:rsidR="000E141F" w:rsidRDefault="00665228">
      <w:pPr>
        <w:widowControl w:val="0"/>
        <w:autoSpaceDE w:val="0"/>
        <w:autoSpaceDN w:val="0"/>
        <w:adjustRightInd w:val="0"/>
        <w:spacing w:after="0" w:line="240" w:lineRule="auto"/>
        <w:rPr>
          <w:rFonts w:eastAsia="Times New Roman"/>
          <w:color w:val="000000"/>
        </w:rPr>
      </w:pPr>
      <w:r>
        <w:rPr>
          <w:rFonts w:eastAsia="Times New Roman"/>
          <w:color w:val="000000"/>
        </w:rPr>
        <w:t xml:space="preserve">This </w:t>
      </w:r>
      <w:r w:rsidR="00BF2533">
        <w:rPr>
          <w:rFonts w:eastAsia="Times New Roman"/>
          <w:color w:val="000000"/>
        </w:rPr>
        <w:t xml:space="preserve">data collection </w:t>
      </w:r>
      <w:r>
        <w:rPr>
          <w:rFonts w:eastAsia="Times New Roman"/>
          <w:color w:val="000000"/>
        </w:rPr>
        <w:t xml:space="preserve">is </w:t>
      </w:r>
      <w:r w:rsidR="00283BDA">
        <w:rPr>
          <w:rFonts w:eastAsia="Times New Roman"/>
          <w:color w:val="000000"/>
        </w:rPr>
        <w:t>a reinstatement</w:t>
      </w:r>
      <w:r>
        <w:rPr>
          <w:rFonts w:eastAsia="Times New Roman"/>
          <w:color w:val="000000"/>
        </w:rPr>
        <w:t xml:space="preserve"> of a previously approved information collection (OMB #0920-1092,</w:t>
      </w:r>
      <w:r>
        <w:t xml:space="preserve"> </w:t>
      </w:r>
      <w:r>
        <w:rPr>
          <w:rFonts w:eastAsia="Times New Roman"/>
          <w:color w:val="000000"/>
        </w:rPr>
        <w:t xml:space="preserve">Expiration 12/31/2018). All of the variables in the SDY module have been used for the last 3 years. </w:t>
      </w:r>
      <w:r w:rsidR="00283BDA">
        <w:rPr>
          <w:rFonts w:asciiTheme="minorHAnsi" w:hAnsiTheme="minorHAnsi" w:cstheme="minorHAnsi"/>
        </w:rPr>
        <w:t xml:space="preserve">While CDC is not proposing any changes to any of the data collection tools, the SDY module, or the advanced review process, CDC has, with experience, been able to:  1) obtain better estimates of the actual numbers of respondents anticipated; 2) obtain more accurate estimates of the amount of time needed to completed the SDY modules; 3) better determine the number of cases that will need to continue to advance review and the types of medical experts that are needed.  </w:t>
      </w:r>
    </w:p>
    <w:p w:rsidR="000E141F" w:rsidRDefault="000E141F">
      <w:pPr>
        <w:widowControl w:val="0"/>
        <w:autoSpaceDE w:val="0"/>
        <w:autoSpaceDN w:val="0"/>
        <w:adjustRightInd w:val="0"/>
        <w:spacing w:after="0" w:line="240" w:lineRule="auto"/>
        <w:rPr>
          <w:rFonts w:eastAsia="Times New Roman"/>
          <w:color w:val="000000"/>
        </w:rPr>
      </w:pPr>
    </w:p>
    <w:p w:rsidR="000E141F" w:rsidRDefault="00665228">
      <w:pPr>
        <w:pStyle w:val="Heading2"/>
        <w:rPr>
          <w:rFonts w:asciiTheme="minorHAnsi" w:hAnsiTheme="minorHAnsi" w:cstheme="minorHAnsi"/>
          <w:b/>
          <w:color w:val="000000" w:themeColor="text1"/>
          <w:sz w:val="22"/>
          <w:szCs w:val="22"/>
        </w:rPr>
      </w:pPr>
      <w:bookmarkStart w:id="6" w:name="_Toc520118187"/>
      <w:r>
        <w:rPr>
          <w:rFonts w:asciiTheme="minorHAnsi" w:hAnsiTheme="minorHAnsi" w:cstheme="minorHAnsi"/>
          <w:b/>
          <w:color w:val="000000" w:themeColor="text1"/>
          <w:sz w:val="22"/>
          <w:szCs w:val="22"/>
        </w:rPr>
        <w:t>5.</w:t>
      </w:r>
      <w:r>
        <w:rPr>
          <w:rFonts w:asciiTheme="minorHAnsi" w:hAnsiTheme="minorHAnsi" w:cstheme="minorHAnsi"/>
          <w:b/>
          <w:color w:val="000000" w:themeColor="text1"/>
          <w:sz w:val="22"/>
          <w:szCs w:val="22"/>
        </w:rPr>
        <w:tab/>
        <w:t>Individuals Consulted on Statistical Aspects and Individuals Collecting and/or Analyzing Data</w:t>
      </w:r>
      <w:bookmarkEnd w:id="6"/>
    </w:p>
    <w:p w:rsidR="000E141F" w:rsidRDefault="00665228">
      <w:pPr>
        <w:widowControl w:val="0"/>
        <w:tabs>
          <w:tab w:val="left" w:pos="-1440"/>
        </w:tabs>
        <w:autoSpaceDE w:val="0"/>
        <w:autoSpaceDN w:val="0"/>
        <w:adjustRightInd w:val="0"/>
        <w:spacing w:after="0" w:line="240" w:lineRule="auto"/>
        <w:ind w:left="720" w:hanging="720"/>
        <w:rPr>
          <w:rFonts w:eastAsia="Times New Roman"/>
          <w:bCs/>
          <w:color w:val="000000"/>
        </w:rPr>
      </w:pPr>
      <w:r>
        <w:rPr>
          <w:rFonts w:eastAsia="Times New Roman"/>
          <w:bCs/>
          <w:color w:val="000000"/>
        </w:rPr>
        <w:t xml:space="preserve">There are no statistical aspects related to the SDY Registry. </w:t>
      </w:r>
    </w:p>
    <w:p w:rsidR="000E141F" w:rsidRDefault="000E141F">
      <w:pPr>
        <w:spacing w:line="240" w:lineRule="auto"/>
        <w:rPr>
          <w:rFonts w:cs="Calibri"/>
        </w:rPr>
      </w:pPr>
    </w:p>
    <w:p w:rsidR="000E141F" w:rsidRDefault="00665228">
      <w:pPr>
        <w:spacing w:line="240" w:lineRule="auto"/>
        <w:rPr>
          <w:rFonts w:eastAsia="Times New Roman"/>
          <w:bCs/>
          <w:color w:val="000000"/>
        </w:rPr>
      </w:pPr>
      <w:r>
        <w:rPr>
          <w:rFonts w:cs="Calibri"/>
        </w:rPr>
        <w:t xml:space="preserve">A number of individuals were consulted on the following: availability of data; frequency of collection; the clarity of instruction and record keeping; disclosure; reporting format; and the data elements to be recorded, disclosed, or reported. </w:t>
      </w:r>
      <w:r>
        <w:t xml:space="preserve">Experts CDC consulted formed the SDY Steering Committee, as listed in the table below.  </w:t>
      </w:r>
    </w:p>
    <w:tbl>
      <w:tblPr>
        <w:tblpPr w:leftFromText="180" w:rightFromText="180" w:vertAnchor="text" w:horzAnchor="margin" w:tblpY="7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748"/>
        <w:gridCol w:w="2026"/>
        <w:gridCol w:w="2391"/>
        <w:gridCol w:w="2572"/>
      </w:tblGrid>
      <w:tr w:rsidR="000E141F">
        <w:tc>
          <w:tcPr>
            <w:tcW w:w="5000" w:type="pct"/>
            <w:gridSpan w:val="5"/>
            <w:shd w:val="clear" w:color="auto" w:fill="F2F2F2"/>
          </w:tcPr>
          <w:p w:rsidR="000E141F" w:rsidRDefault="00665228">
            <w:pPr>
              <w:spacing w:after="0" w:line="240" w:lineRule="auto"/>
              <w:rPr>
                <w:rFonts w:asciiTheme="minorHAnsi" w:hAnsiTheme="minorHAnsi" w:cstheme="minorHAnsi"/>
                <w:b/>
                <w:i/>
                <w:color w:val="000000"/>
              </w:rPr>
            </w:pPr>
            <w:r>
              <w:rPr>
                <w:rFonts w:asciiTheme="minorHAnsi" w:hAnsiTheme="minorHAnsi" w:cstheme="minorHAnsi"/>
                <w:b/>
                <w:i/>
                <w:color w:val="000000"/>
              </w:rPr>
              <w:t>Sudden Death in the Young (SDY) Experts Consulted</w:t>
            </w:r>
          </w:p>
        </w:tc>
      </w:tr>
      <w:tr w:rsidR="000E141F">
        <w:tc>
          <w:tcPr>
            <w:tcW w:w="5000" w:type="pct"/>
            <w:gridSpan w:val="5"/>
            <w:shd w:val="clear" w:color="auto" w:fill="BFBFBF"/>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Biorepository</w:t>
            </w:r>
          </w:p>
        </w:tc>
      </w:tr>
      <w:tr w:rsidR="000E141F">
        <w:tc>
          <w:tcPr>
            <w:tcW w:w="757" w:type="pct"/>
            <w:vAlign w:val="center"/>
          </w:tcPr>
          <w:p w:rsidR="000E141F" w:rsidRDefault="00665228">
            <w:pPr>
              <w:spacing w:after="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Years consulted</w:t>
            </w:r>
          </w:p>
        </w:tc>
        <w:tc>
          <w:tcPr>
            <w:tcW w:w="849" w:type="pct"/>
            <w:shd w:val="clear" w:color="auto" w:fill="auto"/>
            <w:vAlign w:val="center"/>
          </w:tcPr>
          <w:p w:rsidR="000E141F" w:rsidRDefault="00665228">
            <w:pPr>
              <w:spacing w:after="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Name</w:t>
            </w:r>
          </w:p>
        </w:tc>
        <w:tc>
          <w:tcPr>
            <w:tcW w:w="984" w:type="pct"/>
            <w:shd w:val="clear" w:color="auto" w:fill="auto"/>
            <w:vAlign w:val="center"/>
          </w:tcPr>
          <w:p w:rsidR="000E141F" w:rsidRDefault="00665228">
            <w:pPr>
              <w:spacing w:after="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Occupation</w:t>
            </w:r>
          </w:p>
        </w:tc>
        <w:tc>
          <w:tcPr>
            <w:tcW w:w="1161" w:type="pct"/>
            <w:shd w:val="clear" w:color="auto" w:fill="auto"/>
            <w:vAlign w:val="center"/>
          </w:tcPr>
          <w:p w:rsidR="000E141F" w:rsidRDefault="00665228">
            <w:pPr>
              <w:spacing w:after="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Role</w:t>
            </w:r>
          </w:p>
        </w:tc>
        <w:tc>
          <w:tcPr>
            <w:tcW w:w="1249" w:type="pct"/>
            <w:vAlign w:val="center"/>
          </w:tcPr>
          <w:p w:rsidR="000E141F" w:rsidRDefault="00665228">
            <w:pPr>
              <w:spacing w:after="0" w:line="240" w:lineRule="auto"/>
              <w:rPr>
                <w:rFonts w:asciiTheme="minorHAnsi" w:hAnsiTheme="minorHAnsi" w:cstheme="minorHAnsi"/>
                <w:sz w:val="20"/>
                <w:szCs w:val="20"/>
              </w:rPr>
            </w:pPr>
            <w:r>
              <w:rPr>
                <w:rFonts w:asciiTheme="minorHAnsi" w:hAnsiTheme="minorHAnsi" w:cstheme="minorHAnsi"/>
                <w:sz w:val="20"/>
                <w:szCs w:val="20"/>
              </w:rPr>
              <w:t>Contact information</w:t>
            </w:r>
          </w:p>
        </w:tc>
      </w:tr>
      <w:tr w:rsidR="000E141F">
        <w:tc>
          <w:tcPr>
            <w:tcW w:w="757" w:type="pct"/>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2014 - current</w:t>
            </w:r>
          </w:p>
        </w:tc>
        <w:tc>
          <w:tcPr>
            <w:tcW w:w="849" w:type="pct"/>
            <w:shd w:val="clear" w:color="auto" w:fill="auto"/>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Mark Russell</w:t>
            </w:r>
          </w:p>
        </w:tc>
        <w:tc>
          <w:tcPr>
            <w:tcW w:w="984" w:type="pct"/>
            <w:shd w:val="clear" w:color="auto" w:fill="auto"/>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Cardiologist</w:t>
            </w:r>
          </w:p>
        </w:tc>
        <w:tc>
          <w:tcPr>
            <w:tcW w:w="1161" w:type="pct"/>
            <w:shd w:val="clear" w:color="auto" w:fill="auto"/>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Director of Biorepository, University of Michigan</w:t>
            </w:r>
          </w:p>
        </w:tc>
        <w:tc>
          <w:tcPr>
            <w:tcW w:w="1249" w:type="pct"/>
            <w:vAlign w:val="center"/>
          </w:tcPr>
          <w:p w:rsidR="000E141F" w:rsidRDefault="0023017C">
            <w:pPr>
              <w:spacing w:after="0" w:line="240" w:lineRule="auto"/>
              <w:rPr>
                <w:rFonts w:asciiTheme="minorHAnsi" w:hAnsiTheme="minorHAnsi" w:cstheme="minorHAnsi"/>
                <w:i/>
                <w:color w:val="000000"/>
                <w:sz w:val="20"/>
                <w:szCs w:val="20"/>
              </w:rPr>
            </w:pPr>
            <w:hyperlink r:id="rId11" w:history="1">
              <w:r w:rsidR="00665228">
                <w:rPr>
                  <w:rFonts w:asciiTheme="minorHAnsi" w:hAnsiTheme="minorHAnsi" w:cstheme="minorHAnsi"/>
                  <w:i/>
                  <w:color w:val="000000"/>
                  <w:sz w:val="20"/>
                  <w:szCs w:val="20"/>
                </w:rPr>
                <w:t>mruss@med.umich.edu</w:t>
              </w:r>
            </w:hyperlink>
          </w:p>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734-764-5176</w:t>
            </w:r>
          </w:p>
        </w:tc>
      </w:tr>
      <w:tr w:rsidR="000E141F">
        <w:tc>
          <w:tcPr>
            <w:tcW w:w="757" w:type="pct"/>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2018 - current</w:t>
            </w:r>
          </w:p>
        </w:tc>
        <w:tc>
          <w:tcPr>
            <w:tcW w:w="849" w:type="pct"/>
            <w:shd w:val="clear" w:color="auto" w:fill="auto"/>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Lindsay Wilkerson</w:t>
            </w:r>
          </w:p>
        </w:tc>
        <w:tc>
          <w:tcPr>
            <w:tcW w:w="984" w:type="pct"/>
            <w:shd w:val="clear" w:color="auto" w:fill="auto"/>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Laboratory Technician</w:t>
            </w:r>
          </w:p>
        </w:tc>
        <w:tc>
          <w:tcPr>
            <w:tcW w:w="1161" w:type="pct"/>
            <w:shd w:val="clear" w:color="auto" w:fill="auto"/>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Biorepository Lead, University of Michigan</w:t>
            </w:r>
          </w:p>
        </w:tc>
        <w:tc>
          <w:tcPr>
            <w:tcW w:w="1249" w:type="pct"/>
            <w:vAlign w:val="center"/>
          </w:tcPr>
          <w:p w:rsidR="000E141F" w:rsidRDefault="00665228">
            <w:pPr>
              <w:spacing w:after="0" w:line="240" w:lineRule="auto"/>
              <w:rPr>
                <w:rFonts w:asciiTheme="minorHAnsi" w:hAnsiTheme="minorHAnsi" w:cstheme="minorHAnsi"/>
                <w:i/>
                <w:color w:val="000000"/>
                <w:sz w:val="20"/>
                <w:szCs w:val="20"/>
                <w:shd w:val="clear" w:color="auto" w:fill="FFFFFF"/>
              </w:rPr>
            </w:pPr>
            <w:r>
              <w:rPr>
                <w:rFonts w:asciiTheme="minorHAnsi" w:hAnsiTheme="minorHAnsi" w:cstheme="minorHAnsi"/>
                <w:i/>
                <w:color w:val="000000"/>
                <w:sz w:val="20"/>
                <w:szCs w:val="20"/>
                <w:shd w:val="clear" w:color="auto" w:fill="FFFFFF"/>
              </w:rPr>
              <w:t>wilkerli@med.umich.edu</w:t>
            </w:r>
          </w:p>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shd w:val="clear" w:color="auto" w:fill="FFFFFF"/>
              </w:rPr>
              <w:t>734-615-2429</w:t>
            </w:r>
          </w:p>
        </w:tc>
      </w:tr>
      <w:tr w:rsidR="000E141F">
        <w:tc>
          <w:tcPr>
            <w:tcW w:w="757" w:type="pct"/>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2015-2016</w:t>
            </w:r>
          </w:p>
        </w:tc>
        <w:tc>
          <w:tcPr>
            <w:tcW w:w="849" w:type="pct"/>
            <w:shd w:val="clear" w:color="auto" w:fill="auto"/>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Lauren Bienemann</w:t>
            </w:r>
          </w:p>
        </w:tc>
        <w:tc>
          <w:tcPr>
            <w:tcW w:w="984" w:type="pct"/>
            <w:shd w:val="clear" w:color="auto" w:fill="auto"/>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Laboratory Technician</w:t>
            </w:r>
          </w:p>
        </w:tc>
        <w:tc>
          <w:tcPr>
            <w:tcW w:w="1161" w:type="pct"/>
            <w:shd w:val="clear" w:color="auto" w:fill="auto"/>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Biorepository Lead, University of Michigan</w:t>
            </w:r>
          </w:p>
        </w:tc>
        <w:tc>
          <w:tcPr>
            <w:tcW w:w="1249" w:type="pct"/>
            <w:vAlign w:val="center"/>
          </w:tcPr>
          <w:p w:rsidR="000E141F" w:rsidRDefault="00665228">
            <w:pPr>
              <w:spacing w:after="0" w:line="240" w:lineRule="auto"/>
              <w:rPr>
                <w:rFonts w:asciiTheme="minorHAnsi" w:hAnsiTheme="minorHAnsi" w:cstheme="minorHAnsi"/>
                <w:i/>
                <w:color w:val="000000"/>
                <w:sz w:val="20"/>
                <w:szCs w:val="20"/>
                <w:shd w:val="clear" w:color="auto" w:fill="FFFFFF"/>
              </w:rPr>
            </w:pPr>
            <w:r>
              <w:rPr>
                <w:rFonts w:asciiTheme="minorHAnsi" w:hAnsiTheme="minorHAnsi" w:cstheme="minorHAnsi"/>
                <w:i/>
                <w:color w:val="000000"/>
                <w:sz w:val="20"/>
                <w:szCs w:val="20"/>
                <w:shd w:val="clear" w:color="auto" w:fill="FFFFFF"/>
              </w:rPr>
              <w:t>n/a</w:t>
            </w:r>
          </w:p>
        </w:tc>
      </w:tr>
      <w:tr w:rsidR="000E141F">
        <w:tc>
          <w:tcPr>
            <w:tcW w:w="757" w:type="pct"/>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2016-2018</w:t>
            </w:r>
          </w:p>
        </w:tc>
        <w:tc>
          <w:tcPr>
            <w:tcW w:w="849" w:type="pct"/>
            <w:shd w:val="clear" w:color="auto" w:fill="auto"/>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Alissa Novack</w:t>
            </w:r>
          </w:p>
        </w:tc>
        <w:tc>
          <w:tcPr>
            <w:tcW w:w="984" w:type="pct"/>
            <w:shd w:val="clear" w:color="auto" w:fill="auto"/>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Laboratory Technician</w:t>
            </w:r>
          </w:p>
        </w:tc>
        <w:tc>
          <w:tcPr>
            <w:tcW w:w="1161" w:type="pct"/>
            <w:shd w:val="clear" w:color="auto" w:fill="auto"/>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Biorepository Lead, University of Michigan</w:t>
            </w:r>
          </w:p>
        </w:tc>
        <w:tc>
          <w:tcPr>
            <w:tcW w:w="1249" w:type="pct"/>
            <w:vAlign w:val="center"/>
          </w:tcPr>
          <w:p w:rsidR="000E141F" w:rsidRDefault="00665228">
            <w:pPr>
              <w:spacing w:after="0" w:line="240" w:lineRule="auto"/>
              <w:rPr>
                <w:rFonts w:asciiTheme="minorHAnsi" w:hAnsiTheme="minorHAnsi" w:cstheme="minorHAnsi"/>
                <w:i/>
                <w:color w:val="000000"/>
                <w:sz w:val="20"/>
                <w:szCs w:val="20"/>
                <w:shd w:val="clear" w:color="auto" w:fill="FFFFFF"/>
              </w:rPr>
            </w:pPr>
            <w:r>
              <w:rPr>
                <w:rFonts w:asciiTheme="minorHAnsi" w:hAnsiTheme="minorHAnsi" w:cstheme="minorHAnsi"/>
                <w:i/>
                <w:color w:val="000000"/>
                <w:sz w:val="20"/>
                <w:szCs w:val="20"/>
                <w:shd w:val="clear" w:color="auto" w:fill="FFFFFF"/>
              </w:rPr>
              <w:t>n/a</w:t>
            </w:r>
          </w:p>
        </w:tc>
      </w:tr>
      <w:tr w:rsidR="000E141F">
        <w:tc>
          <w:tcPr>
            <w:tcW w:w="5000" w:type="pct"/>
            <w:gridSpan w:val="5"/>
            <w:shd w:val="clear" w:color="auto" w:fill="D9D9D9"/>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Data Coordinating Center at Michigan Public Health Institute</w:t>
            </w:r>
          </w:p>
        </w:tc>
      </w:tr>
      <w:tr w:rsidR="000E141F">
        <w:tc>
          <w:tcPr>
            <w:tcW w:w="757" w:type="pct"/>
            <w:tcBorders>
              <w:bottom w:val="single" w:sz="4" w:space="0" w:color="auto"/>
            </w:tcBorders>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2015 - current</w:t>
            </w:r>
          </w:p>
        </w:tc>
        <w:tc>
          <w:tcPr>
            <w:tcW w:w="849" w:type="pct"/>
            <w:tcBorders>
              <w:bottom w:val="single" w:sz="4" w:space="0" w:color="auto"/>
            </w:tcBorders>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Meghan Faulkner</w:t>
            </w:r>
          </w:p>
        </w:tc>
        <w:tc>
          <w:tcPr>
            <w:tcW w:w="984" w:type="pct"/>
            <w:tcBorders>
              <w:bottom w:val="single" w:sz="4" w:space="0" w:color="auto"/>
            </w:tcBorders>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SDY Data Coordinating Center Director</w:t>
            </w:r>
          </w:p>
        </w:tc>
        <w:tc>
          <w:tcPr>
            <w:tcW w:w="1161" w:type="pct"/>
            <w:tcBorders>
              <w:bottom w:val="single" w:sz="4" w:space="0" w:color="auto"/>
            </w:tcBorders>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Data Manager for SDY Case Registry, Technical Assistance</w:t>
            </w:r>
          </w:p>
        </w:tc>
        <w:tc>
          <w:tcPr>
            <w:tcW w:w="1249" w:type="pct"/>
            <w:tcBorders>
              <w:bottom w:val="single" w:sz="4" w:space="0" w:color="auto"/>
            </w:tcBorders>
            <w:vAlign w:val="center"/>
          </w:tcPr>
          <w:p w:rsidR="000E141F" w:rsidRDefault="0023017C">
            <w:pPr>
              <w:spacing w:after="0"/>
              <w:rPr>
                <w:rFonts w:asciiTheme="minorHAnsi" w:hAnsiTheme="minorHAnsi" w:cstheme="minorHAnsi"/>
                <w:i/>
                <w:color w:val="000000"/>
                <w:sz w:val="20"/>
                <w:szCs w:val="20"/>
              </w:rPr>
            </w:pPr>
            <w:hyperlink r:id="rId12" w:history="1">
              <w:r w:rsidR="00665228">
                <w:rPr>
                  <w:rFonts w:asciiTheme="minorHAnsi" w:hAnsiTheme="minorHAnsi" w:cstheme="minorHAnsi"/>
                  <w:i/>
                  <w:noProof/>
                  <w:color w:val="000000"/>
                  <w:sz w:val="20"/>
                  <w:szCs w:val="20"/>
                </w:rPr>
                <w:t>mfaulkne@mphi.org</w:t>
              </w:r>
            </w:hyperlink>
          </w:p>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517-324-6014</w:t>
            </w:r>
          </w:p>
        </w:tc>
      </w:tr>
      <w:tr w:rsidR="000E141F">
        <w:tc>
          <w:tcPr>
            <w:tcW w:w="757" w:type="pct"/>
            <w:tcBorders>
              <w:bottom w:val="single" w:sz="4" w:space="0" w:color="auto"/>
            </w:tcBorders>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2014 - current</w:t>
            </w:r>
          </w:p>
        </w:tc>
        <w:tc>
          <w:tcPr>
            <w:tcW w:w="849" w:type="pct"/>
            <w:tcBorders>
              <w:bottom w:val="single" w:sz="4" w:space="0" w:color="auto"/>
            </w:tcBorders>
            <w:vAlign w:val="center"/>
          </w:tcPr>
          <w:p w:rsidR="000E141F" w:rsidRDefault="000E141F">
            <w:pPr>
              <w:spacing w:after="0" w:line="240" w:lineRule="auto"/>
              <w:rPr>
                <w:rFonts w:asciiTheme="minorHAnsi" w:hAnsiTheme="minorHAnsi" w:cstheme="minorHAnsi"/>
                <w:i/>
                <w:color w:val="000000"/>
                <w:sz w:val="20"/>
                <w:szCs w:val="20"/>
              </w:rPr>
            </w:pPr>
          </w:p>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Heather MacLeod</w:t>
            </w:r>
          </w:p>
        </w:tc>
        <w:tc>
          <w:tcPr>
            <w:tcW w:w="984" w:type="pct"/>
            <w:tcBorders>
              <w:bottom w:val="single" w:sz="4" w:space="0" w:color="auto"/>
            </w:tcBorders>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SDY Data Coordinating Center Senior Project Manager</w:t>
            </w:r>
          </w:p>
        </w:tc>
        <w:tc>
          <w:tcPr>
            <w:tcW w:w="1161" w:type="pct"/>
            <w:tcBorders>
              <w:bottom w:val="single" w:sz="4" w:space="0" w:color="auto"/>
            </w:tcBorders>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Primary contact for SDY; expertise in genetic counseling, Technical Assistance</w:t>
            </w:r>
          </w:p>
        </w:tc>
        <w:tc>
          <w:tcPr>
            <w:tcW w:w="1249" w:type="pct"/>
            <w:tcBorders>
              <w:bottom w:val="single" w:sz="4" w:space="0" w:color="auto"/>
            </w:tcBorders>
            <w:vAlign w:val="center"/>
          </w:tcPr>
          <w:p w:rsidR="000E141F" w:rsidRDefault="0023017C">
            <w:pPr>
              <w:spacing w:after="0" w:line="240" w:lineRule="auto"/>
              <w:rPr>
                <w:rFonts w:asciiTheme="minorHAnsi" w:eastAsia="Times New Roman" w:hAnsiTheme="minorHAnsi" w:cstheme="minorHAnsi"/>
                <w:i/>
                <w:color w:val="000000"/>
                <w:sz w:val="20"/>
                <w:szCs w:val="20"/>
              </w:rPr>
            </w:pPr>
            <w:hyperlink r:id="rId13" w:history="1">
              <w:r w:rsidR="00665228">
                <w:rPr>
                  <w:rFonts w:asciiTheme="minorHAnsi" w:eastAsia="Times New Roman" w:hAnsiTheme="minorHAnsi" w:cstheme="minorHAnsi"/>
                  <w:i/>
                  <w:color w:val="000000"/>
                  <w:sz w:val="20"/>
                  <w:szCs w:val="20"/>
                </w:rPr>
                <w:t>hmacleodgc@gmail.com</w:t>
              </w:r>
            </w:hyperlink>
          </w:p>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630-432-9918</w:t>
            </w:r>
          </w:p>
        </w:tc>
      </w:tr>
      <w:tr w:rsidR="000E141F">
        <w:tc>
          <w:tcPr>
            <w:tcW w:w="757" w:type="pct"/>
            <w:tcBorders>
              <w:bottom w:val="single" w:sz="4" w:space="0" w:color="auto"/>
            </w:tcBorders>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2014-2107</w:t>
            </w:r>
          </w:p>
        </w:tc>
        <w:tc>
          <w:tcPr>
            <w:tcW w:w="849" w:type="pct"/>
            <w:tcBorders>
              <w:bottom w:val="single" w:sz="4" w:space="0" w:color="auto"/>
            </w:tcBorders>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Teri Covington</w:t>
            </w:r>
          </w:p>
        </w:tc>
        <w:tc>
          <w:tcPr>
            <w:tcW w:w="984" w:type="pct"/>
            <w:tcBorders>
              <w:bottom w:val="single" w:sz="4" w:space="0" w:color="auto"/>
            </w:tcBorders>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Directions of the National Center for Fatality Review and Prevention</w:t>
            </w:r>
          </w:p>
        </w:tc>
        <w:tc>
          <w:tcPr>
            <w:tcW w:w="1161" w:type="pct"/>
            <w:tcBorders>
              <w:bottom w:val="single" w:sz="4" w:space="0" w:color="auto"/>
            </w:tcBorders>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Expert in fatality review protocols and procedures</w:t>
            </w:r>
          </w:p>
        </w:tc>
        <w:tc>
          <w:tcPr>
            <w:tcW w:w="1249" w:type="pct"/>
            <w:tcBorders>
              <w:bottom w:val="single" w:sz="4" w:space="0" w:color="auto"/>
            </w:tcBorders>
            <w:vAlign w:val="center"/>
          </w:tcPr>
          <w:p w:rsidR="000E141F" w:rsidRDefault="00665228">
            <w:pPr>
              <w:spacing w:after="0" w:line="240" w:lineRule="auto"/>
              <w:rPr>
                <w:rFonts w:asciiTheme="minorHAnsi" w:hAnsiTheme="minorHAnsi" w:cstheme="minorHAnsi"/>
                <w:sz w:val="20"/>
                <w:szCs w:val="20"/>
              </w:rPr>
            </w:pPr>
            <w:r>
              <w:rPr>
                <w:rFonts w:asciiTheme="minorHAnsi" w:hAnsiTheme="minorHAnsi" w:cstheme="minorHAnsi"/>
                <w:sz w:val="20"/>
                <w:szCs w:val="20"/>
              </w:rPr>
              <w:t>n/a</w:t>
            </w:r>
          </w:p>
        </w:tc>
      </w:tr>
      <w:tr w:rsidR="000E141F">
        <w:tc>
          <w:tcPr>
            <w:tcW w:w="5000" w:type="pct"/>
            <w:gridSpan w:val="5"/>
            <w:tcBorders>
              <w:top w:val="single" w:sz="4" w:space="0" w:color="auto"/>
              <w:bottom w:val="single" w:sz="4" w:space="0" w:color="auto"/>
            </w:tcBorders>
            <w:shd w:val="clear" w:color="auto" w:fill="D9D9D9"/>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National Institutes of Health</w:t>
            </w:r>
          </w:p>
        </w:tc>
      </w:tr>
      <w:tr w:rsidR="000E141F">
        <w:tc>
          <w:tcPr>
            <w:tcW w:w="757" w:type="pct"/>
            <w:tcBorders>
              <w:top w:val="single" w:sz="4" w:space="0" w:color="auto"/>
              <w:bottom w:val="single" w:sz="4" w:space="0" w:color="auto"/>
            </w:tcBorders>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2014 - current</w:t>
            </w:r>
          </w:p>
        </w:tc>
        <w:tc>
          <w:tcPr>
            <w:tcW w:w="849" w:type="pct"/>
            <w:tcBorders>
              <w:top w:val="single" w:sz="4" w:space="0" w:color="auto"/>
              <w:bottom w:val="single" w:sz="4" w:space="0" w:color="auto"/>
            </w:tcBorders>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Kristin Burns</w:t>
            </w:r>
          </w:p>
        </w:tc>
        <w:tc>
          <w:tcPr>
            <w:tcW w:w="984" w:type="pct"/>
            <w:tcBorders>
              <w:top w:val="single" w:sz="4" w:space="0" w:color="auto"/>
              <w:bottom w:val="single" w:sz="4" w:space="0" w:color="auto"/>
            </w:tcBorders>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Medical Officer, National Heart, Lung, and Blood Institute (NHLBI)</w:t>
            </w:r>
          </w:p>
        </w:tc>
        <w:tc>
          <w:tcPr>
            <w:tcW w:w="1161" w:type="pct"/>
            <w:tcBorders>
              <w:top w:val="single" w:sz="4" w:space="0" w:color="auto"/>
              <w:bottom w:val="single" w:sz="4" w:space="0" w:color="auto"/>
            </w:tcBorders>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Overall lead for SDY Case Registry Study.</w:t>
            </w:r>
          </w:p>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Primary contact for questions related to cardiac conditions</w:t>
            </w:r>
          </w:p>
        </w:tc>
        <w:tc>
          <w:tcPr>
            <w:tcW w:w="1249" w:type="pct"/>
            <w:tcBorders>
              <w:top w:val="single" w:sz="4" w:space="0" w:color="auto"/>
              <w:bottom w:val="single" w:sz="4" w:space="0" w:color="auto"/>
            </w:tcBorders>
            <w:vAlign w:val="center"/>
          </w:tcPr>
          <w:p w:rsidR="000E141F" w:rsidRDefault="0023017C">
            <w:pPr>
              <w:spacing w:after="0"/>
              <w:rPr>
                <w:rFonts w:asciiTheme="minorHAnsi" w:hAnsiTheme="minorHAnsi" w:cstheme="minorHAnsi"/>
                <w:i/>
                <w:noProof/>
                <w:color w:val="000000"/>
                <w:sz w:val="20"/>
                <w:szCs w:val="20"/>
              </w:rPr>
            </w:pPr>
            <w:hyperlink r:id="rId14" w:history="1">
              <w:r w:rsidR="00665228">
                <w:rPr>
                  <w:rFonts w:asciiTheme="minorHAnsi" w:hAnsiTheme="minorHAnsi" w:cstheme="minorHAnsi"/>
                  <w:i/>
                  <w:noProof/>
                  <w:color w:val="000000"/>
                  <w:sz w:val="20"/>
                  <w:szCs w:val="20"/>
                </w:rPr>
                <w:t>kristin.burns@nih.gov</w:t>
              </w:r>
            </w:hyperlink>
          </w:p>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301-594-6859</w:t>
            </w:r>
          </w:p>
        </w:tc>
      </w:tr>
      <w:tr w:rsidR="000E141F">
        <w:tc>
          <w:tcPr>
            <w:tcW w:w="757" w:type="pct"/>
            <w:tcBorders>
              <w:top w:val="single" w:sz="4" w:space="0" w:color="auto"/>
              <w:bottom w:val="single" w:sz="4" w:space="0" w:color="auto"/>
            </w:tcBorders>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2014 - current</w:t>
            </w:r>
          </w:p>
        </w:tc>
        <w:tc>
          <w:tcPr>
            <w:tcW w:w="849" w:type="pct"/>
            <w:tcBorders>
              <w:top w:val="single" w:sz="4" w:space="0" w:color="auto"/>
              <w:bottom w:val="single" w:sz="4" w:space="0" w:color="auto"/>
            </w:tcBorders>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Jonathan Kaltman</w:t>
            </w:r>
          </w:p>
        </w:tc>
        <w:tc>
          <w:tcPr>
            <w:tcW w:w="984" w:type="pct"/>
            <w:tcBorders>
              <w:top w:val="single" w:sz="4" w:space="0" w:color="auto"/>
              <w:bottom w:val="single" w:sz="4" w:space="0" w:color="auto"/>
            </w:tcBorders>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Branch Chief, NHLBI</w:t>
            </w:r>
          </w:p>
        </w:tc>
        <w:tc>
          <w:tcPr>
            <w:tcW w:w="1161" w:type="pct"/>
            <w:tcBorders>
              <w:top w:val="single" w:sz="4" w:space="0" w:color="auto"/>
              <w:bottom w:val="single" w:sz="4" w:space="0" w:color="auto"/>
            </w:tcBorders>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Overall project guidance</w:t>
            </w:r>
          </w:p>
        </w:tc>
        <w:tc>
          <w:tcPr>
            <w:tcW w:w="1249" w:type="pct"/>
            <w:tcBorders>
              <w:top w:val="single" w:sz="4" w:space="0" w:color="auto"/>
              <w:bottom w:val="single" w:sz="4" w:space="0" w:color="auto"/>
            </w:tcBorders>
            <w:vAlign w:val="center"/>
          </w:tcPr>
          <w:p w:rsidR="000E141F" w:rsidRDefault="00665228">
            <w:pPr>
              <w:spacing w:after="0" w:line="240" w:lineRule="auto"/>
              <w:rPr>
                <w:rFonts w:asciiTheme="minorHAnsi" w:hAnsiTheme="minorHAnsi" w:cstheme="minorHAnsi"/>
                <w:i/>
                <w:color w:val="000000"/>
                <w:sz w:val="20"/>
                <w:szCs w:val="20"/>
                <w:shd w:val="clear" w:color="auto" w:fill="FFFFFF"/>
              </w:rPr>
            </w:pPr>
            <w:r>
              <w:rPr>
                <w:rFonts w:asciiTheme="minorHAnsi" w:hAnsiTheme="minorHAnsi" w:cstheme="minorHAnsi"/>
                <w:i/>
                <w:color w:val="000000"/>
                <w:sz w:val="20"/>
                <w:szCs w:val="20"/>
                <w:shd w:val="clear" w:color="auto" w:fill="FFFFFF"/>
              </w:rPr>
              <w:t>kaltmanj@nhlbi.nih.gov</w:t>
            </w:r>
          </w:p>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shd w:val="clear" w:color="auto" w:fill="FFFFFF"/>
              </w:rPr>
              <w:t>301-435-0528</w:t>
            </w:r>
          </w:p>
          <w:p w:rsidR="000E141F" w:rsidRDefault="000E141F">
            <w:pPr>
              <w:spacing w:after="0" w:line="240" w:lineRule="auto"/>
              <w:rPr>
                <w:rFonts w:asciiTheme="minorHAnsi" w:hAnsiTheme="minorHAnsi" w:cstheme="minorHAnsi"/>
                <w:i/>
                <w:color w:val="000000"/>
                <w:sz w:val="20"/>
                <w:szCs w:val="20"/>
              </w:rPr>
            </w:pPr>
          </w:p>
        </w:tc>
      </w:tr>
      <w:tr w:rsidR="000E141F">
        <w:tc>
          <w:tcPr>
            <w:tcW w:w="757" w:type="pct"/>
            <w:tcBorders>
              <w:top w:val="single" w:sz="4" w:space="0" w:color="auto"/>
              <w:bottom w:val="single" w:sz="4" w:space="0" w:color="auto"/>
            </w:tcBorders>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2014 - current</w:t>
            </w:r>
          </w:p>
        </w:tc>
        <w:tc>
          <w:tcPr>
            <w:tcW w:w="849" w:type="pct"/>
            <w:tcBorders>
              <w:top w:val="single" w:sz="4" w:space="0" w:color="auto"/>
              <w:bottom w:val="single" w:sz="4" w:space="0" w:color="auto"/>
            </w:tcBorders>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Vicky Whittemore</w:t>
            </w:r>
          </w:p>
        </w:tc>
        <w:tc>
          <w:tcPr>
            <w:tcW w:w="984" w:type="pct"/>
            <w:tcBorders>
              <w:top w:val="single" w:sz="4" w:space="0" w:color="auto"/>
              <w:bottom w:val="single" w:sz="4" w:space="0" w:color="auto"/>
            </w:tcBorders>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Program Director,</w:t>
            </w:r>
          </w:p>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National Institute of Neurologic Disorders and Stroke</w:t>
            </w:r>
          </w:p>
        </w:tc>
        <w:tc>
          <w:tcPr>
            <w:tcW w:w="1161" w:type="pct"/>
            <w:tcBorders>
              <w:top w:val="single" w:sz="4" w:space="0" w:color="auto"/>
              <w:bottom w:val="single" w:sz="4" w:space="0" w:color="auto"/>
            </w:tcBorders>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Sudden Unexpected Death in Epilepsy (SUDEP) and epilepsy</w:t>
            </w:r>
          </w:p>
        </w:tc>
        <w:tc>
          <w:tcPr>
            <w:tcW w:w="1249" w:type="pct"/>
            <w:tcBorders>
              <w:top w:val="single" w:sz="4" w:space="0" w:color="auto"/>
              <w:bottom w:val="single" w:sz="4" w:space="0" w:color="auto"/>
            </w:tcBorders>
            <w:vAlign w:val="center"/>
          </w:tcPr>
          <w:p w:rsidR="000E141F" w:rsidRDefault="0023017C">
            <w:pPr>
              <w:spacing w:after="0"/>
              <w:rPr>
                <w:rFonts w:asciiTheme="minorHAnsi" w:hAnsiTheme="minorHAnsi" w:cstheme="minorHAnsi"/>
                <w:i/>
                <w:noProof/>
                <w:color w:val="000000"/>
                <w:sz w:val="20"/>
                <w:szCs w:val="20"/>
              </w:rPr>
            </w:pPr>
            <w:hyperlink r:id="rId15" w:history="1">
              <w:r w:rsidR="00665228">
                <w:rPr>
                  <w:rFonts w:asciiTheme="minorHAnsi" w:hAnsiTheme="minorHAnsi" w:cstheme="minorHAnsi"/>
                  <w:i/>
                  <w:noProof/>
                  <w:color w:val="000000"/>
                  <w:sz w:val="20"/>
                  <w:szCs w:val="20"/>
                </w:rPr>
                <w:t>vicky.whittemore@nih.gov</w:t>
              </w:r>
            </w:hyperlink>
          </w:p>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301-496-1917</w:t>
            </w:r>
          </w:p>
          <w:p w:rsidR="000E141F" w:rsidRDefault="000E141F">
            <w:pPr>
              <w:spacing w:after="0" w:line="240" w:lineRule="auto"/>
              <w:rPr>
                <w:rFonts w:asciiTheme="minorHAnsi" w:hAnsiTheme="minorHAnsi" w:cstheme="minorHAnsi"/>
                <w:i/>
                <w:color w:val="000000"/>
                <w:sz w:val="20"/>
                <w:szCs w:val="20"/>
              </w:rPr>
            </w:pPr>
          </w:p>
        </w:tc>
      </w:tr>
      <w:tr w:rsidR="000E141F">
        <w:tc>
          <w:tcPr>
            <w:tcW w:w="757" w:type="pct"/>
            <w:tcBorders>
              <w:top w:val="single" w:sz="4" w:space="0" w:color="auto"/>
              <w:bottom w:val="single" w:sz="4" w:space="0" w:color="auto"/>
            </w:tcBorders>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2014-2016</w:t>
            </w:r>
          </w:p>
        </w:tc>
        <w:tc>
          <w:tcPr>
            <w:tcW w:w="849" w:type="pct"/>
            <w:tcBorders>
              <w:top w:val="single" w:sz="4" w:space="0" w:color="auto"/>
              <w:bottom w:val="single" w:sz="4" w:space="0" w:color="auto"/>
            </w:tcBorders>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Ellen Rosenberg</w:t>
            </w:r>
          </w:p>
        </w:tc>
        <w:tc>
          <w:tcPr>
            <w:tcW w:w="984" w:type="pct"/>
            <w:tcBorders>
              <w:top w:val="single" w:sz="4" w:space="0" w:color="auto"/>
              <w:bottom w:val="single" w:sz="4" w:space="0" w:color="auto"/>
            </w:tcBorders>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Clinical Trial Specialist, NHLBI</w:t>
            </w:r>
          </w:p>
        </w:tc>
        <w:tc>
          <w:tcPr>
            <w:tcW w:w="1161" w:type="pct"/>
            <w:tcBorders>
              <w:top w:val="single" w:sz="4" w:space="0" w:color="auto"/>
              <w:bottom w:val="single" w:sz="4" w:space="0" w:color="auto"/>
            </w:tcBorders>
            <w:vAlign w:val="center"/>
          </w:tcPr>
          <w:p w:rsidR="000E141F" w:rsidRDefault="00665228">
            <w:pPr>
              <w:spacing w:after="0" w:line="240" w:lineRule="auto"/>
              <w:rPr>
                <w:rFonts w:asciiTheme="minorHAnsi" w:hAnsiTheme="minorHAnsi" w:cstheme="minorHAnsi"/>
                <w:i/>
                <w:color w:val="000000"/>
                <w:sz w:val="20"/>
                <w:szCs w:val="20"/>
              </w:rPr>
            </w:pPr>
            <w:r>
              <w:rPr>
                <w:rFonts w:asciiTheme="minorHAnsi" w:hAnsiTheme="minorHAnsi" w:cstheme="minorHAnsi"/>
                <w:i/>
                <w:color w:val="000000"/>
                <w:sz w:val="20"/>
                <w:szCs w:val="20"/>
              </w:rPr>
              <w:t>Consent Expert</w:t>
            </w:r>
          </w:p>
        </w:tc>
        <w:tc>
          <w:tcPr>
            <w:tcW w:w="1249" w:type="pct"/>
            <w:tcBorders>
              <w:top w:val="single" w:sz="4" w:space="0" w:color="auto"/>
              <w:bottom w:val="single" w:sz="4" w:space="0" w:color="auto"/>
            </w:tcBorders>
            <w:vAlign w:val="center"/>
          </w:tcPr>
          <w:p w:rsidR="000E141F" w:rsidRDefault="00665228">
            <w:pPr>
              <w:spacing w:after="0"/>
              <w:rPr>
                <w:rFonts w:asciiTheme="minorHAnsi" w:hAnsiTheme="minorHAnsi" w:cstheme="minorHAnsi"/>
                <w:sz w:val="20"/>
                <w:szCs w:val="20"/>
              </w:rPr>
            </w:pPr>
            <w:r>
              <w:rPr>
                <w:rFonts w:asciiTheme="minorHAnsi" w:hAnsiTheme="minorHAnsi" w:cstheme="minorHAnsi"/>
                <w:sz w:val="20"/>
                <w:szCs w:val="20"/>
              </w:rPr>
              <w:t>n/a</w:t>
            </w:r>
          </w:p>
        </w:tc>
      </w:tr>
    </w:tbl>
    <w:p w:rsidR="000E141F" w:rsidRDefault="000E141F">
      <w:pPr>
        <w:widowControl w:val="0"/>
        <w:autoSpaceDE w:val="0"/>
        <w:autoSpaceDN w:val="0"/>
        <w:adjustRightInd w:val="0"/>
        <w:spacing w:after="0" w:line="240" w:lineRule="auto"/>
        <w:rPr>
          <w:rFonts w:eastAsia="Times New Roman"/>
          <w:color w:val="000000"/>
        </w:rPr>
      </w:pPr>
    </w:p>
    <w:sectPr w:rsidR="000E141F">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641" w:rsidRDefault="00A65641">
      <w:pPr>
        <w:spacing w:after="0" w:line="240" w:lineRule="auto"/>
      </w:pPr>
      <w:r>
        <w:separator/>
      </w:r>
    </w:p>
  </w:endnote>
  <w:endnote w:type="continuationSeparator" w:id="0">
    <w:p w:rsidR="00A65641" w:rsidRDefault="00A65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641" w:rsidRDefault="00A65641">
      <w:pPr>
        <w:spacing w:after="0" w:line="240" w:lineRule="auto"/>
      </w:pPr>
      <w:r>
        <w:separator/>
      </w:r>
    </w:p>
  </w:footnote>
  <w:footnote w:type="continuationSeparator" w:id="0">
    <w:p w:rsidR="00A65641" w:rsidRDefault="00A65641">
      <w:pPr>
        <w:spacing w:after="0" w:line="240" w:lineRule="auto"/>
      </w:pPr>
      <w:r>
        <w:continuationSeparator/>
      </w:r>
    </w:p>
  </w:footnote>
  <w:footnote w:id="1">
    <w:p w:rsidR="000E141F" w:rsidRDefault="00665228">
      <w:r>
        <w:rPr>
          <w:rStyle w:val="FootnoteReference"/>
        </w:rPr>
        <w:footnoteRef/>
      </w:r>
      <w:r>
        <w:t xml:space="preserve"> </w:t>
      </w:r>
      <w:hyperlink r:id="rId1" w:history="1">
        <w:r>
          <w:rPr>
            <w:rStyle w:val="Hyperlink"/>
          </w:rPr>
          <w:t>https://wonder.cdc.gov/</w:t>
        </w:r>
      </w:hyperlink>
      <w:r>
        <w:t xml:space="preserve"> </w:t>
      </w:r>
    </w:p>
    <w:p w:rsidR="000E141F" w:rsidRDefault="000E141F">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4440E"/>
    <w:multiLevelType w:val="hybridMultilevel"/>
    <w:tmpl w:val="0E0E920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37AE55FA"/>
    <w:multiLevelType w:val="hybridMultilevel"/>
    <w:tmpl w:val="4E323DA4"/>
    <w:lvl w:ilvl="0" w:tplc="E30245C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827EFB"/>
    <w:multiLevelType w:val="hybridMultilevel"/>
    <w:tmpl w:val="53184ED6"/>
    <w:lvl w:ilvl="0" w:tplc="823CD23A">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10E584B"/>
    <w:multiLevelType w:val="hybridMultilevel"/>
    <w:tmpl w:val="6688D576"/>
    <w:lvl w:ilvl="0" w:tplc="2466E720">
      <w:start w:val="1"/>
      <w:numFmt w:val="decimal"/>
      <w:lvlText w:val="%1."/>
      <w:lvlJc w:val="left"/>
      <w:pPr>
        <w:ind w:left="720" w:hanging="360"/>
      </w:pPr>
      <w:rPr>
        <w:rFonts w:cs="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D83872"/>
    <w:multiLevelType w:val="hybridMultilevel"/>
    <w:tmpl w:val="58DEC6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5337B3"/>
    <w:multiLevelType w:val="hybridMultilevel"/>
    <w:tmpl w:val="B2F63728"/>
    <w:lvl w:ilvl="0" w:tplc="823CD23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41F"/>
    <w:rsid w:val="000E141F"/>
    <w:rsid w:val="00115DBD"/>
    <w:rsid w:val="00116587"/>
    <w:rsid w:val="00123DDC"/>
    <w:rsid w:val="00166C06"/>
    <w:rsid w:val="0023017C"/>
    <w:rsid w:val="00265152"/>
    <w:rsid w:val="00283BDA"/>
    <w:rsid w:val="00665228"/>
    <w:rsid w:val="006B7C9F"/>
    <w:rsid w:val="007357A1"/>
    <w:rsid w:val="00735866"/>
    <w:rsid w:val="00741973"/>
    <w:rsid w:val="00784DC3"/>
    <w:rsid w:val="00933F10"/>
    <w:rsid w:val="009600F7"/>
    <w:rsid w:val="009701D2"/>
    <w:rsid w:val="009E11EB"/>
    <w:rsid w:val="00A65641"/>
    <w:rsid w:val="00BF2533"/>
    <w:rsid w:val="00C30B7A"/>
    <w:rsid w:val="00E046EE"/>
    <w:rsid w:val="00E44DD3"/>
    <w:rsid w:val="00F702E5"/>
    <w:rsid w:val="00FE1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qFormat/>
    <w:pPr>
      <w:keepNext/>
      <w:spacing w:after="0" w:line="240" w:lineRule="auto"/>
      <w:outlineLvl w:val="5"/>
    </w:pPr>
    <w:rPr>
      <w:rFonts w:ascii="Times New Roman" w:eastAsia="Times New Roman" w:hAnsi="Times New Roman"/>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rPr>
  </w:style>
  <w:style w:type="character" w:styleId="FootnoteReference">
    <w:name w:val="footnote reference"/>
    <w:semiHidden/>
    <w:rPr>
      <w:vertAlign w:val="superscript"/>
    </w:rPr>
  </w:style>
  <w:style w:type="character" w:customStyle="1" w:styleId="Heading6Char">
    <w:name w:val="Heading 6 Char"/>
    <w:basedOn w:val="DefaultParagraphFont"/>
    <w:link w:val="Heading6"/>
    <w:rPr>
      <w:rFonts w:ascii="Times New Roman" w:eastAsia="Times New Roman" w:hAnsi="Times New Roman" w:cs="Times New Roman"/>
      <w:b/>
      <w:sz w:val="24"/>
      <w:szCs w:val="20"/>
      <w:lang w:val="x-none" w:eastAsia="x-non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pPr>
      <w:spacing w:line="259" w:lineRule="auto"/>
      <w:outlineLvl w:val="9"/>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Pr>
      <w:b/>
      <w:bCs/>
    </w:rPr>
  </w:style>
  <w:style w:type="paragraph" w:styleId="TOC2">
    <w:name w:val="toc 2"/>
    <w:basedOn w:val="Normal"/>
    <w:next w:val="Normal"/>
    <w:autoRedefine/>
    <w:uiPriority w:val="39"/>
    <w:unhideWhenUsed/>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pPr>
      <w:spacing w:after="100" w:line="259" w:lineRule="auto"/>
      <w:ind w:left="440"/>
    </w:pPr>
    <w:rPr>
      <w:rFonts w:asciiTheme="minorHAnsi" w:eastAsiaTheme="minorEastAsia" w:hAnsiTheme="minorHAnsi"/>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qFormat/>
    <w:pPr>
      <w:keepNext/>
      <w:spacing w:after="0" w:line="240" w:lineRule="auto"/>
      <w:outlineLvl w:val="5"/>
    </w:pPr>
    <w:rPr>
      <w:rFonts w:ascii="Times New Roman" w:eastAsia="Times New Roman" w:hAnsi="Times New Roman"/>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rPr>
  </w:style>
  <w:style w:type="character" w:styleId="FootnoteReference">
    <w:name w:val="footnote reference"/>
    <w:semiHidden/>
    <w:rPr>
      <w:vertAlign w:val="superscript"/>
    </w:rPr>
  </w:style>
  <w:style w:type="character" w:customStyle="1" w:styleId="Heading6Char">
    <w:name w:val="Heading 6 Char"/>
    <w:basedOn w:val="DefaultParagraphFont"/>
    <w:link w:val="Heading6"/>
    <w:rPr>
      <w:rFonts w:ascii="Times New Roman" w:eastAsia="Times New Roman" w:hAnsi="Times New Roman" w:cs="Times New Roman"/>
      <w:b/>
      <w:sz w:val="24"/>
      <w:szCs w:val="20"/>
      <w:lang w:val="x-none" w:eastAsia="x-non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pPr>
      <w:spacing w:line="259" w:lineRule="auto"/>
      <w:outlineLvl w:val="9"/>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Pr>
      <w:b/>
      <w:bCs/>
    </w:rPr>
  </w:style>
  <w:style w:type="paragraph" w:styleId="TOC2">
    <w:name w:val="toc 2"/>
    <w:basedOn w:val="Normal"/>
    <w:next w:val="Normal"/>
    <w:autoRedefine/>
    <w:uiPriority w:val="39"/>
    <w:unhideWhenUsed/>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pPr>
      <w:spacing w:after="100" w:line="259" w:lineRule="auto"/>
      <w:ind w:left="440"/>
    </w:pPr>
    <w:rPr>
      <w:rFonts w:asciiTheme="minorHAnsi" w:eastAsiaTheme="minorEastAsia" w:hAnsiTheme="minorHAnsi"/>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72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macleodgc@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faulkne@mphi.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russ@med.umich.edu" TargetMode="External"/><Relationship Id="rId5" Type="http://schemas.openxmlformats.org/officeDocument/2006/relationships/settings" Target="settings.xml"/><Relationship Id="rId15" Type="http://schemas.openxmlformats.org/officeDocument/2006/relationships/hyperlink" Target="mailto:vicky.whittemore@nih.gov" TargetMode="External"/><Relationship Id="rId10" Type="http://schemas.openxmlformats.org/officeDocument/2006/relationships/hyperlink" Target="https://wonder.cdc.gov/" TargetMode="External"/><Relationship Id="rId4" Type="http://schemas.microsoft.com/office/2007/relationships/stylesWithEffects" Target="stylesWithEffects.xml"/><Relationship Id="rId9" Type="http://schemas.openxmlformats.org/officeDocument/2006/relationships/hyperlink" Target="mailto:gtx6@cdc.gov" TargetMode="External"/><Relationship Id="rId14" Type="http://schemas.openxmlformats.org/officeDocument/2006/relationships/hyperlink" Target="mailto:kristin.burns@nih.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onder.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9EF9F-E75D-4C64-ADCF-D8741E80D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1349</Words>
  <Characters>7694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2019-02-11T17:37:00Z</dcterms:created>
  <dcterms:modified xsi:type="dcterms:W3CDTF">2019-02-11T17:37:00Z</dcterms:modified>
</cp:coreProperties>
</file>