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3CD44" w14:textId="4B1421B4" w:rsidR="009923BE" w:rsidRDefault="009923BE" w:rsidP="003D566C">
      <w:pPr>
        <w:autoSpaceDE w:val="0"/>
        <w:autoSpaceDN w:val="0"/>
        <w:adjustRightInd w:val="0"/>
        <w:jc w:val="center"/>
        <w:rPr>
          <w:color w:val="000000"/>
        </w:rPr>
      </w:pPr>
      <w:bookmarkStart w:id="0" w:name="_GoBack"/>
      <w:bookmarkEnd w:id="0"/>
      <w:r>
        <w:rPr>
          <w:color w:val="000000"/>
          <w:sz w:val="28"/>
          <w:szCs w:val="28"/>
        </w:rPr>
        <w:t>Supporting Statement B for Request for Clearance</w:t>
      </w:r>
      <w:r>
        <w:rPr>
          <w:color w:val="000000"/>
        </w:rPr>
        <w:t>:</w:t>
      </w:r>
    </w:p>
    <w:p w14:paraId="54169107"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32"/>
          <w:szCs w:val="32"/>
        </w:rPr>
      </w:pPr>
      <w:r>
        <w:rPr>
          <w:color w:val="000000"/>
          <w:sz w:val="32"/>
          <w:szCs w:val="32"/>
        </w:rPr>
        <w:t>NATIONAL AMBULATORY MEDICAL CARE SURVEY</w:t>
      </w:r>
    </w:p>
    <w:p w14:paraId="00C6A5F8"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5FD9C833"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OMB No. 0920-0234</w:t>
      </w:r>
    </w:p>
    <w:p w14:paraId="40E233B4" w14:textId="7FC4B1A8" w:rsidR="0000405F" w:rsidRDefault="0000405F"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 xml:space="preserve">(Expires </w:t>
      </w:r>
      <w:r w:rsidR="003A4C2D">
        <w:rPr>
          <w:color w:val="000000"/>
          <w:sz w:val="28"/>
          <w:szCs w:val="28"/>
        </w:rPr>
        <w:t>03</w:t>
      </w:r>
      <w:r>
        <w:rPr>
          <w:color w:val="000000"/>
          <w:sz w:val="28"/>
          <w:szCs w:val="28"/>
        </w:rPr>
        <w:t>/31/201</w:t>
      </w:r>
      <w:r w:rsidR="003A4C2D">
        <w:rPr>
          <w:color w:val="000000"/>
          <w:sz w:val="28"/>
          <w:szCs w:val="28"/>
        </w:rPr>
        <w:t>9</w:t>
      </w:r>
      <w:r>
        <w:rPr>
          <w:color w:val="000000"/>
          <w:sz w:val="28"/>
          <w:szCs w:val="28"/>
        </w:rPr>
        <w:t>)</w:t>
      </w:r>
    </w:p>
    <w:p w14:paraId="40E66A44"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62877F6E"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Contact Information:</w:t>
      </w:r>
    </w:p>
    <w:p w14:paraId="033078CE"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75972224" w14:textId="37E07FA1" w:rsidR="003D566C" w:rsidRPr="00846367" w:rsidRDefault="003A4C2D"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Brian W. Ward</w:t>
      </w:r>
      <w:r w:rsidR="003D566C" w:rsidRPr="008E2525">
        <w:rPr>
          <w:rFonts w:ascii="Times New Roman" w:hAnsi="Times New Roman"/>
          <w:color w:val="000000"/>
          <w:sz w:val="28"/>
          <w:szCs w:val="28"/>
        </w:rPr>
        <w:t>, Ph.D.</w:t>
      </w:r>
    </w:p>
    <w:p w14:paraId="446326C8" w14:textId="3A8D183C" w:rsidR="00073F44" w:rsidRDefault="003A4C2D"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Team Lead</w:t>
      </w:r>
      <w:r w:rsidR="003D566C" w:rsidRPr="00846367">
        <w:rPr>
          <w:rFonts w:ascii="Times New Roman" w:hAnsi="Times New Roman"/>
          <w:color w:val="000000"/>
          <w:sz w:val="28"/>
          <w:szCs w:val="28"/>
        </w:rPr>
        <w:t xml:space="preserve">, </w:t>
      </w:r>
      <w:r w:rsidR="00073F44">
        <w:rPr>
          <w:rFonts w:ascii="Times New Roman" w:hAnsi="Times New Roman"/>
          <w:color w:val="000000"/>
          <w:sz w:val="28"/>
          <w:szCs w:val="28"/>
        </w:rPr>
        <w:t>Ambulatory Care Team</w:t>
      </w:r>
    </w:p>
    <w:p w14:paraId="4205BED5" w14:textId="6D50809E"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Ambulatory and Hospital Care Statistics Branch</w:t>
      </w:r>
    </w:p>
    <w:p w14:paraId="7176D69B"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Division of Health Care Statistics</w:t>
      </w:r>
    </w:p>
    <w:p w14:paraId="7713E15B"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National Center for Health Statistics/CDC</w:t>
      </w:r>
    </w:p>
    <w:p w14:paraId="50B9535F"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3311 Toledo Road</w:t>
      </w:r>
    </w:p>
    <w:p w14:paraId="70C05254"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Hyattsville, MD  20782</w:t>
      </w:r>
    </w:p>
    <w:p w14:paraId="1D235329" w14:textId="51E779FB"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w:t>
      </w:r>
      <w:r>
        <w:rPr>
          <w:rFonts w:ascii="Times New Roman" w:hAnsi="Times New Roman"/>
          <w:color w:val="000000"/>
          <w:sz w:val="28"/>
          <w:szCs w:val="28"/>
        </w:rPr>
        <w:t>4</w:t>
      </w:r>
      <w:r w:rsidR="003A4C2D">
        <w:rPr>
          <w:rFonts w:ascii="Times New Roman" w:hAnsi="Times New Roman"/>
          <w:color w:val="000000"/>
          <w:sz w:val="28"/>
          <w:szCs w:val="28"/>
        </w:rPr>
        <w:t>568</w:t>
      </w:r>
    </w:p>
    <w:p w14:paraId="6F39FC12"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301-458-4032 (fax)</w:t>
      </w:r>
    </w:p>
    <w:p w14:paraId="1E8836E0" w14:textId="383F7743" w:rsidR="003D566C" w:rsidRPr="00846367" w:rsidRDefault="003A4C2D"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Pr>
          <w:rFonts w:ascii="Times New Roman" w:hAnsi="Times New Roman"/>
          <w:color w:val="000000"/>
          <w:sz w:val="28"/>
          <w:szCs w:val="28"/>
          <w:u w:val="single"/>
        </w:rPr>
        <w:t>ijz8</w:t>
      </w:r>
      <w:r w:rsidR="003D566C" w:rsidRPr="00846367">
        <w:rPr>
          <w:rFonts w:ascii="Times New Roman" w:hAnsi="Times New Roman"/>
          <w:color w:val="000000"/>
          <w:sz w:val="28"/>
          <w:szCs w:val="28"/>
          <w:u w:val="single"/>
        </w:rPr>
        <w:t>@cdc.gov</w:t>
      </w:r>
    </w:p>
    <w:p w14:paraId="6AADFE6C"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p>
    <w:p w14:paraId="30066747" w14:textId="1BBA8FC7" w:rsidR="003D566C" w:rsidRPr="00846367" w:rsidRDefault="000B2631" w:rsidP="007D6CC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 xml:space="preserve">November </w:t>
      </w:r>
      <w:r w:rsidR="00B25AB9">
        <w:rPr>
          <w:rFonts w:ascii="Times New Roman" w:hAnsi="Times New Roman"/>
          <w:color w:val="000000"/>
          <w:sz w:val="28"/>
          <w:szCs w:val="28"/>
        </w:rPr>
        <w:t>2</w:t>
      </w:r>
      <w:r w:rsidR="00CE7C4D">
        <w:rPr>
          <w:rFonts w:ascii="Times New Roman" w:hAnsi="Times New Roman"/>
          <w:color w:val="000000"/>
          <w:sz w:val="28"/>
          <w:szCs w:val="28"/>
        </w:rPr>
        <w:t>1</w:t>
      </w:r>
      <w:r w:rsidR="00EC0A8B">
        <w:rPr>
          <w:rFonts w:ascii="Times New Roman" w:hAnsi="Times New Roman"/>
          <w:color w:val="000000"/>
          <w:sz w:val="28"/>
          <w:szCs w:val="28"/>
        </w:rPr>
        <w:t xml:space="preserve">, </w:t>
      </w:r>
      <w:r w:rsidR="003A4C2D">
        <w:rPr>
          <w:rFonts w:ascii="Times New Roman" w:hAnsi="Times New Roman"/>
          <w:color w:val="000000"/>
          <w:sz w:val="28"/>
          <w:szCs w:val="28"/>
        </w:rPr>
        <w:t>2018</w:t>
      </w:r>
    </w:p>
    <w:p w14:paraId="00B4D3CE" w14:textId="72A172FF" w:rsidR="009923BE" w:rsidRDefault="009923BE" w:rsidP="0093697E">
      <w:pPr>
        <w:pStyle w:val="Style0"/>
        <w:rPr>
          <w:rFonts w:ascii="Times New Roman" w:hAnsi="Times New Roman"/>
          <w:b/>
          <w:color w:val="000000"/>
        </w:rPr>
      </w:pPr>
    </w:p>
    <w:p w14:paraId="342E447A"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E05D077"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701B49E5" w14:textId="77777777" w:rsidR="002A36F4" w:rsidRDefault="002A36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1EEC48F" w14:textId="77777777" w:rsidR="009923BE" w:rsidRDefault="002A36F4" w:rsidP="007C26C0">
      <w:pPr>
        <w:rPr>
          <w:b/>
          <w:color w:val="000000"/>
        </w:rPr>
      </w:pPr>
      <w:r>
        <w:rPr>
          <w:b/>
          <w:color w:val="000000"/>
        </w:rPr>
        <w:br w:type="page"/>
      </w:r>
    </w:p>
    <w:sdt>
      <w:sdtPr>
        <w:rPr>
          <w:rFonts w:ascii="Times New Roman" w:eastAsia="Times New Roman" w:hAnsi="Times New Roman" w:cs="Times New Roman"/>
          <w:b w:val="0"/>
          <w:bCs w:val="0"/>
          <w:color w:val="auto"/>
          <w:sz w:val="24"/>
          <w:szCs w:val="24"/>
          <w:lang w:eastAsia="en-US"/>
        </w:rPr>
        <w:id w:val="-1194913530"/>
        <w:docPartObj>
          <w:docPartGallery w:val="Table of Contents"/>
          <w:docPartUnique/>
        </w:docPartObj>
      </w:sdtPr>
      <w:sdtEndPr>
        <w:rPr>
          <w:rFonts w:ascii="Arial" w:hAnsi="Arial"/>
          <w:noProof/>
        </w:rPr>
      </w:sdtEndPr>
      <w:sdtContent>
        <w:p w14:paraId="6172CEA1" w14:textId="410AF4F5" w:rsidR="00292EF1" w:rsidRDefault="00292EF1">
          <w:pPr>
            <w:pStyle w:val="TOCHeading"/>
          </w:pPr>
          <w:r>
            <w:t>Table of Contents</w:t>
          </w:r>
        </w:p>
        <w:p w14:paraId="7FD2D9F9" w14:textId="5FDCF793" w:rsidR="00292EF1" w:rsidRDefault="00292EF1">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5596434" w:history="1">
            <w:r w:rsidRPr="00061CE5">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_Toc505596434 \h </w:instrText>
            </w:r>
            <w:r>
              <w:rPr>
                <w:noProof/>
                <w:webHidden/>
              </w:rPr>
            </w:r>
            <w:r>
              <w:rPr>
                <w:noProof/>
                <w:webHidden/>
              </w:rPr>
              <w:fldChar w:fldCharType="separate"/>
            </w:r>
            <w:r w:rsidR="000D31F7">
              <w:rPr>
                <w:noProof/>
                <w:webHidden/>
              </w:rPr>
              <w:t>2</w:t>
            </w:r>
            <w:r>
              <w:rPr>
                <w:noProof/>
                <w:webHidden/>
              </w:rPr>
              <w:fldChar w:fldCharType="end"/>
            </w:r>
          </w:hyperlink>
        </w:p>
        <w:p w14:paraId="5701164C" w14:textId="5AB155E7" w:rsidR="00292EF1" w:rsidRDefault="00214828">
          <w:pPr>
            <w:pStyle w:val="TOC1"/>
            <w:tabs>
              <w:tab w:val="right" w:leader="dot" w:pos="9350"/>
            </w:tabs>
            <w:rPr>
              <w:rFonts w:asciiTheme="minorHAnsi" w:eastAsiaTheme="minorEastAsia" w:hAnsiTheme="minorHAnsi" w:cstheme="minorBidi"/>
              <w:noProof/>
              <w:sz w:val="22"/>
              <w:szCs w:val="22"/>
            </w:rPr>
          </w:pPr>
          <w:hyperlink w:anchor="_Toc505596435" w:history="1">
            <w:r w:rsidR="00292EF1" w:rsidRPr="00061CE5">
              <w:rPr>
                <w:rStyle w:val="Hyperlink"/>
                <w:noProof/>
              </w:rPr>
              <w:t>1.  Respondent Universe and Sampling Methods</w:t>
            </w:r>
            <w:r w:rsidR="00292EF1">
              <w:rPr>
                <w:noProof/>
                <w:webHidden/>
              </w:rPr>
              <w:tab/>
            </w:r>
            <w:r w:rsidR="00292EF1">
              <w:rPr>
                <w:noProof/>
                <w:webHidden/>
              </w:rPr>
              <w:fldChar w:fldCharType="begin"/>
            </w:r>
            <w:r w:rsidR="00292EF1">
              <w:rPr>
                <w:noProof/>
                <w:webHidden/>
              </w:rPr>
              <w:instrText xml:space="preserve"> PAGEREF _Toc505596435 \h </w:instrText>
            </w:r>
            <w:r w:rsidR="00292EF1">
              <w:rPr>
                <w:noProof/>
                <w:webHidden/>
              </w:rPr>
            </w:r>
            <w:r w:rsidR="00292EF1">
              <w:rPr>
                <w:noProof/>
                <w:webHidden/>
              </w:rPr>
              <w:fldChar w:fldCharType="separate"/>
            </w:r>
            <w:r w:rsidR="000D31F7">
              <w:rPr>
                <w:noProof/>
                <w:webHidden/>
              </w:rPr>
              <w:t>2</w:t>
            </w:r>
            <w:r w:rsidR="00292EF1">
              <w:rPr>
                <w:noProof/>
                <w:webHidden/>
              </w:rPr>
              <w:fldChar w:fldCharType="end"/>
            </w:r>
          </w:hyperlink>
        </w:p>
        <w:p w14:paraId="5FC150BA" w14:textId="13A4556D" w:rsidR="00292EF1" w:rsidRDefault="00214828">
          <w:pPr>
            <w:pStyle w:val="TOC1"/>
            <w:tabs>
              <w:tab w:val="right" w:leader="dot" w:pos="9350"/>
            </w:tabs>
            <w:rPr>
              <w:rFonts w:asciiTheme="minorHAnsi" w:eastAsiaTheme="minorEastAsia" w:hAnsiTheme="minorHAnsi" w:cstheme="minorBidi"/>
              <w:noProof/>
              <w:sz w:val="22"/>
              <w:szCs w:val="22"/>
            </w:rPr>
          </w:pPr>
          <w:hyperlink w:anchor="_Toc505596436" w:history="1">
            <w:r w:rsidR="00292EF1" w:rsidRPr="00061CE5">
              <w:rPr>
                <w:rStyle w:val="Hyperlink"/>
                <w:noProof/>
              </w:rPr>
              <w:t>2.  Procedures for the Collection of Information</w:t>
            </w:r>
            <w:r w:rsidR="00292EF1">
              <w:rPr>
                <w:noProof/>
                <w:webHidden/>
              </w:rPr>
              <w:tab/>
            </w:r>
            <w:r w:rsidR="00292EF1">
              <w:rPr>
                <w:noProof/>
                <w:webHidden/>
              </w:rPr>
              <w:fldChar w:fldCharType="begin"/>
            </w:r>
            <w:r w:rsidR="00292EF1">
              <w:rPr>
                <w:noProof/>
                <w:webHidden/>
              </w:rPr>
              <w:instrText xml:space="preserve"> PAGEREF _Toc505596436 \h </w:instrText>
            </w:r>
            <w:r w:rsidR="00292EF1">
              <w:rPr>
                <w:noProof/>
                <w:webHidden/>
              </w:rPr>
            </w:r>
            <w:r w:rsidR="00292EF1">
              <w:rPr>
                <w:noProof/>
                <w:webHidden/>
              </w:rPr>
              <w:fldChar w:fldCharType="separate"/>
            </w:r>
            <w:r w:rsidR="000D31F7">
              <w:rPr>
                <w:noProof/>
                <w:webHidden/>
              </w:rPr>
              <w:t>4</w:t>
            </w:r>
            <w:r w:rsidR="00292EF1">
              <w:rPr>
                <w:noProof/>
                <w:webHidden/>
              </w:rPr>
              <w:fldChar w:fldCharType="end"/>
            </w:r>
          </w:hyperlink>
        </w:p>
        <w:p w14:paraId="1642D7B9" w14:textId="7009D1EE" w:rsidR="00292EF1" w:rsidRDefault="00214828">
          <w:pPr>
            <w:pStyle w:val="TOC1"/>
            <w:tabs>
              <w:tab w:val="right" w:leader="dot" w:pos="9350"/>
            </w:tabs>
            <w:rPr>
              <w:rFonts w:asciiTheme="minorHAnsi" w:eastAsiaTheme="minorEastAsia" w:hAnsiTheme="minorHAnsi" w:cstheme="minorBidi"/>
              <w:noProof/>
              <w:sz w:val="22"/>
              <w:szCs w:val="22"/>
            </w:rPr>
          </w:pPr>
          <w:hyperlink w:anchor="_Toc505596437" w:history="1">
            <w:r w:rsidR="00292EF1" w:rsidRPr="00061CE5">
              <w:rPr>
                <w:rStyle w:val="Hyperlink"/>
                <w:noProof/>
              </w:rPr>
              <w:t>3. Meaningful Use (MU) Office-based Physicians</w:t>
            </w:r>
            <w:r w:rsidR="00292EF1">
              <w:rPr>
                <w:noProof/>
                <w:webHidden/>
              </w:rPr>
              <w:tab/>
            </w:r>
            <w:r w:rsidR="00292EF1">
              <w:rPr>
                <w:noProof/>
                <w:webHidden/>
              </w:rPr>
              <w:fldChar w:fldCharType="begin"/>
            </w:r>
            <w:r w:rsidR="00292EF1">
              <w:rPr>
                <w:noProof/>
                <w:webHidden/>
              </w:rPr>
              <w:instrText xml:space="preserve"> PAGEREF _Toc505596437 \h </w:instrText>
            </w:r>
            <w:r w:rsidR="00292EF1">
              <w:rPr>
                <w:noProof/>
                <w:webHidden/>
              </w:rPr>
            </w:r>
            <w:r w:rsidR="00292EF1">
              <w:rPr>
                <w:noProof/>
                <w:webHidden/>
              </w:rPr>
              <w:fldChar w:fldCharType="separate"/>
            </w:r>
            <w:r w:rsidR="000D31F7">
              <w:rPr>
                <w:noProof/>
                <w:webHidden/>
              </w:rPr>
              <w:t>10</w:t>
            </w:r>
            <w:r w:rsidR="00292EF1">
              <w:rPr>
                <w:noProof/>
                <w:webHidden/>
              </w:rPr>
              <w:fldChar w:fldCharType="end"/>
            </w:r>
          </w:hyperlink>
        </w:p>
        <w:p w14:paraId="1D5A9A1E" w14:textId="5A432FD1" w:rsidR="00292EF1" w:rsidRDefault="00214828">
          <w:pPr>
            <w:pStyle w:val="TOC1"/>
            <w:tabs>
              <w:tab w:val="right" w:leader="dot" w:pos="9350"/>
            </w:tabs>
            <w:rPr>
              <w:rFonts w:asciiTheme="minorHAnsi" w:eastAsiaTheme="minorEastAsia" w:hAnsiTheme="minorHAnsi" w:cstheme="minorBidi"/>
              <w:noProof/>
              <w:sz w:val="22"/>
              <w:szCs w:val="22"/>
            </w:rPr>
          </w:pPr>
          <w:hyperlink w:anchor="_Toc505596438" w:history="1">
            <w:r w:rsidR="00292EF1" w:rsidRPr="00061CE5">
              <w:rPr>
                <w:rStyle w:val="Hyperlink"/>
                <w:noProof/>
              </w:rPr>
              <w:t>4.  Methods to Maximize Response Rates and Deal with Nonresponse</w:t>
            </w:r>
            <w:r w:rsidR="00292EF1">
              <w:rPr>
                <w:noProof/>
                <w:webHidden/>
              </w:rPr>
              <w:tab/>
            </w:r>
            <w:r w:rsidR="00292EF1">
              <w:rPr>
                <w:noProof/>
                <w:webHidden/>
              </w:rPr>
              <w:fldChar w:fldCharType="begin"/>
            </w:r>
            <w:r w:rsidR="00292EF1">
              <w:rPr>
                <w:noProof/>
                <w:webHidden/>
              </w:rPr>
              <w:instrText xml:space="preserve"> PAGEREF _Toc505596438 \h </w:instrText>
            </w:r>
            <w:r w:rsidR="00292EF1">
              <w:rPr>
                <w:noProof/>
                <w:webHidden/>
              </w:rPr>
            </w:r>
            <w:r w:rsidR="00292EF1">
              <w:rPr>
                <w:noProof/>
                <w:webHidden/>
              </w:rPr>
              <w:fldChar w:fldCharType="separate"/>
            </w:r>
            <w:r w:rsidR="000D31F7">
              <w:rPr>
                <w:noProof/>
                <w:webHidden/>
              </w:rPr>
              <w:t>11</w:t>
            </w:r>
            <w:r w:rsidR="00292EF1">
              <w:rPr>
                <w:noProof/>
                <w:webHidden/>
              </w:rPr>
              <w:fldChar w:fldCharType="end"/>
            </w:r>
          </w:hyperlink>
        </w:p>
        <w:p w14:paraId="37D7366F" w14:textId="117DDD37" w:rsidR="00292EF1" w:rsidRDefault="00214828">
          <w:pPr>
            <w:pStyle w:val="TOC1"/>
            <w:tabs>
              <w:tab w:val="right" w:leader="dot" w:pos="9350"/>
            </w:tabs>
            <w:rPr>
              <w:rFonts w:asciiTheme="minorHAnsi" w:eastAsiaTheme="minorEastAsia" w:hAnsiTheme="minorHAnsi" w:cstheme="minorBidi"/>
              <w:noProof/>
              <w:sz w:val="22"/>
              <w:szCs w:val="22"/>
            </w:rPr>
          </w:pPr>
          <w:hyperlink w:anchor="_Toc505596439" w:history="1">
            <w:r w:rsidR="00292EF1" w:rsidRPr="00061CE5">
              <w:rPr>
                <w:rStyle w:val="Hyperlink"/>
                <w:noProof/>
              </w:rPr>
              <w:t>5.  Tests of Procedures or Methods to be Undertaken</w:t>
            </w:r>
            <w:r w:rsidR="00292EF1">
              <w:rPr>
                <w:noProof/>
                <w:webHidden/>
              </w:rPr>
              <w:tab/>
            </w:r>
            <w:r w:rsidR="00292EF1">
              <w:rPr>
                <w:noProof/>
                <w:webHidden/>
              </w:rPr>
              <w:fldChar w:fldCharType="begin"/>
            </w:r>
            <w:r w:rsidR="00292EF1">
              <w:rPr>
                <w:noProof/>
                <w:webHidden/>
              </w:rPr>
              <w:instrText xml:space="preserve"> PAGEREF _Toc505596439 \h </w:instrText>
            </w:r>
            <w:r w:rsidR="00292EF1">
              <w:rPr>
                <w:noProof/>
                <w:webHidden/>
              </w:rPr>
            </w:r>
            <w:r w:rsidR="00292EF1">
              <w:rPr>
                <w:noProof/>
                <w:webHidden/>
              </w:rPr>
              <w:fldChar w:fldCharType="separate"/>
            </w:r>
            <w:r w:rsidR="000D31F7">
              <w:rPr>
                <w:noProof/>
                <w:webHidden/>
              </w:rPr>
              <w:t>13</w:t>
            </w:r>
            <w:r w:rsidR="00292EF1">
              <w:rPr>
                <w:noProof/>
                <w:webHidden/>
              </w:rPr>
              <w:fldChar w:fldCharType="end"/>
            </w:r>
          </w:hyperlink>
        </w:p>
        <w:p w14:paraId="56500961" w14:textId="19EE3B7F" w:rsidR="00292EF1" w:rsidRDefault="00214828">
          <w:pPr>
            <w:pStyle w:val="TOC1"/>
            <w:tabs>
              <w:tab w:val="right" w:leader="dot" w:pos="9350"/>
            </w:tabs>
            <w:rPr>
              <w:rFonts w:asciiTheme="minorHAnsi" w:eastAsiaTheme="minorEastAsia" w:hAnsiTheme="minorHAnsi" w:cstheme="minorBidi"/>
              <w:noProof/>
              <w:sz w:val="22"/>
              <w:szCs w:val="22"/>
            </w:rPr>
          </w:pPr>
          <w:hyperlink w:anchor="_Toc505596440" w:history="1">
            <w:r w:rsidR="00292EF1" w:rsidRPr="00061CE5">
              <w:rPr>
                <w:rStyle w:val="Hyperlink"/>
                <w:noProof/>
              </w:rPr>
              <w:t>6.  Individuals Consulted on Statistical Aspects and Individuals Collecting and/or Analyzing Data</w:t>
            </w:r>
            <w:r w:rsidR="00292EF1">
              <w:rPr>
                <w:noProof/>
                <w:webHidden/>
              </w:rPr>
              <w:tab/>
            </w:r>
            <w:r w:rsidR="00292EF1">
              <w:rPr>
                <w:noProof/>
                <w:webHidden/>
              </w:rPr>
              <w:fldChar w:fldCharType="begin"/>
            </w:r>
            <w:r w:rsidR="00292EF1">
              <w:rPr>
                <w:noProof/>
                <w:webHidden/>
              </w:rPr>
              <w:instrText xml:space="preserve"> PAGEREF _Toc505596440 \h </w:instrText>
            </w:r>
            <w:r w:rsidR="00292EF1">
              <w:rPr>
                <w:noProof/>
                <w:webHidden/>
              </w:rPr>
            </w:r>
            <w:r w:rsidR="00292EF1">
              <w:rPr>
                <w:noProof/>
                <w:webHidden/>
              </w:rPr>
              <w:fldChar w:fldCharType="separate"/>
            </w:r>
            <w:r w:rsidR="000D31F7">
              <w:rPr>
                <w:noProof/>
                <w:webHidden/>
              </w:rPr>
              <w:t>13</w:t>
            </w:r>
            <w:r w:rsidR="00292EF1">
              <w:rPr>
                <w:noProof/>
                <w:webHidden/>
              </w:rPr>
              <w:fldChar w:fldCharType="end"/>
            </w:r>
          </w:hyperlink>
        </w:p>
        <w:p w14:paraId="5AB8F20A" w14:textId="25396991" w:rsidR="009923BE" w:rsidRDefault="00292EF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b/>
              <w:bCs/>
              <w:noProof/>
            </w:rPr>
            <w:fldChar w:fldCharType="end"/>
          </w:r>
        </w:p>
      </w:sdtContent>
    </w:sdt>
    <w:p w14:paraId="56DEB5E8" w14:textId="77777777" w:rsidR="002374B9" w:rsidRPr="00F1580F" w:rsidRDefault="002374B9" w:rsidP="002374B9">
      <w:pPr>
        <w:rPr>
          <w:b/>
          <w:bCs/>
        </w:rPr>
      </w:pPr>
      <w:r w:rsidRPr="00F1580F">
        <w:t>List of Attachments</w:t>
      </w:r>
    </w:p>
    <w:p w14:paraId="38B39568" w14:textId="77777777" w:rsidR="002374B9" w:rsidRDefault="002374B9" w:rsidP="002374B9">
      <w:r>
        <w:rPr>
          <w:bCs/>
        </w:rPr>
        <w:t xml:space="preserve">NAMCS = </w:t>
      </w:r>
      <w:r>
        <w:t>National Ambulatory Medical Care Survey</w:t>
      </w:r>
    </w:p>
    <w:p w14:paraId="5C779963" w14:textId="77777777" w:rsidR="002374B9" w:rsidRDefault="002374B9" w:rsidP="002374B9">
      <w:pPr>
        <w:rPr>
          <w:bCs/>
        </w:rPr>
      </w:pPr>
      <w:r>
        <w:t>CHC = Community Health Center</w:t>
      </w:r>
    </w:p>
    <w:p w14:paraId="7344464D" w14:textId="77777777" w:rsidR="002374B9" w:rsidRDefault="002374B9" w:rsidP="0048291F">
      <w:pPr>
        <w:rPr>
          <w:bCs/>
        </w:rPr>
      </w:pPr>
    </w:p>
    <w:p w14:paraId="1D49E1EC" w14:textId="77777777" w:rsidR="002374B9" w:rsidRDefault="002374B9" w:rsidP="008B1ED5">
      <w:pPr>
        <w:pStyle w:val="ListParagraph"/>
        <w:numPr>
          <w:ilvl w:val="0"/>
          <w:numId w:val="27"/>
        </w:numPr>
        <w:spacing w:line="360" w:lineRule="auto"/>
        <w:rPr>
          <w:bCs/>
        </w:rPr>
      </w:pPr>
      <w:r w:rsidRPr="009F7CB0">
        <w:rPr>
          <w:bCs/>
        </w:rPr>
        <w:t>Applicable Laws and Regulations</w:t>
      </w:r>
    </w:p>
    <w:p w14:paraId="47C470A3" w14:textId="0AD0CC1B" w:rsidR="0048291F" w:rsidRPr="0048291F" w:rsidRDefault="002374B9" w:rsidP="008B1ED5">
      <w:pPr>
        <w:pStyle w:val="ListParagraph"/>
        <w:numPr>
          <w:ilvl w:val="0"/>
          <w:numId w:val="27"/>
        </w:numPr>
        <w:spacing w:line="360" w:lineRule="auto"/>
        <w:rPr>
          <w:bCs/>
        </w:rPr>
      </w:pPr>
      <w:r w:rsidRPr="0048291F">
        <w:rPr>
          <w:bCs/>
        </w:rPr>
        <w:t xml:space="preserve">60-day Federal Register Notice </w:t>
      </w:r>
    </w:p>
    <w:p w14:paraId="0C09876C" w14:textId="0E747DE0" w:rsidR="002374B9" w:rsidRDefault="002374B9" w:rsidP="008B1ED5">
      <w:pPr>
        <w:spacing w:line="360" w:lineRule="auto"/>
        <w:contextualSpacing/>
      </w:pPr>
      <w:r>
        <w:t xml:space="preserve">C1. 2019 NAMCS-1 List of all </w:t>
      </w:r>
      <w:r w:rsidR="000F6807">
        <w:t>P</w:t>
      </w:r>
      <w:r>
        <w:t xml:space="preserve">roposed </w:t>
      </w:r>
      <w:r w:rsidR="000F6807">
        <w:t>Q</w:t>
      </w:r>
      <w:r>
        <w:t xml:space="preserve">uestions </w:t>
      </w:r>
      <w:r w:rsidRPr="005E5BB8">
        <w:t xml:space="preserve">for Traditional Office-based </w:t>
      </w:r>
      <w:r>
        <w:t>Physicians</w:t>
      </w:r>
    </w:p>
    <w:p w14:paraId="649D0409" w14:textId="77777777" w:rsidR="002374B9" w:rsidRDefault="002374B9" w:rsidP="008B1ED5">
      <w:pPr>
        <w:spacing w:line="360" w:lineRule="auto"/>
        <w:contextualSpacing/>
      </w:pPr>
      <w:r>
        <w:t>C2.  2018 Induction Sample Card for Traditional Office-based Physicians</w:t>
      </w:r>
    </w:p>
    <w:p w14:paraId="76B0CA3F" w14:textId="77777777" w:rsidR="002374B9" w:rsidRPr="005E5BB8" w:rsidRDefault="002374B9" w:rsidP="008B1ED5">
      <w:pPr>
        <w:spacing w:line="360" w:lineRule="auto"/>
        <w:contextualSpacing/>
        <w:rPr>
          <w:b/>
        </w:rPr>
      </w:pPr>
      <w:r>
        <w:t>C3.  2019 Induction Sample Card for Traditional Office-based Physicians</w:t>
      </w:r>
    </w:p>
    <w:p w14:paraId="774BD230" w14:textId="400630B1" w:rsidR="002374B9" w:rsidRDefault="002374B9" w:rsidP="008B1ED5">
      <w:pPr>
        <w:spacing w:line="360" w:lineRule="auto"/>
        <w:contextualSpacing/>
      </w:pPr>
      <w:r>
        <w:t xml:space="preserve">C4. 2019 NAMCS-1 List of </w:t>
      </w:r>
      <w:r w:rsidR="000F6807">
        <w:t>A</w:t>
      </w:r>
      <w:r>
        <w:t xml:space="preserve">ll </w:t>
      </w:r>
      <w:r w:rsidR="000F6807">
        <w:t>P</w:t>
      </w:r>
      <w:r>
        <w:t xml:space="preserve">roposed </w:t>
      </w:r>
      <w:r w:rsidR="000F6807">
        <w:t>Q</w:t>
      </w:r>
      <w:r>
        <w:t xml:space="preserve">uestions </w:t>
      </w:r>
      <w:r w:rsidRPr="005E5BB8">
        <w:t>for</w:t>
      </w:r>
      <w:r>
        <w:t xml:space="preserve"> </w:t>
      </w:r>
      <w:r w:rsidRPr="005E5BB8">
        <w:t>CHC Providers</w:t>
      </w:r>
    </w:p>
    <w:p w14:paraId="32CB6CA8" w14:textId="445C227E" w:rsidR="002374B9" w:rsidRDefault="002374B9" w:rsidP="008B1ED5">
      <w:pPr>
        <w:spacing w:line="360" w:lineRule="auto"/>
        <w:contextualSpacing/>
      </w:pPr>
      <w:r>
        <w:t>C5. 2018 NAMCS-1 Induction Sample Card for CHC Providers</w:t>
      </w:r>
    </w:p>
    <w:p w14:paraId="41142E31" w14:textId="451E8B42" w:rsidR="002374B9" w:rsidRDefault="002374B9" w:rsidP="008B1ED5">
      <w:pPr>
        <w:spacing w:line="360" w:lineRule="auto"/>
        <w:contextualSpacing/>
      </w:pPr>
      <w:r>
        <w:t>C6. 2019 NAMCS-1 Induction Sample Card for CHC Providers</w:t>
      </w:r>
    </w:p>
    <w:p w14:paraId="3E3CDA61" w14:textId="77777777" w:rsidR="002374B9" w:rsidRPr="00F92386" w:rsidRDefault="002374B9" w:rsidP="008B1ED5">
      <w:pPr>
        <w:spacing w:line="360" w:lineRule="auto"/>
        <w:contextualSpacing/>
        <w:rPr>
          <w:bCs/>
        </w:rPr>
      </w:pPr>
      <w:r w:rsidRPr="00F92386">
        <w:rPr>
          <w:bCs/>
        </w:rPr>
        <w:t>D. Consultants for 2019-2021 NAMCS</w:t>
      </w:r>
    </w:p>
    <w:p w14:paraId="3F928724" w14:textId="77777777" w:rsidR="002374B9" w:rsidRDefault="002374B9" w:rsidP="008B1ED5">
      <w:pPr>
        <w:spacing w:line="360" w:lineRule="auto"/>
        <w:contextualSpacing/>
      </w:pPr>
      <w:r>
        <w:t>E1. 2019 NAMCS-201 CHC Service Delivery Site Induction Interview</w:t>
      </w:r>
    </w:p>
    <w:p w14:paraId="735749FD" w14:textId="77777777" w:rsidR="002374B9" w:rsidRPr="00BF4343" w:rsidRDefault="002374B9" w:rsidP="008B1ED5">
      <w:pPr>
        <w:spacing w:line="360" w:lineRule="auto"/>
        <w:contextualSpacing/>
        <w:rPr>
          <w:szCs w:val="28"/>
        </w:rPr>
      </w:pPr>
      <w:r>
        <w:t>E2.</w:t>
      </w:r>
      <w:r w:rsidRPr="00BF4343">
        <w:rPr>
          <w:b/>
          <w:sz w:val="28"/>
          <w:szCs w:val="28"/>
        </w:rPr>
        <w:t xml:space="preserve"> </w:t>
      </w:r>
      <w:r w:rsidRPr="00BF4343">
        <w:rPr>
          <w:szCs w:val="28"/>
        </w:rPr>
        <w:t>2019 NAMCS-201 CHC Service Delivery</w:t>
      </w:r>
      <w:r>
        <w:rPr>
          <w:szCs w:val="28"/>
        </w:rPr>
        <w:t xml:space="preserve"> </w:t>
      </w:r>
      <w:r w:rsidRPr="00BF4343">
        <w:rPr>
          <w:szCs w:val="28"/>
        </w:rPr>
        <w:t>Site Induction Interview Sample Card</w:t>
      </w:r>
    </w:p>
    <w:p w14:paraId="028B7F5B" w14:textId="13E5D5E2" w:rsidR="002374B9" w:rsidRPr="0048291F" w:rsidRDefault="002374B9" w:rsidP="008B1ED5">
      <w:pPr>
        <w:spacing w:line="360" w:lineRule="auto"/>
        <w:contextualSpacing/>
        <w:rPr>
          <w:bCs/>
        </w:rPr>
      </w:pPr>
      <w:r w:rsidRPr="00DC659E">
        <w:rPr>
          <w:bCs/>
        </w:rPr>
        <w:t>F</w:t>
      </w:r>
      <w:r w:rsidR="00BA7370" w:rsidRPr="00DC659E">
        <w:rPr>
          <w:bCs/>
        </w:rPr>
        <w:t>1</w:t>
      </w:r>
      <w:r w:rsidRPr="00DC659E">
        <w:rPr>
          <w:bCs/>
        </w:rPr>
        <w:t>. 201</w:t>
      </w:r>
      <w:r w:rsidR="005E572E">
        <w:rPr>
          <w:bCs/>
        </w:rPr>
        <w:t>9</w:t>
      </w:r>
      <w:r w:rsidRPr="00DC659E">
        <w:rPr>
          <w:bCs/>
        </w:rPr>
        <w:t xml:space="preserve"> Patient Record </w:t>
      </w:r>
      <w:r w:rsidR="000F6807">
        <w:rPr>
          <w:bCs/>
        </w:rPr>
        <w:t>F</w:t>
      </w:r>
      <w:r w:rsidRPr="00DC659E">
        <w:rPr>
          <w:bCs/>
        </w:rPr>
        <w:t>orm Sample Card</w:t>
      </w:r>
    </w:p>
    <w:p w14:paraId="191F55B0" w14:textId="178389DF" w:rsidR="002374B9" w:rsidRPr="00A85F00" w:rsidRDefault="002374B9" w:rsidP="008B1ED5">
      <w:pPr>
        <w:spacing w:line="360" w:lineRule="auto"/>
        <w:contextualSpacing/>
        <w:rPr>
          <w:bCs/>
        </w:rPr>
      </w:pPr>
      <w:r w:rsidRPr="00A85F00">
        <w:rPr>
          <w:bCs/>
        </w:rPr>
        <w:t xml:space="preserve">G. 2018 NAMCS Reabstraction Study </w:t>
      </w:r>
      <w:r w:rsidR="000F6807">
        <w:rPr>
          <w:bCs/>
        </w:rPr>
        <w:t>S</w:t>
      </w:r>
      <w:r w:rsidRPr="00A85F00">
        <w:rPr>
          <w:bCs/>
        </w:rPr>
        <w:t>creenshots</w:t>
      </w:r>
    </w:p>
    <w:p w14:paraId="62270B90" w14:textId="77777777" w:rsidR="002374B9" w:rsidRPr="00A85F00" w:rsidRDefault="002374B9" w:rsidP="008B1ED5">
      <w:pPr>
        <w:spacing w:line="360" w:lineRule="auto"/>
        <w:contextualSpacing/>
        <w:rPr>
          <w:bCs/>
        </w:rPr>
      </w:pPr>
      <w:r w:rsidRPr="00A85F00">
        <w:rPr>
          <w:bCs/>
        </w:rPr>
        <w:t>H. IRB Continuation of Protocol Approval Letter</w:t>
      </w:r>
    </w:p>
    <w:p w14:paraId="0EF39039" w14:textId="0D928F80" w:rsidR="002374B9" w:rsidRPr="00A85F00" w:rsidRDefault="002374B9" w:rsidP="008B1ED5">
      <w:pPr>
        <w:spacing w:line="360" w:lineRule="auto"/>
        <w:contextualSpacing/>
        <w:rPr>
          <w:bCs/>
        </w:rPr>
      </w:pPr>
      <w:r w:rsidRPr="00A85F00">
        <w:rPr>
          <w:bCs/>
        </w:rPr>
        <w:t>I. 2018</w:t>
      </w:r>
      <w:r w:rsidR="00805381">
        <w:rPr>
          <w:bCs/>
        </w:rPr>
        <w:t>-2019</w:t>
      </w:r>
      <w:r w:rsidRPr="00A85F00">
        <w:rPr>
          <w:bCs/>
        </w:rPr>
        <w:t xml:space="preserve"> NAMCS Patient Record </w:t>
      </w:r>
      <w:r w:rsidR="00805381">
        <w:rPr>
          <w:bCs/>
        </w:rPr>
        <w:t>F</w:t>
      </w:r>
      <w:r w:rsidRPr="00A85F00">
        <w:rPr>
          <w:bCs/>
        </w:rPr>
        <w:t>orm (PRF): Pulling and Re-filing Medical Records</w:t>
      </w:r>
    </w:p>
    <w:p w14:paraId="30F08651" w14:textId="3A6AE077" w:rsidR="002374B9" w:rsidRPr="002A2D98" w:rsidRDefault="002374B9" w:rsidP="008B1ED5">
      <w:pPr>
        <w:spacing w:line="360" w:lineRule="auto"/>
        <w:contextualSpacing/>
        <w:rPr>
          <w:bCs/>
        </w:rPr>
      </w:pPr>
      <w:r>
        <w:t xml:space="preserve">J. 2018 NAMCS Reabstraction Study: </w:t>
      </w:r>
      <w:r w:rsidRPr="002A2D98">
        <w:rPr>
          <w:bCs/>
        </w:rPr>
        <w:t>Pulling and Re-filing Medical Records</w:t>
      </w:r>
    </w:p>
    <w:p w14:paraId="45F53F5D" w14:textId="77777777" w:rsidR="0048291F" w:rsidRDefault="0048291F" w:rsidP="008B1ED5">
      <w:pPr>
        <w:spacing w:line="360" w:lineRule="auto"/>
        <w:contextualSpacing/>
        <w:rPr>
          <w:bCs/>
        </w:rPr>
      </w:pPr>
      <w:r w:rsidRPr="002A2D98">
        <w:rPr>
          <w:bCs/>
        </w:rPr>
        <w:t>K</w:t>
      </w:r>
      <w:r>
        <w:rPr>
          <w:bCs/>
        </w:rPr>
        <w:t>1</w:t>
      </w:r>
      <w:r w:rsidRPr="002A2D98">
        <w:rPr>
          <w:bCs/>
        </w:rPr>
        <w:t xml:space="preserve">. </w:t>
      </w:r>
      <w:r>
        <w:rPr>
          <w:bCs/>
        </w:rPr>
        <w:t xml:space="preserve">2018 </w:t>
      </w:r>
      <w:r w:rsidRPr="002A2D98">
        <w:rPr>
          <w:bCs/>
        </w:rPr>
        <w:t>NAMCS Advanced Letters</w:t>
      </w:r>
    </w:p>
    <w:p w14:paraId="6C8CB204" w14:textId="77777777" w:rsidR="0048291F" w:rsidRPr="002A2D98" w:rsidRDefault="0048291F" w:rsidP="008B1ED5">
      <w:pPr>
        <w:spacing w:line="360" w:lineRule="auto"/>
        <w:contextualSpacing/>
        <w:rPr>
          <w:bCs/>
        </w:rPr>
      </w:pPr>
      <w:r>
        <w:rPr>
          <w:bCs/>
        </w:rPr>
        <w:t>K2. 2019 NAMCS Advance Letters</w:t>
      </w:r>
    </w:p>
    <w:p w14:paraId="20DC7442" w14:textId="77777777" w:rsidR="002374B9" w:rsidRPr="002A2D98" w:rsidRDefault="002374B9" w:rsidP="008B1ED5">
      <w:pPr>
        <w:spacing w:line="360" w:lineRule="auto"/>
        <w:contextualSpacing/>
        <w:rPr>
          <w:bCs/>
        </w:rPr>
      </w:pPr>
      <w:r w:rsidRPr="002A2D98">
        <w:rPr>
          <w:bCs/>
        </w:rPr>
        <w:t>L. NAMCS Brochure</w:t>
      </w:r>
    </w:p>
    <w:p w14:paraId="4464D53A" w14:textId="11D078E6" w:rsidR="002374B9" w:rsidRDefault="002374B9" w:rsidP="008B1ED5">
      <w:pPr>
        <w:spacing w:line="360" w:lineRule="auto"/>
        <w:contextualSpacing/>
        <w:rPr>
          <w:bCs/>
        </w:rPr>
      </w:pPr>
      <w:r>
        <w:rPr>
          <w:bCs/>
        </w:rPr>
        <w:t xml:space="preserve">M. </w:t>
      </w:r>
      <w:r w:rsidRPr="002A2D98">
        <w:rPr>
          <w:bCs/>
        </w:rPr>
        <w:t>NAMCS Endorsing Organizational Letters</w:t>
      </w:r>
    </w:p>
    <w:p w14:paraId="05BAC4AF" w14:textId="63687DE6" w:rsidR="00A21D23" w:rsidRPr="00DC659E" w:rsidRDefault="00A21D23" w:rsidP="008B1ED5">
      <w:pPr>
        <w:spacing w:line="360" w:lineRule="auto"/>
        <w:contextualSpacing/>
        <w:rPr>
          <w:bCs/>
        </w:rPr>
      </w:pPr>
      <w:r w:rsidRPr="00DC659E">
        <w:rPr>
          <w:bCs/>
        </w:rPr>
        <w:lastRenderedPageBreak/>
        <w:t>N. 2019 NAMCS-PFI MU Physicians</w:t>
      </w:r>
    </w:p>
    <w:p w14:paraId="3AB2BE5E" w14:textId="563CF4BD" w:rsidR="00A21D23" w:rsidRPr="00DC659E" w:rsidRDefault="00A21D23" w:rsidP="008B1ED5">
      <w:pPr>
        <w:spacing w:line="360" w:lineRule="auto"/>
        <w:contextualSpacing/>
        <w:rPr>
          <w:bCs/>
        </w:rPr>
      </w:pPr>
      <w:r w:rsidRPr="00DC659E">
        <w:rPr>
          <w:bCs/>
        </w:rPr>
        <w:t>O. Detailed Description of Burden Row Calculations</w:t>
      </w:r>
    </w:p>
    <w:p w14:paraId="7B85CB2D" w14:textId="5D064727" w:rsidR="00A21D23" w:rsidRDefault="00A21D23" w:rsidP="008B1ED5">
      <w:pPr>
        <w:spacing w:line="360" w:lineRule="auto"/>
        <w:contextualSpacing/>
        <w:rPr>
          <w:bCs/>
        </w:rPr>
      </w:pPr>
      <w:r w:rsidRPr="00DC659E">
        <w:rPr>
          <w:bCs/>
        </w:rPr>
        <w:t>P. 2019 ERB Burden Abstract</w:t>
      </w:r>
    </w:p>
    <w:p w14:paraId="54E47DE8" w14:textId="31A45B6C" w:rsidR="0088780A" w:rsidRDefault="0088780A" w:rsidP="008B1ED5">
      <w:pPr>
        <w:spacing w:line="360" w:lineRule="auto"/>
        <w:contextualSpacing/>
      </w:pPr>
      <w:r w:rsidRPr="007419E3">
        <w:rPr>
          <w:bCs/>
        </w:rPr>
        <w:t xml:space="preserve">Q. </w:t>
      </w:r>
      <w:r w:rsidRPr="007419E3">
        <w:t>2019</w:t>
      </w:r>
      <w:r w:rsidR="00805381">
        <w:t>-2021</w:t>
      </w:r>
      <w:r w:rsidRPr="007419E3">
        <w:t xml:space="preserve"> NAMCS Reinterview Study </w:t>
      </w:r>
      <w:r w:rsidR="00805381">
        <w:t>Questionnaire</w:t>
      </w:r>
    </w:p>
    <w:p w14:paraId="742B3FB9" w14:textId="350FC1AC" w:rsidR="00EC532A" w:rsidRPr="007419E3" w:rsidRDefault="00EC532A" w:rsidP="008B1ED5">
      <w:pPr>
        <w:spacing w:line="360" w:lineRule="auto"/>
        <w:contextualSpacing/>
        <w:rPr>
          <w:bCs/>
        </w:rPr>
      </w:pPr>
      <w:r>
        <w:t>R. 2018 NAMCS FAQs</w:t>
      </w:r>
    </w:p>
    <w:p w14:paraId="4A6CAC67" w14:textId="77777777" w:rsidR="006C1EC5" w:rsidRDefault="006C1EC5" w:rsidP="00E8674E">
      <w:pPr>
        <w:pStyle w:val="Heading1"/>
      </w:pPr>
      <w:bookmarkStart w:id="1" w:name="_Toc505596434"/>
      <w:r>
        <w:t>B.  Collections of Information Employing Statistical Methods</w:t>
      </w:r>
      <w:bookmarkEnd w:id="1"/>
    </w:p>
    <w:p w14:paraId="461EB513" w14:textId="77777777" w:rsidR="006C1EC5" w:rsidRDefault="006C1EC5" w:rsidP="0076551A">
      <w:pPr>
        <w:pStyle w:val="Heading1"/>
      </w:pPr>
      <w:bookmarkStart w:id="2" w:name="_Toc505596435"/>
      <w:r>
        <w:t>1.  Respondent Universe and Sampling Methods</w:t>
      </w:r>
      <w:bookmarkEnd w:id="2"/>
    </w:p>
    <w:p w14:paraId="23156296" w14:textId="77777777" w:rsidR="006C1EC5" w:rsidRDefault="006C1EC5">
      <w:pPr>
        <w:rPr>
          <w:color w:val="000000"/>
        </w:rPr>
      </w:pPr>
    </w:p>
    <w:p w14:paraId="0673CF51" w14:textId="54435AD6" w:rsidR="00E80C1D" w:rsidRPr="00170EBB" w:rsidRDefault="00B87A14" w:rsidP="00E80C1D">
      <w:r w:rsidRPr="00170EBB">
        <w:t>T</w:t>
      </w:r>
      <w:r w:rsidR="00E80C1D" w:rsidRPr="00170EBB">
        <w:t xml:space="preserve">he </w:t>
      </w:r>
      <w:r w:rsidRPr="00170EBB">
        <w:t xml:space="preserve">National Ambulatory Medical Care Survey (NAMCS) </w:t>
      </w:r>
      <w:r w:rsidR="00E80C1D" w:rsidRPr="00170EBB">
        <w:t>basic statistical design and data collection methods</w:t>
      </w:r>
      <w:r w:rsidR="00020420" w:rsidRPr="00170EBB">
        <w:t xml:space="preserve"> were updated in 2012 and </w:t>
      </w:r>
      <w:r w:rsidR="00AF5B09" w:rsidRPr="00170EBB">
        <w:t xml:space="preserve">will </w:t>
      </w:r>
      <w:r w:rsidR="00020420" w:rsidRPr="00170EBB">
        <w:t>continue</w:t>
      </w:r>
      <w:r w:rsidR="00E80C1D" w:rsidRPr="00170EBB">
        <w:t xml:space="preserve"> for the </w:t>
      </w:r>
      <w:r w:rsidR="0000405F" w:rsidRPr="00170EBB">
        <w:t>201</w:t>
      </w:r>
      <w:r w:rsidR="003A4C2D" w:rsidRPr="00170EBB">
        <w:t>9</w:t>
      </w:r>
      <w:r w:rsidR="0000405F" w:rsidRPr="00170EBB">
        <w:t>-20</w:t>
      </w:r>
      <w:r w:rsidR="003A4C2D" w:rsidRPr="00170EBB">
        <w:t>21</w:t>
      </w:r>
      <w:r w:rsidR="00127151" w:rsidRPr="00170EBB">
        <w:t xml:space="preserve"> </w:t>
      </w:r>
      <w:r w:rsidR="00E80C1D" w:rsidRPr="00170EBB">
        <w:t>NAMCS</w:t>
      </w:r>
      <w:r w:rsidR="00020420" w:rsidRPr="00170EBB">
        <w:t xml:space="preserve">. The projected sample size for </w:t>
      </w:r>
      <w:r w:rsidR="0000405F" w:rsidRPr="00170EBB">
        <w:t>201</w:t>
      </w:r>
      <w:r w:rsidR="003A4C2D" w:rsidRPr="00170EBB">
        <w:t>9</w:t>
      </w:r>
      <w:r w:rsidR="0000405F" w:rsidRPr="00170EBB">
        <w:t>-20</w:t>
      </w:r>
      <w:r w:rsidR="003A4C2D" w:rsidRPr="00170EBB">
        <w:t>21</w:t>
      </w:r>
      <w:r w:rsidR="00220E67" w:rsidRPr="00170EBB">
        <w:t xml:space="preserve"> </w:t>
      </w:r>
      <w:r w:rsidR="00472EBA" w:rsidRPr="00170EBB">
        <w:t>is</w:t>
      </w:r>
      <w:r w:rsidR="0011174B" w:rsidRPr="00170EBB">
        <w:t xml:space="preserve"> 3,000 </w:t>
      </w:r>
      <w:r w:rsidR="003435F3" w:rsidRPr="00170EBB">
        <w:t xml:space="preserve">traditional </w:t>
      </w:r>
      <w:r w:rsidR="0011174B" w:rsidRPr="00170EBB">
        <w:t>office-based physicians</w:t>
      </w:r>
      <w:r w:rsidR="0048291F" w:rsidRPr="00170EBB">
        <w:t xml:space="preserve"> and </w:t>
      </w:r>
      <w:r w:rsidR="008612A9" w:rsidRPr="00170EBB">
        <w:t>312</w:t>
      </w:r>
      <w:r w:rsidR="0048291F" w:rsidRPr="00170EBB">
        <w:t xml:space="preserve"> CHC providers annually, and 0</w:t>
      </w:r>
      <w:r w:rsidR="0011174B" w:rsidRPr="00170EBB">
        <w:t xml:space="preserve"> MU physicians </w:t>
      </w:r>
      <w:r w:rsidR="0048291F" w:rsidRPr="00170EBB">
        <w:t>in 2019, 3,000 MU physicians in 2020, and 3,000 MU physicians in 2021</w:t>
      </w:r>
      <w:r w:rsidR="0011174B" w:rsidRPr="00170EBB">
        <w:t xml:space="preserve">. </w:t>
      </w:r>
      <w:r w:rsidR="00220E67" w:rsidRPr="00170EBB">
        <w:t xml:space="preserve"> Census region and</w:t>
      </w:r>
      <w:r w:rsidR="003435F3" w:rsidRPr="00170EBB">
        <w:t xml:space="preserve"> Census</w:t>
      </w:r>
      <w:r w:rsidR="00220E67" w:rsidRPr="00170EBB">
        <w:t xml:space="preserve"> division estimates will be produced.</w:t>
      </w:r>
    </w:p>
    <w:p w14:paraId="23E4FA18" w14:textId="77777777" w:rsidR="00E80C1D" w:rsidRDefault="00E80C1D" w:rsidP="00E80C1D">
      <w:pPr>
        <w:rPr>
          <w:color w:val="000000"/>
        </w:rPr>
      </w:pPr>
    </w:p>
    <w:p w14:paraId="225B2FE1" w14:textId="77777777" w:rsidR="00DF4318" w:rsidRPr="00E44C80" w:rsidRDefault="00DF4318" w:rsidP="00394541">
      <w:pPr>
        <w:rPr>
          <w:color w:val="000000"/>
          <w:u w:val="single"/>
        </w:rPr>
      </w:pPr>
      <w:r w:rsidRPr="00E44C80">
        <w:rPr>
          <w:color w:val="000000"/>
          <w:u w:val="single"/>
        </w:rPr>
        <w:t>Respondent Universe</w:t>
      </w:r>
    </w:p>
    <w:p w14:paraId="1F489751" w14:textId="77777777" w:rsidR="00DF4318" w:rsidRDefault="00DF4318" w:rsidP="00E80C1D">
      <w:pPr>
        <w:rPr>
          <w:color w:val="000000"/>
        </w:rPr>
      </w:pPr>
    </w:p>
    <w:p w14:paraId="3EE1CA54" w14:textId="11D6FA0F" w:rsidR="00014447" w:rsidRDefault="00E80C1D" w:rsidP="00E80C1D">
      <w:pPr>
        <w:rPr>
          <w:color w:val="000000"/>
        </w:rPr>
      </w:pPr>
      <w:r w:rsidRPr="00E80C1D">
        <w:rPr>
          <w:color w:val="000000"/>
        </w:rPr>
        <w:t>There are two major components of the targeted NAMCS universe.  The first component consists of non</w:t>
      </w:r>
      <w:r w:rsidR="00D62432">
        <w:rPr>
          <w:color w:val="000000"/>
        </w:rPr>
        <w:t>-</w:t>
      </w:r>
      <w:r w:rsidR="003435F3">
        <w:rPr>
          <w:color w:val="000000"/>
        </w:rPr>
        <w:t>f</w:t>
      </w:r>
      <w:r w:rsidRPr="00E80C1D">
        <w:rPr>
          <w:color w:val="000000"/>
        </w:rPr>
        <w:t>ederally employed physicians (excluding those in the specialties of anesthesiology, radiology, and pathology) practicing in the United States who were classified by the American Medical Association (AMA) and the American Osteopathic Association (AOA) as being in “office-based, patient care”</w:t>
      </w:r>
      <w:r w:rsidR="00587663">
        <w:rPr>
          <w:color w:val="000000"/>
        </w:rPr>
        <w:t xml:space="preserve"> </w:t>
      </w:r>
      <w:r w:rsidR="000E76E6">
        <w:rPr>
          <w:color w:val="000000"/>
        </w:rPr>
        <w:t>and</w:t>
      </w:r>
      <w:r w:rsidR="00A742BC">
        <w:rPr>
          <w:color w:val="000000"/>
        </w:rPr>
        <w:t xml:space="preserve"> those classified by </w:t>
      </w:r>
      <w:r w:rsidR="00587663">
        <w:rPr>
          <w:color w:val="000000"/>
        </w:rPr>
        <w:t>AMA</w:t>
      </w:r>
      <w:r w:rsidR="00A742BC">
        <w:rPr>
          <w:color w:val="000000"/>
        </w:rPr>
        <w:t xml:space="preserve"> as being “hospital employed”</w:t>
      </w:r>
      <w:r w:rsidR="00994026">
        <w:rPr>
          <w:color w:val="000000"/>
        </w:rPr>
        <w:t xml:space="preserve"> (as a proxy for hospital owned practices).  </w:t>
      </w:r>
      <w:r w:rsidR="00B809ED">
        <w:rPr>
          <w:color w:val="000000"/>
        </w:rPr>
        <w:t>T</w:t>
      </w:r>
      <w:r w:rsidR="00DF4318">
        <w:rPr>
          <w:color w:val="000000"/>
        </w:rPr>
        <w:t xml:space="preserve">here </w:t>
      </w:r>
      <w:r w:rsidR="003A4C2D">
        <w:rPr>
          <w:color w:val="000000"/>
        </w:rPr>
        <w:t>were approximately</w:t>
      </w:r>
      <w:r w:rsidR="006245C4">
        <w:rPr>
          <w:color w:val="000000"/>
        </w:rPr>
        <w:t xml:space="preserve"> </w:t>
      </w:r>
      <w:r w:rsidR="00466694">
        <w:rPr>
          <w:color w:val="000000"/>
        </w:rPr>
        <w:t>623,629</w:t>
      </w:r>
      <w:r w:rsidRPr="00E80C1D">
        <w:rPr>
          <w:color w:val="000000"/>
        </w:rPr>
        <w:t xml:space="preserve"> physicians in </w:t>
      </w:r>
      <w:r w:rsidR="006245C4">
        <w:rPr>
          <w:color w:val="000000"/>
        </w:rPr>
        <w:t xml:space="preserve">the </w:t>
      </w:r>
      <w:r w:rsidR="00B809ED">
        <w:rPr>
          <w:color w:val="000000"/>
        </w:rPr>
        <w:t xml:space="preserve">sampling frame for </w:t>
      </w:r>
      <w:r w:rsidRPr="00E80C1D">
        <w:rPr>
          <w:color w:val="000000"/>
        </w:rPr>
        <w:t xml:space="preserve">this first component of the </w:t>
      </w:r>
      <w:r w:rsidR="003A4C2D">
        <w:rPr>
          <w:color w:val="000000"/>
        </w:rPr>
        <w:t xml:space="preserve">2018 </w:t>
      </w:r>
      <w:r w:rsidRPr="00E80C1D">
        <w:rPr>
          <w:color w:val="000000"/>
        </w:rPr>
        <w:t>NAMCS</w:t>
      </w:r>
      <w:r w:rsidR="003A4C2D">
        <w:rPr>
          <w:color w:val="000000"/>
        </w:rPr>
        <w:t xml:space="preserve"> </w:t>
      </w:r>
      <w:r w:rsidR="00D07E63">
        <w:rPr>
          <w:color w:val="000000"/>
        </w:rPr>
        <w:t xml:space="preserve">and </w:t>
      </w:r>
      <w:r w:rsidR="003A4C2D">
        <w:rPr>
          <w:color w:val="000000"/>
        </w:rPr>
        <w:t xml:space="preserve">with </w:t>
      </w:r>
      <w:r w:rsidR="00D07E63">
        <w:rPr>
          <w:color w:val="000000"/>
        </w:rPr>
        <w:t>632,206 physicians</w:t>
      </w:r>
      <w:r w:rsidR="003A4C2D">
        <w:rPr>
          <w:color w:val="000000"/>
        </w:rPr>
        <w:t xml:space="preserve"> in 2019</w:t>
      </w:r>
      <w:r w:rsidRPr="00E80C1D">
        <w:rPr>
          <w:color w:val="000000"/>
        </w:rPr>
        <w:t xml:space="preserve">.  </w:t>
      </w:r>
      <w:r w:rsidRPr="001A4A5E">
        <w:rPr>
          <w:color w:val="000000"/>
        </w:rPr>
        <w:t>The second component consists of physicians (</w:t>
      </w:r>
      <w:r w:rsidR="003435F3" w:rsidRPr="001A4A5E">
        <w:rPr>
          <w:color w:val="000000"/>
        </w:rPr>
        <w:t xml:space="preserve">both </w:t>
      </w:r>
      <w:r w:rsidR="001A4A5E" w:rsidRPr="001A4A5E">
        <w:rPr>
          <w:color w:val="000000"/>
        </w:rPr>
        <w:t>MDs and DOs) and</w:t>
      </w:r>
      <w:r w:rsidR="00BC2448" w:rsidRPr="001A4A5E">
        <w:rPr>
          <w:color w:val="000000"/>
        </w:rPr>
        <w:t xml:space="preserve"> </w:t>
      </w:r>
      <w:r w:rsidR="004A5A23" w:rsidRPr="001A4A5E">
        <w:rPr>
          <w:color w:val="000000"/>
        </w:rPr>
        <w:t>advanced practice provider</w:t>
      </w:r>
      <w:r w:rsidRPr="001A4A5E">
        <w:rPr>
          <w:color w:val="000000"/>
        </w:rPr>
        <w:t>s (</w:t>
      </w:r>
      <w:r w:rsidRPr="00E80C1D">
        <w:rPr>
          <w:color w:val="000000"/>
        </w:rPr>
        <w:t xml:space="preserve">i.e., nurse practitioners, physician assistants, and nurse mid-wives) practicing at community health centers (CHCs).  </w:t>
      </w:r>
    </w:p>
    <w:p w14:paraId="771BD26D" w14:textId="77777777" w:rsidR="00014447" w:rsidRDefault="00014447" w:rsidP="00E80C1D">
      <w:pPr>
        <w:rPr>
          <w:color w:val="000000"/>
        </w:rPr>
      </w:pPr>
    </w:p>
    <w:p w14:paraId="01649E9B" w14:textId="2AA45456" w:rsidR="00E80C1D" w:rsidRPr="00E80C1D" w:rsidRDefault="00E80C1D" w:rsidP="00E80C1D">
      <w:pPr>
        <w:rPr>
          <w:color w:val="000000"/>
        </w:rPr>
      </w:pPr>
      <w:r w:rsidRPr="00E80C1D">
        <w:rPr>
          <w:color w:val="000000"/>
        </w:rPr>
        <w:t xml:space="preserve">Unlike physicians in the office-based NAMCS, physicians and </w:t>
      </w:r>
      <w:r w:rsidR="004A5A23">
        <w:rPr>
          <w:color w:val="000000"/>
        </w:rPr>
        <w:t>advanced practice provider</w:t>
      </w:r>
      <w:r w:rsidRPr="00E80C1D">
        <w:rPr>
          <w:color w:val="000000"/>
        </w:rPr>
        <w:t xml:space="preserve">s working at CHCs are not selected </w:t>
      </w:r>
      <w:r w:rsidR="003D1594">
        <w:rPr>
          <w:color w:val="000000"/>
        </w:rPr>
        <w:t xml:space="preserve">at the first stage </w:t>
      </w:r>
      <w:r w:rsidRPr="00E80C1D">
        <w:rPr>
          <w:color w:val="000000"/>
        </w:rPr>
        <w:t xml:space="preserve">because a complete sampling frame </w:t>
      </w:r>
      <w:r w:rsidR="003D1594">
        <w:rPr>
          <w:color w:val="000000"/>
        </w:rPr>
        <w:t xml:space="preserve">of these </w:t>
      </w:r>
      <w:r w:rsidR="003D1594" w:rsidRPr="001A4A5E">
        <w:rPr>
          <w:color w:val="000000"/>
        </w:rPr>
        <w:t xml:space="preserve">providers </w:t>
      </w:r>
      <w:r w:rsidRPr="001A4A5E">
        <w:rPr>
          <w:color w:val="000000"/>
        </w:rPr>
        <w:t>is unavailable.  We include three different types of CHCs in the sample: (1) CHCs tha</w:t>
      </w:r>
      <w:r w:rsidR="003435F3" w:rsidRPr="001A4A5E">
        <w:rPr>
          <w:color w:val="000000"/>
        </w:rPr>
        <w:t>t</w:t>
      </w:r>
      <w:r w:rsidR="003435F3">
        <w:rPr>
          <w:color w:val="000000"/>
        </w:rPr>
        <w:t xml:space="preserve"> receive grant funds from the f</w:t>
      </w:r>
      <w:r w:rsidRPr="00E80C1D">
        <w:rPr>
          <w:color w:val="000000"/>
        </w:rPr>
        <w:t>ederal government through Section 330 of the Public Health Service Act; (2) look-alike CHCs who meet all the requirements to receive 330 grant funding, but do not actually receive a grant; and (3) Urban Indian Federally Qualifie</w:t>
      </w:r>
      <w:r w:rsidR="000952F0">
        <w:rPr>
          <w:color w:val="000000"/>
        </w:rPr>
        <w:t>d Health Centers.  The list of f</w:t>
      </w:r>
      <w:r w:rsidRPr="00E80C1D">
        <w:rPr>
          <w:color w:val="000000"/>
        </w:rPr>
        <w:t xml:space="preserve">ederally funded CHCs (330 grant) and look-alike CHCs </w:t>
      </w:r>
      <w:r w:rsidR="00D850AA">
        <w:rPr>
          <w:color w:val="000000"/>
        </w:rPr>
        <w:t xml:space="preserve">is </w:t>
      </w:r>
      <w:r w:rsidRPr="00E80C1D">
        <w:rPr>
          <w:color w:val="000000"/>
        </w:rPr>
        <w:t xml:space="preserve">provided by </w:t>
      </w:r>
      <w:r w:rsidR="00127151">
        <w:rPr>
          <w:color w:val="000000"/>
        </w:rPr>
        <w:t xml:space="preserve">the Health </w:t>
      </w:r>
      <w:r w:rsidR="000207EB">
        <w:rPr>
          <w:color w:val="000000"/>
        </w:rPr>
        <w:t xml:space="preserve">Resources and </w:t>
      </w:r>
      <w:r w:rsidR="00127151">
        <w:rPr>
          <w:color w:val="000000"/>
        </w:rPr>
        <w:t>Services Administration (HRSA)</w:t>
      </w:r>
      <w:r w:rsidRPr="00E80C1D">
        <w:rPr>
          <w:color w:val="000000"/>
        </w:rPr>
        <w:t>.</w:t>
      </w:r>
    </w:p>
    <w:p w14:paraId="0E5F9F75" w14:textId="77777777" w:rsidR="002F2082" w:rsidRPr="00E44C80" w:rsidRDefault="002F2082" w:rsidP="00014447">
      <w:pPr>
        <w:rPr>
          <w:u w:val="single"/>
        </w:rPr>
      </w:pPr>
    </w:p>
    <w:p w14:paraId="0574F4C1" w14:textId="32FC7089" w:rsidR="00F65EAC" w:rsidRPr="00E44C80" w:rsidRDefault="00155AAA" w:rsidP="00394541">
      <w:pPr>
        <w:pStyle w:val="ListParagraph"/>
        <w:ind w:left="0"/>
        <w:rPr>
          <w:u w:val="single"/>
        </w:rPr>
      </w:pPr>
      <w:r w:rsidRPr="00E44C80">
        <w:rPr>
          <w:u w:val="single"/>
        </w:rPr>
        <w:t>Office-based Physicians</w:t>
      </w:r>
    </w:p>
    <w:p w14:paraId="72DE5681" w14:textId="77777777" w:rsidR="006E3D39" w:rsidRDefault="006E3D39" w:rsidP="00014447">
      <w:pPr>
        <w:pStyle w:val="ListParagraph"/>
        <w:ind w:left="0"/>
        <w:rPr>
          <w:color w:val="000000"/>
        </w:rPr>
      </w:pPr>
    </w:p>
    <w:p w14:paraId="56A998DF" w14:textId="5F3338C8" w:rsidR="00014447" w:rsidRDefault="00014447" w:rsidP="00014447">
      <w:pPr>
        <w:pStyle w:val="ListParagraph"/>
        <w:ind w:left="0"/>
        <w:rPr>
          <w:color w:val="000000"/>
        </w:rPr>
      </w:pPr>
      <w:r>
        <w:t xml:space="preserve">In each NAMCS survey year, there is a </w:t>
      </w:r>
      <w:r w:rsidR="003D1594">
        <w:t xml:space="preserve">fresh </w:t>
      </w:r>
      <w:r>
        <w:t xml:space="preserve">core sample of 3,000 </w:t>
      </w:r>
      <w:r w:rsidR="003435F3">
        <w:t xml:space="preserve">traditional </w:t>
      </w:r>
      <w:r>
        <w:t xml:space="preserve">office-based physicians that NCHS commits to fund at a minimum. </w:t>
      </w:r>
      <w:r w:rsidR="003435F3">
        <w:t xml:space="preserve"> </w:t>
      </w:r>
      <w:r>
        <w:t xml:space="preserve">Additionally, each year a number of </w:t>
      </w:r>
      <w:r>
        <w:lastRenderedPageBreak/>
        <w:t>office-based physicians may be added to the core sample, if funds become available.</w:t>
      </w:r>
      <w:r w:rsidR="00FB5F97">
        <w:t xml:space="preserve"> Supplementary funds were not available </w:t>
      </w:r>
      <w:r w:rsidR="0079349B">
        <w:t>for</w:t>
      </w:r>
      <w:r w:rsidR="00FB5F97">
        <w:t xml:space="preserve"> 201</w:t>
      </w:r>
      <w:r w:rsidR="0079349B">
        <w:t>9</w:t>
      </w:r>
      <w:r w:rsidR="00F61808">
        <w:t>,</w:t>
      </w:r>
      <w:r w:rsidR="00FB5F97">
        <w:t xml:space="preserve"> therefore an expansion sample </w:t>
      </w:r>
      <w:r w:rsidR="00E50FD2">
        <w:t>will</w:t>
      </w:r>
      <w:r w:rsidR="00FB5F97">
        <w:t xml:space="preserve"> not</w:t>
      </w:r>
      <w:r w:rsidR="00E50FD2">
        <w:t xml:space="preserve"> be</w:t>
      </w:r>
      <w:r w:rsidR="00FB5F97">
        <w:t xml:space="preserve"> fielded.</w:t>
      </w:r>
      <w:r w:rsidR="003435F3">
        <w:t xml:space="preserve"> </w:t>
      </w:r>
      <w:r>
        <w:t xml:space="preserve"> </w:t>
      </w:r>
      <w:r w:rsidR="0079349B" w:rsidRPr="001A4A5E">
        <w:t>Thus, f</w:t>
      </w:r>
      <w:r w:rsidRPr="001A4A5E">
        <w:rPr>
          <w:color w:val="000000"/>
        </w:rPr>
        <w:t>or</w:t>
      </w:r>
      <w:r w:rsidR="00531E37" w:rsidRPr="001A4A5E">
        <w:rPr>
          <w:color w:val="000000"/>
        </w:rPr>
        <w:t xml:space="preserve"> 201</w:t>
      </w:r>
      <w:r w:rsidR="007A6DB4" w:rsidRPr="001A4A5E">
        <w:rPr>
          <w:color w:val="000000"/>
        </w:rPr>
        <w:t>9</w:t>
      </w:r>
      <w:r w:rsidR="00531E37" w:rsidRPr="001A4A5E">
        <w:rPr>
          <w:color w:val="000000"/>
        </w:rPr>
        <w:t>-20</w:t>
      </w:r>
      <w:r w:rsidR="007A6DB4" w:rsidRPr="001A4A5E">
        <w:rPr>
          <w:color w:val="000000"/>
        </w:rPr>
        <w:t>21</w:t>
      </w:r>
      <w:r w:rsidRPr="001A4A5E">
        <w:rPr>
          <w:color w:val="000000"/>
        </w:rPr>
        <w:t xml:space="preserve">, the proposed annualized </w:t>
      </w:r>
      <w:r w:rsidR="001A4A5E" w:rsidRPr="001A4A5E">
        <w:rPr>
          <w:color w:val="000000"/>
        </w:rPr>
        <w:t>cor</w:t>
      </w:r>
      <w:r w:rsidR="001A4A5E">
        <w:rPr>
          <w:color w:val="000000"/>
        </w:rPr>
        <w:t xml:space="preserve">e </w:t>
      </w:r>
      <w:r w:rsidRPr="001A4A5E">
        <w:rPr>
          <w:color w:val="000000"/>
        </w:rPr>
        <w:t xml:space="preserve">sample size for </w:t>
      </w:r>
      <w:r w:rsidR="00AA4A03" w:rsidRPr="001A4A5E">
        <w:rPr>
          <w:color w:val="000000"/>
        </w:rPr>
        <w:t>office-based physicians is</w:t>
      </w:r>
      <w:r w:rsidR="00531E37" w:rsidRPr="001A4A5E">
        <w:rPr>
          <w:color w:val="000000"/>
        </w:rPr>
        <w:t xml:space="preserve"> </w:t>
      </w:r>
      <w:r w:rsidR="007A6DB4" w:rsidRPr="001A4A5E">
        <w:rPr>
          <w:color w:val="000000"/>
        </w:rPr>
        <w:t>3</w:t>
      </w:r>
      <w:r w:rsidR="00B25927" w:rsidRPr="001A4A5E">
        <w:rPr>
          <w:color w:val="000000"/>
        </w:rPr>
        <w:t>,000</w:t>
      </w:r>
      <w:r w:rsidRPr="001A4A5E">
        <w:rPr>
          <w:color w:val="000000"/>
        </w:rPr>
        <w:t>. Estimat</w:t>
      </w:r>
      <w:r w:rsidR="00AA4A03" w:rsidRPr="001A4A5E">
        <w:rPr>
          <w:color w:val="000000"/>
        </w:rPr>
        <w:t>es</w:t>
      </w:r>
      <w:r w:rsidR="00AA4A03">
        <w:rPr>
          <w:color w:val="000000"/>
        </w:rPr>
        <w:t xml:space="preserve"> can be made separately for</w:t>
      </w:r>
      <w:r w:rsidR="0002304D">
        <w:rPr>
          <w:color w:val="000000"/>
        </w:rPr>
        <w:t xml:space="preserve"> the</w:t>
      </w:r>
      <w:r w:rsidR="00AA4A03">
        <w:rPr>
          <w:color w:val="000000"/>
        </w:rPr>
        <w:t xml:space="preserve"> </w:t>
      </w:r>
      <w:r w:rsidR="003D1594">
        <w:rPr>
          <w:color w:val="000000"/>
        </w:rPr>
        <w:t>four Census regions,</w:t>
      </w:r>
      <w:r w:rsidR="00531E37">
        <w:rPr>
          <w:color w:val="000000"/>
        </w:rPr>
        <w:t xml:space="preserve"> nine Census divisions</w:t>
      </w:r>
      <w:r w:rsidR="003D1594">
        <w:rPr>
          <w:color w:val="000000"/>
        </w:rPr>
        <w:t>,</w:t>
      </w:r>
      <w:r>
        <w:rPr>
          <w:color w:val="000000"/>
        </w:rPr>
        <w:t xml:space="preserve"> and the U</w:t>
      </w:r>
      <w:r w:rsidR="00F3576A">
        <w:rPr>
          <w:color w:val="000000"/>
        </w:rPr>
        <w:t xml:space="preserve">nited </w:t>
      </w:r>
      <w:r>
        <w:rPr>
          <w:color w:val="000000"/>
        </w:rPr>
        <w:t>S</w:t>
      </w:r>
      <w:r w:rsidR="00F3576A">
        <w:rPr>
          <w:color w:val="000000"/>
        </w:rPr>
        <w:t>tates</w:t>
      </w:r>
      <w:r>
        <w:rPr>
          <w:color w:val="000000"/>
        </w:rPr>
        <w:t xml:space="preserve"> as a whole.  </w:t>
      </w:r>
    </w:p>
    <w:p w14:paraId="435A8AF0" w14:textId="77777777" w:rsidR="002C0BA3" w:rsidRDefault="002C0BA3" w:rsidP="002F2082">
      <w:pPr>
        <w:pStyle w:val="ListParagraph"/>
        <w:ind w:left="0"/>
      </w:pPr>
    </w:p>
    <w:p w14:paraId="3853B251" w14:textId="2E0841A7" w:rsidR="0058796B" w:rsidRDefault="00850717" w:rsidP="002F2082">
      <w:pPr>
        <w:pStyle w:val="ListParagraph"/>
        <w:ind w:left="0"/>
      </w:pPr>
      <w:r w:rsidRPr="00850717">
        <w:t xml:space="preserve">A new method for drawing </w:t>
      </w:r>
      <w:r w:rsidR="00F41AC7">
        <w:t xml:space="preserve">additional </w:t>
      </w:r>
      <w:r w:rsidRPr="00850717">
        <w:t xml:space="preserve">physicians into the survey based on </w:t>
      </w:r>
      <w:r w:rsidR="003435F3">
        <w:t>meaningful use (</w:t>
      </w:r>
      <w:r w:rsidRPr="00850717">
        <w:t>MU</w:t>
      </w:r>
      <w:r w:rsidR="003435F3">
        <w:t>)</w:t>
      </w:r>
      <w:r w:rsidR="00F41AC7">
        <w:t xml:space="preserve"> was</w:t>
      </w:r>
      <w:r w:rsidRPr="00850717">
        <w:t xml:space="preserve"> approved for the 2016-2018 NAMCS survey years.  This method involves: (1) identifying physicians who registered their intent to participate in NAMCS in order to attest to fulfilling the MU public health reporting objective, (2) matching them with the most current AMA and AOA physician lists used for sampling, and (3) selecting an MU sample from this matched list that is mutually exclusive from the traditional NAMCS sample.</w:t>
      </w:r>
      <w:r w:rsidR="00076FC6">
        <w:t xml:space="preserve">  </w:t>
      </w:r>
      <w:r w:rsidR="00A02068">
        <w:t xml:space="preserve">As of January 2018, there were </w:t>
      </w:r>
      <w:r w:rsidR="00A06767">
        <w:t>over 1</w:t>
      </w:r>
      <w:r w:rsidR="00A02068">
        <w:t>59,</w:t>
      </w:r>
      <w:r w:rsidR="00A06767">
        <w:t>000</w:t>
      </w:r>
      <w:r w:rsidR="00A02068">
        <w:t xml:space="preserve"> individuals registered in the National Health Care Surveys Registry (note this includes physicians and other care providers such as physician assistants, and nurse practitioners). </w:t>
      </w:r>
      <w:r w:rsidR="0049123C">
        <w:t xml:space="preserve"> </w:t>
      </w:r>
      <w:r w:rsidR="00F12407">
        <w:t>All parties who are part of the National Health Care Surveys Registry have (by registering) agreed to submit electronic health record (EHR) data when asked, and in return will receive credit towards meeting the public health reporting objectives of the Medicare Quality Payment Program</w:t>
      </w:r>
      <w:r w:rsidR="0058796B">
        <w:t xml:space="preserve"> – s</w:t>
      </w:r>
      <w:r w:rsidR="00F12407">
        <w:t>pecifically the Merit-based Incentive Payment System (MIPS)</w:t>
      </w:r>
      <w:r w:rsidR="0058796B">
        <w:t xml:space="preserve"> – f</w:t>
      </w:r>
      <w:r w:rsidR="00F12407">
        <w:t>inal rule and the Centers for Medicaid and Medicare Services EHR incentives program final rule on modified Stage 2 and Stage 3 (</w:t>
      </w:r>
      <w:hyperlink r:id="rId9" w:history="1">
        <w:r w:rsidR="00F12407" w:rsidRPr="000A48A8">
          <w:rPr>
            <w:rStyle w:val="Hyperlink"/>
          </w:rPr>
          <w:t>https://www.cms.gov/Medicare/Quality-Payment-Program/Quality-Payment-Program.html</w:t>
        </w:r>
      </w:hyperlink>
      <w:r w:rsidR="00F12407">
        <w:t xml:space="preserve">).  </w:t>
      </w:r>
    </w:p>
    <w:p w14:paraId="3EE7A0EB" w14:textId="77777777" w:rsidR="00A02068" w:rsidRDefault="00A02068" w:rsidP="002F2082">
      <w:pPr>
        <w:pStyle w:val="ListParagraph"/>
        <w:ind w:left="0"/>
      </w:pPr>
    </w:p>
    <w:p w14:paraId="4DCE93AA" w14:textId="12AB1FDF" w:rsidR="00F3576A" w:rsidRPr="008F0211" w:rsidRDefault="000D2902" w:rsidP="002F2082">
      <w:pPr>
        <w:pStyle w:val="ListParagraph"/>
        <w:ind w:left="0"/>
        <w:rPr>
          <w:color w:val="FF0000"/>
        </w:rPr>
      </w:pPr>
      <w:r>
        <w:t xml:space="preserve">As a </w:t>
      </w:r>
      <w:r w:rsidR="00694013">
        <w:t>result of this match</w:t>
      </w:r>
      <w:r>
        <w:t>ing,</w:t>
      </w:r>
      <w:r w:rsidR="00694013">
        <w:t xml:space="preserve"> </w:t>
      </w:r>
      <w:r w:rsidR="00E3149F">
        <w:t xml:space="preserve">the </w:t>
      </w:r>
      <w:r>
        <w:t xml:space="preserve">sampling </w:t>
      </w:r>
      <w:r w:rsidR="00694013">
        <w:t xml:space="preserve">frame </w:t>
      </w:r>
      <w:r w:rsidR="00304571">
        <w:t xml:space="preserve">for </w:t>
      </w:r>
      <w:r w:rsidR="00856C2C">
        <w:t xml:space="preserve">each of </w:t>
      </w:r>
      <w:r w:rsidR="0053462B">
        <w:t xml:space="preserve">the </w:t>
      </w:r>
      <w:r w:rsidR="00304571">
        <w:t xml:space="preserve">2020 and 2021 </w:t>
      </w:r>
      <w:r w:rsidR="0053462B">
        <w:t xml:space="preserve">cycles </w:t>
      </w:r>
      <w:r w:rsidR="00856C2C">
        <w:t xml:space="preserve">will </w:t>
      </w:r>
      <w:r w:rsidR="00CA4ADB">
        <w:t>have</w:t>
      </w:r>
      <w:r w:rsidR="00856C2C">
        <w:t xml:space="preserve"> </w:t>
      </w:r>
      <w:r w:rsidR="00694013">
        <w:t>two</w:t>
      </w:r>
      <w:r w:rsidR="00E3149F">
        <w:t xml:space="preserve"> groups</w:t>
      </w:r>
      <w:r>
        <w:t>:</w:t>
      </w:r>
      <w:r w:rsidR="00694013">
        <w:t xml:space="preserve"> one </w:t>
      </w:r>
      <w:r w:rsidR="00E3149F">
        <w:t xml:space="preserve">consisting </w:t>
      </w:r>
      <w:r w:rsidR="00694013">
        <w:t xml:space="preserve">of physicians who </w:t>
      </w:r>
      <w:r w:rsidR="006A47AA">
        <w:t xml:space="preserve">have </w:t>
      </w:r>
      <w:r w:rsidR="00694013">
        <w:t xml:space="preserve">not </w:t>
      </w:r>
      <w:r w:rsidR="006A47AA">
        <w:t>registered for</w:t>
      </w:r>
      <w:r w:rsidR="00694013">
        <w:t xml:space="preserve"> the National Health Care Surveys Registry, and the other group of physicians </w:t>
      </w:r>
      <w:r w:rsidR="00E3149F">
        <w:t>who have registered</w:t>
      </w:r>
      <w:r w:rsidR="00694013">
        <w:t xml:space="preserve">. </w:t>
      </w:r>
      <w:r w:rsidR="0049123C">
        <w:t xml:space="preserve"> </w:t>
      </w:r>
      <w:r w:rsidR="00694013">
        <w:t xml:space="preserve">A sample of </w:t>
      </w:r>
      <w:r w:rsidR="006A47AA">
        <w:t>3</w:t>
      </w:r>
      <w:r w:rsidR="00694013">
        <w:t xml:space="preserve">,000 physicians </w:t>
      </w:r>
      <w:r w:rsidR="00856C2C">
        <w:t xml:space="preserve">will be </w:t>
      </w:r>
      <w:r w:rsidR="00694013">
        <w:t>drawn from the group of non-registrants, and a sample of</w:t>
      </w:r>
      <w:r w:rsidR="00062163">
        <w:t xml:space="preserve"> </w:t>
      </w:r>
      <w:r w:rsidR="00856C2C">
        <w:t>3,000</w:t>
      </w:r>
      <w:r w:rsidR="00694013">
        <w:t xml:space="preserve"> physicians </w:t>
      </w:r>
      <w:r w:rsidR="00856C2C">
        <w:t xml:space="preserve">will </w:t>
      </w:r>
      <w:r w:rsidR="0066315E">
        <w:t xml:space="preserve">also </w:t>
      </w:r>
      <w:r w:rsidR="00856C2C">
        <w:t xml:space="preserve">be </w:t>
      </w:r>
      <w:r w:rsidR="006A47AA">
        <w:t xml:space="preserve">drawn </w:t>
      </w:r>
      <w:r w:rsidR="00694013">
        <w:t xml:space="preserve">from the group of registrants. </w:t>
      </w:r>
      <w:r w:rsidR="00F3576A">
        <w:t xml:space="preserve">For the </w:t>
      </w:r>
      <w:r w:rsidR="006A47AA">
        <w:t>3</w:t>
      </w:r>
      <w:r w:rsidR="00F3576A">
        <w:t xml:space="preserve">,000 sampled physicians who are not registered </w:t>
      </w:r>
      <w:r>
        <w:t>i</w:t>
      </w:r>
      <w:r w:rsidR="00F3576A">
        <w:t xml:space="preserve">n the National Health Care Surveys Registry, </w:t>
      </w:r>
      <w:r w:rsidR="00A63841">
        <w:t xml:space="preserve">visit </w:t>
      </w:r>
      <w:r w:rsidR="00F3576A">
        <w:t xml:space="preserve">data will be collected via abstraction from medical records, </w:t>
      </w:r>
      <w:r>
        <w:t>identical</w:t>
      </w:r>
      <w:r w:rsidR="00F3576A">
        <w:t xml:space="preserve"> to how NAMCS </w:t>
      </w:r>
      <w:r w:rsidR="00A63841">
        <w:t xml:space="preserve">visit </w:t>
      </w:r>
      <w:r w:rsidR="00F3576A">
        <w:t xml:space="preserve">data </w:t>
      </w:r>
      <w:r w:rsidR="003A0280">
        <w:t xml:space="preserve">have </w:t>
      </w:r>
      <w:r w:rsidR="00F3576A">
        <w:t>been traditionally collected. For the</w:t>
      </w:r>
      <w:r w:rsidR="00F629E1">
        <w:t xml:space="preserve"> </w:t>
      </w:r>
      <w:r w:rsidR="00454DE3">
        <w:t>3,000</w:t>
      </w:r>
      <w:r w:rsidR="00F3576A">
        <w:t xml:space="preserve"> sampled physicians who are registered, NAMCS </w:t>
      </w:r>
      <w:r w:rsidR="00A63841">
        <w:t xml:space="preserve">visit </w:t>
      </w:r>
      <w:r w:rsidR="00F3576A">
        <w:t>data will be collected through submission of EHRs by the physician</w:t>
      </w:r>
      <w:r>
        <w:t xml:space="preserve"> or the </w:t>
      </w:r>
      <w:r w:rsidR="00F629E1">
        <w:t>physician’s organization</w:t>
      </w:r>
      <w:r w:rsidR="00F3576A">
        <w:t>.</w:t>
      </w:r>
      <w:r w:rsidR="006A47AA" w:rsidRPr="006A47AA">
        <w:t xml:space="preserve"> </w:t>
      </w:r>
      <w:r w:rsidR="008F0211" w:rsidRPr="00DC659E">
        <w:t xml:space="preserve">An outside contractor will handle data collection </w:t>
      </w:r>
      <w:r w:rsidR="00A63841">
        <w:t xml:space="preserve">from </w:t>
      </w:r>
      <w:r w:rsidR="008F0211" w:rsidRPr="00DC659E">
        <w:t>these physicians, and w</w:t>
      </w:r>
      <w:r w:rsidR="006A47AA" w:rsidRPr="00DC659E">
        <w:t>e will continue to evaluate the success of obtaining physician participation using this methodology.</w:t>
      </w:r>
      <w:r w:rsidR="008F0211" w:rsidRPr="00DC659E">
        <w:t xml:space="preserve"> </w:t>
      </w:r>
      <w:r w:rsidR="008F0211" w:rsidRPr="008F0211">
        <w:rPr>
          <w:color w:val="FF0000"/>
        </w:rPr>
        <w:t xml:space="preserve"> </w:t>
      </w:r>
    </w:p>
    <w:p w14:paraId="2592E08F" w14:textId="77777777" w:rsidR="00181B5B" w:rsidRPr="008F0211" w:rsidRDefault="00181B5B" w:rsidP="002F2082">
      <w:pPr>
        <w:pStyle w:val="ListParagraph"/>
        <w:ind w:left="0"/>
        <w:rPr>
          <w:color w:val="FF0000"/>
        </w:rPr>
      </w:pPr>
    </w:p>
    <w:p w14:paraId="0390F08F" w14:textId="26830568" w:rsidR="00F65EAC" w:rsidRDefault="007109DC" w:rsidP="002F2082">
      <w:pPr>
        <w:pStyle w:val="ListParagraph"/>
        <w:ind w:left="0"/>
      </w:pPr>
      <w:r>
        <w:t>E</w:t>
      </w:r>
      <w:r w:rsidR="00694013">
        <w:t>ach of these</w:t>
      </w:r>
      <w:r w:rsidR="00E3149F">
        <w:t xml:space="preserve"> </w:t>
      </w:r>
      <w:r w:rsidR="00CD45F6">
        <w:t xml:space="preserve">samples </w:t>
      </w:r>
      <w:r w:rsidR="003A0280">
        <w:t xml:space="preserve">is </w:t>
      </w:r>
      <w:r w:rsidR="00F65EAC">
        <w:t>a stratified list sample of physicians</w:t>
      </w:r>
      <w:r>
        <w:t>,</w:t>
      </w:r>
      <w:r w:rsidR="00F65EAC">
        <w:t xml:space="preserve"> with strata defined by (1) </w:t>
      </w:r>
      <w:r w:rsidR="00A40E35">
        <w:t xml:space="preserve">MU registration status (is, or is not, registered) </w:t>
      </w:r>
      <w:r w:rsidR="00FD0775">
        <w:t>for</w:t>
      </w:r>
      <w:r w:rsidR="00C56C9B">
        <w:t xml:space="preserve"> years 2020 and 202</w:t>
      </w:r>
      <w:r w:rsidR="00D06729">
        <w:t>1</w:t>
      </w:r>
      <w:r w:rsidR="00C56C9B">
        <w:t>,</w:t>
      </w:r>
      <w:r w:rsidR="00BF3A36">
        <w:t xml:space="preserve"> only,</w:t>
      </w:r>
      <w:r w:rsidR="00A40E35">
        <w:t xml:space="preserve"> (2) </w:t>
      </w:r>
      <w:r w:rsidR="00F65EAC">
        <w:t>the</w:t>
      </w:r>
      <w:r w:rsidR="006E3D39">
        <w:t xml:space="preserve"> </w:t>
      </w:r>
      <w:r w:rsidR="003D1594">
        <w:t xml:space="preserve">four </w:t>
      </w:r>
      <w:r w:rsidR="006E3D39">
        <w:t xml:space="preserve">Census </w:t>
      </w:r>
      <w:r w:rsidR="003D1594">
        <w:t>regions</w:t>
      </w:r>
      <w:r w:rsidR="00C56C9B">
        <w:t>,</w:t>
      </w:r>
      <w:r w:rsidR="006E3D39">
        <w:t xml:space="preserve"> </w:t>
      </w:r>
      <w:r w:rsidR="00F65EAC">
        <w:t>and (</w:t>
      </w:r>
      <w:r w:rsidR="00A40E35">
        <w:t>3</w:t>
      </w:r>
      <w:r w:rsidR="00F65EAC">
        <w:t xml:space="preserve">) </w:t>
      </w:r>
      <w:r w:rsidR="003167B8">
        <w:t>the 15 MD</w:t>
      </w:r>
      <w:r w:rsidR="003D1594">
        <w:t xml:space="preserve"> physician specialty</w:t>
      </w:r>
      <w:r w:rsidR="003167B8">
        <w:t>/</w:t>
      </w:r>
      <w:r w:rsidR="003167B8">
        <w:rPr>
          <w:lang w:eastAsia="zh-CN"/>
        </w:rPr>
        <w:t xml:space="preserve">DO </w:t>
      </w:r>
      <w:r w:rsidR="003D1594">
        <w:t>group</w:t>
      </w:r>
      <w:r w:rsidR="002C6EAC">
        <w:t xml:space="preserve">s used </w:t>
      </w:r>
      <w:r w:rsidR="003167B8">
        <w:t xml:space="preserve">to define </w:t>
      </w:r>
      <w:r w:rsidR="002C6EAC">
        <w:t>sampling strata in years prior to 2012</w:t>
      </w:r>
      <w:r w:rsidR="00F65EAC">
        <w:t xml:space="preserve">.  From each of these sampling strata, systematic random sampling </w:t>
      </w:r>
      <w:r w:rsidR="00DE1AF1">
        <w:t xml:space="preserve">is </w:t>
      </w:r>
      <w:r w:rsidR="00F65EAC">
        <w:t xml:space="preserve">used to select physicians from a list in which the physicians </w:t>
      </w:r>
      <w:r w:rsidR="00DE1AF1">
        <w:t xml:space="preserve">are </w:t>
      </w:r>
      <w:r w:rsidR="00F65EAC">
        <w:t>sorted</w:t>
      </w:r>
      <w:r w:rsidR="00935935">
        <w:t xml:space="preserve"> (</w:t>
      </w:r>
      <w:r w:rsidR="00F65EAC">
        <w:t>in order of priority</w:t>
      </w:r>
      <w:r w:rsidR="00935935">
        <w:t>)</w:t>
      </w:r>
      <w:r w:rsidR="00F65EAC">
        <w:t xml:space="preserve"> by</w:t>
      </w:r>
      <w:r w:rsidR="00935935">
        <w:t>:</w:t>
      </w:r>
      <w:r w:rsidR="00F65EAC">
        <w:t xml:space="preserve"> </w:t>
      </w:r>
      <w:r w:rsidR="006F2ABD">
        <w:t xml:space="preserve">Census </w:t>
      </w:r>
      <w:r w:rsidR="00525DCA">
        <w:t>division</w:t>
      </w:r>
      <w:r w:rsidR="000B1DE8">
        <w:t xml:space="preserve">, </w:t>
      </w:r>
      <w:r w:rsidR="00F65EAC">
        <w:t>MSA status (</w:t>
      </w:r>
      <w:r w:rsidR="0049123C">
        <w:t xml:space="preserve">i.e., </w:t>
      </w:r>
      <w:r w:rsidR="00F65EAC">
        <w:t>in MSA vs. not-in MSA</w:t>
      </w:r>
      <w:r w:rsidR="0049123C">
        <w:t>,</w:t>
      </w:r>
      <w:r w:rsidR="00F65EAC">
        <w:t xml:space="preserve"> where MSA is Metropolitan Statistical Areas defined by the </w:t>
      </w:r>
      <w:r w:rsidR="0049123C">
        <w:t>OMB</w:t>
      </w:r>
      <w:r w:rsidR="00F65EAC">
        <w:t>)</w:t>
      </w:r>
      <w:r w:rsidR="000B1DE8">
        <w:t xml:space="preserve">, and </w:t>
      </w:r>
      <w:r w:rsidR="006F2ABD">
        <w:t>practice type (i.e., primary care, surgical, medical)</w:t>
      </w:r>
      <w:r w:rsidR="00F65EAC">
        <w:t>.</w:t>
      </w:r>
    </w:p>
    <w:p w14:paraId="7EE074C6" w14:textId="77777777" w:rsidR="00E16FD5" w:rsidRDefault="00E16FD5" w:rsidP="002F2082">
      <w:pPr>
        <w:pStyle w:val="ListParagraph"/>
        <w:ind w:left="0"/>
      </w:pPr>
    </w:p>
    <w:p w14:paraId="6434E1FA" w14:textId="39D6CDB9" w:rsidR="00F65EAC" w:rsidRDefault="00F65EAC" w:rsidP="002F2082">
      <w:pPr>
        <w:pStyle w:val="ListParagraph"/>
        <w:ind w:left="0"/>
      </w:pPr>
      <w:r>
        <w:t xml:space="preserve">The total office-based physician sample for each year is divided into 52 representative groups which are randomly assigned to the 52 weeks of the year.  The groups are formed by systematically assigning physicians to groups from a list in which the sample physicians are arrayed according to the order in which they were selected.  During the assigned week for each </w:t>
      </w:r>
      <w:r>
        <w:lastRenderedPageBreak/>
        <w:t>sample physician, a</w:t>
      </w:r>
      <w:r w:rsidR="00563A63">
        <w:t xml:space="preserve"> number of visits are selected for data collection.  For those </w:t>
      </w:r>
      <w:r w:rsidR="0049123C">
        <w:t xml:space="preserve">traditional </w:t>
      </w:r>
      <w:r w:rsidR="00563A63">
        <w:t>physicians who have been sampled from the non-registrant group, a</w:t>
      </w:r>
      <w:r>
        <w:t xml:space="preserve"> systematic random sample of approximately 30 patient visits is selected from chronologic lists of the visits made to the physician during that week.  </w:t>
      </w:r>
      <w:r w:rsidR="00325718">
        <w:t>For those</w:t>
      </w:r>
      <w:r w:rsidR="0049123C">
        <w:t xml:space="preserve"> MU</w:t>
      </w:r>
      <w:r w:rsidR="00325718">
        <w:t xml:space="preserve"> physicians who have been sampled from the registrant group, all visits made to the physician during that week are selected. </w:t>
      </w:r>
      <w:r w:rsidR="00CD45F6">
        <w:t>In both instances, d</w:t>
      </w:r>
      <w:r>
        <w:t>ata collection within a physician's practice begins on Monday morning of the assigned reporting week and continues through the following Sunday (substitution of a reporting week is not permitted).</w:t>
      </w:r>
      <w:r w:rsidR="00325718" w:rsidRPr="00325718">
        <w:t xml:space="preserve"> </w:t>
      </w:r>
      <w:r w:rsidR="00325718">
        <w:t xml:space="preserve"> This approach provides for continuous data collection throughout the year to account for seasonal variation in disease and patient visit patterns.  </w:t>
      </w:r>
    </w:p>
    <w:p w14:paraId="5BCE1C0B" w14:textId="77777777" w:rsidR="00F65EAC" w:rsidRPr="001E2746" w:rsidRDefault="00F65EAC" w:rsidP="002F2082">
      <w:pPr>
        <w:pStyle w:val="ListParagraph"/>
        <w:ind w:left="0"/>
      </w:pPr>
    </w:p>
    <w:p w14:paraId="7F13E60B" w14:textId="77777777" w:rsidR="002C01A9" w:rsidRPr="001E2746" w:rsidRDefault="002C01A9" w:rsidP="002C01A9">
      <w:pPr>
        <w:rPr>
          <w:u w:val="single"/>
        </w:rPr>
      </w:pPr>
      <w:r w:rsidRPr="001E2746">
        <w:rPr>
          <w:u w:val="single"/>
        </w:rPr>
        <w:t>Justification for Increased NAMCS Sample Size for 2020 and 2021</w:t>
      </w:r>
    </w:p>
    <w:p w14:paraId="396D2E6E" w14:textId="77777777" w:rsidR="002C01A9" w:rsidRPr="001E2746" w:rsidRDefault="002C01A9" w:rsidP="002C01A9"/>
    <w:p w14:paraId="2C9B044F" w14:textId="382EF4F3" w:rsidR="002C01A9" w:rsidRPr="001E2746" w:rsidRDefault="002C01A9" w:rsidP="002C01A9">
      <w:r w:rsidRPr="001E2746">
        <w:t xml:space="preserve">As mentioned previously in Supporting Statement A, NAMCS, along with NCHS' other provider surveys, is in the process of transitioning from record abstraction to obtaining data from electronic health records (EHRs) transmitted from providers.  There are clear benefits to making this transition including the ability to collect more and higher quality information. Collecting data from physicians through EHRs will allow NCHS to sample a larger number physicians compared to the traditional method of sending a field representative on-site to a physician’s office to collect data. Collecting NAMCS data via EHRs would also allow for gaining a larger number of visits per physician, as opposed to abstracting only a limited sample of visits, which should increase the precision of NAMCS estimates. In addition, NAMCS would be relying on physicians, who have registered with the NCHS National Health Care Surveys Public Health Reporting Registry, to provide EHR visit data when requested and their participation in NAMCS would assist them in meeting the Centers for Medicare and Medicaid Services Electronic Health Record Incentive Programs requirements. </w:t>
      </w:r>
    </w:p>
    <w:p w14:paraId="52011614" w14:textId="77777777" w:rsidR="002C01A9" w:rsidRPr="001E2746" w:rsidRDefault="002C01A9" w:rsidP="002C01A9">
      <w:r w:rsidRPr="001E2746">
        <w:t xml:space="preserve">  </w:t>
      </w:r>
    </w:p>
    <w:p w14:paraId="6DF44B29" w14:textId="77777777" w:rsidR="002C01A9" w:rsidRPr="001E2746" w:rsidRDefault="002C01A9" w:rsidP="002C01A9">
      <w:pPr>
        <w:spacing w:after="240"/>
      </w:pPr>
      <w:r w:rsidRPr="001E2746">
        <w:t xml:space="preserve">This change in the sample is designed to address three related objectives.  First, the procedures proposed for the 2020 and 2021 NAMCS would mark the beginning of the full transition to EHR data collection.  Moving forward, and assuming the evaluation of this transition stage is successful, the plan is to phase out abstraction except for those physicians who do not use EHRs.  </w:t>
      </w:r>
    </w:p>
    <w:p w14:paraId="4FF44B25" w14:textId="3D67878E" w:rsidR="002C01A9" w:rsidRPr="001E2746" w:rsidRDefault="002C01A9" w:rsidP="002C01A9">
      <w:r w:rsidRPr="001E2746">
        <w:t xml:space="preserve">Second, as in any situation where a new mode of data collection would be used, it is important to have a bridge period to evaluate EHRs as the source of data for NAMCS.  Methodological investigations would focus on: (1) missingness in EHR vs. abstracted data; (2) potential biases in the unweighted variable counts due to mode effects;  (3) assessing bias through replicating weighted, national estimates found in products currently disseminated using NAMCS abstracted data; and (4) identifying any potential differences in key variables that are important to NAMCS survey design and data weighting, subsequently allowing us to create more precise and better calibrated survey weights. These types of analyses can only be done if the sample includes abstracted and EHR cases. An equal number of each type of </w:t>
      </w:r>
      <w:r w:rsidR="00F41AC7" w:rsidRPr="001E2746">
        <w:t>cases will facilitate the analyses</w:t>
      </w:r>
      <w:r w:rsidR="001A4A5E" w:rsidRPr="001E2746">
        <w:t xml:space="preserve"> </w:t>
      </w:r>
      <w:r w:rsidRPr="001E2746">
        <w:t xml:space="preserve">which will provide critical and immediate information that could be used in planning for the next steps in the transition to EHR data collection.  </w:t>
      </w:r>
    </w:p>
    <w:p w14:paraId="69F3AFF8" w14:textId="77777777" w:rsidR="002C01A9" w:rsidRPr="001E2746" w:rsidRDefault="002C01A9" w:rsidP="002C01A9">
      <w:r w:rsidRPr="001E2746">
        <w:t xml:space="preserve">  </w:t>
      </w:r>
    </w:p>
    <w:p w14:paraId="44B29BA7" w14:textId="2C24CEB9" w:rsidR="002C01A9" w:rsidRPr="001E2746" w:rsidRDefault="002C01A9" w:rsidP="002C01A9">
      <w:pPr>
        <w:spacing w:after="240"/>
      </w:pPr>
      <w:r w:rsidRPr="001E2746">
        <w:t xml:space="preserve">Third, the larger sample will allow for more stable and precise estimates to be generated for those indicators where abstracted data and data from EHRs are shown to be comparable in the methodological analysis. One manner in which NCHS has traditionally measured precision is by </w:t>
      </w:r>
      <w:r w:rsidRPr="001E2746">
        <w:lastRenderedPageBreak/>
        <w:t xml:space="preserve">calculating the relative standard error (RSE) of an estimate; where any estimate with a RSE&gt;30.0% is flagged as unreliable. In Tables 1-3, which are </w:t>
      </w:r>
      <w:r w:rsidR="002B4CA9" w:rsidRPr="001E2746">
        <w:t>presented below</w:t>
      </w:r>
      <w:r w:rsidRPr="001E2746">
        <w:t>, previously-published data from the 2015 NAMCS are used to make crude projections for the 2020 NAMCS. These projections were calculated in two different manners: assuming a sample of 3,000 abstracted physicians and assuming a sample of 6,000 physicians (half abstracted, half MU physicians). Table 1 provides RSE estimates for total visits and shows that all of the visit estimates listed become reliable when the sample is increased from 3,000 to 6,000 physicians. Tables 2 and 3 provide RSE estimates for visits made by female patients and male patients, respectively; and show that in many instances where an estimate is unreliable (i.e., RSE&gt;30.0%) with a 3,000 physician sample, by increasing the sample to 6,000, the precision gained would allow for a number of yearly estimates to be presented that would otherwise be considered unreliable. Thus, including the MU physician sample would immediately be useful by allowing us to present estimates on certain health care-related topics without co</w:t>
      </w:r>
      <w:r w:rsidR="00F41AC7" w:rsidRPr="001E2746">
        <w:t>mbining </w:t>
      </w:r>
      <w:r w:rsidRPr="001E2746">
        <w:t xml:space="preserve">numerous years of NAMCS. This is particularly relevant when making estimates for subpopulations such as those defined by age or by diagnosis or procedures or medications received.   </w:t>
      </w:r>
    </w:p>
    <w:tbl>
      <w:tblPr>
        <w:tblStyle w:val="TableGrid"/>
        <w:tblW w:w="9450" w:type="dxa"/>
        <w:tblLook w:val="04A0" w:firstRow="1" w:lastRow="0" w:firstColumn="1" w:lastColumn="0" w:noHBand="0" w:noVBand="1"/>
      </w:tblPr>
      <w:tblGrid>
        <w:gridCol w:w="3276"/>
        <w:gridCol w:w="1800"/>
        <w:gridCol w:w="788"/>
        <w:gridCol w:w="1208"/>
        <w:gridCol w:w="1201"/>
        <w:gridCol w:w="1177"/>
      </w:tblGrid>
      <w:tr w:rsidR="001E2746" w:rsidRPr="001E2746" w14:paraId="6430CF39" w14:textId="77777777" w:rsidTr="00127610">
        <w:trPr>
          <w:trHeight w:val="390"/>
        </w:trPr>
        <w:tc>
          <w:tcPr>
            <w:tcW w:w="9450" w:type="dxa"/>
            <w:gridSpan w:val="6"/>
            <w:tcBorders>
              <w:top w:val="nil"/>
              <w:left w:val="nil"/>
              <w:bottom w:val="single" w:sz="4" w:space="0" w:color="auto"/>
              <w:right w:val="nil"/>
            </w:tcBorders>
            <w:hideMark/>
          </w:tcPr>
          <w:p w14:paraId="443C9BC6" w14:textId="77777777" w:rsidR="003226D2" w:rsidRPr="001E2746" w:rsidRDefault="003226D2">
            <w:pPr>
              <w:ind w:left="-113"/>
              <w:rPr>
                <w:rFonts w:ascii="Times New Roman" w:hAnsi="Times New Roman" w:cs="Times New Roman"/>
                <w:sz w:val="20"/>
                <w:szCs w:val="20"/>
              </w:rPr>
            </w:pPr>
            <w:bookmarkStart w:id="3" w:name="RANGE!A1:F18"/>
            <w:r w:rsidRPr="001E2746">
              <w:rPr>
                <w:rFonts w:ascii="Times New Roman" w:hAnsi="Times New Roman" w:cs="Times New Roman"/>
                <w:sz w:val="20"/>
                <w:szCs w:val="20"/>
              </w:rPr>
              <w:t>Table 1. Relative Standard Errors (RSE) for Estimates of Selected Characteristics of Office Visits: Projected Crude Estimates for 2020 NAMCS</w:t>
            </w:r>
            <w:r w:rsidRPr="001E2746">
              <w:rPr>
                <w:rFonts w:ascii="Times New Roman" w:hAnsi="Times New Roman" w:cs="Times New Roman"/>
                <w:sz w:val="20"/>
                <w:szCs w:val="20"/>
                <w:vertAlign w:val="superscript"/>
              </w:rPr>
              <w:t>1</w:t>
            </w:r>
            <w:bookmarkEnd w:id="3"/>
          </w:p>
        </w:tc>
      </w:tr>
      <w:tr w:rsidR="001E2746" w:rsidRPr="001E2746" w14:paraId="05199593" w14:textId="77777777" w:rsidTr="00127610">
        <w:trPr>
          <w:trHeight w:val="1448"/>
        </w:trPr>
        <w:tc>
          <w:tcPr>
            <w:tcW w:w="3276" w:type="dxa"/>
            <w:tcBorders>
              <w:top w:val="single" w:sz="4" w:space="0" w:color="auto"/>
              <w:left w:val="single" w:sz="4" w:space="0" w:color="auto"/>
              <w:bottom w:val="single" w:sz="4" w:space="0" w:color="auto"/>
              <w:right w:val="single" w:sz="4" w:space="0" w:color="auto"/>
            </w:tcBorders>
            <w:noWrap/>
            <w:hideMark/>
          </w:tcPr>
          <w:p w14:paraId="3F8AA4CF" w14:textId="77777777" w:rsidR="003226D2" w:rsidRPr="001E2746" w:rsidRDefault="003226D2">
            <w:pPr>
              <w:rPr>
                <w:rFonts w:ascii="Times New Roman" w:hAnsi="Times New Roman" w:cs="Times New Roman"/>
                <w:sz w:val="20"/>
                <w:szCs w:val="20"/>
              </w:rPr>
            </w:pPr>
            <w:r w:rsidRPr="001E2746">
              <w:rPr>
                <w:rFonts w:ascii="Times New Roman" w:hAnsi="Times New Roman" w:cs="Times New Roman"/>
                <w:sz w:val="20"/>
                <w:szCs w:val="20"/>
              </w:rPr>
              <w:t> </w:t>
            </w:r>
          </w:p>
        </w:tc>
        <w:tc>
          <w:tcPr>
            <w:tcW w:w="2588" w:type="dxa"/>
            <w:gridSpan w:val="2"/>
            <w:tcBorders>
              <w:top w:val="single" w:sz="4" w:space="0" w:color="auto"/>
              <w:left w:val="single" w:sz="4" w:space="0" w:color="auto"/>
              <w:bottom w:val="single" w:sz="4" w:space="0" w:color="auto"/>
              <w:right w:val="single" w:sz="4" w:space="0" w:color="auto"/>
            </w:tcBorders>
            <w:vAlign w:val="bottom"/>
          </w:tcPr>
          <w:p w14:paraId="44E170A4" w14:textId="77777777" w:rsidR="003226D2" w:rsidRPr="001E2746" w:rsidRDefault="003226D2">
            <w:pPr>
              <w:jc w:val="center"/>
              <w:rPr>
                <w:rFonts w:ascii="Times New Roman" w:hAnsi="Times New Roman" w:cs="Times New Roman"/>
                <w:sz w:val="20"/>
                <w:szCs w:val="20"/>
              </w:rPr>
            </w:pPr>
          </w:p>
          <w:p w14:paraId="17AB1C72" w14:textId="77777777" w:rsidR="003226D2" w:rsidRPr="001E2746" w:rsidRDefault="003226D2">
            <w:pPr>
              <w:jc w:val="center"/>
              <w:rPr>
                <w:rFonts w:ascii="Times New Roman" w:hAnsi="Times New Roman" w:cs="Times New Roman"/>
                <w:sz w:val="20"/>
                <w:szCs w:val="20"/>
              </w:rPr>
            </w:pPr>
          </w:p>
          <w:p w14:paraId="1A6F053A" w14:textId="77777777" w:rsidR="003226D2" w:rsidRPr="001E2746" w:rsidRDefault="003226D2">
            <w:pPr>
              <w:jc w:val="center"/>
              <w:rPr>
                <w:rFonts w:ascii="Times New Roman" w:hAnsi="Times New Roman" w:cs="Times New Roman"/>
                <w:sz w:val="20"/>
                <w:szCs w:val="20"/>
              </w:rPr>
            </w:pPr>
          </w:p>
          <w:p w14:paraId="3028444F" w14:textId="77777777" w:rsidR="003226D2" w:rsidRPr="001E2746" w:rsidRDefault="003226D2">
            <w:pPr>
              <w:jc w:val="center"/>
              <w:rPr>
                <w:rFonts w:ascii="Times New Roman" w:hAnsi="Times New Roman" w:cs="Times New Roman"/>
                <w:sz w:val="20"/>
                <w:szCs w:val="20"/>
              </w:rPr>
            </w:pPr>
          </w:p>
          <w:p w14:paraId="13D1540F" w14:textId="77777777" w:rsidR="003226D2" w:rsidRPr="001E2746" w:rsidRDefault="003226D2">
            <w:pPr>
              <w:jc w:val="center"/>
              <w:rPr>
                <w:rFonts w:ascii="Times New Roman" w:hAnsi="Times New Roman" w:cs="Times New Roman"/>
                <w:sz w:val="20"/>
                <w:szCs w:val="20"/>
              </w:rPr>
            </w:pPr>
          </w:p>
          <w:p w14:paraId="60927041" w14:textId="77777777" w:rsidR="003226D2" w:rsidRPr="001E2746" w:rsidRDefault="003226D2">
            <w:pPr>
              <w:jc w:val="center"/>
              <w:rPr>
                <w:rFonts w:ascii="Times New Roman" w:hAnsi="Times New Roman" w:cs="Times New Roman"/>
                <w:sz w:val="20"/>
                <w:szCs w:val="20"/>
              </w:rPr>
            </w:pPr>
          </w:p>
          <w:p w14:paraId="6CE95F47"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2015 Visits</w:t>
            </w:r>
          </w:p>
        </w:tc>
        <w:tc>
          <w:tcPr>
            <w:tcW w:w="1208" w:type="dxa"/>
            <w:tcBorders>
              <w:top w:val="single" w:sz="4" w:space="0" w:color="auto"/>
              <w:left w:val="single" w:sz="4" w:space="0" w:color="auto"/>
              <w:bottom w:val="single" w:sz="4" w:space="0" w:color="auto"/>
              <w:right w:val="single" w:sz="4" w:space="0" w:color="auto"/>
            </w:tcBorders>
            <w:vAlign w:val="bottom"/>
          </w:tcPr>
          <w:p w14:paraId="4FF915B0" w14:textId="77777777" w:rsidR="003226D2" w:rsidRPr="001E2746" w:rsidRDefault="003226D2" w:rsidP="00455ABC">
            <w:pPr>
              <w:jc w:val="center"/>
              <w:rPr>
                <w:rFonts w:ascii="Times New Roman" w:hAnsi="Times New Roman" w:cs="Times New Roman"/>
                <w:sz w:val="20"/>
                <w:szCs w:val="20"/>
              </w:rPr>
            </w:pPr>
          </w:p>
          <w:p w14:paraId="21C1D42F" w14:textId="77777777" w:rsidR="003226D2" w:rsidRPr="001E2746" w:rsidRDefault="003226D2" w:rsidP="00455ABC">
            <w:pPr>
              <w:jc w:val="center"/>
              <w:rPr>
                <w:rFonts w:ascii="Times New Roman" w:hAnsi="Times New Roman" w:cs="Times New Roman"/>
                <w:sz w:val="20"/>
                <w:szCs w:val="20"/>
              </w:rPr>
            </w:pPr>
          </w:p>
          <w:p w14:paraId="23F5E159" w14:textId="77777777" w:rsidR="003226D2" w:rsidRPr="001E2746" w:rsidRDefault="003226D2" w:rsidP="00455ABC">
            <w:pPr>
              <w:jc w:val="center"/>
              <w:rPr>
                <w:rFonts w:ascii="Times New Roman" w:hAnsi="Times New Roman" w:cs="Times New Roman"/>
                <w:sz w:val="20"/>
                <w:szCs w:val="20"/>
              </w:rPr>
            </w:pPr>
          </w:p>
          <w:p w14:paraId="2AD2D7BE" w14:textId="77777777" w:rsidR="003226D2" w:rsidRPr="001E2746" w:rsidRDefault="003226D2" w:rsidP="00455ABC">
            <w:pPr>
              <w:jc w:val="center"/>
              <w:rPr>
                <w:rFonts w:ascii="Times New Roman" w:hAnsi="Times New Roman" w:cs="Times New Roman"/>
                <w:sz w:val="20"/>
                <w:szCs w:val="20"/>
              </w:rPr>
            </w:pPr>
            <w:r w:rsidRPr="001E2746">
              <w:rPr>
                <w:rFonts w:ascii="Times New Roman" w:hAnsi="Times New Roman" w:cs="Times New Roman"/>
                <w:sz w:val="20"/>
                <w:szCs w:val="20"/>
              </w:rPr>
              <w:t>Projected 2020 RSEs</w:t>
            </w:r>
            <w:r w:rsidRPr="001E2746">
              <w:rPr>
                <w:rFonts w:ascii="Times New Roman" w:hAnsi="Times New Roman" w:cs="Times New Roman"/>
                <w:sz w:val="20"/>
                <w:szCs w:val="20"/>
              </w:rPr>
              <w:br/>
              <w:t>(3,000 physicians)</w:t>
            </w:r>
          </w:p>
        </w:tc>
        <w:tc>
          <w:tcPr>
            <w:tcW w:w="1201" w:type="dxa"/>
            <w:tcBorders>
              <w:top w:val="single" w:sz="4" w:space="0" w:color="auto"/>
              <w:left w:val="single" w:sz="4" w:space="0" w:color="auto"/>
              <w:bottom w:val="single" w:sz="4" w:space="0" w:color="auto"/>
              <w:right w:val="single" w:sz="4" w:space="0" w:color="auto"/>
            </w:tcBorders>
            <w:vAlign w:val="bottom"/>
          </w:tcPr>
          <w:p w14:paraId="75AB67A4" w14:textId="77777777" w:rsidR="003226D2" w:rsidRPr="001E2746" w:rsidRDefault="003226D2" w:rsidP="00455ABC">
            <w:pPr>
              <w:jc w:val="center"/>
              <w:rPr>
                <w:rFonts w:ascii="Times New Roman" w:hAnsi="Times New Roman" w:cs="Times New Roman"/>
                <w:sz w:val="20"/>
                <w:szCs w:val="20"/>
              </w:rPr>
            </w:pPr>
          </w:p>
          <w:p w14:paraId="4BB3F3B1" w14:textId="77777777" w:rsidR="003226D2" w:rsidRPr="001E2746" w:rsidRDefault="003226D2" w:rsidP="00455ABC">
            <w:pPr>
              <w:jc w:val="center"/>
              <w:rPr>
                <w:rFonts w:ascii="Times New Roman" w:hAnsi="Times New Roman" w:cs="Times New Roman"/>
                <w:sz w:val="20"/>
                <w:szCs w:val="20"/>
              </w:rPr>
            </w:pPr>
          </w:p>
          <w:p w14:paraId="5198A38B" w14:textId="77777777" w:rsidR="003226D2" w:rsidRPr="001E2746" w:rsidRDefault="003226D2" w:rsidP="00455ABC">
            <w:pPr>
              <w:jc w:val="center"/>
              <w:rPr>
                <w:rFonts w:ascii="Times New Roman" w:hAnsi="Times New Roman" w:cs="Times New Roman"/>
                <w:sz w:val="20"/>
                <w:szCs w:val="20"/>
              </w:rPr>
            </w:pPr>
          </w:p>
          <w:p w14:paraId="67C6E7F5" w14:textId="77777777" w:rsidR="003226D2" w:rsidRPr="001E2746" w:rsidRDefault="003226D2" w:rsidP="00455ABC">
            <w:pPr>
              <w:jc w:val="center"/>
              <w:rPr>
                <w:rFonts w:ascii="Times New Roman" w:hAnsi="Times New Roman" w:cs="Times New Roman"/>
                <w:sz w:val="20"/>
                <w:szCs w:val="20"/>
              </w:rPr>
            </w:pPr>
            <w:r w:rsidRPr="001E2746">
              <w:rPr>
                <w:rFonts w:ascii="Times New Roman" w:hAnsi="Times New Roman" w:cs="Times New Roman"/>
                <w:sz w:val="20"/>
                <w:szCs w:val="20"/>
              </w:rPr>
              <w:t>Projected 2020 RSEs</w:t>
            </w:r>
            <w:r w:rsidRPr="001E2746">
              <w:rPr>
                <w:rFonts w:ascii="Times New Roman" w:hAnsi="Times New Roman" w:cs="Times New Roman"/>
                <w:sz w:val="20"/>
                <w:szCs w:val="20"/>
              </w:rPr>
              <w:br/>
              <w:t>(6,000 physicians)</w:t>
            </w:r>
          </w:p>
        </w:tc>
        <w:tc>
          <w:tcPr>
            <w:tcW w:w="1177" w:type="dxa"/>
            <w:tcBorders>
              <w:top w:val="single" w:sz="4" w:space="0" w:color="auto"/>
              <w:left w:val="single" w:sz="4" w:space="0" w:color="auto"/>
              <w:bottom w:val="single" w:sz="4" w:space="0" w:color="auto"/>
              <w:right w:val="single" w:sz="4" w:space="0" w:color="auto"/>
            </w:tcBorders>
            <w:vAlign w:val="bottom"/>
            <w:hideMark/>
          </w:tcPr>
          <w:p w14:paraId="54BD8163" w14:textId="77777777" w:rsidR="003226D2" w:rsidRPr="001E2746" w:rsidRDefault="003226D2" w:rsidP="00455ABC">
            <w:pPr>
              <w:jc w:val="center"/>
              <w:rPr>
                <w:rFonts w:ascii="Times New Roman" w:hAnsi="Times New Roman" w:cs="Times New Roman"/>
                <w:sz w:val="20"/>
                <w:szCs w:val="20"/>
              </w:rPr>
            </w:pPr>
            <w:r w:rsidRPr="001E2746">
              <w:rPr>
                <w:rFonts w:ascii="Times New Roman" w:hAnsi="Times New Roman" w:cs="Times New Roman"/>
                <w:sz w:val="20"/>
                <w:szCs w:val="20"/>
              </w:rPr>
              <w:t>Difference between projected RSEs: 3,000 vs. 6,000 physicians</w:t>
            </w:r>
          </w:p>
        </w:tc>
      </w:tr>
      <w:tr w:rsidR="001E2746" w:rsidRPr="001E2746" w14:paraId="4ECB53D1" w14:textId="77777777" w:rsidTr="00127610">
        <w:trPr>
          <w:trHeight w:val="900"/>
        </w:trPr>
        <w:tc>
          <w:tcPr>
            <w:tcW w:w="3276" w:type="dxa"/>
            <w:tcBorders>
              <w:top w:val="single" w:sz="4" w:space="0" w:color="auto"/>
              <w:left w:val="single" w:sz="4" w:space="0" w:color="auto"/>
              <w:bottom w:val="single" w:sz="4" w:space="0" w:color="auto"/>
              <w:right w:val="single" w:sz="4" w:space="0" w:color="auto"/>
            </w:tcBorders>
            <w:noWrap/>
            <w:vAlign w:val="bottom"/>
            <w:hideMark/>
          </w:tcPr>
          <w:p w14:paraId="418BDD60" w14:textId="77777777" w:rsidR="003226D2" w:rsidRPr="001E2746" w:rsidRDefault="003226D2">
            <w:pPr>
              <w:rPr>
                <w:rFonts w:ascii="Times New Roman" w:hAnsi="Times New Roman" w:cs="Times New Roman"/>
                <w:sz w:val="20"/>
                <w:szCs w:val="20"/>
              </w:rPr>
            </w:pPr>
            <w:r w:rsidRPr="001E2746">
              <w:rPr>
                <w:rFonts w:ascii="Times New Roman" w:hAnsi="Times New Roman" w:cs="Times New Roman"/>
                <w:sz w:val="20"/>
                <w:szCs w:val="20"/>
              </w:rPr>
              <w:t>Visit Characteristic</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DB895D3"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 xml:space="preserve">Number of visits in thousands </w:t>
            </w:r>
            <w:r w:rsidRPr="001E2746">
              <w:rPr>
                <w:rFonts w:ascii="Times New Roman" w:hAnsi="Times New Roman" w:cs="Times New Roman"/>
                <w:sz w:val="20"/>
                <w:szCs w:val="20"/>
              </w:rPr>
              <w:br/>
              <w:t>(standard error in thousands)</w:t>
            </w:r>
          </w:p>
        </w:tc>
        <w:tc>
          <w:tcPr>
            <w:tcW w:w="788" w:type="dxa"/>
            <w:tcBorders>
              <w:top w:val="single" w:sz="4" w:space="0" w:color="auto"/>
              <w:left w:val="single" w:sz="4" w:space="0" w:color="auto"/>
              <w:bottom w:val="single" w:sz="4" w:space="0" w:color="auto"/>
              <w:right w:val="single" w:sz="4" w:space="0" w:color="auto"/>
            </w:tcBorders>
            <w:noWrap/>
            <w:vAlign w:val="bottom"/>
          </w:tcPr>
          <w:p w14:paraId="1D58935A" w14:textId="77777777" w:rsidR="003226D2" w:rsidRPr="001E2746" w:rsidRDefault="003226D2">
            <w:pPr>
              <w:jc w:val="center"/>
              <w:rPr>
                <w:rFonts w:ascii="Times New Roman" w:hAnsi="Times New Roman" w:cs="Times New Roman"/>
                <w:sz w:val="20"/>
                <w:szCs w:val="20"/>
              </w:rPr>
            </w:pPr>
          </w:p>
          <w:p w14:paraId="6A19930C" w14:textId="77777777" w:rsidR="003226D2" w:rsidRPr="001E2746" w:rsidRDefault="003226D2">
            <w:pPr>
              <w:jc w:val="center"/>
              <w:rPr>
                <w:rFonts w:ascii="Times New Roman" w:hAnsi="Times New Roman" w:cs="Times New Roman"/>
                <w:sz w:val="20"/>
                <w:szCs w:val="20"/>
              </w:rPr>
            </w:pPr>
          </w:p>
          <w:p w14:paraId="722B2BC4"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w:t>
            </w:r>
          </w:p>
        </w:tc>
        <w:tc>
          <w:tcPr>
            <w:tcW w:w="1208" w:type="dxa"/>
            <w:tcBorders>
              <w:top w:val="single" w:sz="4" w:space="0" w:color="auto"/>
              <w:left w:val="single" w:sz="4" w:space="0" w:color="auto"/>
              <w:bottom w:val="single" w:sz="4" w:space="0" w:color="auto"/>
              <w:right w:val="single" w:sz="4" w:space="0" w:color="auto"/>
            </w:tcBorders>
            <w:vAlign w:val="bottom"/>
          </w:tcPr>
          <w:p w14:paraId="7D3AFA6E" w14:textId="77777777" w:rsidR="003226D2" w:rsidRPr="001E2746" w:rsidRDefault="003226D2">
            <w:pPr>
              <w:jc w:val="center"/>
              <w:rPr>
                <w:rFonts w:ascii="Times New Roman" w:hAnsi="Times New Roman" w:cs="Times New Roman"/>
                <w:sz w:val="20"/>
                <w:szCs w:val="20"/>
              </w:rPr>
            </w:pPr>
          </w:p>
          <w:p w14:paraId="5AA65475" w14:textId="77777777" w:rsidR="003226D2" w:rsidRPr="001E2746" w:rsidRDefault="003226D2">
            <w:pPr>
              <w:jc w:val="center"/>
              <w:rPr>
                <w:rFonts w:ascii="Times New Roman" w:hAnsi="Times New Roman" w:cs="Times New Roman"/>
                <w:sz w:val="20"/>
                <w:szCs w:val="20"/>
              </w:rPr>
            </w:pPr>
          </w:p>
          <w:p w14:paraId="3A02E824" w14:textId="77777777" w:rsidR="003226D2" w:rsidRPr="001E2746" w:rsidRDefault="003226D2">
            <w:pPr>
              <w:jc w:val="center"/>
              <w:rPr>
                <w:rFonts w:ascii="Times New Roman" w:hAnsi="Times New Roman" w:cs="Times New Roman"/>
                <w:sz w:val="20"/>
                <w:szCs w:val="20"/>
              </w:rPr>
            </w:pPr>
          </w:p>
          <w:p w14:paraId="1C908C8A"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2,3</w:t>
            </w:r>
          </w:p>
        </w:tc>
        <w:tc>
          <w:tcPr>
            <w:tcW w:w="1201" w:type="dxa"/>
            <w:tcBorders>
              <w:top w:val="single" w:sz="4" w:space="0" w:color="auto"/>
              <w:left w:val="single" w:sz="4" w:space="0" w:color="auto"/>
              <w:bottom w:val="single" w:sz="4" w:space="0" w:color="auto"/>
              <w:right w:val="single" w:sz="4" w:space="0" w:color="auto"/>
            </w:tcBorders>
            <w:vAlign w:val="bottom"/>
          </w:tcPr>
          <w:p w14:paraId="706C4D57" w14:textId="77777777" w:rsidR="003226D2" w:rsidRPr="001E2746" w:rsidRDefault="003226D2">
            <w:pPr>
              <w:jc w:val="center"/>
              <w:rPr>
                <w:rFonts w:ascii="Times New Roman" w:hAnsi="Times New Roman" w:cs="Times New Roman"/>
                <w:sz w:val="20"/>
                <w:szCs w:val="20"/>
              </w:rPr>
            </w:pPr>
          </w:p>
          <w:p w14:paraId="05E00030" w14:textId="77777777" w:rsidR="003226D2" w:rsidRPr="001E2746" w:rsidRDefault="003226D2">
            <w:pPr>
              <w:jc w:val="center"/>
              <w:rPr>
                <w:rFonts w:ascii="Times New Roman" w:hAnsi="Times New Roman" w:cs="Times New Roman"/>
                <w:sz w:val="20"/>
                <w:szCs w:val="20"/>
              </w:rPr>
            </w:pPr>
          </w:p>
          <w:p w14:paraId="7D73F565" w14:textId="77777777" w:rsidR="003226D2" w:rsidRPr="001E2746" w:rsidRDefault="003226D2">
            <w:pPr>
              <w:jc w:val="center"/>
              <w:rPr>
                <w:rFonts w:ascii="Times New Roman" w:hAnsi="Times New Roman" w:cs="Times New Roman"/>
                <w:sz w:val="20"/>
                <w:szCs w:val="20"/>
              </w:rPr>
            </w:pPr>
          </w:p>
          <w:p w14:paraId="649A1A3A"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w:t>
            </w:r>
          </w:p>
        </w:tc>
        <w:tc>
          <w:tcPr>
            <w:tcW w:w="1177" w:type="dxa"/>
            <w:tcBorders>
              <w:top w:val="single" w:sz="4" w:space="0" w:color="auto"/>
              <w:left w:val="single" w:sz="4" w:space="0" w:color="auto"/>
              <w:bottom w:val="single" w:sz="4" w:space="0" w:color="auto"/>
              <w:right w:val="single" w:sz="4" w:space="0" w:color="auto"/>
            </w:tcBorders>
            <w:vAlign w:val="bottom"/>
          </w:tcPr>
          <w:p w14:paraId="06ED0AB3" w14:textId="77777777" w:rsidR="003226D2" w:rsidRPr="001E2746" w:rsidRDefault="003226D2">
            <w:pPr>
              <w:jc w:val="center"/>
              <w:rPr>
                <w:rFonts w:ascii="Times New Roman" w:hAnsi="Times New Roman" w:cs="Times New Roman"/>
                <w:sz w:val="20"/>
                <w:szCs w:val="20"/>
              </w:rPr>
            </w:pPr>
          </w:p>
          <w:p w14:paraId="4EC03085" w14:textId="77777777" w:rsidR="003226D2" w:rsidRPr="001E2746" w:rsidRDefault="003226D2">
            <w:pPr>
              <w:jc w:val="center"/>
              <w:rPr>
                <w:rFonts w:ascii="Times New Roman" w:hAnsi="Times New Roman" w:cs="Times New Roman"/>
                <w:sz w:val="20"/>
                <w:szCs w:val="20"/>
              </w:rPr>
            </w:pPr>
          </w:p>
          <w:p w14:paraId="3E1240B3" w14:textId="77777777" w:rsidR="003226D2" w:rsidRPr="001E2746" w:rsidRDefault="003226D2">
            <w:pPr>
              <w:jc w:val="center"/>
              <w:rPr>
                <w:rFonts w:ascii="Times New Roman" w:hAnsi="Times New Roman" w:cs="Times New Roman"/>
                <w:sz w:val="20"/>
                <w:szCs w:val="20"/>
              </w:rPr>
            </w:pPr>
          </w:p>
          <w:p w14:paraId="5D48D975"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w:t>
            </w:r>
          </w:p>
        </w:tc>
      </w:tr>
      <w:tr w:rsidR="001E2746" w:rsidRPr="001E2746" w14:paraId="35F48E7B" w14:textId="77777777" w:rsidTr="00127610">
        <w:trPr>
          <w:trHeight w:val="315"/>
        </w:trPr>
        <w:tc>
          <w:tcPr>
            <w:tcW w:w="3276" w:type="dxa"/>
            <w:tcBorders>
              <w:top w:val="single" w:sz="4" w:space="0" w:color="auto"/>
              <w:left w:val="single" w:sz="4" w:space="0" w:color="auto"/>
              <w:bottom w:val="single" w:sz="4" w:space="0" w:color="auto"/>
              <w:right w:val="single" w:sz="4" w:space="0" w:color="auto"/>
            </w:tcBorders>
            <w:vAlign w:val="bottom"/>
            <w:hideMark/>
          </w:tcPr>
          <w:p w14:paraId="695B4B7F" w14:textId="77777777" w:rsidR="003226D2" w:rsidRPr="001E2746" w:rsidRDefault="003226D2">
            <w:pPr>
              <w:rPr>
                <w:rFonts w:ascii="Times New Roman" w:hAnsi="Times New Roman" w:cs="Times New Roman"/>
                <w:sz w:val="20"/>
                <w:szCs w:val="20"/>
              </w:rPr>
            </w:pPr>
            <w:r w:rsidRPr="001E2746">
              <w:rPr>
                <w:rFonts w:ascii="Times New Roman" w:hAnsi="Times New Roman" w:cs="Times New Roman"/>
                <w:sz w:val="20"/>
                <w:szCs w:val="20"/>
              </w:rPr>
              <w:t>All Visits</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E6C276B"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990,808 (49,038)</w:t>
            </w:r>
          </w:p>
        </w:tc>
        <w:tc>
          <w:tcPr>
            <w:tcW w:w="788" w:type="dxa"/>
            <w:tcBorders>
              <w:top w:val="single" w:sz="4" w:space="0" w:color="auto"/>
              <w:left w:val="single" w:sz="4" w:space="0" w:color="auto"/>
              <w:bottom w:val="single" w:sz="4" w:space="0" w:color="auto"/>
              <w:right w:val="single" w:sz="4" w:space="0" w:color="auto"/>
            </w:tcBorders>
            <w:noWrap/>
            <w:vAlign w:val="bottom"/>
            <w:hideMark/>
          </w:tcPr>
          <w:p w14:paraId="46311D5F"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4.95</w:t>
            </w:r>
          </w:p>
        </w:tc>
        <w:tc>
          <w:tcPr>
            <w:tcW w:w="1208" w:type="dxa"/>
            <w:tcBorders>
              <w:top w:val="single" w:sz="4" w:space="0" w:color="auto"/>
              <w:left w:val="single" w:sz="4" w:space="0" w:color="auto"/>
              <w:bottom w:val="single" w:sz="4" w:space="0" w:color="auto"/>
              <w:right w:val="single" w:sz="4" w:space="0" w:color="auto"/>
            </w:tcBorders>
            <w:noWrap/>
            <w:vAlign w:val="bottom"/>
            <w:hideMark/>
          </w:tcPr>
          <w:p w14:paraId="654095C2"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9.25</w:t>
            </w:r>
          </w:p>
        </w:tc>
        <w:tc>
          <w:tcPr>
            <w:tcW w:w="1201" w:type="dxa"/>
            <w:tcBorders>
              <w:top w:val="single" w:sz="4" w:space="0" w:color="auto"/>
              <w:left w:val="single" w:sz="4" w:space="0" w:color="auto"/>
              <w:bottom w:val="single" w:sz="4" w:space="0" w:color="auto"/>
              <w:right w:val="single" w:sz="4" w:space="0" w:color="auto"/>
            </w:tcBorders>
            <w:noWrap/>
            <w:vAlign w:val="bottom"/>
            <w:hideMark/>
          </w:tcPr>
          <w:p w14:paraId="79BE21EB"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6.54</w:t>
            </w:r>
          </w:p>
        </w:tc>
        <w:tc>
          <w:tcPr>
            <w:tcW w:w="1177" w:type="dxa"/>
            <w:tcBorders>
              <w:top w:val="single" w:sz="4" w:space="0" w:color="auto"/>
              <w:left w:val="single" w:sz="4" w:space="0" w:color="auto"/>
              <w:bottom w:val="single" w:sz="4" w:space="0" w:color="auto"/>
              <w:right w:val="single" w:sz="4" w:space="0" w:color="auto"/>
            </w:tcBorders>
            <w:noWrap/>
            <w:vAlign w:val="bottom"/>
            <w:hideMark/>
          </w:tcPr>
          <w:p w14:paraId="0E282A89"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-2.71</w:t>
            </w:r>
          </w:p>
        </w:tc>
      </w:tr>
      <w:tr w:rsidR="001E2746" w:rsidRPr="001E2746" w14:paraId="580ABF57"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020ACDD1" w14:textId="77777777" w:rsidR="003226D2" w:rsidRPr="001E2746" w:rsidRDefault="003226D2">
            <w:pPr>
              <w:rPr>
                <w:rFonts w:ascii="Times New Roman" w:hAnsi="Times New Roman" w:cs="Times New Roman"/>
                <w:sz w:val="20"/>
                <w:szCs w:val="20"/>
              </w:rPr>
            </w:pPr>
            <w:r w:rsidRPr="001E2746">
              <w:rPr>
                <w:rFonts w:ascii="Times New Roman" w:hAnsi="Times New Roman" w:cs="Times New Roman"/>
                <w:sz w:val="20"/>
                <w:szCs w:val="20"/>
              </w:rPr>
              <w:t>Visits with…</w:t>
            </w:r>
          </w:p>
        </w:tc>
        <w:tc>
          <w:tcPr>
            <w:tcW w:w="1800" w:type="dxa"/>
            <w:tcBorders>
              <w:top w:val="single" w:sz="4" w:space="0" w:color="auto"/>
              <w:left w:val="single" w:sz="4" w:space="0" w:color="auto"/>
              <w:bottom w:val="single" w:sz="4" w:space="0" w:color="auto"/>
              <w:right w:val="nil"/>
            </w:tcBorders>
            <w:shd w:val="pct20" w:color="auto" w:fill="auto"/>
            <w:noWrap/>
            <w:vAlign w:val="bottom"/>
            <w:hideMark/>
          </w:tcPr>
          <w:p w14:paraId="73868930" w14:textId="231411EE" w:rsidR="003226D2" w:rsidRPr="001E2746" w:rsidRDefault="003226D2">
            <w:pPr>
              <w:rPr>
                <w:rFonts w:ascii="Times New Roman" w:hAnsi="Times New Roman" w:cs="Times New Roman"/>
                <w:sz w:val="20"/>
                <w:szCs w:val="20"/>
              </w:rPr>
            </w:pPr>
          </w:p>
        </w:tc>
        <w:tc>
          <w:tcPr>
            <w:tcW w:w="788" w:type="dxa"/>
            <w:tcBorders>
              <w:top w:val="single" w:sz="4" w:space="0" w:color="auto"/>
              <w:left w:val="nil"/>
              <w:bottom w:val="single" w:sz="4" w:space="0" w:color="auto"/>
              <w:right w:val="nil"/>
            </w:tcBorders>
            <w:shd w:val="pct20" w:color="auto" w:fill="auto"/>
            <w:noWrap/>
            <w:vAlign w:val="bottom"/>
            <w:hideMark/>
          </w:tcPr>
          <w:p w14:paraId="0B49F479" w14:textId="1DDB4CD0" w:rsidR="003226D2" w:rsidRPr="001E2746" w:rsidRDefault="003226D2">
            <w:pPr>
              <w:rPr>
                <w:rFonts w:ascii="Times New Roman" w:hAnsi="Times New Roman" w:cs="Times New Roman"/>
                <w:sz w:val="20"/>
                <w:szCs w:val="20"/>
              </w:rPr>
            </w:pPr>
          </w:p>
        </w:tc>
        <w:tc>
          <w:tcPr>
            <w:tcW w:w="1208" w:type="dxa"/>
            <w:tcBorders>
              <w:top w:val="single" w:sz="4" w:space="0" w:color="auto"/>
              <w:left w:val="nil"/>
              <w:bottom w:val="single" w:sz="4" w:space="0" w:color="auto"/>
              <w:right w:val="nil"/>
            </w:tcBorders>
            <w:shd w:val="pct20" w:color="auto" w:fill="auto"/>
            <w:noWrap/>
            <w:vAlign w:val="bottom"/>
            <w:hideMark/>
          </w:tcPr>
          <w:p w14:paraId="2F347E14" w14:textId="5DC57FB5" w:rsidR="003226D2" w:rsidRPr="001E2746" w:rsidRDefault="003226D2">
            <w:pPr>
              <w:rPr>
                <w:rFonts w:ascii="Times New Roman" w:hAnsi="Times New Roman" w:cs="Times New Roman"/>
                <w:sz w:val="20"/>
                <w:szCs w:val="20"/>
              </w:rPr>
            </w:pPr>
          </w:p>
        </w:tc>
        <w:tc>
          <w:tcPr>
            <w:tcW w:w="1201" w:type="dxa"/>
            <w:tcBorders>
              <w:top w:val="single" w:sz="4" w:space="0" w:color="auto"/>
              <w:left w:val="nil"/>
              <w:bottom w:val="single" w:sz="4" w:space="0" w:color="auto"/>
              <w:right w:val="nil"/>
            </w:tcBorders>
            <w:shd w:val="pct20" w:color="auto" w:fill="auto"/>
            <w:noWrap/>
            <w:vAlign w:val="bottom"/>
            <w:hideMark/>
          </w:tcPr>
          <w:p w14:paraId="0BD5A0FB" w14:textId="6AC3D7D0" w:rsidR="003226D2" w:rsidRPr="001E2746" w:rsidRDefault="003226D2">
            <w:pPr>
              <w:rPr>
                <w:rFonts w:ascii="Times New Roman" w:hAnsi="Times New Roman" w:cs="Times New Roman"/>
                <w:sz w:val="20"/>
                <w:szCs w:val="20"/>
              </w:rPr>
            </w:pPr>
          </w:p>
        </w:tc>
        <w:tc>
          <w:tcPr>
            <w:tcW w:w="1177" w:type="dxa"/>
            <w:tcBorders>
              <w:top w:val="single" w:sz="4" w:space="0" w:color="auto"/>
              <w:left w:val="nil"/>
              <w:bottom w:val="single" w:sz="4" w:space="0" w:color="auto"/>
              <w:right w:val="single" w:sz="4" w:space="0" w:color="auto"/>
            </w:tcBorders>
            <w:shd w:val="pct20" w:color="auto" w:fill="auto"/>
            <w:noWrap/>
            <w:vAlign w:val="bottom"/>
            <w:hideMark/>
          </w:tcPr>
          <w:p w14:paraId="1D8D7D40" w14:textId="618024C5" w:rsidR="003226D2" w:rsidRPr="001E2746" w:rsidRDefault="003226D2">
            <w:pPr>
              <w:rPr>
                <w:rFonts w:ascii="Times New Roman" w:hAnsi="Times New Roman" w:cs="Times New Roman"/>
                <w:sz w:val="20"/>
                <w:szCs w:val="20"/>
              </w:rPr>
            </w:pPr>
          </w:p>
        </w:tc>
      </w:tr>
      <w:tr w:rsidR="001E2746" w:rsidRPr="001E2746" w14:paraId="7564F0B6"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2F5B4433" w14:textId="77777777" w:rsidR="003226D2" w:rsidRPr="001E2746" w:rsidRDefault="003226D2">
            <w:pPr>
              <w:ind w:left="157" w:hanging="157"/>
              <w:rPr>
                <w:rFonts w:ascii="Times New Roman" w:hAnsi="Times New Roman" w:cs="Times New Roman"/>
                <w:sz w:val="20"/>
                <w:szCs w:val="20"/>
              </w:rPr>
            </w:pPr>
            <w:r w:rsidRPr="001E2746">
              <w:rPr>
                <w:rFonts w:ascii="Times New Roman" w:hAnsi="Times New Roman" w:cs="Times New Roman"/>
                <w:sz w:val="20"/>
                <w:szCs w:val="20"/>
              </w:rPr>
              <w:t xml:space="preserve">   Reason for Visit: Stomach and     abdominal pain, cramps and spasms</w:t>
            </w:r>
          </w:p>
        </w:tc>
        <w:tc>
          <w:tcPr>
            <w:tcW w:w="1800" w:type="dxa"/>
            <w:tcBorders>
              <w:top w:val="single" w:sz="4" w:space="0" w:color="auto"/>
              <w:left w:val="single" w:sz="4" w:space="0" w:color="auto"/>
              <w:bottom w:val="single" w:sz="4" w:space="0" w:color="auto"/>
              <w:right w:val="single" w:sz="4" w:space="0" w:color="auto"/>
            </w:tcBorders>
            <w:noWrap/>
            <w:vAlign w:val="bottom"/>
          </w:tcPr>
          <w:p w14:paraId="5B5418F7" w14:textId="77777777" w:rsidR="003226D2" w:rsidRPr="001E2746" w:rsidRDefault="003226D2">
            <w:pPr>
              <w:jc w:val="center"/>
              <w:rPr>
                <w:rFonts w:ascii="Times New Roman" w:hAnsi="Times New Roman" w:cs="Times New Roman"/>
                <w:sz w:val="20"/>
                <w:szCs w:val="20"/>
              </w:rPr>
            </w:pPr>
          </w:p>
          <w:p w14:paraId="444E9DA9"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15,0263 (2,796)</w:t>
            </w:r>
          </w:p>
        </w:tc>
        <w:tc>
          <w:tcPr>
            <w:tcW w:w="788" w:type="dxa"/>
            <w:tcBorders>
              <w:top w:val="single" w:sz="4" w:space="0" w:color="auto"/>
              <w:left w:val="single" w:sz="4" w:space="0" w:color="auto"/>
              <w:bottom w:val="single" w:sz="4" w:space="0" w:color="auto"/>
              <w:right w:val="single" w:sz="4" w:space="0" w:color="auto"/>
            </w:tcBorders>
            <w:noWrap/>
            <w:vAlign w:val="bottom"/>
          </w:tcPr>
          <w:p w14:paraId="170345BF" w14:textId="77777777" w:rsidR="003226D2" w:rsidRPr="001E2746" w:rsidRDefault="003226D2">
            <w:pPr>
              <w:jc w:val="center"/>
              <w:rPr>
                <w:rFonts w:ascii="Times New Roman" w:hAnsi="Times New Roman" w:cs="Times New Roman"/>
                <w:sz w:val="20"/>
                <w:szCs w:val="20"/>
              </w:rPr>
            </w:pPr>
          </w:p>
          <w:p w14:paraId="739772B2"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18.61</w:t>
            </w:r>
          </w:p>
        </w:tc>
        <w:tc>
          <w:tcPr>
            <w:tcW w:w="1208" w:type="dxa"/>
            <w:tcBorders>
              <w:top w:val="single" w:sz="4" w:space="0" w:color="auto"/>
              <w:left w:val="single" w:sz="4" w:space="0" w:color="auto"/>
              <w:bottom w:val="single" w:sz="4" w:space="0" w:color="auto"/>
              <w:right w:val="single" w:sz="4" w:space="0" w:color="auto"/>
            </w:tcBorders>
            <w:noWrap/>
            <w:vAlign w:val="bottom"/>
          </w:tcPr>
          <w:p w14:paraId="14180D5A" w14:textId="77777777" w:rsidR="003226D2" w:rsidRPr="001E2746" w:rsidRDefault="003226D2">
            <w:pPr>
              <w:jc w:val="center"/>
              <w:rPr>
                <w:rFonts w:ascii="Times New Roman" w:hAnsi="Times New Roman" w:cs="Times New Roman"/>
                <w:b/>
                <w:bCs/>
                <w:sz w:val="20"/>
                <w:szCs w:val="20"/>
              </w:rPr>
            </w:pPr>
          </w:p>
          <w:p w14:paraId="79C504BE" w14:textId="77777777" w:rsidR="003226D2" w:rsidRPr="001E2746" w:rsidRDefault="003226D2">
            <w:pPr>
              <w:jc w:val="center"/>
              <w:rPr>
                <w:rFonts w:ascii="Times New Roman" w:hAnsi="Times New Roman" w:cs="Times New Roman"/>
                <w:b/>
                <w:bCs/>
                <w:sz w:val="20"/>
                <w:szCs w:val="20"/>
              </w:rPr>
            </w:pPr>
            <w:r w:rsidRPr="001E2746">
              <w:rPr>
                <w:rFonts w:ascii="Times New Roman" w:hAnsi="Times New Roman" w:cs="Times New Roman"/>
                <w:b/>
                <w:bCs/>
                <w:sz w:val="20"/>
                <w:szCs w:val="20"/>
              </w:rPr>
              <w:t>34.77</w:t>
            </w:r>
          </w:p>
        </w:tc>
        <w:tc>
          <w:tcPr>
            <w:tcW w:w="1201" w:type="dxa"/>
            <w:tcBorders>
              <w:top w:val="single" w:sz="4" w:space="0" w:color="auto"/>
              <w:left w:val="single" w:sz="4" w:space="0" w:color="auto"/>
              <w:bottom w:val="single" w:sz="4" w:space="0" w:color="auto"/>
              <w:right w:val="single" w:sz="4" w:space="0" w:color="auto"/>
            </w:tcBorders>
            <w:noWrap/>
            <w:vAlign w:val="bottom"/>
          </w:tcPr>
          <w:p w14:paraId="1653DF11" w14:textId="77777777" w:rsidR="003226D2" w:rsidRPr="001E2746" w:rsidRDefault="003226D2">
            <w:pPr>
              <w:jc w:val="center"/>
              <w:rPr>
                <w:rFonts w:ascii="Times New Roman" w:hAnsi="Times New Roman" w:cs="Times New Roman"/>
                <w:sz w:val="20"/>
                <w:szCs w:val="20"/>
              </w:rPr>
            </w:pPr>
          </w:p>
          <w:p w14:paraId="2AA15456"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24.59</w:t>
            </w:r>
          </w:p>
        </w:tc>
        <w:tc>
          <w:tcPr>
            <w:tcW w:w="1177" w:type="dxa"/>
            <w:tcBorders>
              <w:top w:val="single" w:sz="4" w:space="0" w:color="auto"/>
              <w:left w:val="single" w:sz="4" w:space="0" w:color="auto"/>
              <w:bottom w:val="single" w:sz="4" w:space="0" w:color="auto"/>
              <w:right w:val="single" w:sz="4" w:space="0" w:color="auto"/>
            </w:tcBorders>
            <w:noWrap/>
            <w:vAlign w:val="bottom"/>
          </w:tcPr>
          <w:p w14:paraId="0A2D33D3" w14:textId="77777777" w:rsidR="003226D2" w:rsidRPr="001E2746" w:rsidRDefault="003226D2">
            <w:pPr>
              <w:jc w:val="center"/>
              <w:rPr>
                <w:rFonts w:ascii="Times New Roman" w:hAnsi="Times New Roman" w:cs="Times New Roman"/>
                <w:sz w:val="20"/>
                <w:szCs w:val="20"/>
              </w:rPr>
            </w:pPr>
          </w:p>
          <w:p w14:paraId="0329CB32"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-10.18</w:t>
            </w:r>
          </w:p>
        </w:tc>
      </w:tr>
      <w:tr w:rsidR="001E2746" w:rsidRPr="001E2746" w14:paraId="3C4F6AE2"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3C737520" w14:textId="77777777" w:rsidR="003226D2" w:rsidRPr="001E2746" w:rsidRDefault="003226D2">
            <w:pPr>
              <w:ind w:left="157" w:hanging="157"/>
              <w:rPr>
                <w:rFonts w:ascii="Times New Roman" w:hAnsi="Times New Roman" w:cs="Times New Roman"/>
                <w:sz w:val="20"/>
                <w:szCs w:val="20"/>
              </w:rPr>
            </w:pPr>
            <w:r w:rsidRPr="001E2746">
              <w:rPr>
                <w:rFonts w:ascii="Times New Roman" w:hAnsi="Times New Roman" w:cs="Times New Roman"/>
                <w:sz w:val="20"/>
                <w:szCs w:val="20"/>
              </w:rPr>
              <w:t xml:space="preserve">   Reason for Visit: Medication, other and unspecified kinds</w:t>
            </w:r>
          </w:p>
        </w:tc>
        <w:tc>
          <w:tcPr>
            <w:tcW w:w="1800" w:type="dxa"/>
            <w:tcBorders>
              <w:top w:val="single" w:sz="4" w:space="0" w:color="auto"/>
              <w:left w:val="single" w:sz="4" w:space="0" w:color="auto"/>
              <w:bottom w:val="single" w:sz="4" w:space="0" w:color="auto"/>
              <w:right w:val="single" w:sz="4" w:space="0" w:color="auto"/>
            </w:tcBorders>
            <w:noWrap/>
            <w:vAlign w:val="bottom"/>
          </w:tcPr>
          <w:p w14:paraId="34611289" w14:textId="77777777" w:rsidR="003226D2" w:rsidRPr="001E2746" w:rsidRDefault="003226D2">
            <w:pPr>
              <w:jc w:val="center"/>
              <w:rPr>
                <w:rFonts w:ascii="Times New Roman" w:hAnsi="Times New Roman" w:cs="Times New Roman"/>
                <w:sz w:val="20"/>
                <w:szCs w:val="20"/>
              </w:rPr>
            </w:pPr>
          </w:p>
          <w:p w14:paraId="0B10D74E"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35,232 (7,003)</w:t>
            </w:r>
          </w:p>
        </w:tc>
        <w:tc>
          <w:tcPr>
            <w:tcW w:w="788" w:type="dxa"/>
            <w:tcBorders>
              <w:top w:val="single" w:sz="4" w:space="0" w:color="auto"/>
              <w:left w:val="single" w:sz="4" w:space="0" w:color="auto"/>
              <w:bottom w:val="single" w:sz="4" w:space="0" w:color="auto"/>
              <w:right w:val="single" w:sz="4" w:space="0" w:color="auto"/>
            </w:tcBorders>
            <w:noWrap/>
            <w:vAlign w:val="bottom"/>
          </w:tcPr>
          <w:p w14:paraId="20209465" w14:textId="77777777" w:rsidR="003226D2" w:rsidRPr="001E2746" w:rsidRDefault="003226D2">
            <w:pPr>
              <w:jc w:val="center"/>
              <w:rPr>
                <w:rFonts w:ascii="Times New Roman" w:hAnsi="Times New Roman" w:cs="Times New Roman"/>
                <w:sz w:val="20"/>
                <w:szCs w:val="20"/>
              </w:rPr>
            </w:pPr>
          </w:p>
          <w:p w14:paraId="1CE99DFE"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19.88</w:t>
            </w:r>
          </w:p>
        </w:tc>
        <w:tc>
          <w:tcPr>
            <w:tcW w:w="1208" w:type="dxa"/>
            <w:tcBorders>
              <w:top w:val="single" w:sz="4" w:space="0" w:color="auto"/>
              <w:left w:val="single" w:sz="4" w:space="0" w:color="auto"/>
              <w:bottom w:val="single" w:sz="4" w:space="0" w:color="auto"/>
              <w:right w:val="single" w:sz="4" w:space="0" w:color="auto"/>
            </w:tcBorders>
            <w:noWrap/>
            <w:vAlign w:val="bottom"/>
          </w:tcPr>
          <w:p w14:paraId="495ECEB2" w14:textId="77777777" w:rsidR="003226D2" w:rsidRPr="001E2746" w:rsidRDefault="003226D2">
            <w:pPr>
              <w:jc w:val="center"/>
              <w:rPr>
                <w:rFonts w:ascii="Times New Roman" w:hAnsi="Times New Roman" w:cs="Times New Roman"/>
                <w:b/>
                <w:bCs/>
                <w:sz w:val="20"/>
                <w:szCs w:val="20"/>
              </w:rPr>
            </w:pPr>
          </w:p>
          <w:p w14:paraId="552C700F" w14:textId="77777777" w:rsidR="003226D2" w:rsidRPr="001E2746" w:rsidRDefault="003226D2">
            <w:pPr>
              <w:jc w:val="center"/>
              <w:rPr>
                <w:rFonts w:ascii="Times New Roman" w:hAnsi="Times New Roman" w:cs="Times New Roman"/>
                <w:b/>
                <w:bCs/>
                <w:sz w:val="20"/>
                <w:szCs w:val="20"/>
              </w:rPr>
            </w:pPr>
            <w:r w:rsidRPr="001E2746">
              <w:rPr>
                <w:rFonts w:ascii="Times New Roman" w:hAnsi="Times New Roman" w:cs="Times New Roman"/>
                <w:b/>
                <w:bCs/>
                <w:sz w:val="20"/>
                <w:szCs w:val="20"/>
              </w:rPr>
              <w:t>37.14</w:t>
            </w:r>
          </w:p>
        </w:tc>
        <w:tc>
          <w:tcPr>
            <w:tcW w:w="1201" w:type="dxa"/>
            <w:tcBorders>
              <w:top w:val="single" w:sz="4" w:space="0" w:color="auto"/>
              <w:left w:val="single" w:sz="4" w:space="0" w:color="auto"/>
              <w:bottom w:val="single" w:sz="4" w:space="0" w:color="auto"/>
              <w:right w:val="single" w:sz="4" w:space="0" w:color="auto"/>
            </w:tcBorders>
            <w:noWrap/>
            <w:vAlign w:val="bottom"/>
          </w:tcPr>
          <w:p w14:paraId="24D3D0C8" w14:textId="77777777" w:rsidR="003226D2" w:rsidRPr="001E2746" w:rsidRDefault="003226D2">
            <w:pPr>
              <w:jc w:val="center"/>
              <w:rPr>
                <w:rFonts w:ascii="Times New Roman" w:hAnsi="Times New Roman" w:cs="Times New Roman"/>
                <w:sz w:val="20"/>
                <w:szCs w:val="20"/>
              </w:rPr>
            </w:pPr>
          </w:p>
          <w:p w14:paraId="6CFD609F"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26.26</w:t>
            </w:r>
          </w:p>
        </w:tc>
        <w:tc>
          <w:tcPr>
            <w:tcW w:w="1177" w:type="dxa"/>
            <w:tcBorders>
              <w:top w:val="single" w:sz="4" w:space="0" w:color="auto"/>
              <w:left w:val="single" w:sz="4" w:space="0" w:color="auto"/>
              <w:bottom w:val="single" w:sz="4" w:space="0" w:color="auto"/>
              <w:right w:val="single" w:sz="4" w:space="0" w:color="auto"/>
            </w:tcBorders>
            <w:noWrap/>
            <w:vAlign w:val="bottom"/>
          </w:tcPr>
          <w:p w14:paraId="4F70970B" w14:textId="77777777" w:rsidR="003226D2" w:rsidRPr="001E2746" w:rsidRDefault="003226D2">
            <w:pPr>
              <w:jc w:val="center"/>
              <w:rPr>
                <w:rFonts w:ascii="Times New Roman" w:hAnsi="Times New Roman" w:cs="Times New Roman"/>
                <w:sz w:val="20"/>
                <w:szCs w:val="20"/>
              </w:rPr>
            </w:pPr>
          </w:p>
          <w:p w14:paraId="2D5F4E66"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-10.88</w:t>
            </w:r>
          </w:p>
        </w:tc>
      </w:tr>
      <w:tr w:rsidR="001E2746" w:rsidRPr="001E2746" w14:paraId="60DACD11"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4DC4330C" w14:textId="77777777" w:rsidR="003226D2" w:rsidRPr="001E2746" w:rsidRDefault="003226D2">
            <w:pPr>
              <w:ind w:left="157" w:hanging="157"/>
              <w:rPr>
                <w:rFonts w:ascii="Times New Roman" w:hAnsi="Times New Roman" w:cs="Times New Roman"/>
                <w:sz w:val="20"/>
                <w:szCs w:val="20"/>
              </w:rPr>
            </w:pPr>
            <w:r w:rsidRPr="001E2746">
              <w:rPr>
                <w:rFonts w:ascii="Times New Roman" w:hAnsi="Times New Roman" w:cs="Times New Roman"/>
                <w:sz w:val="20"/>
                <w:szCs w:val="20"/>
              </w:rPr>
              <w:t xml:space="preserve">   Professional identity: Doctor of osteopathy</w:t>
            </w:r>
          </w:p>
        </w:tc>
        <w:tc>
          <w:tcPr>
            <w:tcW w:w="1800" w:type="dxa"/>
            <w:tcBorders>
              <w:top w:val="single" w:sz="4" w:space="0" w:color="auto"/>
              <w:left w:val="single" w:sz="4" w:space="0" w:color="auto"/>
              <w:bottom w:val="single" w:sz="4" w:space="0" w:color="auto"/>
              <w:right w:val="single" w:sz="4" w:space="0" w:color="auto"/>
            </w:tcBorders>
            <w:noWrap/>
            <w:vAlign w:val="bottom"/>
          </w:tcPr>
          <w:p w14:paraId="7AE7301E" w14:textId="77777777" w:rsidR="003226D2" w:rsidRPr="001E2746" w:rsidRDefault="003226D2">
            <w:pPr>
              <w:jc w:val="center"/>
              <w:rPr>
                <w:rFonts w:ascii="Times New Roman" w:hAnsi="Times New Roman" w:cs="Times New Roman"/>
                <w:sz w:val="20"/>
                <w:szCs w:val="20"/>
              </w:rPr>
            </w:pPr>
          </w:p>
          <w:p w14:paraId="122DEA29"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57,180 (12,491)</w:t>
            </w:r>
          </w:p>
        </w:tc>
        <w:tc>
          <w:tcPr>
            <w:tcW w:w="788" w:type="dxa"/>
            <w:tcBorders>
              <w:top w:val="single" w:sz="4" w:space="0" w:color="auto"/>
              <w:left w:val="single" w:sz="4" w:space="0" w:color="auto"/>
              <w:bottom w:val="single" w:sz="4" w:space="0" w:color="auto"/>
              <w:right w:val="single" w:sz="4" w:space="0" w:color="auto"/>
            </w:tcBorders>
            <w:noWrap/>
            <w:vAlign w:val="bottom"/>
          </w:tcPr>
          <w:p w14:paraId="067CD2BB" w14:textId="77777777" w:rsidR="003226D2" w:rsidRPr="001E2746" w:rsidRDefault="003226D2">
            <w:pPr>
              <w:jc w:val="center"/>
              <w:rPr>
                <w:rFonts w:ascii="Times New Roman" w:hAnsi="Times New Roman" w:cs="Times New Roman"/>
                <w:sz w:val="20"/>
                <w:szCs w:val="20"/>
              </w:rPr>
            </w:pPr>
          </w:p>
          <w:p w14:paraId="7DAD0D5F"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21.85</w:t>
            </w:r>
          </w:p>
        </w:tc>
        <w:tc>
          <w:tcPr>
            <w:tcW w:w="1208" w:type="dxa"/>
            <w:tcBorders>
              <w:top w:val="single" w:sz="4" w:space="0" w:color="auto"/>
              <w:left w:val="single" w:sz="4" w:space="0" w:color="auto"/>
              <w:bottom w:val="single" w:sz="4" w:space="0" w:color="auto"/>
              <w:right w:val="single" w:sz="4" w:space="0" w:color="auto"/>
            </w:tcBorders>
            <w:noWrap/>
            <w:vAlign w:val="bottom"/>
          </w:tcPr>
          <w:p w14:paraId="72E6F39D" w14:textId="77777777" w:rsidR="003226D2" w:rsidRPr="001E2746" w:rsidRDefault="003226D2">
            <w:pPr>
              <w:jc w:val="center"/>
              <w:rPr>
                <w:rFonts w:ascii="Times New Roman" w:hAnsi="Times New Roman" w:cs="Times New Roman"/>
                <w:b/>
                <w:bCs/>
                <w:sz w:val="20"/>
                <w:szCs w:val="20"/>
              </w:rPr>
            </w:pPr>
          </w:p>
          <w:p w14:paraId="211CC2DA" w14:textId="77777777" w:rsidR="003226D2" w:rsidRPr="001E2746" w:rsidRDefault="003226D2">
            <w:pPr>
              <w:jc w:val="center"/>
              <w:rPr>
                <w:rFonts w:ascii="Times New Roman" w:hAnsi="Times New Roman" w:cs="Times New Roman"/>
                <w:b/>
                <w:bCs/>
                <w:sz w:val="20"/>
                <w:szCs w:val="20"/>
              </w:rPr>
            </w:pPr>
            <w:r w:rsidRPr="001E2746">
              <w:rPr>
                <w:rFonts w:ascii="Times New Roman" w:hAnsi="Times New Roman" w:cs="Times New Roman"/>
                <w:b/>
                <w:bCs/>
                <w:sz w:val="20"/>
                <w:szCs w:val="20"/>
              </w:rPr>
              <w:t>40.82</w:t>
            </w:r>
          </w:p>
        </w:tc>
        <w:tc>
          <w:tcPr>
            <w:tcW w:w="1201" w:type="dxa"/>
            <w:tcBorders>
              <w:top w:val="single" w:sz="4" w:space="0" w:color="auto"/>
              <w:left w:val="single" w:sz="4" w:space="0" w:color="auto"/>
              <w:bottom w:val="single" w:sz="4" w:space="0" w:color="auto"/>
              <w:right w:val="single" w:sz="4" w:space="0" w:color="auto"/>
            </w:tcBorders>
            <w:noWrap/>
            <w:vAlign w:val="bottom"/>
          </w:tcPr>
          <w:p w14:paraId="676BDF90" w14:textId="77777777" w:rsidR="003226D2" w:rsidRPr="001E2746" w:rsidRDefault="003226D2">
            <w:pPr>
              <w:jc w:val="center"/>
              <w:rPr>
                <w:rFonts w:ascii="Times New Roman" w:hAnsi="Times New Roman" w:cs="Times New Roman"/>
                <w:sz w:val="20"/>
                <w:szCs w:val="20"/>
              </w:rPr>
            </w:pPr>
          </w:p>
          <w:p w14:paraId="306C8442"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28.87</w:t>
            </w:r>
          </w:p>
        </w:tc>
        <w:tc>
          <w:tcPr>
            <w:tcW w:w="1177" w:type="dxa"/>
            <w:tcBorders>
              <w:top w:val="single" w:sz="4" w:space="0" w:color="auto"/>
              <w:left w:val="single" w:sz="4" w:space="0" w:color="auto"/>
              <w:bottom w:val="single" w:sz="4" w:space="0" w:color="auto"/>
              <w:right w:val="single" w:sz="4" w:space="0" w:color="auto"/>
            </w:tcBorders>
            <w:noWrap/>
            <w:vAlign w:val="bottom"/>
          </w:tcPr>
          <w:p w14:paraId="4E1AB5DC" w14:textId="77777777" w:rsidR="003226D2" w:rsidRPr="001E2746" w:rsidRDefault="003226D2">
            <w:pPr>
              <w:jc w:val="center"/>
              <w:rPr>
                <w:rFonts w:ascii="Times New Roman" w:hAnsi="Times New Roman" w:cs="Times New Roman"/>
                <w:sz w:val="20"/>
                <w:szCs w:val="20"/>
              </w:rPr>
            </w:pPr>
          </w:p>
          <w:p w14:paraId="71BFA99C"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-11.96</w:t>
            </w:r>
          </w:p>
        </w:tc>
      </w:tr>
      <w:tr w:rsidR="001E2746" w:rsidRPr="001E2746" w14:paraId="3FE8218E"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44F9E7B5" w14:textId="77777777" w:rsidR="003226D2" w:rsidRPr="001E2746" w:rsidRDefault="003226D2">
            <w:pPr>
              <w:rPr>
                <w:rFonts w:ascii="Times New Roman" w:hAnsi="Times New Roman" w:cs="Times New Roman"/>
                <w:sz w:val="20"/>
                <w:szCs w:val="20"/>
              </w:rPr>
            </w:pPr>
            <w:r w:rsidRPr="001E2746">
              <w:rPr>
                <w:rFonts w:ascii="Times New Roman" w:hAnsi="Times New Roman" w:cs="Times New Roman"/>
                <w:sz w:val="20"/>
                <w:szCs w:val="20"/>
              </w:rPr>
              <w:t xml:space="preserve">   Metropolitan status: non-MSA</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23ADF20"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69,761 (13,263)</w:t>
            </w:r>
          </w:p>
        </w:tc>
        <w:tc>
          <w:tcPr>
            <w:tcW w:w="788" w:type="dxa"/>
            <w:tcBorders>
              <w:top w:val="single" w:sz="4" w:space="0" w:color="auto"/>
              <w:left w:val="single" w:sz="4" w:space="0" w:color="auto"/>
              <w:bottom w:val="single" w:sz="4" w:space="0" w:color="auto"/>
              <w:right w:val="single" w:sz="4" w:space="0" w:color="auto"/>
            </w:tcBorders>
            <w:noWrap/>
            <w:vAlign w:val="bottom"/>
            <w:hideMark/>
          </w:tcPr>
          <w:p w14:paraId="678E9654"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19.01</w:t>
            </w:r>
          </w:p>
        </w:tc>
        <w:tc>
          <w:tcPr>
            <w:tcW w:w="1208" w:type="dxa"/>
            <w:tcBorders>
              <w:top w:val="single" w:sz="4" w:space="0" w:color="auto"/>
              <w:left w:val="single" w:sz="4" w:space="0" w:color="auto"/>
              <w:bottom w:val="single" w:sz="4" w:space="0" w:color="auto"/>
              <w:right w:val="single" w:sz="4" w:space="0" w:color="auto"/>
            </w:tcBorders>
            <w:noWrap/>
            <w:vAlign w:val="bottom"/>
            <w:hideMark/>
          </w:tcPr>
          <w:p w14:paraId="642A0E33" w14:textId="77777777" w:rsidR="003226D2" w:rsidRPr="001E2746" w:rsidRDefault="003226D2">
            <w:pPr>
              <w:jc w:val="center"/>
              <w:rPr>
                <w:rFonts w:ascii="Times New Roman" w:hAnsi="Times New Roman" w:cs="Times New Roman"/>
                <w:b/>
                <w:bCs/>
                <w:sz w:val="20"/>
                <w:szCs w:val="20"/>
              </w:rPr>
            </w:pPr>
            <w:r w:rsidRPr="001E2746">
              <w:rPr>
                <w:rFonts w:ascii="Times New Roman" w:hAnsi="Times New Roman" w:cs="Times New Roman"/>
                <w:b/>
                <w:bCs/>
                <w:sz w:val="20"/>
                <w:szCs w:val="20"/>
              </w:rPr>
              <w:t>35.53</w:t>
            </w:r>
          </w:p>
        </w:tc>
        <w:tc>
          <w:tcPr>
            <w:tcW w:w="1201" w:type="dxa"/>
            <w:tcBorders>
              <w:top w:val="single" w:sz="4" w:space="0" w:color="auto"/>
              <w:left w:val="single" w:sz="4" w:space="0" w:color="auto"/>
              <w:bottom w:val="single" w:sz="4" w:space="0" w:color="auto"/>
              <w:right w:val="single" w:sz="4" w:space="0" w:color="auto"/>
            </w:tcBorders>
            <w:noWrap/>
            <w:vAlign w:val="bottom"/>
            <w:hideMark/>
          </w:tcPr>
          <w:p w14:paraId="3C6F93C4"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25.12</w:t>
            </w:r>
          </w:p>
        </w:tc>
        <w:tc>
          <w:tcPr>
            <w:tcW w:w="1177" w:type="dxa"/>
            <w:tcBorders>
              <w:top w:val="single" w:sz="4" w:space="0" w:color="auto"/>
              <w:left w:val="single" w:sz="4" w:space="0" w:color="auto"/>
              <w:bottom w:val="single" w:sz="4" w:space="0" w:color="auto"/>
              <w:right w:val="single" w:sz="4" w:space="0" w:color="auto"/>
            </w:tcBorders>
            <w:noWrap/>
            <w:vAlign w:val="bottom"/>
            <w:hideMark/>
          </w:tcPr>
          <w:p w14:paraId="1F84ACDB"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-10.41</w:t>
            </w:r>
          </w:p>
        </w:tc>
      </w:tr>
      <w:tr w:rsidR="001E2746" w:rsidRPr="001E2746" w14:paraId="3D2ACF3D"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475C0FD0" w14:textId="77777777" w:rsidR="003226D2" w:rsidRPr="001E2746" w:rsidRDefault="003226D2">
            <w:pPr>
              <w:ind w:left="157" w:hanging="157"/>
              <w:rPr>
                <w:rFonts w:ascii="Times New Roman" w:hAnsi="Times New Roman" w:cs="Times New Roman"/>
                <w:sz w:val="20"/>
                <w:szCs w:val="20"/>
              </w:rPr>
            </w:pPr>
            <w:r w:rsidRPr="001E2746">
              <w:rPr>
                <w:rFonts w:ascii="Times New Roman" w:hAnsi="Times New Roman" w:cs="Times New Roman"/>
                <w:sz w:val="20"/>
                <w:szCs w:val="20"/>
              </w:rPr>
              <w:t xml:space="preserve">   Ownership: Other health care corporation</w:t>
            </w:r>
          </w:p>
        </w:tc>
        <w:tc>
          <w:tcPr>
            <w:tcW w:w="1800" w:type="dxa"/>
            <w:tcBorders>
              <w:top w:val="single" w:sz="4" w:space="0" w:color="auto"/>
              <w:left w:val="single" w:sz="4" w:space="0" w:color="auto"/>
              <w:bottom w:val="single" w:sz="4" w:space="0" w:color="auto"/>
              <w:right w:val="single" w:sz="4" w:space="0" w:color="auto"/>
            </w:tcBorders>
            <w:noWrap/>
            <w:vAlign w:val="bottom"/>
          </w:tcPr>
          <w:p w14:paraId="31D7867D" w14:textId="77777777" w:rsidR="003226D2" w:rsidRPr="001E2746" w:rsidRDefault="003226D2">
            <w:pPr>
              <w:jc w:val="center"/>
              <w:rPr>
                <w:rFonts w:ascii="Times New Roman" w:hAnsi="Times New Roman" w:cs="Times New Roman"/>
                <w:sz w:val="20"/>
                <w:szCs w:val="20"/>
              </w:rPr>
            </w:pPr>
          </w:p>
          <w:p w14:paraId="344F40C7"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64,351 (12,881)</w:t>
            </w:r>
          </w:p>
        </w:tc>
        <w:tc>
          <w:tcPr>
            <w:tcW w:w="788" w:type="dxa"/>
            <w:tcBorders>
              <w:top w:val="single" w:sz="4" w:space="0" w:color="auto"/>
              <w:left w:val="single" w:sz="4" w:space="0" w:color="auto"/>
              <w:bottom w:val="single" w:sz="4" w:space="0" w:color="auto"/>
              <w:right w:val="single" w:sz="4" w:space="0" w:color="auto"/>
            </w:tcBorders>
            <w:noWrap/>
            <w:vAlign w:val="bottom"/>
          </w:tcPr>
          <w:p w14:paraId="5F74E430" w14:textId="77777777" w:rsidR="003226D2" w:rsidRPr="001E2746" w:rsidRDefault="003226D2">
            <w:pPr>
              <w:jc w:val="center"/>
              <w:rPr>
                <w:rFonts w:ascii="Times New Roman" w:hAnsi="Times New Roman" w:cs="Times New Roman"/>
                <w:sz w:val="20"/>
                <w:szCs w:val="20"/>
              </w:rPr>
            </w:pPr>
          </w:p>
          <w:p w14:paraId="2262F3BC"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20.02</w:t>
            </w:r>
          </w:p>
        </w:tc>
        <w:tc>
          <w:tcPr>
            <w:tcW w:w="1208" w:type="dxa"/>
            <w:tcBorders>
              <w:top w:val="single" w:sz="4" w:space="0" w:color="auto"/>
              <w:left w:val="single" w:sz="4" w:space="0" w:color="auto"/>
              <w:bottom w:val="single" w:sz="4" w:space="0" w:color="auto"/>
              <w:right w:val="single" w:sz="4" w:space="0" w:color="auto"/>
            </w:tcBorders>
            <w:noWrap/>
            <w:vAlign w:val="bottom"/>
          </w:tcPr>
          <w:p w14:paraId="492D3529" w14:textId="77777777" w:rsidR="003226D2" w:rsidRPr="001E2746" w:rsidRDefault="003226D2">
            <w:pPr>
              <w:jc w:val="center"/>
              <w:rPr>
                <w:rFonts w:ascii="Times New Roman" w:hAnsi="Times New Roman" w:cs="Times New Roman"/>
                <w:b/>
                <w:bCs/>
                <w:sz w:val="20"/>
                <w:szCs w:val="20"/>
              </w:rPr>
            </w:pPr>
          </w:p>
          <w:p w14:paraId="665D32C5" w14:textId="77777777" w:rsidR="003226D2" w:rsidRPr="001E2746" w:rsidRDefault="003226D2">
            <w:pPr>
              <w:jc w:val="center"/>
              <w:rPr>
                <w:rFonts w:ascii="Times New Roman" w:hAnsi="Times New Roman" w:cs="Times New Roman"/>
                <w:b/>
                <w:bCs/>
                <w:sz w:val="20"/>
                <w:szCs w:val="20"/>
              </w:rPr>
            </w:pPr>
            <w:r w:rsidRPr="001E2746">
              <w:rPr>
                <w:rFonts w:ascii="Times New Roman" w:hAnsi="Times New Roman" w:cs="Times New Roman"/>
                <w:b/>
                <w:bCs/>
                <w:sz w:val="20"/>
                <w:szCs w:val="20"/>
              </w:rPr>
              <w:t>37.40</w:t>
            </w:r>
          </w:p>
        </w:tc>
        <w:tc>
          <w:tcPr>
            <w:tcW w:w="1201" w:type="dxa"/>
            <w:tcBorders>
              <w:top w:val="single" w:sz="4" w:space="0" w:color="auto"/>
              <w:left w:val="single" w:sz="4" w:space="0" w:color="auto"/>
              <w:bottom w:val="single" w:sz="4" w:space="0" w:color="auto"/>
              <w:right w:val="single" w:sz="4" w:space="0" w:color="auto"/>
            </w:tcBorders>
            <w:noWrap/>
            <w:vAlign w:val="bottom"/>
          </w:tcPr>
          <w:p w14:paraId="20719758" w14:textId="77777777" w:rsidR="003226D2" w:rsidRPr="001E2746" w:rsidRDefault="003226D2">
            <w:pPr>
              <w:jc w:val="center"/>
              <w:rPr>
                <w:rFonts w:ascii="Times New Roman" w:hAnsi="Times New Roman" w:cs="Times New Roman"/>
                <w:sz w:val="20"/>
                <w:szCs w:val="20"/>
              </w:rPr>
            </w:pPr>
          </w:p>
          <w:p w14:paraId="40C7D466"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26.45</w:t>
            </w:r>
          </w:p>
        </w:tc>
        <w:tc>
          <w:tcPr>
            <w:tcW w:w="1177" w:type="dxa"/>
            <w:tcBorders>
              <w:top w:val="single" w:sz="4" w:space="0" w:color="auto"/>
              <w:left w:val="single" w:sz="4" w:space="0" w:color="auto"/>
              <w:bottom w:val="single" w:sz="4" w:space="0" w:color="auto"/>
              <w:right w:val="single" w:sz="4" w:space="0" w:color="auto"/>
            </w:tcBorders>
            <w:noWrap/>
            <w:vAlign w:val="bottom"/>
          </w:tcPr>
          <w:p w14:paraId="4D2C2731" w14:textId="77777777" w:rsidR="003226D2" w:rsidRPr="001E2746" w:rsidRDefault="003226D2">
            <w:pPr>
              <w:jc w:val="center"/>
              <w:rPr>
                <w:rFonts w:ascii="Times New Roman" w:hAnsi="Times New Roman" w:cs="Times New Roman"/>
                <w:sz w:val="20"/>
                <w:szCs w:val="20"/>
              </w:rPr>
            </w:pPr>
          </w:p>
          <w:p w14:paraId="31E87059"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-10.96</w:t>
            </w:r>
          </w:p>
        </w:tc>
      </w:tr>
      <w:tr w:rsidR="001E2746" w:rsidRPr="001E2746" w14:paraId="6611E648"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2E5D26E3" w14:textId="77777777" w:rsidR="003226D2" w:rsidRPr="001E2746" w:rsidRDefault="003226D2">
            <w:pPr>
              <w:rPr>
                <w:rFonts w:ascii="Times New Roman" w:hAnsi="Times New Roman" w:cs="Times New Roman"/>
                <w:sz w:val="20"/>
                <w:szCs w:val="20"/>
              </w:rPr>
            </w:pPr>
            <w:r w:rsidRPr="001E2746">
              <w:rPr>
                <w:rFonts w:ascii="Times New Roman" w:hAnsi="Times New Roman" w:cs="Times New Roman"/>
                <w:sz w:val="20"/>
                <w:szCs w:val="20"/>
              </w:rPr>
              <w:t xml:space="preserve">   Practice size: 11+ physicians</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6A99021"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107,749 (22,768)</w:t>
            </w:r>
          </w:p>
        </w:tc>
        <w:tc>
          <w:tcPr>
            <w:tcW w:w="788" w:type="dxa"/>
            <w:tcBorders>
              <w:top w:val="single" w:sz="4" w:space="0" w:color="auto"/>
              <w:left w:val="single" w:sz="4" w:space="0" w:color="auto"/>
              <w:bottom w:val="single" w:sz="4" w:space="0" w:color="auto"/>
              <w:right w:val="single" w:sz="4" w:space="0" w:color="auto"/>
            </w:tcBorders>
            <w:noWrap/>
            <w:vAlign w:val="bottom"/>
            <w:hideMark/>
          </w:tcPr>
          <w:p w14:paraId="720B2EA2"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21.13</w:t>
            </w:r>
          </w:p>
        </w:tc>
        <w:tc>
          <w:tcPr>
            <w:tcW w:w="1208" w:type="dxa"/>
            <w:tcBorders>
              <w:top w:val="single" w:sz="4" w:space="0" w:color="auto"/>
              <w:left w:val="single" w:sz="4" w:space="0" w:color="auto"/>
              <w:bottom w:val="single" w:sz="4" w:space="0" w:color="auto"/>
              <w:right w:val="single" w:sz="4" w:space="0" w:color="auto"/>
            </w:tcBorders>
            <w:noWrap/>
            <w:vAlign w:val="bottom"/>
            <w:hideMark/>
          </w:tcPr>
          <w:p w14:paraId="3208E53A" w14:textId="77777777" w:rsidR="003226D2" w:rsidRPr="001E2746" w:rsidRDefault="003226D2">
            <w:pPr>
              <w:jc w:val="center"/>
              <w:rPr>
                <w:rFonts w:ascii="Times New Roman" w:hAnsi="Times New Roman" w:cs="Times New Roman"/>
                <w:b/>
                <w:bCs/>
                <w:sz w:val="20"/>
                <w:szCs w:val="20"/>
              </w:rPr>
            </w:pPr>
            <w:r w:rsidRPr="001E2746">
              <w:rPr>
                <w:rFonts w:ascii="Times New Roman" w:hAnsi="Times New Roman" w:cs="Times New Roman"/>
                <w:b/>
                <w:bCs/>
                <w:sz w:val="20"/>
                <w:szCs w:val="20"/>
              </w:rPr>
              <w:t>39.49</w:t>
            </w:r>
          </w:p>
        </w:tc>
        <w:tc>
          <w:tcPr>
            <w:tcW w:w="1201" w:type="dxa"/>
            <w:tcBorders>
              <w:top w:val="single" w:sz="4" w:space="0" w:color="auto"/>
              <w:left w:val="single" w:sz="4" w:space="0" w:color="auto"/>
              <w:bottom w:val="single" w:sz="4" w:space="0" w:color="auto"/>
              <w:right w:val="single" w:sz="4" w:space="0" w:color="auto"/>
            </w:tcBorders>
            <w:noWrap/>
            <w:vAlign w:val="bottom"/>
            <w:hideMark/>
          </w:tcPr>
          <w:p w14:paraId="1A4EBCF6"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27.92</w:t>
            </w:r>
          </w:p>
        </w:tc>
        <w:tc>
          <w:tcPr>
            <w:tcW w:w="1177" w:type="dxa"/>
            <w:tcBorders>
              <w:top w:val="single" w:sz="4" w:space="0" w:color="auto"/>
              <w:left w:val="single" w:sz="4" w:space="0" w:color="auto"/>
              <w:bottom w:val="single" w:sz="4" w:space="0" w:color="auto"/>
              <w:right w:val="single" w:sz="4" w:space="0" w:color="auto"/>
            </w:tcBorders>
            <w:noWrap/>
            <w:vAlign w:val="bottom"/>
            <w:hideMark/>
          </w:tcPr>
          <w:p w14:paraId="59B3E981"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-11.57</w:t>
            </w:r>
          </w:p>
        </w:tc>
      </w:tr>
      <w:tr w:rsidR="001E2746" w:rsidRPr="001E2746" w14:paraId="25236CAF"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57BC51FD" w14:textId="77777777" w:rsidR="003226D2" w:rsidRPr="001E2746" w:rsidRDefault="003226D2">
            <w:pPr>
              <w:ind w:left="157" w:hanging="157"/>
              <w:rPr>
                <w:rFonts w:ascii="Times New Roman" w:hAnsi="Times New Roman" w:cs="Times New Roman"/>
                <w:sz w:val="20"/>
                <w:szCs w:val="20"/>
              </w:rPr>
            </w:pPr>
            <w:r w:rsidRPr="001E2746">
              <w:rPr>
                <w:rFonts w:ascii="Times New Roman" w:hAnsi="Times New Roman" w:cs="Times New Roman"/>
                <w:sz w:val="20"/>
                <w:szCs w:val="20"/>
              </w:rPr>
              <w:t xml:space="preserve">   Examinations and screenings: Depression screening</w:t>
            </w:r>
          </w:p>
        </w:tc>
        <w:tc>
          <w:tcPr>
            <w:tcW w:w="1800" w:type="dxa"/>
            <w:tcBorders>
              <w:top w:val="single" w:sz="4" w:space="0" w:color="auto"/>
              <w:left w:val="single" w:sz="4" w:space="0" w:color="auto"/>
              <w:bottom w:val="single" w:sz="4" w:space="0" w:color="auto"/>
              <w:right w:val="single" w:sz="4" w:space="0" w:color="auto"/>
            </w:tcBorders>
            <w:noWrap/>
            <w:vAlign w:val="bottom"/>
          </w:tcPr>
          <w:p w14:paraId="6EA23E15" w14:textId="77777777" w:rsidR="003226D2" w:rsidRPr="001E2746" w:rsidRDefault="003226D2">
            <w:pPr>
              <w:jc w:val="center"/>
              <w:rPr>
                <w:rFonts w:ascii="Times New Roman" w:hAnsi="Times New Roman" w:cs="Times New Roman"/>
                <w:sz w:val="20"/>
                <w:szCs w:val="20"/>
              </w:rPr>
            </w:pPr>
          </w:p>
          <w:p w14:paraId="6134B066"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43,525 (7,964)</w:t>
            </w:r>
          </w:p>
        </w:tc>
        <w:tc>
          <w:tcPr>
            <w:tcW w:w="788" w:type="dxa"/>
            <w:tcBorders>
              <w:top w:val="single" w:sz="4" w:space="0" w:color="auto"/>
              <w:left w:val="single" w:sz="4" w:space="0" w:color="auto"/>
              <w:bottom w:val="single" w:sz="4" w:space="0" w:color="auto"/>
              <w:right w:val="single" w:sz="4" w:space="0" w:color="auto"/>
            </w:tcBorders>
            <w:noWrap/>
            <w:vAlign w:val="bottom"/>
          </w:tcPr>
          <w:p w14:paraId="3D60342A" w14:textId="77777777" w:rsidR="003226D2" w:rsidRPr="001E2746" w:rsidRDefault="003226D2">
            <w:pPr>
              <w:jc w:val="center"/>
              <w:rPr>
                <w:rFonts w:ascii="Times New Roman" w:hAnsi="Times New Roman" w:cs="Times New Roman"/>
                <w:sz w:val="20"/>
                <w:szCs w:val="20"/>
              </w:rPr>
            </w:pPr>
          </w:p>
          <w:p w14:paraId="2EBDF372"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18.30</w:t>
            </w:r>
          </w:p>
        </w:tc>
        <w:tc>
          <w:tcPr>
            <w:tcW w:w="1208" w:type="dxa"/>
            <w:tcBorders>
              <w:top w:val="single" w:sz="4" w:space="0" w:color="auto"/>
              <w:left w:val="single" w:sz="4" w:space="0" w:color="auto"/>
              <w:bottom w:val="single" w:sz="4" w:space="0" w:color="auto"/>
              <w:right w:val="single" w:sz="4" w:space="0" w:color="auto"/>
            </w:tcBorders>
            <w:noWrap/>
            <w:vAlign w:val="bottom"/>
          </w:tcPr>
          <w:p w14:paraId="48311B21" w14:textId="77777777" w:rsidR="003226D2" w:rsidRPr="001E2746" w:rsidRDefault="003226D2">
            <w:pPr>
              <w:jc w:val="center"/>
              <w:rPr>
                <w:rFonts w:ascii="Times New Roman" w:hAnsi="Times New Roman" w:cs="Times New Roman"/>
                <w:b/>
                <w:bCs/>
                <w:sz w:val="20"/>
                <w:szCs w:val="20"/>
              </w:rPr>
            </w:pPr>
          </w:p>
          <w:p w14:paraId="1EEA9C1A" w14:textId="77777777" w:rsidR="003226D2" w:rsidRPr="001E2746" w:rsidRDefault="003226D2">
            <w:pPr>
              <w:jc w:val="center"/>
              <w:rPr>
                <w:rFonts w:ascii="Times New Roman" w:hAnsi="Times New Roman" w:cs="Times New Roman"/>
                <w:b/>
                <w:bCs/>
                <w:sz w:val="20"/>
                <w:szCs w:val="20"/>
              </w:rPr>
            </w:pPr>
            <w:r w:rsidRPr="001E2746">
              <w:rPr>
                <w:rFonts w:ascii="Times New Roman" w:hAnsi="Times New Roman" w:cs="Times New Roman"/>
                <w:b/>
                <w:bCs/>
                <w:sz w:val="20"/>
                <w:szCs w:val="20"/>
              </w:rPr>
              <w:t>34.19</w:t>
            </w:r>
          </w:p>
        </w:tc>
        <w:tc>
          <w:tcPr>
            <w:tcW w:w="1201" w:type="dxa"/>
            <w:tcBorders>
              <w:top w:val="single" w:sz="4" w:space="0" w:color="auto"/>
              <w:left w:val="single" w:sz="4" w:space="0" w:color="auto"/>
              <w:bottom w:val="single" w:sz="4" w:space="0" w:color="auto"/>
              <w:right w:val="single" w:sz="4" w:space="0" w:color="auto"/>
            </w:tcBorders>
            <w:noWrap/>
            <w:vAlign w:val="bottom"/>
          </w:tcPr>
          <w:p w14:paraId="2973667E" w14:textId="77777777" w:rsidR="003226D2" w:rsidRPr="001E2746" w:rsidRDefault="003226D2">
            <w:pPr>
              <w:jc w:val="center"/>
              <w:rPr>
                <w:rFonts w:ascii="Times New Roman" w:hAnsi="Times New Roman" w:cs="Times New Roman"/>
                <w:sz w:val="20"/>
                <w:szCs w:val="20"/>
              </w:rPr>
            </w:pPr>
          </w:p>
          <w:p w14:paraId="4B2FA978"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24.18</w:t>
            </w:r>
          </w:p>
        </w:tc>
        <w:tc>
          <w:tcPr>
            <w:tcW w:w="1177" w:type="dxa"/>
            <w:tcBorders>
              <w:top w:val="single" w:sz="4" w:space="0" w:color="auto"/>
              <w:left w:val="single" w:sz="4" w:space="0" w:color="auto"/>
              <w:bottom w:val="single" w:sz="4" w:space="0" w:color="auto"/>
              <w:right w:val="single" w:sz="4" w:space="0" w:color="auto"/>
            </w:tcBorders>
            <w:noWrap/>
            <w:vAlign w:val="bottom"/>
          </w:tcPr>
          <w:p w14:paraId="7E85352F" w14:textId="77777777" w:rsidR="003226D2" w:rsidRPr="001E2746" w:rsidRDefault="003226D2">
            <w:pPr>
              <w:jc w:val="center"/>
              <w:rPr>
                <w:rFonts w:ascii="Times New Roman" w:hAnsi="Times New Roman" w:cs="Times New Roman"/>
                <w:sz w:val="20"/>
                <w:szCs w:val="20"/>
              </w:rPr>
            </w:pPr>
          </w:p>
          <w:p w14:paraId="57564F0C"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-10.01</w:t>
            </w:r>
          </w:p>
        </w:tc>
      </w:tr>
      <w:tr w:rsidR="001E2746" w:rsidRPr="001E2746" w14:paraId="3D12255C"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5B0D2993" w14:textId="77777777" w:rsidR="003226D2" w:rsidRPr="001E2746" w:rsidRDefault="003226D2">
            <w:pPr>
              <w:rPr>
                <w:rFonts w:ascii="Times New Roman" w:hAnsi="Times New Roman" w:cs="Times New Roman"/>
                <w:sz w:val="20"/>
                <w:szCs w:val="20"/>
              </w:rPr>
            </w:pPr>
            <w:r w:rsidRPr="001E2746">
              <w:rPr>
                <w:rFonts w:ascii="Times New Roman" w:hAnsi="Times New Roman" w:cs="Times New Roman"/>
                <w:sz w:val="20"/>
                <w:szCs w:val="20"/>
              </w:rPr>
              <w:t xml:space="preserve">   Examinations and screenings: Foot</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300C87E"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50,962 (10,601)</w:t>
            </w:r>
          </w:p>
        </w:tc>
        <w:tc>
          <w:tcPr>
            <w:tcW w:w="788" w:type="dxa"/>
            <w:tcBorders>
              <w:top w:val="single" w:sz="4" w:space="0" w:color="auto"/>
              <w:left w:val="single" w:sz="4" w:space="0" w:color="auto"/>
              <w:bottom w:val="single" w:sz="4" w:space="0" w:color="auto"/>
              <w:right w:val="single" w:sz="4" w:space="0" w:color="auto"/>
            </w:tcBorders>
            <w:noWrap/>
            <w:vAlign w:val="bottom"/>
            <w:hideMark/>
          </w:tcPr>
          <w:p w14:paraId="70184650"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20.80</w:t>
            </w:r>
          </w:p>
        </w:tc>
        <w:tc>
          <w:tcPr>
            <w:tcW w:w="1208" w:type="dxa"/>
            <w:tcBorders>
              <w:top w:val="single" w:sz="4" w:space="0" w:color="auto"/>
              <w:left w:val="single" w:sz="4" w:space="0" w:color="auto"/>
              <w:bottom w:val="single" w:sz="4" w:space="0" w:color="auto"/>
              <w:right w:val="single" w:sz="4" w:space="0" w:color="auto"/>
            </w:tcBorders>
            <w:noWrap/>
            <w:vAlign w:val="bottom"/>
            <w:hideMark/>
          </w:tcPr>
          <w:p w14:paraId="6E4E6245" w14:textId="77777777" w:rsidR="003226D2" w:rsidRPr="001E2746" w:rsidRDefault="003226D2">
            <w:pPr>
              <w:jc w:val="center"/>
              <w:rPr>
                <w:rFonts w:ascii="Times New Roman" w:hAnsi="Times New Roman" w:cs="Times New Roman"/>
                <w:b/>
                <w:bCs/>
                <w:sz w:val="20"/>
                <w:szCs w:val="20"/>
              </w:rPr>
            </w:pPr>
            <w:r w:rsidRPr="001E2746">
              <w:rPr>
                <w:rFonts w:ascii="Times New Roman" w:hAnsi="Times New Roman" w:cs="Times New Roman"/>
                <w:b/>
                <w:bCs/>
                <w:sz w:val="20"/>
                <w:szCs w:val="20"/>
              </w:rPr>
              <w:t>38.87</w:t>
            </w:r>
          </w:p>
        </w:tc>
        <w:tc>
          <w:tcPr>
            <w:tcW w:w="1201" w:type="dxa"/>
            <w:tcBorders>
              <w:top w:val="single" w:sz="4" w:space="0" w:color="auto"/>
              <w:left w:val="single" w:sz="4" w:space="0" w:color="auto"/>
              <w:bottom w:val="single" w:sz="4" w:space="0" w:color="auto"/>
              <w:right w:val="single" w:sz="4" w:space="0" w:color="auto"/>
            </w:tcBorders>
            <w:noWrap/>
            <w:vAlign w:val="bottom"/>
            <w:hideMark/>
          </w:tcPr>
          <w:p w14:paraId="501CF0F8"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27.49</w:t>
            </w:r>
          </w:p>
        </w:tc>
        <w:tc>
          <w:tcPr>
            <w:tcW w:w="1177" w:type="dxa"/>
            <w:tcBorders>
              <w:top w:val="single" w:sz="4" w:space="0" w:color="auto"/>
              <w:left w:val="single" w:sz="4" w:space="0" w:color="auto"/>
              <w:bottom w:val="single" w:sz="4" w:space="0" w:color="auto"/>
              <w:right w:val="single" w:sz="4" w:space="0" w:color="auto"/>
            </w:tcBorders>
            <w:noWrap/>
            <w:vAlign w:val="bottom"/>
            <w:hideMark/>
          </w:tcPr>
          <w:p w14:paraId="01553656"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-11.39</w:t>
            </w:r>
          </w:p>
        </w:tc>
      </w:tr>
      <w:tr w:rsidR="001E2746" w:rsidRPr="001E2746" w14:paraId="6DBBF98D" w14:textId="77777777" w:rsidTr="00127610">
        <w:trPr>
          <w:trHeight w:val="300"/>
        </w:trPr>
        <w:tc>
          <w:tcPr>
            <w:tcW w:w="3276" w:type="dxa"/>
            <w:tcBorders>
              <w:top w:val="single" w:sz="4" w:space="0" w:color="auto"/>
              <w:left w:val="single" w:sz="4" w:space="0" w:color="auto"/>
              <w:bottom w:val="single" w:sz="4" w:space="0" w:color="auto"/>
              <w:right w:val="single" w:sz="4" w:space="0" w:color="auto"/>
            </w:tcBorders>
            <w:vAlign w:val="bottom"/>
            <w:hideMark/>
          </w:tcPr>
          <w:p w14:paraId="7C300306" w14:textId="77777777" w:rsidR="003226D2" w:rsidRPr="001E2746" w:rsidRDefault="003226D2">
            <w:pPr>
              <w:ind w:left="157" w:hanging="157"/>
              <w:rPr>
                <w:rFonts w:ascii="Times New Roman" w:hAnsi="Times New Roman" w:cs="Times New Roman"/>
                <w:sz w:val="20"/>
                <w:szCs w:val="20"/>
              </w:rPr>
            </w:pPr>
            <w:r w:rsidRPr="001E2746">
              <w:rPr>
                <w:rFonts w:ascii="Times New Roman" w:hAnsi="Times New Roman" w:cs="Times New Roman"/>
                <w:sz w:val="20"/>
                <w:szCs w:val="20"/>
              </w:rPr>
              <w:t xml:space="preserve">   Health education and counseling: Diabetes education</w:t>
            </w:r>
          </w:p>
        </w:tc>
        <w:tc>
          <w:tcPr>
            <w:tcW w:w="1800" w:type="dxa"/>
            <w:tcBorders>
              <w:top w:val="single" w:sz="4" w:space="0" w:color="auto"/>
              <w:left w:val="single" w:sz="4" w:space="0" w:color="auto"/>
              <w:bottom w:val="single" w:sz="4" w:space="0" w:color="auto"/>
              <w:right w:val="single" w:sz="4" w:space="0" w:color="auto"/>
            </w:tcBorders>
            <w:noWrap/>
            <w:vAlign w:val="bottom"/>
          </w:tcPr>
          <w:p w14:paraId="58F10938" w14:textId="77777777" w:rsidR="003226D2" w:rsidRPr="001E2746" w:rsidRDefault="003226D2">
            <w:pPr>
              <w:jc w:val="center"/>
              <w:rPr>
                <w:rFonts w:ascii="Times New Roman" w:hAnsi="Times New Roman" w:cs="Times New Roman"/>
                <w:sz w:val="20"/>
                <w:szCs w:val="20"/>
              </w:rPr>
            </w:pPr>
          </w:p>
          <w:p w14:paraId="31FB95EB"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19,481 (3,729)</w:t>
            </w:r>
          </w:p>
        </w:tc>
        <w:tc>
          <w:tcPr>
            <w:tcW w:w="788" w:type="dxa"/>
            <w:tcBorders>
              <w:top w:val="single" w:sz="4" w:space="0" w:color="auto"/>
              <w:left w:val="single" w:sz="4" w:space="0" w:color="auto"/>
              <w:bottom w:val="single" w:sz="4" w:space="0" w:color="auto"/>
              <w:right w:val="single" w:sz="4" w:space="0" w:color="auto"/>
            </w:tcBorders>
            <w:noWrap/>
            <w:vAlign w:val="bottom"/>
          </w:tcPr>
          <w:p w14:paraId="1BB3136B" w14:textId="77777777" w:rsidR="003226D2" w:rsidRPr="001E2746" w:rsidRDefault="003226D2">
            <w:pPr>
              <w:jc w:val="center"/>
              <w:rPr>
                <w:rFonts w:ascii="Times New Roman" w:hAnsi="Times New Roman" w:cs="Times New Roman"/>
                <w:sz w:val="20"/>
                <w:szCs w:val="20"/>
              </w:rPr>
            </w:pPr>
          </w:p>
          <w:p w14:paraId="3FFCA871"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19.14</w:t>
            </w:r>
          </w:p>
        </w:tc>
        <w:tc>
          <w:tcPr>
            <w:tcW w:w="1208" w:type="dxa"/>
            <w:tcBorders>
              <w:top w:val="single" w:sz="4" w:space="0" w:color="auto"/>
              <w:left w:val="single" w:sz="4" w:space="0" w:color="auto"/>
              <w:bottom w:val="single" w:sz="4" w:space="0" w:color="auto"/>
              <w:right w:val="single" w:sz="4" w:space="0" w:color="auto"/>
            </w:tcBorders>
            <w:noWrap/>
            <w:vAlign w:val="bottom"/>
          </w:tcPr>
          <w:p w14:paraId="5AD6D635" w14:textId="77777777" w:rsidR="003226D2" w:rsidRPr="001E2746" w:rsidRDefault="003226D2">
            <w:pPr>
              <w:jc w:val="center"/>
              <w:rPr>
                <w:rFonts w:ascii="Times New Roman" w:hAnsi="Times New Roman" w:cs="Times New Roman"/>
                <w:b/>
                <w:bCs/>
                <w:sz w:val="20"/>
                <w:szCs w:val="20"/>
              </w:rPr>
            </w:pPr>
          </w:p>
          <w:p w14:paraId="7EE4A350" w14:textId="77777777" w:rsidR="003226D2" w:rsidRPr="001E2746" w:rsidRDefault="003226D2">
            <w:pPr>
              <w:jc w:val="center"/>
              <w:rPr>
                <w:rFonts w:ascii="Times New Roman" w:hAnsi="Times New Roman" w:cs="Times New Roman"/>
                <w:b/>
                <w:bCs/>
                <w:sz w:val="20"/>
                <w:szCs w:val="20"/>
              </w:rPr>
            </w:pPr>
            <w:r w:rsidRPr="001E2746">
              <w:rPr>
                <w:rFonts w:ascii="Times New Roman" w:hAnsi="Times New Roman" w:cs="Times New Roman"/>
                <w:b/>
                <w:bCs/>
                <w:sz w:val="20"/>
                <w:szCs w:val="20"/>
              </w:rPr>
              <w:t>35.77</w:t>
            </w:r>
          </w:p>
        </w:tc>
        <w:tc>
          <w:tcPr>
            <w:tcW w:w="1201" w:type="dxa"/>
            <w:tcBorders>
              <w:top w:val="single" w:sz="4" w:space="0" w:color="auto"/>
              <w:left w:val="single" w:sz="4" w:space="0" w:color="auto"/>
              <w:bottom w:val="single" w:sz="4" w:space="0" w:color="auto"/>
              <w:right w:val="single" w:sz="4" w:space="0" w:color="auto"/>
            </w:tcBorders>
            <w:noWrap/>
            <w:vAlign w:val="bottom"/>
          </w:tcPr>
          <w:p w14:paraId="245A4221" w14:textId="77777777" w:rsidR="003226D2" w:rsidRPr="001E2746" w:rsidRDefault="003226D2">
            <w:pPr>
              <w:jc w:val="center"/>
              <w:rPr>
                <w:rFonts w:ascii="Times New Roman" w:hAnsi="Times New Roman" w:cs="Times New Roman"/>
                <w:sz w:val="20"/>
                <w:szCs w:val="20"/>
              </w:rPr>
            </w:pPr>
          </w:p>
          <w:p w14:paraId="35A7AE73"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25.29</w:t>
            </w:r>
          </w:p>
        </w:tc>
        <w:tc>
          <w:tcPr>
            <w:tcW w:w="1177" w:type="dxa"/>
            <w:tcBorders>
              <w:top w:val="single" w:sz="4" w:space="0" w:color="auto"/>
              <w:left w:val="single" w:sz="4" w:space="0" w:color="auto"/>
              <w:bottom w:val="single" w:sz="4" w:space="0" w:color="auto"/>
              <w:right w:val="single" w:sz="4" w:space="0" w:color="auto"/>
            </w:tcBorders>
            <w:noWrap/>
            <w:vAlign w:val="bottom"/>
          </w:tcPr>
          <w:p w14:paraId="7CDC5009" w14:textId="77777777" w:rsidR="003226D2" w:rsidRPr="001E2746" w:rsidRDefault="003226D2">
            <w:pPr>
              <w:jc w:val="center"/>
              <w:rPr>
                <w:rFonts w:ascii="Times New Roman" w:hAnsi="Times New Roman" w:cs="Times New Roman"/>
                <w:sz w:val="20"/>
                <w:szCs w:val="20"/>
              </w:rPr>
            </w:pPr>
          </w:p>
          <w:p w14:paraId="2AF75671" w14:textId="77777777" w:rsidR="003226D2" w:rsidRPr="001E2746" w:rsidRDefault="003226D2">
            <w:pPr>
              <w:jc w:val="center"/>
              <w:rPr>
                <w:rFonts w:ascii="Times New Roman" w:hAnsi="Times New Roman" w:cs="Times New Roman"/>
                <w:sz w:val="20"/>
                <w:szCs w:val="20"/>
              </w:rPr>
            </w:pPr>
            <w:r w:rsidRPr="001E2746">
              <w:rPr>
                <w:rFonts w:ascii="Times New Roman" w:hAnsi="Times New Roman" w:cs="Times New Roman"/>
                <w:sz w:val="20"/>
                <w:szCs w:val="20"/>
              </w:rPr>
              <w:t>-10.48</w:t>
            </w:r>
          </w:p>
        </w:tc>
      </w:tr>
      <w:tr w:rsidR="001E2746" w:rsidRPr="001E2746" w14:paraId="3AB2A95A" w14:textId="77777777" w:rsidTr="00127610">
        <w:trPr>
          <w:trHeight w:val="188"/>
        </w:trPr>
        <w:tc>
          <w:tcPr>
            <w:tcW w:w="9450" w:type="dxa"/>
            <w:gridSpan w:val="6"/>
            <w:tcBorders>
              <w:top w:val="single" w:sz="4" w:space="0" w:color="auto"/>
              <w:left w:val="nil"/>
              <w:bottom w:val="nil"/>
              <w:right w:val="nil"/>
            </w:tcBorders>
            <w:hideMark/>
          </w:tcPr>
          <w:p w14:paraId="5F618185" w14:textId="77777777" w:rsidR="003226D2" w:rsidRPr="001E2746" w:rsidRDefault="003226D2">
            <w:pPr>
              <w:ind w:hanging="113"/>
              <w:rPr>
                <w:rFonts w:ascii="Times New Roman" w:hAnsi="Times New Roman" w:cs="Times New Roman"/>
                <w:sz w:val="16"/>
                <w:szCs w:val="16"/>
              </w:rPr>
            </w:pPr>
            <w:r w:rsidRPr="001E2746">
              <w:rPr>
                <w:rFonts w:ascii="Times New Roman" w:hAnsi="Times New Roman" w:cs="Times New Roman"/>
                <w:sz w:val="16"/>
                <w:szCs w:val="16"/>
                <w:vertAlign w:val="superscript"/>
              </w:rPr>
              <w:t>1</w:t>
            </w:r>
            <w:r w:rsidRPr="001E2746">
              <w:rPr>
                <w:rFonts w:ascii="Times New Roman" w:hAnsi="Times New Roman" w:cs="Times New Roman"/>
                <w:sz w:val="16"/>
                <w:szCs w:val="16"/>
              </w:rPr>
              <w:t>Based on 2015 NAMCS estimates (and their standard errors) and 2018 NAMCS rates eligibility and PRF submission.</w:t>
            </w:r>
          </w:p>
        </w:tc>
      </w:tr>
      <w:tr w:rsidR="001E2746" w:rsidRPr="001E2746" w14:paraId="7045EB28" w14:textId="77777777" w:rsidTr="00127610">
        <w:trPr>
          <w:trHeight w:val="180"/>
        </w:trPr>
        <w:tc>
          <w:tcPr>
            <w:tcW w:w="9450" w:type="dxa"/>
            <w:gridSpan w:val="6"/>
            <w:tcBorders>
              <w:top w:val="nil"/>
              <w:left w:val="nil"/>
              <w:bottom w:val="nil"/>
              <w:right w:val="nil"/>
            </w:tcBorders>
            <w:hideMark/>
          </w:tcPr>
          <w:p w14:paraId="7317B9F5" w14:textId="63C4E179" w:rsidR="003226D2" w:rsidRPr="001E2746" w:rsidRDefault="003226D2" w:rsidP="00127610">
            <w:pPr>
              <w:ind w:left="-110" w:right="-110"/>
              <w:rPr>
                <w:rFonts w:ascii="Times New Roman" w:hAnsi="Times New Roman" w:cs="Times New Roman"/>
                <w:sz w:val="16"/>
                <w:szCs w:val="16"/>
              </w:rPr>
            </w:pPr>
            <w:r w:rsidRPr="001E2746">
              <w:rPr>
                <w:rFonts w:ascii="Times New Roman" w:hAnsi="Times New Roman" w:cs="Times New Roman"/>
                <w:sz w:val="16"/>
                <w:szCs w:val="16"/>
                <w:vertAlign w:val="superscript"/>
              </w:rPr>
              <w:t>2</w:t>
            </w:r>
            <w:r w:rsidRPr="001E2746">
              <w:rPr>
                <w:rFonts w:ascii="Times New Roman" w:hAnsi="Times New Roman" w:cs="Times New Roman"/>
                <w:sz w:val="16"/>
                <w:szCs w:val="16"/>
              </w:rPr>
              <w:t>RSE is relative standard error</w:t>
            </w:r>
            <w:r w:rsidR="00455ABC" w:rsidRPr="001E2746">
              <w:rPr>
                <w:rFonts w:ascii="Times New Roman" w:hAnsi="Times New Roman" w:cs="Times New Roman"/>
                <w:sz w:val="16"/>
                <w:szCs w:val="16"/>
              </w:rPr>
              <w:t xml:space="preserve">, and </w:t>
            </w:r>
            <w:r w:rsidRPr="001E2746">
              <w:rPr>
                <w:rFonts w:ascii="Times New Roman" w:hAnsi="Times New Roman" w:cs="Times New Roman"/>
                <w:sz w:val="16"/>
                <w:szCs w:val="16"/>
              </w:rPr>
              <w:t>is used as a measure of reliability and expressed as a percentage of the estimate; it is calculated as</w:t>
            </w:r>
            <w:r w:rsidR="00127610" w:rsidRPr="001E2746">
              <w:rPr>
                <w:rFonts w:ascii="Times New Roman" w:hAnsi="Times New Roman" w:cs="Times New Roman"/>
                <w:sz w:val="16"/>
                <w:szCs w:val="16"/>
              </w:rPr>
              <w:t xml:space="preserve"> </w:t>
            </w:r>
            <w:r w:rsidRPr="001E2746">
              <w:rPr>
                <w:rFonts w:ascii="Times New Roman" w:hAnsi="Times New Roman" w:cs="Times New Roman"/>
                <w:sz w:val="16"/>
                <w:szCs w:val="16"/>
              </w:rPr>
              <w:t xml:space="preserve">SE/estimate.   </w:t>
            </w:r>
          </w:p>
        </w:tc>
      </w:tr>
      <w:tr w:rsidR="001E2746" w:rsidRPr="001E2746" w14:paraId="58D238F6" w14:textId="77777777" w:rsidTr="00127610">
        <w:trPr>
          <w:trHeight w:val="171"/>
        </w:trPr>
        <w:tc>
          <w:tcPr>
            <w:tcW w:w="9450" w:type="dxa"/>
            <w:gridSpan w:val="6"/>
            <w:tcBorders>
              <w:top w:val="nil"/>
              <w:left w:val="nil"/>
              <w:bottom w:val="nil"/>
              <w:right w:val="nil"/>
            </w:tcBorders>
            <w:hideMark/>
          </w:tcPr>
          <w:p w14:paraId="455B40D0" w14:textId="704B91E3" w:rsidR="003226D2" w:rsidRPr="001E2746" w:rsidRDefault="003226D2" w:rsidP="00824ECB">
            <w:pPr>
              <w:ind w:left="-23" w:hanging="90"/>
              <w:rPr>
                <w:rFonts w:ascii="Times New Roman" w:hAnsi="Times New Roman" w:cs="Times New Roman"/>
                <w:sz w:val="16"/>
                <w:szCs w:val="16"/>
              </w:rPr>
            </w:pPr>
            <w:r w:rsidRPr="001E2746">
              <w:rPr>
                <w:rFonts w:ascii="Times New Roman" w:hAnsi="Times New Roman" w:cs="Times New Roman"/>
                <w:sz w:val="16"/>
                <w:szCs w:val="16"/>
                <w:vertAlign w:val="superscript"/>
              </w:rPr>
              <w:t>3</w:t>
            </w:r>
            <w:r w:rsidRPr="001E2746">
              <w:rPr>
                <w:rFonts w:ascii="Times New Roman" w:hAnsi="Times New Roman" w:cs="Times New Roman"/>
                <w:sz w:val="16"/>
                <w:szCs w:val="16"/>
              </w:rPr>
              <w:t xml:space="preserve">A RSE in </w:t>
            </w:r>
            <w:r w:rsidR="00824ECB" w:rsidRPr="001E2746">
              <w:rPr>
                <w:rFonts w:ascii="Times New Roman" w:hAnsi="Times New Roman" w:cs="Times New Roman"/>
                <w:sz w:val="16"/>
                <w:szCs w:val="16"/>
              </w:rPr>
              <w:t>bold</w:t>
            </w:r>
            <w:r w:rsidRPr="001E2746">
              <w:rPr>
                <w:rFonts w:ascii="Times New Roman" w:hAnsi="Times New Roman" w:cs="Times New Roman"/>
                <w:sz w:val="16"/>
                <w:szCs w:val="16"/>
              </w:rPr>
              <w:t xml:space="preserve"> font indicates that the corresponding estimate would traditionally be noted as unreliable by NCHS (i.e., RSE&gt;30.0%). </w:t>
            </w:r>
          </w:p>
        </w:tc>
      </w:tr>
      <w:tr w:rsidR="00FD1401" w:rsidRPr="001E2746" w14:paraId="195A6BE6" w14:textId="77777777" w:rsidTr="00127610">
        <w:trPr>
          <w:trHeight w:val="300"/>
        </w:trPr>
        <w:tc>
          <w:tcPr>
            <w:tcW w:w="9450" w:type="dxa"/>
            <w:gridSpan w:val="6"/>
            <w:tcBorders>
              <w:top w:val="nil"/>
              <w:left w:val="nil"/>
              <w:bottom w:val="nil"/>
              <w:right w:val="nil"/>
            </w:tcBorders>
            <w:hideMark/>
          </w:tcPr>
          <w:p w14:paraId="13E02790" w14:textId="563E2751" w:rsidR="003226D2" w:rsidRPr="001E2746" w:rsidRDefault="003226D2" w:rsidP="003226D2">
            <w:pPr>
              <w:ind w:left="-110"/>
              <w:rPr>
                <w:rFonts w:ascii="Times New Roman" w:hAnsi="Times New Roman" w:cs="Times New Roman"/>
                <w:sz w:val="16"/>
                <w:szCs w:val="16"/>
              </w:rPr>
            </w:pPr>
            <w:r w:rsidRPr="001E2746">
              <w:rPr>
                <w:rFonts w:ascii="Times New Roman" w:hAnsi="Times New Roman" w:cs="Times New Roman"/>
                <w:sz w:val="16"/>
                <w:szCs w:val="16"/>
              </w:rPr>
              <w:t xml:space="preserve"> SOURCE: NCHS, National Ambulatory Medical Care Survey (NAMCS), 2015.</w:t>
            </w:r>
          </w:p>
        </w:tc>
      </w:tr>
    </w:tbl>
    <w:p w14:paraId="55952FCB" w14:textId="4DC16311" w:rsidR="0065170D" w:rsidRPr="001E2746" w:rsidRDefault="0065170D" w:rsidP="00292EF1">
      <w:pPr>
        <w:pStyle w:val="ListParagraph"/>
        <w:ind w:left="0"/>
        <w:rPr>
          <w:u w:val="single"/>
        </w:rPr>
      </w:pPr>
    </w:p>
    <w:tbl>
      <w:tblPr>
        <w:tblStyle w:val="TableGrid"/>
        <w:tblW w:w="9450" w:type="dxa"/>
        <w:tblLayout w:type="fixed"/>
        <w:tblLook w:val="04A0" w:firstRow="1" w:lastRow="0" w:firstColumn="1" w:lastColumn="0" w:noHBand="0" w:noVBand="1"/>
      </w:tblPr>
      <w:tblGrid>
        <w:gridCol w:w="3240"/>
        <w:gridCol w:w="1890"/>
        <w:gridCol w:w="720"/>
        <w:gridCol w:w="1260"/>
        <w:gridCol w:w="1170"/>
        <w:gridCol w:w="1170"/>
      </w:tblGrid>
      <w:tr w:rsidR="001E2746" w:rsidRPr="001E2746" w14:paraId="63D8C05C" w14:textId="77777777" w:rsidTr="004A0B16">
        <w:trPr>
          <w:trHeight w:val="405"/>
        </w:trPr>
        <w:tc>
          <w:tcPr>
            <w:tcW w:w="9450" w:type="dxa"/>
            <w:gridSpan w:val="6"/>
            <w:tcBorders>
              <w:top w:val="nil"/>
              <w:left w:val="nil"/>
              <w:bottom w:val="single" w:sz="4" w:space="0" w:color="auto"/>
              <w:right w:val="nil"/>
            </w:tcBorders>
            <w:hideMark/>
          </w:tcPr>
          <w:p w14:paraId="26F6C463" w14:textId="77777777" w:rsidR="00D53CC4" w:rsidRPr="001E2746" w:rsidRDefault="00D53CC4">
            <w:pPr>
              <w:ind w:left="-112"/>
              <w:rPr>
                <w:rFonts w:ascii="Times New Roman" w:hAnsi="Times New Roman" w:cs="Times New Roman"/>
                <w:sz w:val="20"/>
                <w:szCs w:val="20"/>
              </w:rPr>
            </w:pPr>
            <w:r w:rsidRPr="001E2746">
              <w:rPr>
                <w:rFonts w:ascii="Times New Roman" w:hAnsi="Times New Roman" w:cs="Times New Roman"/>
                <w:sz w:val="20"/>
                <w:szCs w:val="20"/>
              </w:rPr>
              <w:t>Table 2. Relative Standard Errors (RSE) for Estimates of Selected Characteristics of Office Visits: Projected Crude Estimates for 2020 NAMCS</w:t>
            </w:r>
            <w:r w:rsidRPr="001E2746">
              <w:rPr>
                <w:rFonts w:ascii="Times New Roman" w:hAnsi="Times New Roman" w:cs="Times New Roman"/>
                <w:sz w:val="20"/>
                <w:szCs w:val="20"/>
                <w:vertAlign w:val="superscript"/>
              </w:rPr>
              <w:t>1</w:t>
            </w:r>
          </w:p>
        </w:tc>
      </w:tr>
      <w:tr w:rsidR="001E2746" w:rsidRPr="001E2746" w14:paraId="3DC79E4E" w14:textId="77777777" w:rsidTr="00B80466">
        <w:trPr>
          <w:trHeight w:val="1500"/>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0D5884AF" w14:textId="77777777" w:rsidR="00D53CC4" w:rsidRPr="001E2746" w:rsidRDefault="00D53CC4">
            <w:pPr>
              <w:rPr>
                <w:rFonts w:ascii="Times New Roman" w:hAnsi="Times New Roman" w:cs="Times New Roman"/>
                <w:sz w:val="20"/>
                <w:szCs w:val="20"/>
              </w:rPr>
            </w:pPr>
          </w:p>
        </w:tc>
        <w:tc>
          <w:tcPr>
            <w:tcW w:w="2610" w:type="dxa"/>
            <w:gridSpan w:val="2"/>
            <w:tcBorders>
              <w:top w:val="single" w:sz="4" w:space="0" w:color="auto"/>
              <w:left w:val="single" w:sz="4" w:space="0" w:color="auto"/>
              <w:bottom w:val="single" w:sz="4" w:space="0" w:color="auto"/>
              <w:right w:val="single" w:sz="4" w:space="0" w:color="auto"/>
            </w:tcBorders>
            <w:vAlign w:val="bottom"/>
            <w:hideMark/>
          </w:tcPr>
          <w:p w14:paraId="17E6D956"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2015 Visits</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E2C6EB8"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Projected 2020 RSEs</w:t>
            </w:r>
            <w:r w:rsidRPr="001E2746">
              <w:rPr>
                <w:rFonts w:ascii="Times New Roman" w:hAnsi="Times New Roman" w:cs="Times New Roman"/>
                <w:sz w:val="20"/>
                <w:szCs w:val="20"/>
              </w:rPr>
              <w:br/>
              <w:t>(3,000 physicians)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9A03E57"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Projected 2020 RSEs</w:t>
            </w:r>
            <w:r w:rsidRPr="001E2746">
              <w:rPr>
                <w:rFonts w:ascii="Times New Roman" w:hAnsi="Times New Roman" w:cs="Times New Roman"/>
                <w:sz w:val="20"/>
                <w:szCs w:val="20"/>
              </w:rPr>
              <w:br/>
              <w:t>(6,000 physicians)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38483F7"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Difference between projected RSEs: 3,000 vs. 6,000 physicians</w:t>
            </w:r>
          </w:p>
        </w:tc>
      </w:tr>
      <w:tr w:rsidR="001E2746" w:rsidRPr="001E2746" w14:paraId="7461098C" w14:textId="77777777" w:rsidTr="00B80466">
        <w:trPr>
          <w:trHeight w:val="945"/>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2E10EEAE" w14:textId="77777777" w:rsidR="00D53CC4" w:rsidRPr="001E2746" w:rsidRDefault="00D53CC4">
            <w:pPr>
              <w:rPr>
                <w:rFonts w:ascii="Times New Roman" w:hAnsi="Times New Roman" w:cs="Times New Roman"/>
                <w:sz w:val="20"/>
                <w:szCs w:val="20"/>
              </w:rPr>
            </w:pPr>
            <w:r w:rsidRPr="001E2746">
              <w:rPr>
                <w:rFonts w:ascii="Times New Roman" w:hAnsi="Times New Roman" w:cs="Times New Roman"/>
                <w:sz w:val="20"/>
                <w:szCs w:val="20"/>
              </w:rPr>
              <w:t>Visit Characteristic</w:t>
            </w:r>
          </w:p>
        </w:tc>
        <w:tc>
          <w:tcPr>
            <w:tcW w:w="1890" w:type="dxa"/>
            <w:tcBorders>
              <w:top w:val="single" w:sz="4" w:space="0" w:color="auto"/>
              <w:left w:val="single" w:sz="4" w:space="0" w:color="auto"/>
              <w:bottom w:val="single" w:sz="4" w:space="0" w:color="auto"/>
              <w:right w:val="single" w:sz="4" w:space="0" w:color="auto"/>
            </w:tcBorders>
            <w:vAlign w:val="bottom"/>
            <w:hideMark/>
          </w:tcPr>
          <w:p w14:paraId="5AA1429B" w14:textId="77777777" w:rsidR="00D53CC4" w:rsidRPr="001E2746" w:rsidRDefault="00D53CC4" w:rsidP="00B80466">
            <w:pPr>
              <w:jc w:val="center"/>
              <w:rPr>
                <w:rFonts w:ascii="Times New Roman" w:hAnsi="Times New Roman" w:cs="Times New Roman"/>
                <w:sz w:val="20"/>
                <w:szCs w:val="20"/>
              </w:rPr>
            </w:pPr>
            <w:r w:rsidRPr="001E2746">
              <w:rPr>
                <w:rFonts w:ascii="Times New Roman" w:hAnsi="Times New Roman" w:cs="Times New Roman"/>
                <w:sz w:val="20"/>
                <w:szCs w:val="20"/>
              </w:rPr>
              <w:t xml:space="preserve">Number of visits in thousands </w:t>
            </w:r>
            <w:r w:rsidRPr="001E2746">
              <w:rPr>
                <w:rFonts w:ascii="Times New Roman" w:hAnsi="Times New Roman" w:cs="Times New Roman"/>
                <w:sz w:val="20"/>
                <w:szCs w:val="20"/>
              </w:rPr>
              <w:br/>
              <w:t>(standard error in thousands)</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77851364" w14:textId="77777777" w:rsidR="00D53CC4" w:rsidRPr="001E2746" w:rsidRDefault="00D53CC4" w:rsidP="00B80466">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745D06C" w14:textId="77777777" w:rsidR="00D53CC4" w:rsidRPr="001E2746" w:rsidRDefault="00D53CC4" w:rsidP="00B80466">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C59AB0E" w14:textId="77777777" w:rsidR="00D53CC4" w:rsidRPr="001E2746" w:rsidRDefault="00D53CC4" w:rsidP="00B80466">
            <w:pPr>
              <w:ind w:right="-102"/>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7042088" w14:textId="77777777" w:rsidR="00D53CC4" w:rsidRPr="001E2746" w:rsidRDefault="00D53CC4" w:rsidP="00B80466">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w:t>
            </w:r>
          </w:p>
        </w:tc>
      </w:tr>
      <w:tr w:rsidR="001E2746" w:rsidRPr="001E2746" w14:paraId="7762CFDA" w14:textId="77777777" w:rsidTr="00B80466">
        <w:trPr>
          <w:trHeight w:val="315"/>
        </w:trPr>
        <w:tc>
          <w:tcPr>
            <w:tcW w:w="3240" w:type="dxa"/>
            <w:tcBorders>
              <w:top w:val="single" w:sz="4" w:space="0" w:color="auto"/>
              <w:left w:val="single" w:sz="4" w:space="0" w:color="auto"/>
              <w:bottom w:val="single" w:sz="4" w:space="0" w:color="auto"/>
              <w:right w:val="single" w:sz="4" w:space="0" w:color="auto"/>
            </w:tcBorders>
            <w:vAlign w:val="bottom"/>
            <w:hideMark/>
          </w:tcPr>
          <w:p w14:paraId="49B841B6" w14:textId="77777777" w:rsidR="00D53CC4" w:rsidRPr="001E2746" w:rsidRDefault="00D53CC4">
            <w:pPr>
              <w:rPr>
                <w:rFonts w:ascii="Times New Roman" w:hAnsi="Times New Roman" w:cs="Times New Roman"/>
                <w:sz w:val="20"/>
                <w:szCs w:val="20"/>
              </w:rPr>
            </w:pPr>
            <w:r w:rsidRPr="001E2746">
              <w:rPr>
                <w:rFonts w:ascii="Times New Roman" w:hAnsi="Times New Roman" w:cs="Times New Roman"/>
                <w:sz w:val="20"/>
                <w:szCs w:val="20"/>
              </w:rPr>
              <w:t>All Female Visits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CBDB4B7"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585,795 (30,238)</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4CAA2E7"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5.16</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CD84A43"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9.65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0A5DE16"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6.82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6459B47"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-2.83</w:t>
            </w:r>
          </w:p>
        </w:tc>
      </w:tr>
      <w:tr w:rsidR="001E2746" w:rsidRPr="001E2746" w14:paraId="493F0309" w14:textId="77777777" w:rsidTr="00B80466">
        <w:trPr>
          <w:trHeight w:val="390"/>
        </w:trPr>
        <w:tc>
          <w:tcPr>
            <w:tcW w:w="3240" w:type="dxa"/>
            <w:tcBorders>
              <w:top w:val="single" w:sz="4" w:space="0" w:color="auto"/>
              <w:left w:val="single" w:sz="4" w:space="0" w:color="auto"/>
              <w:bottom w:val="single" w:sz="4" w:space="0" w:color="auto"/>
              <w:right w:val="single" w:sz="4" w:space="0" w:color="auto"/>
            </w:tcBorders>
            <w:vAlign w:val="bottom"/>
            <w:hideMark/>
          </w:tcPr>
          <w:p w14:paraId="24CCCEF7" w14:textId="77777777" w:rsidR="00D53CC4" w:rsidRPr="001E2746" w:rsidRDefault="00D53CC4">
            <w:pPr>
              <w:rPr>
                <w:rFonts w:ascii="Times New Roman" w:hAnsi="Times New Roman" w:cs="Times New Roman"/>
                <w:sz w:val="20"/>
                <w:szCs w:val="20"/>
              </w:rPr>
            </w:pPr>
            <w:r w:rsidRPr="001E2746">
              <w:rPr>
                <w:rFonts w:ascii="Times New Roman" w:hAnsi="Times New Roman" w:cs="Times New Roman"/>
                <w:sz w:val="20"/>
                <w:szCs w:val="20"/>
              </w:rPr>
              <w:t>Female Visits with…</w:t>
            </w:r>
          </w:p>
        </w:tc>
        <w:tc>
          <w:tcPr>
            <w:tcW w:w="1890" w:type="dxa"/>
            <w:tcBorders>
              <w:top w:val="single" w:sz="4" w:space="0" w:color="auto"/>
              <w:left w:val="single" w:sz="4" w:space="0" w:color="auto"/>
              <w:bottom w:val="single" w:sz="4" w:space="0" w:color="auto"/>
              <w:right w:val="nil"/>
            </w:tcBorders>
            <w:shd w:val="pct20" w:color="auto" w:fill="auto"/>
            <w:noWrap/>
            <w:vAlign w:val="bottom"/>
            <w:hideMark/>
          </w:tcPr>
          <w:p w14:paraId="602C9B71" w14:textId="60ABDB6D" w:rsidR="00D53CC4" w:rsidRPr="001E2746" w:rsidRDefault="00D53CC4">
            <w:pPr>
              <w:rPr>
                <w:rFonts w:ascii="Times New Roman" w:hAnsi="Times New Roman" w:cs="Times New Roman"/>
                <w:sz w:val="20"/>
                <w:szCs w:val="20"/>
              </w:rPr>
            </w:pPr>
          </w:p>
        </w:tc>
        <w:tc>
          <w:tcPr>
            <w:tcW w:w="720" w:type="dxa"/>
            <w:tcBorders>
              <w:top w:val="single" w:sz="4" w:space="0" w:color="auto"/>
              <w:left w:val="nil"/>
              <w:bottom w:val="single" w:sz="4" w:space="0" w:color="auto"/>
              <w:right w:val="nil"/>
            </w:tcBorders>
            <w:shd w:val="pct20" w:color="auto" w:fill="auto"/>
            <w:noWrap/>
            <w:vAlign w:val="bottom"/>
            <w:hideMark/>
          </w:tcPr>
          <w:p w14:paraId="2A54235B" w14:textId="1632AB44" w:rsidR="00D53CC4" w:rsidRPr="001E2746" w:rsidRDefault="00D53CC4">
            <w:pPr>
              <w:rPr>
                <w:rFonts w:ascii="Times New Roman" w:hAnsi="Times New Roman" w:cs="Times New Roman"/>
                <w:sz w:val="20"/>
                <w:szCs w:val="20"/>
              </w:rPr>
            </w:pPr>
          </w:p>
        </w:tc>
        <w:tc>
          <w:tcPr>
            <w:tcW w:w="1260" w:type="dxa"/>
            <w:tcBorders>
              <w:top w:val="single" w:sz="4" w:space="0" w:color="auto"/>
              <w:left w:val="nil"/>
              <w:bottom w:val="single" w:sz="4" w:space="0" w:color="auto"/>
              <w:right w:val="nil"/>
            </w:tcBorders>
            <w:shd w:val="pct20" w:color="auto" w:fill="auto"/>
            <w:noWrap/>
            <w:vAlign w:val="bottom"/>
            <w:hideMark/>
          </w:tcPr>
          <w:p w14:paraId="78DD23B6" w14:textId="60808C2C" w:rsidR="00D53CC4" w:rsidRPr="001E2746" w:rsidRDefault="00D53CC4">
            <w:pPr>
              <w:rPr>
                <w:rFonts w:ascii="Times New Roman" w:hAnsi="Times New Roman" w:cs="Times New Roman"/>
                <w:sz w:val="20"/>
                <w:szCs w:val="20"/>
              </w:rPr>
            </w:pPr>
          </w:p>
        </w:tc>
        <w:tc>
          <w:tcPr>
            <w:tcW w:w="1170" w:type="dxa"/>
            <w:tcBorders>
              <w:top w:val="single" w:sz="4" w:space="0" w:color="auto"/>
              <w:left w:val="nil"/>
              <w:bottom w:val="single" w:sz="4" w:space="0" w:color="auto"/>
              <w:right w:val="nil"/>
            </w:tcBorders>
            <w:shd w:val="pct20" w:color="auto" w:fill="auto"/>
            <w:noWrap/>
            <w:vAlign w:val="bottom"/>
            <w:hideMark/>
          </w:tcPr>
          <w:p w14:paraId="56AFEC29" w14:textId="55CB96B4" w:rsidR="00D53CC4" w:rsidRPr="001E2746" w:rsidRDefault="00D53CC4">
            <w:pPr>
              <w:rPr>
                <w:rFonts w:ascii="Times New Roman" w:hAnsi="Times New Roman" w:cs="Times New Roman"/>
                <w:sz w:val="20"/>
                <w:szCs w:val="20"/>
              </w:rPr>
            </w:pPr>
          </w:p>
        </w:tc>
        <w:tc>
          <w:tcPr>
            <w:tcW w:w="1170" w:type="dxa"/>
            <w:tcBorders>
              <w:top w:val="single" w:sz="4" w:space="0" w:color="auto"/>
              <w:left w:val="nil"/>
              <w:bottom w:val="single" w:sz="4" w:space="0" w:color="auto"/>
              <w:right w:val="single" w:sz="4" w:space="0" w:color="auto"/>
            </w:tcBorders>
            <w:shd w:val="pct20" w:color="auto" w:fill="auto"/>
            <w:noWrap/>
            <w:vAlign w:val="bottom"/>
            <w:hideMark/>
          </w:tcPr>
          <w:p w14:paraId="3603C23A" w14:textId="49DA6928" w:rsidR="00D53CC4" w:rsidRPr="001E2746" w:rsidRDefault="00D53CC4">
            <w:pPr>
              <w:rPr>
                <w:rFonts w:ascii="Times New Roman" w:hAnsi="Times New Roman" w:cs="Times New Roman"/>
                <w:sz w:val="20"/>
                <w:szCs w:val="20"/>
              </w:rPr>
            </w:pPr>
          </w:p>
        </w:tc>
      </w:tr>
      <w:tr w:rsidR="001E2746" w:rsidRPr="001E2746" w14:paraId="3F979871" w14:textId="77777777" w:rsidTr="00B80466">
        <w:trPr>
          <w:trHeight w:val="390"/>
        </w:trPr>
        <w:tc>
          <w:tcPr>
            <w:tcW w:w="3240" w:type="dxa"/>
            <w:tcBorders>
              <w:top w:val="single" w:sz="4" w:space="0" w:color="auto"/>
              <w:left w:val="single" w:sz="4" w:space="0" w:color="auto"/>
              <w:bottom w:val="single" w:sz="4" w:space="0" w:color="auto"/>
              <w:right w:val="single" w:sz="4" w:space="0" w:color="auto"/>
            </w:tcBorders>
            <w:hideMark/>
          </w:tcPr>
          <w:p w14:paraId="1164538D" w14:textId="77777777" w:rsidR="00D53CC4" w:rsidRPr="001E2746" w:rsidRDefault="00D53CC4">
            <w:pPr>
              <w:ind w:left="158" w:hanging="158"/>
              <w:rPr>
                <w:rFonts w:ascii="Times New Roman" w:hAnsi="Times New Roman" w:cs="Times New Roman"/>
                <w:sz w:val="20"/>
                <w:szCs w:val="20"/>
              </w:rPr>
            </w:pPr>
            <w:r w:rsidRPr="001E2746">
              <w:rPr>
                <w:rFonts w:ascii="Times New Roman" w:hAnsi="Times New Roman" w:cs="Times New Roman"/>
                <w:sz w:val="20"/>
                <w:szCs w:val="20"/>
              </w:rPr>
              <w:t xml:space="preserve">   Reason for Visit: Stomach and abdominal pain, cramps and spasms</w:t>
            </w:r>
          </w:p>
        </w:tc>
        <w:tc>
          <w:tcPr>
            <w:tcW w:w="1890" w:type="dxa"/>
            <w:tcBorders>
              <w:top w:val="single" w:sz="4" w:space="0" w:color="auto"/>
              <w:left w:val="single" w:sz="4" w:space="0" w:color="auto"/>
              <w:bottom w:val="single" w:sz="4" w:space="0" w:color="auto"/>
              <w:right w:val="single" w:sz="4" w:space="0" w:color="auto"/>
            </w:tcBorders>
            <w:vAlign w:val="bottom"/>
            <w:hideMark/>
          </w:tcPr>
          <w:p w14:paraId="50E6158C"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10,926 (2,340)</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25D58715"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21.42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BAC07B3"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40.02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1B0140D"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28.30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AFE0F24"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-11.72</w:t>
            </w:r>
          </w:p>
        </w:tc>
      </w:tr>
      <w:tr w:rsidR="001E2746" w:rsidRPr="001E2746" w14:paraId="48F7AC54" w14:textId="77777777" w:rsidTr="00B80466">
        <w:trPr>
          <w:trHeight w:val="300"/>
        </w:trPr>
        <w:tc>
          <w:tcPr>
            <w:tcW w:w="3240" w:type="dxa"/>
            <w:tcBorders>
              <w:top w:val="single" w:sz="4" w:space="0" w:color="auto"/>
              <w:left w:val="single" w:sz="4" w:space="0" w:color="auto"/>
              <w:bottom w:val="single" w:sz="4" w:space="0" w:color="auto"/>
              <w:right w:val="single" w:sz="4" w:space="0" w:color="auto"/>
            </w:tcBorders>
            <w:hideMark/>
          </w:tcPr>
          <w:p w14:paraId="35C00204" w14:textId="77777777" w:rsidR="00D53CC4" w:rsidRPr="001E2746" w:rsidRDefault="00D53CC4">
            <w:pPr>
              <w:ind w:left="158" w:hanging="158"/>
              <w:rPr>
                <w:rFonts w:ascii="Times New Roman" w:hAnsi="Times New Roman" w:cs="Times New Roman"/>
                <w:sz w:val="20"/>
                <w:szCs w:val="20"/>
              </w:rPr>
            </w:pPr>
            <w:r w:rsidRPr="001E2746">
              <w:rPr>
                <w:rFonts w:ascii="Times New Roman" w:hAnsi="Times New Roman" w:cs="Times New Roman"/>
                <w:sz w:val="20"/>
                <w:szCs w:val="20"/>
              </w:rPr>
              <w:t xml:space="preserve">   Reason for Visit: Medication, other and unspecified kinds</w:t>
            </w:r>
          </w:p>
        </w:tc>
        <w:tc>
          <w:tcPr>
            <w:tcW w:w="1890" w:type="dxa"/>
            <w:tcBorders>
              <w:top w:val="single" w:sz="4" w:space="0" w:color="auto"/>
              <w:left w:val="single" w:sz="4" w:space="0" w:color="auto"/>
              <w:bottom w:val="single" w:sz="4" w:space="0" w:color="auto"/>
              <w:right w:val="single" w:sz="4" w:space="0" w:color="auto"/>
            </w:tcBorders>
            <w:vAlign w:val="bottom"/>
            <w:hideMark/>
          </w:tcPr>
          <w:p w14:paraId="221A1A90"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17,110 (3,243)</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E79C83F"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18.95</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1041319"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35.41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45D6360"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25.04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DBA23AE"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-10.37</w:t>
            </w:r>
          </w:p>
        </w:tc>
      </w:tr>
      <w:tr w:rsidR="001E2746" w:rsidRPr="001E2746" w14:paraId="498CE1B2" w14:textId="77777777" w:rsidTr="00B80466">
        <w:trPr>
          <w:trHeight w:val="300"/>
        </w:trPr>
        <w:tc>
          <w:tcPr>
            <w:tcW w:w="3240" w:type="dxa"/>
            <w:tcBorders>
              <w:top w:val="single" w:sz="4" w:space="0" w:color="auto"/>
              <w:left w:val="single" w:sz="4" w:space="0" w:color="auto"/>
              <w:bottom w:val="single" w:sz="4" w:space="0" w:color="auto"/>
              <w:right w:val="single" w:sz="4" w:space="0" w:color="auto"/>
            </w:tcBorders>
            <w:hideMark/>
          </w:tcPr>
          <w:p w14:paraId="609AFA11" w14:textId="77777777" w:rsidR="00D53CC4" w:rsidRPr="001E2746" w:rsidRDefault="00D53CC4" w:rsidP="00150366">
            <w:pPr>
              <w:ind w:left="161" w:hanging="161"/>
              <w:rPr>
                <w:rFonts w:ascii="Times New Roman" w:hAnsi="Times New Roman" w:cs="Times New Roman"/>
                <w:sz w:val="20"/>
                <w:szCs w:val="20"/>
              </w:rPr>
            </w:pPr>
            <w:r w:rsidRPr="001E2746">
              <w:rPr>
                <w:rFonts w:ascii="Times New Roman" w:hAnsi="Times New Roman" w:cs="Times New Roman"/>
                <w:sz w:val="20"/>
                <w:szCs w:val="20"/>
              </w:rPr>
              <w:t xml:space="preserve">   Professional identity: Doctor of osteopathy</w:t>
            </w:r>
          </w:p>
        </w:tc>
        <w:tc>
          <w:tcPr>
            <w:tcW w:w="1890" w:type="dxa"/>
            <w:tcBorders>
              <w:top w:val="single" w:sz="4" w:space="0" w:color="auto"/>
              <w:left w:val="single" w:sz="4" w:space="0" w:color="auto"/>
              <w:bottom w:val="single" w:sz="4" w:space="0" w:color="auto"/>
              <w:right w:val="single" w:sz="4" w:space="0" w:color="auto"/>
            </w:tcBorders>
            <w:vAlign w:val="bottom"/>
            <w:hideMark/>
          </w:tcPr>
          <w:p w14:paraId="34783911"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33,778 (7,285)</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03320152"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21.57</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069467C"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40.30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1C1D685"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28.50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44F8423"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-11.80</w:t>
            </w:r>
          </w:p>
        </w:tc>
      </w:tr>
      <w:tr w:rsidR="001E2746" w:rsidRPr="001E2746" w14:paraId="375BA70A" w14:textId="77777777" w:rsidTr="00B80466">
        <w:trPr>
          <w:trHeight w:val="300"/>
        </w:trPr>
        <w:tc>
          <w:tcPr>
            <w:tcW w:w="3240" w:type="dxa"/>
            <w:tcBorders>
              <w:top w:val="single" w:sz="4" w:space="0" w:color="auto"/>
              <w:left w:val="single" w:sz="4" w:space="0" w:color="auto"/>
              <w:bottom w:val="single" w:sz="4" w:space="0" w:color="auto"/>
              <w:right w:val="single" w:sz="4" w:space="0" w:color="auto"/>
            </w:tcBorders>
            <w:hideMark/>
          </w:tcPr>
          <w:p w14:paraId="3CBB3F3C" w14:textId="77777777" w:rsidR="00D53CC4" w:rsidRPr="001E2746" w:rsidRDefault="00D53CC4">
            <w:pPr>
              <w:rPr>
                <w:rFonts w:ascii="Times New Roman" w:hAnsi="Times New Roman" w:cs="Times New Roman"/>
                <w:sz w:val="20"/>
                <w:szCs w:val="20"/>
              </w:rPr>
            </w:pPr>
            <w:r w:rsidRPr="001E2746">
              <w:rPr>
                <w:rFonts w:ascii="Times New Roman" w:hAnsi="Times New Roman" w:cs="Times New Roman"/>
                <w:sz w:val="20"/>
                <w:szCs w:val="20"/>
              </w:rPr>
              <w:t xml:space="preserve">   Metropolitan status: non-MSA</w:t>
            </w:r>
          </w:p>
        </w:tc>
        <w:tc>
          <w:tcPr>
            <w:tcW w:w="1890" w:type="dxa"/>
            <w:tcBorders>
              <w:top w:val="single" w:sz="4" w:space="0" w:color="auto"/>
              <w:left w:val="single" w:sz="4" w:space="0" w:color="auto"/>
              <w:bottom w:val="single" w:sz="4" w:space="0" w:color="auto"/>
              <w:right w:val="single" w:sz="4" w:space="0" w:color="auto"/>
            </w:tcBorders>
            <w:vAlign w:val="bottom"/>
            <w:hideMark/>
          </w:tcPr>
          <w:p w14:paraId="7675A4E7"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40,711 (8,318)</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1A443665"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20.43</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5E77990"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38.18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C2F5DFB"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27.00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03549C4"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-11.18</w:t>
            </w:r>
          </w:p>
        </w:tc>
      </w:tr>
      <w:tr w:rsidR="001E2746" w:rsidRPr="001E2746" w14:paraId="78CFC9EA" w14:textId="77777777" w:rsidTr="00B80466">
        <w:trPr>
          <w:trHeight w:val="300"/>
        </w:trPr>
        <w:tc>
          <w:tcPr>
            <w:tcW w:w="3240" w:type="dxa"/>
            <w:tcBorders>
              <w:top w:val="single" w:sz="4" w:space="0" w:color="auto"/>
              <w:left w:val="single" w:sz="4" w:space="0" w:color="auto"/>
              <w:bottom w:val="single" w:sz="4" w:space="0" w:color="auto"/>
              <w:right w:val="single" w:sz="4" w:space="0" w:color="auto"/>
            </w:tcBorders>
            <w:hideMark/>
          </w:tcPr>
          <w:p w14:paraId="5224055F" w14:textId="77777777" w:rsidR="00D53CC4" w:rsidRPr="001E2746" w:rsidRDefault="00D53CC4" w:rsidP="00150366">
            <w:pPr>
              <w:ind w:left="161" w:hanging="161"/>
              <w:rPr>
                <w:rFonts w:ascii="Times New Roman" w:hAnsi="Times New Roman" w:cs="Times New Roman"/>
                <w:sz w:val="20"/>
                <w:szCs w:val="20"/>
              </w:rPr>
            </w:pPr>
            <w:r w:rsidRPr="001E2746">
              <w:rPr>
                <w:rFonts w:ascii="Times New Roman" w:hAnsi="Times New Roman" w:cs="Times New Roman"/>
                <w:sz w:val="20"/>
                <w:szCs w:val="20"/>
              </w:rPr>
              <w:t xml:space="preserve">   Ownership: Other health care corporation</w:t>
            </w:r>
          </w:p>
        </w:tc>
        <w:tc>
          <w:tcPr>
            <w:tcW w:w="1890" w:type="dxa"/>
            <w:tcBorders>
              <w:top w:val="single" w:sz="4" w:space="0" w:color="auto"/>
              <w:left w:val="single" w:sz="4" w:space="0" w:color="auto"/>
              <w:bottom w:val="single" w:sz="4" w:space="0" w:color="auto"/>
              <w:right w:val="single" w:sz="4" w:space="0" w:color="auto"/>
            </w:tcBorders>
            <w:vAlign w:val="bottom"/>
            <w:hideMark/>
          </w:tcPr>
          <w:p w14:paraId="4AEEE614"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39,547 (8,691)</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49FD5B91"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21.98</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7AE9C66"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41.06</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0B2BCEA"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29.04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40617E8"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-12.03</w:t>
            </w:r>
          </w:p>
        </w:tc>
      </w:tr>
      <w:tr w:rsidR="001E2746" w:rsidRPr="001E2746" w14:paraId="3ECCA078" w14:textId="77777777" w:rsidTr="00B80466">
        <w:trPr>
          <w:trHeight w:val="300"/>
        </w:trPr>
        <w:tc>
          <w:tcPr>
            <w:tcW w:w="3240" w:type="dxa"/>
            <w:tcBorders>
              <w:top w:val="single" w:sz="4" w:space="0" w:color="auto"/>
              <w:left w:val="single" w:sz="4" w:space="0" w:color="auto"/>
              <w:bottom w:val="single" w:sz="4" w:space="0" w:color="auto"/>
              <w:right w:val="single" w:sz="4" w:space="0" w:color="auto"/>
            </w:tcBorders>
            <w:hideMark/>
          </w:tcPr>
          <w:p w14:paraId="5681FD68" w14:textId="77777777" w:rsidR="00D53CC4" w:rsidRPr="001E2746" w:rsidRDefault="00D53CC4">
            <w:pPr>
              <w:rPr>
                <w:rFonts w:ascii="Times New Roman" w:hAnsi="Times New Roman" w:cs="Times New Roman"/>
                <w:sz w:val="20"/>
                <w:szCs w:val="20"/>
              </w:rPr>
            </w:pPr>
            <w:r w:rsidRPr="001E2746">
              <w:rPr>
                <w:rFonts w:ascii="Times New Roman" w:hAnsi="Times New Roman" w:cs="Times New Roman"/>
                <w:sz w:val="20"/>
                <w:szCs w:val="20"/>
              </w:rPr>
              <w:t xml:space="preserve">   Practice size: 11+ physicians</w:t>
            </w:r>
          </w:p>
        </w:tc>
        <w:tc>
          <w:tcPr>
            <w:tcW w:w="1890" w:type="dxa"/>
            <w:tcBorders>
              <w:top w:val="single" w:sz="4" w:space="0" w:color="auto"/>
              <w:left w:val="single" w:sz="4" w:space="0" w:color="auto"/>
              <w:bottom w:val="single" w:sz="4" w:space="0" w:color="auto"/>
              <w:right w:val="single" w:sz="4" w:space="0" w:color="auto"/>
            </w:tcBorders>
            <w:vAlign w:val="bottom"/>
            <w:hideMark/>
          </w:tcPr>
          <w:p w14:paraId="53E37218"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61,580 (15,412)</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79CF176"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25.03</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AE8278A"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46.77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741B3A5"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33.07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E95AAF7"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-13.70</w:t>
            </w:r>
          </w:p>
        </w:tc>
      </w:tr>
      <w:tr w:rsidR="001E2746" w:rsidRPr="001E2746" w14:paraId="43FCB739" w14:textId="77777777" w:rsidTr="00B80466">
        <w:trPr>
          <w:trHeight w:val="300"/>
        </w:trPr>
        <w:tc>
          <w:tcPr>
            <w:tcW w:w="3240" w:type="dxa"/>
            <w:tcBorders>
              <w:top w:val="single" w:sz="4" w:space="0" w:color="auto"/>
              <w:left w:val="single" w:sz="4" w:space="0" w:color="auto"/>
              <w:bottom w:val="single" w:sz="4" w:space="0" w:color="auto"/>
              <w:right w:val="single" w:sz="4" w:space="0" w:color="auto"/>
            </w:tcBorders>
            <w:hideMark/>
          </w:tcPr>
          <w:p w14:paraId="4B34F429" w14:textId="77777777" w:rsidR="00D53CC4" w:rsidRPr="001E2746" w:rsidRDefault="00D53CC4">
            <w:pPr>
              <w:ind w:left="158" w:hanging="158"/>
              <w:rPr>
                <w:rFonts w:ascii="Times New Roman" w:hAnsi="Times New Roman" w:cs="Times New Roman"/>
                <w:sz w:val="20"/>
                <w:szCs w:val="20"/>
              </w:rPr>
            </w:pPr>
            <w:r w:rsidRPr="001E2746">
              <w:rPr>
                <w:rFonts w:ascii="Times New Roman" w:hAnsi="Times New Roman" w:cs="Times New Roman"/>
                <w:sz w:val="20"/>
                <w:szCs w:val="20"/>
              </w:rPr>
              <w:t xml:space="preserve">   Examinations and screenings: Depression screening</w:t>
            </w:r>
          </w:p>
        </w:tc>
        <w:tc>
          <w:tcPr>
            <w:tcW w:w="1890" w:type="dxa"/>
            <w:tcBorders>
              <w:top w:val="single" w:sz="4" w:space="0" w:color="auto"/>
              <w:left w:val="single" w:sz="4" w:space="0" w:color="auto"/>
              <w:bottom w:val="single" w:sz="4" w:space="0" w:color="auto"/>
              <w:right w:val="single" w:sz="4" w:space="0" w:color="auto"/>
            </w:tcBorders>
            <w:vAlign w:val="bottom"/>
            <w:hideMark/>
          </w:tcPr>
          <w:p w14:paraId="49879732"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27,347 (4,407)</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71C02BE2"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16.11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4606B51"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30.11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2020A1F"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21.29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34B1F4E"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-8.82</w:t>
            </w:r>
          </w:p>
        </w:tc>
      </w:tr>
      <w:tr w:rsidR="001E2746" w:rsidRPr="001E2746" w14:paraId="538CFAA1" w14:textId="77777777" w:rsidTr="00B80466">
        <w:trPr>
          <w:trHeight w:val="300"/>
        </w:trPr>
        <w:tc>
          <w:tcPr>
            <w:tcW w:w="3240" w:type="dxa"/>
            <w:tcBorders>
              <w:top w:val="single" w:sz="4" w:space="0" w:color="auto"/>
              <w:left w:val="single" w:sz="4" w:space="0" w:color="auto"/>
              <w:bottom w:val="single" w:sz="4" w:space="0" w:color="auto"/>
              <w:right w:val="single" w:sz="4" w:space="0" w:color="auto"/>
            </w:tcBorders>
            <w:hideMark/>
          </w:tcPr>
          <w:p w14:paraId="510DCEE9" w14:textId="77777777" w:rsidR="00D53CC4" w:rsidRPr="001E2746" w:rsidRDefault="00D53CC4">
            <w:pPr>
              <w:rPr>
                <w:rFonts w:ascii="Times New Roman" w:hAnsi="Times New Roman" w:cs="Times New Roman"/>
                <w:sz w:val="20"/>
                <w:szCs w:val="20"/>
              </w:rPr>
            </w:pPr>
            <w:r w:rsidRPr="001E2746">
              <w:rPr>
                <w:rFonts w:ascii="Times New Roman" w:hAnsi="Times New Roman" w:cs="Times New Roman"/>
                <w:sz w:val="20"/>
                <w:szCs w:val="20"/>
              </w:rPr>
              <w:t xml:space="preserve">   Examinations and screenings: Foot</w:t>
            </w:r>
          </w:p>
        </w:tc>
        <w:tc>
          <w:tcPr>
            <w:tcW w:w="1890" w:type="dxa"/>
            <w:tcBorders>
              <w:top w:val="single" w:sz="4" w:space="0" w:color="auto"/>
              <w:left w:val="single" w:sz="4" w:space="0" w:color="auto"/>
              <w:bottom w:val="single" w:sz="4" w:space="0" w:color="auto"/>
              <w:right w:val="single" w:sz="4" w:space="0" w:color="auto"/>
            </w:tcBorders>
            <w:vAlign w:val="bottom"/>
            <w:hideMark/>
          </w:tcPr>
          <w:p w14:paraId="19C7AC3F"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30,0904 (6,388)</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1C279A12"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21.23</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64E6C52"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39.67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99E6013"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28.05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BD8B462"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-11.62</w:t>
            </w:r>
          </w:p>
        </w:tc>
      </w:tr>
      <w:tr w:rsidR="001E2746" w:rsidRPr="001E2746" w14:paraId="1E0C6925" w14:textId="77777777" w:rsidTr="00B80466">
        <w:trPr>
          <w:trHeight w:val="300"/>
        </w:trPr>
        <w:tc>
          <w:tcPr>
            <w:tcW w:w="3240" w:type="dxa"/>
            <w:tcBorders>
              <w:top w:val="single" w:sz="4" w:space="0" w:color="auto"/>
              <w:left w:val="single" w:sz="4" w:space="0" w:color="auto"/>
              <w:bottom w:val="single" w:sz="4" w:space="0" w:color="auto"/>
              <w:right w:val="single" w:sz="4" w:space="0" w:color="auto"/>
            </w:tcBorders>
            <w:hideMark/>
          </w:tcPr>
          <w:p w14:paraId="6277C2F6" w14:textId="77777777" w:rsidR="00D53CC4" w:rsidRPr="001E2746" w:rsidRDefault="00D53CC4">
            <w:pPr>
              <w:ind w:left="158" w:hanging="158"/>
              <w:rPr>
                <w:rFonts w:ascii="Times New Roman" w:hAnsi="Times New Roman" w:cs="Times New Roman"/>
                <w:sz w:val="20"/>
                <w:szCs w:val="20"/>
              </w:rPr>
            </w:pPr>
            <w:r w:rsidRPr="001E2746">
              <w:rPr>
                <w:rFonts w:ascii="Times New Roman" w:hAnsi="Times New Roman" w:cs="Times New Roman"/>
                <w:sz w:val="20"/>
                <w:szCs w:val="20"/>
              </w:rPr>
              <w:t xml:space="preserve">   Health education and counseling: Diabetes education</w:t>
            </w:r>
          </w:p>
        </w:tc>
        <w:tc>
          <w:tcPr>
            <w:tcW w:w="1890" w:type="dxa"/>
            <w:tcBorders>
              <w:top w:val="single" w:sz="4" w:space="0" w:color="auto"/>
              <w:left w:val="single" w:sz="4" w:space="0" w:color="auto"/>
              <w:bottom w:val="single" w:sz="4" w:space="0" w:color="auto"/>
              <w:right w:val="single" w:sz="4" w:space="0" w:color="auto"/>
            </w:tcBorders>
            <w:vAlign w:val="bottom"/>
            <w:hideMark/>
          </w:tcPr>
          <w:p w14:paraId="277F345B"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11,004 (2,565)</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6084A7E"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23.31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71EAFE6"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43.56</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F4EC228" w14:textId="77777777" w:rsidR="00D53CC4" w:rsidRPr="001E2746" w:rsidRDefault="00D53CC4">
            <w:pPr>
              <w:jc w:val="center"/>
              <w:rPr>
                <w:rFonts w:ascii="Times New Roman" w:hAnsi="Times New Roman" w:cs="Times New Roman"/>
                <w:b/>
                <w:bCs/>
                <w:sz w:val="20"/>
                <w:szCs w:val="20"/>
              </w:rPr>
            </w:pPr>
            <w:r w:rsidRPr="001E2746">
              <w:rPr>
                <w:rFonts w:ascii="Times New Roman" w:hAnsi="Times New Roman" w:cs="Times New Roman"/>
                <w:b/>
                <w:bCs/>
                <w:sz w:val="20"/>
                <w:szCs w:val="20"/>
              </w:rPr>
              <w:t>30.81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B7B2377" w14:textId="77777777" w:rsidR="00D53CC4" w:rsidRPr="001E2746" w:rsidRDefault="00D53CC4">
            <w:pPr>
              <w:jc w:val="center"/>
              <w:rPr>
                <w:rFonts w:ascii="Times New Roman" w:hAnsi="Times New Roman" w:cs="Times New Roman"/>
                <w:sz w:val="20"/>
                <w:szCs w:val="20"/>
              </w:rPr>
            </w:pPr>
            <w:r w:rsidRPr="001E2746">
              <w:rPr>
                <w:rFonts w:ascii="Times New Roman" w:hAnsi="Times New Roman" w:cs="Times New Roman"/>
                <w:sz w:val="20"/>
                <w:szCs w:val="20"/>
              </w:rPr>
              <w:t>-12.76</w:t>
            </w:r>
          </w:p>
        </w:tc>
      </w:tr>
      <w:tr w:rsidR="001E2746" w:rsidRPr="001E2746" w14:paraId="3FA0F086" w14:textId="77777777" w:rsidTr="004A0B16">
        <w:trPr>
          <w:trHeight w:val="179"/>
        </w:trPr>
        <w:tc>
          <w:tcPr>
            <w:tcW w:w="9450" w:type="dxa"/>
            <w:gridSpan w:val="6"/>
            <w:tcBorders>
              <w:top w:val="single" w:sz="4" w:space="0" w:color="auto"/>
              <w:left w:val="nil"/>
              <w:bottom w:val="nil"/>
              <w:right w:val="nil"/>
            </w:tcBorders>
            <w:hideMark/>
          </w:tcPr>
          <w:p w14:paraId="5D2A6CE8" w14:textId="77777777" w:rsidR="00D53CC4" w:rsidRPr="001E2746" w:rsidRDefault="00D53CC4">
            <w:pPr>
              <w:ind w:left="-112"/>
              <w:rPr>
                <w:rFonts w:ascii="Times New Roman" w:hAnsi="Times New Roman" w:cs="Times New Roman"/>
                <w:sz w:val="16"/>
                <w:szCs w:val="16"/>
              </w:rPr>
            </w:pPr>
            <w:r w:rsidRPr="001E2746">
              <w:rPr>
                <w:rFonts w:ascii="Times New Roman" w:hAnsi="Times New Roman" w:cs="Times New Roman"/>
                <w:sz w:val="16"/>
                <w:szCs w:val="16"/>
                <w:vertAlign w:val="superscript"/>
              </w:rPr>
              <w:t>1</w:t>
            </w:r>
            <w:r w:rsidRPr="001E2746">
              <w:rPr>
                <w:rFonts w:ascii="Times New Roman" w:hAnsi="Times New Roman" w:cs="Times New Roman"/>
                <w:sz w:val="16"/>
                <w:szCs w:val="16"/>
              </w:rPr>
              <w:t>Based on 2015 NAMCS estimates (and their standard errors) and 2018 NAMCS rates eligibility and PRF submission.</w:t>
            </w:r>
          </w:p>
        </w:tc>
      </w:tr>
      <w:tr w:rsidR="001E2746" w:rsidRPr="001E2746" w14:paraId="30875F86" w14:textId="77777777" w:rsidTr="004A0B16">
        <w:trPr>
          <w:trHeight w:val="161"/>
        </w:trPr>
        <w:tc>
          <w:tcPr>
            <w:tcW w:w="9450" w:type="dxa"/>
            <w:gridSpan w:val="6"/>
            <w:tcBorders>
              <w:top w:val="nil"/>
              <w:left w:val="nil"/>
              <w:bottom w:val="nil"/>
              <w:right w:val="nil"/>
            </w:tcBorders>
            <w:hideMark/>
          </w:tcPr>
          <w:p w14:paraId="1C382245" w14:textId="72F87210" w:rsidR="00D53CC4" w:rsidRPr="001E2746" w:rsidRDefault="00D53CC4" w:rsidP="00C76327">
            <w:pPr>
              <w:ind w:right="-108" w:hanging="112"/>
              <w:rPr>
                <w:rFonts w:ascii="Times New Roman" w:hAnsi="Times New Roman" w:cs="Times New Roman"/>
                <w:sz w:val="16"/>
                <w:szCs w:val="16"/>
              </w:rPr>
            </w:pPr>
            <w:r w:rsidRPr="001E2746">
              <w:rPr>
                <w:rFonts w:ascii="Times New Roman" w:hAnsi="Times New Roman" w:cs="Times New Roman"/>
                <w:sz w:val="16"/>
                <w:szCs w:val="16"/>
                <w:vertAlign w:val="superscript"/>
              </w:rPr>
              <w:t>2</w:t>
            </w:r>
            <w:r w:rsidRPr="001E2746">
              <w:rPr>
                <w:rFonts w:ascii="Times New Roman" w:hAnsi="Times New Roman" w:cs="Times New Roman"/>
                <w:sz w:val="16"/>
                <w:szCs w:val="16"/>
              </w:rPr>
              <w:t>RSE is relative standard error</w:t>
            </w:r>
            <w:r w:rsidR="00455ABC" w:rsidRPr="001E2746">
              <w:rPr>
                <w:rFonts w:ascii="Times New Roman" w:hAnsi="Times New Roman" w:cs="Times New Roman"/>
                <w:sz w:val="16"/>
                <w:szCs w:val="16"/>
              </w:rPr>
              <w:t xml:space="preserve">, and </w:t>
            </w:r>
            <w:r w:rsidRPr="001E2746">
              <w:rPr>
                <w:rFonts w:ascii="Times New Roman" w:hAnsi="Times New Roman" w:cs="Times New Roman"/>
                <w:sz w:val="16"/>
                <w:szCs w:val="16"/>
              </w:rPr>
              <w:t xml:space="preserve">is used as a measure of reliability and expressed as a percentage of the estimate; it is calculated as SE/estimate.   </w:t>
            </w:r>
          </w:p>
        </w:tc>
      </w:tr>
      <w:tr w:rsidR="001E2746" w:rsidRPr="001E2746" w14:paraId="43A46656" w14:textId="77777777" w:rsidTr="004A0B16">
        <w:trPr>
          <w:trHeight w:val="152"/>
        </w:trPr>
        <w:tc>
          <w:tcPr>
            <w:tcW w:w="9450" w:type="dxa"/>
            <w:gridSpan w:val="6"/>
            <w:tcBorders>
              <w:top w:val="nil"/>
              <w:left w:val="nil"/>
              <w:bottom w:val="nil"/>
              <w:right w:val="nil"/>
            </w:tcBorders>
            <w:hideMark/>
          </w:tcPr>
          <w:p w14:paraId="546862D5" w14:textId="5C460F76" w:rsidR="00D53CC4" w:rsidRPr="001E2746" w:rsidRDefault="00D53CC4">
            <w:pPr>
              <w:ind w:hanging="112"/>
              <w:rPr>
                <w:rFonts w:ascii="Times New Roman" w:hAnsi="Times New Roman" w:cs="Times New Roman"/>
                <w:sz w:val="16"/>
                <w:szCs w:val="16"/>
              </w:rPr>
            </w:pPr>
            <w:r w:rsidRPr="001E2746">
              <w:rPr>
                <w:rFonts w:ascii="Times New Roman" w:hAnsi="Times New Roman" w:cs="Times New Roman"/>
                <w:sz w:val="16"/>
                <w:szCs w:val="16"/>
                <w:vertAlign w:val="superscript"/>
              </w:rPr>
              <w:t>3</w:t>
            </w:r>
            <w:r w:rsidR="00824ECB" w:rsidRPr="001E2746">
              <w:rPr>
                <w:rFonts w:ascii="Times New Roman" w:hAnsi="Times New Roman" w:cs="Times New Roman"/>
                <w:sz w:val="16"/>
                <w:szCs w:val="16"/>
              </w:rPr>
              <w:t>A RSE in bold</w:t>
            </w:r>
            <w:r w:rsidRPr="001E2746">
              <w:rPr>
                <w:rFonts w:ascii="Times New Roman" w:hAnsi="Times New Roman" w:cs="Times New Roman"/>
                <w:sz w:val="16"/>
                <w:szCs w:val="16"/>
              </w:rPr>
              <w:t xml:space="preserve"> font indicates that the corresponding estimate would traditionally be noted as unreliable by NCHS (i.e., RSE&gt;30.0%). </w:t>
            </w:r>
          </w:p>
        </w:tc>
      </w:tr>
      <w:tr w:rsidR="00FD1401" w:rsidRPr="001E2746" w14:paraId="5B18F374" w14:textId="77777777" w:rsidTr="004A0B16">
        <w:trPr>
          <w:trHeight w:val="300"/>
        </w:trPr>
        <w:tc>
          <w:tcPr>
            <w:tcW w:w="9450" w:type="dxa"/>
            <w:gridSpan w:val="6"/>
            <w:tcBorders>
              <w:top w:val="nil"/>
              <w:left w:val="nil"/>
              <w:bottom w:val="nil"/>
              <w:right w:val="nil"/>
            </w:tcBorders>
            <w:hideMark/>
          </w:tcPr>
          <w:p w14:paraId="14F6CCBC" w14:textId="77777777" w:rsidR="00D53CC4" w:rsidRPr="001E2746" w:rsidRDefault="00D53CC4">
            <w:pPr>
              <w:ind w:hanging="112"/>
              <w:rPr>
                <w:rFonts w:ascii="Times New Roman" w:hAnsi="Times New Roman" w:cs="Times New Roman"/>
                <w:sz w:val="16"/>
                <w:szCs w:val="16"/>
              </w:rPr>
            </w:pPr>
            <w:r w:rsidRPr="001E2746">
              <w:rPr>
                <w:rFonts w:ascii="Times New Roman" w:hAnsi="Times New Roman" w:cs="Times New Roman"/>
                <w:sz w:val="16"/>
                <w:szCs w:val="16"/>
              </w:rPr>
              <w:t xml:space="preserve"> SOURCE: NCHS, National Ambulatory Medical Care Survey (NAMCS), 2015.</w:t>
            </w:r>
          </w:p>
        </w:tc>
      </w:tr>
    </w:tbl>
    <w:p w14:paraId="6FC8558D" w14:textId="77777777" w:rsidR="0065170D" w:rsidRPr="001E2746" w:rsidRDefault="0065170D" w:rsidP="00292EF1">
      <w:pPr>
        <w:pStyle w:val="ListParagraph"/>
        <w:ind w:left="0"/>
        <w:rPr>
          <w:u w:val="single"/>
        </w:rPr>
      </w:pPr>
    </w:p>
    <w:p w14:paraId="4BDD9C6F" w14:textId="552959BF" w:rsidR="0065170D" w:rsidRPr="001E2746" w:rsidRDefault="0065170D" w:rsidP="00292EF1">
      <w:pPr>
        <w:pStyle w:val="ListParagraph"/>
        <w:ind w:left="0"/>
        <w:rPr>
          <w:u w:val="single"/>
        </w:rPr>
      </w:pPr>
    </w:p>
    <w:p w14:paraId="2E64D558" w14:textId="64631607" w:rsidR="00AA01A8" w:rsidRPr="001E2746" w:rsidRDefault="00AA01A8" w:rsidP="00292EF1">
      <w:pPr>
        <w:pStyle w:val="ListParagraph"/>
        <w:ind w:left="0"/>
        <w:rPr>
          <w:u w:val="single"/>
        </w:rPr>
      </w:pPr>
    </w:p>
    <w:p w14:paraId="4850F6AA" w14:textId="560B20FA" w:rsidR="00AA01A8" w:rsidRPr="001E2746" w:rsidRDefault="00AA01A8" w:rsidP="00292EF1">
      <w:pPr>
        <w:pStyle w:val="ListParagraph"/>
        <w:ind w:left="0"/>
        <w:rPr>
          <w:u w:val="single"/>
        </w:rPr>
      </w:pPr>
    </w:p>
    <w:p w14:paraId="03FCFB74" w14:textId="708D4C23" w:rsidR="00AA01A8" w:rsidRPr="001E2746" w:rsidRDefault="00AA01A8" w:rsidP="00292EF1">
      <w:pPr>
        <w:pStyle w:val="ListParagraph"/>
        <w:ind w:left="0"/>
        <w:rPr>
          <w:u w:val="single"/>
        </w:rPr>
      </w:pPr>
    </w:p>
    <w:p w14:paraId="77AECDA7" w14:textId="5E208858" w:rsidR="00AA01A8" w:rsidRPr="001E2746" w:rsidRDefault="00AA01A8" w:rsidP="00292EF1">
      <w:pPr>
        <w:pStyle w:val="ListParagraph"/>
        <w:ind w:left="0"/>
        <w:rPr>
          <w:u w:val="single"/>
        </w:rPr>
      </w:pPr>
    </w:p>
    <w:p w14:paraId="211B77F4" w14:textId="74D8B38E" w:rsidR="00AA01A8" w:rsidRPr="001E2746" w:rsidRDefault="00AA01A8" w:rsidP="00292EF1">
      <w:pPr>
        <w:pStyle w:val="ListParagraph"/>
        <w:ind w:left="0"/>
        <w:rPr>
          <w:u w:val="single"/>
        </w:rPr>
      </w:pPr>
    </w:p>
    <w:p w14:paraId="386D40DA" w14:textId="7DE5C854" w:rsidR="00AA01A8" w:rsidRPr="001E2746" w:rsidRDefault="00AA01A8" w:rsidP="00292EF1">
      <w:pPr>
        <w:pStyle w:val="ListParagraph"/>
        <w:ind w:left="0"/>
        <w:rPr>
          <w:u w:val="single"/>
        </w:rPr>
      </w:pPr>
    </w:p>
    <w:p w14:paraId="73433CEB" w14:textId="3B565A53" w:rsidR="00AA01A8" w:rsidRPr="001E2746" w:rsidRDefault="00AA01A8" w:rsidP="00292EF1">
      <w:pPr>
        <w:pStyle w:val="ListParagraph"/>
        <w:ind w:left="0"/>
        <w:rPr>
          <w:u w:val="single"/>
        </w:rPr>
      </w:pPr>
    </w:p>
    <w:p w14:paraId="7AD3F432" w14:textId="2C52DA80" w:rsidR="00AA01A8" w:rsidRPr="001E2746" w:rsidRDefault="00AA01A8" w:rsidP="00292EF1">
      <w:pPr>
        <w:pStyle w:val="ListParagraph"/>
        <w:ind w:left="0"/>
        <w:rPr>
          <w:u w:val="single"/>
        </w:rPr>
      </w:pPr>
    </w:p>
    <w:p w14:paraId="01953027" w14:textId="5F905FF8" w:rsidR="00AA01A8" w:rsidRPr="001E2746" w:rsidRDefault="00AA01A8" w:rsidP="00292EF1">
      <w:pPr>
        <w:pStyle w:val="ListParagraph"/>
        <w:ind w:left="0"/>
        <w:rPr>
          <w:u w:val="single"/>
        </w:rPr>
      </w:pPr>
    </w:p>
    <w:p w14:paraId="40BE98FE" w14:textId="3DB4D12F" w:rsidR="00AA01A8" w:rsidRPr="001E2746" w:rsidRDefault="00AA01A8" w:rsidP="00292EF1">
      <w:pPr>
        <w:pStyle w:val="ListParagraph"/>
        <w:ind w:left="0"/>
        <w:rPr>
          <w:u w:val="single"/>
        </w:rPr>
      </w:pPr>
    </w:p>
    <w:p w14:paraId="5CC9C70C" w14:textId="20E9F1F1" w:rsidR="00AA01A8" w:rsidRPr="001E2746" w:rsidRDefault="00AA01A8" w:rsidP="00292EF1">
      <w:pPr>
        <w:pStyle w:val="ListParagraph"/>
        <w:ind w:left="0"/>
        <w:rPr>
          <w:u w:val="single"/>
        </w:rPr>
      </w:pPr>
    </w:p>
    <w:p w14:paraId="49F3751B" w14:textId="64B83AE2" w:rsidR="00AA01A8" w:rsidRPr="001E2746" w:rsidRDefault="00AA01A8" w:rsidP="00292EF1">
      <w:pPr>
        <w:pStyle w:val="ListParagraph"/>
        <w:ind w:left="0"/>
        <w:rPr>
          <w:u w:val="single"/>
        </w:rPr>
      </w:pPr>
    </w:p>
    <w:p w14:paraId="0AB7E093" w14:textId="60C0B710" w:rsidR="00AA01A8" w:rsidRPr="001E2746" w:rsidRDefault="00AA01A8" w:rsidP="00292EF1">
      <w:pPr>
        <w:pStyle w:val="ListParagraph"/>
        <w:ind w:left="0"/>
        <w:rPr>
          <w:u w:val="single"/>
        </w:rPr>
      </w:pPr>
    </w:p>
    <w:tbl>
      <w:tblPr>
        <w:tblStyle w:val="TableGrid"/>
        <w:tblW w:w="9450" w:type="dxa"/>
        <w:tblLayout w:type="fixed"/>
        <w:tblLook w:val="04A0" w:firstRow="1" w:lastRow="0" w:firstColumn="1" w:lastColumn="0" w:noHBand="0" w:noVBand="1"/>
      </w:tblPr>
      <w:tblGrid>
        <w:gridCol w:w="3240"/>
        <w:gridCol w:w="1890"/>
        <w:gridCol w:w="720"/>
        <w:gridCol w:w="1260"/>
        <w:gridCol w:w="1170"/>
        <w:gridCol w:w="1170"/>
      </w:tblGrid>
      <w:tr w:rsidR="001E2746" w:rsidRPr="001E2746" w14:paraId="0BBF65CA" w14:textId="77777777" w:rsidTr="00B7773A">
        <w:trPr>
          <w:trHeight w:val="405"/>
        </w:trPr>
        <w:tc>
          <w:tcPr>
            <w:tcW w:w="9450" w:type="dxa"/>
            <w:gridSpan w:val="6"/>
            <w:tcBorders>
              <w:top w:val="nil"/>
              <w:left w:val="nil"/>
              <w:bottom w:val="single" w:sz="4" w:space="0" w:color="auto"/>
              <w:right w:val="nil"/>
            </w:tcBorders>
            <w:hideMark/>
          </w:tcPr>
          <w:p w14:paraId="76007CC4" w14:textId="77777777" w:rsidR="00B7773A" w:rsidRPr="001E2746" w:rsidRDefault="00B7773A">
            <w:pPr>
              <w:ind w:left="-112"/>
              <w:rPr>
                <w:rFonts w:ascii="Times New Roman" w:hAnsi="Times New Roman" w:cs="Times New Roman"/>
                <w:sz w:val="20"/>
                <w:szCs w:val="20"/>
              </w:rPr>
            </w:pPr>
            <w:r w:rsidRPr="001E2746">
              <w:rPr>
                <w:rFonts w:ascii="Times New Roman" w:hAnsi="Times New Roman" w:cs="Times New Roman"/>
                <w:sz w:val="20"/>
                <w:szCs w:val="20"/>
              </w:rPr>
              <w:t>Table 3. Relative Standard Errors (RSE) for Estimates of Selected Characteristics of Office Visits: Projected Crude Estimates for 2020 NAMCS</w:t>
            </w:r>
            <w:r w:rsidRPr="001E2746">
              <w:rPr>
                <w:rFonts w:ascii="Times New Roman" w:hAnsi="Times New Roman" w:cs="Times New Roman"/>
                <w:sz w:val="20"/>
                <w:szCs w:val="20"/>
                <w:vertAlign w:val="superscript"/>
              </w:rPr>
              <w:t>1</w:t>
            </w:r>
          </w:p>
        </w:tc>
      </w:tr>
      <w:tr w:rsidR="001E2746" w:rsidRPr="001E2746" w14:paraId="76BCB9D1" w14:textId="77777777" w:rsidTr="00B7773A">
        <w:trPr>
          <w:trHeight w:val="1215"/>
        </w:trPr>
        <w:tc>
          <w:tcPr>
            <w:tcW w:w="3240" w:type="dxa"/>
            <w:tcBorders>
              <w:top w:val="single" w:sz="4" w:space="0" w:color="auto"/>
              <w:left w:val="single" w:sz="4" w:space="0" w:color="auto"/>
              <w:bottom w:val="single" w:sz="4" w:space="0" w:color="auto"/>
              <w:right w:val="single" w:sz="4" w:space="0" w:color="auto"/>
            </w:tcBorders>
            <w:noWrap/>
            <w:hideMark/>
          </w:tcPr>
          <w:p w14:paraId="48B0B027" w14:textId="77777777" w:rsidR="00B7773A" w:rsidRPr="001E2746" w:rsidRDefault="00B7773A">
            <w:pPr>
              <w:rPr>
                <w:rFonts w:ascii="Times New Roman" w:hAnsi="Times New Roman" w:cs="Times New Roman"/>
                <w:sz w:val="20"/>
                <w:szCs w:val="20"/>
              </w:rPr>
            </w:pPr>
            <w:r w:rsidRPr="001E2746">
              <w:rPr>
                <w:rFonts w:ascii="Times New Roman" w:hAnsi="Times New Roman" w:cs="Times New Roman"/>
                <w:sz w:val="20"/>
                <w:szCs w:val="20"/>
              </w:rPr>
              <w:t> </w:t>
            </w:r>
          </w:p>
        </w:tc>
        <w:tc>
          <w:tcPr>
            <w:tcW w:w="2610" w:type="dxa"/>
            <w:gridSpan w:val="2"/>
            <w:tcBorders>
              <w:top w:val="single" w:sz="4" w:space="0" w:color="auto"/>
              <w:left w:val="single" w:sz="4" w:space="0" w:color="auto"/>
              <w:bottom w:val="single" w:sz="4" w:space="0" w:color="auto"/>
              <w:right w:val="single" w:sz="4" w:space="0" w:color="auto"/>
            </w:tcBorders>
            <w:vAlign w:val="bottom"/>
            <w:hideMark/>
          </w:tcPr>
          <w:p w14:paraId="3D62A3BB"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2015 Visits</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C30156D"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Projected 2020 RSEs</w:t>
            </w:r>
            <w:r w:rsidRPr="001E2746">
              <w:rPr>
                <w:rFonts w:ascii="Times New Roman" w:hAnsi="Times New Roman" w:cs="Times New Roman"/>
                <w:sz w:val="20"/>
                <w:szCs w:val="20"/>
              </w:rPr>
              <w:br/>
              <w:t>(3,000 physicians)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2BB2BDEE"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Projected 2020 RSEs</w:t>
            </w:r>
            <w:r w:rsidRPr="001E2746">
              <w:rPr>
                <w:rFonts w:ascii="Times New Roman" w:hAnsi="Times New Roman" w:cs="Times New Roman"/>
                <w:sz w:val="20"/>
                <w:szCs w:val="20"/>
              </w:rPr>
              <w:br/>
              <w:t>(6,000 physicians)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32D2A4F"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Difference between projected RSEs: 3,000 vs. 6,000 physicians</w:t>
            </w:r>
          </w:p>
        </w:tc>
      </w:tr>
      <w:tr w:rsidR="001E2746" w:rsidRPr="001E2746" w14:paraId="22908E37" w14:textId="77777777" w:rsidTr="00B7773A">
        <w:trPr>
          <w:trHeight w:val="990"/>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41316BB5" w14:textId="77777777" w:rsidR="00B7773A" w:rsidRPr="001E2746" w:rsidRDefault="00B7773A">
            <w:pPr>
              <w:rPr>
                <w:rFonts w:ascii="Times New Roman" w:hAnsi="Times New Roman" w:cs="Times New Roman"/>
                <w:sz w:val="20"/>
                <w:szCs w:val="20"/>
              </w:rPr>
            </w:pPr>
            <w:r w:rsidRPr="001E2746">
              <w:rPr>
                <w:rFonts w:ascii="Times New Roman" w:hAnsi="Times New Roman" w:cs="Times New Roman"/>
                <w:sz w:val="20"/>
                <w:szCs w:val="20"/>
              </w:rPr>
              <w:t>Visit Characteristic</w:t>
            </w:r>
          </w:p>
        </w:tc>
        <w:tc>
          <w:tcPr>
            <w:tcW w:w="1890" w:type="dxa"/>
            <w:tcBorders>
              <w:top w:val="single" w:sz="4" w:space="0" w:color="auto"/>
              <w:left w:val="single" w:sz="4" w:space="0" w:color="auto"/>
              <w:bottom w:val="single" w:sz="4" w:space="0" w:color="auto"/>
              <w:right w:val="single" w:sz="4" w:space="0" w:color="auto"/>
            </w:tcBorders>
            <w:vAlign w:val="bottom"/>
            <w:hideMark/>
          </w:tcPr>
          <w:p w14:paraId="1FFDD500"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 xml:space="preserve">Number of visits in thousands </w:t>
            </w:r>
            <w:r w:rsidRPr="001E2746">
              <w:rPr>
                <w:rFonts w:ascii="Times New Roman" w:hAnsi="Times New Roman" w:cs="Times New Roman"/>
                <w:sz w:val="20"/>
                <w:szCs w:val="20"/>
              </w:rPr>
              <w:br/>
              <w:t>(standard error in thousands)</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67E11719"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13FF977"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E522CD6" w14:textId="77777777" w:rsidR="00B7773A" w:rsidRPr="001E2746" w:rsidRDefault="00B7773A">
            <w:pPr>
              <w:ind w:right="-108"/>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18EE914"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Visit RSE</w:t>
            </w:r>
            <w:r w:rsidRPr="001E2746">
              <w:rPr>
                <w:rFonts w:ascii="Times New Roman" w:hAnsi="Times New Roman" w:cs="Times New Roman"/>
                <w:sz w:val="20"/>
                <w:szCs w:val="20"/>
                <w:vertAlign w:val="superscript"/>
              </w:rPr>
              <w:t>2</w:t>
            </w:r>
          </w:p>
        </w:tc>
      </w:tr>
      <w:tr w:rsidR="001E2746" w:rsidRPr="001E2746" w14:paraId="315F1517" w14:textId="77777777" w:rsidTr="009E3173">
        <w:trPr>
          <w:trHeight w:val="413"/>
        </w:trPr>
        <w:tc>
          <w:tcPr>
            <w:tcW w:w="3240" w:type="dxa"/>
            <w:tcBorders>
              <w:top w:val="single" w:sz="4" w:space="0" w:color="auto"/>
              <w:left w:val="single" w:sz="4" w:space="0" w:color="auto"/>
              <w:bottom w:val="single" w:sz="4" w:space="0" w:color="auto"/>
              <w:right w:val="single" w:sz="4" w:space="0" w:color="auto"/>
            </w:tcBorders>
            <w:vAlign w:val="bottom"/>
            <w:hideMark/>
          </w:tcPr>
          <w:p w14:paraId="1EACA7AD" w14:textId="77777777" w:rsidR="00B7773A" w:rsidRPr="001E2746" w:rsidRDefault="00B7773A">
            <w:pPr>
              <w:rPr>
                <w:rFonts w:ascii="Times New Roman" w:hAnsi="Times New Roman" w:cs="Times New Roman"/>
                <w:sz w:val="20"/>
                <w:szCs w:val="20"/>
              </w:rPr>
            </w:pPr>
            <w:r w:rsidRPr="001E2746">
              <w:rPr>
                <w:rFonts w:ascii="Times New Roman" w:hAnsi="Times New Roman" w:cs="Times New Roman"/>
                <w:sz w:val="20"/>
                <w:szCs w:val="20"/>
              </w:rPr>
              <w:t>All Male Visits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0A96D90"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405,013 (23,023)</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EDD25B9"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5.68</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4FD0013"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10.62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8F8B8E2"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7.51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8D9AA17"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-3.11</w:t>
            </w:r>
          </w:p>
        </w:tc>
      </w:tr>
      <w:tr w:rsidR="001E2746" w:rsidRPr="001E2746" w14:paraId="50BFEA6F"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27B8D9F1" w14:textId="77777777" w:rsidR="00B7773A" w:rsidRPr="001E2746" w:rsidRDefault="00B7773A">
            <w:pPr>
              <w:rPr>
                <w:rFonts w:ascii="Times New Roman" w:hAnsi="Times New Roman" w:cs="Times New Roman"/>
                <w:sz w:val="20"/>
                <w:szCs w:val="20"/>
              </w:rPr>
            </w:pPr>
            <w:r w:rsidRPr="001E2746">
              <w:rPr>
                <w:rFonts w:ascii="Times New Roman" w:hAnsi="Times New Roman" w:cs="Times New Roman"/>
                <w:sz w:val="20"/>
                <w:szCs w:val="20"/>
              </w:rPr>
              <w:t>Male Visits with…</w:t>
            </w:r>
          </w:p>
        </w:tc>
        <w:tc>
          <w:tcPr>
            <w:tcW w:w="1890" w:type="dxa"/>
            <w:tcBorders>
              <w:top w:val="single" w:sz="4" w:space="0" w:color="auto"/>
              <w:left w:val="single" w:sz="4" w:space="0" w:color="auto"/>
              <w:bottom w:val="single" w:sz="4" w:space="0" w:color="auto"/>
              <w:right w:val="nil"/>
            </w:tcBorders>
            <w:shd w:val="pct20" w:color="auto" w:fill="auto"/>
            <w:noWrap/>
            <w:vAlign w:val="bottom"/>
            <w:hideMark/>
          </w:tcPr>
          <w:p w14:paraId="798DAA12" w14:textId="77777777" w:rsidR="00B7773A" w:rsidRPr="001E2746" w:rsidRDefault="00B7773A">
            <w:pPr>
              <w:rPr>
                <w:rFonts w:ascii="Times New Roman" w:hAnsi="Times New Roman" w:cs="Times New Roman"/>
                <w:sz w:val="20"/>
                <w:szCs w:val="20"/>
              </w:rPr>
            </w:pPr>
          </w:p>
        </w:tc>
        <w:tc>
          <w:tcPr>
            <w:tcW w:w="720" w:type="dxa"/>
            <w:tcBorders>
              <w:top w:val="single" w:sz="4" w:space="0" w:color="auto"/>
              <w:left w:val="nil"/>
              <w:bottom w:val="single" w:sz="4" w:space="0" w:color="auto"/>
              <w:right w:val="nil"/>
            </w:tcBorders>
            <w:shd w:val="pct20" w:color="auto" w:fill="auto"/>
            <w:noWrap/>
            <w:vAlign w:val="bottom"/>
            <w:hideMark/>
          </w:tcPr>
          <w:p w14:paraId="4AC2653B" w14:textId="77777777" w:rsidR="00B7773A" w:rsidRPr="001E2746" w:rsidRDefault="00B7773A">
            <w:pPr>
              <w:rPr>
                <w:rFonts w:ascii="Times New Roman" w:hAnsi="Times New Roman" w:cs="Times New Roman"/>
                <w:sz w:val="20"/>
                <w:szCs w:val="20"/>
              </w:rPr>
            </w:pPr>
          </w:p>
        </w:tc>
        <w:tc>
          <w:tcPr>
            <w:tcW w:w="1260" w:type="dxa"/>
            <w:tcBorders>
              <w:top w:val="single" w:sz="4" w:space="0" w:color="auto"/>
              <w:left w:val="nil"/>
              <w:bottom w:val="single" w:sz="4" w:space="0" w:color="auto"/>
              <w:right w:val="nil"/>
            </w:tcBorders>
            <w:shd w:val="pct20" w:color="auto" w:fill="auto"/>
            <w:noWrap/>
            <w:vAlign w:val="bottom"/>
            <w:hideMark/>
          </w:tcPr>
          <w:p w14:paraId="1EB26978" w14:textId="77777777" w:rsidR="00B7773A" w:rsidRPr="001E2746" w:rsidRDefault="00B7773A">
            <w:pPr>
              <w:rPr>
                <w:rFonts w:ascii="Times New Roman" w:hAnsi="Times New Roman" w:cs="Times New Roman"/>
                <w:sz w:val="20"/>
                <w:szCs w:val="20"/>
              </w:rPr>
            </w:pPr>
          </w:p>
        </w:tc>
        <w:tc>
          <w:tcPr>
            <w:tcW w:w="1170" w:type="dxa"/>
            <w:tcBorders>
              <w:top w:val="single" w:sz="4" w:space="0" w:color="auto"/>
              <w:left w:val="nil"/>
              <w:bottom w:val="single" w:sz="4" w:space="0" w:color="auto"/>
              <w:right w:val="nil"/>
            </w:tcBorders>
            <w:shd w:val="pct20" w:color="auto" w:fill="auto"/>
            <w:noWrap/>
            <w:vAlign w:val="bottom"/>
            <w:hideMark/>
          </w:tcPr>
          <w:p w14:paraId="3D84DCB0" w14:textId="77777777" w:rsidR="00B7773A" w:rsidRPr="001E2746" w:rsidRDefault="00B7773A">
            <w:pPr>
              <w:rPr>
                <w:rFonts w:ascii="Times New Roman" w:hAnsi="Times New Roman" w:cs="Times New Roman"/>
                <w:sz w:val="20"/>
                <w:szCs w:val="20"/>
              </w:rPr>
            </w:pPr>
          </w:p>
        </w:tc>
        <w:tc>
          <w:tcPr>
            <w:tcW w:w="1170" w:type="dxa"/>
            <w:tcBorders>
              <w:top w:val="single" w:sz="4" w:space="0" w:color="auto"/>
              <w:left w:val="nil"/>
              <w:bottom w:val="single" w:sz="4" w:space="0" w:color="auto"/>
              <w:right w:val="single" w:sz="4" w:space="0" w:color="auto"/>
            </w:tcBorders>
            <w:shd w:val="pct20" w:color="auto" w:fill="auto"/>
            <w:noWrap/>
            <w:vAlign w:val="bottom"/>
            <w:hideMark/>
          </w:tcPr>
          <w:p w14:paraId="2D131957" w14:textId="77777777" w:rsidR="00B7773A" w:rsidRPr="001E2746" w:rsidRDefault="00B7773A">
            <w:pPr>
              <w:rPr>
                <w:rFonts w:ascii="Times New Roman" w:hAnsi="Times New Roman" w:cs="Times New Roman"/>
                <w:sz w:val="20"/>
                <w:szCs w:val="20"/>
              </w:rPr>
            </w:pPr>
          </w:p>
        </w:tc>
      </w:tr>
      <w:tr w:rsidR="001E2746" w:rsidRPr="001E2746" w14:paraId="0A630908"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6D917744" w14:textId="77777777" w:rsidR="00B7773A" w:rsidRPr="001E2746" w:rsidRDefault="00B7773A">
            <w:pPr>
              <w:ind w:left="158" w:hanging="158"/>
              <w:rPr>
                <w:rFonts w:ascii="Times New Roman" w:hAnsi="Times New Roman" w:cs="Times New Roman"/>
                <w:sz w:val="20"/>
                <w:szCs w:val="20"/>
              </w:rPr>
            </w:pPr>
            <w:r w:rsidRPr="001E2746">
              <w:rPr>
                <w:rFonts w:ascii="Times New Roman" w:hAnsi="Times New Roman" w:cs="Times New Roman"/>
                <w:sz w:val="20"/>
                <w:szCs w:val="20"/>
              </w:rPr>
              <w:t xml:space="preserve">   Reason for Visit: Stomach and abdominal pain, cramps and spasms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0996ED5"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4,101 (948)</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193D9010"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23.11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9CC6F82"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43.19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2DEAE52"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30.54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3D26B17"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-12.65</w:t>
            </w:r>
          </w:p>
        </w:tc>
      </w:tr>
      <w:tr w:rsidR="001E2746" w:rsidRPr="001E2746" w14:paraId="357B2193"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145E29D0" w14:textId="77777777" w:rsidR="00B7773A" w:rsidRPr="001E2746" w:rsidRDefault="00B7773A">
            <w:pPr>
              <w:ind w:left="158" w:hanging="158"/>
              <w:rPr>
                <w:rFonts w:ascii="Times New Roman" w:hAnsi="Times New Roman" w:cs="Times New Roman"/>
                <w:sz w:val="20"/>
                <w:szCs w:val="20"/>
              </w:rPr>
            </w:pPr>
            <w:r w:rsidRPr="001E2746">
              <w:rPr>
                <w:rFonts w:ascii="Times New Roman" w:hAnsi="Times New Roman" w:cs="Times New Roman"/>
                <w:sz w:val="20"/>
                <w:szCs w:val="20"/>
              </w:rPr>
              <w:t xml:space="preserve">   Reason for Visit: Medication, other and unspecified kinds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B76C2FC"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18,122 (4,202)</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1623471E"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23.19</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26C1041"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43.33</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6B87CF4"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30.64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E9E99B2"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-12.69</w:t>
            </w:r>
          </w:p>
        </w:tc>
      </w:tr>
      <w:tr w:rsidR="001E2746" w:rsidRPr="001E2746" w14:paraId="63FBF4C2"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4FC3CB0F" w14:textId="77777777" w:rsidR="00B7773A" w:rsidRPr="001E2746" w:rsidRDefault="00B7773A" w:rsidP="00F17773">
            <w:pPr>
              <w:ind w:left="160" w:hanging="180"/>
              <w:rPr>
                <w:rFonts w:ascii="Times New Roman" w:hAnsi="Times New Roman" w:cs="Times New Roman"/>
                <w:sz w:val="20"/>
                <w:szCs w:val="20"/>
              </w:rPr>
            </w:pPr>
            <w:r w:rsidRPr="001E2746">
              <w:rPr>
                <w:rFonts w:ascii="Times New Roman" w:hAnsi="Times New Roman" w:cs="Times New Roman"/>
                <w:sz w:val="20"/>
                <w:szCs w:val="20"/>
              </w:rPr>
              <w:t xml:space="preserve">   Professional identity: Doctor of osteopathy</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551E34E"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23,402 (5,910)</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189ED8B"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25.26</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36ACEE7"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47.20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39052DB"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33.37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2C7545A"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-13.82</w:t>
            </w:r>
          </w:p>
        </w:tc>
      </w:tr>
      <w:tr w:rsidR="001E2746" w:rsidRPr="001E2746" w14:paraId="160C8CE3"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53E99E40" w14:textId="77777777" w:rsidR="00B7773A" w:rsidRPr="001E2746" w:rsidRDefault="00B7773A">
            <w:pPr>
              <w:rPr>
                <w:rFonts w:ascii="Times New Roman" w:hAnsi="Times New Roman" w:cs="Times New Roman"/>
                <w:sz w:val="20"/>
                <w:szCs w:val="20"/>
              </w:rPr>
            </w:pPr>
            <w:r w:rsidRPr="001E2746">
              <w:rPr>
                <w:rFonts w:ascii="Times New Roman" w:hAnsi="Times New Roman" w:cs="Times New Roman"/>
                <w:sz w:val="20"/>
                <w:szCs w:val="20"/>
              </w:rPr>
              <w:t xml:space="preserve">   Metropolitan status: non-MSA</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468ED0B"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29,050 (5,665)</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085A9923"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19.50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6B19AE6"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36.44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6903276"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25.77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4ECA897"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-10.67</w:t>
            </w:r>
          </w:p>
        </w:tc>
      </w:tr>
      <w:tr w:rsidR="001E2746" w:rsidRPr="001E2746" w14:paraId="4A8CD91F"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7A85A6BF" w14:textId="77777777" w:rsidR="00B7773A" w:rsidRPr="001E2746" w:rsidRDefault="00B7773A" w:rsidP="00F17773">
            <w:pPr>
              <w:ind w:left="160" w:hanging="160"/>
              <w:rPr>
                <w:rFonts w:ascii="Times New Roman" w:hAnsi="Times New Roman" w:cs="Times New Roman"/>
                <w:sz w:val="20"/>
                <w:szCs w:val="20"/>
              </w:rPr>
            </w:pPr>
            <w:r w:rsidRPr="001E2746">
              <w:rPr>
                <w:rFonts w:ascii="Times New Roman" w:hAnsi="Times New Roman" w:cs="Times New Roman"/>
                <w:sz w:val="20"/>
                <w:szCs w:val="20"/>
              </w:rPr>
              <w:t xml:space="preserve">   Ownership: Other health care corporation</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45AD5C2"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24,804 (5,084)</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BC774BA"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20.50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DD5EA27"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38.30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28480D4"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27.08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04F3ABB"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-11.22</w:t>
            </w:r>
          </w:p>
        </w:tc>
      </w:tr>
      <w:tr w:rsidR="001E2746" w:rsidRPr="001E2746" w14:paraId="1B43313A"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18725527" w14:textId="77777777" w:rsidR="00B7773A" w:rsidRPr="001E2746" w:rsidRDefault="00B7773A">
            <w:pPr>
              <w:rPr>
                <w:rFonts w:ascii="Times New Roman" w:hAnsi="Times New Roman" w:cs="Times New Roman"/>
                <w:sz w:val="20"/>
                <w:szCs w:val="20"/>
              </w:rPr>
            </w:pPr>
            <w:r w:rsidRPr="001E2746">
              <w:rPr>
                <w:rFonts w:ascii="Times New Roman" w:hAnsi="Times New Roman" w:cs="Times New Roman"/>
                <w:sz w:val="20"/>
                <w:szCs w:val="20"/>
              </w:rPr>
              <w:t xml:space="preserve">   Practice size: 11+ physicians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539794E"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46,170 (7,862)</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38EF91C2"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17.03</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59B79305"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31.82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29014F5"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22.50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C80FBA9"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-9.32</w:t>
            </w:r>
          </w:p>
        </w:tc>
      </w:tr>
      <w:tr w:rsidR="001E2746" w:rsidRPr="001E2746" w14:paraId="2FF5339E"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7BC445B3" w14:textId="77777777" w:rsidR="00B7773A" w:rsidRPr="001E2746" w:rsidRDefault="00B7773A">
            <w:pPr>
              <w:ind w:left="158" w:hanging="158"/>
              <w:rPr>
                <w:rFonts w:ascii="Times New Roman" w:hAnsi="Times New Roman" w:cs="Times New Roman"/>
                <w:sz w:val="20"/>
                <w:szCs w:val="20"/>
              </w:rPr>
            </w:pPr>
            <w:r w:rsidRPr="001E2746">
              <w:rPr>
                <w:rFonts w:ascii="Times New Roman" w:hAnsi="Times New Roman" w:cs="Times New Roman"/>
                <w:sz w:val="20"/>
                <w:szCs w:val="20"/>
              </w:rPr>
              <w:t xml:space="preserve">   Examinations and screenings: Depression screening</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3B2D6BE"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16,178 (4,269)</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6EE51475"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26.39</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54EB9BF"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49.31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838CE4C"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34.87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64F0164"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-14.44</w:t>
            </w:r>
          </w:p>
        </w:tc>
      </w:tr>
      <w:tr w:rsidR="001E2746" w:rsidRPr="001E2746" w14:paraId="355689D7"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6CCA0984" w14:textId="77777777" w:rsidR="00B7773A" w:rsidRPr="001E2746" w:rsidRDefault="00B7773A">
            <w:pPr>
              <w:rPr>
                <w:rFonts w:ascii="Times New Roman" w:hAnsi="Times New Roman" w:cs="Times New Roman"/>
                <w:sz w:val="20"/>
                <w:szCs w:val="20"/>
              </w:rPr>
            </w:pPr>
            <w:r w:rsidRPr="001E2746">
              <w:rPr>
                <w:rFonts w:ascii="Times New Roman" w:hAnsi="Times New Roman" w:cs="Times New Roman"/>
                <w:sz w:val="20"/>
                <w:szCs w:val="20"/>
              </w:rPr>
              <w:t xml:space="preserve">   Examinations and screenings: Foot</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DDBF3FB"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20,872 (4,815)</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1A2BB4BC"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23.07</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9C14DE4"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43.11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7D5E325"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30.48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377C893"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-12.63</w:t>
            </w:r>
          </w:p>
        </w:tc>
      </w:tr>
      <w:tr w:rsidR="001E2746" w:rsidRPr="001E2746" w14:paraId="53E0F8E0" w14:textId="77777777" w:rsidTr="009E3173">
        <w:trPr>
          <w:trHeight w:val="300"/>
        </w:trPr>
        <w:tc>
          <w:tcPr>
            <w:tcW w:w="3240" w:type="dxa"/>
            <w:tcBorders>
              <w:top w:val="single" w:sz="4" w:space="0" w:color="auto"/>
              <w:left w:val="single" w:sz="4" w:space="0" w:color="auto"/>
              <w:bottom w:val="single" w:sz="4" w:space="0" w:color="auto"/>
              <w:right w:val="single" w:sz="4" w:space="0" w:color="auto"/>
            </w:tcBorders>
            <w:vAlign w:val="bottom"/>
            <w:hideMark/>
          </w:tcPr>
          <w:p w14:paraId="53F2E029" w14:textId="77777777" w:rsidR="00B7773A" w:rsidRPr="001E2746" w:rsidRDefault="00B7773A">
            <w:pPr>
              <w:ind w:left="158" w:hanging="158"/>
              <w:rPr>
                <w:rFonts w:ascii="Times New Roman" w:hAnsi="Times New Roman" w:cs="Times New Roman"/>
                <w:sz w:val="20"/>
                <w:szCs w:val="20"/>
              </w:rPr>
            </w:pPr>
            <w:r w:rsidRPr="001E2746">
              <w:rPr>
                <w:rFonts w:ascii="Times New Roman" w:hAnsi="Times New Roman" w:cs="Times New Roman"/>
                <w:sz w:val="20"/>
                <w:szCs w:val="20"/>
              </w:rPr>
              <w:t xml:space="preserve">   Health education and counseling: Diabetes education</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78E63AE"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8,477 (1,760)</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1C92DB70"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20.77</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8F90744" w14:textId="77777777" w:rsidR="00B7773A" w:rsidRPr="001E2746" w:rsidRDefault="00B7773A">
            <w:pPr>
              <w:jc w:val="center"/>
              <w:rPr>
                <w:rFonts w:ascii="Times New Roman" w:hAnsi="Times New Roman" w:cs="Times New Roman"/>
                <w:b/>
                <w:bCs/>
                <w:sz w:val="20"/>
                <w:szCs w:val="20"/>
              </w:rPr>
            </w:pPr>
            <w:r w:rsidRPr="001E2746">
              <w:rPr>
                <w:rFonts w:ascii="Times New Roman" w:hAnsi="Times New Roman" w:cs="Times New Roman"/>
                <w:b/>
                <w:bCs/>
                <w:sz w:val="20"/>
                <w:szCs w:val="20"/>
              </w:rPr>
              <w:t>38.81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498A2A8"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27.44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EA4D089" w14:textId="77777777" w:rsidR="00B7773A" w:rsidRPr="001E2746" w:rsidRDefault="00B7773A">
            <w:pPr>
              <w:jc w:val="center"/>
              <w:rPr>
                <w:rFonts w:ascii="Times New Roman" w:hAnsi="Times New Roman" w:cs="Times New Roman"/>
                <w:sz w:val="20"/>
                <w:szCs w:val="20"/>
              </w:rPr>
            </w:pPr>
            <w:r w:rsidRPr="001E2746">
              <w:rPr>
                <w:rFonts w:ascii="Times New Roman" w:hAnsi="Times New Roman" w:cs="Times New Roman"/>
                <w:sz w:val="20"/>
                <w:szCs w:val="20"/>
              </w:rPr>
              <w:t>-11.37</w:t>
            </w:r>
          </w:p>
        </w:tc>
      </w:tr>
      <w:tr w:rsidR="001E2746" w:rsidRPr="001E2746" w14:paraId="5BE48BC0" w14:textId="77777777" w:rsidTr="00B7773A">
        <w:trPr>
          <w:trHeight w:val="215"/>
        </w:trPr>
        <w:tc>
          <w:tcPr>
            <w:tcW w:w="9450" w:type="dxa"/>
            <w:gridSpan w:val="6"/>
            <w:tcBorders>
              <w:top w:val="single" w:sz="4" w:space="0" w:color="auto"/>
              <w:left w:val="nil"/>
              <w:bottom w:val="nil"/>
              <w:right w:val="nil"/>
            </w:tcBorders>
            <w:hideMark/>
          </w:tcPr>
          <w:p w14:paraId="78B892CC" w14:textId="77777777" w:rsidR="00B7773A" w:rsidRPr="001E2746" w:rsidRDefault="00B7773A">
            <w:pPr>
              <w:ind w:left="-112"/>
              <w:rPr>
                <w:rFonts w:ascii="Times New Roman" w:hAnsi="Times New Roman" w:cs="Times New Roman"/>
                <w:sz w:val="16"/>
                <w:szCs w:val="16"/>
              </w:rPr>
            </w:pPr>
            <w:r w:rsidRPr="001E2746">
              <w:rPr>
                <w:rFonts w:ascii="Times New Roman" w:hAnsi="Times New Roman" w:cs="Times New Roman"/>
                <w:sz w:val="16"/>
                <w:szCs w:val="16"/>
                <w:vertAlign w:val="superscript"/>
              </w:rPr>
              <w:t>1</w:t>
            </w:r>
            <w:r w:rsidRPr="001E2746">
              <w:rPr>
                <w:rFonts w:ascii="Times New Roman" w:hAnsi="Times New Roman" w:cs="Times New Roman"/>
                <w:sz w:val="16"/>
                <w:szCs w:val="16"/>
              </w:rPr>
              <w:t>Based on 2015 NAMCS estimates (and their standard errors) and 2018 NAMCS rates eligibility and PRF submission.</w:t>
            </w:r>
          </w:p>
        </w:tc>
      </w:tr>
      <w:tr w:rsidR="001E2746" w:rsidRPr="001E2746" w14:paraId="40A6AD97" w14:textId="77777777" w:rsidTr="00B7773A">
        <w:trPr>
          <w:trHeight w:val="99"/>
        </w:trPr>
        <w:tc>
          <w:tcPr>
            <w:tcW w:w="9450" w:type="dxa"/>
            <w:gridSpan w:val="6"/>
            <w:tcBorders>
              <w:top w:val="nil"/>
              <w:left w:val="nil"/>
              <w:bottom w:val="nil"/>
              <w:right w:val="nil"/>
            </w:tcBorders>
            <w:hideMark/>
          </w:tcPr>
          <w:p w14:paraId="69D23777" w14:textId="77777777" w:rsidR="00B7773A" w:rsidRPr="001E2746" w:rsidRDefault="00B7773A" w:rsidP="00F17773">
            <w:pPr>
              <w:ind w:right="-110" w:hanging="112"/>
              <w:rPr>
                <w:rFonts w:ascii="Times New Roman" w:hAnsi="Times New Roman" w:cs="Times New Roman"/>
                <w:sz w:val="16"/>
                <w:szCs w:val="16"/>
              </w:rPr>
            </w:pPr>
            <w:r w:rsidRPr="001E2746">
              <w:rPr>
                <w:rFonts w:ascii="Times New Roman" w:hAnsi="Times New Roman" w:cs="Times New Roman"/>
                <w:sz w:val="16"/>
                <w:szCs w:val="16"/>
                <w:vertAlign w:val="superscript"/>
              </w:rPr>
              <w:t>2</w:t>
            </w:r>
            <w:r w:rsidRPr="001E2746">
              <w:rPr>
                <w:rFonts w:ascii="Times New Roman" w:hAnsi="Times New Roman" w:cs="Times New Roman"/>
                <w:sz w:val="16"/>
                <w:szCs w:val="16"/>
              </w:rPr>
              <w:t xml:space="preserve">RSE is relative standard error, and is used as a measure of reliability and expressed as a percentage of the estimate; it is calculated as SE/estimate.   </w:t>
            </w:r>
          </w:p>
        </w:tc>
      </w:tr>
      <w:tr w:rsidR="001E2746" w:rsidRPr="001E2746" w14:paraId="209ACFDF" w14:textId="77777777" w:rsidTr="00B7773A">
        <w:trPr>
          <w:trHeight w:val="198"/>
        </w:trPr>
        <w:tc>
          <w:tcPr>
            <w:tcW w:w="9450" w:type="dxa"/>
            <w:gridSpan w:val="6"/>
            <w:tcBorders>
              <w:top w:val="nil"/>
              <w:left w:val="nil"/>
              <w:bottom w:val="nil"/>
              <w:right w:val="nil"/>
            </w:tcBorders>
            <w:hideMark/>
          </w:tcPr>
          <w:p w14:paraId="555E6022" w14:textId="38A8879F" w:rsidR="00B7773A" w:rsidRPr="001E2746" w:rsidRDefault="00B7773A">
            <w:pPr>
              <w:ind w:hanging="112"/>
              <w:rPr>
                <w:rFonts w:ascii="Times New Roman" w:hAnsi="Times New Roman" w:cs="Times New Roman"/>
                <w:sz w:val="16"/>
                <w:szCs w:val="16"/>
              </w:rPr>
            </w:pPr>
            <w:r w:rsidRPr="001E2746">
              <w:rPr>
                <w:rFonts w:ascii="Times New Roman" w:hAnsi="Times New Roman" w:cs="Times New Roman"/>
                <w:sz w:val="16"/>
                <w:szCs w:val="16"/>
                <w:vertAlign w:val="superscript"/>
              </w:rPr>
              <w:t>3</w:t>
            </w:r>
            <w:r w:rsidR="00824ECB" w:rsidRPr="001E2746">
              <w:rPr>
                <w:rFonts w:ascii="Times New Roman" w:hAnsi="Times New Roman" w:cs="Times New Roman"/>
                <w:sz w:val="16"/>
                <w:szCs w:val="16"/>
              </w:rPr>
              <w:t>A RSE in bol</w:t>
            </w:r>
            <w:r w:rsidRPr="001E2746">
              <w:rPr>
                <w:rFonts w:ascii="Times New Roman" w:hAnsi="Times New Roman" w:cs="Times New Roman"/>
                <w:sz w:val="16"/>
                <w:szCs w:val="16"/>
              </w:rPr>
              <w:t xml:space="preserve">d font indicates that the corresponding estimate would traditionally be noted as unreliable by NCHS (i.e., RSE&gt;30.0%). </w:t>
            </w:r>
          </w:p>
        </w:tc>
      </w:tr>
      <w:tr w:rsidR="00FD1401" w:rsidRPr="001E2746" w14:paraId="2999EFBD" w14:textId="77777777" w:rsidTr="00B7773A">
        <w:trPr>
          <w:trHeight w:val="300"/>
        </w:trPr>
        <w:tc>
          <w:tcPr>
            <w:tcW w:w="9450" w:type="dxa"/>
            <w:gridSpan w:val="6"/>
            <w:tcBorders>
              <w:top w:val="nil"/>
              <w:left w:val="nil"/>
              <w:bottom w:val="nil"/>
              <w:right w:val="nil"/>
            </w:tcBorders>
            <w:hideMark/>
          </w:tcPr>
          <w:p w14:paraId="6E25577B" w14:textId="77777777" w:rsidR="00B7773A" w:rsidRPr="001E2746" w:rsidRDefault="00B7773A">
            <w:pPr>
              <w:ind w:hanging="112"/>
              <w:rPr>
                <w:rFonts w:ascii="Times New Roman" w:hAnsi="Times New Roman" w:cs="Times New Roman"/>
                <w:sz w:val="16"/>
                <w:szCs w:val="16"/>
              </w:rPr>
            </w:pPr>
            <w:r w:rsidRPr="001E2746">
              <w:rPr>
                <w:rFonts w:ascii="Times New Roman" w:hAnsi="Times New Roman" w:cs="Times New Roman"/>
                <w:sz w:val="16"/>
                <w:szCs w:val="16"/>
              </w:rPr>
              <w:t xml:space="preserve"> SOURCE: NCHS, National Ambulatory Medical Care Survey (NAMCS), 2015.</w:t>
            </w:r>
          </w:p>
        </w:tc>
      </w:tr>
    </w:tbl>
    <w:p w14:paraId="5C3BB900" w14:textId="5349FF16" w:rsidR="00AA01A8" w:rsidRPr="001E2746" w:rsidRDefault="00AA01A8" w:rsidP="00292EF1">
      <w:pPr>
        <w:pStyle w:val="ListParagraph"/>
        <w:ind w:left="0"/>
        <w:rPr>
          <w:u w:val="single"/>
        </w:rPr>
      </w:pPr>
    </w:p>
    <w:p w14:paraId="3D997693" w14:textId="4459544A" w:rsidR="00F65EAC" w:rsidRPr="001E2746" w:rsidRDefault="002C0BA3" w:rsidP="00292EF1">
      <w:pPr>
        <w:pStyle w:val="ListParagraph"/>
        <w:ind w:left="0"/>
        <w:rPr>
          <w:u w:val="single"/>
        </w:rPr>
      </w:pPr>
      <w:r w:rsidRPr="001E2746">
        <w:rPr>
          <w:u w:val="single"/>
        </w:rPr>
        <w:t>Community Health Centers (CHC</w:t>
      </w:r>
      <w:r w:rsidR="00E44C80" w:rsidRPr="001E2746">
        <w:rPr>
          <w:u w:val="single"/>
        </w:rPr>
        <w:t>s</w:t>
      </w:r>
      <w:r w:rsidRPr="001E2746">
        <w:rPr>
          <w:u w:val="single"/>
        </w:rPr>
        <w:t>)</w:t>
      </w:r>
    </w:p>
    <w:p w14:paraId="4366AED5" w14:textId="77777777" w:rsidR="00F65EAC" w:rsidRPr="001E2746" w:rsidRDefault="00F65EAC" w:rsidP="002F2082">
      <w:pPr>
        <w:pStyle w:val="ListParagraph"/>
        <w:ind w:left="0"/>
      </w:pPr>
    </w:p>
    <w:p w14:paraId="554DFB84" w14:textId="394FF50B" w:rsidR="00915EA6" w:rsidRDefault="00F65EAC" w:rsidP="00AF5817">
      <w:pPr>
        <w:pStyle w:val="ListParagraph"/>
        <w:ind w:left="0"/>
      </w:pPr>
      <w:r w:rsidRPr="001E2746">
        <w:t>The CHC comp</w:t>
      </w:r>
      <w:r w:rsidR="00881855" w:rsidRPr="001E2746">
        <w:t>onent of the NAMCS uses a three-</w:t>
      </w:r>
      <w:r w:rsidRPr="001E2746">
        <w:t>stage design in which the first stage is a stratified list sample of CHC service delivery sites</w:t>
      </w:r>
      <w:r w:rsidR="00881855" w:rsidRPr="001E2746">
        <w:t>,</w:t>
      </w:r>
      <w:r w:rsidRPr="001E2746">
        <w:t xml:space="preserve"> with </w:t>
      </w:r>
      <w:r w:rsidR="000629B8" w:rsidRPr="001E2746">
        <w:t xml:space="preserve">sampling </w:t>
      </w:r>
      <w:r w:rsidRPr="001E2746">
        <w:t xml:space="preserve">strata defined by Census </w:t>
      </w:r>
      <w:r w:rsidR="00FC5F9A" w:rsidRPr="001E2746">
        <w:t xml:space="preserve">region </w:t>
      </w:r>
      <w:r w:rsidRPr="001E2746">
        <w:t>and</w:t>
      </w:r>
      <w:r w:rsidR="00AB2994" w:rsidRPr="001E2746">
        <w:t xml:space="preserve"> </w:t>
      </w:r>
      <w:r w:rsidR="000629B8" w:rsidRPr="001E2746">
        <w:t xml:space="preserve">CHC type (is, or is not, </w:t>
      </w:r>
      <w:r w:rsidR="00E33C03" w:rsidRPr="001E2746">
        <w:t>a</w:t>
      </w:r>
      <w:r w:rsidR="00D94C27" w:rsidRPr="001E2746">
        <w:t>n</w:t>
      </w:r>
      <w:r w:rsidR="00E33C03" w:rsidRPr="001E2746">
        <w:t xml:space="preserve"> </w:t>
      </w:r>
      <w:r w:rsidR="00D85413" w:rsidRPr="001E2746">
        <w:t xml:space="preserve">Urban </w:t>
      </w:r>
      <w:r w:rsidR="002338F1" w:rsidRPr="001E2746">
        <w:t>Indian Health Service CHC)</w:t>
      </w:r>
      <w:r w:rsidRPr="001E2746">
        <w:t xml:space="preserve">. From each sampling stratum, systematic random sampling is used to select service sites from a list in which the service sites are arrayed by </w:t>
      </w:r>
      <w:r w:rsidR="00BC3B8A" w:rsidRPr="001E2746">
        <w:t xml:space="preserve">MSA status, Census division, </w:t>
      </w:r>
      <w:r w:rsidRPr="001E2746">
        <w:t>and CHC.  The total annual sample of CHC sites for each year is divided into 52 subsamples which, in turn, are randomly assigned to the 52 weeks of the year for reporting in the survey. At each sampled service delivery site, a systematic random sample of up to three providers (</w:t>
      </w:r>
      <w:r w:rsidR="00E44C80" w:rsidRPr="001E2746">
        <w:t xml:space="preserve">i.e., </w:t>
      </w:r>
      <w:r w:rsidRPr="001E2746">
        <w:t xml:space="preserve">MDs, DOs, and/or </w:t>
      </w:r>
      <w:r w:rsidR="004A5A23" w:rsidRPr="001E2746">
        <w:t>advanced practice provider</w:t>
      </w:r>
      <w:r w:rsidRPr="001E2746">
        <w:t>s) will be selected from those scheduled to work at the CHC site during the site’s assigned sample week. The three providers will be selected with probability proportional to the numbers of visits the providers are expected to see</w:t>
      </w:r>
      <w:r w:rsidR="00FB6EB8" w:rsidRPr="001E2746">
        <w:t xml:space="preserve"> at the sampled site</w:t>
      </w:r>
      <w:r w:rsidRPr="001E2746">
        <w:t xml:space="preserve"> during the reporting week. If fewer than three providers will see patients during the assigned week, then all providers seeing patients at that site in that week are included in the sample.  As done with office-based physicians, a systematic random sample of approximately 30 patient visits to each sampled provider will be selected from chronologic lists of visits see</w:t>
      </w:r>
      <w:r>
        <w:t>n by the provider</w:t>
      </w:r>
      <w:r w:rsidR="003C0B45">
        <w:t xml:space="preserve"> at the sampled site</w:t>
      </w:r>
      <w:r>
        <w:t xml:space="preserve"> during the assigned week.  Visits define the third stage of sampling. T</w:t>
      </w:r>
      <w:r w:rsidR="00F33678">
        <w:t xml:space="preserve">here </w:t>
      </w:r>
      <w:r w:rsidR="00CE7F42">
        <w:t xml:space="preserve">is </w:t>
      </w:r>
      <w:r w:rsidR="00F33678">
        <w:t xml:space="preserve">a proposed annual </w:t>
      </w:r>
      <w:r w:rsidR="004D42B4">
        <w:t xml:space="preserve">sample of </w:t>
      </w:r>
      <w:r w:rsidR="00AB2994">
        <w:t>104</w:t>
      </w:r>
      <w:r>
        <w:t xml:space="preserve"> CHC service delivery site</w:t>
      </w:r>
      <w:r w:rsidR="008A5151">
        <w:t xml:space="preserve">s for </w:t>
      </w:r>
      <w:r w:rsidR="00BA2369">
        <w:t xml:space="preserve">each of </w:t>
      </w:r>
      <w:r w:rsidR="00AB2994">
        <w:t>201</w:t>
      </w:r>
      <w:r w:rsidR="00935935">
        <w:t>9</w:t>
      </w:r>
      <w:r w:rsidR="00AB2994">
        <w:t>-20</w:t>
      </w:r>
      <w:r w:rsidR="00935935">
        <w:t>21</w:t>
      </w:r>
      <w:r w:rsidR="008A5151">
        <w:t>.</w:t>
      </w:r>
      <w:r w:rsidR="00E44C80">
        <w:t xml:space="preserve"> </w:t>
      </w:r>
      <w:r w:rsidR="008A5151">
        <w:t xml:space="preserve"> </w:t>
      </w:r>
      <w:r w:rsidR="00FC5F9A" w:rsidRPr="009F0580">
        <w:t xml:space="preserve">Up </w:t>
      </w:r>
      <w:r w:rsidRPr="009F0580">
        <w:t xml:space="preserve">to </w:t>
      </w:r>
      <w:r w:rsidR="00E44C80" w:rsidRPr="009F0580">
        <w:t>three</w:t>
      </w:r>
      <w:r w:rsidRPr="009F0580">
        <w:t xml:space="preserve"> providers</w:t>
      </w:r>
      <w:r w:rsidR="00FC5F9A" w:rsidRPr="009F0580">
        <w:t xml:space="preserve"> will be selected from each site</w:t>
      </w:r>
      <w:r w:rsidRPr="009F0580">
        <w:t>,</w:t>
      </w:r>
      <w:r w:rsidR="008A5151" w:rsidRPr="009F0580">
        <w:t xml:space="preserve"> </w:t>
      </w:r>
      <w:r w:rsidR="002D7616" w:rsidRPr="009F0580">
        <w:t xml:space="preserve">and for ease of calculations, this package </w:t>
      </w:r>
      <w:r w:rsidR="00120F20" w:rsidRPr="009F0580">
        <w:t xml:space="preserve">assumes all </w:t>
      </w:r>
      <w:r w:rsidR="002D7616" w:rsidRPr="009F0580">
        <w:t>3 will be selected</w:t>
      </w:r>
      <w:r w:rsidR="009F0580" w:rsidRPr="009F0580">
        <w:t xml:space="preserve"> for participation</w:t>
      </w:r>
      <w:r w:rsidR="002D7616" w:rsidRPr="009F0580">
        <w:t xml:space="preserve">.  </w:t>
      </w:r>
      <w:r w:rsidR="008A5151" w:rsidRPr="009F0580">
        <w:t>T</w:t>
      </w:r>
      <w:r w:rsidRPr="009F0580">
        <w:t>his adds</w:t>
      </w:r>
      <w:r w:rsidR="008A5151" w:rsidRPr="009F0580">
        <w:t xml:space="preserve"> </w:t>
      </w:r>
      <w:r w:rsidR="002D7616" w:rsidRPr="009F0580">
        <w:t>312</w:t>
      </w:r>
      <w:r w:rsidR="008A5151" w:rsidRPr="009F0580">
        <w:t xml:space="preserve"> </w:t>
      </w:r>
      <w:r w:rsidRPr="009F0580">
        <w:t xml:space="preserve">providers to the </w:t>
      </w:r>
      <w:r w:rsidR="00104AFD" w:rsidRPr="009F0580">
        <w:t xml:space="preserve">annual </w:t>
      </w:r>
      <w:r w:rsidRPr="009F0580">
        <w:t>NAMCS sample.  Similar to the office-</w:t>
      </w:r>
      <w:r>
        <w:t xml:space="preserve">based NAMCS, the CHC sample will </w:t>
      </w:r>
      <w:r w:rsidR="00AF5817">
        <w:t>produce visit estima</w:t>
      </w:r>
      <w:r w:rsidR="00F33678">
        <w:t xml:space="preserve">tes for </w:t>
      </w:r>
      <w:r w:rsidR="00BF0841">
        <w:t>four</w:t>
      </w:r>
      <w:r w:rsidR="00A70997">
        <w:t xml:space="preserve"> </w:t>
      </w:r>
      <w:r w:rsidR="00935935">
        <w:t xml:space="preserve">Census </w:t>
      </w:r>
      <w:r w:rsidR="00A70997">
        <w:t>regions,</w:t>
      </w:r>
      <w:r w:rsidR="00BF0841">
        <w:t xml:space="preserve"> </w:t>
      </w:r>
      <w:r w:rsidR="00AB2994">
        <w:t xml:space="preserve">nine </w:t>
      </w:r>
      <w:r w:rsidR="00935935">
        <w:t xml:space="preserve">Census </w:t>
      </w:r>
      <w:r w:rsidR="00AB2994">
        <w:t>divisions</w:t>
      </w:r>
      <w:r w:rsidR="00A70997">
        <w:t>,</w:t>
      </w:r>
      <w:r>
        <w:t xml:space="preserve"> </w:t>
      </w:r>
      <w:r w:rsidR="00BF0841">
        <w:t xml:space="preserve">and the </w:t>
      </w:r>
      <w:r w:rsidR="004D42B4">
        <w:t xml:space="preserve">whole </w:t>
      </w:r>
      <w:r>
        <w:t>U</w:t>
      </w:r>
      <w:r w:rsidR="00935935">
        <w:t>nited States</w:t>
      </w:r>
      <w:r>
        <w:t>.</w:t>
      </w:r>
      <w:r w:rsidR="00A43D79">
        <w:t xml:space="preserve"> Note that </w:t>
      </w:r>
      <w:r w:rsidR="00F3576A">
        <w:t xml:space="preserve">NAMCS </w:t>
      </w:r>
      <w:r w:rsidR="00A43D79">
        <w:t>data collection for each CHC in</w:t>
      </w:r>
      <w:r w:rsidR="00F3576A">
        <w:t xml:space="preserve"> </w:t>
      </w:r>
      <w:r w:rsidR="00A43D79">
        <w:t>2019-2021 will be completed through abstraction, and no CHC data will be collected via EHR.</w:t>
      </w:r>
    </w:p>
    <w:tbl>
      <w:tblPr>
        <w:tblStyle w:val="TableGrid"/>
        <w:tblpPr w:leftFromText="180" w:rightFromText="180" w:vertAnchor="page" w:horzAnchor="margin" w:tblpY="4621"/>
        <w:tblW w:w="5000" w:type="pct"/>
        <w:tblLook w:val="04A0" w:firstRow="1" w:lastRow="0" w:firstColumn="1" w:lastColumn="0" w:noHBand="0" w:noVBand="1"/>
      </w:tblPr>
      <w:tblGrid>
        <w:gridCol w:w="7622"/>
        <w:gridCol w:w="1954"/>
      </w:tblGrid>
      <w:tr w:rsidR="00D41C34" w:rsidRPr="00655B9B" w14:paraId="39A6BFFA" w14:textId="77777777" w:rsidTr="00D41C34">
        <w:trPr>
          <w:trHeight w:val="315"/>
        </w:trPr>
        <w:tc>
          <w:tcPr>
            <w:tcW w:w="5000" w:type="pct"/>
            <w:gridSpan w:val="2"/>
            <w:noWrap/>
            <w:hideMark/>
          </w:tcPr>
          <w:p w14:paraId="6CD81B93" w14:textId="77777777" w:rsidR="00D41C34" w:rsidRPr="00D23B9F" w:rsidRDefault="00D41C34" w:rsidP="00D41C34">
            <w:pPr>
              <w:widowControl w:val="0"/>
              <w:contextualSpacing/>
              <w:rPr>
                <w:rFonts w:ascii="Times New Roman" w:hAnsi="Times New Roman" w:cs="Times New Roman"/>
                <w:b/>
                <w:sz w:val="20"/>
                <w:szCs w:val="20"/>
              </w:rPr>
            </w:pPr>
            <w:bookmarkStart w:id="4" w:name="_Toc505596436"/>
            <w:r>
              <w:rPr>
                <w:rFonts w:ascii="Times New Roman" w:hAnsi="Times New Roman" w:cs="Times New Roman"/>
                <w:b/>
                <w:bCs/>
              </w:rPr>
              <w:t xml:space="preserve">Annualized </w:t>
            </w:r>
            <w:r w:rsidRPr="00655B9B">
              <w:rPr>
                <w:rFonts w:ascii="Times New Roman" w:hAnsi="Times New Roman" w:cs="Times New Roman"/>
                <w:b/>
                <w:bCs/>
              </w:rPr>
              <w:t>NAMCS Sample Counts</w:t>
            </w:r>
            <w:r>
              <w:rPr>
                <w:rFonts w:ascii="Times New Roman" w:hAnsi="Times New Roman" w:cs="Times New Roman"/>
                <w:b/>
                <w:bCs/>
              </w:rPr>
              <w:t xml:space="preserve"> for 2019-2021</w:t>
            </w:r>
          </w:p>
        </w:tc>
      </w:tr>
      <w:tr w:rsidR="00D41C34" w:rsidRPr="008170BF" w14:paraId="7E195147" w14:textId="77777777" w:rsidTr="00D41C34">
        <w:trPr>
          <w:trHeight w:val="315"/>
        </w:trPr>
        <w:tc>
          <w:tcPr>
            <w:tcW w:w="3980" w:type="pct"/>
            <w:tcBorders>
              <w:bottom w:val="single" w:sz="4" w:space="0" w:color="auto"/>
            </w:tcBorders>
            <w:noWrap/>
            <w:hideMark/>
          </w:tcPr>
          <w:p w14:paraId="4D1FB11C" w14:textId="77777777" w:rsidR="00D41C34" w:rsidRPr="0077474F" w:rsidRDefault="00D41C34" w:rsidP="00D41C34">
            <w:pPr>
              <w:widowControl w:val="0"/>
              <w:contextualSpacing/>
              <w:rPr>
                <w:rFonts w:ascii="Times New Roman" w:hAnsi="Times New Roman" w:cs="Times New Roman"/>
              </w:rPr>
            </w:pPr>
            <w:r w:rsidRPr="008F10A3">
              <w:rPr>
                <w:rFonts w:ascii="Times New Roman" w:hAnsi="Times New Roman" w:cs="Times New Roman"/>
              </w:rPr>
              <w:t xml:space="preserve">Traditional </w:t>
            </w:r>
            <w:r>
              <w:rPr>
                <w:rFonts w:ascii="Times New Roman" w:hAnsi="Times New Roman" w:cs="Times New Roman"/>
              </w:rPr>
              <w:t>o</w:t>
            </w:r>
            <w:r w:rsidRPr="008F10A3">
              <w:rPr>
                <w:rFonts w:ascii="Times New Roman" w:hAnsi="Times New Roman" w:cs="Times New Roman"/>
              </w:rPr>
              <w:t xml:space="preserve">ffice-based </w:t>
            </w:r>
            <w:r>
              <w:rPr>
                <w:rFonts w:ascii="Times New Roman" w:hAnsi="Times New Roman" w:cs="Times New Roman"/>
              </w:rPr>
              <w:t>p</w:t>
            </w:r>
            <w:r w:rsidRPr="008F10A3">
              <w:rPr>
                <w:rFonts w:ascii="Times New Roman" w:hAnsi="Times New Roman" w:cs="Times New Roman"/>
              </w:rPr>
              <w:t>hysicians</w:t>
            </w:r>
            <w:r>
              <w:rPr>
                <w:rFonts w:ascii="Times New Roman" w:hAnsi="Times New Roman" w:cs="Times New Roman"/>
              </w:rPr>
              <w:t xml:space="preserve"> (data collection via abstraction)</w:t>
            </w:r>
          </w:p>
        </w:tc>
        <w:tc>
          <w:tcPr>
            <w:tcW w:w="1020" w:type="pct"/>
            <w:tcBorders>
              <w:bottom w:val="single" w:sz="4" w:space="0" w:color="auto"/>
            </w:tcBorders>
            <w:noWrap/>
          </w:tcPr>
          <w:p w14:paraId="53DA7076" w14:textId="77777777" w:rsidR="00D41C34" w:rsidRPr="0077474F" w:rsidRDefault="00D41C34" w:rsidP="00D41C34">
            <w:pPr>
              <w:widowControl w:val="0"/>
              <w:contextualSpacing/>
              <w:jc w:val="right"/>
              <w:rPr>
                <w:rFonts w:ascii="Times New Roman" w:hAnsi="Times New Roman" w:cs="Times New Roman"/>
              </w:rPr>
            </w:pPr>
            <w:r>
              <w:rPr>
                <w:rFonts w:ascii="Times New Roman" w:hAnsi="Times New Roman" w:cs="Times New Roman"/>
              </w:rPr>
              <w:t>3,000</w:t>
            </w:r>
          </w:p>
        </w:tc>
      </w:tr>
      <w:tr w:rsidR="00D41C34" w:rsidRPr="008170BF" w14:paraId="73F44162" w14:textId="77777777" w:rsidTr="00D41C34">
        <w:trPr>
          <w:trHeight w:val="315"/>
        </w:trPr>
        <w:tc>
          <w:tcPr>
            <w:tcW w:w="3980" w:type="pct"/>
            <w:tcBorders>
              <w:bottom w:val="single" w:sz="4" w:space="0" w:color="auto"/>
            </w:tcBorders>
            <w:noWrap/>
          </w:tcPr>
          <w:p w14:paraId="2C501F02" w14:textId="77777777" w:rsidR="00D41C34" w:rsidRPr="00B77174" w:rsidRDefault="00D41C34" w:rsidP="00D41C34">
            <w:pPr>
              <w:widowControl w:val="0"/>
              <w:contextualSpacing/>
              <w:rPr>
                <w:rFonts w:ascii="Times New Roman" w:hAnsi="Times New Roman" w:cs="Times New Roman"/>
              </w:rPr>
            </w:pPr>
            <w:r w:rsidRPr="008F10A3">
              <w:rPr>
                <w:rFonts w:ascii="Times New Roman" w:hAnsi="Times New Roman" w:cs="Times New Roman"/>
              </w:rPr>
              <w:t>EHR office-based physicians</w:t>
            </w:r>
            <w:r>
              <w:rPr>
                <w:rFonts w:ascii="Times New Roman" w:hAnsi="Times New Roman" w:cs="Times New Roman"/>
              </w:rPr>
              <w:t xml:space="preserve"> (data collection via EHR)</w:t>
            </w:r>
          </w:p>
        </w:tc>
        <w:tc>
          <w:tcPr>
            <w:tcW w:w="1020" w:type="pct"/>
            <w:tcBorders>
              <w:bottom w:val="single" w:sz="4" w:space="0" w:color="auto"/>
            </w:tcBorders>
            <w:noWrap/>
          </w:tcPr>
          <w:p w14:paraId="18C26047" w14:textId="77777777" w:rsidR="00D41C34" w:rsidRPr="00B77174" w:rsidRDefault="00D41C34" w:rsidP="00D41C34">
            <w:pPr>
              <w:widowControl w:val="0"/>
              <w:contextualSpacing/>
              <w:jc w:val="right"/>
              <w:rPr>
                <w:rFonts w:ascii="Times New Roman" w:hAnsi="Times New Roman" w:cs="Times New Roman"/>
              </w:rPr>
            </w:pPr>
            <w:r w:rsidRPr="00DC659E">
              <w:rPr>
                <w:rFonts w:ascii="Times New Roman" w:hAnsi="Times New Roman" w:cs="Times New Roman"/>
              </w:rPr>
              <w:t>2</w:t>
            </w:r>
            <w:r w:rsidRPr="00B77174">
              <w:rPr>
                <w:rFonts w:ascii="Times New Roman" w:hAnsi="Times New Roman" w:cs="Times New Roman"/>
              </w:rPr>
              <w:t>,000</w:t>
            </w:r>
          </w:p>
        </w:tc>
      </w:tr>
      <w:tr w:rsidR="00D41C34" w:rsidRPr="008170BF" w14:paraId="6C406344" w14:textId="77777777" w:rsidTr="00D41C34">
        <w:trPr>
          <w:trHeight w:val="315"/>
        </w:trPr>
        <w:tc>
          <w:tcPr>
            <w:tcW w:w="3980" w:type="pct"/>
            <w:noWrap/>
            <w:hideMark/>
          </w:tcPr>
          <w:p w14:paraId="7C7D3247" w14:textId="77777777" w:rsidR="00D41C34" w:rsidRPr="0077474F" w:rsidRDefault="00D41C34" w:rsidP="00D41C34">
            <w:pPr>
              <w:widowControl w:val="0"/>
              <w:contextualSpacing/>
              <w:rPr>
                <w:rFonts w:ascii="Times New Roman" w:hAnsi="Times New Roman" w:cs="Times New Roman"/>
              </w:rPr>
            </w:pPr>
            <w:r w:rsidRPr="008F10A3">
              <w:rPr>
                <w:rFonts w:ascii="Times New Roman" w:hAnsi="Times New Roman" w:cs="Times New Roman"/>
              </w:rPr>
              <w:t>CHC service delivery sites</w:t>
            </w:r>
          </w:p>
        </w:tc>
        <w:tc>
          <w:tcPr>
            <w:tcW w:w="1020" w:type="pct"/>
            <w:noWrap/>
          </w:tcPr>
          <w:p w14:paraId="69FEBA5D" w14:textId="77777777" w:rsidR="00D41C34" w:rsidRPr="0077474F" w:rsidRDefault="00D41C34" w:rsidP="00D41C34">
            <w:pPr>
              <w:widowControl w:val="0"/>
              <w:contextualSpacing/>
              <w:jc w:val="right"/>
              <w:rPr>
                <w:rFonts w:ascii="Times New Roman" w:hAnsi="Times New Roman" w:cs="Times New Roman"/>
              </w:rPr>
            </w:pPr>
            <w:r>
              <w:rPr>
                <w:rFonts w:ascii="Times New Roman" w:hAnsi="Times New Roman" w:cs="Times New Roman"/>
              </w:rPr>
              <w:t>104</w:t>
            </w:r>
          </w:p>
        </w:tc>
      </w:tr>
      <w:tr w:rsidR="00D41C34" w:rsidRPr="008170BF" w14:paraId="104BFA7C" w14:textId="77777777" w:rsidTr="00D41C34">
        <w:trPr>
          <w:trHeight w:val="315"/>
        </w:trPr>
        <w:tc>
          <w:tcPr>
            <w:tcW w:w="3980" w:type="pct"/>
            <w:tcBorders>
              <w:bottom w:val="single" w:sz="4" w:space="0" w:color="auto"/>
            </w:tcBorders>
            <w:noWrap/>
            <w:hideMark/>
          </w:tcPr>
          <w:p w14:paraId="7D2D0D9A" w14:textId="77777777" w:rsidR="00D41C34" w:rsidRPr="00170EBB" w:rsidRDefault="00D41C34" w:rsidP="00D41C34">
            <w:pPr>
              <w:widowControl w:val="0"/>
              <w:contextualSpacing/>
              <w:rPr>
                <w:rFonts w:ascii="Times New Roman" w:hAnsi="Times New Roman" w:cs="Times New Roman"/>
              </w:rPr>
            </w:pPr>
            <w:r w:rsidRPr="00170EBB">
              <w:rPr>
                <w:rFonts w:ascii="Times New Roman" w:hAnsi="Times New Roman" w:cs="Times New Roman"/>
              </w:rPr>
              <w:t>CHC providers = CHC sites * 3 CHC providers</w:t>
            </w:r>
          </w:p>
        </w:tc>
        <w:tc>
          <w:tcPr>
            <w:tcW w:w="1020" w:type="pct"/>
            <w:tcBorders>
              <w:bottom w:val="single" w:sz="4" w:space="0" w:color="auto"/>
            </w:tcBorders>
            <w:noWrap/>
          </w:tcPr>
          <w:p w14:paraId="446FCE59" w14:textId="77777777" w:rsidR="00D41C34" w:rsidRPr="00170EBB" w:rsidRDefault="00D41C34" w:rsidP="00D41C34">
            <w:pPr>
              <w:widowControl w:val="0"/>
              <w:contextualSpacing/>
              <w:jc w:val="right"/>
              <w:rPr>
                <w:rFonts w:ascii="Times New Roman" w:hAnsi="Times New Roman" w:cs="Times New Roman"/>
              </w:rPr>
            </w:pPr>
            <w:r w:rsidRPr="00170EBB">
              <w:rPr>
                <w:rFonts w:ascii="Times New Roman" w:hAnsi="Times New Roman" w:cs="Times New Roman"/>
              </w:rPr>
              <w:t>312</w:t>
            </w:r>
          </w:p>
        </w:tc>
      </w:tr>
    </w:tbl>
    <w:p w14:paraId="58F6B1A3" w14:textId="5B6C856D" w:rsidR="006C1EC5" w:rsidRDefault="003C0B32" w:rsidP="007C26C0">
      <w:pPr>
        <w:pStyle w:val="Heading1"/>
      </w:pPr>
      <w:r>
        <w:t>2</w:t>
      </w:r>
      <w:r w:rsidR="006C1EC5">
        <w:t>.  Procedures for the Collection of Information</w:t>
      </w:r>
      <w:bookmarkEnd w:id="4"/>
    </w:p>
    <w:p w14:paraId="5F49A0B8" w14:textId="77777777" w:rsidR="00E44C80" w:rsidRDefault="00E44C80" w:rsidP="00E44C80"/>
    <w:p w14:paraId="0B0993AF" w14:textId="2A1E1648" w:rsidR="006C1EC5" w:rsidRPr="00E44C80" w:rsidRDefault="003C0B32" w:rsidP="00394541">
      <w:pPr>
        <w:rPr>
          <w:u w:val="single"/>
        </w:rPr>
      </w:pPr>
      <w:r w:rsidRPr="00E44C80">
        <w:rPr>
          <w:u w:val="single"/>
        </w:rPr>
        <w:t>Traditional Office-based Physicians and CHC Providers</w:t>
      </w:r>
    </w:p>
    <w:p w14:paraId="5BA6A87C" w14:textId="77777777" w:rsidR="003C0B32" w:rsidRPr="00E44C80" w:rsidRDefault="003C0B32">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00"/>
        </w:rPr>
      </w:pPr>
    </w:p>
    <w:p w14:paraId="09734F68" w14:textId="4FDE9982" w:rsidR="006C1EC5" w:rsidRPr="00E44C80"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E44C80">
        <w:rPr>
          <w:rFonts w:ascii="Times New Roman" w:hAnsi="Times New Roman"/>
          <w:i/>
          <w:color w:val="000000"/>
        </w:rPr>
        <w:t>Training</w:t>
      </w:r>
    </w:p>
    <w:p w14:paraId="27BA106A"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8147EDD" w14:textId="488B4BA3" w:rsidR="006C1EC5" w:rsidRDefault="00277B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For data abstraction, p</w:t>
      </w:r>
      <w:r w:rsidR="006C1EC5">
        <w:rPr>
          <w:rFonts w:ascii="Times New Roman" w:hAnsi="Times New Roman"/>
          <w:color w:val="000000"/>
        </w:rPr>
        <w:t xml:space="preserve">rimary training in data collection procedures is conducted at different times with three types of staff.  First, </w:t>
      </w:r>
      <w:r w:rsidR="00711AD3">
        <w:rPr>
          <w:rFonts w:ascii="Times New Roman" w:hAnsi="Times New Roman"/>
          <w:color w:val="000000"/>
        </w:rPr>
        <w:t xml:space="preserve">U.S. </w:t>
      </w:r>
      <w:r w:rsidR="006C1EC5">
        <w:rPr>
          <w:rFonts w:ascii="Times New Roman" w:hAnsi="Times New Roman"/>
          <w:color w:val="000000"/>
        </w:rPr>
        <w:t xml:space="preserve">Census Bureau </w:t>
      </w:r>
      <w:r w:rsidR="00835B40">
        <w:rPr>
          <w:rFonts w:ascii="Times New Roman" w:hAnsi="Times New Roman"/>
          <w:color w:val="000000"/>
        </w:rPr>
        <w:t>h</w:t>
      </w:r>
      <w:r w:rsidR="006C1EC5">
        <w:rPr>
          <w:rFonts w:ascii="Times New Roman" w:hAnsi="Times New Roman"/>
          <w:color w:val="000000"/>
        </w:rPr>
        <w:t>eadquarters staff</w:t>
      </w:r>
      <w:r w:rsidR="00D256C4">
        <w:rPr>
          <w:rFonts w:ascii="Times New Roman" w:hAnsi="Times New Roman"/>
          <w:color w:val="000000"/>
        </w:rPr>
        <w:t xml:space="preserve"> </w:t>
      </w:r>
      <w:r w:rsidR="006C1EC5">
        <w:rPr>
          <w:rFonts w:ascii="Times New Roman" w:hAnsi="Times New Roman"/>
          <w:color w:val="000000"/>
        </w:rPr>
        <w:t xml:space="preserve">are responsible for training the </w:t>
      </w:r>
      <w:r w:rsidR="00835B40">
        <w:rPr>
          <w:rFonts w:ascii="Times New Roman" w:hAnsi="Times New Roman"/>
          <w:color w:val="000000"/>
        </w:rPr>
        <w:t>r</w:t>
      </w:r>
      <w:r w:rsidR="006C1EC5">
        <w:rPr>
          <w:rFonts w:ascii="Times New Roman" w:hAnsi="Times New Roman"/>
          <w:color w:val="000000"/>
        </w:rPr>
        <w:t xml:space="preserve">egional </w:t>
      </w:r>
      <w:r w:rsidR="00835B40">
        <w:rPr>
          <w:rFonts w:ascii="Times New Roman" w:hAnsi="Times New Roman"/>
          <w:color w:val="000000"/>
        </w:rPr>
        <w:t>o</w:t>
      </w:r>
      <w:r w:rsidR="006C1EC5">
        <w:rPr>
          <w:rFonts w:ascii="Times New Roman" w:hAnsi="Times New Roman"/>
          <w:color w:val="000000"/>
        </w:rPr>
        <w:t xml:space="preserve">ffice </w:t>
      </w:r>
      <w:r w:rsidR="00CC6C79">
        <w:rPr>
          <w:rFonts w:ascii="Times New Roman" w:hAnsi="Times New Roman"/>
          <w:color w:val="000000"/>
        </w:rPr>
        <w:t xml:space="preserve">(RO) </w:t>
      </w:r>
      <w:r w:rsidR="006C1EC5">
        <w:rPr>
          <w:rFonts w:ascii="Times New Roman" w:hAnsi="Times New Roman"/>
          <w:color w:val="000000"/>
        </w:rPr>
        <w:t>staff.  Second, R</w:t>
      </w:r>
      <w:r w:rsidR="00835B40">
        <w:rPr>
          <w:rFonts w:ascii="Times New Roman" w:hAnsi="Times New Roman"/>
          <w:color w:val="000000"/>
        </w:rPr>
        <w:t>O</w:t>
      </w:r>
      <w:r w:rsidR="006C1EC5">
        <w:rPr>
          <w:rFonts w:ascii="Times New Roman" w:hAnsi="Times New Roman"/>
          <w:color w:val="000000"/>
        </w:rPr>
        <w:t xml:space="preserve"> staff</w:t>
      </w:r>
      <w:r w:rsidR="00D256C4">
        <w:rPr>
          <w:rFonts w:ascii="Times New Roman" w:hAnsi="Times New Roman"/>
          <w:color w:val="000000"/>
        </w:rPr>
        <w:t xml:space="preserve"> </w:t>
      </w:r>
      <w:r w:rsidR="006C1EC5">
        <w:rPr>
          <w:rFonts w:ascii="Times New Roman" w:hAnsi="Times New Roman"/>
          <w:color w:val="000000"/>
        </w:rPr>
        <w:t xml:space="preserve">have the primary responsibility for training the </w:t>
      </w:r>
      <w:r w:rsidR="00640918">
        <w:rPr>
          <w:rFonts w:ascii="Times New Roman" w:hAnsi="Times New Roman"/>
          <w:color w:val="000000"/>
        </w:rPr>
        <w:t xml:space="preserve">third type of staff, </w:t>
      </w:r>
      <w:r w:rsidR="00835B40">
        <w:rPr>
          <w:rFonts w:ascii="Times New Roman" w:hAnsi="Times New Roman"/>
          <w:color w:val="000000"/>
        </w:rPr>
        <w:t>f</w:t>
      </w:r>
      <w:r w:rsidR="006E0F11">
        <w:rPr>
          <w:rFonts w:ascii="Times New Roman" w:hAnsi="Times New Roman"/>
          <w:color w:val="000000"/>
        </w:rPr>
        <w:t xml:space="preserve">ield </w:t>
      </w:r>
      <w:r w:rsidR="00835B40" w:rsidRPr="00CF4074">
        <w:rPr>
          <w:rFonts w:ascii="Times New Roman" w:hAnsi="Times New Roman"/>
          <w:color w:val="000000"/>
        </w:rPr>
        <w:t>r</w:t>
      </w:r>
      <w:r w:rsidR="006E0F11" w:rsidRPr="00CF4074">
        <w:rPr>
          <w:rFonts w:ascii="Times New Roman" w:hAnsi="Times New Roman"/>
          <w:color w:val="000000"/>
        </w:rPr>
        <w:t>epresentatives (</w:t>
      </w:r>
      <w:r w:rsidR="006C1EC5" w:rsidRPr="00CF4074">
        <w:rPr>
          <w:rFonts w:ascii="Times New Roman" w:hAnsi="Times New Roman"/>
          <w:color w:val="000000"/>
        </w:rPr>
        <w:t>FRs</w:t>
      </w:r>
      <w:r w:rsidR="006E0F11" w:rsidRPr="00CF4074">
        <w:rPr>
          <w:rFonts w:ascii="Times New Roman" w:hAnsi="Times New Roman"/>
          <w:color w:val="000000"/>
        </w:rPr>
        <w:t>)</w:t>
      </w:r>
      <w:r w:rsidR="00835B40" w:rsidRPr="00CF4074">
        <w:rPr>
          <w:rFonts w:ascii="Times New Roman" w:hAnsi="Times New Roman"/>
          <w:color w:val="000000"/>
        </w:rPr>
        <w:t>,</w:t>
      </w:r>
      <w:r w:rsidR="006C1EC5" w:rsidRPr="00CF4074">
        <w:rPr>
          <w:rFonts w:ascii="Times New Roman" w:hAnsi="Times New Roman"/>
          <w:color w:val="000000"/>
        </w:rPr>
        <w:t xml:space="preserve"> and for supervising physician/provider data collection activities. F</w:t>
      </w:r>
      <w:r w:rsidR="00515E0A" w:rsidRPr="00CF4074">
        <w:rPr>
          <w:rFonts w:ascii="Times New Roman" w:hAnsi="Times New Roman"/>
          <w:color w:val="000000"/>
        </w:rPr>
        <w:t>R</w:t>
      </w:r>
      <w:r w:rsidR="006C1EC5" w:rsidRPr="00CF4074">
        <w:rPr>
          <w:rFonts w:ascii="Times New Roman" w:hAnsi="Times New Roman"/>
          <w:color w:val="000000"/>
        </w:rPr>
        <w:t xml:space="preserve"> training covers the following topics: inducting the physician/provider, confidentiality, </w:t>
      </w:r>
      <w:r w:rsidR="00CF4074" w:rsidRPr="00CF4074">
        <w:rPr>
          <w:rFonts w:ascii="Times New Roman" w:hAnsi="Times New Roman"/>
          <w:color w:val="000000"/>
        </w:rPr>
        <w:t>Health Insurance Portability and Accountability Act (</w:t>
      </w:r>
      <w:r w:rsidR="006C1EC5" w:rsidRPr="00CF4074">
        <w:rPr>
          <w:rFonts w:ascii="Times New Roman" w:hAnsi="Times New Roman"/>
          <w:color w:val="000000"/>
        </w:rPr>
        <w:t>HIPAA</w:t>
      </w:r>
      <w:r w:rsidR="00CF4074" w:rsidRPr="00CF4074">
        <w:rPr>
          <w:rFonts w:ascii="Times New Roman" w:hAnsi="Times New Roman"/>
          <w:color w:val="000000"/>
        </w:rPr>
        <w:t>)</w:t>
      </w:r>
      <w:r w:rsidR="006C1EC5" w:rsidRPr="00CF4074">
        <w:rPr>
          <w:rFonts w:ascii="Times New Roman" w:hAnsi="Times New Roman"/>
          <w:color w:val="000000"/>
        </w:rPr>
        <w:t>, and medical record abstraction</w:t>
      </w:r>
      <w:r w:rsidR="006C1EC5">
        <w:rPr>
          <w:rFonts w:ascii="Times New Roman" w:hAnsi="Times New Roman"/>
          <w:color w:val="000000"/>
        </w:rPr>
        <w:t xml:space="preserve">.  FRs induct the physicians/providers and </w:t>
      </w:r>
      <w:r w:rsidR="009A508A">
        <w:rPr>
          <w:rFonts w:ascii="Times New Roman" w:hAnsi="Times New Roman"/>
          <w:color w:val="000000"/>
        </w:rPr>
        <w:t>work with</w:t>
      </w:r>
      <w:r w:rsidR="006C1EC5">
        <w:rPr>
          <w:rFonts w:ascii="Times New Roman" w:hAnsi="Times New Roman"/>
          <w:color w:val="000000"/>
        </w:rPr>
        <w:t xml:space="preserve"> the</w:t>
      </w:r>
      <w:r w:rsidR="00B138B4">
        <w:rPr>
          <w:rFonts w:ascii="Times New Roman" w:hAnsi="Times New Roman"/>
          <w:color w:val="000000"/>
        </w:rPr>
        <w:t>ir s</w:t>
      </w:r>
      <w:r w:rsidR="006C1EC5">
        <w:rPr>
          <w:rFonts w:ascii="Times New Roman" w:hAnsi="Times New Roman"/>
          <w:color w:val="000000"/>
        </w:rPr>
        <w:t>taff</w:t>
      </w:r>
      <w:r w:rsidR="00515E0A">
        <w:rPr>
          <w:rFonts w:ascii="Times New Roman" w:hAnsi="Times New Roman"/>
          <w:color w:val="000000"/>
        </w:rPr>
        <w:t>s</w:t>
      </w:r>
      <w:r w:rsidR="006C1EC5">
        <w:rPr>
          <w:rFonts w:ascii="Times New Roman" w:hAnsi="Times New Roman"/>
          <w:color w:val="000000"/>
        </w:rPr>
        <w:t xml:space="preserve"> on </w:t>
      </w:r>
      <w:r w:rsidR="009A508A">
        <w:rPr>
          <w:rFonts w:ascii="Times New Roman" w:hAnsi="Times New Roman"/>
          <w:color w:val="000000"/>
        </w:rPr>
        <w:t>generating a list of visi</w:t>
      </w:r>
      <w:r w:rsidR="00F61808">
        <w:rPr>
          <w:rFonts w:ascii="Times New Roman" w:hAnsi="Times New Roman"/>
          <w:color w:val="000000"/>
        </w:rPr>
        <w:t xml:space="preserve">ts for the appropriate randomly </w:t>
      </w:r>
      <w:r w:rsidR="009A508A">
        <w:rPr>
          <w:rFonts w:ascii="Times New Roman" w:hAnsi="Times New Roman"/>
          <w:color w:val="000000"/>
        </w:rPr>
        <w:t xml:space="preserve">assigned reporting week. </w:t>
      </w:r>
      <w:r w:rsidR="00835B40">
        <w:rPr>
          <w:rFonts w:ascii="Times New Roman" w:hAnsi="Times New Roman"/>
          <w:color w:val="000000"/>
        </w:rPr>
        <w:t xml:space="preserve"> </w:t>
      </w:r>
      <w:r w:rsidR="009A508A">
        <w:rPr>
          <w:rFonts w:ascii="Times New Roman" w:hAnsi="Times New Roman"/>
          <w:color w:val="000000"/>
        </w:rPr>
        <w:t xml:space="preserve">FRs then use this list to generate a sample of </w:t>
      </w:r>
      <w:r w:rsidR="006C1EC5">
        <w:rPr>
          <w:rFonts w:ascii="Times New Roman" w:hAnsi="Times New Roman"/>
          <w:color w:val="000000"/>
        </w:rPr>
        <w:t>visits</w:t>
      </w:r>
      <w:r w:rsidR="009A508A">
        <w:rPr>
          <w:rFonts w:ascii="Times New Roman" w:hAnsi="Times New Roman"/>
          <w:color w:val="000000"/>
        </w:rPr>
        <w:t xml:space="preserve">, and then </w:t>
      </w:r>
      <w:r w:rsidR="00BC0DFA">
        <w:rPr>
          <w:rFonts w:ascii="Times New Roman" w:hAnsi="Times New Roman"/>
          <w:color w:val="000000"/>
        </w:rPr>
        <w:t xml:space="preserve">complete the </w:t>
      </w:r>
      <w:r w:rsidR="00796D26">
        <w:rPr>
          <w:rFonts w:ascii="Times New Roman" w:hAnsi="Times New Roman"/>
          <w:color w:val="000000"/>
        </w:rPr>
        <w:t>patient record forms (</w:t>
      </w:r>
      <w:r w:rsidR="00BC0DFA">
        <w:rPr>
          <w:rFonts w:ascii="Times New Roman" w:hAnsi="Times New Roman"/>
          <w:color w:val="000000"/>
        </w:rPr>
        <w:t>PRFs</w:t>
      </w:r>
      <w:r w:rsidR="00796D26">
        <w:rPr>
          <w:rFonts w:ascii="Times New Roman" w:hAnsi="Times New Roman"/>
          <w:color w:val="000000"/>
        </w:rPr>
        <w:t>)</w:t>
      </w:r>
      <w:r w:rsidR="009A508A">
        <w:rPr>
          <w:rFonts w:ascii="Times New Roman" w:hAnsi="Times New Roman"/>
          <w:color w:val="000000"/>
        </w:rPr>
        <w:t xml:space="preserve"> from the sample</w:t>
      </w:r>
      <w:r w:rsidR="00BC0DFA">
        <w:rPr>
          <w:rFonts w:ascii="Times New Roman" w:hAnsi="Times New Roman"/>
          <w:color w:val="000000"/>
        </w:rPr>
        <w:t xml:space="preserve"> visits</w:t>
      </w:r>
      <w:r w:rsidR="009A508A">
        <w:rPr>
          <w:rFonts w:ascii="Times New Roman" w:hAnsi="Times New Roman"/>
          <w:color w:val="000000"/>
        </w:rPr>
        <w:t xml:space="preserve"> via abstraction</w:t>
      </w:r>
      <w:r w:rsidR="006C1EC5">
        <w:rPr>
          <w:rFonts w:ascii="Times New Roman" w:hAnsi="Times New Roman"/>
          <w:color w:val="000000"/>
        </w:rPr>
        <w:t>.</w:t>
      </w:r>
      <w:r w:rsidR="00F97542">
        <w:rPr>
          <w:rFonts w:ascii="Times New Roman" w:hAnsi="Times New Roman"/>
          <w:color w:val="000000"/>
        </w:rPr>
        <w:t xml:space="preserve">  </w:t>
      </w:r>
      <w:r w:rsidR="006C1EC5">
        <w:rPr>
          <w:rFonts w:ascii="Times New Roman" w:hAnsi="Times New Roman"/>
          <w:color w:val="000000"/>
        </w:rPr>
        <w:t xml:space="preserve">In preparation for each survey year, </w:t>
      </w:r>
      <w:r w:rsidR="00835B40">
        <w:rPr>
          <w:rFonts w:ascii="Times New Roman" w:hAnsi="Times New Roman"/>
          <w:color w:val="000000"/>
        </w:rPr>
        <w:t xml:space="preserve">U.S. </w:t>
      </w:r>
      <w:r w:rsidR="00FF607B">
        <w:rPr>
          <w:rFonts w:ascii="Times New Roman" w:hAnsi="Times New Roman"/>
          <w:color w:val="000000"/>
        </w:rPr>
        <w:t>Census</w:t>
      </w:r>
      <w:r w:rsidR="00835B40">
        <w:rPr>
          <w:rFonts w:ascii="Times New Roman" w:hAnsi="Times New Roman"/>
          <w:color w:val="000000"/>
        </w:rPr>
        <w:t xml:space="preserve"> Bureau</w:t>
      </w:r>
      <w:r w:rsidR="00FF607B">
        <w:rPr>
          <w:rFonts w:ascii="Times New Roman" w:hAnsi="Times New Roman"/>
          <w:color w:val="000000"/>
        </w:rPr>
        <w:t xml:space="preserve"> </w:t>
      </w:r>
      <w:r w:rsidR="006C1EC5">
        <w:rPr>
          <w:rFonts w:ascii="Times New Roman" w:hAnsi="Times New Roman"/>
          <w:color w:val="000000"/>
        </w:rPr>
        <w:t xml:space="preserve">staff provide </w:t>
      </w:r>
      <w:r w:rsidR="00B47CA2">
        <w:rPr>
          <w:rFonts w:ascii="Times New Roman" w:hAnsi="Times New Roman"/>
          <w:color w:val="000000"/>
        </w:rPr>
        <w:t>refresher</w:t>
      </w:r>
      <w:r w:rsidR="006C1EC5">
        <w:rPr>
          <w:rFonts w:ascii="Times New Roman" w:hAnsi="Times New Roman"/>
          <w:color w:val="000000"/>
        </w:rPr>
        <w:t xml:space="preserve"> training to FRs and RO staff on changes related to the forms, items, and procedures.   </w:t>
      </w:r>
    </w:p>
    <w:p w14:paraId="35539B4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378FF6E" w14:textId="1B19AD9B"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Throughout the year, conference calls are held among Ambulatory and </w:t>
      </w:r>
      <w:r w:rsidR="009852B7">
        <w:rPr>
          <w:rFonts w:ascii="Times New Roman" w:hAnsi="Times New Roman"/>
          <w:color w:val="000000"/>
        </w:rPr>
        <w:t xml:space="preserve">Hospital </w:t>
      </w:r>
      <w:r>
        <w:rPr>
          <w:rFonts w:ascii="Times New Roman" w:hAnsi="Times New Roman"/>
          <w:color w:val="000000"/>
        </w:rPr>
        <w:t xml:space="preserve">Care Statistics Branch (AHCSB) staff, </w:t>
      </w:r>
      <w:r w:rsidR="00835B40">
        <w:rPr>
          <w:rFonts w:ascii="Times New Roman" w:hAnsi="Times New Roman"/>
          <w:color w:val="000000"/>
        </w:rPr>
        <w:t xml:space="preserve">U.S. </w:t>
      </w:r>
      <w:r>
        <w:rPr>
          <w:rFonts w:ascii="Times New Roman" w:hAnsi="Times New Roman"/>
          <w:color w:val="000000"/>
        </w:rPr>
        <w:t xml:space="preserve">Census Bureau </w:t>
      </w:r>
      <w:r w:rsidR="00835B40">
        <w:rPr>
          <w:rFonts w:ascii="Times New Roman" w:hAnsi="Times New Roman"/>
          <w:color w:val="000000"/>
        </w:rPr>
        <w:t>h</w:t>
      </w:r>
      <w:r>
        <w:rPr>
          <w:rFonts w:ascii="Times New Roman" w:hAnsi="Times New Roman"/>
          <w:color w:val="000000"/>
        </w:rPr>
        <w:t xml:space="preserve">eadquarters staff, Census </w:t>
      </w:r>
      <w:r w:rsidR="00835B40">
        <w:rPr>
          <w:rFonts w:ascii="Times New Roman" w:hAnsi="Times New Roman"/>
          <w:color w:val="000000"/>
        </w:rPr>
        <w:t>f</w:t>
      </w:r>
      <w:r>
        <w:rPr>
          <w:rFonts w:ascii="Times New Roman" w:hAnsi="Times New Roman"/>
          <w:color w:val="000000"/>
        </w:rPr>
        <w:t xml:space="preserve">ield </w:t>
      </w:r>
      <w:r w:rsidR="00835B40">
        <w:rPr>
          <w:rFonts w:ascii="Times New Roman" w:hAnsi="Times New Roman"/>
          <w:color w:val="000000"/>
        </w:rPr>
        <w:t>d</w:t>
      </w:r>
      <w:r>
        <w:rPr>
          <w:rFonts w:ascii="Times New Roman" w:hAnsi="Times New Roman"/>
          <w:color w:val="000000"/>
        </w:rPr>
        <w:t>ivision staff, and NAMCS supervisory staff from all of the ROs to discuss issues relevant to the ongoing NAMCS data collection.</w:t>
      </w:r>
      <w:r w:rsidR="00A945EF">
        <w:rPr>
          <w:rFonts w:ascii="Times New Roman" w:hAnsi="Times New Roman"/>
          <w:color w:val="000000"/>
        </w:rPr>
        <w:t xml:space="preserve">  </w:t>
      </w:r>
    </w:p>
    <w:p w14:paraId="33EC1CD7" w14:textId="77777777" w:rsidR="00A7530C" w:rsidRPr="003B131F" w:rsidRDefault="00A7530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41B43F1" w14:textId="187C7CFF" w:rsidR="00A7530C" w:rsidRDefault="00CE2415" w:rsidP="00A7530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N</w:t>
      </w:r>
      <w:r w:rsidR="00A7530C" w:rsidRPr="003B131F">
        <w:rPr>
          <w:rFonts w:ascii="Times New Roman" w:hAnsi="Times New Roman"/>
        </w:rPr>
        <w:t xml:space="preserve">ewly hired FRs </w:t>
      </w:r>
      <w:r>
        <w:rPr>
          <w:rFonts w:ascii="Times New Roman" w:hAnsi="Times New Roman"/>
        </w:rPr>
        <w:t>are</w:t>
      </w:r>
      <w:r w:rsidR="00A7530C" w:rsidRPr="003B131F">
        <w:rPr>
          <w:rFonts w:ascii="Times New Roman" w:hAnsi="Times New Roman"/>
        </w:rPr>
        <w:t xml:space="preserve"> trained on the specifics of the NAMCS survey and introduced to the automat</w:t>
      </w:r>
      <w:r w:rsidR="003B38C6">
        <w:rPr>
          <w:rFonts w:ascii="Times New Roman" w:hAnsi="Times New Roman"/>
        </w:rPr>
        <w:t>ion procedures.  As a follow-up</w:t>
      </w:r>
      <w:r w:rsidR="00A7530C" w:rsidRPr="003B131F">
        <w:rPr>
          <w:rFonts w:ascii="Times New Roman" w:hAnsi="Times New Roman"/>
        </w:rPr>
        <w:t xml:space="preserve"> in </w:t>
      </w:r>
      <w:r>
        <w:rPr>
          <w:rFonts w:ascii="Times New Roman" w:hAnsi="Times New Roman"/>
        </w:rPr>
        <w:t>annual training</w:t>
      </w:r>
      <w:r w:rsidR="00F61808">
        <w:rPr>
          <w:rFonts w:ascii="Times New Roman" w:hAnsi="Times New Roman"/>
        </w:rPr>
        <w:t>,</w:t>
      </w:r>
      <w:r w:rsidR="00A7530C" w:rsidRPr="003B131F">
        <w:rPr>
          <w:rFonts w:ascii="Times New Roman" w:hAnsi="Times New Roman"/>
        </w:rPr>
        <w:t xml:space="preserve"> all </w:t>
      </w:r>
      <w:r w:rsidR="00BC0DFA">
        <w:rPr>
          <w:rFonts w:ascii="Times New Roman" w:hAnsi="Times New Roman"/>
        </w:rPr>
        <w:t>FRs</w:t>
      </w:r>
      <w:r w:rsidR="00A7530C" w:rsidRPr="003B131F">
        <w:rPr>
          <w:rFonts w:ascii="Times New Roman" w:hAnsi="Times New Roman"/>
        </w:rPr>
        <w:t xml:space="preserve"> (including the newly hired FRs) from the </w:t>
      </w:r>
      <w:r>
        <w:rPr>
          <w:rFonts w:ascii="Times New Roman" w:hAnsi="Times New Roman"/>
        </w:rPr>
        <w:t>6</w:t>
      </w:r>
      <w:r w:rsidR="00A7530C" w:rsidRPr="003B131F">
        <w:rPr>
          <w:rFonts w:ascii="Times New Roman" w:hAnsi="Times New Roman"/>
        </w:rPr>
        <w:t xml:space="preserve"> </w:t>
      </w:r>
      <w:r w:rsidR="00BC0DFA">
        <w:rPr>
          <w:rFonts w:ascii="Times New Roman" w:hAnsi="Times New Roman"/>
        </w:rPr>
        <w:t>ROs</w:t>
      </w:r>
      <w:r w:rsidR="00A7530C" w:rsidRPr="003B131F">
        <w:rPr>
          <w:rFonts w:ascii="Times New Roman" w:hAnsi="Times New Roman"/>
        </w:rPr>
        <w:t xml:space="preserve"> across the country </w:t>
      </w:r>
      <w:r w:rsidR="00067ED9">
        <w:rPr>
          <w:rFonts w:ascii="Times New Roman" w:hAnsi="Times New Roman"/>
        </w:rPr>
        <w:t xml:space="preserve">are given refresher training that </w:t>
      </w:r>
      <w:r w:rsidR="00A7530C">
        <w:rPr>
          <w:rFonts w:ascii="Times New Roman" w:hAnsi="Times New Roman"/>
          <w:color w:val="000000"/>
        </w:rPr>
        <w:t>highlight</w:t>
      </w:r>
      <w:r w:rsidR="00067ED9">
        <w:rPr>
          <w:rFonts w:ascii="Times New Roman" w:hAnsi="Times New Roman"/>
          <w:color w:val="000000"/>
        </w:rPr>
        <w:t xml:space="preserve">s </w:t>
      </w:r>
      <w:r w:rsidR="00A7530C">
        <w:rPr>
          <w:rFonts w:ascii="Times New Roman" w:hAnsi="Times New Roman"/>
          <w:color w:val="000000"/>
        </w:rPr>
        <w:t>issues related to</w:t>
      </w:r>
      <w:r w:rsidR="00835B40">
        <w:rPr>
          <w:rFonts w:ascii="Times New Roman" w:hAnsi="Times New Roman"/>
          <w:color w:val="000000"/>
        </w:rPr>
        <w:t>:</w:t>
      </w:r>
      <w:r w:rsidR="00A7530C">
        <w:rPr>
          <w:rFonts w:ascii="Times New Roman" w:hAnsi="Times New Roman"/>
          <w:color w:val="000000"/>
        </w:rPr>
        <w:t xml:space="preserve"> (1) </w:t>
      </w:r>
      <w:r w:rsidR="00A7530C">
        <w:rPr>
          <w:rFonts w:ascii="Times New Roman" w:hAnsi="Times New Roman"/>
        </w:rPr>
        <w:t>administering the computer-based induction instruments in the field, including efforts to increase respondent participation; (2) abstracting data in the automated PRF instrument; (3) manag</w:t>
      </w:r>
      <w:r w:rsidR="00067ED9">
        <w:rPr>
          <w:rFonts w:ascii="Times New Roman" w:hAnsi="Times New Roman"/>
        </w:rPr>
        <w:t>ing</w:t>
      </w:r>
      <w:r w:rsidR="00A7530C">
        <w:rPr>
          <w:rFonts w:ascii="Times New Roman" w:hAnsi="Times New Roman"/>
        </w:rPr>
        <w:t xml:space="preserve"> NAMCS electronic cases</w:t>
      </w:r>
      <w:r w:rsidR="00BC0DFA">
        <w:rPr>
          <w:rFonts w:ascii="Times New Roman" w:hAnsi="Times New Roman"/>
        </w:rPr>
        <w:t>;</w:t>
      </w:r>
      <w:r w:rsidR="00A7530C">
        <w:rPr>
          <w:rFonts w:ascii="Times New Roman" w:hAnsi="Times New Roman"/>
        </w:rPr>
        <w:t xml:space="preserve"> and (4) addressing FR questions and concerns.  </w:t>
      </w:r>
      <w:r w:rsidR="00067ED9">
        <w:rPr>
          <w:rFonts w:ascii="Times New Roman" w:hAnsi="Times New Roman"/>
        </w:rPr>
        <w:t>Occasional n</w:t>
      </w:r>
      <w:r w:rsidR="00A7530C">
        <w:rPr>
          <w:rFonts w:ascii="Times New Roman" w:hAnsi="Times New Roman"/>
        </w:rPr>
        <w:t>ational conference</w:t>
      </w:r>
      <w:r w:rsidR="00067ED9">
        <w:rPr>
          <w:rFonts w:ascii="Times New Roman" w:hAnsi="Times New Roman"/>
        </w:rPr>
        <w:t xml:space="preserve">s, which are held when there is sufficient funding, </w:t>
      </w:r>
      <w:r w:rsidR="00A7530C">
        <w:rPr>
          <w:rFonts w:ascii="Times New Roman" w:hAnsi="Times New Roman"/>
        </w:rPr>
        <w:t xml:space="preserve">represent a unique opportunity for FRs to exchange ideas and methods on how to work on a survey that presents unique challenges not faced by other </w:t>
      </w:r>
      <w:r w:rsidR="00835B40">
        <w:rPr>
          <w:rFonts w:ascii="Times New Roman" w:hAnsi="Times New Roman"/>
        </w:rPr>
        <w:t xml:space="preserve">U.S. </w:t>
      </w:r>
      <w:r w:rsidR="00A7530C">
        <w:rPr>
          <w:rFonts w:ascii="Times New Roman" w:hAnsi="Times New Roman"/>
        </w:rPr>
        <w:t xml:space="preserve">Census </w:t>
      </w:r>
      <w:r w:rsidR="00BC0DFA">
        <w:rPr>
          <w:rFonts w:ascii="Times New Roman" w:hAnsi="Times New Roman"/>
        </w:rPr>
        <w:t xml:space="preserve">Bureau </w:t>
      </w:r>
      <w:r w:rsidR="00A7530C">
        <w:rPr>
          <w:rFonts w:ascii="Times New Roman" w:hAnsi="Times New Roman"/>
        </w:rPr>
        <w:t xml:space="preserve">FRs.  </w:t>
      </w:r>
    </w:p>
    <w:p w14:paraId="7206D2CB" w14:textId="77777777" w:rsidR="00277B1D" w:rsidRPr="00F306EE" w:rsidRDefault="00277B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14:paraId="1382F123" w14:textId="77777777" w:rsidR="006C1EC5" w:rsidRPr="00F306EE"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F306EE">
        <w:rPr>
          <w:rFonts w:ascii="Times New Roman" w:hAnsi="Times New Roman"/>
          <w:i/>
          <w:color w:val="000000"/>
        </w:rPr>
        <w:t>Initial Contact</w:t>
      </w:r>
    </w:p>
    <w:p w14:paraId="2169918D"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A018CC9" w14:textId="1739B07D" w:rsidR="006C1EC5" w:rsidRDefault="00C61A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For physicians</w:t>
      </w:r>
      <w:r w:rsidR="00AF13CA">
        <w:rPr>
          <w:rFonts w:ascii="Times New Roman" w:hAnsi="Times New Roman"/>
          <w:color w:val="000000"/>
        </w:rPr>
        <w:t xml:space="preserve"> and CHC providers</w:t>
      </w:r>
      <w:r>
        <w:rPr>
          <w:rFonts w:ascii="Times New Roman" w:hAnsi="Times New Roman"/>
          <w:color w:val="000000"/>
        </w:rPr>
        <w:t xml:space="preserve"> who will be asked to participate via data abstraction, </w:t>
      </w:r>
      <w:r w:rsidR="006C1EC5">
        <w:rPr>
          <w:rFonts w:ascii="Times New Roman" w:hAnsi="Times New Roman"/>
          <w:color w:val="000000"/>
        </w:rPr>
        <w:t>initial contact is made at varying times prior to the beginning of</w:t>
      </w:r>
      <w:r w:rsidR="00D75CDC">
        <w:rPr>
          <w:rFonts w:ascii="Times New Roman" w:hAnsi="Times New Roman"/>
          <w:color w:val="000000"/>
        </w:rPr>
        <w:t xml:space="preserve"> the</w:t>
      </w:r>
      <w:r w:rsidR="006C1EC5">
        <w:rPr>
          <w:rFonts w:ascii="Times New Roman" w:hAnsi="Times New Roman"/>
          <w:color w:val="000000"/>
        </w:rPr>
        <w:t xml:space="preserve"> NAMCS</w:t>
      </w:r>
      <w:r w:rsidR="00D75CDC">
        <w:rPr>
          <w:rFonts w:ascii="Times New Roman" w:hAnsi="Times New Roman"/>
          <w:color w:val="000000"/>
        </w:rPr>
        <w:t>-</w:t>
      </w:r>
      <w:r w:rsidR="00731666">
        <w:rPr>
          <w:rFonts w:ascii="Times New Roman" w:hAnsi="Times New Roman"/>
          <w:color w:val="000000"/>
        </w:rPr>
        <w:t>assigned reporting week for the sampled physician/CHC</w:t>
      </w:r>
      <w:r w:rsidR="001F284C">
        <w:rPr>
          <w:rFonts w:ascii="Times New Roman" w:hAnsi="Times New Roman"/>
          <w:color w:val="000000"/>
        </w:rPr>
        <w:t xml:space="preserve"> service delivery site</w:t>
      </w:r>
      <w:r w:rsidR="006C1EC5">
        <w:rPr>
          <w:rFonts w:ascii="Times New Roman" w:hAnsi="Times New Roman"/>
          <w:color w:val="000000"/>
        </w:rPr>
        <w:t xml:space="preserve">.  </w:t>
      </w:r>
      <w:r w:rsidR="00CD76E3">
        <w:rPr>
          <w:rFonts w:ascii="Times New Roman" w:hAnsi="Times New Roman"/>
          <w:color w:val="000000"/>
        </w:rPr>
        <w:t>Four</w:t>
      </w:r>
      <w:r w:rsidR="006C1EC5">
        <w:rPr>
          <w:rFonts w:ascii="Times New Roman" w:hAnsi="Times New Roman"/>
          <w:color w:val="000000"/>
        </w:rPr>
        <w:t xml:space="preserve"> weeks prior to the </w:t>
      </w:r>
      <w:r w:rsidR="003C2088">
        <w:rPr>
          <w:rFonts w:ascii="Times New Roman" w:hAnsi="Times New Roman"/>
          <w:color w:val="000000"/>
        </w:rPr>
        <w:t xml:space="preserve">CHC service site’s </w:t>
      </w:r>
      <w:r w:rsidR="001F4F15">
        <w:rPr>
          <w:rFonts w:ascii="Times New Roman" w:hAnsi="Times New Roman"/>
          <w:color w:val="000000"/>
        </w:rPr>
        <w:t xml:space="preserve">assigned data collection week, </w:t>
      </w:r>
      <w:r w:rsidR="00E5192A">
        <w:rPr>
          <w:rFonts w:ascii="Times New Roman" w:hAnsi="Times New Roman"/>
          <w:color w:val="000000"/>
        </w:rPr>
        <w:t xml:space="preserve">notification is sent to </w:t>
      </w:r>
      <w:r w:rsidR="00AF13CA">
        <w:rPr>
          <w:rFonts w:ascii="Times New Roman" w:hAnsi="Times New Roman"/>
          <w:color w:val="000000"/>
        </w:rPr>
        <w:t xml:space="preserve">the </w:t>
      </w:r>
      <w:r w:rsidR="003C2088">
        <w:rPr>
          <w:rFonts w:ascii="Times New Roman" w:hAnsi="Times New Roman"/>
          <w:color w:val="000000"/>
        </w:rPr>
        <w:t xml:space="preserve">site’s </w:t>
      </w:r>
      <w:r w:rsidR="001F284C">
        <w:rPr>
          <w:rFonts w:ascii="Times New Roman" w:hAnsi="Times New Roman"/>
          <w:color w:val="000000"/>
        </w:rPr>
        <w:t xml:space="preserve">executive/medical </w:t>
      </w:r>
      <w:r w:rsidR="006C1EC5">
        <w:rPr>
          <w:rFonts w:ascii="Times New Roman" w:hAnsi="Times New Roman"/>
          <w:color w:val="000000"/>
        </w:rPr>
        <w:t xml:space="preserve">director that his/her particular </w:t>
      </w:r>
      <w:r w:rsidR="001F284C">
        <w:rPr>
          <w:rFonts w:ascii="Times New Roman" w:hAnsi="Times New Roman"/>
          <w:color w:val="000000"/>
        </w:rPr>
        <w:t xml:space="preserve">site </w:t>
      </w:r>
      <w:r w:rsidR="00965D4E">
        <w:rPr>
          <w:rFonts w:ascii="Times New Roman" w:hAnsi="Times New Roman"/>
          <w:color w:val="000000"/>
        </w:rPr>
        <w:t>h</w:t>
      </w:r>
      <w:r w:rsidR="006C1EC5">
        <w:rPr>
          <w:rFonts w:ascii="Times New Roman" w:hAnsi="Times New Roman"/>
          <w:color w:val="000000"/>
        </w:rPr>
        <w:t xml:space="preserve">as been randomly selected to participate in NAMCS. </w:t>
      </w:r>
      <w:r w:rsidR="00F306EE">
        <w:rPr>
          <w:rFonts w:ascii="Times New Roman" w:hAnsi="Times New Roman"/>
          <w:color w:val="000000"/>
        </w:rPr>
        <w:t xml:space="preserve"> </w:t>
      </w:r>
      <w:r w:rsidR="00A90DFC">
        <w:rPr>
          <w:rFonts w:ascii="Times New Roman" w:hAnsi="Times New Roman"/>
          <w:color w:val="000000"/>
        </w:rPr>
        <w:t xml:space="preserve">In addition, </w:t>
      </w:r>
      <w:r w:rsidR="006C1EC5">
        <w:rPr>
          <w:rFonts w:ascii="Times New Roman" w:hAnsi="Times New Roman"/>
          <w:color w:val="000000"/>
        </w:rPr>
        <w:t xml:space="preserve">CHC physicians/providers also receive an introductory letter, patterned after the letter sent to office-based physicians before their assigned reporting period.  Finally, </w:t>
      </w:r>
      <w:r w:rsidR="00F306EE">
        <w:rPr>
          <w:rFonts w:ascii="Times New Roman" w:hAnsi="Times New Roman"/>
          <w:color w:val="000000"/>
        </w:rPr>
        <w:t xml:space="preserve">traditional </w:t>
      </w:r>
      <w:r w:rsidR="006C1EC5">
        <w:rPr>
          <w:rFonts w:ascii="Times New Roman" w:hAnsi="Times New Roman"/>
          <w:color w:val="000000"/>
        </w:rPr>
        <w:t xml:space="preserve">office-based physicians who have been selected to participate in the survey receive an introductory letter approximately </w:t>
      </w:r>
      <w:r w:rsidR="00CA2621">
        <w:rPr>
          <w:rFonts w:ascii="Times New Roman" w:hAnsi="Times New Roman"/>
          <w:color w:val="000000"/>
        </w:rPr>
        <w:t>2</w:t>
      </w:r>
      <w:r w:rsidR="006C1EC5">
        <w:rPr>
          <w:rFonts w:ascii="Times New Roman" w:hAnsi="Times New Roman"/>
          <w:color w:val="000000"/>
        </w:rPr>
        <w:t xml:space="preserve"> weeks before their 1</w:t>
      </w:r>
      <w:r w:rsidR="006C1EC5">
        <w:rPr>
          <w:rFonts w:ascii="Times New Roman" w:hAnsi="Times New Roman"/>
          <w:color w:val="000000"/>
        </w:rPr>
        <w:noBreakHyphen/>
        <w:t xml:space="preserve">week reporting periods are to begin.  All three types of letters are similar, signed by the Director of </w:t>
      </w:r>
      <w:r w:rsidR="00F306EE">
        <w:rPr>
          <w:rFonts w:ascii="Times New Roman" w:hAnsi="Times New Roman"/>
          <w:color w:val="000000"/>
        </w:rPr>
        <w:t>the National Center for Health Statistics (</w:t>
      </w:r>
      <w:r w:rsidR="006C1EC5">
        <w:rPr>
          <w:rFonts w:ascii="Times New Roman" w:hAnsi="Times New Roman"/>
          <w:color w:val="000000"/>
        </w:rPr>
        <w:t>NCHS</w:t>
      </w:r>
      <w:r w:rsidR="00F306EE">
        <w:rPr>
          <w:rFonts w:ascii="Times New Roman" w:hAnsi="Times New Roman"/>
          <w:color w:val="000000"/>
        </w:rPr>
        <w:t>)</w:t>
      </w:r>
      <w:r w:rsidR="006C1EC5">
        <w:rPr>
          <w:rFonts w:ascii="Times New Roman" w:hAnsi="Times New Roman"/>
          <w:color w:val="000000"/>
        </w:rPr>
        <w:t>, and explain the basics of the survey.  Specifically, the letters</w:t>
      </w:r>
      <w:r w:rsidR="00F306EE">
        <w:rPr>
          <w:rFonts w:ascii="Times New Roman" w:hAnsi="Times New Roman"/>
          <w:color w:val="000000"/>
        </w:rPr>
        <w:t>:</w:t>
      </w:r>
      <w:r w:rsidR="006C1EC5">
        <w:rPr>
          <w:rFonts w:ascii="Times New Roman" w:hAnsi="Times New Roman"/>
          <w:color w:val="000000"/>
        </w:rPr>
        <w:t xml:space="preserve"> </w:t>
      </w:r>
      <w:r w:rsidR="001F7084">
        <w:rPr>
          <w:rFonts w:ascii="Times New Roman" w:hAnsi="Times New Roman"/>
          <w:color w:val="000000"/>
        </w:rPr>
        <w:t xml:space="preserve">(1) </w:t>
      </w:r>
      <w:r w:rsidR="006C1EC5">
        <w:rPr>
          <w:rFonts w:ascii="Times New Roman" w:hAnsi="Times New Roman"/>
          <w:color w:val="000000"/>
        </w:rPr>
        <w:t>highlight</w:t>
      </w:r>
      <w:r w:rsidR="001F7084">
        <w:rPr>
          <w:rFonts w:ascii="Times New Roman" w:hAnsi="Times New Roman"/>
          <w:color w:val="000000"/>
        </w:rPr>
        <w:t xml:space="preserve"> </w:t>
      </w:r>
      <w:r w:rsidR="006C1EC5">
        <w:rPr>
          <w:rFonts w:ascii="Times New Roman" w:hAnsi="Times New Roman"/>
          <w:color w:val="000000"/>
        </w:rPr>
        <w:t>the voluntary nature of participation</w:t>
      </w:r>
      <w:r w:rsidR="00A67C98">
        <w:rPr>
          <w:rFonts w:ascii="Times New Roman" w:hAnsi="Times New Roman"/>
          <w:color w:val="000000"/>
        </w:rPr>
        <w:t>;</w:t>
      </w:r>
      <w:r w:rsidR="006C1EC5">
        <w:rPr>
          <w:rFonts w:ascii="Times New Roman" w:hAnsi="Times New Roman"/>
          <w:color w:val="000000"/>
        </w:rPr>
        <w:t xml:space="preserve"> (2) </w:t>
      </w:r>
      <w:r w:rsidR="000D36CC">
        <w:rPr>
          <w:rFonts w:ascii="Times New Roman" w:hAnsi="Times New Roman"/>
          <w:color w:val="000000"/>
        </w:rPr>
        <w:t xml:space="preserve">describe </w:t>
      </w:r>
      <w:r w:rsidR="006C1EC5">
        <w:rPr>
          <w:rFonts w:ascii="Times New Roman" w:hAnsi="Times New Roman"/>
          <w:color w:val="000000"/>
        </w:rPr>
        <w:t>the planned contact with a representative from the</w:t>
      </w:r>
      <w:r w:rsidR="00A67C98">
        <w:rPr>
          <w:rFonts w:ascii="Times New Roman" w:hAnsi="Times New Roman"/>
          <w:color w:val="000000"/>
        </w:rPr>
        <w:t xml:space="preserve"> </w:t>
      </w:r>
      <w:r w:rsidR="00F306EE">
        <w:rPr>
          <w:rFonts w:ascii="Times New Roman" w:hAnsi="Times New Roman"/>
          <w:color w:val="000000"/>
        </w:rPr>
        <w:t xml:space="preserve">U.S. </w:t>
      </w:r>
      <w:r w:rsidR="00A67C98">
        <w:rPr>
          <w:rFonts w:ascii="Times New Roman" w:hAnsi="Times New Roman"/>
          <w:color w:val="000000"/>
        </w:rPr>
        <w:t>Census</w:t>
      </w:r>
      <w:r w:rsidR="006C1EC5">
        <w:rPr>
          <w:rFonts w:ascii="Times New Roman" w:hAnsi="Times New Roman"/>
          <w:color w:val="000000"/>
        </w:rPr>
        <w:t xml:space="preserve"> Bureau who will act as NCHS data collection agent</w:t>
      </w:r>
      <w:r w:rsidR="00A67C98">
        <w:rPr>
          <w:rFonts w:ascii="Times New Roman" w:hAnsi="Times New Roman"/>
          <w:color w:val="000000"/>
        </w:rPr>
        <w:t>;</w:t>
      </w:r>
      <w:r w:rsidR="000D36CC">
        <w:rPr>
          <w:rFonts w:ascii="Times New Roman" w:hAnsi="Times New Roman"/>
          <w:color w:val="000000"/>
        </w:rPr>
        <w:t xml:space="preserve"> </w:t>
      </w:r>
      <w:r w:rsidR="006C1EC5">
        <w:rPr>
          <w:rFonts w:ascii="Times New Roman" w:hAnsi="Times New Roman"/>
          <w:color w:val="000000"/>
        </w:rPr>
        <w:t xml:space="preserve">and (3) provide additional instructions and support.  </w:t>
      </w:r>
      <w:r w:rsidR="006C1EC5" w:rsidRPr="000952F0">
        <w:rPr>
          <w:rFonts w:ascii="Times New Roman" w:hAnsi="Times New Roman"/>
          <w:color w:val="000000"/>
        </w:rPr>
        <w:t xml:space="preserve">See </w:t>
      </w:r>
      <w:r w:rsidR="00B93315" w:rsidRPr="00F13B3F">
        <w:rPr>
          <w:rFonts w:ascii="Times New Roman" w:hAnsi="Times New Roman"/>
          <w:b/>
          <w:color w:val="000000"/>
        </w:rPr>
        <w:t xml:space="preserve">Attachment </w:t>
      </w:r>
      <w:r w:rsidR="00174FAC" w:rsidRPr="00F13B3F">
        <w:rPr>
          <w:rFonts w:ascii="Times New Roman" w:hAnsi="Times New Roman"/>
          <w:b/>
          <w:color w:val="000000"/>
        </w:rPr>
        <w:t>K</w:t>
      </w:r>
      <w:r w:rsidR="0048291F">
        <w:rPr>
          <w:rFonts w:ascii="Times New Roman" w:hAnsi="Times New Roman"/>
          <w:b/>
          <w:color w:val="000000"/>
        </w:rPr>
        <w:t>1</w:t>
      </w:r>
      <w:r w:rsidR="00F61808">
        <w:rPr>
          <w:rFonts w:ascii="Times New Roman" w:hAnsi="Times New Roman"/>
          <w:b/>
          <w:color w:val="000000"/>
        </w:rPr>
        <w:t xml:space="preserve"> </w:t>
      </w:r>
      <w:r w:rsidR="006C1EC5">
        <w:rPr>
          <w:rFonts w:ascii="Times New Roman" w:hAnsi="Times New Roman"/>
          <w:color w:val="000000"/>
        </w:rPr>
        <w:t>for copies of all three types of letters</w:t>
      </w:r>
      <w:r w:rsidR="00095A79">
        <w:rPr>
          <w:rFonts w:ascii="Times New Roman" w:hAnsi="Times New Roman"/>
          <w:color w:val="000000"/>
        </w:rPr>
        <w:t xml:space="preserve"> that </w:t>
      </w:r>
      <w:r w:rsidR="00A9188C">
        <w:rPr>
          <w:rFonts w:ascii="Times New Roman" w:hAnsi="Times New Roman"/>
          <w:color w:val="000000"/>
        </w:rPr>
        <w:t>w</w:t>
      </w:r>
      <w:r w:rsidR="00AC4DCB">
        <w:rPr>
          <w:rFonts w:ascii="Times New Roman" w:hAnsi="Times New Roman"/>
          <w:color w:val="000000"/>
        </w:rPr>
        <w:t>ere</w:t>
      </w:r>
      <w:r w:rsidR="00A9188C">
        <w:rPr>
          <w:rFonts w:ascii="Times New Roman" w:hAnsi="Times New Roman"/>
          <w:color w:val="000000"/>
        </w:rPr>
        <w:t xml:space="preserve"> </w:t>
      </w:r>
      <w:r w:rsidR="00095A79">
        <w:rPr>
          <w:rFonts w:ascii="Times New Roman" w:hAnsi="Times New Roman"/>
          <w:color w:val="000000"/>
        </w:rPr>
        <w:t>utilized in 201</w:t>
      </w:r>
      <w:r w:rsidR="00AC4DCB">
        <w:rPr>
          <w:rFonts w:ascii="Times New Roman" w:hAnsi="Times New Roman"/>
          <w:color w:val="000000"/>
        </w:rPr>
        <w:t>8</w:t>
      </w:r>
      <w:r w:rsidR="00095A79">
        <w:rPr>
          <w:rFonts w:ascii="Times New Roman" w:hAnsi="Times New Roman"/>
          <w:color w:val="000000"/>
        </w:rPr>
        <w:t xml:space="preserve">.  </w:t>
      </w:r>
      <w:r w:rsidR="00642392">
        <w:rPr>
          <w:rFonts w:ascii="Times New Roman" w:hAnsi="Times New Roman"/>
          <w:color w:val="000000"/>
        </w:rPr>
        <w:t xml:space="preserve"> </w:t>
      </w:r>
      <w:r w:rsidR="00E07CC7">
        <w:rPr>
          <w:rFonts w:ascii="Times New Roman" w:hAnsi="Times New Roman"/>
          <w:color w:val="000000"/>
        </w:rPr>
        <w:t xml:space="preserve">The first letter in the attachment is </w:t>
      </w:r>
      <w:r w:rsidR="000013C0">
        <w:rPr>
          <w:rFonts w:ascii="Times New Roman" w:hAnsi="Times New Roman"/>
          <w:color w:val="000000"/>
        </w:rPr>
        <w:t xml:space="preserve">intended for office-based </w:t>
      </w:r>
      <w:r w:rsidR="005B1763">
        <w:rPr>
          <w:rFonts w:ascii="Times New Roman" w:hAnsi="Times New Roman"/>
          <w:color w:val="000000"/>
        </w:rPr>
        <w:t>physicians,</w:t>
      </w:r>
      <w:r w:rsidR="00416148">
        <w:rPr>
          <w:rFonts w:ascii="Times New Roman" w:hAnsi="Times New Roman"/>
          <w:color w:val="000000"/>
        </w:rPr>
        <w:t xml:space="preserve"> </w:t>
      </w:r>
      <w:r w:rsidR="000013C0">
        <w:rPr>
          <w:rFonts w:ascii="Times New Roman" w:hAnsi="Times New Roman"/>
          <w:color w:val="000000"/>
        </w:rPr>
        <w:t xml:space="preserve">the second is </w:t>
      </w:r>
      <w:r w:rsidR="00416148">
        <w:rPr>
          <w:rFonts w:ascii="Times New Roman" w:hAnsi="Times New Roman"/>
          <w:color w:val="000000"/>
        </w:rPr>
        <w:t xml:space="preserve">for CHC providers, and the third letter is given to CHC executive/medical directors.  </w:t>
      </w:r>
      <w:r w:rsidR="00C55512" w:rsidRPr="00C55512">
        <w:rPr>
          <w:rFonts w:ascii="Times New Roman" w:hAnsi="Times New Roman"/>
          <w:b/>
          <w:color w:val="000000"/>
        </w:rPr>
        <w:t>Attachment K</w:t>
      </w:r>
      <w:r w:rsidR="0048291F">
        <w:rPr>
          <w:rFonts w:ascii="Times New Roman" w:hAnsi="Times New Roman"/>
          <w:b/>
          <w:color w:val="000000"/>
        </w:rPr>
        <w:t>2</w:t>
      </w:r>
      <w:r w:rsidR="00C55512">
        <w:rPr>
          <w:rFonts w:ascii="Times New Roman" w:hAnsi="Times New Roman"/>
          <w:color w:val="000000"/>
        </w:rPr>
        <w:t xml:space="preserve"> </w:t>
      </w:r>
      <w:r w:rsidR="00095A79">
        <w:rPr>
          <w:rFonts w:ascii="Times New Roman" w:hAnsi="Times New Roman"/>
          <w:color w:val="000000"/>
        </w:rPr>
        <w:t>is included in this</w:t>
      </w:r>
      <w:r w:rsidR="00C55512">
        <w:rPr>
          <w:rFonts w:ascii="Times New Roman" w:hAnsi="Times New Roman"/>
          <w:color w:val="000000"/>
        </w:rPr>
        <w:t xml:space="preserve"> OMB submission</w:t>
      </w:r>
      <w:r w:rsidR="00095A79">
        <w:rPr>
          <w:rFonts w:ascii="Times New Roman" w:hAnsi="Times New Roman"/>
          <w:color w:val="000000"/>
        </w:rPr>
        <w:t xml:space="preserve"> and </w:t>
      </w:r>
      <w:r w:rsidR="00C55512">
        <w:rPr>
          <w:rFonts w:ascii="Times New Roman" w:hAnsi="Times New Roman"/>
          <w:color w:val="000000"/>
        </w:rPr>
        <w:t xml:space="preserve">contains </w:t>
      </w:r>
      <w:r w:rsidR="00C93D44">
        <w:rPr>
          <w:rFonts w:ascii="Times New Roman" w:hAnsi="Times New Roman"/>
          <w:color w:val="000000"/>
        </w:rPr>
        <w:t>copies of the 2019 same</w:t>
      </w:r>
      <w:r w:rsidR="00C55512">
        <w:rPr>
          <w:rFonts w:ascii="Times New Roman" w:hAnsi="Times New Roman"/>
          <w:color w:val="000000"/>
        </w:rPr>
        <w:t xml:space="preserve"> three types of letters described above.  The only difference between the 2018 and 2019 letters is that</w:t>
      </w:r>
      <w:r w:rsidR="00C86AD0">
        <w:rPr>
          <w:rFonts w:ascii="Times New Roman" w:hAnsi="Times New Roman"/>
          <w:color w:val="000000"/>
        </w:rPr>
        <w:t xml:space="preserve"> we (1) </w:t>
      </w:r>
      <w:r w:rsidR="00B23313">
        <w:rPr>
          <w:rFonts w:ascii="Times New Roman" w:hAnsi="Times New Roman"/>
          <w:color w:val="000000"/>
        </w:rPr>
        <w:t xml:space="preserve">added a few words </w:t>
      </w:r>
      <w:r w:rsidR="00EB4CCA">
        <w:rPr>
          <w:rFonts w:ascii="Times New Roman" w:hAnsi="Times New Roman"/>
          <w:color w:val="000000"/>
        </w:rPr>
        <w:t xml:space="preserve">throughout </w:t>
      </w:r>
      <w:r w:rsidR="00DA10C6">
        <w:rPr>
          <w:rFonts w:ascii="Times New Roman" w:hAnsi="Times New Roman"/>
          <w:color w:val="000000"/>
        </w:rPr>
        <w:t xml:space="preserve">the </w:t>
      </w:r>
      <w:r w:rsidR="00EB4CCA">
        <w:rPr>
          <w:rFonts w:ascii="Times New Roman" w:hAnsi="Times New Roman"/>
          <w:color w:val="000000"/>
        </w:rPr>
        <w:t xml:space="preserve">text </w:t>
      </w:r>
      <w:r w:rsidR="00B23313">
        <w:rPr>
          <w:rFonts w:ascii="Times New Roman" w:hAnsi="Times New Roman"/>
          <w:color w:val="000000"/>
        </w:rPr>
        <w:t>for enhanced clarity,</w:t>
      </w:r>
      <w:r w:rsidR="00C86AD0">
        <w:rPr>
          <w:rFonts w:ascii="Times New Roman" w:hAnsi="Times New Roman"/>
          <w:color w:val="000000"/>
        </w:rPr>
        <w:t xml:space="preserve"> (2) removed </w:t>
      </w:r>
      <w:r w:rsidR="00B23313">
        <w:rPr>
          <w:rFonts w:ascii="Times New Roman" w:hAnsi="Times New Roman"/>
          <w:color w:val="000000"/>
        </w:rPr>
        <w:t xml:space="preserve">a </w:t>
      </w:r>
      <w:r w:rsidR="00C86AD0">
        <w:rPr>
          <w:rFonts w:ascii="Times New Roman" w:hAnsi="Times New Roman"/>
          <w:color w:val="000000"/>
        </w:rPr>
        <w:t xml:space="preserve">reference to </w:t>
      </w:r>
      <w:r w:rsidR="00C55512">
        <w:rPr>
          <w:rFonts w:ascii="Times New Roman" w:hAnsi="Times New Roman"/>
          <w:color w:val="000000"/>
        </w:rPr>
        <w:t>the Federal Cybersecurity Act</w:t>
      </w:r>
      <w:r w:rsidR="00C86AD0">
        <w:rPr>
          <w:rFonts w:ascii="Times New Roman" w:hAnsi="Times New Roman"/>
          <w:color w:val="000000"/>
        </w:rPr>
        <w:t>, and (3) added the most recent</w:t>
      </w:r>
      <w:r w:rsidR="00B23313">
        <w:rPr>
          <w:rFonts w:ascii="Times New Roman" w:hAnsi="Times New Roman"/>
          <w:color w:val="000000"/>
        </w:rPr>
        <w:t>ly</w:t>
      </w:r>
      <w:r w:rsidR="00C86AD0">
        <w:rPr>
          <w:rFonts w:ascii="Times New Roman" w:hAnsi="Times New Roman"/>
          <w:color w:val="000000"/>
        </w:rPr>
        <w:t xml:space="preserve"> </w:t>
      </w:r>
      <w:r w:rsidR="00B23313">
        <w:rPr>
          <w:rFonts w:ascii="Times New Roman" w:hAnsi="Times New Roman"/>
          <w:color w:val="000000"/>
        </w:rPr>
        <w:t xml:space="preserve">approved </w:t>
      </w:r>
      <w:r w:rsidR="00C86AD0">
        <w:rPr>
          <w:rFonts w:ascii="Times New Roman" w:hAnsi="Times New Roman"/>
          <w:color w:val="000000"/>
        </w:rPr>
        <w:t>confidentiality language.</w:t>
      </w:r>
      <w:r w:rsidR="00C93D44">
        <w:rPr>
          <w:rFonts w:ascii="Times New Roman" w:hAnsi="Times New Roman"/>
          <w:color w:val="000000"/>
        </w:rPr>
        <w:t xml:space="preserve">  </w:t>
      </w:r>
      <w:r w:rsidR="00F10FEB">
        <w:rPr>
          <w:rFonts w:ascii="Times New Roman" w:hAnsi="Times New Roman"/>
          <w:color w:val="000000"/>
        </w:rPr>
        <w:t>S</w:t>
      </w:r>
      <w:r w:rsidR="008879DD">
        <w:rPr>
          <w:rFonts w:ascii="Times New Roman" w:hAnsi="Times New Roman"/>
          <w:color w:val="000000"/>
        </w:rPr>
        <w:t>ince the language associated with the Federal Cybersecurity Act was deleted from the letters, the associated FAQ page</w:t>
      </w:r>
      <w:r w:rsidR="001562A7">
        <w:rPr>
          <w:rFonts w:ascii="Times New Roman" w:hAnsi="Times New Roman"/>
          <w:color w:val="000000"/>
        </w:rPr>
        <w:t xml:space="preserve"> (</w:t>
      </w:r>
      <w:r w:rsidR="008879DD">
        <w:rPr>
          <w:rFonts w:ascii="Times New Roman" w:hAnsi="Times New Roman"/>
          <w:color w:val="000000"/>
        </w:rPr>
        <w:t xml:space="preserve">that was included with each </w:t>
      </w:r>
      <w:r w:rsidR="005B1056">
        <w:rPr>
          <w:rFonts w:ascii="Times New Roman" w:hAnsi="Times New Roman"/>
          <w:color w:val="000000"/>
        </w:rPr>
        <w:t>advance</w:t>
      </w:r>
      <w:r w:rsidR="008879DD">
        <w:rPr>
          <w:rFonts w:ascii="Times New Roman" w:hAnsi="Times New Roman"/>
          <w:color w:val="000000"/>
        </w:rPr>
        <w:t xml:space="preserve"> letter in 2018</w:t>
      </w:r>
      <w:r w:rsidR="001562A7">
        <w:rPr>
          <w:rFonts w:ascii="Times New Roman" w:hAnsi="Times New Roman"/>
          <w:color w:val="000000"/>
        </w:rPr>
        <w:t xml:space="preserve">) has </w:t>
      </w:r>
      <w:r w:rsidR="008879DD">
        <w:rPr>
          <w:rFonts w:ascii="Times New Roman" w:hAnsi="Times New Roman"/>
          <w:color w:val="000000"/>
        </w:rPr>
        <w:t xml:space="preserve">also </w:t>
      </w:r>
      <w:r w:rsidR="001562A7">
        <w:rPr>
          <w:rFonts w:ascii="Times New Roman" w:hAnsi="Times New Roman"/>
          <w:color w:val="000000"/>
        </w:rPr>
        <w:t xml:space="preserve">been </w:t>
      </w:r>
      <w:r w:rsidR="008879DD">
        <w:rPr>
          <w:rFonts w:ascii="Times New Roman" w:hAnsi="Times New Roman"/>
          <w:color w:val="000000"/>
        </w:rPr>
        <w:t xml:space="preserve">discontinued </w:t>
      </w:r>
      <w:r w:rsidR="00F10FEB">
        <w:rPr>
          <w:rFonts w:ascii="Times New Roman" w:hAnsi="Times New Roman"/>
          <w:color w:val="000000"/>
        </w:rPr>
        <w:t xml:space="preserve">for 2019 </w:t>
      </w:r>
      <w:r w:rsidR="008879DD">
        <w:rPr>
          <w:rFonts w:ascii="Times New Roman" w:hAnsi="Times New Roman"/>
          <w:color w:val="000000"/>
        </w:rPr>
        <w:t>(</w:t>
      </w:r>
      <w:r w:rsidR="008879DD" w:rsidRPr="008879DD">
        <w:rPr>
          <w:rFonts w:ascii="Times New Roman" w:hAnsi="Times New Roman"/>
          <w:b/>
          <w:color w:val="000000"/>
        </w:rPr>
        <w:t>Attachment R</w:t>
      </w:r>
      <w:r w:rsidR="008879DD">
        <w:rPr>
          <w:rFonts w:ascii="Times New Roman" w:hAnsi="Times New Roman"/>
          <w:color w:val="000000"/>
        </w:rPr>
        <w:t xml:space="preserve">).  </w:t>
      </w:r>
      <w:r w:rsidR="006C2C91">
        <w:rPr>
          <w:rFonts w:ascii="Times New Roman" w:hAnsi="Times New Roman"/>
          <w:color w:val="000000"/>
        </w:rPr>
        <w:t>The letter sent to sampled NAMCS participants contains endorsing letters from specialty medical colleges and/or associations corresponding to the physician’s particular specialty</w:t>
      </w:r>
      <w:r w:rsidR="00B36A86">
        <w:rPr>
          <w:rFonts w:ascii="Times New Roman" w:hAnsi="Times New Roman"/>
          <w:color w:val="000000"/>
        </w:rPr>
        <w:t>.</w:t>
      </w:r>
      <w:r w:rsidR="006C2C91">
        <w:rPr>
          <w:rFonts w:ascii="Times New Roman" w:hAnsi="Times New Roman"/>
          <w:color w:val="000000"/>
        </w:rPr>
        <w:t xml:space="preserve"> In addition, w</w:t>
      </w:r>
      <w:r w:rsidR="006C1EC5">
        <w:rPr>
          <w:rFonts w:ascii="Times New Roman" w:hAnsi="Times New Roman"/>
          <w:color w:val="000000"/>
        </w:rPr>
        <w:t xml:space="preserve">e include a motivational insert </w:t>
      </w:r>
      <w:r w:rsidR="00177ACD" w:rsidRPr="00B36A86">
        <w:rPr>
          <w:rFonts w:ascii="Times New Roman" w:hAnsi="Times New Roman"/>
          <w:color w:val="000000"/>
        </w:rPr>
        <w:t>(</w:t>
      </w:r>
      <w:r w:rsidR="00177ACD" w:rsidRPr="006B7B33">
        <w:rPr>
          <w:rFonts w:ascii="Times New Roman" w:hAnsi="Times New Roman"/>
          <w:b/>
          <w:color w:val="000000"/>
        </w:rPr>
        <w:t xml:space="preserve">Attachment </w:t>
      </w:r>
      <w:r w:rsidR="00B36A86" w:rsidRPr="006B7B33">
        <w:rPr>
          <w:rFonts w:ascii="Times New Roman" w:hAnsi="Times New Roman"/>
          <w:b/>
          <w:color w:val="000000"/>
        </w:rPr>
        <w:t>L</w:t>
      </w:r>
      <w:r w:rsidR="00177ACD" w:rsidRPr="00B36A86">
        <w:rPr>
          <w:rFonts w:ascii="Times New Roman" w:hAnsi="Times New Roman"/>
          <w:color w:val="000000"/>
        </w:rPr>
        <w:t>)</w:t>
      </w:r>
      <w:r w:rsidR="00177ACD">
        <w:rPr>
          <w:rFonts w:ascii="Times New Roman" w:hAnsi="Times New Roman"/>
          <w:color w:val="000000"/>
        </w:rPr>
        <w:t xml:space="preserve"> </w:t>
      </w:r>
      <w:r w:rsidR="006C1EC5">
        <w:rPr>
          <w:rFonts w:ascii="Times New Roman" w:hAnsi="Times New Roman"/>
          <w:color w:val="000000"/>
        </w:rPr>
        <w:t xml:space="preserve">with the introductory letter.  This short brochure contains reasons for participation, and questions and answers on confidentiality issues including the HIPAA Privacy Rule.  </w:t>
      </w:r>
    </w:p>
    <w:p w14:paraId="5882EE8F"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E9366FC" w14:textId="5CD42F47" w:rsidR="00C61AE1" w:rsidRDefault="006C1EC5" w:rsidP="00D7645E">
      <w:pPr>
        <w:pStyle w:val="Style0"/>
        <w:rPr>
          <w:rFonts w:ascii="Times New Roman" w:hAnsi="Times New Roman"/>
        </w:rPr>
      </w:pPr>
      <w:r w:rsidRPr="00D7645E">
        <w:rPr>
          <w:rFonts w:ascii="Times New Roman" w:hAnsi="Times New Roman"/>
        </w:rPr>
        <w:t xml:space="preserve">During the initial interview with the CHC </w:t>
      </w:r>
      <w:r w:rsidR="004C482D">
        <w:rPr>
          <w:rFonts w:ascii="Times New Roman" w:hAnsi="Times New Roman"/>
        </w:rPr>
        <w:t xml:space="preserve">site </w:t>
      </w:r>
      <w:r w:rsidRPr="00D7645E">
        <w:rPr>
          <w:rFonts w:ascii="Times New Roman" w:hAnsi="Times New Roman"/>
        </w:rPr>
        <w:t xml:space="preserve">director, a </w:t>
      </w:r>
      <w:r w:rsidR="00F306EE">
        <w:rPr>
          <w:rFonts w:ascii="Times New Roman" w:hAnsi="Times New Roman"/>
        </w:rPr>
        <w:t xml:space="preserve">U.S. </w:t>
      </w:r>
      <w:r w:rsidRPr="00D7645E">
        <w:rPr>
          <w:rFonts w:ascii="Times New Roman" w:hAnsi="Times New Roman"/>
        </w:rPr>
        <w:t>Census</w:t>
      </w:r>
      <w:r w:rsidR="00A67C98">
        <w:rPr>
          <w:rFonts w:ascii="Times New Roman" w:hAnsi="Times New Roman"/>
        </w:rPr>
        <w:t xml:space="preserve"> Bureau</w:t>
      </w:r>
      <w:r w:rsidRPr="00D7645E">
        <w:rPr>
          <w:rFonts w:ascii="Times New Roman" w:hAnsi="Times New Roman"/>
        </w:rPr>
        <w:t xml:space="preserve"> FR completes a</w:t>
      </w:r>
      <w:r w:rsidR="009B079C">
        <w:rPr>
          <w:rFonts w:ascii="Times New Roman" w:hAnsi="Times New Roman"/>
        </w:rPr>
        <w:t xml:space="preserve"> computer-</w:t>
      </w:r>
      <w:r w:rsidR="005933C0">
        <w:rPr>
          <w:rFonts w:ascii="Times New Roman" w:hAnsi="Times New Roman"/>
        </w:rPr>
        <w:t xml:space="preserve">assisted interviewing instrument, a </w:t>
      </w:r>
      <w:r w:rsidRPr="00D7645E">
        <w:rPr>
          <w:rFonts w:ascii="Times New Roman" w:hAnsi="Times New Roman"/>
        </w:rPr>
        <w:t>NAMCS-201</w:t>
      </w:r>
      <w:r w:rsidR="00642392">
        <w:rPr>
          <w:rFonts w:ascii="Times New Roman" w:hAnsi="Times New Roman"/>
        </w:rPr>
        <w:t>.  This NAMCS-201, the CHC Service Delivery Site Induction Interview,</w:t>
      </w:r>
      <w:r w:rsidR="005933C0">
        <w:rPr>
          <w:rFonts w:ascii="Times New Roman" w:hAnsi="Times New Roman"/>
        </w:rPr>
        <w:t xml:space="preserve"> represents </w:t>
      </w:r>
      <w:r w:rsidRPr="00D7645E">
        <w:rPr>
          <w:rFonts w:ascii="Times New Roman" w:hAnsi="Times New Roman"/>
        </w:rPr>
        <w:t xml:space="preserve">the CHC </w:t>
      </w:r>
      <w:r w:rsidR="00F306EE">
        <w:rPr>
          <w:rFonts w:ascii="Times New Roman" w:hAnsi="Times New Roman"/>
        </w:rPr>
        <w:t>i</w:t>
      </w:r>
      <w:r w:rsidRPr="00D7645E">
        <w:rPr>
          <w:rFonts w:ascii="Times New Roman" w:hAnsi="Times New Roman"/>
        </w:rPr>
        <w:t xml:space="preserve">nduction </w:t>
      </w:r>
      <w:r w:rsidR="00F306EE">
        <w:rPr>
          <w:rFonts w:ascii="Times New Roman" w:hAnsi="Times New Roman"/>
        </w:rPr>
        <w:t>i</w:t>
      </w:r>
      <w:r w:rsidRPr="000952F0">
        <w:rPr>
          <w:rFonts w:ascii="Times New Roman" w:hAnsi="Times New Roman"/>
        </w:rPr>
        <w:t>nterview (</w:t>
      </w:r>
      <w:r w:rsidR="00B93315" w:rsidRPr="008502D9">
        <w:rPr>
          <w:rFonts w:ascii="Times New Roman" w:hAnsi="Times New Roman"/>
          <w:b/>
        </w:rPr>
        <w:t xml:space="preserve">Attachment </w:t>
      </w:r>
      <w:r w:rsidR="00174FAC" w:rsidRPr="008502D9">
        <w:rPr>
          <w:rFonts w:ascii="Times New Roman" w:hAnsi="Times New Roman"/>
          <w:b/>
        </w:rPr>
        <w:t>E</w:t>
      </w:r>
      <w:r w:rsidR="0079420B">
        <w:rPr>
          <w:rFonts w:ascii="Times New Roman" w:hAnsi="Times New Roman"/>
          <w:b/>
        </w:rPr>
        <w:t>1</w:t>
      </w:r>
      <w:r w:rsidRPr="00B36A86">
        <w:rPr>
          <w:rFonts w:ascii="Times New Roman" w:hAnsi="Times New Roman"/>
        </w:rPr>
        <w:t>).</w:t>
      </w:r>
      <w:r w:rsidRPr="000952F0">
        <w:rPr>
          <w:rFonts w:ascii="Times New Roman" w:hAnsi="Times New Roman"/>
        </w:rPr>
        <w:t xml:space="preserve">  </w:t>
      </w:r>
      <w:r w:rsidR="009B079C">
        <w:rPr>
          <w:rFonts w:ascii="Times New Roman" w:hAnsi="Times New Roman"/>
        </w:rPr>
        <w:t xml:space="preserve">Items in the automated NAMCS-201 instrument </w:t>
      </w:r>
      <w:r w:rsidRPr="00D7645E">
        <w:rPr>
          <w:rFonts w:ascii="Times New Roman" w:hAnsi="Times New Roman"/>
        </w:rPr>
        <w:t>allow for the collection of general CHC contact information, along with the type of center</w:t>
      </w:r>
      <w:r w:rsidR="00BE4F8E">
        <w:rPr>
          <w:rFonts w:ascii="Times New Roman" w:hAnsi="Times New Roman"/>
        </w:rPr>
        <w:t>,</w:t>
      </w:r>
      <w:r w:rsidRPr="00D7645E">
        <w:rPr>
          <w:rFonts w:ascii="Times New Roman" w:hAnsi="Times New Roman"/>
        </w:rPr>
        <w:t xml:space="preserve"> sources of revenue</w:t>
      </w:r>
      <w:r w:rsidR="00BE4F8E">
        <w:rPr>
          <w:rFonts w:ascii="Times New Roman" w:hAnsi="Times New Roman"/>
        </w:rPr>
        <w:t>,</w:t>
      </w:r>
      <w:r w:rsidR="00BD0752" w:rsidRPr="00BD0752">
        <w:rPr>
          <w:rFonts w:ascii="Times New Roman" w:hAnsi="Times New Roman"/>
        </w:rPr>
        <w:t xml:space="preserve"> workforce, EHR capabilities, and payments.</w:t>
      </w:r>
      <w:r w:rsidRPr="00D7645E">
        <w:rPr>
          <w:rFonts w:ascii="Times New Roman" w:hAnsi="Times New Roman"/>
        </w:rPr>
        <w:t xml:space="preserve"> The major purpose of the </w:t>
      </w:r>
      <w:r w:rsidR="00504E65">
        <w:rPr>
          <w:rFonts w:ascii="Times New Roman" w:hAnsi="Times New Roman"/>
        </w:rPr>
        <w:t xml:space="preserve">computer-based </w:t>
      </w:r>
      <w:r w:rsidRPr="00D7645E">
        <w:rPr>
          <w:rFonts w:ascii="Times New Roman" w:hAnsi="Times New Roman"/>
        </w:rPr>
        <w:t xml:space="preserve">NAMCS-201 is to list </w:t>
      </w:r>
      <w:r w:rsidR="00F913D0">
        <w:rPr>
          <w:rFonts w:ascii="Times New Roman" w:hAnsi="Times New Roman"/>
        </w:rPr>
        <w:t xml:space="preserve">all </w:t>
      </w:r>
      <w:r w:rsidRPr="00D7645E">
        <w:rPr>
          <w:rFonts w:ascii="Times New Roman" w:hAnsi="Times New Roman"/>
        </w:rPr>
        <w:t xml:space="preserve">eligible providers at </w:t>
      </w:r>
      <w:r w:rsidR="00B12365">
        <w:rPr>
          <w:rFonts w:ascii="Times New Roman" w:hAnsi="Times New Roman"/>
        </w:rPr>
        <w:t xml:space="preserve">the sampled </w:t>
      </w:r>
      <w:r w:rsidRPr="00D7645E">
        <w:rPr>
          <w:rFonts w:ascii="Times New Roman" w:hAnsi="Times New Roman"/>
        </w:rPr>
        <w:t>location</w:t>
      </w:r>
      <w:r w:rsidR="00A71161">
        <w:rPr>
          <w:rFonts w:ascii="Times New Roman" w:hAnsi="Times New Roman"/>
        </w:rPr>
        <w:t xml:space="preserve">, including those </w:t>
      </w:r>
      <w:r w:rsidR="00E6182B">
        <w:rPr>
          <w:rFonts w:ascii="Times New Roman" w:hAnsi="Times New Roman"/>
        </w:rPr>
        <w:t xml:space="preserve">who </w:t>
      </w:r>
      <w:r w:rsidR="00A71161">
        <w:rPr>
          <w:rFonts w:ascii="Times New Roman" w:hAnsi="Times New Roman"/>
        </w:rPr>
        <w:t>will not be subjected to sampling because they are not scheduled to see patients during the CHC</w:t>
      </w:r>
      <w:r w:rsidR="009F27B3">
        <w:rPr>
          <w:rFonts w:ascii="Times New Roman" w:hAnsi="Times New Roman"/>
        </w:rPr>
        <w:t xml:space="preserve"> site’</w:t>
      </w:r>
      <w:r w:rsidR="00A71161">
        <w:rPr>
          <w:rFonts w:ascii="Times New Roman" w:hAnsi="Times New Roman"/>
        </w:rPr>
        <w:t>s sample week</w:t>
      </w:r>
      <w:r w:rsidRPr="00D7645E">
        <w:rPr>
          <w:rFonts w:ascii="Times New Roman" w:hAnsi="Times New Roman"/>
        </w:rPr>
        <w:t>.</w:t>
      </w:r>
      <w:r w:rsidR="00A71161">
        <w:rPr>
          <w:rFonts w:ascii="Times New Roman" w:hAnsi="Times New Roman"/>
        </w:rPr>
        <w:t xml:space="preserve">  </w:t>
      </w:r>
      <w:r w:rsidRPr="00D7645E">
        <w:rPr>
          <w:rFonts w:ascii="Times New Roman" w:hAnsi="Times New Roman"/>
        </w:rPr>
        <w:t xml:space="preserve">This list of providers will include </w:t>
      </w:r>
      <w:r w:rsidR="00B12365">
        <w:rPr>
          <w:rFonts w:ascii="Times New Roman" w:hAnsi="Times New Roman"/>
        </w:rPr>
        <w:t xml:space="preserve">only those </w:t>
      </w:r>
      <w:r w:rsidR="00E6182B">
        <w:rPr>
          <w:rFonts w:ascii="Times New Roman" w:hAnsi="Times New Roman"/>
        </w:rPr>
        <w:t xml:space="preserve">who </w:t>
      </w:r>
      <w:r w:rsidR="00B12365">
        <w:rPr>
          <w:rFonts w:ascii="Times New Roman" w:hAnsi="Times New Roman"/>
        </w:rPr>
        <w:t>work at the sampled service delivery site</w:t>
      </w:r>
      <w:r w:rsidRPr="00D7645E">
        <w:rPr>
          <w:rFonts w:ascii="Times New Roman" w:hAnsi="Times New Roman"/>
        </w:rPr>
        <w:t xml:space="preserve">.  School-based </w:t>
      </w:r>
      <w:r w:rsidR="00820796">
        <w:rPr>
          <w:rFonts w:ascii="Times New Roman" w:hAnsi="Times New Roman"/>
        </w:rPr>
        <w:t xml:space="preserve">CHC </w:t>
      </w:r>
      <w:r w:rsidRPr="00D7645E">
        <w:rPr>
          <w:rFonts w:ascii="Times New Roman" w:hAnsi="Times New Roman"/>
        </w:rPr>
        <w:t xml:space="preserve">locations are not eligible, as institutional and occupational settings are not within the scope of NAMCS.  When the list of providers has been supplied, the FR will select </w:t>
      </w:r>
      <w:r w:rsidR="00402063">
        <w:rPr>
          <w:rFonts w:ascii="Times New Roman" w:hAnsi="Times New Roman"/>
        </w:rPr>
        <w:t xml:space="preserve">up to </w:t>
      </w:r>
      <w:r w:rsidRPr="00D7645E">
        <w:rPr>
          <w:rFonts w:ascii="Times New Roman" w:hAnsi="Times New Roman"/>
        </w:rPr>
        <w:t xml:space="preserve">three providers to be sampled.  This selection will be proportional to </w:t>
      </w:r>
      <w:r w:rsidR="00A714C7">
        <w:rPr>
          <w:rFonts w:ascii="Times New Roman" w:hAnsi="Times New Roman"/>
        </w:rPr>
        <w:t xml:space="preserve">their expected </w:t>
      </w:r>
      <w:r w:rsidRPr="00D7645E">
        <w:rPr>
          <w:rFonts w:ascii="Times New Roman" w:hAnsi="Times New Roman"/>
        </w:rPr>
        <w:t>visit volume</w:t>
      </w:r>
      <w:r w:rsidR="00A714C7">
        <w:rPr>
          <w:rFonts w:ascii="Times New Roman" w:hAnsi="Times New Roman"/>
        </w:rPr>
        <w:t xml:space="preserve"> in the </w:t>
      </w:r>
      <w:r w:rsidR="00772189">
        <w:rPr>
          <w:rFonts w:ascii="Times New Roman" w:hAnsi="Times New Roman"/>
        </w:rPr>
        <w:t>sample week</w:t>
      </w:r>
      <w:r w:rsidRPr="00D7645E">
        <w:rPr>
          <w:rFonts w:ascii="Times New Roman" w:hAnsi="Times New Roman"/>
        </w:rPr>
        <w:t>.  The FR will then obtain the telephone numbers of the selected providers so they can be contacted and inducted.</w:t>
      </w:r>
    </w:p>
    <w:p w14:paraId="51B7F95F" w14:textId="1BDAF806" w:rsidR="00FC2CCE" w:rsidRPr="003C1678" w:rsidRDefault="00FC2CCE" w:rsidP="00FC2CCE">
      <w:pPr>
        <w:pStyle w:val="Style0"/>
        <w:rPr>
          <w:rFonts w:ascii="Times New Roman" w:hAnsi="Times New Roman"/>
          <w:i/>
        </w:rPr>
      </w:pPr>
    </w:p>
    <w:p w14:paraId="739AB971" w14:textId="77777777" w:rsidR="006C1EC5" w:rsidRPr="003C1678"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3C1678">
        <w:rPr>
          <w:rFonts w:ascii="Times New Roman" w:hAnsi="Times New Roman"/>
          <w:i/>
          <w:color w:val="000000"/>
        </w:rPr>
        <w:t>Physician/Provider Induction</w:t>
      </w:r>
    </w:p>
    <w:p w14:paraId="11C929E0"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D5839BC" w14:textId="602E5BC2" w:rsidR="006C1EC5" w:rsidRPr="00D7645E" w:rsidRDefault="006C1EC5" w:rsidP="00D7645E">
      <w:pPr>
        <w:pStyle w:val="Style0"/>
        <w:rPr>
          <w:rFonts w:ascii="Times New Roman" w:hAnsi="Times New Roman"/>
        </w:rPr>
      </w:pPr>
      <w:r w:rsidRPr="00D7645E">
        <w:rPr>
          <w:rFonts w:ascii="Times New Roman" w:hAnsi="Times New Roman"/>
        </w:rPr>
        <w:t xml:space="preserve">The </w:t>
      </w:r>
      <w:r w:rsidRPr="000952F0">
        <w:rPr>
          <w:rFonts w:ascii="Times New Roman" w:hAnsi="Times New Roman"/>
        </w:rPr>
        <w:t>introductory letter</w:t>
      </w:r>
      <w:r w:rsidR="006040D4" w:rsidRPr="000952F0">
        <w:rPr>
          <w:rFonts w:ascii="Times New Roman" w:hAnsi="Times New Roman"/>
        </w:rPr>
        <w:t xml:space="preserve"> </w:t>
      </w:r>
      <w:r w:rsidR="006040D4" w:rsidRPr="00B36A86">
        <w:rPr>
          <w:rFonts w:ascii="Times New Roman" w:hAnsi="Times New Roman"/>
        </w:rPr>
        <w:t>(</w:t>
      </w:r>
      <w:r w:rsidR="00B93315" w:rsidRPr="00447A05">
        <w:rPr>
          <w:rFonts w:ascii="Times New Roman" w:hAnsi="Times New Roman"/>
          <w:b/>
        </w:rPr>
        <w:t xml:space="preserve">Attachment </w:t>
      </w:r>
      <w:r w:rsidR="00174FAC" w:rsidRPr="00447A05">
        <w:rPr>
          <w:rFonts w:ascii="Times New Roman" w:hAnsi="Times New Roman"/>
          <w:b/>
        </w:rPr>
        <w:t>K</w:t>
      </w:r>
      <w:r w:rsidR="0048291F">
        <w:rPr>
          <w:rFonts w:ascii="Times New Roman" w:hAnsi="Times New Roman"/>
          <w:b/>
        </w:rPr>
        <w:t>2</w:t>
      </w:r>
      <w:r w:rsidR="006040D4" w:rsidRPr="00B36A86">
        <w:rPr>
          <w:rFonts w:ascii="Times New Roman" w:hAnsi="Times New Roman"/>
        </w:rPr>
        <w:t>)</w:t>
      </w:r>
      <w:r w:rsidR="006040D4" w:rsidRPr="000952F0">
        <w:rPr>
          <w:rFonts w:ascii="Times New Roman" w:hAnsi="Times New Roman"/>
        </w:rPr>
        <w:t xml:space="preserve"> </w:t>
      </w:r>
      <w:r w:rsidRPr="000952F0">
        <w:rPr>
          <w:rFonts w:ascii="Times New Roman" w:hAnsi="Times New Roman"/>
        </w:rPr>
        <w:t>to the office-based</w:t>
      </w:r>
      <w:r w:rsidRPr="00D7645E">
        <w:rPr>
          <w:rFonts w:ascii="Times New Roman" w:hAnsi="Times New Roman"/>
        </w:rPr>
        <w:t xml:space="preserve"> physician </w:t>
      </w:r>
      <w:r w:rsidR="00731666">
        <w:rPr>
          <w:rFonts w:ascii="Times New Roman" w:hAnsi="Times New Roman"/>
        </w:rPr>
        <w:t xml:space="preserve">is followed by a telephone call </w:t>
      </w:r>
      <w:r w:rsidRPr="00D7645E">
        <w:rPr>
          <w:rFonts w:ascii="Times New Roman" w:hAnsi="Times New Roman"/>
        </w:rPr>
        <w:t>from a Census Bureau FR to schedule an appointment so that the physician can be inducted into NAMCS by personal interview (</w:t>
      </w:r>
      <w:r w:rsidR="00B93315" w:rsidRPr="00FD5500">
        <w:rPr>
          <w:rFonts w:ascii="Times New Roman" w:hAnsi="Times New Roman"/>
          <w:b/>
        </w:rPr>
        <w:t>Attachment</w:t>
      </w:r>
      <w:r w:rsidR="009F7B93" w:rsidRPr="00FD5500">
        <w:rPr>
          <w:rFonts w:ascii="Times New Roman" w:hAnsi="Times New Roman"/>
          <w:b/>
        </w:rPr>
        <w:t xml:space="preserve"> </w:t>
      </w:r>
      <w:r w:rsidR="00B36A86" w:rsidRPr="00FD5500">
        <w:rPr>
          <w:rFonts w:ascii="Times New Roman" w:hAnsi="Times New Roman"/>
          <w:b/>
        </w:rPr>
        <w:t>C1</w:t>
      </w:r>
      <w:r w:rsidRPr="00B36A86">
        <w:rPr>
          <w:rFonts w:ascii="Times New Roman" w:hAnsi="Times New Roman"/>
        </w:rPr>
        <w:t>).</w:t>
      </w:r>
      <w:r w:rsidRPr="00D7645E">
        <w:rPr>
          <w:rFonts w:ascii="Times New Roman" w:hAnsi="Times New Roman"/>
        </w:rPr>
        <w:t xml:space="preserve">  Each CHC physician/provider is also inducted with a letter followed by appointment scheduling and personal interview </w:t>
      </w:r>
      <w:r w:rsidRPr="00B36A86">
        <w:rPr>
          <w:rFonts w:ascii="Times New Roman" w:hAnsi="Times New Roman"/>
        </w:rPr>
        <w:t>(</w:t>
      </w:r>
      <w:r w:rsidR="002C0BA3" w:rsidRPr="003C3DE1">
        <w:rPr>
          <w:rFonts w:ascii="Times New Roman" w:hAnsi="Times New Roman"/>
          <w:b/>
        </w:rPr>
        <w:t>Attachment</w:t>
      </w:r>
      <w:r w:rsidR="0012375C" w:rsidRPr="003C3DE1">
        <w:rPr>
          <w:rFonts w:ascii="Times New Roman" w:hAnsi="Times New Roman"/>
          <w:b/>
        </w:rPr>
        <w:t xml:space="preserve"> </w:t>
      </w:r>
      <w:r w:rsidR="002C0BA3" w:rsidRPr="003C3DE1">
        <w:rPr>
          <w:rFonts w:ascii="Times New Roman" w:hAnsi="Times New Roman"/>
          <w:b/>
        </w:rPr>
        <w:t>C</w:t>
      </w:r>
      <w:r w:rsidR="0079420B" w:rsidRPr="003C3DE1">
        <w:rPr>
          <w:rFonts w:ascii="Times New Roman" w:hAnsi="Times New Roman"/>
          <w:b/>
        </w:rPr>
        <w:t>4</w:t>
      </w:r>
      <w:r w:rsidRPr="00B36A86">
        <w:rPr>
          <w:rFonts w:ascii="Times New Roman" w:hAnsi="Times New Roman"/>
        </w:rPr>
        <w:t>).</w:t>
      </w:r>
      <w:r w:rsidRPr="00D7645E">
        <w:rPr>
          <w:rFonts w:ascii="Times New Roman" w:hAnsi="Times New Roman"/>
        </w:rPr>
        <w:t xml:space="preserve">  During the induction visit, the interviewer also instructs the physician/</w:t>
      </w:r>
      <w:r w:rsidR="0083080D">
        <w:rPr>
          <w:rFonts w:ascii="Times New Roman" w:hAnsi="Times New Roman"/>
        </w:rPr>
        <w:t xml:space="preserve">CHC </w:t>
      </w:r>
      <w:r w:rsidRPr="00D7645E">
        <w:rPr>
          <w:rFonts w:ascii="Times New Roman" w:hAnsi="Times New Roman"/>
        </w:rPr>
        <w:t>provider and staff on the sampling procedures, which vary according to how many visits the physician/</w:t>
      </w:r>
      <w:r w:rsidR="0083080D">
        <w:rPr>
          <w:rFonts w:ascii="Times New Roman" w:hAnsi="Times New Roman"/>
        </w:rPr>
        <w:t xml:space="preserve">CHC </w:t>
      </w:r>
      <w:r w:rsidRPr="00D7645E">
        <w:rPr>
          <w:rFonts w:ascii="Times New Roman" w:hAnsi="Times New Roman"/>
        </w:rPr>
        <w:t xml:space="preserve">provider expects to see during the sample week.  </w:t>
      </w:r>
      <w:r w:rsidR="00096730">
        <w:rPr>
          <w:rFonts w:ascii="Times New Roman" w:hAnsi="Times New Roman"/>
        </w:rPr>
        <w:t xml:space="preserve">Sampling only a fraction of the visits </w:t>
      </w:r>
      <w:r w:rsidRPr="00D7645E">
        <w:rPr>
          <w:rFonts w:ascii="Times New Roman" w:hAnsi="Times New Roman"/>
        </w:rPr>
        <w:t>is intended to reduce the burden to busy physicians/</w:t>
      </w:r>
      <w:r w:rsidR="00683937">
        <w:rPr>
          <w:rFonts w:ascii="Times New Roman" w:hAnsi="Times New Roman"/>
        </w:rPr>
        <w:t xml:space="preserve">CHC </w:t>
      </w:r>
      <w:r w:rsidRPr="00D7645E">
        <w:rPr>
          <w:rFonts w:ascii="Times New Roman" w:hAnsi="Times New Roman"/>
        </w:rPr>
        <w:t xml:space="preserve">providers.  </w:t>
      </w:r>
      <w:r w:rsidR="00683937">
        <w:rPr>
          <w:rFonts w:ascii="Times New Roman" w:hAnsi="Times New Roman"/>
        </w:rPr>
        <w:t>D</w:t>
      </w:r>
      <w:r w:rsidRPr="00D7645E">
        <w:rPr>
          <w:rFonts w:ascii="Times New Roman" w:hAnsi="Times New Roman"/>
        </w:rPr>
        <w:t xml:space="preserve">etailed definitions and instructions for selected PRF items are provided </w:t>
      </w:r>
      <w:r w:rsidR="00683937">
        <w:rPr>
          <w:rFonts w:ascii="Times New Roman" w:hAnsi="Times New Roman"/>
        </w:rPr>
        <w:t>as help screens in the electronic instrument.</w:t>
      </w:r>
    </w:p>
    <w:p w14:paraId="6CABC673" w14:textId="0DB65E32" w:rsidR="00731666" w:rsidRPr="00FE78F1" w:rsidRDefault="00731666">
      <w:pPr>
        <w:rPr>
          <w:i/>
        </w:rPr>
      </w:pPr>
    </w:p>
    <w:p w14:paraId="14E90C03" w14:textId="77777777" w:rsidR="006C1EC5" w:rsidRPr="00FE78F1" w:rsidRDefault="006C1EC5">
      <w:pPr>
        <w:rPr>
          <w:i/>
        </w:rPr>
      </w:pPr>
      <w:r w:rsidRPr="00FE78F1">
        <w:rPr>
          <w:i/>
        </w:rPr>
        <w:t>Data Collection</w:t>
      </w:r>
    </w:p>
    <w:p w14:paraId="4B7E87A9" w14:textId="77777777" w:rsidR="006C1EC5" w:rsidRDefault="006C1EC5"/>
    <w:p w14:paraId="50273D8E" w14:textId="0D531F01" w:rsidR="00701D18" w:rsidRPr="00A70130" w:rsidRDefault="005E4469" w:rsidP="00D7645E">
      <w:pPr>
        <w:pStyle w:val="Style0"/>
        <w:rPr>
          <w:rFonts w:ascii="Times New Roman" w:hAnsi="Times New Roman"/>
        </w:rPr>
      </w:pPr>
      <w:r>
        <w:rPr>
          <w:rFonts w:ascii="Times New Roman" w:hAnsi="Times New Roman"/>
        </w:rPr>
        <w:t>For non-registered sampled physicians, a</w:t>
      </w:r>
      <w:r w:rsidR="00EB11C4">
        <w:rPr>
          <w:rFonts w:ascii="Times New Roman" w:hAnsi="Times New Roman"/>
        </w:rPr>
        <w:t xml:space="preserve"> </w:t>
      </w:r>
      <w:r w:rsidR="001C5CBB">
        <w:rPr>
          <w:rFonts w:ascii="Times New Roman" w:hAnsi="Times New Roman"/>
        </w:rPr>
        <w:t>computer</w:t>
      </w:r>
      <w:r w:rsidR="00D90AB8">
        <w:rPr>
          <w:rFonts w:ascii="Times New Roman" w:hAnsi="Times New Roman"/>
        </w:rPr>
        <w:t>-</w:t>
      </w:r>
      <w:r w:rsidR="001C5CBB">
        <w:rPr>
          <w:rFonts w:ascii="Times New Roman" w:hAnsi="Times New Roman"/>
        </w:rPr>
        <w:t xml:space="preserve">assisted NAMCS-1 interviewing instrument </w:t>
      </w:r>
      <w:r w:rsidR="006C1EC5" w:rsidRPr="00D7645E">
        <w:rPr>
          <w:rFonts w:ascii="Times New Roman" w:hAnsi="Times New Roman"/>
        </w:rPr>
        <w:t xml:space="preserve">is completed for each sampled physician and CHC provider during the induction visit </w:t>
      </w:r>
      <w:r w:rsidR="006C1EC5" w:rsidRPr="00B36A86">
        <w:rPr>
          <w:rFonts w:ascii="Times New Roman" w:hAnsi="Times New Roman"/>
        </w:rPr>
        <w:t>(</w:t>
      </w:r>
      <w:r w:rsidR="002C0BA3" w:rsidRPr="00A34AD1">
        <w:rPr>
          <w:rFonts w:ascii="Times New Roman" w:hAnsi="Times New Roman"/>
          <w:b/>
        </w:rPr>
        <w:t xml:space="preserve">Attachments </w:t>
      </w:r>
      <w:r w:rsidR="00B36A86" w:rsidRPr="00A34AD1">
        <w:rPr>
          <w:rFonts w:ascii="Times New Roman" w:hAnsi="Times New Roman"/>
          <w:b/>
        </w:rPr>
        <w:t>C1</w:t>
      </w:r>
      <w:r w:rsidR="00A34AD1" w:rsidRPr="00A34AD1">
        <w:rPr>
          <w:rFonts w:ascii="Times New Roman" w:hAnsi="Times New Roman"/>
          <w:b/>
        </w:rPr>
        <w:t xml:space="preserve"> </w:t>
      </w:r>
      <w:r w:rsidR="00A34AD1" w:rsidRPr="00FE78F1">
        <w:rPr>
          <w:rFonts w:ascii="Times New Roman" w:hAnsi="Times New Roman"/>
        </w:rPr>
        <w:t>and</w:t>
      </w:r>
      <w:r w:rsidR="00A34AD1" w:rsidRPr="00A34AD1">
        <w:rPr>
          <w:rFonts w:ascii="Times New Roman" w:hAnsi="Times New Roman"/>
          <w:b/>
        </w:rPr>
        <w:t xml:space="preserve"> </w:t>
      </w:r>
      <w:r w:rsidR="00B36A86" w:rsidRPr="00A34AD1">
        <w:rPr>
          <w:rFonts w:ascii="Times New Roman" w:hAnsi="Times New Roman"/>
          <w:b/>
        </w:rPr>
        <w:t>C</w:t>
      </w:r>
      <w:r w:rsidR="0079420B">
        <w:rPr>
          <w:rFonts w:ascii="Times New Roman" w:hAnsi="Times New Roman"/>
          <w:b/>
        </w:rPr>
        <w:t>4</w:t>
      </w:r>
      <w:r w:rsidR="006C1EC5" w:rsidRPr="00B36A86">
        <w:rPr>
          <w:rFonts w:ascii="Times New Roman" w:hAnsi="Times New Roman"/>
        </w:rPr>
        <w:t>).</w:t>
      </w:r>
      <w:r w:rsidR="006C1EC5" w:rsidRPr="00D7645E">
        <w:rPr>
          <w:rFonts w:ascii="Times New Roman" w:hAnsi="Times New Roman"/>
        </w:rPr>
        <w:t xml:space="preserve">  As mentioned above, the questions in the first-half of the </w:t>
      </w:r>
      <w:r w:rsidR="004B331C">
        <w:rPr>
          <w:rFonts w:ascii="Times New Roman" w:hAnsi="Times New Roman"/>
        </w:rPr>
        <w:t>NAMCS-1</w:t>
      </w:r>
      <w:r w:rsidR="006C1EC5" w:rsidRPr="00D7645E">
        <w:rPr>
          <w:rFonts w:ascii="Times New Roman" w:hAnsi="Times New Roman"/>
        </w:rPr>
        <w:t xml:space="preserve"> are used to guide the FRs through the induction process and verify the physician/provider's eligibility.  The second</w:t>
      </w:r>
      <w:r w:rsidR="00A279BE">
        <w:rPr>
          <w:rFonts w:ascii="Times New Roman" w:hAnsi="Times New Roman"/>
        </w:rPr>
        <w:t xml:space="preserve"> </w:t>
      </w:r>
      <w:r w:rsidR="006C1EC5" w:rsidRPr="00D7645E">
        <w:rPr>
          <w:rFonts w:ascii="Times New Roman" w:hAnsi="Times New Roman"/>
        </w:rPr>
        <w:t>half</w:t>
      </w:r>
      <w:r w:rsidR="00616BC6">
        <w:rPr>
          <w:rFonts w:ascii="Times New Roman" w:hAnsi="Times New Roman"/>
        </w:rPr>
        <w:t xml:space="preserve"> of the</w:t>
      </w:r>
      <w:r w:rsidR="006C1EC5" w:rsidRPr="00D7645E">
        <w:rPr>
          <w:rFonts w:ascii="Times New Roman" w:hAnsi="Times New Roman"/>
        </w:rPr>
        <w:t xml:space="preserve"> </w:t>
      </w:r>
      <w:r w:rsidR="00343EB2">
        <w:rPr>
          <w:rFonts w:ascii="Times New Roman" w:hAnsi="Times New Roman"/>
        </w:rPr>
        <w:t xml:space="preserve">questions are </w:t>
      </w:r>
      <w:r w:rsidR="006C1EC5" w:rsidRPr="00D7645E">
        <w:rPr>
          <w:rFonts w:ascii="Times New Roman" w:hAnsi="Times New Roman"/>
        </w:rPr>
        <w:t>dedicated to obtaining information concerning sel</w:t>
      </w:r>
      <w:r w:rsidR="009A26B7">
        <w:rPr>
          <w:rFonts w:ascii="Times New Roman" w:hAnsi="Times New Roman"/>
        </w:rPr>
        <w:t>ected practice characteristics</w:t>
      </w:r>
      <w:r w:rsidR="00281059" w:rsidRPr="00D7645E">
        <w:rPr>
          <w:rFonts w:ascii="Times New Roman" w:hAnsi="Times New Roman"/>
        </w:rPr>
        <w:t>.</w:t>
      </w:r>
      <w:r w:rsidR="00661664">
        <w:rPr>
          <w:rFonts w:ascii="Times New Roman" w:hAnsi="Times New Roman"/>
        </w:rPr>
        <w:t xml:space="preserve"> For </w:t>
      </w:r>
      <w:r w:rsidR="00BD0752">
        <w:rPr>
          <w:rFonts w:ascii="Times New Roman" w:hAnsi="Times New Roman"/>
        </w:rPr>
        <w:t>201</w:t>
      </w:r>
      <w:r w:rsidR="00796D26">
        <w:rPr>
          <w:rFonts w:ascii="Times New Roman" w:hAnsi="Times New Roman"/>
        </w:rPr>
        <w:t>9</w:t>
      </w:r>
      <w:r w:rsidR="00661664">
        <w:rPr>
          <w:rFonts w:ascii="Times New Roman" w:hAnsi="Times New Roman"/>
        </w:rPr>
        <w:t xml:space="preserve">, we </w:t>
      </w:r>
      <w:r w:rsidR="0067773D">
        <w:rPr>
          <w:rFonts w:ascii="Times New Roman" w:hAnsi="Times New Roman"/>
        </w:rPr>
        <w:t xml:space="preserve">modified </w:t>
      </w:r>
      <w:r w:rsidR="00D90AB8">
        <w:rPr>
          <w:rFonts w:ascii="Times New Roman" w:hAnsi="Times New Roman"/>
        </w:rPr>
        <w:t>selected existing questions for clarification and to keep up-to-date with current medical practice and terminology</w:t>
      </w:r>
      <w:r w:rsidR="00B36A86">
        <w:rPr>
          <w:rFonts w:ascii="Times New Roman" w:hAnsi="Times New Roman"/>
          <w:b/>
        </w:rPr>
        <w:t xml:space="preserve">. </w:t>
      </w:r>
      <w:r w:rsidR="00796D26">
        <w:rPr>
          <w:rFonts w:ascii="Times New Roman" w:hAnsi="Times New Roman"/>
        </w:rPr>
        <w:t xml:space="preserve">In addition, to reduce burden on physicians/CHC providers, </w:t>
      </w:r>
      <w:r>
        <w:rPr>
          <w:rFonts w:ascii="Times New Roman" w:hAnsi="Times New Roman"/>
        </w:rPr>
        <w:t>s</w:t>
      </w:r>
      <w:r w:rsidR="009F38B2">
        <w:rPr>
          <w:rFonts w:ascii="Times New Roman" w:hAnsi="Times New Roman"/>
        </w:rPr>
        <w:t>urvey questions on</w:t>
      </w:r>
      <w:r w:rsidR="00796D26" w:rsidRPr="00796D26">
        <w:rPr>
          <w:rFonts w:ascii="Times New Roman" w:hAnsi="Times New Roman"/>
        </w:rPr>
        <w:t xml:space="preserve"> STI</w:t>
      </w:r>
      <w:r w:rsidR="00796D26">
        <w:rPr>
          <w:rFonts w:ascii="Times New Roman" w:hAnsi="Times New Roman"/>
        </w:rPr>
        <w:t>/</w:t>
      </w:r>
      <w:r w:rsidR="00796D26" w:rsidRPr="00796D26">
        <w:rPr>
          <w:rFonts w:ascii="Times New Roman" w:hAnsi="Times New Roman"/>
        </w:rPr>
        <w:t>HIV prevention, culturally and linguistically appropriate service</w:t>
      </w:r>
      <w:r w:rsidR="009F38B2">
        <w:rPr>
          <w:rFonts w:ascii="Times New Roman" w:hAnsi="Times New Roman"/>
        </w:rPr>
        <w:t>s</w:t>
      </w:r>
      <w:r w:rsidR="00796D26" w:rsidRPr="00796D26">
        <w:rPr>
          <w:rFonts w:ascii="Times New Roman" w:hAnsi="Times New Roman"/>
        </w:rPr>
        <w:t xml:space="preserve">, and alcohol </w:t>
      </w:r>
      <w:r w:rsidR="009F38B2">
        <w:rPr>
          <w:rFonts w:ascii="Times New Roman" w:hAnsi="Times New Roman"/>
        </w:rPr>
        <w:t>screening and brief intervention were discontinued. Furthermore</w:t>
      </w:r>
      <w:r w:rsidR="00496AF6">
        <w:rPr>
          <w:rFonts w:ascii="Times New Roman" w:hAnsi="Times New Roman"/>
        </w:rPr>
        <w:t>,</w:t>
      </w:r>
      <w:r w:rsidR="009F38B2">
        <w:rPr>
          <w:rFonts w:ascii="Times New Roman" w:hAnsi="Times New Roman"/>
        </w:rPr>
        <w:t xml:space="preserve"> the survey questions asked regarding EHR </w:t>
      </w:r>
      <w:r w:rsidR="000B650D">
        <w:rPr>
          <w:rFonts w:ascii="Times New Roman" w:hAnsi="Times New Roman"/>
        </w:rPr>
        <w:t xml:space="preserve">use and </w:t>
      </w:r>
      <w:r w:rsidR="009F38B2">
        <w:rPr>
          <w:rFonts w:ascii="Times New Roman" w:hAnsi="Times New Roman"/>
        </w:rPr>
        <w:t>capabilities were also reduced</w:t>
      </w:r>
      <w:r w:rsidR="00FE78F1">
        <w:rPr>
          <w:rFonts w:ascii="Times New Roman" w:hAnsi="Times New Roman"/>
        </w:rPr>
        <w:t xml:space="preserve"> in number</w:t>
      </w:r>
      <w:r w:rsidR="00202B7A">
        <w:rPr>
          <w:rFonts w:ascii="Times New Roman" w:hAnsi="Times New Roman"/>
        </w:rPr>
        <w:t xml:space="preserve">.  </w:t>
      </w:r>
      <w:r w:rsidR="00202B7A" w:rsidRPr="0065170D">
        <w:rPr>
          <w:rFonts w:ascii="Times New Roman" w:hAnsi="Times New Roman"/>
        </w:rPr>
        <w:t xml:space="preserve">Finally, we also increased the number of offices </w:t>
      </w:r>
      <w:r w:rsidR="006D5095" w:rsidRPr="0065170D">
        <w:rPr>
          <w:rFonts w:ascii="Times New Roman" w:hAnsi="Times New Roman"/>
        </w:rPr>
        <w:t xml:space="preserve">from </w:t>
      </w:r>
      <w:r w:rsidR="00202B7A" w:rsidRPr="0065170D">
        <w:rPr>
          <w:rFonts w:ascii="Times New Roman" w:hAnsi="Times New Roman"/>
        </w:rPr>
        <w:t xml:space="preserve">where sampled physicians can indicate they work during their pre-determined reporting week </w:t>
      </w:r>
      <w:r w:rsidR="006D5095" w:rsidRPr="0065170D">
        <w:rPr>
          <w:rFonts w:ascii="Times New Roman" w:hAnsi="Times New Roman"/>
        </w:rPr>
        <w:t xml:space="preserve">(from 5 offices to 10 offices) </w:t>
      </w:r>
      <w:r w:rsidR="00661664" w:rsidRPr="0065170D">
        <w:rPr>
          <w:rFonts w:ascii="Times New Roman" w:hAnsi="Times New Roman"/>
        </w:rPr>
        <w:t>(</w:t>
      </w:r>
      <w:r w:rsidR="00661664" w:rsidRPr="0065170D">
        <w:rPr>
          <w:rFonts w:ascii="Times New Roman" w:hAnsi="Times New Roman"/>
          <w:b/>
        </w:rPr>
        <w:t>Attachment</w:t>
      </w:r>
      <w:r w:rsidR="002C0BA3" w:rsidRPr="0065170D">
        <w:rPr>
          <w:rFonts w:ascii="Times New Roman" w:hAnsi="Times New Roman"/>
          <w:b/>
        </w:rPr>
        <w:t xml:space="preserve">s </w:t>
      </w:r>
      <w:r w:rsidR="002C0BA3">
        <w:rPr>
          <w:rFonts w:ascii="Times New Roman" w:hAnsi="Times New Roman"/>
          <w:b/>
        </w:rPr>
        <w:t>C</w:t>
      </w:r>
      <w:r w:rsidR="00AA0409">
        <w:rPr>
          <w:rFonts w:ascii="Times New Roman" w:hAnsi="Times New Roman"/>
          <w:b/>
        </w:rPr>
        <w:t>1</w:t>
      </w:r>
      <w:r w:rsidR="00AA0409" w:rsidRPr="00FE78F1">
        <w:rPr>
          <w:rFonts w:ascii="Times New Roman" w:hAnsi="Times New Roman"/>
        </w:rPr>
        <w:t xml:space="preserve"> and</w:t>
      </w:r>
      <w:r w:rsidR="00AA0409">
        <w:rPr>
          <w:rFonts w:ascii="Times New Roman" w:hAnsi="Times New Roman"/>
          <w:b/>
        </w:rPr>
        <w:t xml:space="preserve"> </w:t>
      </w:r>
      <w:r w:rsidR="00FC6C03">
        <w:rPr>
          <w:rFonts w:ascii="Times New Roman" w:hAnsi="Times New Roman"/>
          <w:b/>
        </w:rPr>
        <w:t>E1</w:t>
      </w:r>
      <w:r w:rsidR="00AA0409" w:rsidRPr="00AA0409">
        <w:rPr>
          <w:rFonts w:ascii="Times New Roman" w:hAnsi="Times New Roman"/>
        </w:rPr>
        <w:t>).</w:t>
      </w:r>
      <w:r w:rsidR="00202B7A">
        <w:rPr>
          <w:rFonts w:ascii="Times New Roman" w:hAnsi="Times New Roman"/>
        </w:rPr>
        <w:t xml:space="preserve">   </w:t>
      </w:r>
    </w:p>
    <w:p w14:paraId="0C713E4A" w14:textId="77777777" w:rsidR="006C1EC5" w:rsidRDefault="006C1EC5"/>
    <w:p w14:paraId="6F6F5E38" w14:textId="3B2E3820" w:rsidR="006C1EC5" w:rsidRPr="00D7645E" w:rsidRDefault="006C1EC5" w:rsidP="00D7645E">
      <w:pPr>
        <w:pStyle w:val="Style0"/>
        <w:rPr>
          <w:rFonts w:ascii="Times New Roman" w:hAnsi="Times New Roman"/>
        </w:rPr>
      </w:pPr>
      <w:r w:rsidRPr="00CA7621">
        <w:rPr>
          <w:rFonts w:ascii="Times New Roman" w:hAnsi="Times New Roman"/>
        </w:rPr>
        <w:t xml:space="preserve">The </w:t>
      </w:r>
      <w:r w:rsidR="00496AF6">
        <w:rPr>
          <w:rFonts w:ascii="Times New Roman" w:hAnsi="Times New Roman"/>
        </w:rPr>
        <w:t xml:space="preserve">majority </w:t>
      </w:r>
      <w:r w:rsidRPr="00CA7621">
        <w:rPr>
          <w:rFonts w:ascii="Times New Roman" w:hAnsi="Times New Roman"/>
        </w:rPr>
        <w:t xml:space="preserve">of data collection occurs with the completion of PRFs </w:t>
      </w:r>
      <w:r w:rsidRPr="00B36A86">
        <w:rPr>
          <w:rFonts w:ascii="Times New Roman" w:hAnsi="Times New Roman"/>
        </w:rPr>
        <w:t>(</w:t>
      </w:r>
      <w:r w:rsidR="00B93315" w:rsidRPr="0010192A">
        <w:rPr>
          <w:rFonts w:ascii="Times New Roman" w:hAnsi="Times New Roman"/>
          <w:b/>
        </w:rPr>
        <w:t>Attachment</w:t>
      </w:r>
      <w:r w:rsidR="00F33E47" w:rsidRPr="0010192A">
        <w:rPr>
          <w:rFonts w:ascii="Times New Roman" w:hAnsi="Times New Roman"/>
          <w:b/>
        </w:rPr>
        <w:t xml:space="preserve"> F</w:t>
      </w:r>
      <w:r w:rsidR="0079420B">
        <w:rPr>
          <w:rFonts w:ascii="Times New Roman" w:hAnsi="Times New Roman"/>
          <w:b/>
        </w:rPr>
        <w:t>1</w:t>
      </w:r>
      <w:r w:rsidRPr="00B36A86">
        <w:rPr>
          <w:rFonts w:ascii="Times New Roman" w:hAnsi="Times New Roman"/>
        </w:rPr>
        <w:t>).</w:t>
      </w:r>
      <w:r w:rsidRPr="00D7645E">
        <w:rPr>
          <w:rFonts w:ascii="Times New Roman" w:hAnsi="Times New Roman"/>
        </w:rPr>
        <w:t xml:space="preserve">  </w:t>
      </w:r>
      <w:r w:rsidR="00925794">
        <w:rPr>
          <w:rFonts w:ascii="Times New Roman" w:hAnsi="Times New Roman"/>
        </w:rPr>
        <w:t xml:space="preserve">The </w:t>
      </w:r>
      <w:r w:rsidRPr="00D7645E">
        <w:rPr>
          <w:rFonts w:ascii="Times New Roman" w:hAnsi="Times New Roman"/>
        </w:rPr>
        <w:t>physician/</w:t>
      </w:r>
      <w:r w:rsidR="00A329D3">
        <w:rPr>
          <w:rFonts w:ascii="Times New Roman" w:hAnsi="Times New Roman"/>
        </w:rPr>
        <w:t xml:space="preserve">CHC </w:t>
      </w:r>
      <w:r w:rsidRPr="00D7645E">
        <w:rPr>
          <w:rFonts w:ascii="Times New Roman" w:hAnsi="Times New Roman"/>
        </w:rPr>
        <w:t xml:space="preserve">provider records </w:t>
      </w:r>
      <w:r w:rsidR="00A329D3">
        <w:rPr>
          <w:rFonts w:ascii="Times New Roman" w:hAnsi="Times New Roman"/>
        </w:rPr>
        <w:t xml:space="preserve">each </w:t>
      </w:r>
      <w:r w:rsidRPr="00D7645E">
        <w:rPr>
          <w:rFonts w:ascii="Times New Roman" w:hAnsi="Times New Roman"/>
        </w:rPr>
        <w:t xml:space="preserve">patient </w:t>
      </w:r>
      <w:r w:rsidR="00A329D3">
        <w:rPr>
          <w:rFonts w:ascii="Times New Roman" w:hAnsi="Times New Roman"/>
        </w:rPr>
        <w:t xml:space="preserve">visiting them </w:t>
      </w:r>
      <w:r w:rsidRPr="00D7645E">
        <w:rPr>
          <w:rFonts w:ascii="Times New Roman" w:hAnsi="Times New Roman"/>
        </w:rPr>
        <w:t xml:space="preserve">in sequence during the reporting week.  This record of patient visits may be completed whichever </w:t>
      </w:r>
      <w:r w:rsidR="00996A4E">
        <w:rPr>
          <w:rFonts w:ascii="Times New Roman" w:hAnsi="Times New Roman"/>
        </w:rPr>
        <w:t>manner</w:t>
      </w:r>
      <w:r w:rsidRPr="00D7645E">
        <w:rPr>
          <w:rFonts w:ascii="Times New Roman" w:hAnsi="Times New Roman"/>
        </w:rPr>
        <w:t xml:space="preserve"> works best for the physician.  </w:t>
      </w:r>
      <w:r w:rsidR="00AA6A0C">
        <w:rPr>
          <w:rFonts w:ascii="Times New Roman" w:hAnsi="Times New Roman"/>
        </w:rPr>
        <w:t xml:space="preserve">Visit </w:t>
      </w:r>
      <w:r w:rsidRPr="00D7645E">
        <w:rPr>
          <w:rFonts w:ascii="Times New Roman" w:hAnsi="Times New Roman"/>
        </w:rPr>
        <w:t xml:space="preserve">sampling rates, based on the </w:t>
      </w:r>
      <w:r w:rsidR="00FE78F1">
        <w:rPr>
          <w:rFonts w:ascii="Times New Roman" w:hAnsi="Times New Roman"/>
        </w:rPr>
        <w:t>“</w:t>
      </w:r>
      <w:r w:rsidRPr="00D7645E">
        <w:rPr>
          <w:rFonts w:ascii="Times New Roman" w:hAnsi="Times New Roman"/>
        </w:rPr>
        <w:t>start with</w:t>
      </w:r>
      <w:r w:rsidR="00FE78F1">
        <w:rPr>
          <w:rFonts w:ascii="Times New Roman" w:hAnsi="Times New Roman"/>
        </w:rPr>
        <w:t>”</w:t>
      </w:r>
      <w:r w:rsidRPr="00D7645E">
        <w:rPr>
          <w:rFonts w:ascii="Times New Roman" w:hAnsi="Times New Roman"/>
        </w:rPr>
        <w:t xml:space="preserve"> and </w:t>
      </w:r>
      <w:r w:rsidR="00FE78F1">
        <w:rPr>
          <w:rFonts w:ascii="Times New Roman" w:hAnsi="Times New Roman"/>
        </w:rPr>
        <w:t>“</w:t>
      </w:r>
      <w:r w:rsidRPr="00D7645E">
        <w:rPr>
          <w:rFonts w:ascii="Times New Roman" w:hAnsi="Times New Roman"/>
        </w:rPr>
        <w:t>take every</w:t>
      </w:r>
      <w:r w:rsidR="00FE78F1">
        <w:rPr>
          <w:rFonts w:ascii="Times New Roman" w:hAnsi="Times New Roman"/>
        </w:rPr>
        <w:t>”</w:t>
      </w:r>
      <w:r w:rsidRPr="00D7645E">
        <w:rPr>
          <w:rFonts w:ascii="Times New Roman" w:hAnsi="Times New Roman"/>
        </w:rPr>
        <w:t xml:space="preserve"> number</w:t>
      </w:r>
      <w:r w:rsidR="00925794">
        <w:rPr>
          <w:rFonts w:ascii="Times New Roman" w:hAnsi="Times New Roman"/>
        </w:rPr>
        <w:t xml:space="preserve"> (generated by the automated NAMCS-1</w:t>
      </w:r>
      <w:r w:rsidR="00996A4E">
        <w:rPr>
          <w:rFonts w:ascii="Times New Roman" w:hAnsi="Times New Roman"/>
        </w:rPr>
        <w:t xml:space="preserve"> survey instrument</w:t>
      </w:r>
      <w:r w:rsidR="00925794">
        <w:rPr>
          <w:rFonts w:ascii="Times New Roman" w:hAnsi="Times New Roman"/>
        </w:rPr>
        <w:t>)</w:t>
      </w:r>
      <w:r w:rsidRPr="00D7645E">
        <w:rPr>
          <w:rFonts w:ascii="Times New Roman" w:hAnsi="Times New Roman"/>
        </w:rPr>
        <w:t>, are assigned to physicians/</w:t>
      </w:r>
      <w:r w:rsidR="00524C79">
        <w:rPr>
          <w:rFonts w:ascii="Times New Roman" w:hAnsi="Times New Roman"/>
        </w:rPr>
        <w:t xml:space="preserve">CHC </w:t>
      </w:r>
      <w:r w:rsidRPr="00D7645E">
        <w:rPr>
          <w:rFonts w:ascii="Times New Roman" w:hAnsi="Times New Roman"/>
        </w:rPr>
        <w:t xml:space="preserve">providers according to </w:t>
      </w:r>
      <w:r w:rsidR="00AA6A0C">
        <w:rPr>
          <w:rFonts w:ascii="Times New Roman" w:hAnsi="Times New Roman"/>
        </w:rPr>
        <w:t xml:space="preserve">the number of visits they expect to see during </w:t>
      </w:r>
      <w:r w:rsidR="0067773D">
        <w:rPr>
          <w:rFonts w:ascii="Times New Roman" w:hAnsi="Times New Roman"/>
        </w:rPr>
        <w:t>their reporting week</w:t>
      </w:r>
      <w:r w:rsidR="00BE28B8">
        <w:rPr>
          <w:rFonts w:ascii="Times New Roman" w:hAnsi="Times New Roman"/>
        </w:rPr>
        <w:t>,</w:t>
      </w:r>
      <w:r w:rsidRPr="00D7645E">
        <w:rPr>
          <w:rFonts w:ascii="Times New Roman" w:hAnsi="Times New Roman"/>
        </w:rPr>
        <w:t xml:space="preserve"> s</w:t>
      </w:r>
      <w:r w:rsidR="00996A4E">
        <w:rPr>
          <w:rFonts w:ascii="Times New Roman" w:hAnsi="Times New Roman"/>
        </w:rPr>
        <w:t>uch</w:t>
      </w:r>
      <w:r w:rsidRPr="00D7645E">
        <w:rPr>
          <w:rFonts w:ascii="Times New Roman" w:hAnsi="Times New Roman"/>
        </w:rPr>
        <w:t xml:space="preserve"> that </w:t>
      </w:r>
      <w:r w:rsidR="00996A4E">
        <w:rPr>
          <w:rFonts w:ascii="Times New Roman" w:hAnsi="Times New Roman"/>
        </w:rPr>
        <w:t>approximately</w:t>
      </w:r>
      <w:r w:rsidR="00E97B00">
        <w:rPr>
          <w:rFonts w:ascii="Times New Roman" w:hAnsi="Times New Roman"/>
        </w:rPr>
        <w:t xml:space="preserve"> 30 of the visits made to </w:t>
      </w:r>
      <w:r w:rsidRPr="00D7645E">
        <w:rPr>
          <w:rFonts w:ascii="Times New Roman" w:hAnsi="Times New Roman"/>
        </w:rPr>
        <w:t>the physician/</w:t>
      </w:r>
      <w:r w:rsidR="00524C79">
        <w:rPr>
          <w:rFonts w:ascii="Times New Roman" w:hAnsi="Times New Roman"/>
        </w:rPr>
        <w:t xml:space="preserve">CHC </w:t>
      </w:r>
      <w:r w:rsidRPr="00D7645E">
        <w:rPr>
          <w:rFonts w:ascii="Times New Roman" w:hAnsi="Times New Roman"/>
        </w:rPr>
        <w:t>provider during his/her reporting week</w:t>
      </w:r>
      <w:r w:rsidR="00E97B00">
        <w:rPr>
          <w:rFonts w:ascii="Times New Roman" w:hAnsi="Times New Roman"/>
        </w:rPr>
        <w:t xml:space="preserve"> will be selected for PRF completion</w:t>
      </w:r>
      <w:r w:rsidRPr="00D7645E">
        <w:rPr>
          <w:rFonts w:ascii="Times New Roman" w:hAnsi="Times New Roman"/>
        </w:rPr>
        <w:t>.  A random start is provided for each physician/</w:t>
      </w:r>
      <w:r w:rsidR="00524C79">
        <w:rPr>
          <w:rFonts w:ascii="Times New Roman" w:hAnsi="Times New Roman"/>
        </w:rPr>
        <w:t xml:space="preserve">CHC </w:t>
      </w:r>
      <w:r w:rsidRPr="00D7645E">
        <w:rPr>
          <w:rFonts w:ascii="Times New Roman" w:hAnsi="Times New Roman"/>
        </w:rPr>
        <w:t>provider after</w:t>
      </w:r>
      <w:r w:rsidR="008A2C04">
        <w:rPr>
          <w:rFonts w:ascii="Times New Roman" w:hAnsi="Times New Roman"/>
        </w:rPr>
        <w:t xml:space="preserve"> </w:t>
      </w:r>
      <w:r w:rsidRPr="00D7645E">
        <w:rPr>
          <w:rFonts w:ascii="Times New Roman" w:hAnsi="Times New Roman"/>
        </w:rPr>
        <w:t>which every n</w:t>
      </w:r>
      <w:r w:rsidRPr="006D6CD1">
        <w:rPr>
          <w:rFonts w:ascii="Times New Roman" w:hAnsi="Times New Roman"/>
          <w:vertAlign w:val="superscript"/>
        </w:rPr>
        <w:t>th</w:t>
      </w:r>
      <w:r w:rsidRPr="00D7645E">
        <w:rPr>
          <w:rFonts w:ascii="Times New Roman" w:hAnsi="Times New Roman"/>
        </w:rPr>
        <w:t xml:space="preserve"> patient is sampled throughout the 1-week reporting period.  </w:t>
      </w:r>
    </w:p>
    <w:p w14:paraId="1E7E732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41516F4" w14:textId="2D5016EE" w:rsidR="006C1EC5" w:rsidRPr="00B673D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 PRF is completed for each sampled patient visit</w:t>
      </w:r>
      <w:r w:rsidR="00496AF6">
        <w:rPr>
          <w:rFonts w:ascii="Times New Roman" w:hAnsi="Times New Roman"/>
          <w:color w:val="000000"/>
        </w:rPr>
        <w:t xml:space="preserve"> and is abstracted by </w:t>
      </w:r>
      <w:r w:rsidR="00FE78F1">
        <w:rPr>
          <w:rFonts w:ascii="Times New Roman" w:hAnsi="Times New Roman"/>
          <w:color w:val="000000"/>
        </w:rPr>
        <w:t xml:space="preserve">U.S. </w:t>
      </w:r>
      <w:r w:rsidR="00496AF6">
        <w:rPr>
          <w:rFonts w:ascii="Times New Roman" w:hAnsi="Times New Roman"/>
          <w:color w:val="000000"/>
        </w:rPr>
        <w:t>Census Bureau FRs</w:t>
      </w:r>
      <w:r w:rsidR="000C5DE6">
        <w:rPr>
          <w:rFonts w:ascii="Times New Roman" w:hAnsi="Times New Roman"/>
          <w:color w:val="000000"/>
        </w:rPr>
        <w:t xml:space="preserve">.  </w:t>
      </w:r>
      <w:r>
        <w:rPr>
          <w:rFonts w:ascii="Times New Roman" w:hAnsi="Times New Roman"/>
          <w:color w:val="000000"/>
        </w:rPr>
        <w:t>The NAMCS PRF collects data on patient characteristics, such as age, sex, race, and ethnicity, and visit characteristics, such as date</w:t>
      </w:r>
      <w:r w:rsidR="00616BC6">
        <w:rPr>
          <w:rFonts w:ascii="Times New Roman" w:hAnsi="Times New Roman"/>
          <w:color w:val="000000"/>
        </w:rPr>
        <w:t xml:space="preserve"> of visit</w:t>
      </w:r>
      <w:r>
        <w:rPr>
          <w:rFonts w:ascii="Times New Roman" w:hAnsi="Times New Roman"/>
          <w:color w:val="000000"/>
        </w:rPr>
        <w:t xml:space="preserve">, expected source of payment, reason for visit in patient’s own words, physician diagnoses, </w:t>
      </w:r>
      <w:r w:rsidR="00222827">
        <w:rPr>
          <w:rFonts w:ascii="Times New Roman" w:hAnsi="Times New Roman"/>
          <w:color w:val="000000"/>
        </w:rPr>
        <w:t xml:space="preserve">laboratory or other medical procedures received or ordered, </w:t>
      </w:r>
      <w:r>
        <w:rPr>
          <w:rFonts w:ascii="Times New Roman" w:hAnsi="Times New Roman"/>
          <w:color w:val="000000"/>
        </w:rPr>
        <w:t>and medications provided or prescribed.</w:t>
      </w:r>
      <w:r w:rsidR="00CF78EC">
        <w:rPr>
          <w:rFonts w:ascii="Times New Roman" w:hAnsi="Times New Roman"/>
          <w:color w:val="000000"/>
        </w:rPr>
        <w:t xml:space="preserve"> </w:t>
      </w:r>
      <w:r w:rsidR="000419F6">
        <w:rPr>
          <w:rFonts w:ascii="Times New Roman" w:hAnsi="Times New Roman"/>
          <w:color w:val="000000"/>
        </w:rPr>
        <w:t>Starting in the 2016 NAMCS survey cycle</w:t>
      </w:r>
      <w:r w:rsidR="00AF4C44">
        <w:rPr>
          <w:rFonts w:ascii="Times New Roman" w:hAnsi="Times New Roman"/>
          <w:color w:val="000000"/>
        </w:rPr>
        <w:t>,</w:t>
      </w:r>
      <w:r w:rsidR="00F848B1">
        <w:rPr>
          <w:rFonts w:ascii="Times New Roman" w:hAnsi="Times New Roman"/>
          <w:color w:val="000000"/>
        </w:rPr>
        <w:t xml:space="preserve"> </w:t>
      </w:r>
      <w:r w:rsidR="00C070A9">
        <w:rPr>
          <w:rFonts w:ascii="Times New Roman" w:hAnsi="Times New Roman"/>
          <w:color w:val="000000"/>
        </w:rPr>
        <w:t xml:space="preserve">a select sub-sample of </w:t>
      </w:r>
      <w:r w:rsidR="000419F6">
        <w:rPr>
          <w:rFonts w:ascii="Times New Roman" w:hAnsi="Times New Roman"/>
          <w:color w:val="000000"/>
        </w:rPr>
        <w:t xml:space="preserve">physicians </w:t>
      </w:r>
      <w:r w:rsidR="00B47CA2">
        <w:rPr>
          <w:rFonts w:ascii="Times New Roman" w:hAnsi="Times New Roman"/>
          <w:color w:val="000000"/>
        </w:rPr>
        <w:t>may</w:t>
      </w:r>
      <w:r w:rsidR="000419F6">
        <w:rPr>
          <w:rFonts w:ascii="Times New Roman" w:hAnsi="Times New Roman"/>
          <w:color w:val="000000"/>
        </w:rPr>
        <w:t xml:space="preserve"> transmit patient medical record data directly through their EHR system. </w:t>
      </w:r>
    </w:p>
    <w:p w14:paraId="681E82C7" w14:textId="311322B5" w:rsidR="00BB5A77" w:rsidRPr="00FE78F1" w:rsidRDefault="00BB5A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14:paraId="758BFB1C" w14:textId="77777777" w:rsidR="006C1EC5" w:rsidRPr="00FE78F1"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FE78F1">
        <w:rPr>
          <w:rFonts w:ascii="Times New Roman" w:hAnsi="Times New Roman"/>
          <w:i/>
          <w:color w:val="000000"/>
        </w:rPr>
        <w:t>Monitoring Data Collection and Quality Control</w:t>
      </w:r>
    </w:p>
    <w:p w14:paraId="162D53D1"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3F5291A" w14:textId="689E6623" w:rsidR="006C1EC5" w:rsidRDefault="00FE78F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U.S. </w:t>
      </w:r>
      <w:r w:rsidR="006C1EC5">
        <w:rPr>
          <w:rFonts w:ascii="Times New Roman" w:hAnsi="Times New Roman"/>
          <w:color w:val="000000"/>
        </w:rPr>
        <w:t>Census Bureau Headquarters staff, Demographic Surveys Division, Housing Surveys Branch, is responsible for overseeing the data collection for NAMCS</w:t>
      </w:r>
      <w:r w:rsidR="00EF32EA">
        <w:rPr>
          <w:rFonts w:ascii="Times New Roman" w:hAnsi="Times New Roman"/>
          <w:color w:val="000000"/>
        </w:rPr>
        <w:t xml:space="preserve"> </w:t>
      </w:r>
      <w:r w:rsidR="00222827">
        <w:rPr>
          <w:rFonts w:ascii="Times New Roman" w:hAnsi="Times New Roman"/>
          <w:color w:val="000000"/>
        </w:rPr>
        <w:t xml:space="preserve">that occurs via abstraction </w:t>
      </w:r>
      <w:r w:rsidR="00EF32EA">
        <w:rPr>
          <w:rFonts w:ascii="Times New Roman" w:hAnsi="Times New Roman"/>
          <w:color w:val="000000"/>
        </w:rPr>
        <w:t>(</w:t>
      </w:r>
      <w:r>
        <w:rPr>
          <w:rFonts w:ascii="Times New Roman" w:hAnsi="Times New Roman"/>
          <w:color w:val="000000"/>
        </w:rPr>
        <w:t xml:space="preserve">i.e., traditional </w:t>
      </w:r>
      <w:r w:rsidR="00EF32EA">
        <w:rPr>
          <w:rFonts w:ascii="Times New Roman" w:hAnsi="Times New Roman"/>
          <w:color w:val="000000"/>
        </w:rPr>
        <w:t>office-based physicians and CHCs)</w:t>
      </w:r>
      <w:r w:rsidR="004550EA">
        <w:rPr>
          <w:rFonts w:ascii="Times New Roman" w:hAnsi="Times New Roman"/>
          <w:color w:val="000000"/>
        </w:rPr>
        <w:t>.  C</w:t>
      </w:r>
      <w:r>
        <w:rPr>
          <w:rFonts w:ascii="Times New Roman" w:hAnsi="Times New Roman"/>
          <w:color w:val="000000"/>
        </w:rPr>
        <w:t>ensus Bureau headquarters and f</w:t>
      </w:r>
      <w:r w:rsidR="006C1EC5">
        <w:rPr>
          <w:rFonts w:ascii="Times New Roman" w:hAnsi="Times New Roman"/>
          <w:color w:val="000000"/>
        </w:rPr>
        <w:t xml:space="preserve">ield </w:t>
      </w:r>
      <w:r>
        <w:rPr>
          <w:rFonts w:ascii="Times New Roman" w:hAnsi="Times New Roman"/>
          <w:color w:val="000000"/>
        </w:rPr>
        <w:t>d</w:t>
      </w:r>
      <w:r w:rsidR="006C1EC5">
        <w:rPr>
          <w:rFonts w:ascii="Times New Roman" w:hAnsi="Times New Roman"/>
          <w:color w:val="000000"/>
        </w:rPr>
        <w:t>ivision</w:t>
      </w:r>
      <w:r>
        <w:rPr>
          <w:rFonts w:ascii="Times New Roman" w:hAnsi="Times New Roman"/>
          <w:color w:val="000000"/>
        </w:rPr>
        <w:t xml:space="preserve"> staff are</w:t>
      </w:r>
      <w:r w:rsidR="006C1EC5">
        <w:rPr>
          <w:rFonts w:ascii="Times New Roman" w:hAnsi="Times New Roman"/>
          <w:color w:val="000000"/>
        </w:rPr>
        <w:t xml:space="preserve"> responsible for the supervision of staff in </w:t>
      </w:r>
      <w:r>
        <w:rPr>
          <w:rFonts w:ascii="Times New Roman" w:hAnsi="Times New Roman"/>
          <w:color w:val="000000"/>
        </w:rPr>
        <w:t>RO</w:t>
      </w:r>
      <w:r w:rsidR="00222827">
        <w:rPr>
          <w:rFonts w:ascii="Times New Roman" w:hAnsi="Times New Roman"/>
          <w:color w:val="000000"/>
        </w:rPr>
        <w:t>s</w:t>
      </w:r>
      <w:r w:rsidR="006C1EC5">
        <w:rPr>
          <w:rFonts w:ascii="Times New Roman" w:hAnsi="Times New Roman"/>
          <w:color w:val="000000"/>
        </w:rPr>
        <w:t xml:space="preserve">, who in turn supervise the </w:t>
      </w:r>
      <w:r w:rsidR="00B455F8">
        <w:rPr>
          <w:rFonts w:ascii="Times New Roman" w:hAnsi="Times New Roman"/>
          <w:color w:val="000000"/>
        </w:rPr>
        <w:t>FRs</w:t>
      </w:r>
      <w:r w:rsidR="006C1EC5">
        <w:rPr>
          <w:rFonts w:ascii="Times New Roman" w:hAnsi="Times New Roman"/>
          <w:color w:val="000000"/>
        </w:rPr>
        <w:t>.</w:t>
      </w:r>
    </w:p>
    <w:p w14:paraId="4F36C2C8"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515FB8E" w14:textId="091BD44F" w:rsidR="002938BA" w:rsidRPr="00F90642" w:rsidRDefault="00764368" w:rsidP="006D6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90642">
        <w:rPr>
          <w:color w:val="000000"/>
        </w:rPr>
        <w:t>Computerization of the P</w:t>
      </w:r>
      <w:r w:rsidR="00222827">
        <w:rPr>
          <w:color w:val="000000"/>
        </w:rPr>
        <w:t>RF</w:t>
      </w:r>
      <w:r w:rsidRPr="00F90642">
        <w:rPr>
          <w:color w:val="000000"/>
        </w:rPr>
        <w:t xml:space="preserve"> </w:t>
      </w:r>
      <w:r w:rsidR="00616BC6">
        <w:rPr>
          <w:color w:val="000000"/>
        </w:rPr>
        <w:t>allows</w:t>
      </w:r>
      <w:r w:rsidRPr="00F90642">
        <w:rPr>
          <w:color w:val="000000"/>
        </w:rPr>
        <w:t xml:space="preserve"> for automated edits to be built into the instrument, so that keying errors are automatically detected as the </w:t>
      </w:r>
      <w:r>
        <w:rPr>
          <w:color w:val="000000"/>
        </w:rPr>
        <w:t>FR is entering the data.</w:t>
      </w:r>
      <w:r w:rsidR="00222827">
        <w:rPr>
          <w:color w:val="000000"/>
        </w:rPr>
        <w:t xml:space="preserve">  </w:t>
      </w:r>
      <w:r w:rsidR="002938BA" w:rsidRPr="00F90642">
        <w:rPr>
          <w:color w:val="000000"/>
        </w:rPr>
        <w:t xml:space="preserve">Once a case is completed, the survey data are encrypted and sent to a secure Census Bureau database through a secure internet connection.  The data are then sent to our keying and coding contractor who will </w:t>
      </w:r>
      <w:r w:rsidR="00642392">
        <w:rPr>
          <w:color w:val="000000"/>
        </w:rPr>
        <w:t>conduct</w:t>
      </w:r>
      <w:r w:rsidR="002938BA" w:rsidRPr="00F90642">
        <w:rPr>
          <w:color w:val="000000"/>
        </w:rPr>
        <w:t xml:space="preserve"> medical coding on the verbatim text fields</w:t>
      </w:r>
      <w:r w:rsidR="00222827">
        <w:rPr>
          <w:color w:val="000000"/>
        </w:rPr>
        <w:t xml:space="preserve"> </w:t>
      </w:r>
      <w:r w:rsidR="003C3DE1">
        <w:rPr>
          <w:color w:val="000000"/>
        </w:rPr>
        <w:t xml:space="preserve">including (1) </w:t>
      </w:r>
      <w:r w:rsidR="00222827">
        <w:rPr>
          <w:color w:val="000000"/>
        </w:rPr>
        <w:t xml:space="preserve">for reason for visit in </w:t>
      </w:r>
      <w:r w:rsidR="00642392">
        <w:rPr>
          <w:color w:val="000000"/>
        </w:rPr>
        <w:t xml:space="preserve">the </w:t>
      </w:r>
      <w:r w:rsidR="00222827">
        <w:rPr>
          <w:color w:val="000000"/>
        </w:rPr>
        <w:t xml:space="preserve">patient’s own words, </w:t>
      </w:r>
      <w:r w:rsidR="003C3DE1">
        <w:rPr>
          <w:color w:val="000000"/>
        </w:rPr>
        <w:t xml:space="preserve">(2) </w:t>
      </w:r>
      <w:r w:rsidR="00222827">
        <w:rPr>
          <w:color w:val="000000"/>
        </w:rPr>
        <w:t xml:space="preserve">physician diagnoses, </w:t>
      </w:r>
      <w:r w:rsidR="00642392">
        <w:rPr>
          <w:color w:val="000000"/>
        </w:rPr>
        <w:t xml:space="preserve">and </w:t>
      </w:r>
      <w:r w:rsidR="003C3DE1">
        <w:rPr>
          <w:color w:val="000000"/>
        </w:rPr>
        <w:t xml:space="preserve">(3) </w:t>
      </w:r>
      <w:r w:rsidR="00222827">
        <w:rPr>
          <w:color w:val="000000"/>
        </w:rPr>
        <w:t>laboratory or other medical procedures received or ordered</w:t>
      </w:r>
      <w:r w:rsidR="002938BA" w:rsidRPr="00F90642">
        <w:rPr>
          <w:color w:val="000000"/>
        </w:rPr>
        <w:t xml:space="preserve">.  Keying and data entry activities are </w:t>
      </w:r>
      <w:r w:rsidR="00222827">
        <w:rPr>
          <w:color w:val="000000"/>
        </w:rPr>
        <w:t xml:space="preserve">currently </w:t>
      </w:r>
      <w:r w:rsidR="002938BA" w:rsidRPr="00F90642">
        <w:rPr>
          <w:color w:val="000000"/>
        </w:rPr>
        <w:t xml:space="preserve">performed </w:t>
      </w:r>
      <w:r w:rsidR="00642392">
        <w:rPr>
          <w:color w:val="000000"/>
        </w:rPr>
        <w:t>by a contractor</w:t>
      </w:r>
      <w:r w:rsidR="00222827">
        <w:rPr>
          <w:color w:val="000000"/>
        </w:rPr>
        <w:t xml:space="preserve">, while drug coding is conducted in-house at NCHS.  </w:t>
      </w:r>
      <w:r w:rsidR="002938BA" w:rsidRPr="00F90642">
        <w:rPr>
          <w:color w:val="000000"/>
        </w:rPr>
        <w:t>All medical and drug coding, as well as all data entry operations, are subject to quality control procedures—specifically, a 10</w:t>
      </w:r>
      <w:r w:rsidR="00AB1B89">
        <w:rPr>
          <w:color w:val="000000"/>
        </w:rPr>
        <w:t>%</w:t>
      </w:r>
      <w:r w:rsidR="002938BA" w:rsidRPr="00F90642">
        <w:rPr>
          <w:color w:val="000000"/>
        </w:rPr>
        <w:t xml:space="preserve"> quality control sample of survey records are independently keyed and coded.  Computer edits for code ranges and inconsistencies are also performed.  </w:t>
      </w:r>
    </w:p>
    <w:p w14:paraId="57604B7B"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color w:val="000000"/>
        </w:rPr>
      </w:pPr>
    </w:p>
    <w:p w14:paraId="243C7FCF" w14:textId="084BD9BE" w:rsidR="006C1EC5" w:rsidRDefault="006C1EC5" w:rsidP="003D566C">
      <w:pPr>
        <w:pStyle w:val="Style0"/>
        <w:rPr>
          <w:rFonts w:ascii="Times New Roman" w:hAnsi="Times New Roman" w:cs="Times New Roman TUR"/>
          <w:color w:val="000000"/>
        </w:rPr>
      </w:pPr>
      <w:r>
        <w:rPr>
          <w:rFonts w:ascii="Times New Roman" w:hAnsi="Times New Roman" w:cs="Times New Roman TUR"/>
          <w:color w:val="000000"/>
        </w:rPr>
        <w:t>As in any survey, results are subject to both sampling and non</w:t>
      </w:r>
      <w:r w:rsidR="00EF32EA">
        <w:rPr>
          <w:rFonts w:ascii="Times New Roman" w:hAnsi="Times New Roman" w:cs="Times New Roman TUR"/>
          <w:color w:val="000000"/>
        </w:rPr>
        <w:t>-</w:t>
      </w:r>
      <w:r>
        <w:rPr>
          <w:rFonts w:ascii="Times New Roman" w:hAnsi="Times New Roman" w:cs="Times New Roman TUR"/>
          <w:color w:val="000000"/>
        </w:rPr>
        <w:t>sampling errors.</w:t>
      </w:r>
      <w:r w:rsidR="00EF32EA">
        <w:rPr>
          <w:rFonts w:ascii="Times New Roman" w:hAnsi="Times New Roman" w:cs="Times New Roman TUR"/>
          <w:color w:val="000000"/>
        </w:rPr>
        <w:t xml:space="preserve"> </w:t>
      </w:r>
      <w:r w:rsidR="00AB1B89">
        <w:rPr>
          <w:rFonts w:ascii="Times New Roman" w:hAnsi="Times New Roman" w:cs="Times New Roman TUR"/>
          <w:color w:val="000000"/>
        </w:rPr>
        <w:t xml:space="preserve"> </w:t>
      </w:r>
      <w:r>
        <w:rPr>
          <w:rFonts w:ascii="Times New Roman" w:hAnsi="Times New Roman" w:cs="Times New Roman TUR"/>
          <w:color w:val="000000"/>
        </w:rPr>
        <w:t>Non</w:t>
      </w:r>
      <w:r w:rsidR="00EF32EA">
        <w:rPr>
          <w:rFonts w:ascii="Times New Roman" w:hAnsi="Times New Roman" w:cs="Times New Roman TUR"/>
          <w:color w:val="000000"/>
        </w:rPr>
        <w:t>-</w:t>
      </w:r>
      <w:r>
        <w:rPr>
          <w:rFonts w:ascii="Times New Roman" w:hAnsi="Times New Roman" w:cs="Times New Roman TUR"/>
          <w:color w:val="000000"/>
        </w:rPr>
        <w:t xml:space="preserve">sampling errors include reporting and processing errors, as well as biases due to nonresponse and incomplete response.  To eliminate ambiguities and encourage uniform reporting, attention </w:t>
      </w:r>
      <w:r w:rsidR="005735E4">
        <w:rPr>
          <w:rFonts w:ascii="Times New Roman" w:hAnsi="Times New Roman" w:cs="Times New Roman TUR"/>
          <w:color w:val="000000"/>
        </w:rPr>
        <w:t xml:space="preserve">has been </w:t>
      </w:r>
      <w:r>
        <w:rPr>
          <w:rFonts w:ascii="Times New Roman" w:hAnsi="Times New Roman" w:cs="Times New Roman TUR"/>
          <w:color w:val="000000"/>
        </w:rPr>
        <w:t>given to the phrasing of items, terms, and definitions.</w:t>
      </w:r>
      <w:r w:rsidR="00AB1B89">
        <w:rPr>
          <w:rFonts w:ascii="Times New Roman" w:hAnsi="Times New Roman" w:cs="Times New Roman TUR"/>
          <w:color w:val="000000"/>
        </w:rPr>
        <w:t xml:space="preserve"> </w:t>
      </w:r>
      <w:r w:rsidR="00947AB4">
        <w:rPr>
          <w:rFonts w:ascii="Times New Roman" w:hAnsi="Times New Roman" w:cs="Times New Roman TUR"/>
          <w:color w:val="000000"/>
        </w:rPr>
        <w:t xml:space="preserve"> New questions are carefully</w:t>
      </w:r>
      <w:r w:rsidR="00DF78F1">
        <w:rPr>
          <w:rFonts w:ascii="Times New Roman" w:hAnsi="Times New Roman" w:cs="Times New Roman TUR"/>
          <w:color w:val="000000"/>
        </w:rPr>
        <w:t xml:space="preserve"> reviewed</w:t>
      </w:r>
      <w:r w:rsidR="00947AB4">
        <w:rPr>
          <w:rFonts w:ascii="Times New Roman" w:hAnsi="Times New Roman" w:cs="Times New Roman TUR"/>
          <w:color w:val="000000"/>
        </w:rPr>
        <w:t xml:space="preserve"> before being added to NAMCS.</w:t>
      </w:r>
      <w:r w:rsidR="00AB1B89">
        <w:rPr>
          <w:rFonts w:ascii="Times New Roman" w:hAnsi="Times New Roman" w:cs="Times New Roman TUR"/>
          <w:color w:val="000000"/>
        </w:rPr>
        <w:t xml:space="preserve"> </w:t>
      </w:r>
      <w:r w:rsidR="00F52BAB">
        <w:rPr>
          <w:rFonts w:ascii="Times New Roman" w:hAnsi="Times New Roman" w:cs="Times New Roman TUR"/>
          <w:color w:val="000000"/>
        </w:rPr>
        <w:t xml:space="preserve"> After questions are fielded, periodic focus groups are created to elicit comments and to correct potential sources of confusion.</w:t>
      </w:r>
      <w:r w:rsidR="009A465A">
        <w:rPr>
          <w:rFonts w:ascii="Times New Roman" w:hAnsi="Times New Roman" w:cs="Times New Roman TUR"/>
          <w:color w:val="000000"/>
        </w:rPr>
        <w:t xml:space="preserve"> </w:t>
      </w:r>
      <w:r w:rsidR="00AB1B89">
        <w:rPr>
          <w:rFonts w:ascii="Times New Roman" w:hAnsi="Times New Roman" w:cs="Times New Roman TUR"/>
          <w:color w:val="000000"/>
        </w:rPr>
        <w:t xml:space="preserve"> </w:t>
      </w:r>
      <w:r w:rsidR="008D6B6E">
        <w:rPr>
          <w:rFonts w:ascii="Times New Roman" w:hAnsi="Times New Roman" w:cs="Times New Roman TUR"/>
          <w:color w:val="000000"/>
        </w:rPr>
        <w:t>Throughout the year, we frequently consult</w:t>
      </w:r>
      <w:r w:rsidR="00DA0F7D">
        <w:rPr>
          <w:rFonts w:ascii="Times New Roman" w:hAnsi="Times New Roman" w:cs="Times New Roman TUR"/>
          <w:color w:val="000000"/>
        </w:rPr>
        <w:t xml:space="preserve"> with subject matter experts</w:t>
      </w:r>
      <w:r w:rsidR="008D6B6E">
        <w:rPr>
          <w:rFonts w:ascii="Times New Roman" w:hAnsi="Times New Roman" w:cs="Times New Roman TUR"/>
          <w:color w:val="000000"/>
        </w:rPr>
        <w:t xml:space="preserve"> and question sponsors and these discussions greatly influence the potential modifications and additions to the </w:t>
      </w:r>
      <w:r w:rsidR="00F54C15">
        <w:rPr>
          <w:rFonts w:ascii="Times New Roman" w:hAnsi="Times New Roman" w:cs="Times New Roman TUR"/>
          <w:color w:val="000000"/>
        </w:rPr>
        <w:t>201</w:t>
      </w:r>
      <w:r w:rsidR="00222827">
        <w:rPr>
          <w:rFonts w:ascii="Times New Roman" w:hAnsi="Times New Roman" w:cs="Times New Roman TUR"/>
          <w:color w:val="000000"/>
        </w:rPr>
        <w:t>9</w:t>
      </w:r>
      <w:r w:rsidR="00F54C15">
        <w:rPr>
          <w:rFonts w:ascii="Times New Roman" w:hAnsi="Times New Roman" w:cs="Times New Roman TUR"/>
          <w:color w:val="000000"/>
        </w:rPr>
        <w:t>-20</w:t>
      </w:r>
      <w:r w:rsidR="00222827">
        <w:rPr>
          <w:rFonts w:ascii="Times New Roman" w:hAnsi="Times New Roman" w:cs="Times New Roman TUR"/>
          <w:color w:val="000000"/>
        </w:rPr>
        <w:t>21</w:t>
      </w:r>
      <w:r w:rsidR="008D6B6E">
        <w:rPr>
          <w:rFonts w:ascii="Times New Roman" w:hAnsi="Times New Roman" w:cs="Times New Roman TUR"/>
          <w:color w:val="000000"/>
        </w:rPr>
        <w:t xml:space="preserve"> NAMCS. </w:t>
      </w:r>
      <w:r w:rsidR="00AB1B89">
        <w:rPr>
          <w:rFonts w:ascii="Times New Roman" w:hAnsi="Times New Roman" w:cs="Times New Roman TUR"/>
          <w:color w:val="000000"/>
        </w:rPr>
        <w:t xml:space="preserve"> </w:t>
      </w:r>
      <w:r w:rsidR="008D6B6E">
        <w:rPr>
          <w:rFonts w:ascii="Times New Roman" w:hAnsi="Times New Roman" w:cs="Times New Roman TUR"/>
          <w:color w:val="000000"/>
        </w:rPr>
        <w:t>For example, CDC injury epidemiologists advised on cause of injury</w:t>
      </w:r>
      <w:r w:rsidR="00AB1B89">
        <w:rPr>
          <w:rFonts w:ascii="Times New Roman" w:hAnsi="Times New Roman" w:cs="Times New Roman TUR"/>
          <w:color w:val="000000"/>
        </w:rPr>
        <w:t>,</w:t>
      </w:r>
      <w:r w:rsidR="008D6B6E">
        <w:rPr>
          <w:rFonts w:ascii="Times New Roman" w:hAnsi="Times New Roman" w:cs="Times New Roman TUR"/>
          <w:color w:val="000000"/>
        </w:rPr>
        <w:t xml:space="preserve"> a</w:t>
      </w:r>
      <w:r w:rsidR="0013402E">
        <w:rPr>
          <w:rFonts w:ascii="Times New Roman" w:hAnsi="Times New Roman" w:cs="Times New Roman TUR"/>
          <w:color w:val="000000"/>
        </w:rPr>
        <w:t xml:space="preserve">nd </w:t>
      </w:r>
      <w:r w:rsidR="00222827">
        <w:rPr>
          <w:rFonts w:ascii="Times New Roman" w:hAnsi="Times New Roman" w:cs="Times New Roman TUR"/>
          <w:color w:val="000000"/>
        </w:rPr>
        <w:t>the Office of the Assistant Secretary for Planning and Evaluation</w:t>
      </w:r>
      <w:r w:rsidR="008D6B6E">
        <w:rPr>
          <w:rFonts w:ascii="Times New Roman" w:hAnsi="Times New Roman" w:cs="Times New Roman TUR"/>
          <w:color w:val="000000"/>
        </w:rPr>
        <w:t xml:space="preserve"> advised on physician workforce</w:t>
      </w:r>
      <w:r w:rsidR="00D54F70">
        <w:rPr>
          <w:rFonts w:ascii="Times New Roman" w:hAnsi="Times New Roman" w:cs="Times New Roman TUR"/>
          <w:color w:val="000000"/>
        </w:rPr>
        <w:t xml:space="preserve"> survey questions</w:t>
      </w:r>
      <w:r w:rsidR="008D6B6E">
        <w:rPr>
          <w:rFonts w:ascii="Times New Roman" w:hAnsi="Times New Roman" w:cs="Times New Roman TUR"/>
          <w:color w:val="000000"/>
        </w:rPr>
        <w:t xml:space="preserve">. </w:t>
      </w:r>
      <w:r>
        <w:rPr>
          <w:rFonts w:ascii="Times New Roman" w:hAnsi="Times New Roman" w:cs="Times New Roman TUR"/>
          <w:color w:val="000000"/>
        </w:rPr>
        <w:t xml:space="preserve">  </w:t>
      </w:r>
    </w:p>
    <w:p w14:paraId="3FFFDEA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TUR"/>
          <w:color w:val="000000"/>
        </w:rPr>
      </w:pPr>
    </w:p>
    <w:p w14:paraId="560E4858" w14:textId="2C3A2D33"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TUR"/>
          <w:color w:val="000000"/>
        </w:rPr>
      </w:pPr>
      <w:r>
        <w:rPr>
          <w:rFonts w:ascii="Times New Roman" w:hAnsi="Times New Roman" w:cs="Times New Roman TUR"/>
          <w:color w:val="000000"/>
        </w:rPr>
        <w:t xml:space="preserve">Missing values for a few items on the survey are imputed by randomly assigning a value from a PRF with similar characteristics.  These imputations are based on physician identity, physician specialty, geographic region, and the </w:t>
      </w:r>
      <w:r w:rsidR="00122C5B">
        <w:rPr>
          <w:rFonts w:ascii="Times New Roman" w:hAnsi="Times New Roman" w:cs="Times New Roman TUR"/>
          <w:color w:val="000000"/>
        </w:rPr>
        <w:t>7-digit</w:t>
      </w:r>
      <w:r>
        <w:rPr>
          <w:rFonts w:ascii="Times New Roman" w:hAnsi="Times New Roman" w:cs="Times New Roman TUR"/>
          <w:color w:val="000000"/>
        </w:rPr>
        <w:t xml:space="preserve"> ICD</w:t>
      </w:r>
      <w:r>
        <w:rPr>
          <w:rFonts w:ascii="Times New Roman" w:hAnsi="Times New Roman" w:cs="Times New Roman TUR"/>
          <w:color w:val="000000"/>
        </w:rPr>
        <w:noBreakHyphen/>
      </w:r>
      <w:r w:rsidR="0006096C">
        <w:rPr>
          <w:rFonts w:ascii="Times New Roman" w:hAnsi="Times New Roman" w:cs="Times New Roman TUR"/>
          <w:color w:val="000000"/>
        </w:rPr>
        <w:t>10</w:t>
      </w:r>
      <w:r>
        <w:rPr>
          <w:rFonts w:ascii="Times New Roman" w:hAnsi="Times New Roman" w:cs="Times New Roman TUR"/>
          <w:color w:val="000000"/>
        </w:rPr>
        <w:noBreakHyphen/>
        <w:t xml:space="preserve">CM code for primary diagnosis.  In </w:t>
      </w:r>
      <w:r w:rsidR="002B41CB">
        <w:rPr>
          <w:rFonts w:ascii="Times New Roman" w:hAnsi="Times New Roman" w:cs="Times New Roman TUR"/>
          <w:color w:val="000000"/>
        </w:rPr>
        <w:t>201</w:t>
      </w:r>
      <w:r w:rsidR="00356AB6">
        <w:rPr>
          <w:rFonts w:ascii="Times New Roman" w:hAnsi="Times New Roman" w:cs="Times New Roman TUR"/>
          <w:color w:val="000000"/>
        </w:rPr>
        <w:t>5</w:t>
      </w:r>
      <w:r w:rsidR="00DE7245">
        <w:rPr>
          <w:rFonts w:ascii="Times New Roman" w:hAnsi="Times New Roman" w:cs="Times New Roman TUR"/>
          <w:color w:val="000000"/>
        </w:rPr>
        <w:t xml:space="preserve"> (the latest data available)</w:t>
      </w:r>
      <w:r>
        <w:rPr>
          <w:rFonts w:ascii="Times New Roman" w:hAnsi="Times New Roman" w:cs="Times New Roman TUR"/>
          <w:color w:val="000000"/>
        </w:rPr>
        <w:t>, imputations were performed for the following variables: birth year (</w:t>
      </w:r>
      <w:r w:rsidR="00356AB6">
        <w:rPr>
          <w:rFonts w:ascii="Times New Roman" w:hAnsi="Times New Roman" w:cs="Times New Roman TUR"/>
          <w:color w:val="000000"/>
        </w:rPr>
        <w:t>&lt;</w:t>
      </w:r>
      <w:r w:rsidR="002B41CB">
        <w:rPr>
          <w:rFonts w:ascii="Times New Roman" w:hAnsi="Times New Roman" w:cs="Times New Roman TUR"/>
          <w:color w:val="000000"/>
        </w:rPr>
        <w:t>0.1</w:t>
      </w:r>
      <w:r w:rsidR="00356AB6">
        <w:rPr>
          <w:rFonts w:ascii="Times New Roman" w:hAnsi="Times New Roman" w:cs="Times New Roman TUR"/>
          <w:color w:val="000000"/>
        </w:rPr>
        <w:t>%</w:t>
      </w:r>
      <w:r>
        <w:rPr>
          <w:rFonts w:ascii="Times New Roman" w:hAnsi="Times New Roman" w:cs="Times New Roman TUR"/>
          <w:color w:val="000000"/>
        </w:rPr>
        <w:t>), sex (</w:t>
      </w:r>
      <w:r w:rsidR="00356AB6">
        <w:rPr>
          <w:rFonts w:ascii="Times New Roman" w:hAnsi="Times New Roman" w:cs="Times New Roman TUR"/>
          <w:color w:val="000000"/>
        </w:rPr>
        <w:t>0.6%</w:t>
      </w:r>
      <w:r>
        <w:rPr>
          <w:rFonts w:ascii="Times New Roman" w:hAnsi="Times New Roman" w:cs="Times New Roman TUR"/>
          <w:color w:val="000000"/>
        </w:rPr>
        <w:t>), ethnicity (</w:t>
      </w:r>
      <w:r w:rsidR="00356AB6">
        <w:rPr>
          <w:rFonts w:ascii="Times New Roman" w:hAnsi="Times New Roman" w:cs="Times New Roman TUR"/>
          <w:color w:val="000000"/>
        </w:rPr>
        <w:t>25.8%</w:t>
      </w:r>
      <w:r>
        <w:rPr>
          <w:rFonts w:ascii="Times New Roman" w:hAnsi="Times New Roman" w:cs="Times New Roman TUR"/>
          <w:color w:val="000000"/>
        </w:rPr>
        <w:t>), race (</w:t>
      </w:r>
      <w:r w:rsidR="00356AB6">
        <w:rPr>
          <w:rFonts w:ascii="Times New Roman" w:hAnsi="Times New Roman" w:cs="Times New Roman TUR"/>
          <w:color w:val="000000"/>
        </w:rPr>
        <w:t>25.8%</w:t>
      </w:r>
      <w:r>
        <w:rPr>
          <w:rFonts w:ascii="Times New Roman" w:hAnsi="Times New Roman" w:cs="Times New Roman TUR"/>
          <w:color w:val="000000"/>
        </w:rPr>
        <w:t>), patient seen before in practice (</w:t>
      </w:r>
      <w:r w:rsidR="00356AB6">
        <w:rPr>
          <w:rFonts w:ascii="Times New Roman" w:hAnsi="Times New Roman" w:cs="Times New Roman TUR"/>
          <w:color w:val="000000"/>
        </w:rPr>
        <w:t>1.3%</w:t>
      </w:r>
      <w:r>
        <w:rPr>
          <w:rFonts w:ascii="Times New Roman" w:hAnsi="Times New Roman" w:cs="Times New Roman TUR"/>
          <w:color w:val="000000"/>
        </w:rPr>
        <w:t>), number of visits patient made to that physician/provider in the last 12 months (</w:t>
      </w:r>
      <w:r w:rsidR="002B41CB">
        <w:rPr>
          <w:rFonts w:ascii="Times New Roman" w:hAnsi="Times New Roman" w:cs="Times New Roman TUR"/>
          <w:color w:val="000000"/>
        </w:rPr>
        <w:t>11.</w:t>
      </w:r>
      <w:r w:rsidR="00466694">
        <w:rPr>
          <w:rFonts w:ascii="Times New Roman" w:hAnsi="Times New Roman" w:cs="Times New Roman TUR"/>
          <w:color w:val="000000"/>
        </w:rPr>
        <w:t>2%</w:t>
      </w:r>
      <w:r w:rsidR="00356FA9">
        <w:rPr>
          <w:rFonts w:ascii="Times New Roman" w:hAnsi="Times New Roman" w:cs="Times New Roman TUR"/>
          <w:color w:val="000000"/>
        </w:rPr>
        <w:t xml:space="preserve"> of visits by established patients</w:t>
      </w:r>
      <w:r>
        <w:rPr>
          <w:rFonts w:ascii="Times New Roman" w:hAnsi="Times New Roman" w:cs="Times New Roman TUR"/>
          <w:color w:val="000000"/>
        </w:rPr>
        <w:t>), and time spent with physician (</w:t>
      </w:r>
      <w:r w:rsidR="002B41CB">
        <w:rPr>
          <w:rFonts w:ascii="Times New Roman" w:hAnsi="Times New Roman" w:cs="Times New Roman TUR"/>
          <w:color w:val="000000"/>
        </w:rPr>
        <w:t>3</w:t>
      </w:r>
      <w:r w:rsidR="00466694">
        <w:rPr>
          <w:rFonts w:ascii="Times New Roman" w:hAnsi="Times New Roman" w:cs="Times New Roman TUR"/>
          <w:color w:val="000000"/>
        </w:rPr>
        <w:t>0.9%</w:t>
      </w:r>
      <w:r>
        <w:rPr>
          <w:rFonts w:ascii="Times New Roman" w:hAnsi="Times New Roman" w:cs="Times New Roman TUR"/>
          <w:color w:val="000000"/>
        </w:rPr>
        <w:t>).</w:t>
      </w:r>
      <w:r w:rsidR="006465FC">
        <w:rPr>
          <w:rFonts w:ascii="Times New Roman" w:hAnsi="Times New Roman" w:cs="Times New Roman TUR"/>
          <w:color w:val="000000"/>
        </w:rPr>
        <w:t xml:space="preserve"> Missing race and ethnicity </w:t>
      </w:r>
      <w:r w:rsidR="005135D9">
        <w:rPr>
          <w:rFonts w:ascii="Times New Roman" w:hAnsi="Times New Roman" w:cs="Times New Roman TUR"/>
          <w:color w:val="000000"/>
        </w:rPr>
        <w:t xml:space="preserve">has been a continued concern in prior data collection years, </w:t>
      </w:r>
      <w:r w:rsidR="006465FC">
        <w:rPr>
          <w:rFonts w:ascii="Times New Roman" w:hAnsi="Times New Roman" w:cs="Times New Roman TUR"/>
          <w:color w:val="000000"/>
        </w:rPr>
        <w:t>so FRs were instructed to make an extra effort to retrieve missing race and ethnicity</w:t>
      </w:r>
      <w:r w:rsidR="000E6A7A">
        <w:rPr>
          <w:rFonts w:ascii="Times New Roman" w:hAnsi="Times New Roman" w:cs="Times New Roman TUR"/>
          <w:color w:val="000000"/>
        </w:rPr>
        <w:t xml:space="preserve"> data</w:t>
      </w:r>
      <w:r w:rsidR="006465FC">
        <w:rPr>
          <w:rFonts w:ascii="Times New Roman" w:hAnsi="Times New Roman" w:cs="Times New Roman TUR"/>
          <w:color w:val="000000"/>
        </w:rPr>
        <w:t xml:space="preserve">. These efforts have paid off. In 2013, raw traditional and CHC </w:t>
      </w:r>
      <w:r w:rsidR="00C44F1B">
        <w:rPr>
          <w:rFonts w:ascii="Times New Roman" w:hAnsi="Times New Roman" w:cs="Times New Roman TUR"/>
          <w:color w:val="000000"/>
        </w:rPr>
        <w:t xml:space="preserve">data combined </w:t>
      </w:r>
      <w:r w:rsidR="006465FC">
        <w:rPr>
          <w:rFonts w:ascii="Times New Roman" w:hAnsi="Times New Roman" w:cs="Times New Roman TUR"/>
          <w:color w:val="000000"/>
        </w:rPr>
        <w:t>showed 23% of records were missing race and 23% of records were missing ethnicity.</w:t>
      </w:r>
      <w:r>
        <w:rPr>
          <w:rFonts w:ascii="Times New Roman" w:hAnsi="Times New Roman" w:cs="Times New Roman TUR"/>
          <w:color w:val="000000"/>
        </w:rPr>
        <w:t xml:space="preserve"> </w:t>
      </w:r>
      <w:r w:rsidR="006465FC">
        <w:rPr>
          <w:rFonts w:ascii="Times New Roman" w:hAnsi="Times New Roman" w:cs="Times New Roman TUR"/>
          <w:color w:val="000000"/>
        </w:rPr>
        <w:t>In 2014, 21% of records were missing race and 16% of records were missing ethnicity.</w:t>
      </w:r>
      <w:r>
        <w:rPr>
          <w:rFonts w:ascii="Times New Roman" w:hAnsi="Times New Roman" w:cs="Times New Roman TUR"/>
          <w:color w:val="000000"/>
        </w:rPr>
        <w:t xml:space="preserve"> </w:t>
      </w:r>
    </w:p>
    <w:p w14:paraId="7CFA4C54" w14:textId="77777777" w:rsidR="00973505" w:rsidRDefault="0097350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94F3617" w14:textId="3FEE10A5" w:rsidR="00FF1F50" w:rsidRDefault="00FF1F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F1F50">
        <w:rPr>
          <w:rFonts w:ascii="Times New Roman" w:hAnsi="Times New Roman"/>
          <w:color w:val="000000"/>
        </w:rPr>
        <w:t xml:space="preserve">As mentioned in </w:t>
      </w:r>
      <w:r w:rsidR="00AB1B89">
        <w:rPr>
          <w:rFonts w:ascii="Times New Roman" w:hAnsi="Times New Roman"/>
          <w:color w:val="000000"/>
        </w:rPr>
        <w:t>s</w:t>
      </w:r>
      <w:r w:rsidRPr="00FF1F50">
        <w:rPr>
          <w:rFonts w:ascii="Times New Roman" w:hAnsi="Times New Roman"/>
          <w:color w:val="000000"/>
        </w:rPr>
        <w:t xml:space="preserve">ection A, quality control will be implemented through </w:t>
      </w:r>
      <w:r>
        <w:rPr>
          <w:rFonts w:ascii="Times New Roman" w:hAnsi="Times New Roman"/>
          <w:color w:val="000000"/>
        </w:rPr>
        <w:t xml:space="preserve">the proposed </w:t>
      </w:r>
      <w:r w:rsidR="003147DF">
        <w:rPr>
          <w:rFonts w:ascii="Times New Roman" w:hAnsi="Times New Roman"/>
          <w:color w:val="000000"/>
        </w:rPr>
        <w:t xml:space="preserve">reinterview </w:t>
      </w:r>
      <w:r>
        <w:rPr>
          <w:rFonts w:ascii="Times New Roman" w:hAnsi="Times New Roman"/>
          <w:color w:val="000000"/>
        </w:rPr>
        <w:t xml:space="preserve">study.  This study will </w:t>
      </w:r>
      <w:r w:rsidRPr="00FF1F50">
        <w:rPr>
          <w:rFonts w:ascii="Times New Roman" w:hAnsi="Times New Roman"/>
        </w:rPr>
        <w:t xml:space="preserve">be used to identify </w:t>
      </w:r>
      <w:r w:rsidR="003147DF">
        <w:rPr>
          <w:rFonts w:ascii="Times New Roman" w:hAnsi="Times New Roman"/>
        </w:rPr>
        <w:t>interview falsification</w:t>
      </w:r>
      <w:r w:rsidRPr="00FF1F50">
        <w:rPr>
          <w:rFonts w:ascii="Times New Roman" w:hAnsi="Times New Roman"/>
        </w:rPr>
        <w:t xml:space="preserve">.  If </w:t>
      </w:r>
      <w:r w:rsidR="00A31656">
        <w:rPr>
          <w:rFonts w:ascii="Times New Roman" w:hAnsi="Times New Roman"/>
        </w:rPr>
        <w:t>falsification is</w:t>
      </w:r>
      <w:r w:rsidRPr="00FF1F50">
        <w:rPr>
          <w:rFonts w:ascii="Times New Roman" w:hAnsi="Times New Roman"/>
        </w:rPr>
        <w:t xml:space="preserve"> identified, we will </w:t>
      </w:r>
      <w:r w:rsidR="00A31656">
        <w:rPr>
          <w:rFonts w:ascii="Times New Roman" w:hAnsi="Times New Roman"/>
        </w:rPr>
        <w:t>investigate</w:t>
      </w:r>
      <w:r w:rsidR="00A31656" w:rsidRPr="00FF1F50">
        <w:rPr>
          <w:rFonts w:ascii="Times New Roman" w:hAnsi="Times New Roman"/>
        </w:rPr>
        <w:t xml:space="preserve"> </w:t>
      </w:r>
      <w:r w:rsidR="00AB1B89">
        <w:rPr>
          <w:rFonts w:ascii="Times New Roman" w:hAnsi="Times New Roman"/>
        </w:rPr>
        <w:t xml:space="preserve">with the U.S. Census Bureau </w:t>
      </w:r>
      <w:r w:rsidRPr="00FF1F50">
        <w:rPr>
          <w:rFonts w:ascii="Times New Roman" w:hAnsi="Times New Roman"/>
        </w:rPr>
        <w:t xml:space="preserve">possible reasons for the </w:t>
      </w:r>
      <w:r w:rsidR="00A31656">
        <w:rPr>
          <w:rFonts w:ascii="Times New Roman" w:hAnsi="Times New Roman"/>
        </w:rPr>
        <w:t>falsification</w:t>
      </w:r>
      <w:r w:rsidRPr="00FF1F50">
        <w:rPr>
          <w:rFonts w:ascii="Times New Roman" w:hAnsi="Times New Roman"/>
        </w:rPr>
        <w:t xml:space="preserve">.  Results may be used to design supplemental training to improve abstraction quality, or may lead to proposed modification of instructions or data collection forms.  Also, while reabstraction </w:t>
      </w:r>
      <w:r w:rsidR="00F034D6">
        <w:rPr>
          <w:rFonts w:ascii="Times New Roman" w:hAnsi="Times New Roman"/>
        </w:rPr>
        <w:t xml:space="preserve">of data </w:t>
      </w:r>
      <w:r w:rsidR="00C44F1B">
        <w:rPr>
          <w:rFonts w:ascii="Times New Roman" w:hAnsi="Times New Roman"/>
        </w:rPr>
        <w:t xml:space="preserve">for </w:t>
      </w:r>
      <w:r w:rsidR="00F034D6">
        <w:rPr>
          <w:rFonts w:ascii="Times New Roman" w:hAnsi="Times New Roman"/>
        </w:rPr>
        <w:t xml:space="preserve">the 2018 sample </w:t>
      </w:r>
      <w:r w:rsidRPr="00FF1F50">
        <w:rPr>
          <w:rFonts w:ascii="Times New Roman" w:hAnsi="Times New Roman"/>
        </w:rPr>
        <w:t xml:space="preserve">will not be used to evaluate individual FRs, it will be used to track the level of abstraction/reabstraction agreement in Census </w:t>
      </w:r>
      <w:r w:rsidR="00466694">
        <w:rPr>
          <w:rFonts w:ascii="Times New Roman" w:hAnsi="Times New Roman"/>
        </w:rPr>
        <w:t>ROs</w:t>
      </w:r>
      <w:r w:rsidRPr="00FF1F50">
        <w:rPr>
          <w:rFonts w:ascii="Times New Roman" w:hAnsi="Times New Roman"/>
        </w:rPr>
        <w:t xml:space="preserve">, and may identify a need for supplemental training.  </w:t>
      </w:r>
    </w:p>
    <w:p w14:paraId="5EDAE8B2" w14:textId="77777777" w:rsidR="003D566C" w:rsidRDefault="003D566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F1DD46D" w14:textId="6291FE8A" w:rsidR="00CE2415" w:rsidRPr="007A77D9" w:rsidRDefault="005E58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7A77D9">
        <w:rPr>
          <w:rFonts w:ascii="Times New Roman" w:hAnsi="Times New Roman"/>
          <w:color w:val="000000"/>
        </w:rPr>
        <w:t xml:space="preserve">NAMCS data </w:t>
      </w:r>
      <w:r w:rsidR="002A20EA">
        <w:rPr>
          <w:rFonts w:ascii="Times New Roman" w:hAnsi="Times New Roman"/>
          <w:color w:val="000000"/>
        </w:rPr>
        <w:t xml:space="preserve">submission </w:t>
      </w:r>
      <w:r w:rsidRPr="007A77D9">
        <w:rPr>
          <w:rFonts w:ascii="Times New Roman" w:hAnsi="Times New Roman"/>
          <w:color w:val="000000"/>
        </w:rPr>
        <w:t xml:space="preserve">via EHR </w:t>
      </w:r>
      <w:r w:rsidR="002A20EA">
        <w:rPr>
          <w:rFonts w:ascii="Times New Roman" w:hAnsi="Times New Roman"/>
          <w:color w:val="000000"/>
        </w:rPr>
        <w:t xml:space="preserve">is </w:t>
      </w:r>
      <w:r w:rsidRPr="007A77D9">
        <w:rPr>
          <w:rFonts w:ascii="Times New Roman" w:hAnsi="Times New Roman"/>
          <w:color w:val="000000"/>
        </w:rPr>
        <w:t xml:space="preserve">done so directly, and therefore eliminates error that could be introduced by having an individual such as a FR manually abstract data. </w:t>
      </w:r>
      <w:r w:rsidR="00AB1B89">
        <w:rPr>
          <w:rFonts w:ascii="Times New Roman" w:hAnsi="Times New Roman"/>
          <w:color w:val="000000"/>
        </w:rPr>
        <w:t xml:space="preserve"> </w:t>
      </w:r>
      <w:r w:rsidRPr="007A77D9">
        <w:rPr>
          <w:rFonts w:ascii="Times New Roman" w:hAnsi="Times New Roman"/>
          <w:color w:val="000000"/>
        </w:rPr>
        <w:t xml:space="preserve">Eliminating this source of error is an </w:t>
      </w:r>
      <w:r w:rsidR="00EF7208" w:rsidRPr="007A77D9">
        <w:rPr>
          <w:rFonts w:ascii="Times New Roman" w:hAnsi="Times New Roman"/>
          <w:color w:val="000000"/>
        </w:rPr>
        <w:t>advantage over data collection via abstraction.</w:t>
      </w:r>
      <w:r w:rsidR="00AB1B89">
        <w:rPr>
          <w:rFonts w:ascii="Times New Roman" w:hAnsi="Times New Roman"/>
          <w:color w:val="000000"/>
        </w:rPr>
        <w:t xml:space="preserve"> </w:t>
      </w:r>
      <w:r w:rsidR="00EF7208" w:rsidRPr="007A77D9">
        <w:rPr>
          <w:rFonts w:ascii="Times New Roman" w:hAnsi="Times New Roman"/>
          <w:color w:val="000000"/>
        </w:rPr>
        <w:t xml:space="preserve"> As data </w:t>
      </w:r>
      <w:r w:rsidR="002A20EA">
        <w:rPr>
          <w:rFonts w:ascii="Times New Roman" w:hAnsi="Times New Roman"/>
          <w:color w:val="000000"/>
        </w:rPr>
        <w:t xml:space="preserve">collection </w:t>
      </w:r>
      <w:r w:rsidR="00EF7208" w:rsidRPr="007A77D9">
        <w:rPr>
          <w:rFonts w:ascii="Times New Roman" w:hAnsi="Times New Roman"/>
          <w:color w:val="000000"/>
        </w:rPr>
        <w:t xml:space="preserve">via EHRs </w:t>
      </w:r>
      <w:r w:rsidR="002A20EA">
        <w:rPr>
          <w:rFonts w:ascii="Times New Roman" w:hAnsi="Times New Roman"/>
          <w:color w:val="000000"/>
        </w:rPr>
        <w:t xml:space="preserve">is </w:t>
      </w:r>
      <w:r w:rsidR="00EF7208" w:rsidRPr="007A77D9">
        <w:rPr>
          <w:rFonts w:ascii="Times New Roman" w:hAnsi="Times New Roman"/>
          <w:color w:val="000000"/>
        </w:rPr>
        <w:t xml:space="preserve">done directly, with no abstraction, they are considered official records. These data will be collected “as is,” and processed </w:t>
      </w:r>
      <w:r w:rsidR="007A77D9" w:rsidRPr="007A77D9">
        <w:rPr>
          <w:rFonts w:ascii="Times New Roman" w:hAnsi="Times New Roman"/>
          <w:color w:val="000000"/>
        </w:rPr>
        <w:t>without any editing made to the</w:t>
      </w:r>
      <w:r w:rsidR="007A77D9">
        <w:rPr>
          <w:rFonts w:ascii="Times New Roman" w:hAnsi="Times New Roman"/>
          <w:color w:val="000000"/>
        </w:rPr>
        <w:t xml:space="preserve"> data themselves.</w:t>
      </w:r>
      <w:r w:rsidR="007A77D9" w:rsidRPr="007A77D9">
        <w:rPr>
          <w:rFonts w:ascii="Times New Roman" w:hAnsi="Times New Roman"/>
          <w:color w:val="000000"/>
        </w:rPr>
        <w:t xml:space="preserve"> </w:t>
      </w:r>
      <w:r w:rsidR="00EF7208" w:rsidRPr="007A77D9">
        <w:rPr>
          <w:rFonts w:ascii="Times New Roman" w:hAnsi="Times New Roman"/>
          <w:color w:val="000000"/>
        </w:rPr>
        <w:t xml:space="preserve">   </w:t>
      </w:r>
    </w:p>
    <w:p w14:paraId="5668621C" w14:textId="77777777" w:rsidR="00B54583" w:rsidRPr="00AB1B89" w:rsidRDefault="00B545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14:paraId="066B1252" w14:textId="77777777" w:rsidR="006C1EC5" w:rsidRPr="00AB1B89"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AB1B89">
        <w:rPr>
          <w:rFonts w:ascii="Times New Roman" w:hAnsi="Times New Roman"/>
          <w:i/>
          <w:color w:val="000000"/>
        </w:rPr>
        <w:t>Estimation Procedures</w:t>
      </w:r>
    </w:p>
    <w:p w14:paraId="54AA9A85"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FF6CC24" w14:textId="47F6A1B8" w:rsidR="00B837D6" w:rsidRDefault="006C1EC5">
      <w:r>
        <w:t>National</w:t>
      </w:r>
      <w:r w:rsidR="009C596B">
        <w:t xml:space="preserve">, </w:t>
      </w:r>
      <w:r w:rsidR="00AB1B89">
        <w:t xml:space="preserve">Census </w:t>
      </w:r>
      <w:r w:rsidR="009C596B">
        <w:t xml:space="preserve">regional, </w:t>
      </w:r>
      <w:r w:rsidR="00EA79D8">
        <w:t xml:space="preserve">and </w:t>
      </w:r>
      <w:r w:rsidR="00AB1B89">
        <w:t xml:space="preserve">Census </w:t>
      </w:r>
      <w:r w:rsidR="009C596B">
        <w:t xml:space="preserve">division visit </w:t>
      </w:r>
      <w:r w:rsidR="00EA79D8">
        <w:t xml:space="preserve">estimates </w:t>
      </w:r>
      <w:r>
        <w:t xml:space="preserve">will be produced </w:t>
      </w:r>
      <w:r w:rsidR="00900C31">
        <w:t xml:space="preserve">based on two </w:t>
      </w:r>
      <w:r w:rsidR="006B73D6">
        <w:t xml:space="preserve">fundamental </w:t>
      </w:r>
      <w:r w:rsidR="00900C31">
        <w:t>s</w:t>
      </w:r>
      <w:r w:rsidR="006C100A">
        <w:t>ources</w:t>
      </w:r>
      <w:r w:rsidR="00AC3AA1">
        <w:t xml:space="preserve"> of data</w:t>
      </w:r>
      <w:r w:rsidR="006C100A">
        <w:t xml:space="preserve">: </w:t>
      </w:r>
      <w:r w:rsidR="00900C31">
        <w:t xml:space="preserve">(1) </w:t>
      </w:r>
      <w:r>
        <w:t xml:space="preserve">private </w:t>
      </w:r>
      <w:r w:rsidR="00A945EF">
        <w:t>non</w:t>
      </w:r>
      <w:r w:rsidR="00CE2415">
        <w:t>-</w:t>
      </w:r>
      <w:r w:rsidR="00AB1B89">
        <w:t>f</w:t>
      </w:r>
      <w:r w:rsidR="00A945EF">
        <w:t>ederal</w:t>
      </w:r>
      <w:r w:rsidR="006C100A">
        <w:t xml:space="preserve"> </w:t>
      </w:r>
      <w:r w:rsidR="00900C31">
        <w:t xml:space="preserve">office-based </w:t>
      </w:r>
      <w:r w:rsidR="006C100A">
        <w:t xml:space="preserve">physicians, </w:t>
      </w:r>
      <w:r w:rsidR="00900C31">
        <w:t xml:space="preserve">and (2) </w:t>
      </w:r>
      <w:r w:rsidR="00B35B45">
        <w:t xml:space="preserve">providers </w:t>
      </w:r>
      <w:r w:rsidR="006C100A">
        <w:t xml:space="preserve">at CHCs designated as </w:t>
      </w:r>
      <w:r w:rsidR="00C43176">
        <w:t xml:space="preserve">330 </w:t>
      </w:r>
      <w:r w:rsidR="006B73D6">
        <w:t xml:space="preserve">grant-supported </w:t>
      </w:r>
      <w:r w:rsidR="00AB1B89">
        <w:t>f</w:t>
      </w:r>
      <w:r w:rsidR="008A3269">
        <w:t>ederal</w:t>
      </w:r>
      <w:r w:rsidRPr="006C100A">
        <w:t xml:space="preserve">ly </w:t>
      </w:r>
      <w:r w:rsidR="006C100A" w:rsidRPr="006C100A">
        <w:t>funded</w:t>
      </w:r>
      <w:r w:rsidR="006C100A">
        <w:t xml:space="preserve"> </w:t>
      </w:r>
      <w:r w:rsidR="006B73D6">
        <w:t>qualified health centers</w:t>
      </w:r>
      <w:r w:rsidR="006C100A" w:rsidRPr="006C100A">
        <w:t xml:space="preserve">, </w:t>
      </w:r>
      <w:r w:rsidR="00AB1B89">
        <w:t>f</w:t>
      </w:r>
      <w:r w:rsidR="008A3269">
        <w:t>ederal</w:t>
      </w:r>
      <w:r w:rsidR="006C100A" w:rsidRPr="006C100A">
        <w:t xml:space="preserve">ly </w:t>
      </w:r>
      <w:r w:rsidRPr="006C100A">
        <w:t>qualified</w:t>
      </w:r>
      <w:r w:rsidR="00900C31">
        <w:t xml:space="preserve"> look-alike</w:t>
      </w:r>
      <w:r w:rsidR="00AC3AA1">
        <w:t>s</w:t>
      </w:r>
      <w:r w:rsidR="006C100A" w:rsidRPr="006C100A">
        <w:t xml:space="preserve">, </w:t>
      </w:r>
      <w:r w:rsidRPr="006C100A">
        <w:t xml:space="preserve">and </w:t>
      </w:r>
      <w:r w:rsidR="006B73D6">
        <w:t xml:space="preserve">Urban Indian </w:t>
      </w:r>
      <w:r w:rsidR="00AC3AA1">
        <w:t>Federally Qualified Health Centers</w:t>
      </w:r>
      <w:r>
        <w:t xml:space="preserve">. The estimation procedure has four basic components: (1) inflation by reciprocals of the selection probabilities, (2) adjustments for nonresponse, (3) calibration ratio adjustment, and (4) weight smoothing.  Starting in 2003, the non-response adjustment factor utilized </w:t>
      </w:r>
      <w:r w:rsidR="00731666">
        <w:t>information provided by refusal physicians about the number of patient visits they see during a typical week in their practice</w:t>
      </w:r>
      <w:r>
        <w:t xml:space="preserve"> and the number of weeks they work during the year.  In addition, starting in 2004, the estimation process was modified to take into account season of reporting week</w:t>
      </w:r>
      <w:r w:rsidR="005735E4">
        <w:t>s</w:t>
      </w:r>
      <w:r w:rsidR="007E1A0C">
        <w:t>.</w:t>
      </w:r>
      <w:r w:rsidR="00B04602">
        <w:t xml:space="preserve">  </w:t>
      </w:r>
    </w:p>
    <w:p w14:paraId="2A02432B" w14:textId="77777777" w:rsidR="00542AAC" w:rsidRDefault="00542AAC"/>
    <w:p w14:paraId="33D7840A" w14:textId="79D7E396" w:rsidR="00B837D6" w:rsidRPr="006D6CD1" w:rsidRDefault="00466694" w:rsidP="00D60332">
      <w:r>
        <w:t>Similar to</w:t>
      </w:r>
      <w:r w:rsidR="00F54C15">
        <w:t xml:space="preserve"> the 2016 survey year, </w:t>
      </w:r>
      <w:r w:rsidR="00F54C15" w:rsidRPr="00F54C15">
        <w:t xml:space="preserve">the sample size </w:t>
      </w:r>
      <w:r>
        <w:t>has</w:t>
      </w:r>
      <w:r w:rsidR="00F54C15" w:rsidRPr="00F54C15">
        <w:t xml:space="preserve"> the statistical power needed to generate estimates for four Census regions and nine Census divisions.</w:t>
      </w:r>
      <w:r w:rsidR="00072A50">
        <w:t xml:space="preserve"> </w:t>
      </w:r>
      <w:r w:rsidR="00B837D6" w:rsidRPr="006D6CD1">
        <w:t xml:space="preserve">NAMCS data can also be used to make national estimates of </w:t>
      </w:r>
      <w:r w:rsidR="002E344F" w:rsidRPr="006D6CD1">
        <w:t xml:space="preserve">office-based </w:t>
      </w:r>
      <w:r w:rsidR="00B837D6" w:rsidRPr="006D6CD1">
        <w:t xml:space="preserve">physicians </w:t>
      </w:r>
      <w:r w:rsidR="002E344F" w:rsidRPr="006D6CD1">
        <w:t>and associated medical practices</w:t>
      </w:r>
      <w:r w:rsidR="00B837D6" w:rsidRPr="006D6CD1">
        <w:t xml:space="preserve">.  </w:t>
      </w:r>
      <w:r w:rsidR="001A1CB1" w:rsidRPr="006D6CD1">
        <w:t>These estimates are unbiased and based on a complex sampling design with multistage estimation.  P</w:t>
      </w:r>
      <w:r w:rsidR="00B837D6" w:rsidRPr="006D6CD1">
        <w:t>hysician weights are used to estimate national numbers and characteristics of office-based physicians</w:t>
      </w:r>
      <w:r w:rsidR="001A1CB1" w:rsidRPr="006D6CD1">
        <w:t xml:space="preserve"> (e.g., sex, age, </w:t>
      </w:r>
      <w:r w:rsidR="002E344F" w:rsidRPr="006D6CD1">
        <w:t xml:space="preserve">and </w:t>
      </w:r>
      <w:r w:rsidR="001A1CB1" w:rsidRPr="006D6CD1">
        <w:t xml:space="preserve">specialty) and their practices (e.g., numbers of physicians in the practice, single-specialty compared with multispecialty practices, and types and numbers of patient encounters in last full week of practice).  The </w:t>
      </w:r>
      <w:r w:rsidR="002E344F" w:rsidRPr="006D6CD1">
        <w:t xml:space="preserve">NAMCS </w:t>
      </w:r>
      <w:r w:rsidR="001A1CB1" w:rsidRPr="006D6CD1">
        <w:t xml:space="preserve">physician sampling weight can </w:t>
      </w:r>
      <w:r w:rsidR="002E344F" w:rsidRPr="006D6CD1">
        <w:t xml:space="preserve">also </w:t>
      </w:r>
      <w:r w:rsidR="001A1CB1" w:rsidRPr="006D6CD1">
        <w:t xml:space="preserve">be modified to produce a </w:t>
      </w:r>
      <w:r w:rsidR="002E344F" w:rsidRPr="006D6CD1">
        <w:t xml:space="preserve">national </w:t>
      </w:r>
      <w:r w:rsidR="001A1CB1" w:rsidRPr="006D6CD1">
        <w:t xml:space="preserve">medical practice estimator </w:t>
      </w:r>
      <w:r w:rsidR="00787713" w:rsidRPr="006D6CD1">
        <w:t>(e.g., practice size, breadth of specialization</w:t>
      </w:r>
      <w:r w:rsidR="002E344F" w:rsidRPr="006D6CD1">
        <w:t>, and selected diagnostic and therapeutic services available onsite</w:t>
      </w:r>
      <w:r w:rsidR="00787713" w:rsidRPr="006D6CD1">
        <w:t>).</w:t>
      </w:r>
      <w:r w:rsidR="00D60332">
        <w:t xml:space="preserve"> </w:t>
      </w:r>
      <w:r w:rsidR="00224CAA" w:rsidRPr="00497A45">
        <w:t xml:space="preserve">Data from the NAMCS samples are weighted by the inverse of selection probabilities with non-response adjustments done at least within Census </w:t>
      </w:r>
      <w:r w:rsidR="00B35B45">
        <w:t xml:space="preserve">region </w:t>
      </w:r>
      <w:r w:rsidR="00224CAA" w:rsidRPr="00497A45">
        <w:t xml:space="preserve">and, when feasible within physician specialty groups and/or MSA status. Calibration adjustment factors are used to adjust estimated physician total counts to known physician total counts appropriate for each sample.  </w:t>
      </w:r>
    </w:p>
    <w:p w14:paraId="35985220" w14:textId="77777777" w:rsidR="00EA79D8" w:rsidRDefault="00EA79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14:paraId="2F935743" w14:textId="2F5EEB63" w:rsidR="001A4ACB" w:rsidRDefault="0017286C" w:rsidP="00542AAC">
      <w:pPr>
        <w:rPr>
          <w:color w:val="000000"/>
        </w:rPr>
      </w:pPr>
      <w:r w:rsidRPr="0017286C">
        <w:rPr>
          <w:color w:val="000000"/>
        </w:rPr>
        <w:t>The 2015 NAMCS office-based sample ended with an unweighted response rate of 35.4</w:t>
      </w:r>
      <w:r w:rsidR="00CF4074">
        <w:rPr>
          <w:color w:val="000000"/>
        </w:rPr>
        <w:t>%</w:t>
      </w:r>
      <w:r w:rsidRPr="0017286C">
        <w:rPr>
          <w:color w:val="000000"/>
        </w:rPr>
        <w:t xml:space="preserve"> for PRFs (</w:t>
      </w:r>
      <w:r w:rsidR="00CF4074">
        <w:rPr>
          <w:color w:val="000000"/>
        </w:rPr>
        <w:t>i.e., a</w:t>
      </w:r>
      <w:r w:rsidR="001243B2">
        <w:rPr>
          <w:color w:val="000000"/>
        </w:rPr>
        <w:t xml:space="preserve"> </w:t>
      </w:r>
      <w:r w:rsidRPr="0017286C">
        <w:rPr>
          <w:color w:val="000000"/>
        </w:rPr>
        <w:t xml:space="preserve">physician gave </w:t>
      </w:r>
      <w:r w:rsidR="00812AB5" w:rsidRPr="0017286C">
        <w:rPr>
          <w:color w:val="000000"/>
        </w:rPr>
        <w:t>one</w:t>
      </w:r>
      <w:r w:rsidRPr="0017286C">
        <w:rPr>
          <w:color w:val="000000"/>
        </w:rPr>
        <w:t xml:space="preserve"> or more PRFs/eligible responder), and a weighted response rate of 36.5</w:t>
      </w:r>
      <w:r w:rsidR="00CF4074">
        <w:rPr>
          <w:color w:val="000000"/>
        </w:rPr>
        <w:t>%</w:t>
      </w:r>
      <w:r w:rsidRPr="0017286C">
        <w:rPr>
          <w:color w:val="000000"/>
        </w:rPr>
        <w:t xml:space="preserve">. For the NAMCS-1 form, the unweighted and weighted response rates (NAMCS-1 responder/eligible responder) were 44.0% and 46.0%, respectively. </w:t>
      </w:r>
      <w:r w:rsidR="00C92D7E">
        <w:rPr>
          <w:color w:val="000000"/>
        </w:rPr>
        <w:t xml:space="preserve"> </w:t>
      </w:r>
      <w:r w:rsidR="00542AAC">
        <w:rPr>
          <w:color w:val="000000"/>
        </w:rPr>
        <w:t>Efforts to raise response rate</w:t>
      </w:r>
      <w:r w:rsidR="007E1A0C">
        <w:rPr>
          <w:color w:val="000000"/>
        </w:rPr>
        <w:t>s</w:t>
      </w:r>
      <w:r w:rsidR="00542AAC">
        <w:rPr>
          <w:color w:val="000000"/>
        </w:rPr>
        <w:t xml:space="preserve"> are ongoing.</w:t>
      </w:r>
      <w:r w:rsidR="006E1CA7">
        <w:rPr>
          <w:color w:val="000000"/>
        </w:rPr>
        <w:t xml:space="preserve"> </w:t>
      </w:r>
      <w:r w:rsidR="000C58B0">
        <w:rPr>
          <w:color w:val="000000"/>
        </w:rPr>
        <w:t>For non-registered physicians</w:t>
      </w:r>
      <w:r w:rsidR="005B7793">
        <w:rPr>
          <w:color w:val="000000"/>
        </w:rPr>
        <w:t xml:space="preserve"> </w:t>
      </w:r>
      <w:r w:rsidR="00D60389">
        <w:rPr>
          <w:color w:val="000000"/>
        </w:rPr>
        <w:t>in the National Health Care Surveys</w:t>
      </w:r>
      <w:r w:rsidR="000C58B0">
        <w:rPr>
          <w:color w:val="000000"/>
        </w:rPr>
        <w:t>, w</w:t>
      </w:r>
      <w:r w:rsidR="00425379">
        <w:rPr>
          <w:color w:val="000000"/>
        </w:rPr>
        <w:t>ith each introductory letter</w:t>
      </w:r>
      <w:r w:rsidR="00177ACD">
        <w:rPr>
          <w:color w:val="000000"/>
        </w:rPr>
        <w:t xml:space="preserve"> </w:t>
      </w:r>
      <w:r w:rsidR="00177ACD" w:rsidRPr="00B36A86">
        <w:rPr>
          <w:color w:val="000000"/>
        </w:rPr>
        <w:t>(</w:t>
      </w:r>
      <w:r w:rsidR="00177ACD" w:rsidRPr="008E0612">
        <w:rPr>
          <w:b/>
          <w:color w:val="000000"/>
        </w:rPr>
        <w:t xml:space="preserve">Attachment </w:t>
      </w:r>
      <w:r w:rsidR="00F33E47" w:rsidRPr="008E0612">
        <w:rPr>
          <w:b/>
          <w:color w:val="000000"/>
        </w:rPr>
        <w:t>K</w:t>
      </w:r>
      <w:r w:rsidR="0048291F">
        <w:rPr>
          <w:b/>
          <w:color w:val="000000"/>
        </w:rPr>
        <w:t>2</w:t>
      </w:r>
      <w:r w:rsidR="00177ACD" w:rsidRPr="00B36A86">
        <w:rPr>
          <w:color w:val="000000"/>
        </w:rPr>
        <w:t>)</w:t>
      </w:r>
      <w:r w:rsidR="00425379" w:rsidRPr="00B36A86">
        <w:rPr>
          <w:color w:val="000000"/>
        </w:rPr>
        <w:t xml:space="preserve"> we include a</w:t>
      </w:r>
      <w:r w:rsidR="00542AAC" w:rsidRPr="00B36A86">
        <w:rPr>
          <w:color w:val="000000"/>
        </w:rPr>
        <w:t xml:space="preserve"> motivational</w:t>
      </w:r>
      <w:r w:rsidR="002C0BA3" w:rsidRPr="00B36A86">
        <w:rPr>
          <w:color w:val="000000"/>
        </w:rPr>
        <w:t xml:space="preserve"> brochure</w:t>
      </w:r>
      <w:r w:rsidR="00542AAC" w:rsidRPr="00B36A86">
        <w:rPr>
          <w:color w:val="000000"/>
        </w:rPr>
        <w:t xml:space="preserve"> </w:t>
      </w:r>
      <w:r w:rsidR="00177ACD" w:rsidRPr="00B36A86">
        <w:rPr>
          <w:color w:val="000000"/>
        </w:rPr>
        <w:t>(</w:t>
      </w:r>
      <w:r w:rsidR="00177ACD" w:rsidRPr="008E0612">
        <w:rPr>
          <w:b/>
          <w:color w:val="000000"/>
        </w:rPr>
        <w:t xml:space="preserve">Attachment </w:t>
      </w:r>
      <w:r w:rsidR="00AB6A1F" w:rsidRPr="008E0612">
        <w:rPr>
          <w:b/>
          <w:color w:val="000000"/>
        </w:rPr>
        <w:t>L</w:t>
      </w:r>
      <w:r w:rsidR="00177ACD" w:rsidRPr="00B36A86">
        <w:rPr>
          <w:color w:val="000000"/>
        </w:rPr>
        <w:t>)</w:t>
      </w:r>
      <w:r w:rsidR="00177ACD">
        <w:rPr>
          <w:b/>
          <w:color w:val="000000"/>
        </w:rPr>
        <w:t xml:space="preserve"> </w:t>
      </w:r>
      <w:r w:rsidR="00542AAC">
        <w:rPr>
          <w:color w:val="000000"/>
        </w:rPr>
        <w:t>that addresses physicians’ concerns about participation.</w:t>
      </w:r>
      <w:r w:rsidR="00CF4074">
        <w:rPr>
          <w:color w:val="000000"/>
        </w:rPr>
        <w:t xml:space="preserve"> </w:t>
      </w:r>
      <w:r w:rsidR="00542AAC">
        <w:rPr>
          <w:color w:val="000000"/>
        </w:rPr>
        <w:t xml:space="preserve"> The insert covers confidentiality issues, including requirements pertaining to the Health Insurance Portability and Accountability Act (HIPAA) Privacy Rule.</w:t>
      </w:r>
      <w:r w:rsidR="00925921">
        <w:rPr>
          <w:color w:val="000000"/>
        </w:rPr>
        <w:t xml:space="preserve"> </w:t>
      </w:r>
      <w:r w:rsidR="006E1CA7">
        <w:rPr>
          <w:color w:val="000000"/>
        </w:rPr>
        <w:t xml:space="preserve"> W</w:t>
      </w:r>
      <w:r w:rsidR="00925921">
        <w:rPr>
          <w:color w:val="000000"/>
        </w:rPr>
        <w:t xml:space="preserve">e </w:t>
      </w:r>
      <w:r w:rsidR="006E1CA7">
        <w:rPr>
          <w:color w:val="000000"/>
        </w:rPr>
        <w:t xml:space="preserve">enclose the introductory letter and brochure in </w:t>
      </w:r>
      <w:r w:rsidR="00925921">
        <w:rPr>
          <w:color w:val="000000"/>
        </w:rPr>
        <w:t xml:space="preserve">a windowed, multi-colored envelope </w:t>
      </w:r>
      <w:r w:rsidR="006E1CA7">
        <w:rPr>
          <w:color w:val="000000"/>
        </w:rPr>
        <w:t>in order to increased</w:t>
      </w:r>
      <w:r w:rsidR="00925921">
        <w:rPr>
          <w:color w:val="000000"/>
        </w:rPr>
        <w:t xml:space="preserve"> visibility and exposure to office gatekeepers who, in many cases, </w:t>
      </w:r>
      <w:r w:rsidR="00425379">
        <w:rPr>
          <w:color w:val="000000"/>
        </w:rPr>
        <w:t>sort and prioritize the mail for a physician.</w:t>
      </w:r>
    </w:p>
    <w:p w14:paraId="428783AD" w14:textId="77777777" w:rsidR="00A85605" w:rsidRDefault="00A85605" w:rsidP="00542AAC">
      <w:pPr>
        <w:rPr>
          <w:color w:val="000000"/>
        </w:rPr>
      </w:pPr>
    </w:p>
    <w:p w14:paraId="63D3519F" w14:textId="666A8603" w:rsidR="00542AAC" w:rsidRDefault="00542AAC" w:rsidP="00542AAC">
      <w:pPr>
        <w:rPr>
          <w:color w:val="000000"/>
        </w:rPr>
      </w:pPr>
      <w:r>
        <w:rPr>
          <w:color w:val="000000"/>
        </w:rPr>
        <w:t xml:space="preserve">We provide </w:t>
      </w:r>
      <w:r w:rsidR="00563186">
        <w:rPr>
          <w:color w:val="000000"/>
        </w:rPr>
        <w:t xml:space="preserve">each </w:t>
      </w:r>
      <w:r>
        <w:rPr>
          <w:color w:val="000000"/>
        </w:rPr>
        <w:t>FR with the most current data so they can encourage participation in the surveys</w:t>
      </w:r>
      <w:r w:rsidR="00563186">
        <w:rPr>
          <w:color w:val="000000"/>
        </w:rPr>
        <w:t>. We also provide other</w:t>
      </w:r>
      <w:r>
        <w:rPr>
          <w:color w:val="000000"/>
        </w:rPr>
        <w:t xml:space="preserve"> promotional material that give physicians examples of how the survey is used and how important it is for research. </w:t>
      </w:r>
      <w:r w:rsidR="00CF4074">
        <w:rPr>
          <w:color w:val="000000"/>
        </w:rPr>
        <w:t xml:space="preserve"> </w:t>
      </w:r>
      <w:r w:rsidR="005E6F83">
        <w:rPr>
          <w:color w:val="000000"/>
        </w:rPr>
        <w:t>At</w:t>
      </w:r>
      <w:r w:rsidR="00A85605">
        <w:rPr>
          <w:color w:val="000000"/>
        </w:rPr>
        <w:t xml:space="preserve"> centralized</w:t>
      </w:r>
      <w:r w:rsidR="005E6F83">
        <w:rPr>
          <w:color w:val="000000"/>
        </w:rPr>
        <w:t xml:space="preserve"> FR training conference</w:t>
      </w:r>
      <w:r w:rsidR="006F1826">
        <w:rPr>
          <w:color w:val="000000"/>
        </w:rPr>
        <w:t>s</w:t>
      </w:r>
      <w:r w:rsidR="005E6F83">
        <w:rPr>
          <w:color w:val="000000"/>
        </w:rPr>
        <w:t>, FRs</w:t>
      </w:r>
      <w:r w:rsidR="002B41CB">
        <w:rPr>
          <w:color w:val="000000"/>
        </w:rPr>
        <w:t xml:space="preserve"> </w:t>
      </w:r>
      <w:r>
        <w:rPr>
          <w:color w:val="000000"/>
        </w:rPr>
        <w:t>have an opportunity to learn from each other</w:t>
      </w:r>
      <w:r w:rsidR="005E6F83">
        <w:rPr>
          <w:color w:val="000000"/>
        </w:rPr>
        <w:t xml:space="preserve"> on</w:t>
      </w:r>
      <w:r>
        <w:rPr>
          <w:color w:val="000000"/>
        </w:rPr>
        <w:t xml:space="preserve"> how to convert physicians that initially refuse to participate.</w:t>
      </w:r>
      <w:r w:rsidR="001A4ACB">
        <w:rPr>
          <w:color w:val="000000"/>
        </w:rPr>
        <w:t xml:space="preserve"> Because the physician and office staff are already very busy with patients and their associated paperwork, some may view such a survey as additional, volunteer work that they do not have the time or desire to complete. </w:t>
      </w:r>
      <w:r w:rsidR="00CF4074">
        <w:rPr>
          <w:color w:val="000000"/>
        </w:rPr>
        <w:t xml:space="preserve"> </w:t>
      </w:r>
      <w:r w:rsidR="001A4ACB">
        <w:rPr>
          <w:color w:val="000000"/>
        </w:rPr>
        <w:t xml:space="preserve">In addition, because of the many Medicaid and Medicare regulations from the government, numerous physicians may view this survey as a further intrusion into their private practice. </w:t>
      </w:r>
      <w:r w:rsidR="00CF4074">
        <w:rPr>
          <w:color w:val="000000"/>
        </w:rPr>
        <w:t xml:space="preserve"> </w:t>
      </w:r>
      <w:r w:rsidR="001A4ACB">
        <w:rPr>
          <w:color w:val="000000"/>
        </w:rPr>
        <w:t>Our efforts are many times overshadowed by private industry, which may pay the physician and office staff for their time.</w:t>
      </w:r>
    </w:p>
    <w:p w14:paraId="2B3CF433" w14:textId="77777777" w:rsidR="005B5E07" w:rsidRDefault="005B5E07" w:rsidP="00542AAC">
      <w:pPr>
        <w:rPr>
          <w:color w:val="000000"/>
        </w:rPr>
      </w:pPr>
    </w:p>
    <w:p w14:paraId="3EFB73AA" w14:textId="06FBC81A" w:rsidR="001A4ACB" w:rsidRDefault="001A4ACB" w:rsidP="00542AAC">
      <w:pPr>
        <w:rPr>
          <w:color w:val="000000"/>
        </w:rPr>
      </w:pPr>
      <w:r>
        <w:rPr>
          <w:color w:val="000000"/>
        </w:rPr>
        <w:t xml:space="preserve">Each year we publish weighted response rates by a variety of physician characteristics available from the sampling frame and the physicians themselves. Additional information concerning the </w:t>
      </w:r>
      <w:r w:rsidR="000401B2">
        <w:rPr>
          <w:color w:val="000000"/>
        </w:rPr>
        <w:t xml:space="preserve">anticipated </w:t>
      </w:r>
      <w:r w:rsidR="00F54C15">
        <w:rPr>
          <w:color w:val="000000"/>
        </w:rPr>
        <w:t>201</w:t>
      </w:r>
      <w:r w:rsidR="00DE7A8D">
        <w:rPr>
          <w:color w:val="000000"/>
        </w:rPr>
        <w:t>9</w:t>
      </w:r>
      <w:r w:rsidR="00F54C15">
        <w:rPr>
          <w:color w:val="000000"/>
        </w:rPr>
        <w:t>-20</w:t>
      </w:r>
      <w:r w:rsidR="00DE7A8D">
        <w:rPr>
          <w:color w:val="000000"/>
        </w:rPr>
        <w:t>21</w:t>
      </w:r>
      <w:r w:rsidR="00C17F47">
        <w:rPr>
          <w:color w:val="000000"/>
        </w:rPr>
        <w:t xml:space="preserve"> </w:t>
      </w:r>
      <w:r>
        <w:rPr>
          <w:color w:val="000000"/>
        </w:rPr>
        <w:t xml:space="preserve">nonresponse is described in </w:t>
      </w:r>
      <w:r w:rsidR="00CF4074">
        <w:rPr>
          <w:color w:val="000000"/>
        </w:rPr>
        <w:t>s</w:t>
      </w:r>
      <w:r>
        <w:rPr>
          <w:color w:val="000000"/>
        </w:rPr>
        <w:t>ection</w:t>
      </w:r>
      <w:r w:rsidR="00F54C15">
        <w:rPr>
          <w:color w:val="000000"/>
        </w:rPr>
        <w:t xml:space="preserve"> </w:t>
      </w:r>
      <w:r w:rsidR="009F2196">
        <w:rPr>
          <w:color w:val="000000"/>
        </w:rPr>
        <w:t>B</w:t>
      </w:r>
      <w:r>
        <w:rPr>
          <w:color w:val="000000"/>
        </w:rPr>
        <w:t>3.</w:t>
      </w:r>
    </w:p>
    <w:p w14:paraId="4F911F64" w14:textId="77777777" w:rsidR="00D67D0F" w:rsidRPr="00CF4074" w:rsidRDefault="00D67D0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14:paraId="0D6E28FB" w14:textId="77777777" w:rsidR="006C1EC5" w:rsidRPr="00CF407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CF4074">
        <w:rPr>
          <w:rFonts w:ascii="Times New Roman" w:hAnsi="Times New Roman"/>
          <w:i/>
          <w:color w:val="000000"/>
        </w:rPr>
        <w:t>Sampling Errors</w:t>
      </w:r>
    </w:p>
    <w:p w14:paraId="5626DD01"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DBC8A9F" w14:textId="4704D4BF" w:rsidR="003C0B32" w:rsidRDefault="00925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877BF">
        <w:rPr>
          <w:rFonts w:ascii="Times New Roman" w:hAnsi="Times New Roman"/>
          <w:color w:val="000000"/>
        </w:rPr>
        <w:t xml:space="preserve">The standard error is primarily a measure of the sampling variability that occurs by chance because only a sample rather than an entire universe is surveyed. Estimates of the sampling variability were calculated using Taylor </w:t>
      </w:r>
      <w:r w:rsidR="00BA056E">
        <w:rPr>
          <w:rFonts w:ascii="Times New Roman" w:hAnsi="Times New Roman"/>
          <w:color w:val="000000"/>
        </w:rPr>
        <w:t xml:space="preserve">series </w:t>
      </w:r>
      <w:r w:rsidRPr="003877BF">
        <w:rPr>
          <w:rFonts w:ascii="Times New Roman" w:hAnsi="Times New Roman"/>
          <w:color w:val="000000"/>
        </w:rPr>
        <w:t xml:space="preserve">approximations in SUDAAN, which take into account the complex sample design of NAMCS. </w:t>
      </w:r>
      <w:r w:rsidR="00CF4074">
        <w:rPr>
          <w:rFonts w:ascii="Times New Roman" w:hAnsi="Times New Roman"/>
          <w:color w:val="000000"/>
        </w:rPr>
        <w:t xml:space="preserve"> </w:t>
      </w:r>
      <w:r w:rsidRPr="003877BF">
        <w:rPr>
          <w:rFonts w:ascii="Times New Roman" w:hAnsi="Times New Roman"/>
          <w:color w:val="000000"/>
        </w:rPr>
        <w:t>A description of the software and its approach has been published</w:t>
      </w:r>
      <w:r w:rsidR="00CF4074">
        <w:rPr>
          <w:rFonts w:ascii="Times New Roman" w:hAnsi="Times New Roman"/>
          <w:color w:val="000000"/>
        </w:rPr>
        <w:t xml:space="preserve"> elsewhere</w:t>
      </w:r>
      <w:r w:rsidR="00DE7A8D">
        <w:rPr>
          <w:rFonts w:ascii="Times New Roman" w:hAnsi="Times New Roman"/>
          <w:color w:val="000000"/>
        </w:rPr>
        <w:t>.</w:t>
      </w:r>
      <w:r w:rsidR="00A85605">
        <w:rPr>
          <w:rStyle w:val="FootnoteReference"/>
          <w:rFonts w:ascii="Times New Roman" w:hAnsi="Times New Roman"/>
          <w:color w:val="000000"/>
        </w:rPr>
        <w:footnoteReference w:id="1"/>
      </w:r>
    </w:p>
    <w:p w14:paraId="67F01650" w14:textId="781574E9" w:rsidR="003C0B32" w:rsidRDefault="00CF4074" w:rsidP="00405107">
      <w:pPr>
        <w:pStyle w:val="Heading1"/>
      </w:pPr>
      <w:bookmarkStart w:id="5" w:name="_Toc505596437"/>
      <w:r>
        <w:t>3</w:t>
      </w:r>
      <w:r w:rsidR="003C0B32">
        <w:t xml:space="preserve">. </w:t>
      </w:r>
      <w:r w:rsidR="00363A7A">
        <w:t>Meaningful Use (MU)</w:t>
      </w:r>
      <w:r w:rsidR="003C0B32">
        <w:t xml:space="preserve"> Office-based Physicians</w:t>
      </w:r>
      <w:bookmarkEnd w:id="5"/>
    </w:p>
    <w:p w14:paraId="1ACCA3D7" w14:textId="77777777" w:rsidR="003C0B32" w:rsidRDefault="003C0B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13938AB" w14:textId="3BB5F04D" w:rsidR="00F472F5" w:rsidRPr="001E2746" w:rsidRDefault="00C77423" w:rsidP="00F472F5">
      <w:pPr>
        <w:rPr>
          <w:b/>
          <w:bCs/>
        </w:rPr>
      </w:pPr>
      <w:r w:rsidRPr="00C77423">
        <w:t xml:space="preserve">In multiple places throughout this </w:t>
      </w:r>
      <w:r>
        <w:t xml:space="preserve">OMB </w:t>
      </w:r>
      <w:r w:rsidRPr="00C77423">
        <w:t xml:space="preserve">package we use the term Meaningful Use (MU) to describe </w:t>
      </w:r>
      <w:r>
        <w:t xml:space="preserve">a </w:t>
      </w:r>
      <w:r w:rsidR="00F207AC" w:rsidRPr="00C77423">
        <w:t>physician’s</w:t>
      </w:r>
      <w:r w:rsidRPr="00C77423">
        <w:t>/provider</w:t>
      </w:r>
      <w:r w:rsidR="00F207AC">
        <w:t>’</w:t>
      </w:r>
      <w:r w:rsidRPr="00C77423">
        <w:t>s ability to meet public health reporting objectives of the Medicare Quality Payment Program final rule and the Centers for Medicaid and Medicare Services (CMS) EHR Incentives Programs final rule o</w:t>
      </w:r>
      <w:r w:rsidR="00D00460">
        <w:t xml:space="preserve">n modified Stage 2 and Stage 3.  </w:t>
      </w:r>
      <w:r w:rsidR="00A74BA3">
        <w:t>A</w:t>
      </w:r>
      <w:r w:rsidR="00812AB5">
        <w:t xml:space="preserve">s mentioned in </w:t>
      </w:r>
      <w:r w:rsidR="00A74BA3">
        <w:t xml:space="preserve">the beginning of </w:t>
      </w:r>
      <w:r w:rsidR="00812AB5">
        <w:t xml:space="preserve">Supporting Statement A, </w:t>
      </w:r>
      <w:r w:rsidR="00D00460">
        <w:t>t</w:t>
      </w:r>
      <w:r w:rsidRPr="00C77423">
        <w:t>he same CMS concept is now referred to as the Promoting Interoperability (PI) Program</w:t>
      </w:r>
      <w:r w:rsidR="00812AB5">
        <w:t>,</w:t>
      </w:r>
      <w:r w:rsidRPr="00C77423">
        <w:t xml:space="preserve"> </w:t>
      </w:r>
      <w:r w:rsidR="00012E94">
        <w:t xml:space="preserve">but is </w:t>
      </w:r>
      <w:r w:rsidRPr="001E2746">
        <w:t>referenced as MU for this package.</w:t>
      </w:r>
      <w:r w:rsidR="00F472F5" w:rsidRPr="001E2746">
        <w:t xml:space="preserve"> </w:t>
      </w:r>
      <w:r w:rsidR="00F472F5" w:rsidRPr="001E2746">
        <w:rPr>
          <w:bCs/>
        </w:rPr>
        <w:t xml:space="preserve">Justification for including and increasing the MU physician component for the 2020-2021 NAMCS samples is presented above </w:t>
      </w:r>
      <w:r w:rsidR="001E2746" w:rsidRPr="001E2746">
        <w:rPr>
          <w:bCs/>
        </w:rPr>
        <w:t>in s</w:t>
      </w:r>
      <w:r w:rsidR="00F472F5" w:rsidRPr="001E2746">
        <w:rPr>
          <w:bCs/>
        </w:rPr>
        <w:t xml:space="preserve">ection B1. </w:t>
      </w:r>
    </w:p>
    <w:p w14:paraId="04F8E605" w14:textId="06F5CD5A" w:rsidR="00C77423" w:rsidRPr="00C77423" w:rsidRDefault="00C77423" w:rsidP="003C0B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F372C32" w14:textId="77777777" w:rsidR="00C77423" w:rsidRDefault="00C77423" w:rsidP="003C0B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498D107" w14:textId="77C3D7B5" w:rsidR="003C0B32" w:rsidRDefault="003C0B32" w:rsidP="003C0B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For data </w:t>
      </w:r>
      <w:r w:rsidR="00BC4547">
        <w:rPr>
          <w:rFonts w:ascii="Times New Roman" w:hAnsi="Times New Roman"/>
          <w:color w:val="000000"/>
        </w:rPr>
        <w:t xml:space="preserve">collection </w:t>
      </w:r>
      <w:r>
        <w:rPr>
          <w:rFonts w:ascii="Times New Roman" w:hAnsi="Times New Roman"/>
          <w:color w:val="000000"/>
        </w:rPr>
        <w:t xml:space="preserve">via EHR submission, a series of training materials have been developed for each registered physician to use in an effort to assist in guiding him/her in the submission process. </w:t>
      </w:r>
      <w:r w:rsidR="00363A7A">
        <w:rPr>
          <w:rFonts w:ascii="Times New Roman" w:hAnsi="Times New Roman"/>
          <w:color w:val="000000"/>
        </w:rPr>
        <w:t xml:space="preserve"> </w:t>
      </w:r>
      <w:r>
        <w:rPr>
          <w:rFonts w:ascii="Times New Roman" w:hAnsi="Times New Roman"/>
          <w:color w:val="000000"/>
        </w:rPr>
        <w:t xml:space="preserve">These materials include information and answers on registering for the National Health Care Surveys Registry, requirements needed to be met when registering, and what happens when a physician has been sampled for participation in NAMCS. </w:t>
      </w:r>
      <w:r w:rsidR="00363A7A">
        <w:rPr>
          <w:rFonts w:ascii="Times New Roman" w:hAnsi="Times New Roman"/>
          <w:color w:val="000000"/>
        </w:rPr>
        <w:t xml:space="preserve"> </w:t>
      </w:r>
      <w:r>
        <w:rPr>
          <w:rFonts w:ascii="Times New Roman" w:hAnsi="Times New Roman"/>
          <w:color w:val="000000"/>
        </w:rPr>
        <w:t>These materials are made available not only on the NAMCS website (</w:t>
      </w:r>
      <w:hyperlink r:id="rId10" w:history="1">
        <w:r w:rsidRPr="002957F3">
          <w:rPr>
            <w:rStyle w:val="Hyperlink"/>
            <w:rFonts w:ascii="Times New Roman" w:hAnsi="Times New Roman"/>
          </w:rPr>
          <w:t>https://www.cdc.gov/nchs/dhcs/meaningful_use.htm</w:t>
        </w:r>
      </w:hyperlink>
      <w:r>
        <w:rPr>
          <w:rFonts w:ascii="Times New Roman" w:hAnsi="Times New Roman"/>
          <w:color w:val="000000"/>
        </w:rPr>
        <w:t xml:space="preserve">), but also delivered electronically when a physician </w:t>
      </w:r>
      <w:r w:rsidR="00363A7A">
        <w:rPr>
          <w:rFonts w:ascii="Times New Roman" w:hAnsi="Times New Roman"/>
          <w:color w:val="000000"/>
        </w:rPr>
        <w:t xml:space="preserve">has </w:t>
      </w:r>
      <w:r>
        <w:rPr>
          <w:rFonts w:ascii="Times New Roman" w:hAnsi="Times New Roman"/>
          <w:color w:val="000000"/>
        </w:rPr>
        <w:t>register</w:t>
      </w:r>
      <w:r w:rsidR="00363A7A">
        <w:rPr>
          <w:rFonts w:ascii="Times New Roman" w:hAnsi="Times New Roman"/>
          <w:color w:val="000000"/>
        </w:rPr>
        <w:t>ed</w:t>
      </w:r>
      <w:r>
        <w:rPr>
          <w:rFonts w:ascii="Times New Roman" w:hAnsi="Times New Roman"/>
          <w:color w:val="000000"/>
        </w:rPr>
        <w:t xml:space="preserve">, and is sampled for participation. </w:t>
      </w:r>
      <w:r w:rsidR="00363A7A">
        <w:rPr>
          <w:rFonts w:ascii="Times New Roman" w:hAnsi="Times New Roman"/>
          <w:color w:val="000000"/>
        </w:rPr>
        <w:t xml:space="preserve"> </w:t>
      </w:r>
    </w:p>
    <w:p w14:paraId="3C6069AF" w14:textId="06F9CF59" w:rsidR="003C0B32" w:rsidRPr="00363A7A" w:rsidRDefault="003C0B32" w:rsidP="003C0B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B128D27" w14:textId="72A03F2D" w:rsidR="003C0B32" w:rsidRPr="00774847" w:rsidRDefault="003C0B32" w:rsidP="003C0B32">
      <w:pPr>
        <w:widowControl w:val="0"/>
        <w:contextualSpacing/>
        <w:rPr>
          <w:color w:val="FF0000"/>
        </w:rPr>
      </w:pPr>
      <w:r w:rsidRPr="0097314B">
        <w:t xml:space="preserve">For sampled physicians who </w:t>
      </w:r>
      <w:r w:rsidR="005D51A2" w:rsidRPr="0097314B">
        <w:t>registered with the</w:t>
      </w:r>
      <w:r w:rsidRPr="0097314B">
        <w:t xml:space="preserve"> National Health Care Surveys Registry</w:t>
      </w:r>
      <w:r w:rsidR="00363A7A" w:rsidRPr="0097314B">
        <w:t>, t</w:t>
      </w:r>
      <w:r w:rsidR="00A37B73" w:rsidRPr="0097314B">
        <w:t xml:space="preserve">he selected </w:t>
      </w:r>
      <w:r w:rsidR="0068202D" w:rsidRPr="0097314B">
        <w:t xml:space="preserve">outside NCHS </w:t>
      </w:r>
      <w:r w:rsidR="00A37B73" w:rsidRPr="0097314B">
        <w:t xml:space="preserve">contractor will initiate </w:t>
      </w:r>
      <w:r w:rsidR="00482362">
        <w:t xml:space="preserve">contact </w:t>
      </w:r>
      <w:r w:rsidR="008F192A">
        <w:t xml:space="preserve">with the Registry organizational </w:t>
      </w:r>
      <w:r w:rsidR="00A37B73" w:rsidRPr="0097314B">
        <w:t xml:space="preserve">contact </w:t>
      </w:r>
      <w:r w:rsidR="008F192A">
        <w:t xml:space="preserve">associated </w:t>
      </w:r>
      <w:r w:rsidR="00A37B73" w:rsidRPr="0097314B">
        <w:t xml:space="preserve">with the </w:t>
      </w:r>
      <w:r w:rsidR="00482362">
        <w:t>physician</w:t>
      </w:r>
      <w:r w:rsidR="00391263" w:rsidRPr="00391263">
        <w:t xml:space="preserve"> </w:t>
      </w:r>
      <w:r w:rsidR="00391263">
        <w:t>e</w:t>
      </w:r>
      <w:r w:rsidR="00391263" w:rsidRPr="0097314B">
        <w:t>lectronically</w:t>
      </w:r>
      <w:r w:rsidR="00391263" w:rsidRPr="00391263">
        <w:t xml:space="preserve"> </w:t>
      </w:r>
      <w:r w:rsidR="00391263" w:rsidRPr="0097314B">
        <w:t>with a form letter</w:t>
      </w:r>
      <w:r w:rsidR="00391263">
        <w:t>.</w:t>
      </w:r>
      <w:r w:rsidR="00703C86">
        <w:t xml:space="preserve"> </w:t>
      </w:r>
      <w:r w:rsidR="00391263">
        <w:t>A</w:t>
      </w:r>
      <w:r w:rsidR="00703C86">
        <w:t xml:space="preserve"> small number of EHR physicians may be their own </w:t>
      </w:r>
      <w:r w:rsidR="00703C86" w:rsidRPr="00703C86">
        <w:t>organizational contact</w:t>
      </w:r>
      <w:r w:rsidR="00A37B73" w:rsidRPr="0097314B">
        <w:t xml:space="preserve">. </w:t>
      </w:r>
      <w:r w:rsidR="00363A7A" w:rsidRPr="0097314B">
        <w:t xml:space="preserve"> </w:t>
      </w:r>
      <w:r w:rsidR="00A37B73" w:rsidRPr="0097314B">
        <w:t>T</w:t>
      </w:r>
      <w:r w:rsidRPr="0097314B">
        <w:t>he letter inform</w:t>
      </w:r>
      <w:r w:rsidR="005D51A2" w:rsidRPr="0097314B">
        <w:t>s</w:t>
      </w:r>
      <w:r w:rsidRPr="0097314B">
        <w:t xml:space="preserve"> the</w:t>
      </w:r>
      <w:r w:rsidR="005D51A2" w:rsidRPr="0097314B">
        <w:t xml:space="preserve"> organizational contact that provider</w:t>
      </w:r>
      <w:r w:rsidR="00A37B73" w:rsidRPr="0097314B">
        <w:t>(</w:t>
      </w:r>
      <w:r w:rsidR="005D51A2" w:rsidRPr="0097314B">
        <w:t>s</w:t>
      </w:r>
      <w:r w:rsidR="00A37B73" w:rsidRPr="0097314B">
        <w:t>)</w:t>
      </w:r>
      <w:r w:rsidR="005D51A2" w:rsidRPr="0097314B">
        <w:t xml:space="preserve"> from their organization </w:t>
      </w:r>
      <w:r w:rsidR="00A37B73" w:rsidRPr="0097314B">
        <w:t>have been</w:t>
      </w:r>
      <w:r w:rsidR="005D51A2" w:rsidRPr="0097314B">
        <w:t xml:space="preserve"> </w:t>
      </w:r>
      <w:r w:rsidRPr="0097314B">
        <w:t>sampled for participation in NAMCS</w:t>
      </w:r>
      <w:r w:rsidR="00482362">
        <w:t xml:space="preserve"> and asks </w:t>
      </w:r>
      <w:r w:rsidR="00FB5450">
        <w:t>the contact to communicate with</w:t>
      </w:r>
      <w:r w:rsidR="00482362">
        <w:t xml:space="preserve"> NCHS </w:t>
      </w:r>
      <w:r w:rsidR="00FB5450">
        <w:t>about</w:t>
      </w:r>
      <w:r w:rsidR="00482362">
        <w:t xml:space="preserve"> how electronic data submission will be arranged.  </w:t>
      </w:r>
      <w:r w:rsidRPr="0097314B">
        <w:t xml:space="preserve">In addition, </w:t>
      </w:r>
      <w:r w:rsidR="00A37B73" w:rsidRPr="0097314B">
        <w:t xml:space="preserve">the letter </w:t>
      </w:r>
      <w:r w:rsidRPr="0097314B">
        <w:t xml:space="preserve">reminds </w:t>
      </w:r>
      <w:r w:rsidR="0041340E" w:rsidRPr="0097314B">
        <w:t xml:space="preserve">or informs </w:t>
      </w:r>
      <w:r w:rsidR="00A37B73" w:rsidRPr="0097314B">
        <w:t xml:space="preserve">the organization of </w:t>
      </w:r>
      <w:r w:rsidR="00A721F6" w:rsidRPr="0097314B">
        <w:t xml:space="preserve">the </w:t>
      </w:r>
      <w:r w:rsidR="00D842B6" w:rsidRPr="0097314B">
        <w:t>registered provider</w:t>
      </w:r>
      <w:r w:rsidR="00A721F6" w:rsidRPr="0097314B">
        <w:t>’s</w:t>
      </w:r>
      <w:r w:rsidR="00D842B6" w:rsidRPr="0097314B">
        <w:t xml:space="preserve"> </w:t>
      </w:r>
      <w:r w:rsidR="00A37B73" w:rsidRPr="0097314B">
        <w:t>willingness to submit</w:t>
      </w:r>
      <w:r w:rsidRPr="0097314B">
        <w:t xml:space="preserve"> electronic data for NAMCS when requested in order to meet the public health reporting objectives of the Medicare Quality Payment Program final rule and the Centers for Medicaid and Medicare Services EHR </w:t>
      </w:r>
      <w:r w:rsidR="006F5789" w:rsidRPr="0097314B">
        <w:t>I</w:t>
      </w:r>
      <w:r w:rsidRPr="0097314B">
        <w:t xml:space="preserve">ncentives </w:t>
      </w:r>
      <w:r w:rsidR="006F5789" w:rsidRPr="0097314B">
        <w:t>P</w:t>
      </w:r>
      <w:r w:rsidRPr="0097314B">
        <w:t>rogram</w:t>
      </w:r>
      <w:r w:rsidR="008D3F6E">
        <w:t>s</w:t>
      </w:r>
      <w:r w:rsidRPr="0097314B">
        <w:t xml:space="preserve"> final rule on modified Stage 2 and Stage 3. To </w:t>
      </w:r>
      <w:r w:rsidR="00482362">
        <w:t xml:space="preserve">remain </w:t>
      </w:r>
      <w:r w:rsidRPr="0097314B">
        <w:t xml:space="preserve">in good standing, the registrant is required to </w:t>
      </w:r>
      <w:r w:rsidR="00703C86">
        <w:t xml:space="preserve">have their organizational </w:t>
      </w:r>
      <w:r w:rsidR="00703C86" w:rsidRPr="0097314B">
        <w:t xml:space="preserve">contact </w:t>
      </w:r>
      <w:r w:rsidRPr="0097314B">
        <w:t xml:space="preserve">respond to this letter within </w:t>
      </w:r>
      <w:r w:rsidR="00482362">
        <w:t>6</w:t>
      </w:r>
      <w:r w:rsidRPr="0097314B">
        <w:t xml:space="preserve">0 calendar days. We anticipate </w:t>
      </w:r>
      <w:r w:rsidR="008B56B2" w:rsidRPr="0097314B">
        <w:t xml:space="preserve">minor </w:t>
      </w:r>
      <w:r w:rsidRPr="0097314B">
        <w:t>burden for MU physicians during the 20</w:t>
      </w:r>
      <w:r w:rsidR="003118BF" w:rsidRPr="0097314B">
        <w:t>20</w:t>
      </w:r>
      <w:r w:rsidRPr="0097314B">
        <w:t xml:space="preserve">-2021 survey period, as </w:t>
      </w:r>
      <w:r w:rsidR="001E2746">
        <w:t>described in s</w:t>
      </w:r>
      <w:r w:rsidR="008B56B2" w:rsidRPr="0097314B">
        <w:t>ection 12 of Supporting Statement A.</w:t>
      </w:r>
      <w:r w:rsidR="008B56B2" w:rsidRPr="00774847">
        <w:rPr>
          <w:color w:val="FF0000"/>
        </w:rPr>
        <w:t xml:space="preserve">  </w:t>
      </w:r>
    </w:p>
    <w:p w14:paraId="0000E082" w14:textId="322F2F55" w:rsidR="00F60A18" w:rsidRDefault="00F60A18" w:rsidP="003C0B32">
      <w:pPr>
        <w:widowControl w:val="0"/>
        <w:contextualSpacing/>
      </w:pPr>
    </w:p>
    <w:p w14:paraId="20189B58" w14:textId="77777777" w:rsidR="00F60A18" w:rsidRPr="002C1114" w:rsidRDefault="00F60A18" w:rsidP="00394541">
      <w:pPr>
        <w:rPr>
          <w:u w:val="single"/>
        </w:rPr>
      </w:pPr>
      <w:r w:rsidRPr="002C1114">
        <w:rPr>
          <w:u w:val="single"/>
        </w:rPr>
        <w:t>Physician/Facility Information</w:t>
      </w:r>
    </w:p>
    <w:p w14:paraId="6B0C4A58" w14:textId="77777777" w:rsidR="00F60A18" w:rsidRPr="00BD3BD3" w:rsidRDefault="00F60A18" w:rsidP="00F60A18"/>
    <w:p w14:paraId="6D79AF45" w14:textId="2669CAFD" w:rsidR="00F60A18" w:rsidRDefault="0026770A" w:rsidP="00363A7A">
      <w:r>
        <w:t>The first formal NAMCS data collection requirement for each sampled</w:t>
      </w:r>
      <w:r w:rsidR="007D1585">
        <w:t xml:space="preserve"> EHR physician</w:t>
      </w:r>
      <w:r w:rsidR="00F60A18">
        <w:t xml:space="preserve"> </w:t>
      </w:r>
      <w:r>
        <w:t xml:space="preserve">is </w:t>
      </w:r>
      <w:r w:rsidR="00120E7B">
        <w:t xml:space="preserve">to complete </w:t>
      </w:r>
      <w:r>
        <w:t xml:space="preserve">a </w:t>
      </w:r>
      <w:r w:rsidR="00120E7B">
        <w:t xml:space="preserve">Physician </w:t>
      </w:r>
      <w:r w:rsidR="00F60A18">
        <w:t>Facility Information (PFI) form</w:t>
      </w:r>
      <w:r w:rsidR="008B56B2">
        <w:t xml:space="preserve"> (</w:t>
      </w:r>
      <w:r w:rsidR="008B56B2" w:rsidRPr="004322E0">
        <w:rPr>
          <w:b/>
        </w:rPr>
        <w:t>Attachment N</w:t>
      </w:r>
      <w:r w:rsidR="008B56B2">
        <w:t>)</w:t>
      </w:r>
      <w:r w:rsidR="00853CAE">
        <w:t xml:space="preserve">. </w:t>
      </w:r>
      <w:r w:rsidR="00B4676C">
        <w:t xml:space="preserve">The questions on the PFI form represent a compressed version of the NAMCS induction questions that are completed by traditional </w:t>
      </w:r>
      <w:r w:rsidR="00363A7A">
        <w:t xml:space="preserve">office-based </w:t>
      </w:r>
      <w:r w:rsidR="00B4676C">
        <w:t>NAMCS physicians. The organization</w:t>
      </w:r>
      <w:r w:rsidR="007D7049">
        <w:t>al contacts</w:t>
      </w:r>
      <w:r w:rsidR="00B4676C">
        <w:t xml:space="preserve"> are asked to complete </w:t>
      </w:r>
      <w:r w:rsidR="00377BF9">
        <w:t>this PFI form (</w:t>
      </w:r>
      <w:r w:rsidR="00B4676C">
        <w:t xml:space="preserve">on behalf of </w:t>
      </w:r>
      <w:r w:rsidR="00F97D70">
        <w:t>each</w:t>
      </w:r>
      <w:r w:rsidR="00377BF9">
        <w:t xml:space="preserve"> </w:t>
      </w:r>
      <w:r>
        <w:t>sampled physician</w:t>
      </w:r>
      <w:r w:rsidR="00377BF9">
        <w:t>)</w:t>
      </w:r>
      <w:r w:rsidR="00B4676C">
        <w:t xml:space="preserve">, and submit </w:t>
      </w:r>
      <w:r w:rsidR="00377BF9">
        <w:t>them</w:t>
      </w:r>
      <w:r w:rsidR="00B4676C">
        <w:t xml:space="preserve"> within </w:t>
      </w:r>
      <w:r w:rsidR="00363A7A">
        <w:t>seven</w:t>
      </w:r>
      <w:r w:rsidR="00F60A18">
        <w:t xml:space="preserve"> days. </w:t>
      </w:r>
      <w:r w:rsidR="00B415D1">
        <w:t xml:space="preserve">  </w:t>
      </w:r>
      <w:r w:rsidR="00F60A18">
        <w:t xml:space="preserve">Once the PFI form is returned, it is reviewed to verify the physician’s eligibility. </w:t>
      </w:r>
      <w:r w:rsidR="007D7049">
        <w:t>E</w:t>
      </w:r>
      <w:r w:rsidR="00377BF9">
        <w:t xml:space="preserve">ligible physicians are invited to </w:t>
      </w:r>
      <w:r w:rsidR="00F60A18">
        <w:t>begin</w:t>
      </w:r>
      <w:r w:rsidR="007D7049">
        <w:t xml:space="preserve"> the</w:t>
      </w:r>
      <w:r w:rsidR="00F60A18">
        <w:t xml:space="preserve"> </w:t>
      </w:r>
      <w:r w:rsidR="007D7049">
        <w:t xml:space="preserve">process of </w:t>
      </w:r>
      <w:r w:rsidR="00F60A18">
        <w:t>testing and validation</w:t>
      </w:r>
      <w:r w:rsidR="00377BF9">
        <w:t xml:space="preserve"> of their EHR systems</w:t>
      </w:r>
      <w:r w:rsidR="00F60A18">
        <w:t xml:space="preserve">. </w:t>
      </w:r>
    </w:p>
    <w:p w14:paraId="0D48DEB4" w14:textId="1D04ACDB" w:rsidR="00F85680" w:rsidRDefault="00F85680" w:rsidP="00F60A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76807A0" w14:textId="3DF9C7DF" w:rsidR="002C1114" w:rsidRDefault="002C1114" w:rsidP="0039454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2C1114">
        <w:rPr>
          <w:rFonts w:ascii="Times New Roman" w:hAnsi="Times New Roman"/>
          <w:u w:val="single"/>
        </w:rPr>
        <w:t>Data Collection</w:t>
      </w:r>
    </w:p>
    <w:p w14:paraId="327597F2" w14:textId="77777777" w:rsidR="002C1114" w:rsidRPr="002C1114" w:rsidRDefault="002C1114" w:rsidP="00F60A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14:paraId="7045E7B8" w14:textId="79119C97" w:rsidR="00F60A18" w:rsidRDefault="007D7049" w:rsidP="00F60A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97314B">
        <w:rPr>
          <w:rFonts w:ascii="Times New Roman" w:hAnsi="Times New Roman"/>
        </w:rPr>
        <w:t>Once</w:t>
      </w:r>
      <w:r w:rsidR="00F60A18" w:rsidRPr="0097314B">
        <w:rPr>
          <w:rFonts w:ascii="Times New Roman" w:hAnsi="Times New Roman"/>
        </w:rPr>
        <w:t xml:space="preserve"> </w:t>
      </w:r>
      <w:r w:rsidRPr="0097314B">
        <w:rPr>
          <w:rFonts w:ascii="Times New Roman" w:hAnsi="Times New Roman"/>
        </w:rPr>
        <w:t xml:space="preserve">the results of </w:t>
      </w:r>
      <w:r w:rsidR="00F60A18" w:rsidRPr="0097314B">
        <w:rPr>
          <w:rFonts w:ascii="Times New Roman" w:hAnsi="Times New Roman"/>
        </w:rPr>
        <w:t xml:space="preserve">testing and validation </w:t>
      </w:r>
      <w:r w:rsidRPr="0097314B">
        <w:rPr>
          <w:rFonts w:ascii="Times New Roman" w:hAnsi="Times New Roman"/>
        </w:rPr>
        <w:t>show</w:t>
      </w:r>
      <w:r w:rsidR="00F60A18" w:rsidRPr="0097314B">
        <w:rPr>
          <w:rFonts w:ascii="Times New Roman" w:hAnsi="Times New Roman"/>
        </w:rPr>
        <w:t xml:space="preserve"> that specific</w:t>
      </w:r>
      <w:r w:rsidRPr="0097314B">
        <w:rPr>
          <w:rFonts w:ascii="Times New Roman" w:hAnsi="Times New Roman"/>
        </w:rPr>
        <w:t xml:space="preserve"> transmission and compatibility</w:t>
      </w:r>
      <w:r w:rsidR="00F60A18" w:rsidRPr="0097314B">
        <w:rPr>
          <w:rFonts w:ascii="Times New Roman" w:hAnsi="Times New Roman"/>
        </w:rPr>
        <w:t xml:space="preserve"> guidelines were met</w:t>
      </w:r>
      <w:r w:rsidR="008F37AD" w:rsidRPr="0097314B">
        <w:rPr>
          <w:rFonts w:ascii="Times New Roman" w:hAnsi="Times New Roman"/>
        </w:rPr>
        <w:t>,</w:t>
      </w:r>
      <w:r w:rsidR="00F60A18" w:rsidRPr="0097314B">
        <w:rPr>
          <w:rFonts w:ascii="Times New Roman" w:hAnsi="Times New Roman"/>
        </w:rPr>
        <w:t xml:space="preserve"> the physician </w:t>
      </w:r>
      <w:r w:rsidR="008F37AD" w:rsidRPr="0097314B">
        <w:rPr>
          <w:rFonts w:ascii="Times New Roman" w:hAnsi="Times New Roman"/>
        </w:rPr>
        <w:t xml:space="preserve">or his organization </w:t>
      </w:r>
      <w:r w:rsidR="00F60A18" w:rsidRPr="0097314B">
        <w:rPr>
          <w:rFonts w:ascii="Times New Roman" w:hAnsi="Times New Roman"/>
        </w:rPr>
        <w:t xml:space="preserve">is then </w:t>
      </w:r>
      <w:r w:rsidRPr="0097314B">
        <w:rPr>
          <w:rFonts w:ascii="Times New Roman" w:hAnsi="Times New Roman"/>
        </w:rPr>
        <w:t>invited to the</w:t>
      </w:r>
      <w:r w:rsidR="00F60A18" w:rsidRPr="0097314B">
        <w:rPr>
          <w:rFonts w:ascii="Times New Roman" w:hAnsi="Times New Roman"/>
        </w:rPr>
        <w:t xml:space="preserve"> production</w:t>
      </w:r>
      <w:r w:rsidRPr="0097314B">
        <w:rPr>
          <w:rFonts w:ascii="Times New Roman" w:hAnsi="Times New Roman"/>
        </w:rPr>
        <w:t xml:space="preserve"> phase of NAMCS EHR data collection. Similar to traditional NAMCS, electronic visit data are submitted by the organizational contact </w:t>
      </w:r>
      <w:r w:rsidR="00800DB0" w:rsidRPr="0097314B">
        <w:rPr>
          <w:rFonts w:ascii="Times New Roman" w:hAnsi="Times New Roman"/>
        </w:rPr>
        <w:t xml:space="preserve">or physician themselves (although we anticipate </w:t>
      </w:r>
      <w:r w:rsidR="00774847" w:rsidRPr="0097314B">
        <w:rPr>
          <w:rFonts w:ascii="Times New Roman" w:hAnsi="Times New Roman"/>
        </w:rPr>
        <w:t xml:space="preserve">a very small number of actual </w:t>
      </w:r>
      <w:r w:rsidR="00800DB0" w:rsidRPr="0097314B">
        <w:rPr>
          <w:rFonts w:ascii="Times New Roman" w:hAnsi="Times New Roman"/>
        </w:rPr>
        <w:t>MU physician</w:t>
      </w:r>
      <w:r w:rsidR="00FA6D9A">
        <w:rPr>
          <w:rFonts w:ascii="Times New Roman" w:hAnsi="Times New Roman"/>
        </w:rPr>
        <w:t>s</w:t>
      </w:r>
      <w:r w:rsidR="00800DB0" w:rsidRPr="0097314B">
        <w:rPr>
          <w:rFonts w:ascii="Times New Roman" w:hAnsi="Times New Roman"/>
        </w:rPr>
        <w:t xml:space="preserve"> performing </w:t>
      </w:r>
      <w:r w:rsidR="00774847" w:rsidRPr="0097314B">
        <w:rPr>
          <w:rFonts w:ascii="Times New Roman" w:hAnsi="Times New Roman"/>
        </w:rPr>
        <w:t>any NAMCS work</w:t>
      </w:r>
      <w:r w:rsidR="00800DB0" w:rsidRPr="0097314B">
        <w:rPr>
          <w:rFonts w:ascii="Times New Roman" w:hAnsi="Times New Roman"/>
        </w:rPr>
        <w:t xml:space="preserve">) </w:t>
      </w:r>
      <w:r w:rsidRPr="0097314B">
        <w:rPr>
          <w:rFonts w:ascii="Times New Roman" w:hAnsi="Times New Roman"/>
        </w:rPr>
        <w:t>for each sampled provider based on an assigned 7-day reporting period.</w:t>
      </w:r>
      <w:r w:rsidR="009053C5" w:rsidRPr="0097314B">
        <w:rPr>
          <w:rFonts w:ascii="Times New Roman" w:hAnsi="Times New Roman"/>
        </w:rPr>
        <w:t xml:space="preserve"> </w:t>
      </w:r>
      <w:r w:rsidR="00F60A18" w:rsidRPr="0097314B">
        <w:rPr>
          <w:rFonts w:ascii="Times New Roman" w:hAnsi="Times New Roman"/>
        </w:rPr>
        <w:t>EHR visit data</w:t>
      </w:r>
      <w:r w:rsidR="009053C5" w:rsidRPr="0097314B">
        <w:rPr>
          <w:rFonts w:ascii="Times New Roman" w:hAnsi="Times New Roman"/>
        </w:rPr>
        <w:t xml:space="preserve"> are expected to be delivered</w:t>
      </w:r>
      <w:r w:rsidR="00F60A18" w:rsidRPr="0097314B">
        <w:rPr>
          <w:rFonts w:ascii="Times New Roman" w:hAnsi="Times New Roman"/>
        </w:rPr>
        <w:t xml:space="preserve"> to the contractor within 30 days of receiving </w:t>
      </w:r>
      <w:r w:rsidR="009053C5" w:rsidRPr="0097314B">
        <w:rPr>
          <w:rFonts w:ascii="Times New Roman" w:hAnsi="Times New Roman"/>
        </w:rPr>
        <w:t>an invitation to</w:t>
      </w:r>
      <w:r w:rsidR="00F60A18" w:rsidRPr="0097314B">
        <w:rPr>
          <w:rFonts w:ascii="Times New Roman" w:hAnsi="Times New Roman"/>
        </w:rPr>
        <w:t xml:space="preserve"> production. Similar to the NAMCS PRF, the EHR visit data submitted contains </w:t>
      </w:r>
      <w:r w:rsidR="00F60A18" w:rsidRPr="0097314B">
        <w:rPr>
          <w:rFonts w:ascii="Times New Roman" w:hAnsi="Times New Roman"/>
          <w:color w:val="000000"/>
        </w:rPr>
        <w:t>data on patient characteristics, such as age, sex, race, and ethnicity, and visit characteristics, such as date of visit, expected source of payment, physician diagnoses, laboratory or other medical procedures received or ordered, and medications provided or prescribed.</w:t>
      </w:r>
    </w:p>
    <w:p w14:paraId="17546C3A" w14:textId="3DD3BA55" w:rsidR="006C1EC5" w:rsidRDefault="009C7218" w:rsidP="003A3965">
      <w:pPr>
        <w:pStyle w:val="Heading1"/>
      </w:pPr>
      <w:bookmarkStart w:id="6" w:name="_Toc505596438"/>
      <w:r>
        <w:t>4</w:t>
      </w:r>
      <w:r w:rsidR="006C1EC5">
        <w:t>.  Methods to Maximize Response Rates and Deal with Nonresponse</w:t>
      </w:r>
      <w:bookmarkEnd w:id="6"/>
    </w:p>
    <w:p w14:paraId="1CC8AAAA"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947FB12" w14:textId="7ABA373E"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color w:val="000000"/>
        </w:rPr>
        <w:t xml:space="preserve">NAMCS uses multiple methods for maximizing physician response.  The medical community, including the American Medical </w:t>
      </w:r>
      <w:r w:rsidRPr="00D443D2">
        <w:rPr>
          <w:rFonts w:ascii="Times New Roman" w:hAnsi="Times New Roman"/>
          <w:color w:val="000000"/>
        </w:rPr>
        <w:t xml:space="preserve">Association and the American Osteopathic Association, is informed and consulted about the study.  </w:t>
      </w:r>
      <w:r w:rsidR="00397415">
        <w:rPr>
          <w:rFonts w:ascii="Times New Roman" w:hAnsi="Times New Roman"/>
          <w:color w:val="000000"/>
        </w:rPr>
        <w:t>Nineteen</w:t>
      </w:r>
      <w:r w:rsidRPr="00D443D2">
        <w:rPr>
          <w:rFonts w:ascii="Times New Roman" w:hAnsi="Times New Roman"/>
          <w:color w:val="000000"/>
        </w:rPr>
        <w:t xml:space="preserve"> major medical societies have endorsed NAMCS and have provided letters of support for use in enlisting sampled physicians during the </w:t>
      </w:r>
      <w:r w:rsidR="00197029">
        <w:rPr>
          <w:rFonts w:ascii="Times New Roman" w:hAnsi="Times New Roman"/>
          <w:color w:val="000000"/>
        </w:rPr>
        <w:t xml:space="preserve">2016-2018 </w:t>
      </w:r>
      <w:r w:rsidRPr="00D443D2">
        <w:rPr>
          <w:rFonts w:ascii="Times New Roman" w:hAnsi="Times New Roman"/>
          <w:color w:val="000000"/>
        </w:rPr>
        <w:t xml:space="preserve">survey years </w:t>
      </w:r>
      <w:r w:rsidRPr="00B36A86">
        <w:rPr>
          <w:rFonts w:ascii="Times New Roman" w:hAnsi="Times New Roman"/>
          <w:color w:val="000000"/>
        </w:rPr>
        <w:t>(</w:t>
      </w:r>
      <w:r w:rsidR="0040582C" w:rsidRPr="00F92386">
        <w:rPr>
          <w:rFonts w:ascii="Times New Roman" w:hAnsi="Times New Roman"/>
          <w:b/>
          <w:color w:val="000000"/>
        </w:rPr>
        <w:t xml:space="preserve">Attachment </w:t>
      </w:r>
      <w:r w:rsidR="00AB6A1F" w:rsidRPr="00F92386">
        <w:rPr>
          <w:rFonts w:ascii="Times New Roman" w:hAnsi="Times New Roman"/>
          <w:b/>
          <w:color w:val="000000"/>
        </w:rPr>
        <w:t>M</w:t>
      </w:r>
      <w:r w:rsidRPr="00B36A86">
        <w:rPr>
          <w:rFonts w:ascii="Times New Roman" w:hAnsi="Times New Roman"/>
          <w:color w:val="000000"/>
        </w:rPr>
        <w:t>).</w:t>
      </w:r>
      <w:r w:rsidRPr="00D443D2">
        <w:rPr>
          <w:rFonts w:ascii="Times New Roman" w:hAnsi="Times New Roman"/>
          <w:color w:val="000000"/>
        </w:rPr>
        <w:t xml:space="preserve">  These letters are typically updated every year, as our contacts change annually</w:t>
      </w:r>
      <w:r w:rsidR="00F73713" w:rsidRPr="00D443D2">
        <w:rPr>
          <w:rFonts w:ascii="Times New Roman" w:hAnsi="Times New Roman"/>
          <w:color w:val="000000"/>
        </w:rPr>
        <w:t xml:space="preserve">.  </w:t>
      </w:r>
      <w:r w:rsidRPr="00D443D2">
        <w:rPr>
          <w:rFonts w:ascii="Times New Roman" w:hAnsi="Times New Roman"/>
          <w:color w:val="000000"/>
        </w:rPr>
        <w:t>Survey procedures and forms are designed to minimize the time</w:t>
      </w:r>
      <w:r>
        <w:rPr>
          <w:rFonts w:ascii="Times New Roman" w:hAnsi="Times New Roman"/>
          <w:color w:val="000000"/>
        </w:rPr>
        <w:t xml:space="preserve"> required of physicians to participate. </w:t>
      </w:r>
      <w:r w:rsidR="00397415">
        <w:rPr>
          <w:rFonts w:ascii="Times New Roman" w:hAnsi="Times New Roman"/>
          <w:color w:val="000000"/>
        </w:rPr>
        <w:t xml:space="preserve"> </w:t>
      </w:r>
      <w:r>
        <w:rPr>
          <w:rFonts w:ascii="Times New Roman" w:hAnsi="Times New Roman"/>
          <w:color w:val="000000"/>
        </w:rPr>
        <w:t xml:space="preserve">Physicians selected in </w:t>
      </w:r>
      <w:r w:rsidR="003B2EEB">
        <w:rPr>
          <w:rFonts w:ascii="Times New Roman" w:hAnsi="Times New Roman"/>
          <w:color w:val="000000"/>
        </w:rPr>
        <w:t>the non-</w:t>
      </w:r>
      <w:r w:rsidR="00653539">
        <w:rPr>
          <w:rFonts w:ascii="Times New Roman" w:hAnsi="Times New Roman"/>
          <w:color w:val="000000"/>
        </w:rPr>
        <w:t>community health center (C</w:t>
      </w:r>
      <w:r w:rsidR="003B2EEB">
        <w:rPr>
          <w:rFonts w:ascii="Times New Roman" w:hAnsi="Times New Roman"/>
          <w:color w:val="000000"/>
        </w:rPr>
        <w:t>HC</w:t>
      </w:r>
      <w:r w:rsidR="00653539">
        <w:rPr>
          <w:rFonts w:ascii="Times New Roman" w:hAnsi="Times New Roman"/>
          <w:color w:val="000000"/>
        </w:rPr>
        <w:t>) N</w:t>
      </w:r>
      <w:r>
        <w:rPr>
          <w:rFonts w:ascii="Times New Roman" w:hAnsi="Times New Roman"/>
          <w:color w:val="000000"/>
        </w:rPr>
        <w:t>AMCS sample are excluded from possible selection again for the following two years</w:t>
      </w:r>
      <w:r w:rsidR="00DC78B0">
        <w:rPr>
          <w:rFonts w:ascii="Times New Roman" w:hAnsi="Times New Roman"/>
          <w:color w:val="000000"/>
        </w:rPr>
        <w:t xml:space="preserve"> (regardless of whether they have signed-up for the Registry or not)</w:t>
      </w:r>
      <w:r>
        <w:rPr>
          <w:rFonts w:ascii="Times New Roman" w:hAnsi="Times New Roman"/>
          <w:color w:val="000000"/>
        </w:rPr>
        <w:t>.</w:t>
      </w:r>
      <w:r w:rsidR="00B66CED">
        <w:rPr>
          <w:rFonts w:ascii="Times New Roman" w:hAnsi="Times New Roman"/>
          <w:color w:val="000000"/>
        </w:rPr>
        <w:t xml:space="preserve">  </w:t>
      </w:r>
      <w:r>
        <w:rPr>
          <w:rFonts w:ascii="Times New Roman" w:hAnsi="Times New Roman"/>
          <w:color w:val="000000"/>
        </w:rPr>
        <w:t>In addition, the FRs are given detailed training in survey procedures with special modules on</w:t>
      </w:r>
      <w:r w:rsidR="00653539">
        <w:rPr>
          <w:rFonts w:ascii="Times New Roman" w:hAnsi="Times New Roman"/>
          <w:color w:val="000000"/>
        </w:rPr>
        <w:t xml:space="preserve"> gaining physician cooperation.  Field representative (FR)</w:t>
      </w:r>
      <w:r>
        <w:rPr>
          <w:rFonts w:ascii="Times New Roman" w:hAnsi="Times New Roman"/>
          <w:color w:val="000000"/>
        </w:rPr>
        <w:t xml:space="preserve"> “nurturing” sessions are conducted periodically, as survey funds permit. </w:t>
      </w:r>
      <w:r w:rsidR="00800A2B">
        <w:rPr>
          <w:rFonts w:ascii="Times New Roman" w:hAnsi="Times New Roman"/>
          <w:color w:val="000000"/>
        </w:rPr>
        <w:t xml:space="preserve"> A</w:t>
      </w:r>
      <w:r w:rsidR="00F61808">
        <w:rPr>
          <w:rFonts w:ascii="Times New Roman" w:hAnsi="Times New Roman"/>
          <w:color w:val="000000"/>
        </w:rPr>
        <w:t xml:space="preserve">nother way nonresponse can </w:t>
      </w:r>
      <w:r w:rsidR="00800A2B">
        <w:rPr>
          <w:rFonts w:ascii="Times New Roman" w:hAnsi="Times New Roman"/>
          <w:color w:val="000000"/>
        </w:rPr>
        <w:t xml:space="preserve">be addressed is </w:t>
      </w:r>
      <w:r w:rsidR="00F61808">
        <w:rPr>
          <w:rFonts w:ascii="Times New Roman" w:hAnsi="Times New Roman"/>
          <w:color w:val="000000"/>
        </w:rPr>
        <w:t>during</w:t>
      </w:r>
      <w:r w:rsidR="00800A2B">
        <w:rPr>
          <w:rFonts w:ascii="Times New Roman" w:hAnsi="Times New Roman"/>
          <w:color w:val="000000"/>
        </w:rPr>
        <w:t xml:space="preserve"> FR training </w:t>
      </w:r>
      <w:r w:rsidR="00800A2B" w:rsidRPr="00560DEA">
        <w:rPr>
          <w:rFonts w:ascii="Times New Roman" w:hAnsi="Times New Roman"/>
          <w:color w:val="000000"/>
        </w:rPr>
        <w:t xml:space="preserve">sessions.  </w:t>
      </w:r>
      <w:r w:rsidR="00A7530C" w:rsidRPr="00560DEA">
        <w:rPr>
          <w:rFonts w:ascii="Times New Roman" w:hAnsi="Times New Roman"/>
          <w:color w:val="000000"/>
        </w:rPr>
        <w:t xml:space="preserve">As mentioned earlier in </w:t>
      </w:r>
      <w:r w:rsidR="001E2746">
        <w:rPr>
          <w:rFonts w:ascii="Times New Roman" w:hAnsi="Times New Roman"/>
          <w:color w:val="000000"/>
        </w:rPr>
        <w:t>s</w:t>
      </w:r>
      <w:r w:rsidR="00397415">
        <w:rPr>
          <w:rFonts w:ascii="Times New Roman" w:hAnsi="Times New Roman"/>
          <w:color w:val="000000"/>
        </w:rPr>
        <w:t xml:space="preserve">ection </w:t>
      </w:r>
      <w:r w:rsidR="009F2196">
        <w:rPr>
          <w:rFonts w:ascii="Times New Roman" w:hAnsi="Times New Roman"/>
          <w:color w:val="000000"/>
        </w:rPr>
        <w:t>B</w:t>
      </w:r>
      <w:r w:rsidR="00A7530C" w:rsidRPr="00560DEA">
        <w:rPr>
          <w:rFonts w:ascii="Times New Roman" w:hAnsi="Times New Roman"/>
          <w:color w:val="000000"/>
        </w:rPr>
        <w:t xml:space="preserve">2, </w:t>
      </w:r>
      <w:r w:rsidR="00B05450" w:rsidRPr="00560DEA">
        <w:rPr>
          <w:rFonts w:ascii="Times New Roman" w:hAnsi="Times New Roman"/>
          <w:color w:val="000000"/>
        </w:rPr>
        <w:t xml:space="preserve">newly hired </w:t>
      </w:r>
      <w:r w:rsidR="00A7530C" w:rsidRPr="00560DEA">
        <w:rPr>
          <w:rFonts w:ascii="Times New Roman" w:hAnsi="Times New Roman"/>
          <w:color w:val="000000"/>
        </w:rPr>
        <w:t xml:space="preserve">FRs </w:t>
      </w:r>
      <w:r w:rsidR="002B41CB">
        <w:rPr>
          <w:rFonts w:ascii="Times New Roman" w:hAnsi="Times New Roman"/>
          <w:color w:val="000000"/>
        </w:rPr>
        <w:t>are</w:t>
      </w:r>
      <w:r w:rsidR="00B05450" w:rsidRPr="00560DEA">
        <w:rPr>
          <w:rFonts w:ascii="Times New Roman" w:hAnsi="Times New Roman"/>
          <w:color w:val="000000"/>
        </w:rPr>
        <w:t xml:space="preserve"> trained in the</w:t>
      </w:r>
      <w:r w:rsidR="003877BF">
        <w:rPr>
          <w:rFonts w:ascii="Times New Roman" w:hAnsi="Times New Roman"/>
          <w:color w:val="000000"/>
        </w:rPr>
        <w:t xml:space="preserve"> </w:t>
      </w:r>
      <w:r w:rsidR="00606D9B">
        <w:rPr>
          <w:rFonts w:ascii="Times New Roman" w:hAnsi="Times New Roman"/>
          <w:color w:val="000000"/>
        </w:rPr>
        <w:t>regional offices (ROs)</w:t>
      </w:r>
      <w:r w:rsidR="00B05450" w:rsidRPr="00560DEA">
        <w:rPr>
          <w:rFonts w:ascii="Times New Roman" w:hAnsi="Times New Roman"/>
          <w:color w:val="000000"/>
        </w:rPr>
        <w:t xml:space="preserve"> on the specifics of NAMCS </w:t>
      </w:r>
      <w:r w:rsidR="00A7530C" w:rsidRPr="00560DEA">
        <w:rPr>
          <w:rFonts w:ascii="Times New Roman" w:hAnsi="Times New Roman"/>
          <w:color w:val="000000"/>
        </w:rPr>
        <w:t>and automation procedures.</w:t>
      </w:r>
      <w:r w:rsidR="00B05450" w:rsidRPr="00560DEA">
        <w:rPr>
          <w:rFonts w:ascii="Times New Roman" w:hAnsi="Times New Roman"/>
          <w:color w:val="000000"/>
        </w:rPr>
        <w:t xml:space="preserve">  </w:t>
      </w:r>
      <w:r w:rsidR="00397415">
        <w:rPr>
          <w:rFonts w:ascii="Times New Roman" w:hAnsi="Times New Roman"/>
          <w:color w:val="000000"/>
        </w:rPr>
        <w:t>When funds permit, centralized FR training is also held.</w:t>
      </w:r>
      <w:r w:rsidR="00606D9B">
        <w:rPr>
          <w:rFonts w:ascii="Times New Roman" w:hAnsi="Times New Roman"/>
          <w:color w:val="000000"/>
        </w:rPr>
        <w:t xml:space="preserve"> </w:t>
      </w:r>
      <w:r w:rsidR="00397415">
        <w:rPr>
          <w:rFonts w:ascii="Times New Roman" w:hAnsi="Times New Roman"/>
          <w:color w:val="000000"/>
        </w:rPr>
        <w:t xml:space="preserve"> </w:t>
      </w:r>
      <w:r w:rsidR="000666FD" w:rsidRPr="00560DEA">
        <w:rPr>
          <w:rFonts w:ascii="Times New Roman" w:hAnsi="Times New Roman"/>
          <w:color w:val="000000"/>
        </w:rPr>
        <w:t xml:space="preserve">In </w:t>
      </w:r>
      <w:r w:rsidR="00A85605">
        <w:rPr>
          <w:rFonts w:ascii="Times New Roman" w:hAnsi="Times New Roman"/>
          <w:color w:val="000000"/>
        </w:rPr>
        <w:t>centralized</w:t>
      </w:r>
      <w:r w:rsidR="00090A69">
        <w:rPr>
          <w:rFonts w:ascii="Times New Roman" w:hAnsi="Times New Roman"/>
          <w:color w:val="000000"/>
        </w:rPr>
        <w:t xml:space="preserve"> training</w:t>
      </w:r>
      <w:r w:rsidR="00A85605">
        <w:rPr>
          <w:rFonts w:ascii="Times New Roman" w:hAnsi="Times New Roman"/>
          <w:color w:val="000000"/>
        </w:rPr>
        <w:t>s</w:t>
      </w:r>
      <w:r w:rsidRPr="00560DEA">
        <w:rPr>
          <w:rFonts w:ascii="Times New Roman" w:hAnsi="Times New Roman"/>
          <w:color w:val="000000"/>
        </w:rPr>
        <w:t xml:space="preserve">, </w:t>
      </w:r>
      <w:r w:rsidR="00A7530C" w:rsidRPr="00560DEA">
        <w:rPr>
          <w:rFonts w:ascii="Times New Roman" w:hAnsi="Times New Roman"/>
          <w:color w:val="000000"/>
        </w:rPr>
        <w:t xml:space="preserve">all </w:t>
      </w:r>
      <w:r w:rsidR="00397415">
        <w:rPr>
          <w:rFonts w:ascii="Times New Roman" w:hAnsi="Times New Roman"/>
          <w:color w:val="000000"/>
        </w:rPr>
        <w:t>FRs</w:t>
      </w:r>
      <w:r w:rsidRPr="00560DEA">
        <w:rPr>
          <w:rFonts w:ascii="Times New Roman" w:hAnsi="Times New Roman"/>
          <w:color w:val="000000"/>
        </w:rPr>
        <w:t xml:space="preserve"> </w:t>
      </w:r>
      <w:r w:rsidR="00A7530C" w:rsidRPr="00560DEA">
        <w:rPr>
          <w:rFonts w:ascii="Times New Roman" w:hAnsi="Times New Roman"/>
          <w:color w:val="000000"/>
        </w:rPr>
        <w:t xml:space="preserve">(including the newly hired FRs) </w:t>
      </w:r>
      <w:r w:rsidRPr="00560DEA">
        <w:rPr>
          <w:rFonts w:ascii="Times New Roman" w:hAnsi="Times New Roman"/>
          <w:color w:val="000000"/>
        </w:rPr>
        <w:t xml:space="preserve">from the </w:t>
      </w:r>
      <w:r w:rsidR="00606D9B">
        <w:rPr>
          <w:rFonts w:ascii="Times New Roman" w:hAnsi="Times New Roman"/>
          <w:color w:val="000000"/>
        </w:rPr>
        <w:t>RO</w:t>
      </w:r>
      <w:r w:rsidRPr="00560DEA">
        <w:rPr>
          <w:rFonts w:ascii="Times New Roman" w:hAnsi="Times New Roman"/>
          <w:color w:val="000000"/>
        </w:rPr>
        <w:t xml:space="preserve">s across the country </w:t>
      </w:r>
      <w:r w:rsidR="00B66CED" w:rsidRPr="00560DEA">
        <w:rPr>
          <w:rFonts w:ascii="Times New Roman" w:hAnsi="Times New Roman"/>
          <w:color w:val="000000"/>
        </w:rPr>
        <w:t xml:space="preserve">have the opportunity to </w:t>
      </w:r>
      <w:r w:rsidRPr="00560DEA">
        <w:rPr>
          <w:rFonts w:ascii="Times New Roman" w:hAnsi="Times New Roman"/>
          <w:color w:val="000000"/>
        </w:rPr>
        <w:t>participate in</w:t>
      </w:r>
      <w:r>
        <w:rPr>
          <w:rFonts w:ascii="Times New Roman" w:hAnsi="Times New Roman"/>
          <w:color w:val="000000"/>
        </w:rPr>
        <w:t xml:space="preserve"> a </w:t>
      </w:r>
      <w:r w:rsidR="00B66CED">
        <w:rPr>
          <w:rFonts w:ascii="Times New Roman" w:hAnsi="Times New Roman"/>
          <w:color w:val="000000"/>
        </w:rPr>
        <w:t xml:space="preserve">national </w:t>
      </w:r>
      <w:r>
        <w:rPr>
          <w:rFonts w:ascii="Times New Roman" w:hAnsi="Times New Roman"/>
          <w:color w:val="000000"/>
        </w:rPr>
        <w:t>NAMCS/NHAMCS conference highlighting issues related to</w:t>
      </w:r>
      <w:r w:rsidR="00397415">
        <w:rPr>
          <w:rFonts w:ascii="Times New Roman" w:hAnsi="Times New Roman"/>
          <w:color w:val="000000"/>
        </w:rPr>
        <w:t>:</w:t>
      </w:r>
      <w:r>
        <w:rPr>
          <w:rFonts w:ascii="Times New Roman" w:hAnsi="Times New Roman"/>
          <w:color w:val="000000"/>
        </w:rPr>
        <w:t xml:space="preserve"> (1) </w:t>
      </w:r>
      <w:r>
        <w:rPr>
          <w:rFonts w:ascii="Times New Roman" w:hAnsi="Times New Roman"/>
        </w:rPr>
        <w:t xml:space="preserve">administering </w:t>
      </w:r>
      <w:r w:rsidR="00B66CED">
        <w:rPr>
          <w:rFonts w:ascii="Times New Roman" w:hAnsi="Times New Roman"/>
        </w:rPr>
        <w:t>the computer-based induction instruments in the field</w:t>
      </w:r>
      <w:r>
        <w:rPr>
          <w:rFonts w:ascii="Times New Roman" w:hAnsi="Times New Roman"/>
        </w:rPr>
        <w:t>, including efforts to increase respondent participation; (2) abstracting data</w:t>
      </w:r>
      <w:r w:rsidR="00B66CED">
        <w:rPr>
          <w:rFonts w:ascii="Times New Roman" w:hAnsi="Times New Roman"/>
        </w:rPr>
        <w:t xml:space="preserve"> in the automated PRF instrument</w:t>
      </w:r>
      <w:r>
        <w:rPr>
          <w:rFonts w:ascii="Times New Roman" w:hAnsi="Times New Roman"/>
        </w:rPr>
        <w:t xml:space="preserve">; </w:t>
      </w:r>
      <w:r w:rsidR="00B66CED">
        <w:rPr>
          <w:rFonts w:ascii="Times New Roman" w:hAnsi="Times New Roman"/>
        </w:rPr>
        <w:t xml:space="preserve">(3) </w:t>
      </w:r>
      <w:r w:rsidR="00AD40A8">
        <w:rPr>
          <w:rFonts w:ascii="Times New Roman" w:hAnsi="Times New Roman"/>
        </w:rPr>
        <w:t xml:space="preserve">managing </w:t>
      </w:r>
      <w:r w:rsidR="00B66CED">
        <w:rPr>
          <w:rFonts w:ascii="Times New Roman" w:hAnsi="Times New Roman"/>
        </w:rPr>
        <w:t>NAMCS electronic cases</w:t>
      </w:r>
      <w:r w:rsidR="00397415">
        <w:rPr>
          <w:rFonts w:ascii="Times New Roman" w:hAnsi="Times New Roman"/>
        </w:rPr>
        <w:t>;</w:t>
      </w:r>
      <w:r w:rsidR="00B66CED">
        <w:rPr>
          <w:rFonts w:ascii="Times New Roman" w:hAnsi="Times New Roman"/>
        </w:rPr>
        <w:t xml:space="preserve"> </w:t>
      </w:r>
      <w:r>
        <w:rPr>
          <w:rFonts w:ascii="Times New Roman" w:hAnsi="Times New Roman"/>
        </w:rPr>
        <w:t>and (</w:t>
      </w:r>
      <w:r w:rsidR="00A7530C">
        <w:rPr>
          <w:rFonts w:ascii="Times New Roman" w:hAnsi="Times New Roman"/>
        </w:rPr>
        <w:t>4</w:t>
      </w:r>
      <w:r>
        <w:rPr>
          <w:rFonts w:ascii="Times New Roman" w:hAnsi="Times New Roman"/>
        </w:rPr>
        <w:t>) addressing FR questions and concerns.</w:t>
      </w:r>
      <w:r w:rsidR="00003EEB">
        <w:rPr>
          <w:rFonts w:ascii="Times New Roman" w:hAnsi="Times New Roman"/>
        </w:rPr>
        <w:t xml:space="preserve"> </w:t>
      </w:r>
      <w:r>
        <w:rPr>
          <w:rFonts w:ascii="Times New Roman" w:hAnsi="Times New Roman"/>
        </w:rPr>
        <w:t xml:space="preserve">The </w:t>
      </w:r>
      <w:r w:rsidR="00B66CED">
        <w:rPr>
          <w:rFonts w:ascii="Times New Roman" w:hAnsi="Times New Roman"/>
        </w:rPr>
        <w:t xml:space="preserve">national conference </w:t>
      </w:r>
      <w:r>
        <w:rPr>
          <w:rFonts w:ascii="Times New Roman" w:hAnsi="Times New Roman"/>
        </w:rPr>
        <w:t>represent</w:t>
      </w:r>
      <w:r w:rsidR="00B66CED">
        <w:rPr>
          <w:rFonts w:ascii="Times New Roman" w:hAnsi="Times New Roman"/>
        </w:rPr>
        <w:t>s</w:t>
      </w:r>
      <w:r>
        <w:rPr>
          <w:rFonts w:ascii="Times New Roman" w:hAnsi="Times New Roman"/>
        </w:rPr>
        <w:t xml:space="preserve"> a unique opportunity for FRs to exchange ideas and methods on how to work on a survey that presents unique challenges not faced by other Census FRs.</w:t>
      </w:r>
      <w:r w:rsidR="00397415">
        <w:rPr>
          <w:rFonts w:ascii="Times New Roman" w:hAnsi="Times New Roman"/>
        </w:rPr>
        <w:t xml:space="preserve"> When the funds available do not cover the cost of a centralized FR training, we have instead held a centralized training for newly-hired FRs, which highlights the same issues noted above. </w:t>
      </w:r>
      <w:r>
        <w:rPr>
          <w:rFonts w:ascii="Times New Roman" w:hAnsi="Times New Roman"/>
        </w:rPr>
        <w:t xml:space="preserve">  </w:t>
      </w:r>
    </w:p>
    <w:p w14:paraId="3977CE0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42809B5" w14:textId="1B21ED05"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D443D2">
        <w:rPr>
          <w:rFonts w:ascii="Times New Roman" w:hAnsi="Times New Roman"/>
          <w:color w:val="000000"/>
        </w:rPr>
        <w:t xml:space="preserve">As mentioned in a previous section, </w:t>
      </w:r>
      <w:r w:rsidR="00606D9B">
        <w:rPr>
          <w:rFonts w:ascii="Times New Roman" w:hAnsi="Times New Roman"/>
          <w:color w:val="000000"/>
        </w:rPr>
        <w:t>NCHS</w:t>
      </w:r>
      <w:r w:rsidRPr="00D443D2">
        <w:rPr>
          <w:rFonts w:ascii="Times New Roman" w:hAnsi="Times New Roman"/>
          <w:color w:val="000000"/>
        </w:rPr>
        <w:t xml:space="preserve"> has designed a mailing insert to help persuade the physician, gatekeeper, or CHC provider to participate.  It also has answers to questions that physicians may have on why they should participate, describes how the Privacy Rule permits data collection for NAMCS, and provides a link (</w:t>
      </w:r>
      <w:hyperlink w:history="1"/>
      <w:hyperlink r:id="rId11" w:history="1">
        <w:r w:rsidR="008B5CF7" w:rsidRPr="000F6010">
          <w:rPr>
            <w:rStyle w:val="Hyperlink"/>
            <w:rFonts w:ascii="Times New Roman" w:hAnsi="Times New Roman"/>
          </w:rPr>
          <w:t>https://www.cdc.gov/nchs/ahcd/namcs_participant.htm</w:t>
        </w:r>
      </w:hyperlink>
      <w:r w:rsidRPr="00D443D2">
        <w:rPr>
          <w:rFonts w:ascii="Times New Roman" w:hAnsi="Times New Roman"/>
          <w:color w:val="000000"/>
        </w:rPr>
        <w:t xml:space="preserve">) to our participant </w:t>
      </w:r>
      <w:r w:rsidR="008B5CF7">
        <w:rPr>
          <w:rFonts w:ascii="Times New Roman" w:hAnsi="Times New Roman"/>
          <w:color w:val="000000"/>
        </w:rPr>
        <w:t>w</w:t>
      </w:r>
      <w:r w:rsidRPr="00D443D2">
        <w:rPr>
          <w:rFonts w:ascii="Times New Roman" w:hAnsi="Times New Roman"/>
          <w:color w:val="000000"/>
        </w:rPr>
        <w:t>eb</w:t>
      </w:r>
      <w:r>
        <w:rPr>
          <w:rFonts w:ascii="Times New Roman" w:hAnsi="Times New Roman"/>
          <w:color w:val="000000"/>
        </w:rPr>
        <w:t xml:space="preserve">site.  This </w:t>
      </w:r>
      <w:r w:rsidR="008B5CF7">
        <w:rPr>
          <w:rFonts w:ascii="Times New Roman" w:hAnsi="Times New Roman"/>
          <w:color w:val="000000"/>
        </w:rPr>
        <w:t>w</w:t>
      </w:r>
      <w:r>
        <w:rPr>
          <w:rFonts w:ascii="Times New Roman" w:hAnsi="Times New Roman"/>
          <w:color w:val="000000"/>
        </w:rPr>
        <w:t xml:space="preserve">ebsite makes available further material that physicians can use to verify, under the requirements of the Privacy </w:t>
      </w:r>
      <w:r w:rsidR="005935A4">
        <w:rPr>
          <w:rFonts w:ascii="Times New Roman" w:hAnsi="Times New Roman"/>
          <w:color w:val="000000"/>
        </w:rPr>
        <w:t>Rule that</w:t>
      </w:r>
      <w:r>
        <w:rPr>
          <w:rFonts w:ascii="Times New Roman" w:hAnsi="Times New Roman"/>
          <w:color w:val="000000"/>
        </w:rPr>
        <w:t xml:space="preserve"> they are indeed allowed to disclose to NCHS/CDC the information requested as part of this survey.  This includes the authority under which NCHS is collecting this information and that the information being collected is the minimum necessary.  </w:t>
      </w:r>
    </w:p>
    <w:p w14:paraId="4F0947CF" w14:textId="77777777" w:rsidR="00425379" w:rsidRDefault="004253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214AEFC" w14:textId="70B00A3B"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The FRs provide the sampled physician with materials that show the importance of NAMCS, including the most recent survey report (for a sample of the most recent NAMCS </w:t>
      </w:r>
      <w:r w:rsidR="00606D9B">
        <w:rPr>
          <w:rFonts w:ascii="Times New Roman" w:hAnsi="Times New Roman"/>
          <w:i/>
          <w:color w:val="000000"/>
        </w:rPr>
        <w:t>NCHS Data Brief</w:t>
      </w:r>
      <w:r>
        <w:rPr>
          <w:rFonts w:ascii="Times New Roman" w:hAnsi="Times New Roman"/>
        </w:rPr>
        <w:t xml:space="preserve">, </w:t>
      </w:r>
      <w:r w:rsidR="00B36A86">
        <w:rPr>
          <w:rFonts w:ascii="Times New Roman" w:hAnsi="Times New Roman"/>
        </w:rPr>
        <w:t xml:space="preserve">see </w:t>
      </w:r>
      <w:hyperlink r:id="rId12" w:history="1">
        <w:r w:rsidR="00EB6B7D" w:rsidRPr="009252CE">
          <w:rPr>
            <w:rStyle w:val="Hyperlink"/>
            <w:rFonts w:ascii="Times New Roman" w:hAnsi="Times New Roman"/>
          </w:rPr>
          <w:t>https://www.cdc.gov/nchs/products/databriefs/db311.htm</w:t>
        </w:r>
      </w:hyperlink>
      <w:r w:rsidR="00415E34">
        <w:rPr>
          <w:rFonts w:ascii="Times New Roman" w:hAnsi="Times New Roman"/>
          <w:color w:val="000000"/>
        </w:rPr>
        <w:t>)</w:t>
      </w:r>
      <w:r w:rsidR="008B5CF7">
        <w:rPr>
          <w:rFonts w:ascii="Times New Roman" w:hAnsi="Times New Roman"/>
          <w:color w:val="000000"/>
        </w:rPr>
        <w:t>.</w:t>
      </w:r>
    </w:p>
    <w:p w14:paraId="597C1708" w14:textId="77777777" w:rsidR="00D72A7E" w:rsidRDefault="00D72A7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B0BC81F" w14:textId="02F0989E" w:rsidR="00C05EF1" w:rsidRDefault="00C05EF1" w:rsidP="00C05EF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D72A7E">
        <w:rPr>
          <w:rFonts w:ascii="Times New Roman" w:hAnsi="Times New Roman"/>
          <w:color w:val="000000"/>
        </w:rPr>
        <w:t>The survey uses procedures to verify the status of the out</w:t>
      </w:r>
      <w:r>
        <w:rPr>
          <w:rFonts w:ascii="Times New Roman" w:hAnsi="Times New Roman"/>
          <w:color w:val="000000"/>
        </w:rPr>
        <w:t>-</w:t>
      </w:r>
      <w:r w:rsidRPr="00D72A7E">
        <w:rPr>
          <w:rFonts w:ascii="Times New Roman" w:hAnsi="Times New Roman"/>
          <w:color w:val="000000"/>
        </w:rPr>
        <w:t>of</w:t>
      </w:r>
      <w:r>
        <w:rPr>
          <w:rFonts w:ascii="Times New Roman" w:hAnsi="Times New Roman"/>
          <w:color w:val="000000"/>
        </w:rPr>
        <w:t>-</w:t>
      </w:r>
      <w:r w:rsidRPr="00D72A7E">
        <w:rPr>
          <w:rFonts w:ascii="Times New Roman" w:hAnsi="Times New Roman"/>
          <w:color w:val="000000"/>
        </w:rPr>
        <w:t>scope physicians to ensure they were not just refusal cases who were erroneously labeled as out</w:t>
      </w:r>
      <w:r>
        <w:rPr>
          <w:rFonts w:ascii="Times New Roman" w:hAnsi="Times New Roman"/>
          <w:color w:val="000000"/>
        </w:rPr>
        <w:t>-</w:t>
      </w:r>
      <w:r w:rsidRPr="00D72A7E">
        <w:rPr>
          <w:rFonts w:ascii="Times New Roman" w:hAnsi="Times New Roman"/>
          <w:color w:val="000000"/>
        </w:rPr>
        <w:t>of</w:t>
      </w:r>
      <w:r>
        <w:rPr>
          <w:rFonts w:ascii="Times New Roman" w:hAnsi="Times New Roman"/>
          <w:color w:val="000000"/>
        </w:rPr>
        <w:t>-</w:t>
      </w:r>
      <w:r w:rsidRPr="00D72A7E">
        <w:rPr>
          <w:rFonts w:ascii="Times New Roman" w:hAnsi="Times New Roman"/>
          <w:color w:val="000000"/>
        </w:rPr>
        <w:t>scope.</w:t>
      </w:r>
      <w:r>
        <w:rPr>
          <w:rFonts w:ascii="Times New Roman" w:hAnsi="Times New Roman"/>
          <w:color w:val="000000"/>
        </w:rPr>
        <w:t xml:space="preserve"> </w:t>
      </w:r>
      <w:r w:rsidR="00606D9B">
        <w:rPr>
          <w:rFonts w:ascii="Times New Roman" w:hAnsi="Times New Roman"/>
          <w:color w:val="000000"/>
        </w:rPr>
        <w:t xml:space="preserve"> </w:t>
      </w:r>
      <w:r>
        <w:rPr>
          <w:rFonts w:ascii="Times New Roman" w:hAnsi="Times New Roman"/>
          <w:color w:val="000000"/>
        </w:rPr>
        <w:t xml:space="preserve">All six ROs review 50% of their out-of-scope cases to confirm that these cases are correctly coded by FRs. </w:t>
      </w:r>
      <w:r w:rsidR="00606D9B">
        <w:rPr>
          <w:rFonts w:ascii="Times New Roman" w:hAnsi="Times New Roman"/>
          <w:color w:val="000000"/>
        </w:rPr>
        <w:t xml:space="preserve"> </w:t>
      </w:r>
      <w:r>
        <w:rPr>
          <w:rFonts w:ascii="Times New Roman" w:hAnsi="Times New Roman"/>
          <w:color w:val="000000"/>
        </w:rPr>
        <w:t>If a case was mistakenly classified, and time permits, the RO will assign another FR to process the case and abstract PRFs.</w:t>
      </w:r>
      <w:r w:rsidRPr="00D72A7E">
        <w:rPr>
          <w:rFonts w:ascii="Times New Roman" w:hAnsi="Times New Roman"/>
          <w:color w:val="000000"/>
        </w:rPr>
        <w:t xml:space="preserve"> </w:t>
      </w:r>
    </w:p>
    <w:p w14:paraId="631B8444" w14:textId="77777777" w:rsidR="009F3DB8" w:rsidRDefault="009F3DB8" w:rsidP="00C05EF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F54AD37" w14:textId="3462D09F"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This survey requires a commitment from the physicians and their staffs, along with CHC directors and sampled providers.  Any of these groups may refuse to participate for many different reasons.  Through years of experience with NAMCS, techniques for converting refusals have been developed that are quite effective, flexible and responsive to individual concerns.  Primarily using supervisory personnel, interviewers have successfully converted approximately 15</w:t>
      </w:r>
      <w:r w:rsidR="008B5CF7">
        <w:rPr>
          <w:rFonts w:ascii="Times New Roman" w:hAnsi="Times New Roman"/>
          <w:color w:val="000000"/>
        </w:rPr>
        <w:t>%</w:t>
      </w:r>
      <w:r>
        <w:rPr>
          <w:rFonts w:ascii="Times New Roman" w:hAnsi="Times New Roman"/>
          <w:color w:val="000000"/>
        </w:rPr>
        <w:t xml:space="preserve"> of initial refusals to successful participants.  Conversion is successful by emphasizing the following ideas: professional responsibility to enhance knowledge of the utilization of ambulatory care in the United States, and the fact that no confidential information is collected on any patient</w:t>
      </w:r>
      <w:r w:rsidR="00407F8D">
        <w:rPr>
          <w:rFonts w:ascii="Times New Roman" w:hAnsi="Times New Roman"/>
          <w:color w:val="000000"/>
        </w:rPr>
        <w:t xml:space="preserve">, and </w:t>
      </w:r>
      <w:r>
        <w:rPr>
          <w:rFonts w:ascii="Times New Roman" w:hAnsi="Times New Roman"/>
          <w:color w:val="000000"/>
        </w:rPr>
        <w:t>only descriptive statistical reports</w:t>
      </w:r>
      <w:r w:rsidR="00407F8D">
        <w:rPr>
          <w:rFonts w:ascii="Times New Roman" w:hAnsi="Times New Roman"/>
          <w:color w:val="000000"/>
        </w:rPr>
        <w:t xml:space="preserve"> are published</w:t>
      </w:r>
      <w:r>
        <w:rPr>
          <w:rFonts w:ascii="Times New Roman" w:hAnsi="Times New Roman"/>
          <w:color w:val="000000"/>
        </w:rPr>
        <w:t>.</w:t>
      </w:r>
    </w:p>
    <w:p w14:paraId="2E85F82A"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B3BB392" w14:textId="6E76DB84" w:rsidR="006C1EC5" w:rsidRDefault="001E0C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Prior observation</w:t>
      </w:r>
      <w:r w:rsidR="006C1EC5">
        <w:rPr>
          <w:rFonts w:ascii="Times New Roman" w:hAnsi="Times New Roman"/>
          <w:color w:val="000000"/>
        </w:rPr>
        <w:t xml:space="preserve"> of nonresponse cases in NAMCS found that break off was most likely to occur at the stage of the telephone screener (43</w:t>
      </w:r>
      <w:r w:rsidR="008B5CF7">
        <w:rPr>
          <w:rFonts w:ascii="Times New Roman" w:hAnsi="Times New Roman"/>
          <w:color w:val="000000"/>
        </w:rPr>
        <w:t>%</w:t>
      </w:r>
      <w:r w:rsidR="006C1EC5">
        <w:rPr>
          <w:rFonts w:ascii="Times New Roman" w:hAnsi="Times New Roman"/>
          <w:color w:val="000000"/>
        </w:rPr>
        <w:t>) and that often the refusal is from the office staff rather than the physician.  This is consistent with information that shows that a majority of nonresponding physicians do not remember being contacted about NAMCS.</w:t>
      </w:r>
      <w:r w:rsidR="00DB42FF">
        <w:rPr>
          <w:rFonts w:ascii="Times New Roman" w:hAnsi="Times New Roman"/>
          <w:color w:val="000000"/>
        </w:rPr>
        <w:t xml:space="preserve"> </w:t>
      </w:r>
      <w:r w:rsidR="00606D9B">
        <w:rPr>
          <w:rFonts w:ascii="Times New Roman" w:hAnsi="Times New Roman"/>
          <w:color w:val="000000"/>
        </w:rPr>
        <w:t xml:space="preserve"> </w:t>
      </w:r>
      <w:r w:rsidR="00922776">
        <w:rPr>
          <w:rFonts w:ascii="Times New Roman" w:hAnsi="Times New Roman"/>
          <w:color w:val="000000"/>
        </w:rPr>
        <w:t xml:space="preserve">Each year </w:t>
      </w:r>
      <w:r w:rsidR="00BE2123">
        <w:rPr>
          <w:rFonts w:ascii="Times New Roman" w:hAnsi="Times New Roman"/>
          <w:color w:val="000000"/>
        </w:rPr>
        <w:t xml:space="preserve">in our annual </w:t>
      </w:r>
      <w:r w:rsidR="002B6664">
        <w:rPr>
          <w:rFonts w:ascii="Times New Roman" w:hAnsi="Times New Roman"/>
          <w:color w:val="000000"/>
        </w:rPr>
        <w:t xml:space="preserve">statistical </w:t>
      </w:r>
      <w:r w:rsidR="00BE2123">
        <w:rPr>
          <w:rFonts w:ascii="Times New Roman" w:hAnsi="Times New Roman"/>
          <w:color w:val="000000"/>
        </w:rPr>
        <w:t xml:space="preserve">report, </w:t>
      </w:r>
      <w:r w:rsidR="00922776">
        <w:rPr>
          <w:rFonts w:ascii="Times New Roman" w:hAnsi="Times New Roman"/>
          <w:color w:val="000000"/>
        </w:rPr>
        <w:t xml:space="preserve">we describe </w:t>
      </w:r>
      <w:r w:rsidR="00CB1775">
        <w:rPr>
          <w:rFonts w:ascii="Times New Roman" w:hAnsi="Times New Roman"/>
          <w:color w:val="000000"/>
        </w:rPr>
        <w:t xml:space="preserve">weighted </w:t>
      </w:r>
      <w:r w:rsidR="00922776">
        <w:rPr>
          <w:rFonts w:ascii="Times New Roman" w:hAnsi="Times New Roman"/>
          <w:color w:val="000000"/>
        </w:rPr>
        <w:t>characteristics of NAMCS physician respondents and non</w:t>
      </w:r>
      <w:r>
        <w:rPr>
          <w:rFonts w:ascii="Times New Roman" w:hAnsi="Times New Roman"/>
          <w:color w:val="000000"/>
        </w:rPr>
        <w:t>-</w:t>
      </w:r>
      <w:r w:rsidR="00922776">
        <w:rPr>
          <w:rFonts w:ascii="Times New Roman" w:hAnsi="Times New Roman"/>
          <w:color w:val="000000"/>
        </w:rPr>
        <w:t>respondents</w:t>
      </w:r>
      <w:r w:rsidR="00CB1775">
        <w:rPr>
          <w:rFonts w:ascii="Times New Roman" w:hAnsi="Times New Roman"/>
          <w:color w:val="000000"/>
        </w:rPr>
        <w:t xml:space="preserve"> on </w:t>
      </w:r>
      <w:r w:rsidR="00634D2B">
        <w:rPr>
          <w:rFonts w:ascii="Times New Roman" w:hAnsi="Times New Roman"/>
          <w:color w:val="000000"/>
        </w:rPr>
        <w:t xml:space="preserve">numerous </w:t>
      </w:r>
      <w:r w:rsidR="00CB1775">
        <w:rPr>
          <w:rFonts w:ascii="Times New Roman" w:hAnsi="Times New Roman"/>
          <w:color w:val="000000"/>
        </w:rPr>
        <w:t xml:space="preserve">variables </w:t>
      </w:r>
      <w:r w:rsidR="006C1EC5" w:rsidRPr="00CB1775">
        <w:rPr>
          <w:rFonts w:ascii="Times New Roman" w:hAnsi="Times New Roman"/>
          <w:color w:val="000000"/>
        </w:rPr>
        <w:t>including</w:t>
      </w:r>
      <w:r w:rsidR="008B5CF7">
        <w:rPr>
          <w:rFonts w:ascii="Times New Roman" w:hAnsi="Times New Roman"/>
          <w:color w:val="000000"/>
        </w:rPr>
        <w:t>:</w:t>
      </w:r>
      <w:r w:rsidR="006C1EC5" w:rsidRPr="00CB1775">
        <w:rPr>
          <w:rFonts w:ascii="Times New Roman" w:hAnsi="Times New Roman"/>
          <w:color w:val="000000"/>
        </w:rPr>
        <w:t xml:space="preserve"> </w:t>
      </w:r>
      <w:r w:rsidR="00CB1775" w:rsidRPr="00CB1775">
        <w:rPr>
          <w:rFonts w:ascii="Times New Roman" w:hAnsi="Times New Roman"/>
          <w:color w:val="000000"/>
        </w:rPr>
        <w:t xml:space="preserve">age, gender, geographic region, </w:t>
      </w:r>
      <w:r w:rsidR="006C1EC5" w:rsidRPr="00CB1775">
        <w:rPr>
          <w:rFonts w:ascii="Times New Roman" w:hAnsi="Times New Roman"/>
          <w:color w:val="000000"/>
        </w:rPr>
        <w:t xml:space="preserve">metropolitan statistical area (MSA) status, </w:t>
      </w:r>
      <w:r w:rsidR="00634D2B">
        <w:rPr>
          <w:rFonts w:ascii="Times New Roman" w:hAnsi="Times New Roman"/>
          <w:color w:val="000000"/>
        </w:rPr>
        <w:t xml:space="preserve">type of doctor, </w:t>
      </w:r>
      <w:r w:rsidR="00CB1775" w:rsidRPr="00CB1775">
        <w:rPr>
          <w:rFonts w:ascii="Times New Roman" w:hAnsi="Times New Roman"/>
          <w:color w:val="000000"/>
        </w:rPr>
        <w:t xml:space="preserve">specialty, </w:t>
      </w:r>
      <w:r w:rsidR="00922776" w:rsidRPr="00CB1775">
        <w:rPr>
          <w:rFonts w:ascii="Times New Roman" w:hAnsi="Times New Roman"/>
          <w:color w:val="000000"/>
        </w:rPr>
        <w:t xml:space="preserve">specialty type, </w:t>
      </w:r>
      <w:r w:rsidR="006C1EC5" w:rsidRPr="00CB1775">
        <w:rPr>
          <w:rFonts w:ascii="Times New Roman" w:hAnsi="Times New Roman"/>
          <w:color w:val="000000"/>
        </w:rPr>
        <w:t xml:space="preserve">type of practice, </w:t>
      </w:r>
      <w:r w:rsidR="00922776" w:rsidRPr="00CB1775">
        <w:rPr>
          <w:rFonts w:ascii="Times New Roman" w:hAnsi="Times New Roman"/>
          <w:color w:val="000000"/>
        </w:rPr>
        <w:t>and annual visit volume</w:t>
      </w:r>
      <w:r w:rsidR="00CB1775" w:rsidRPr="00CB1775">
        <w:rPr>
          <w:rFonts w:ascii="Times New Roman" w:hAnsi="Times New Roman"/>
          <w:color w:val="000000"/>
        </w:rPr>
        <w:t>.</w:t>
      </w:r>
      <w:r w:rsidR="00CB1775">
        <w:rPr>
          <w:rFonts w:ascii="Times New Roman" w:hAnsi="Times New Roman"/>
          <w:color w:val="000000"/>
        </w:rPr>
        <w:t xml:space="preserve"> </w:t>
      </w:r>
      <w:r w:rsidR="00606D9B">
        <w:rPr>
          <w:rFonts w:ascii="Times New Roman" w:hAnsi="Times New Roman"/>
          <w:color w:val="000000"/>
        </w:rPr>
        <w:t xml:space="preserve"> </w:t>
      </w:r>
      <w:r w:rsidRPr="001E0C6A">
        <w:rPr>
          <w:rFonts w:ascii="Times New Roman" w:hAnsi="Times New Roman"/>
          <w:color w:val="000000"/>
        </w:rPr>
        <w:t>In 2016</w:t>
      </w:r>
      <w:r w:rsidR="00E02434">
        <w:rPr>
          <w:rFonts w:ascii="Times New Roman" w:hAnsi="Times New Roman"/>
          <w:color w:val="000000"/>
        </w:rPr>
        <w:t>,</w:t>
      </w:r>
      <w:r w:rsidRPr="001E0C6A">
        <w:rPr>
          <w:rFonts w:ascii="Times New Roman" w:hAnsi="Times New Roman"/>
          <w:color w:val="000000"/>
        </w:rPr>
        <w:t xml:space="preserve"> a nonresponse bias report </w:t>
      </w:r>
      <w:r w:rsidR="00E62B1D" w:rsidRPr="001E0C6A">
        <w:rPr>
          <w:rFonts w:ascii="Times New Roman" w:hAnsi="Times New Roman"/>
          <w:color w:val="000000"/>
        </w:rPr>
        <w:t xml:space="preserve">about the 2012 NAMCS estimates </w:t>
      </w:r>
      <w:r w:rsidRPr="001E0C6A">
        <w:rPr>
          <w:rFonts w:ascii="Times New Roman" w:hAnsi="Times New Roman"/>
          <w:color w:val="000000"/>
        </w:rPr>
        <w:t xml:space="preserve">was published </w:t>
      </w:r>
      <w:r>
        <w:rPr>
          <w:rFonts w:ascii="Times New Roman" w:hAnsi="Times New Roman"/>
          <w:color w:val="000000"/>
        </w:rPr>
        <w:t xml:space="preserve">as a </w:t>
      </w:r>
      <w:r w:rsidRPr="005142E7">
        <w:rPr>
          <w:rFonts w:ascii="Times New Roman" w:hAnsi="Times New Roman"/>
          <w:i/>
          <w:color w:val="000000"/>
        </w:rPr>
        <w:t>Vital Health Statistics</w:t>
      </w:r>
      <w:r w:rsidR="00E62B1D">
        <w:rPr>
          <w:rFonts w:ascii="Times New Roman" w:hAnsi="Times New Roman"/>
          <w:color w:val="000000"/>
        </w:rPr>
        <w:t xml:space="preserve"> report</w:t>
      </w:r>
      <w:r w:rsidR="005142E7">
        <w:rPr>
          <w:rFonts w:ascii="Times New Roman" w:hAnsi="Times New Roman"/>
          <w:color w:val="000000"/>
        </w:rPr>
        <w:t xml:space="preserve"> (</w:t>
      </w:r>
      <w:hyperlink r:id="rId13" w:history="1">
        <w:r w:rsidRPr="00B8397B">
          <w:rPr>
            <w:rStyle w:val="Hyperlink"/>
            <w:rFonts w:ascii="Times New Roman" w:hAnsi="Times New Roman"/>
          </w:rPr>
          <w:t>https://www.cdc.gov/nchs/data/series/sr_02/Sr02_171.pdf</w:t>
        </w:r>
      </w:hyperlink>
      <w:r w:rsidR="005142E7" w:rsidRPr="005142E7">
        <w:rPr>
          <w:rStyle w:val="Hyperlink"/>
          <w:rFonts w:ascii="Times New Roman" w:hAnsi="Times New Roman"/>
          <w:color w:val="auto"/>
          <w:u w:val="none"/>
        </w:rPr>
        <w:t>).</w:t>
      </w:r>
      <w:r>
        <w:rPr>
          <w:rFonts w:ascii="Times New Roman" w:hAnsi="Times New Roman"/>
          <w:color w:val="000000"/>
        </w:rPr>
        <w:t xml:space="preserve"> </w:t>
      </w:r>
      <w:r w:rsidR="00DD483F">
        <w:rPr>
          <w:rFonts w:ascii="Times New Roman" w:hAnsi="Times New Roman"/>
          <w:color w:val="000000"/>
        </w:rPr>
        <w:t xml:space="preserve">  The report </w:t>
      </w:r>
      <w:r w:rsidR="00B63C44">
        <w:rPr>
          <w:rFonts w:ascii="Times New Roman" w:hAnsi="Times New Roman"/>
          <w:color w:val="000000"/>
        </w:rPr>
        <w:t xml:space="preserve">examined influences on </w:t>
      </w:r>
      <w:r w:rsidR="00F5180A">
        <w:rPr>
          <w:rFonts w:ascii="Times New Roman" w:hAnsi="Times New Roman"/>
          <w:color w:val="000000"/>
        </w:rPr>
        <w:t xml:space="preserve">physician </w:t>
      </w:r>
      <w:r w:rsidR="00B63C44">
        <w:rPr>
          <w:rFonts w:ascii="Times New Roman" w:hAnsi="Times New Roman"/>
          <w:color w:val="000000"/>
        </w:rPr>
        <w:t xml:space="preserve">nonresponse based on </w:t>
      </w:r>
      <w:r w:rsidR="00DD483F">
        <w:rPr>
          <w:rFonts w:ascii="Times New Roman" w:hAnsi="Times New Roman"/>
          <w:color w:val="000000"/>
        </w:rPr>
        <w:t>(</w:t>
      </w:r>
      <w:r w:rsidR="00E02434">
        <w:rPr>
          <w:rFonts w:ascii="Times New Roman" w:hAnsi="Times New Roman"/>
          <w:color w:val="000000"/>
        </w:rPr>
        <w:t>1</w:t>
      </w:r>
      <w:r w:rsidR="00DD483F">
        <w:rPr>
          <w:rFonts w:ascii="Times New Roman" w:hAnsi="Times New Roman"/>
          <w:color w:val="000000"/>
        </w:rPr>
        <w:t>) increasing the sample file to produce state estimates</w:t>
      </w:r>
      <w:r w:rsidR="00B63C44">
        <w:rPr>
          <w:rFonts w:ascii="Times New Roman" w:hAnsi="Times New Roman"/>
          <w:color w:val="000000"/>
        </w:rPr>
        <w:t xml:space="preserve">, </w:t>
      </w:r>
      <w:r w:rsidR="00DD483F">
        <w:rPr>
          <w:rFonts w:ascii="Times New Roman" w:hAnsi="Times New Roman"/>
          <w:color w:val="000000"/>
        </w:rPr>
        <w:t>and (</w:t>
      </w:r>
      <w:r w:rsidR="00E02434">
        <w:rPr>
          <w:rFonts w:ascii="Times New Roman" w:hAnsi="Times New Roman"/>
          <w:color w:val="000000"/>
        </w:rPr>
        <w:t>2</w:t>
      </w:r>
      <w:r w:rsidR="00DD483F">
        <w:rPr>
          <w:rFonts w:ascii="Times New Roman" w:hAnsi="Times New Roman"/>
          <w:color w:val="000000"/>
        </w:rPr>
        <w:t>) the introduction of a new computerized survey instrument</w:t>
      </w:r>
      <w:r w:rsidR="00B63C44">
        <w:rPr>
          <w:rFonts w:ascii="Times New Roman" w:hAnsi="Times New Roman"/>
          <w:color w:val="000000"/>
        </w:rPr>
        <w:t>.  Specifically</w:t>
      </w:r>
      <w:r w:rsidR="00DD483F">
        <w:rPr>
          <w:rFonts w:ascii="Times New Roman" w:hAnsi="Times New Roman"/>
          <w:color w:val="000000"/>
        </w:rPr>
        <w:t xml:space="preserve">, the research concluded </w:t>
      </w:r>
      <w:r w:rsidR="005142E7">
        <w:rPr>
          <w:rFonts w:ascii="Times New Roman" w:hAnsi="Times New Roman"/>
          <w:color w:val="000000"/>
        </w:rPr>
        <w:t>that, “</w:t>
      </w:r>
      <w:r w:rsidR="0027013E">
        <w:rPr>
          <w:rFonts w:ascii="Times New Roman" w:hAnsi="Times New Roman"/>
          <w:color w:val="000000"/>
        </w:rPr>
        <w:t>I</w:t>
      </w:r>
      <w:r w:rsidRPr="001E0C6A">
        <w:rPr>
          <w:rFonts w:ascii="Times New Roman" w:hAnsi="Times New Roman"/>
          <w:color w:val="000000"/>
        </w:rPr>
        <w:t>mplementation of the new data collection mode</w:t>
      </w:r>
      <w:r w:rsidR="006C3032" w:rsidRPr="003C7089">
        <w:rPr>
          <w:rFonts w:ascii="Times New Roman" w:hAnsi="Times New Roman"/>
          <w:color w:val="221E1F"/>
        </w:rPr>
        <w:t xml:space="preserve"> </w:t>
      </w:r>
      <w:r w:rsidRPr="001E0C6A">
        <w:rPr>
          <w:rFonts w:ascii="Times New Roman" w:hAnsi="Times New Roman"/>
          <w:color w:val="000000"/>
        </w:rPr>
        <w:t xml:space="preserve">may have influenced lower physician completion of PRFs (for visit-level data) compared with 2010 and 2011. After adjustment for nonresponse by MSA status, Census division or targeted state, and physician specialty categories, no or minimal biases (less than 2.0 percentage points) were observed by these characteristics between </w:t>
      </w:r>
      <w:r w:rsidR="00391263" w:rsidRPr="00391263">
        <w:rPr>
          <w:rFonts w:ascii="Times New Roman" w:hAnsi="Times New Roman"/>
          <w:color w:val="000000"/>
        </w:rPr>
        <w:t>physician estimates based on respondents for either of the two NAMCS response levels (induction interview and PRF completion</w:t>
      </w:r>
      <w:r w:rsidRPr="001E0C6A">
        <w:rPr>
          <w:rFonts w:ascii="Times New Roman" w:hAnsi="Times New Roman"/>
          <w:color w:val="000000"/>
        </w:rPr>
        <w:t xml:space="preserve">). </w:t>
      </w:r>
      <w:r w:rsidR="00634D2B">
        <w:rPr>
          <w:rFonts w:ascii="Times New Roman" w:hAnsi="Times New Roman"/>
          <w:color w:val="000000"/>
        </w:rPr>
        <w:t xml:space="preserve"> </w:t>
      </w:r>
    </w:p>
    <w:p w14:paraId="662D7FB0" w14:textId="77777777" w:rsidR="00DE63FF" w:rsidRDefault="00DE63F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58458FD" w14:textId="01E6122A" w:rsidR="006C1EC5" w:rsidRDefault="006C1EC5">
      <w:pPr>
        <w:autoSpaceDE w:val="0"/>
        <w:autoSpaceDN w:val="0"/>
        <w:adjustRightInd w:val="0"/>
        <w:rPr>
          <w:color w:val="000000"/>
        </w:rPr>
      </w:pPr>
      <w:r>
        <w:rPr>
          <w:color w:val="000000"/>
        </w:rPr>
        <w:t>Since January 2007</w:t>
      </w:r>
      <w:r w:rsidR="00D36485">
        <w:rPr>
          <w:color w:val="000000"/>
        </w:rPr>
        <w:t xml:space="preserve">, </w:t>
      </w:r>
      <w:r>
        <w:rPr>
          <w:color w:val="000000"/>
        </w:rPr>
        <w:t xml:space="preserve">we have provided physicians and nurses the opportunity to </w:t>
      </w:r>
      <w:r w:rsidR="00B96C5D">
        <w:rPr>
          <w:color w:val="000000"/>
        </w:rPr>
        <w:t>earn continuing education credits by learning</w:t>
      </w:r>
      <w:r>
        <w:rPr>
          <w:color w:val="000000"/>
        </w:rPr>
        <w:t xml:space="preserve"> more about NAMCS </w:t>
      </w:r>
      <w:r w:rsidR="0054049A">
        <w:rPr>
          <w:color w:val="000000"/>
        </w:rPr>
        <w:t>through</w:t>
      </w:r>
      <w:r>
        <w:rPr>
          <w:color w:val="000000"/>
        </w:rPr>
        <w:t xml:space="preserve"> web-based educational modules presented on the CDC Public Health Training Network.  The module</w:t>
      </w:r>
      <w:r w:rsidR="00073F44">
        <w:rPr>
          <w:color w:val="000000"/>
        </w:rPr>
        <w:t>, titled the “NAMCS</w:t>
      </w:r>
      <w:r w:rsidR="00B96C5D">
        <w:rPr>
          <w:color w:val="000000"/>
        </w:rPr>
        <w:t>: What Clinicians Need to Know</w:t>
      </w:r>
      <w:r w:rsidR="003855EB">
        <w:rPr>
          <w:color w:val="000000"/>
        </w:rPr>
        <w:t xml:space="preserve">” </w:t>
      </w:r>
      <w:r>
        <w:rPr>
          <w:color w:val="000000"/>
        </w:rPr>
        <w:t>presents key NAMCS concepts, interspersed with quiz questions after each concept to reinforce learning.  The goal of the web-based material is for physicians and nurses to increase their understanding of NAMCS methodology, and to improve their ability to read critically those articles in peer-related literature that use national estimates of office-based practice parameters.  Providing this NAMCS education module to physicians and nurses will not only give participants a chance to receive valuable continuing education credits, but also expand the level of NAMCS exposure to potential survey participants.</w:t>
      </w:r>
      <w:r w:rsidR="00D36485">
        <w:rPr>
          <w:color w:val="000000"/>
        </w:rPr>
        <w:t xml:space="preserve">  </w:t>
      </w:r>
      <w:r w:rsidR="00073F44">
        <w:rPr>
          <w:color w:val="000000"/>
        </w:rPr>
        <w:t xml:space="preserve">This educational module was recently updated in </w:t>
      </w:r>
      <w:r w:rsidR="007E1A0C">
        <w:rPr>
          <w:color w:val="000000"/>
        </w:rPr>
        <w:t>2017</w:t>
      </w:r>
      <w:r w:rsidR="00073F44">
        <w:rPr>
          <w:color w:val="000000"/>
        </w:rPr>
        <w:t>, and will continued to be offered</w:t>
      </w:r>
      <w:r w:rsidR="00D36485">
        <w:rPr>
          <w:color w:val="000000"/>
        </w:rPr>
        <w:t xml:space="preserve"> throughout the </w:t>
      </w:r>
      <w:r w:rsidR="00AB3A23">
        <w:rPr>
          <w:color w:val="000000"/>
        </w:rPr>
        <w:t>201</w:t>
      </w:r>
      <w:r w:rsidR="00073F44">
        <w:rPr>
          <w:color w:val="000000"/>
        </w:rPr>
        <w:t>9</w:t>
      </w:r>
      <w:r w:rsidR="00AB3A23">
        <w:rPr>
          <w:color w:val="000000"/>
        </w:rPr>
        <w:t>-20</w:t>
      </w:r>
      <w:r w:rsidR="00073F44">
        <w:rPr>
          <w:color w:val="000000"/>
        </w:rPr>
        <w:t>21</w:t>
      </w:r>
      <w:r w:rsidR="00AB3A23">
        <w:rPr>
          <w:color w:val="000000"/>
        </w:rPr>
        <w:t xml:space="preserve"> </w:t>
      </w:r>
      <w:r w:rsidR="00D36485">
        <w:rPr>
          <w:color w:val="000000"/>
        </w:rPr>
        <w:t xml:space="preserve">survey period.  </w:t>
      </w:r>
      <w:r>
        <w:rPr>
          <w:color w:val="000000"/>
        </w:rPr>
        <w:t xml:space="preserve">  </w:t>
      </w:r>
    </w:p>
    <w:p w14:paraId="1F0E435C" w14:textId="77777777" w:rsidR="00354036" w:rsidRDefault="00354036">
      <w:pPr>
        <w:autoSpaceDE w:val="0"/>
        <w:autoSpaceDN w:val="0"/>
        <w:adjustRightInd w:val="0"/>
        <w:rPr>
          <w:color w:val="000000"/>
        </w:rPr>
      </w:pPr>
    </w:p>
    <w:p w14:paraId="18A5FE13" w14:textId="63DAC371" w:rsidR="0095706F" w:rsidRDefault="0095706F" w:rsidP="0095706F">
      <w:pPr>
        <w:rPr>
          <w:color w:val="000000"/>
        </w:rPr>
      </w:pPr>
      <w:r>
        <w:rPr>
          <w:color w:val="000000"/>
        </w:rPr>
        <w:t>For those sampled physicians who are registered with the National Health Care Surveys Registry, by voluntarily registering they have already agreed to participate when sampled. Thus, we expect an increased response rate for those physicians who have registered. However, we realize with this new method of NAMCS data collection there could be unknown challenges to participation. Therefore, when collecting data via EHRs, we will be examining these data for any nonresponse issues in an effort to not only identify them, but also determine if there are future approaches we could take to increase response among those sampled physicians who are included in the Registry.</w:t>
      </w:r>
    </w:p>
    <w:p w14:paraId="3156B0E3" w14:textId="4AC48909" w:rsidR="006C1EC5" w:rsidRDefault="005142E7" w:rsidP="003A3965">
      <w:pPr>
        <w:pStyle w:val="Heading1"/>
      </w:pPr>
      <w:bookmarkStart w:id="7" w:name="_Toc505596439"/>
      <w:r>
        <w:t>5</w:t>
      </w:r>
      <w:r w:rsidR="006C1EC5">
        <w:t>.  Tests of Procedures or Methods to be Undertaken</w:t>
      </w:r>
      <w:bookmarkEnd w:id="7"/>
    </w:p>
    <w:p w14:paraId="65CCB92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9E8BC79" w14:textId="1E04F27D" w:rsidR="006C1EC5" w:rsidRDefault="0044469D" w:rsidP="0044469D">
      <w:pPr>
        <w:rPr>
          <w:color w:val="000000"/>
        </w:rPr>
      </w:pPr>
      <w:r>
        <w:t xml:space="preserve">No tests of procedures or methods are anticipated to be undertaken during the </w:t>
      </w:r>
      <w:r w:rsidR="00AB3A23">
        <w:t>201</w:t>
      </w:r>
      <w:r w:rsidR="008B5CF7">
        <w:t>9</w:t>
      </w:r>
      <w:r w:rsidR="00AB3A23">
        <w:t>-20</w:t>
      </w:r>
      <w:r w:rsidR="008B5CF7">
        <w:t>21</w:t>
      </w:r>
      <w:r>
        <w:t xml:space="preserve"> study period.</w:t>
      </w:r>
    </w:p>
    <w:p w14:paraId="709378F2" w14:textId="142CAFDD" w:rsidR="006C1EC5" w:rsidRDefault="005142E7" w:rsidP="003A3965">
      <w:pPr>
        <w:pStyle w:val="Heading1"/>
      </w:pPr>
      <w:bookmarkStart w:id="8" w:name="_Toc505596440"/>
      <w:r>
        <w:t>6</w:t>
      </w:r>
      <w:r w:rsidR="006C1EC5">
        <w:t>.  Individuals Consulted on Statistical Aspects and Individuals Collecting and/or Analyzing Data</w:t>
      </w:r>
      <w:bookmarkEnd w:id="8"/>
    </w:p>
    <w:p w14:paraId="6493DA04"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p>
    <w:p w14:paraId="171FC045"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rPr>
      </w:pPr>
      <w:r>
        <w:rPr>
          <w:rFonts w:ascii="Times New Roman" w:hAnsi="Times New Roman"/>
          <w:color w:val="000000"/>
        </w:rPr>
        <w:t>The statistician responsible for the survey sample design is:</w:t>
      </w:r>
    </w:p>
    <w:p w14:paraId="381FD15D"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37AF9C66"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Iris Shimizu, Ph.D.</w:t>
      </w:r>
    </w:p>
    <w:p w14:paraId="670FD70F"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 xml:space="preserve">Mathematical Statistician </w:t>
      </w:r>
    </w:p>
    <w:p w14:paraId="65BA4AC4"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Pr>
          <w:rFonts w:ascii="Times New Roman" w:hAnsi="Times New Roman"/>
          <w:color w:val="000000"/>
        </w:rPr>
        <w:t xml:space="preserve">Statistical Research and Survey Design Staff </w:t>
      </w:r>
    </w:p>
    <w:p w14:paraId="36D325C2"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Pr>
          <w:rFonts w:ascii="Times New Roman" w:hAnsi="Times New Roman"/>
          <w:color w:val="000000"/>
        </w:rPr>
        <w:t>Office of Research and Methodology</w:t>
      </w:r>
    </w:p>
    <w:p w14:paraId="5D5C542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National Center for Health Statistics</w:t>
      </w:r>
    </w:p>
    <w:p w14:paraId="3A160DE0"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(301) 458</w:t>
      </w:r>
      <w:r>
        <w:rPr>
          <w:rFonts w:ascii="Times New Roman" w:hAnsi="Times New Roman"/>
          <w:color w:val="000000"/>
        </w:rPr>
        <w:noBreakHyphen/>
        <w:t>4497</w:t>
      </w:r>
    </w:p>
    <w:p w14:paraId="7B1F27CF"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ishimizu@cdc.gov</w:t>
      </w:r>
    </w:p>
    <w:p w14:paraId="75471D71"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444171F6" w14:textId="3146EFAB" w:rsidR="006C1EC5" w:rsidRDefault="006C1EC5">
      <w:pPr>
        <w:pStyle w:val="Style0"/>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 xml:space="preserve">The data collection agent is the </w:t>
      </w:r>
      <w:r w:rsidR="00073F44">
        <w:rPr>
          <w:rFonts w:ascii="Times New Roman" w:hAnsi="Times New Roman"/>
          <w:color w:val="000000"/>
        </w:rPr>
        <w:t xml:space="preserve">U.S. Census </w:t>
      </w:r>
      <w:r>
        <w:rPr>
          <w:rFonts w:ascii="Times New Roman" w:hAnsi="Times New Roman"/>
          <w:color w:val="000000"/>
        </w:rPr>
        <w:t>Bureau and the contact person is:</w:t>
      </w:r>
    </w:p>
    <w:p w14:paraId="1DBDB23A"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116B15F8" w14:textId="2B7E660C" w:rsidR="006C1EC5" w:rsidRDefault="00073F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Lucinda Dalzell</w:t>
      </w:r>
    </w:p>
    <w:p w14:paraId="543675BA" w14:textId="77777777" w:rsidR="006C1EC5" w:rsidRDefault="00E34F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Survey Director, Demographic Programs</w:t>
      </w:r>
    </w:p>
    <w:p w14:paraId="484F47F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Demographic Surveys Division</w:t>
      </w:r>
    </w:p>
    <w:p w14:paraId="2488E869" w14:textId="71E672AD" w:rsidR="006C1EC5" w:rsidRDefault="00073F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 xml:space="preserve">U.S. Census </w:t>
      </w:r>
      <w:r w:rsidR="006C1EC5">
        <w:rPr>
          <w:rFonts w:ascii="Times New Roman" w:hAnsi="Times New Roman"/>
          <w:color w:val="000000"/>
        </w:rPr>
        <w:t>Bureau</w:t>
      </w:r>
    </w:p>
    <w:p w14:paraId="3348CC87" w14:textId="1504977C"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Courier New"/>
        </w:rPr>
      </w:pPr>
      <w:r>
        <w:rPr>
          <w:rFonts w:ascii="Times New Roman" w:hAnsi="Times New Roman"/>
          <w:color w:val="000000"/>
        </w:rPr>
        <w:t>(301) 763</w:t>
      </w:r>
      <w:r>
        <w:rPr>
          <w:rFonts w:ascii="Courier New" w:hAnsi="Courier New" w:cs="Courier New"/>
          <w:sz w:val="20"/>
          <w:szCs w:val="20"/>
        </w:rPr>
        <w:t>-</w:t>
      </w:r>
      <w:r w:rsidR="00073F44">
        <w:rPr>
          <w:rFonts w:ascii="Times New Roman" w:hAnsi="Times New Roman" w:cs="Courier New"/>
        </w:rPr>
        <w:t>1680</w:t>
      </w:r>
    </w:p>
    <w:p w14:paraId="0ADB1C5B" w14:textId="35E5DAF9" w:rsidR="006C1EC5" w:rsidRDefault="00073F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Lucinda.P.Dalzell</w:t>
      </w:r>
      <w:r w:rsidR="006C1EC5">
        <w:rPr>
          <w:rFonts w:ascii="Times New Roman" w:hAnsi="Times New Roman"/>
          <w:color w:val="000000"/>
        </w:rPr>
        <w:t>@census.gov</w:t>
      </w:r>
    </w:p>
    <w:p w14:paraId="12DB8336"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0A457248" w14:textId="77777777" w:rsidR="006C1EC5" w:rsidRDefault="006C1EC5">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The data will be analyzed under the direction of:</w:t>
      </w:r>
    </w:p>
    <w:p w14:paraId="253DE875"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530BA21A" w14:textId="1571500B" w:rsidR="003D566C" w:rsidRDefault="00073F44" w:rsidP="001958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Brian W. Ward</w:t>
      </w:r>
      <w:r w:rsidR="003D566C" w:rsidRPr="003D566C">
        <w:rPr>
          <w:rFonts w:ascii="Times New Roman" w:hAnsi="Times New Roman"/>
          <w:color w:val="000000"/>
        </w:rPr>
        <w:t>, Ph.D.</w:t>
      </w:r>
    </w:p>
    <w:p w14:paraId="1596FEF6" w14:textId="7C56A61B" w:rsidR="00073F44" w:rsidRDefault="00073F44" w:rsidP="001958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Team Lead</w:t>
      </w:r>
      <w:r w:rsidR="001958CA">
        <w:rPr>
          <w:rFonts w:ascii="Times New Roman" w:hAnsi="Times New Roman"/>
          <w:color w:val="000000"/>
        </w:rPr>
        <w:t>,</w:t>
      </w:r>
      <w:r>
        <w:rPr>
          <w:rFonts w:ascii="Times New Roman" w:hAnsi="Times New Roman"/>
          <w:color w:val="000000"/>
        </w:rPr>
        <w:t xml:space="preserve"> Ambulatory Care Team</w:t>
      </w:r>
    </w:p>
    <w:p w14:paraId="005691DF" w14:textId="6DD16831" w:rsidR="001958CA" w:rsidRDefault="001958CA" w:rsidP="001958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Ambulatory and Hospital Care Statistics Branch</w:t>
      </w:r>
    </w:p>
    <w:p w14:paraId="1426C3FF" w14:textId="77777777" w:rsidR="001958CA" w:rsidRDefault="001958CA" w:rsidP="001958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Division of Health Care Statistics</w:t>
      </w:r>
    </w:p>
    <w:p w14:paraId="2E39D904"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National Center for Health Statistics</w:t>
      </w:r>
      <w:r w:rsidR="004C6AF0">
        <w:rPr>
          <w:rFonts w:ascii="Times New Roman" w:hAnsi="Times New Roman"/>
          <w:color w:val="000000"/>
        </w:rPr>
        <w:t>/CDC</w:t>
      </w:r>
    </w:p>
    <w:p w14:paraId="7C474C51" w14:textId="77777777" w:rsidR="004C6AF0" w:rsidRDefault="004C6A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3311 Toledo Road</w:t>
      </w:r>
    </w:p>
    <w:p w14:paraId="5647B7FC" w14:textId="77777777" w:rsidR="004C6AF0" w:rsidRDefault="004C6A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Hyattsville, MD 20782</w:t>
      </w:r>
    </w:p>
    <w:p w14:paraId="4677B3D6" w14:textId="77777777" w:rsidR="00B97A8B" w:rsidRDefault="008A6CB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(301) 458</w:t>
      </w:r>
      <w:r>
        <w:rPr>
          <w:rFonts w:ascii="Times New Roman" w:hAnsi="Times New Roman"/>
          <w:color w:val="000000"/>
        </w:rPr>
        <w:noBreakHyphen/>
      </w:r>
      <w:r w:rsidR="00073F44">
        <w:rPr>
          <w:rFonts w:ascii="Times New Roman" w:hAnsi="Times New Roman"/>
          <w:color w:val="000000"/>
        </w:rPr>
        <w:t>4568</w:t>
      </w:r>
    </w:p>
    <w:p w14:paraId="227A7A66" w14:textId="6DC3E07D" w:rsidR="00925921" w:rsidRPr="00E528CE" w:rsidRDefault="00214828" w:rsidP="00015237">
      <w:pPr>
        <w:ind w:left="720" w:firstLine="720"/>
      </w:pPr>
      <w:hyperlink r:id="rId14" w:history="1"/>
      <w:r w:rsidR="00073F44">
        <w:rPr>
          <w:rStyle w:val="Hyperlink"/>
        </w:rPr>
        <w:t>ijz8@cdc.gov</w:t>
      </w:r>
    </w:p>
    <w:sectPr w:rsidR="00925921" w:rsidRPr="00E528CE" w:rsidSect="002F2082">
      <w:footerReference w:type="even" r:id="rId15"/>
      <w:footerReference w:type="default" r:id="rId16"/>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1B19E" w14:textId="77777777" w:rsidR="00DC659E" w:rsidRDefault="00DC659E">
      <w:r>
        <w:separator/>
      </w:r>
    </w:p>
  </w:endnote>
  <w:endnote w:type="continuationSeparator" w:id="0">
    <w:p w14:paraId="5F3E3E2C" w14:textId="77777777" w:rsidR="00DC659E" w:rsidRDefault="00DC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0AA09" w14:textId="77777777" w:rsidR="00DC659E" w:rsidRDefault="00DC659E" w:rsidP="00843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8049F" w14:textId="77777777" w:rsidR="00DC659E" w:rsidRDefault="00DC6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D4B3A" w14:textId="2F58E0D1" w:rsidR="00DC659E" w:rsidRDefault="00DC659E" w:rsidP="00843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4828">
      <w:rPr>
        <w:rStyle w:val="PageNumber"/>
        <w:noProof/>
      </w:rPr>
      <w:t>4</w:t>
    </w:r>
    <w:r>
      <w:rPr>
        <w:rStyle w:val="PageNumber"/>
      </w:rPr>
      <w:fldChar w:fldCharType="end"/>
    </w:r>
  </w:p>
  <w:p w14:paraId="7ECBBF1E" w14:textId="77777777" w:rsidR="00DC659E" w:rsidRDefault="00DC659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2B9D2" w14:textId="77777777" w:rsidR="00DC659E" w:rsidRDefault="00DC659E">
      <w:r>
        <w:separator/>
      </w:r>
    </w:p>
  </w:footnote>
  <w:footnote w:type="continuationSeparator" w:id="0">
    <w:p w14:paraId="7881E59B" w14:textId="77777777" w:rsidR="00DC659E" w:rsidRDefault="00DC659E">
      <w:r>
        <w:continuationSeparator/>
      </w:r>
    </w:p>
  </w:footnote>
  <w:footnote w:id="1">
    <w:p w14:paraId="4C8F62EF" w14:textId="5E4BBA21" w:rsidR="00DC659E" w:rsidRDefault="00DC659E">
      <w:pPr>
        <w:pStyle w:val="FootnoteText"/>
      </w:pPr>
      <w:r>
        <w:rPr>
          <w:rStyle w:val="FootnoteReference"/>
        </w:rPr>
        <w:footnoteRef/>
      </w:r>
      <w:r>
        <w:t xml:space="preserve"> </w:t>
      </w:r>
      <w:r w:rsidRPr="00A85605">
        <w:t>Research Triangle Institute. SUDAAN User’s Manual, Release 9.0.1. Research Triangle Park, NC: Research Triangle Institute, 2005</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398"/>
    <w:multiLevelType w:val="hybridMultilevel"/>
    <w:tmpl w:val="CFBE2C42"/>
    <w:lvl w:ilvl="0" w:tplc="3FA4D96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9D3A24"/>
    <w:multiLevelType w:val="hybridMultilevel"/>
    <w:tmpl w:val="8A1CD94A"/>
    <w:lvl w:ilvl="0" w:tplc="41C6A8D6">
      <w:start w:val="1"/>
      <w:numFmt w:val="bullet"/>
      <w:lvlText w:val=""/>
      <w:lvlJc w:val="left"/>
      <w:pPr>
        <w:tabs>
          <w:tab w:val="num" w:pos="1220"/>
        </w:tabs>
        <w:ind w:left="1076" w:firstLine="0"/>
      </w:pPr>
      <w:rPr>
        <w:rFonts w:ascii="Symbol" w:hAnsi="Symbol" w:hint="default"/>
      </w:rPr>
    </w:lvl>
    <w:lvl w:ilvl="1" w:tplc="04090003">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15FB6C0B"/>
    <w:multiLevelType w:val="hybridMultilevel"/>
    <w:tmpl w:val="726879B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A24506"/>
    <w:multiLevelType w:val="hybridMultilevel"/>
    <w:tmpl w:val="92204B8A"/>
    <w:lvl w:ilvl="0" w:tplc="1C1EF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64ECD"/>
    <w:multiLevelType w:val="hybridMultilevel"/>
    <w:tmpl w:val="8B52374E"/>
    <w:lvl w:ilvl="0" w:tplc="46E2D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76C80"/>
    <w:multiLevelType w:val="hybridMultilevel"/>
    <w:tmpl w:val="52026B3A"/>
    <w:lvl w:ilvl="0" w:tplc="FFFFFFFF">
      <w:start w:val="1"/>
      <w:numFmt w:val="upperRoman"/>
      <w:lvlText w:val="%1."/>
      <w:lvlJc w:val="right"/>
      <w:pPr>
        <w:tabs>
          <w:tab w:val="num" w:pos="540"/>
        </w:tabs>
        <w:ind w:left="54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98457AE"/>
    <w:multiLevelType w:val="hybridMultilevel"/>
    <w:tmpl w:val="E4981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85071"/>
    <w:multiLevelType w:val="hybridMultilevel"/>
    <w:tmpl w:val="1D0E1336"/>
    <w:lvl w:ilvl="0" w:tplc="FFFFFFFF">
      <w:start w:val="1"/>
      <w:numFmt w:val="upperRoman"/>
      <w:lvlText w:val="%1."/>
      <w:lvlJc w:val="right"/>
      <w:pPr>
        <w:tabs>
          <w:tab w:val="num" w:pos="900"/>
        </w:tabs>
        <w:ind w:left="900" w:hanging="180"/>
      </w:pPr>
      <w:rPr>
        <w:rFonts w:hint="default"/>
        <w:b w:val="0"/>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8">
    <w:nsid w:val="2E175B49"/>
    <w:multiLevelType w:val="hybridMultilevel"/>
    <w:tmpl w:val="84E4C2F8"/>
    <w:lvl w:ilvl="0" w:tplc="0409000F">
      <w:start w:val="1"/>
      <w:numFmt w:val="decimal"/>
      <w:lvlText w:val="%1."/>
      <w:lvlJc w:val="left"/>
      <w:pPr>
        <w:tabs>
          <w:tab w:val="num" w:pos="1005"/>
        </w:tabs>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1AF4117"/>
    <w:multiLevelType w:val="hybridMultilevel"/>
    <w:tmpl w:val="237A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D54ADC"/>
    <w:multiLevelType w:val="hybridMultilevel"/>
    <w:tmpl w:val="1F625F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F92F2F"/>
    <w:multiLevelType w:val="singleLevel"/>
    <w:tmpl w:val="D8000C02"/>
    <w:lvl w:ilvl="0">
      <w:start w:val="1"/>
      <w:numFmt w:val="decimal"/>
      <w:lvlText w:val="%1."/>
      <w:legacy w:legacy="1" w:legacySpace="0" w:legacyIndent="360"/>
      <w:lvlJc w:val="left"/>
      <w:rPr>
        <w:rFonts w:ascii="Times New Roman" w:hAnsi="Times New Roman" w:cs="Times New Roman" w:hint="default"/>
      </w:rPr>
    </w:lvl>
  </w:abstractNum>
  <w:abstractNum w:abstractNumId="12">
    <w:nsid w:val="3A0C203A"/>
    <w:multiLevelType w:val="hybridMultilevel"/>
    <w:tmpl w:val="C028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A6C8F"/>
    <w:multiLevelType w:val="hybridMultilevel"/>
    <w:tmpl w:val="B36E1B5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4">
    <w:nsid w:val="43C111EA"/>
    <w:multiLevelType w:val="hybridMultilevel"/>
    <w:tmpl w:val="BECE5B7C"/>
    <w:lvl w:ilvl="0" w:tplc="9C46B4A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E7880"/>
    <w:multiLevelType w:val="hybridMultilevel"/>
    <w:tmpl w:val="3B209C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DB2955"/>
    <w:multiLevelType w:val="hybridMultilevel"/>
    <w:tmpl w:val="4742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F63497"/>
    <w:multiLevelType w:val="hybridMultilevel"/>
    <w:tmpl w:val="A59856BC"/>
    <w:lvl w:ilvl="0" w:tplc="3F9002F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C77199"/>
    <w:multiLevelType w:val="hybridMultilevel"/>
    <w:tmpl w:val="116CD612"/>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DB6A63"/>
    <w:multiLevelType w:val="hybridMultilevel"/>
    <w:tmpl w:val="788E3ED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878E7"/>
    <w:multiLevelType w:val="hybridMultilevel"/>
    <w:tmpl w:val="1700C6E8"/>
    <w:lvl w:ilvl="0" w:tplc="C03EC53C">
      <w:start w:val="1"/>
      <w:numFmt w:val="decimal"/>
      <w:lvlText w:val="(%1)"/>
      <w:lvlJc w:val="left"/>
      <w:pPr>
        <w:tabs>
          <w:tab w:val="num" w:pos="720"/>
        </w:tabs>
        <w:ind w:left="720" w:hanging="360"/>
      </w:pPr>
      <w:rPr>
        <w:rFonts w:hint="default"/>
      </w:rPr>
    </w:lvl>
    <w:lvl w:ilvl="1" w:tplc="652CB8B0">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8E065B"/>
    <w:multiLevelType w:val="hybridMultilevel"/>
    <w:tmpl w:val="FE06E078"/>
    <w:lvl w:ilvl="0" w:tplc="41C6A8D6">
      <w:start w:val="1"/>
      <w:numFmt w:val="bullet"/>
      <w:lvlText w:val=""/>
      <w:lvlJc w:val="left"/>
      <w:pPr>
        <w:tabs>
          <w:tab w:val="num" w:pos="1220"/>
        </w:tabs>
        <w:ind w:left="1076" w:firstLine="0"/>
      </w:pPr>
      <w:rPr>
        <w:rFonts w:ascii="Symbol" w:hAnsi="Symbol" w:hint="default"/>
      </w:rPr>
    </w:lvl>
    <w:lvl w:ilvl="1" w:tplc="04090003" w:tentative="1">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2">
    <w:nsid w:val="5E83063B"/>
    <w:multiLevelType w:val="hybridMultilevel"/>
    <w:tmpl w:val="FB548EDE"/>
    <w:lvl w:ilvl="0" w:tplc="5AC0CBA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265ECF"/>
    <w:multiLevelType w:val="hybridMultilevel"/>
    <w:tmpl w:val="C6100C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2F10AD"/>
    <w:multiLevelType w:val="hybridMultilevel"/>
    <w:tmpl w:val="A7E6B02E"/>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5">
    <w:nsid w:val="6D470080"/>
    <w:multiLevelType w:val="hybridMultilevel"/>
    <w:tmpl w:val="7AC44CA8"/>
    <w:lvl w:ilvl="0" w:tplc="F98E7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574DAD"/>
    <w:multiLevelType w:val="hybridMultilevel"/>
    <w:tmpl w:val="3752D42E"/>
    <w:lvl w:ilvl="0" w:tplc="B79A0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8327F"/>
    <w:multiLevelType w:val="hybridMultilevel"/>
    <w:tmpl w:val="88CC652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8">
    <w:nsid w:val="7FEF3ADC"/>
    <w:multiLevelType w:val="hybridMultilevel"/>
    <w:tmpl w:val="1E285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1"/>
  </w:num>
  <w:num w:numId="4">
    <w:abstractNumId w:val="24"/>
  </w:num>
  <w:num w:numId="5">
    <w:abstractNumId w:val="13"/>
  </w:num>
  <w:num w:numId="6">
    <w:abstractNumId w:val="7"/>
  </w:num>
  <w:num w:numId="7">
    <w:abstractNumId w:val="27"/>
  </w:num>
  <w:num w:numId="8">
    <w:abstractNumId w:val="5"/>
  </w:num>
  <w:num w:numId="9">
    <w:abstractNumId w:val="10"/>
  </w:num>
  <w:num w:numId="10">
    <w:abstractNumId w:val="23"/>
  </w:num>
  <w:num w:numId="11">
    <w:abstractNumId w:val="11"/>
  </w:num>
  <w:num w:numId="12">
    <w:abstractNumId w:val="20"/>
  </w:num>
  <w:num w:numId="13">
    <w:abstractNumId w:val="2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5"/>
  </w:num>
  <w:num w:numId="17">
    <w:abstractNumId w:val="3"/>
  </w:num>
  <w:num w:numId="18">
    <w:abstractNumId w:val="4"/>
  </w:num>
  <w:num w:numId="19">
    <w:abstractNumId w:val="19"/>
  </w:num>
  <w:num w:numId="20">
    <w:abstractNumId w:val="17"/>
  </w:num>
  <w:num w:numId="21">
    <w:abstractNumId w:val="26"/>
  </w:num>
  <w:num w:numId="22">
    <w:abstractNumId w:val="12"/>
  </w:num>
  <w:num w:numId="23">
    <w:abstractNumId w:val="2"/>
  </w:num>
  <w:num w:numId="24">
    <w:abstractNumId w:val="16"/>
  </w:num>
  <w:num w:numId="25">
    <w:abstractNumId w:val="9"/>
  </w:num>
  <w:num w:numId="26">
    <w:abstractNumId w:val="14"/>
  </w:num>
  <w:num w:numId="27">
    <w:abstractNumId w:val="15"/>
  </w:num>
  <w:num w:numId="28">
    <w:abstractNumId w:val="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1B"/>
    <w:rsid w:val="000013C0"/>
    <w:rsid w:val="00002B79"/>
    <w:rsid w:val="000034C0"/>
    <w:rsid w:val="00003EEB"/>
    <w:rsid w:val="0000405F"/>
    <w:rsid w:val="00004549"/>
    <w:rsid w:val="00004DF8"/>
    <w:rsid w:val="00006685"/>
    <w:rsid w:val="00012B53"/>
    <w:rsid w:val="00012E94"/>
    <w:rsid w:val="00012ED5"/>
    <w:rsid w:val="00014447"/>
    <w:rsid w:val="0001475A"/>
    <w:rsid w:val="00015237"/>
    <w:rsid w:val="000153FF"/>
    <w:rsid w:val="00020420"/>
    <w:rsid w:val="000207EB"/>
    <w:rsid w:val="00020D2E"/>
    <w:rsid w:val="000212C8"/>
    <w:rsid w:val="00021792"/>
    <w:rsid w:val="00022855"/>
    <w:rsid w:val="0002304D"/>
    <w:rsid w:val="000233C9"/>
    <w:rsid w:val="000237CC"/>
    <w:rsid w:val="0002714B"/>
    <w:rsid w:val="0003057E"/>
    <w:rsid w:val="000329F2"/>
    <w:rsid w:val="00033A59"/>
    <w:rsid w:val="000360D1"/>
    <w:rsid w:val="00037E78"/>
    <w:rsid w:val="000401B2"/>
    <w:rsid w:val="00040FBC"/>
    <w:rsid w:val="000419F6"/>
    <w:rsid w:val="0004226A"/>
    <w:rsid w:val="00043032"/>
    <w:rsid w:val="00043B41"/>
    <w:rsid w:val="00047827"/>
    <w:rsid w:val="00050E06"/>
    <w:rsid w:val="00051AA5"/>
    <w:rsid w:val="000529CC"/>
    <w:rsid w:val="00053067"/>
    <w:rsid w:val="000551BA"/>
    <w:rsid w:val="00055852"/>
    <w:rsid w:val="000577AC"/>
    <w:rsid w:val="00057DB5"/>
    <w:rsid w:val="0006096C"/>
    <w:rsid w:val="00060D34"/>
    <w:rsid w:val="000619B8"/>
    <w:rsid w:val="00062163"/>
    <w:rsid w:val="00062280"/>
    <w:rsid w:val="000629B8"/>
    <w:rsid w:val="00062A04"/>
    <w:rsid w:val="0006480D"/>
    <w:rsid w:val="00065CB3"/>
    <w:rsid w:val="00066223"/>
    <w:rsid w:val="000666FD"/>
    <w:rsid w:val="00067ED9"/>
    <w:rsid w:val="00071728"/>
    <w:rsid w:val="00071923"/>
    <w:rsid w:val="0007276E"/>
    <w:rsid w:val="0007286B"/>
    <w:rsid w:val="00072A50"/>
    <w:rsid w:val="00072B0A"/>
    <w:rsid w:val="000735D8"/>
    <w:rsid w:val="00073F44"/>
    <w:rsid w:val="00074029"/>
    <w:rsid w:val="00075A13"/>
    <w:rsid w:val="00076FC6"/>
    <w:rsid w:val="0008065A"/>
    <w:rsid w:val="00083501"/>
    <w:rsid w:val="0008478A"/>
    <w:rsid w:val="000858AA"/>
    <w:rsid w:val="00086587"/>
    <w:rsid w:val="0008724B"/>
    <w:rsid w:val="0008725A"/>
    <w:rsid w:val="00090155"/>
    <w:rsid w:val="00090983"/>
    <w:rsid w:val="00090A69"/>
    <w:rsid w:val="00092C21"/>
    <w:rsid w:val="0009321B"/>
    <w:rsid w:val="00093719"/>
    <w:rsid w:val="000938A4"/>
    <w:rsid w:val="00093CC5"/>
    <w:rsid w:val="000952F0"/>
    <w:rsid w:val="00095620"/>
    <w:rsid w:val="00095A79"/>
    <w:rsid w:val="00095A7B"/>
    <w:rsid w:val="00095E0E"/>
    <w:rsid w:val="00096730"/>
    <w:rsid w:val="00096DF7"/>
    <w:rsid w:val="000A0A19"/>
    <w:rsid w:val="000A33B2"/>
    <w:rsid w:val="000A38D6"/>
    <w:rsid w:val="000A38EA"/>
    <w:rsid w:val="000A3A17"/>
    <w:rsid w:val="000A3D78"/>
    <w:rsid w:val="000A536F"/>
    <w:rsid w:val="000A7BCC"/>
    <w:rsid w:val="000B0FAA"/>
    <w:rsid w:val="000B1DE8"/>
    <w:rsid w:val="000B22C0"/>
    <w:rsid w:val="000B2631"/>
    <w:rsid w:val="000B5D5E"/>
    <w:rsid w:val="000B650D"/>
    <w:rsid w:val="000B6DC4"/>
    <w:rsid w:val="000B712C"/>
    <w:rsid w:val="000B73D9"/>
    <w:rsid w:val="000C19B6"/>
    <w:rsid w:val="000C1F46"/>
    <w:rsid w:val="000C333B"/>
    <w:rsid w:val="000C344F"/>
    <w:rsid w:val="000C353F"/>
    <w:rsid w:val="000C4393"/>
    <w:rsid w:val="000C4FD5"/>
    <w:rsid w:val="000C58B0"/>
    <w:rsid w:val="000C5DE6"/>
    <w:rsid w:val="000C5F62"/>
    <w:rsid w:val="000D2902"/>
    <w:rsid w:val="000D31F7"/>
    <w:rsid w:val="000D3448"/>
    <w:rsid w:val="000D36CC"/>
    <w:rsid w:val="000D3A31"/>
    <w:rsid w:val="000D4922"/>
    <w:rsid w:val="000D7A78"/>
    <w:rsid w:val="000E0970"/>
    <w:rsid w:val="000E1765"/>
    <w:rsid w:val="000E1D53"/>
    <w:rsid w:val="000E1EE7"/>
    <w:rsid w:val="000E6123"/>
    <w:rsid w:val="000E6A7A"/>
    <w:rsid w:val="000E76E6"/>
    <w:rsid w:val="000E7BB4"/>
    <w:rsid w:val="000F2D91"/>
    <w:rsid w:val="000F2FD1"/>
    <w:rsid w:val="000F42F2"/>
    <w:rsid w:val="000F6807"/>
    <w:rsid w:val="0010192A"/>
    <w:rsid w:val="00103891"/>
    <w:rsid w:val="001048FF"/>
    <w:rsid w:val="00104AFD"/>
    <w:rsid w:val="00104BF5"/>
    <w:rsid w:val="00104C62"/>
    <w:rsid w:val="0010701C"/>
    <w:rsid w:val="00107570"/>
    <w:rsid w:val="00107C29"/>
    <w:rsid w:val="00110111"/>
    <w:rsid w:val="0011014C"/>
    <w:rsid w:val="00110EE0"/>
    <w:rsid w:val="00110F42"/>
    <w:rsid w:val="001116F1"/>
    <w:rsid w:val="0011174B"/>
    <w:rsid w:val="001154E2"/>
    <w:rsid w:val="00115D83"/>
    <w:rsid w:val="00116690"/>
    <w:rsid w:val="00120297"/>
    <w:rsid w:val="00120DA4"/>
    <w:rsid w:val="00120E7B"/>
    <w:rsid w:val="00120F20"/>
    <w:rsid w:val="00121218"/>
    <w:rsid w:val="00121D24"/>
    <w:rsid w:val="00121FAD"/>
    <w:rsid w:val="00122C5B"/>
    <w:rsid w:val="0012375C"/>
    <w:rsid w:val="001243B2"/>
    <w:rsid w:val="00124504"/>
    <w:rsid w:val="00126B56"/>
    <w:rsid w:val="00127151"/>
    <w:rsid w:val="00127610"/>
    <w:rsid w:val="00127E58"/>
    <w:rsid w:val="00131210"/>
    <w:rsid w:val="0013402E"/>
    <w:rsid w:val="0013493A"/>
    <w:rsid w:val="00135F70"/>
    <w:rsid w:val="00136856"/>
    <w:rsid w:val="00136E1F"/>
    <w:rsid w:val="001423D0"/>
    <w:rsid w:val="00150366"/>
    <w:rsid w:val="00151104"/>
    <w:rsid w:val="00152063"/>
    <w:rsid w:val="00152572"/>
    <w:rsid w:val="00153924"/>
    <w:rsid w:val="00155AAA"/>
    <w:rsid w:val="001562A7"/>
    <w:rsid w:val="00160D21"/>
    <w:rsid w:val="0016385A"/>
    <w:rsid w:val="001652D8"/>
    <w:rsid w:val="00165A39"/>
    <w:rsid w:val="00170EBB"/>
    <w:rsid w:val="001714BC"/>
    <w:rsid w:val="00171BB2"/>
    <w:rsid w:val="00171D5C"/>
    <w:rsid w:val="0017286C"/>
    <w:rsid w:val="001741F4"/>
    <w:rsid w:val="00174CBB"/>
    <w:rsid w:val="00174FAC"/>
    <w:rsid w:val="00175C52"/>
    <w:rsid w:val="00177ACD"/>
    <w:rsid w:val="00177C56"/>
    <w:rsid w:val="00180834"/>
    <w:rsid w:val="00181B5B"/>
    <w:rsid w:val="0018205E"/>
    <w:rsid w:val="001838A0"/>
    <w:rsid w:val="00184526"/>
    <w:rsid w:val="00184553"/>
    <w:rsid w:val="00185B4A"/>
    <w:rsid w:val="00187DBD"/>
    <w:rsid w:val="001914A8"/>
    <w:rsid w:val="0019384A"/>
    <w:rsid w:val="00194175"/>
    <w:rsid w:val="001944C7"/>
    <w:rsid w:val="00195661"/>
    <w:rsid w:val="0019578E"/>
    <w:rsid w:val="001958CA"/>
    <w:rsid w:val="00196399"/>
    <w:rsid w:val="00197029"/>
    <w:rsid w:val="0019735E"/>
    <w:rsid w:val="001A059E"/>
    <w:rsid w:val="001A1CB1"/>
    <w:rsid w:val="001A2D66"/>
    <w:rsid w:val="001A3E78"/>
    <w:rsid w:val="001A4A5E"/>
    <w:rsid w:val="001A4ACB"/>
    <w:rsid w:val="001A602D"/>
    <w:rsid w:val="001A66CB"/>
    <w:rsid w:val="001B023B"/>
    <w:rsid w:val="001B3ED2"/>
    <w:rsid w:val="001B5134"/>
    <w:rsid w:val="001B5CA2"/>
    <w:rsid w:val="001B64C6"/>
    <w:rsid w:val="001C01A5"/>
    <w:rsid w:val="001C0C68"/>
    <w:rsid w:val="001C1526"/>
    <w:rsid w:val="001C2E3E"/>
    <w:rsid w:val="001C3FE7"/>
    <w:rsid w:val="001C55CD"/>
    <w:rsid w:val="001C5CBB"/>
    <w:rsid w:val="001C602D"/>
    <w:rsid w:val="001C7C5D"/>
    <w:rsid w:val="001D028F"/>
    <w:rsid w:val="001D0361"/>
    <w:rsid w:val="001D09D6"/>
    <w:rsid w:val="001D14F6"/>
    <w:rsid w:val="001D1640"/>
    <w:rsid w:val="001D2A2A"/>
    <w:rsid w:val="001D3521"/>
    <w:rsid w:val="001D4E5E"/>
    <w:rsid w:val="001D546F"/>
    <w:rsid w:val="001D7C80"/>
    <w:rsid w:val="001E0C6A"/>
    <w:rsid w:val="001E1BD6"/>
    <w:rsid w:val="001E1F6F"/>
    <w:rsid w:val="001E2746"/>
    <w:rsid w:val="001E27F9"/>
    <w:rsid w:val="001E6A80"/>
    <w:rsid w:val="001E7AED"/>
    <w:rsid w:val="001F1CDF"/>
    <w:rsid w:val="001F276D"/>
    <w:rsid w:val="001F284C"/>
    <w:rsid w:val="001F2C58"/>
    <w:rsid w:val="001F35E4"/>
    <w:rsid w:val="001F4961"/>
    <w:rsid w:val="001F4F0D"/>
    <w:rsid w:val="001F4F15"/>
    <w:rsid w:val="001F54C9"/>
    <w:rsid w:val="001F625E"/>
    <w:rsid w:val="001F6B91"/>
    <w:rsid w:val="001F7084"/>
    <w:rsid w:val="002011AB"/>
    <w:rsid w:val="00202B7A"/>
    <w:rsid w:val="0020333B"/>
    <w:rsid w:val="00203F7F"/>
    <w:rsid w:val="00206F05"/>
    <w:rsid w:val="0020719C"/>
    <w:rsid w:val="00207447"/>
    <w:rsid w:val="002105AF"/>
    <w:rsid w:val="0021124F"/>
    <w:rsid w:val="00213AAF"/>
    <w:rsid w:val="00213CF1"/>
    <w:rsid w:val="00214828"/>
    <w:rsid w:val="00214D9D"/>
    <w:rsid w:val="00215A29"/>
    <w:rsid w:val="00215C18"/>
    <w:rsid w:val="00220E67"/>
    <w:rsid w:val="00221288"/>
    <w:rsid w:val="00222070"/>
    <w:rsid w:val="00222827"/>
    <w:rsid w:val="002229E5"/>
    <w:rsid w:val="002237AC"/>
    <w:rsid w:val="00224B68"/>
    <w:rsid w:val="00224CAA"/>
    <w:rsid w:val="00227D7A"/>
    <w:rsid w:val="00231D15"/>
    <w:rsid w:val="00231E7F"/>
    <w:rsid w:val="002338F1"/>
    <w:rsid w:val="00233F54"/>
    <w:rsid w:val="0023409B"/>
    <w:rsid w:val="002359C8"/>
    <w:rsid w:val="00236980"/>
    <w:rsid w:val="002374B9"/>
    <w:rsid w:val="00241D1C"/>
    <w:rsid w:val="00242703"/>
    <w:rsid w:val="00242EF9"/>
    <w:rsid w:val="00244F8F"/>
    <w:rsid w:val="00250CA8"/>
    <w:rsid w:val="002511C2"/>
    <w:rsid w:val="002534F3"/>
    <w:rsid w:val="00253B7F"/>
    <w:rsid w:val="00255ACD"/>
    <w:rsid w:val="00255B6D"/>
    <w:rsid w:val="00257E56"/>
    <w:rsid w:val="00261AEC"/>
    <w:rsid w:val="00261EAF"/>
    <w:rsid w:val="002635C9"/>
    <w:rsid w:val="002638B2"/>
    <w:rsid w:val="00263CF5"/>
    <w:rsid w:val="00264791"/>
    <w:rsid w:val="002663C8"/>
    <w:rsid w:val="0026770A"/>
    <w:rsid w:val="00267E8B"/>
    <w:rsid w:val="0027013E"/>
    <w:rsid w:val="00270497"/>
    <w:rsid w:val="0027062A"/>
    <w:rsid w:val="00270BC7"/>
    <w:rsid w:val="00270CD9"/>
    <w:rsid w:val="00270F2C"/>
    <w:rsid w:val="00271920"/>
    <w:rsid w:val="00272038"/>
    <w:rsid w:val="0027214D"/>
    <w:rsid w:val="002750F3"/>
    <w:rsid w:val="002754E9"/>
    <w:rsid w:val="00276B26"/>
    <w:rsid w:val="002777CB"/>
    <w:rsid w:val="00277B1D"/>
    <w:rsid w:val="00280FD7"/>
    <w:rsid w:val="00281059"/>
    <w:rsid w:val="00284FBF"/>
    <w:rsid w:val="00285A06"/>
    <w:rsid w:val="00291382"/>
    <w:rsid w:val="00291AE3"/>
    <w:rsid w:val="00292EF1"/>
    <w:rsid w:val="00292F05"/>
    <w:rsid w:val="002938BA"/>
    <w:rsid w:val="00294F89"/>
    <w:rsid w:val="00297E22"/>
    <w:rsid w:val="002A20D7"/>
    <w:rsid w:val="002A20EA"/>
    <w:rsid w:val="002A2D98"/>
    <w:rsid w:val="002A36F4"/>
    <w:rsid w:val="002A53A3"/>
    <w:rsid w:val="002A5B00"/>
    <w:rsid w:val="002B024F"/>
    <w:rsid w:val="002B0E63"/>
    <w:rsid w:val="002B1399"/>
    <w:rsid w:val="002B1D77"/>
    <w:rsid w:val="002B1DA7"/>
    <w:rsid w:val="002B41CB"/>
    <w:rsid w:val="002B4CA9"/>
    <w:rsid w:val="002B4E47"/>
    <w:rsid w:val="002B6664"/>
    <w:rsid w:val="002C01A9"/>
    <w:rsid w:val="002C0BA3"/>
    <w:rsid w:val="002C1114"/>
    <w:rsid w:val="002C20AD"/>
    <w:rsid w:val="002C3C95"/>
    <w:rsid w:val="002C493E"/>
    <w:rsid w:val="002C6EAC"/>
    <w:rsid w:val="002D02AC"/>
    <w:rsid w:val="002D1695"/>
    <w:rsid w:val="002D1E7D"/>
    <w:rsid w:val="002D27EF"/>
    <w:rsid w:val="002D51D7"/>
    <w:rsid w:val="002D7616"/>
    <w:rsid w:val="002E343C"/>
    <w:rsid w:val="002E344F"/>
    <w:rsid w:val="002E3842"/>
    <w:rsid w:val="002E3F56"/>
    <w:rsid w:val="002E4E61"/>
    <w:rsid w:val="002E5497"/>
    <w:rsid w:val="002E64BF"/>
    <w:rsid w:val="002E7D2F"/>
    <w:rsid w:val="002F1696"/>
    <w:rsid w:val="002F2082"/>
    <w:rsid w:val="002F2AED"/>
    <w:rsid w:val="002F33F7"/>
    <w:rsid w:val="002F3E51"/>
    <w:rsid w:val="002F437A"/>
    <w:rsid w:val="002F5C82"/>
    <w:rsid w:val="002F672D"/>
    <w:rsid w:val="002F738A"/>
    <w:rsid w:val="00302D3D"/>
    <w:rsid w:val="00304571"/>
    <w:rsid w:val="003047EA"/>
    <w:rsid w:val="00310D72"/>
    <w:rsid w:val="00310DC0"/>
    <w:rsid w:val="003118BF"/>
    <w:rsid w:val="00312900"/>
    <w:rsid w:val="00313088"/>
    <w:rsid w:val="00313486"/>
    <w:rsid w:val="003141DF"/>
    <w:rsid w:val="003147DF"/>
    <w:rsid w:val="003167B8"/>
    <w:rsid w:val="003225BA"/>
    <w:rsid w:val="003226D2"/>
    <w:rsid w:val="00324CE0"/>
    <w:rsid w:val="00325718"/>
    <w:rsid w:val="00325BC0"/>
    <w:rsid w:val="0032697B"/>
    <w:rsid w:val="00327A39"/>
    <w:rsid w:val="0033091B"/>
    <w:rsid w:val="003317DA"/>
    <w:rsid w:val="00332609"/>
    <w:rsid w:val="00341A9A"/>
    <w:rsid w:val="00341E92"/>
    <w:rsid w:val="00342189"/>
    <w:rsid w:val="003435F3"/>
    <w:rsid w:val="00343EB2"/>
    <w:rsid w:val="00345F20"/>
    <w:rsid w:val="003466E8"/>
    <w:rsid w:val="00347A97"/>
    <w:rsid w:val="00350FAC"/>
    <w:rsid w:val="00352FA3"/>
    <w:rsid w:val="003534AA"/>
    <w:rsid w:val="00353BFE"/>
    <w:rsid w:val="00354036"/>
    <w:rsid w:val="00355599"/>
    <w:rsid w:val="00355AA5"/>
    <w:rsid w:val="0035674C"/>
    <w:rsid w:val="00356821"/>
    <w:rsid w:val="00356A84"/>
    <w:rsid w:val="00356AB6"/>
    <w:rsid w:val="00356FA9"/>
    <w:rsid w:val="00357771"/>
    <w:rsid w:val="00361A38"/>
    <w:rsid w:val="00362307"/>
    <w:rsid w:val="00363A4F"/>
    <w:rsid w:val="00363A7A"/>
    <w:rsid w:val="00363EDC"/>
    <w:rsid w:val="003641A0"/>
    <w:rsid w:val="003642AE"/>
    <w:rsid w:val="00365684"/>
    <w:rsid w:val="0036657F"/>
    <w:rsid w:val="003669E2"/>
    <w:rsid w:val="00371900"/>
    <w:rsid w:val="00371E15"/>
    <w:rsid w:val="00372E9D"/>
    <w:rsid w:val="00376039"/>
    <w:rsid w:val="00377322"/>
    <w:rsid w:val="00377BF9"/>
    <w:rsid w:val="003800D2"/>
    <w:rsid w:val="0038416C"/>
    <w:rsid w:val="00384E0F"/>
    <w:rsid w:val="003855EB"/>
    <w:rsid w:val="00386DF8"/>
    <w:rsid w:val="003877BF"/>
    <w:rsid w:val="00387FFB"/>
    <w:rsid w:val="00390528"/>
    <w:rsid w:val="00391263"/>
    <w:rsid w:val="003933D2"/>
    <w:rsid w:val="00394541"/>
    <w:rsid w:val="00395538"/>
    <w:rsid w:val="00397415"/>
    <w:rsid w:val="003A0280"/>
    <w:rsid w:val="003A31D9"/>
    <w:rsid w:val="003A3965"/>
    <w:rsid w:val="003A43C9"/>
    <w:rsid w:val="003A4C2D"/>
    <w:rsid w:val="003B05ED"/>
    <w:rsid w:val="003B131F"/>
    <w:rsid w:val="003B2EEB"/>
    <w:rsid w:val="003B38C6"/>
    <w:rsid w:val="003B42C2"/>
    <w:rsid w:val="003B5555"/>
    <w:rsid w:val="003B5B1B"/>
    <w:rsid w:val="003C010B"/>
    <w:rsid w:val="003C0707"/>
    <w:rsid w:val="003C075B"/>
    <w:rsid w:val="003C0B32"/>
    <w:rsid w:val="003C0B45"/>
    <w:rsid w:val="003C11CC"/>
    <w:rsid w:val="003C1678"/>
    <w:rsid w:val="003C2088"/>
    <w:rsid w:val="003C3495"/>
    <w:rsid w:val="003C3DE1"/>
    <w:rsid w:val="003C60DA"/>
    <w:rsid w:val="003C61B1"/>
    <w:rsid w:val="003C7089"/>
    <w:rsid w:val="003D1594"/>
    <w:rsid w:val="003D1D55"/>
    <w:rsid w:val="003D2D68"/>
    <w:rsid w:val="003D566C"/>
    <w:rsid w:val="003E19CE"/>
    <w:rsid w:val="003E1DA2"/>
    <w:rsid w:val="003E2249"/>
    <w:rsid w:val="003E451D"/>
    <w:rsid w:val="003E545B"/>
    <w:rsid w:val="003F2F4E"/>
    <w:rsid w:val="003F62B9"/>
    <w:rsid w:val="003F7361"/>
    <w:rsid w:val="003F7871"/>
    <w:rsid w:val="004013E1"/>
    <w:rsid w:val="004016FB"/>
    <w:rsid w:val="00402063"/>
    <w:rsid w:val="00402D99"/>
    <w:rsid w:val="00404B82"/>
    <w:rsid w:val="00405107"/>
    <w:rsid w:val="0040582C"/>
    <w:rsid w:val="00407F8D"/>
    <w:rsid w:val="004106F9"/>
    <w:rsid w:val="00411002"/>
    <w:rsid w:val="0041340E"/>
    <w:rsid w:val="0041427B"/>
    <w:rsid w:val="004150AA"/>
    <w:rsid w:val="00415E34"/>
    <w:rsid w:val="00416148"/>
    <w:rsid w:val="00416B59"/>
    <w:rsid w:val="00417B54"/>
    <w:rsid w:val="00424B56"/>
    <w:rsid w:val="00424C17"/>
    <w:rsid w:val="00425379"/>
    <w:rsid w:val="004257B8"/>
    <w:rsid w:val="004257D3"/>
    <w:rsid w:val="00425D81"/>
    <w:rsid w:val="00427B6D"/>
    <w:rsid w:val="004322E0"/>
    <w:rsid w:val="004363E0"/>
    <w:rsid w:val="00436A59"/>
    <w:rsid w:val="004436C2"/>
    <w:rsid w:val="00444477"/>
    <w:rsid w:val="0044469D"/>
    <w:rsid w:val="004454F9"/>
    <w:rsid w:val="004471BE"/>
    <w:rsid w:val="00447A05"/>
    <w:rsid w:val="00450EFA"/>
    <w:rsid w:val="00454DE3"/>
    <w:rsid w:val="004550EA"/>
    <w:rsid w:val="00455ABC"/>
    <w:rsid w:val="004571E5"/>
    <w:rsid w:val="00462133"/>
    <w:rsid w:val="004637F3"/>
    <w:rsid w:val="004641DA"/>
    <w:rsid w:val="00464371"/>
    <w:rsid w:val="004654E2"/>
    <w:rsid w:val="00466694"/>
    <w:rsid w:val="00466E7A"/>
    <w:rsid w:val="00467A27"/>
    <w:rsid w:val="00467E15"/>
    <w:rsid w:val="00472794"/>
    <w:rsid w:val="00472EBA"/>
    <w:rsid w:val="004769AF"/>
    <w:rsid w:val="004773EE"/>
    <w:rsid w:val="004776C9"/>
    <w:rsid w:val="00477DA1"/>
    <w:rsid w:val="00477ED2"/>
    <w:rsid w:val="00480AFD"/>
    <w:rsid w:val="00482362"/>
    <w:rsid w:val="00482738"/>
    <w:rsid w:val="0048291F"/>
    <w:rsid w:val="00483B8A"/>
    <w:rsid w:val="004879B1"/>
    <w:rsid w:val="00487FC2"/>
    <w:rsid w:val="0049123C"/>
    <w:rsid w:val="00493137"/>
    <w:rsid w:val="004940CD"/>
    <w:rsid w:val="004947BD"/>
    <w:rsid w:val="004948F0"/>
    <w:rsid w:val="00494F42"/>
    <w:rsid w:val="00496AF6"/>
    <w:rsid w:val="0049705A"/>
    <w:rsid w:val="00497A45"/>
    <w:rsid w:val="00497C2D"/>
    <w:rsid w:val="004A0B16"/>
    <w:rsid w:val="004A0B41"/>
    <w:rsid w:val="004A0E09"/>
    <w:rsid w:val="004A1ADA"/>
    <w:rsid w:val="004A5A23"/>
    <w:rsid w:val="004A6BE8"/>
    <w:rsid w:val="004B331C"/>
    <w:rsid w:val="004B391D"/>
    <w:rsid w:val="004B438C"/>
    <w:rsid w:val="004B4420"/>
    <w:rsid w:val="004B48E5"/>
    <w:rsid w:val="004B7845"/>
    <w:rsid w:val="004B7F36"/>
    <w:rsid w:val="004C0232"/>
    <w:rsid w:val="004C0E07"/>
    <w:rsid w:val="004C35BA"/>
    <w:rsid w:val="004C433E"/>
    <w:rsid w:val="004C482D"/>
    <w:rsid w:val="004C6AF0"/>
    <w:rsid w:val="004D1923"/>
    <w:rsid w:val="004D1AF7"/>
    <w:rsid w:val="004D290D"/>
    <w:rsid w:val="004D4236"/>
    <w:rsid w:val="004D42B4"/>
    <w:rsid w:val="004D5495"/>
    <w:rsid w:val="004D5814"/>
    <w:rsid w:val="004D6EEB"/>
    <w:rsid w:val="004D70F1"/>
    <w:rsid w:val="004D7A1D"/>
    <w:rsid w:val="004E0D96"/>
    <w:rsid w:val="004E225C"/>
    <w:rsid w:val="004E2B50"/>
    <w:rsid w:val="004E31B9"/>
    <w:rsid w:val="004E44E5"/>
    <w:rsid w:val="004E5548"/>
    <w:rsid w:val="004E6D13"/>
    <w:rsid w:val="004F1D33"/>
    <w:rsid w:val="004F2DE3"/>
    <w:rsid w:val="004F4A9D"/>
    <w:rsid w:val="00500E8B"/>
    <w:rsid w:val="00502D1F"/>
    <w:rsid w:val="00502F40"/>
    <w:rsid w:val="00504E65"/>
    <w:rsid w:val="005050DC"/>
    <w:rsid w:val="005077C4"/>
    <w:rsid w:val="00510E37"/>
    <w:rsid w:val="00512F4C"/>
    <w:rsid w:val="005135D9"/>
    <w:rsid w:val="00513785"/>
    <w:rsid w:val="005142E7"/>
    <w:rsid w:val="00515E0A"/>
    <w:rsid w:val="00517247"/>
    <w:rsid w:val="005231CB"/>
    <w:rsid w:val="00523B84"/>
    <w:rsid w:val="005241A0"/>
    <w:rsid w:val="00524C79"/>
    <w:rsid w:val="00525C84"/>
    <w:rsid w:val="00525DCA"/>
    <w:rsid w:val="0052677C"/>
    <w:rsid w:val="00530885"/>
    <w:rsid w:val="00531857"/>
    <w:rsid w:val="00531E37"/>
    <w:rsid w:val="005329C1"/>
    <w:rsid w:val="0053462B"/>
    <w:rsid w:val="005356FE"/>
    <w:rsid w:val="0054049A"/>
    <w:rsid w:val="005418EA"/>
    <w:rsid w:val="00542AAC"/>
    <w:rsid w:val="00544CCC"/>
    <w:rsid w:val="0054548A"/>
    <w:rsid w:val="00550F03"/>
    <w:rsid w:val="00551FFA"/>
    <w:rsid w:val="0055235A"/>
    <w:rsid w:val="00552EFA"/>
    <w:rsid w:val="00553AB7"/>
    <w:rsid w:val="0055507F"/>
    <w:rsid w:val="00555258"/>
    <w:rsid w:val="00555871"/>
    <w:rsid w:val="005559FA"/>
    <w:rsid w:val="00560DEA"/>
    <w:rsid w:val="00561906"/>
    <w:rsid w:val="00563186"/>
    <w:rsid w:val="00563A63"/>
    <w:rsid w:val="00565149"/>
    <w:rsid w:val="005656DA"/>
    <w:rsid w:val="005665FA"/>
    <w:rsid w:val="00566A2B"/>
    <w:rsid w:val="00567AB8"/>
    <w:rsid w:val="00571FFE"/>
    <w:rsid w:val="005726CC"/>
    <w:rsid w:val="00572F23"/>
    <w:rsid w:val="005735E4"/>
    <w:rsid w:val="00573A8B"/>
    <w:rsid w:val="00573E37"/>
    <w:rsid w:val="00575F13"/>
    <w:rsid w:val="0057634B"/>
    <w:rsid w:val="005769EE"/>
    <w:rsid w:val="0057797B"/>
    <w:rsid w:val="005806BF"/>
    <w:rsid w:val="00581163"/>
    <w:rsid w:val="00583339"/>
    <w:rsid w:val="005836DF"/>
    <w:rsid w:val="00584F20"/>
    <w:rsid w:val="00587663"/>
    <w:rsid w:val="0058796B"/>
    <w:rsid w:val="005905E0"/>
    <w:rsid w:val="00591D37"/>
    <w:rsid w:val="005933C0"/>
    <w:rsid w:val="005935A4"/>
    <w:rsid w:val="00594E22"/>
    <w:rsid w:val="0059640B"/>
    <w:rsid w:val="00596644"/>
    <w:rsid w:val="005A11F7"/>
    <w:rsid w:val="005A2B6E"/>
    <w:rsid w:val="005A4B81"/>
    <w:rsid w:val="005A5065"/>
    <w:rsid w:val="005A54F9"/>
    <w:rsid w:val="005A7CA5"/>
    <w:rsid w:val="005B1056"/>
    <w:rsid w:val="005B1512"/>
    <w:rsid w:val="005B1763"/>
    <w:rsid w:val="005B312A"/>
    <w:rsid w:val="005B3746"/>
    <w:rsid w:val="005B4BCB"/>
    <w:rsid w:val="005B4FDB"/>
    <w:rsid w:val="005B5E07"/>
    <w:rsid w:val="005B7793"/>
    <w:rsid w:val="005B7800"/>
    <w:rsid w:val="005C1438"/>
    <w:rsid w:val="005C5573"/>
    <w:rsid w:val="005C6188"/>
    <w:rsid w:val="005D4EA5"/>
    <w:rsid w:val="005D51A2"/>
    <w:rsid w:val="005D6347"/>
    <w:rsid w:val="005D7067"/>
    <w:rsid w:val="005E0169"/>
    <w:rsid w:val="005E0FDD"/>
    <w:rsid w:val="005E4469"/>
    <w:rsid w:val="005E572E"/>
    <w:rsid w:val="005E58F0"/>
    <w:rsid w:val="005E5BB8"/>
    <w:rsid w:val="005E68FC"/>
    <w:rsid w:val="005E6F83"/>
    <w:rsid w:val="005F0114"/>
    <w:rsid w:val="005F0CD7"/>
    <w:rsid w:val="005F3EDF"/>
    <w:rsid w:val="005F449A"/>
    <w:rsid w:val="005F5294"/>
    <w:rsid w:val="005F55C3"/>
    <w:rsid w:val="005F6D80"/>
    <w:rsid w:val="005F7E3C"/>
    <w:rsid w:val="006040D4"/>
    <w:rsid w:val="006061B7"/>
    <w:rsid w:val="00606D1E"/>
    <w:rsid w:val="00606D9B"/>
    <w:rsid w:val="00607E75"/>
    <w:rsid w:val="00611E4C"/>
    <w:rsid w:val="00616BC6"/>
    <w:rsid w:val="00621F6C"/>
    <w:rsid w:val="0062328D"/>
    <w:rsid w:val="006245C4"/>
    <w:rsid w:val="0062507D"/>
    <w:rsid w:val="006260E1"/>
    <w:rsid w:val="006327B9"/>
    <w:rsid w:val="00633123"/>
    <w:rsid w:val="00633E9C"/>
    <w:rsid w:val="00634D2B"/>
    <w:rsid w:val="0063563C"/>
    <w:rsid w:val="00636F7C"/>
    <w:rsid w:val="006371C7"/>
    <w:rsid w:val="006375FC"/>
    <w:rsid w:val="00640918"/>
    <w:rsid w:val="0064144C"/>
    <w:rsid w:val="00641E5D"/>
    <w:rsid w:val="00642392"/>
    <w:rsid w:val="006426C3"/>
    <w:rsid w:val="00643E47"/>
    <w:rsid w:val="00644DF0"/>
    <w:rsid w:val="006465FC"/>
    <w:rsid w:val="0065170D"/>
    <w:rsid w:val="006523B5"/>
    <w:rsid w:val="00653539"/>
    <w:rsid w:val="00656387"/>
    <w:rsid w:val="006564BD"/>
    <w:rsid w:val="00656672"/>
    <w:rsid w:val="00657215"/>
    <w:rsid w:val="00657EBF"/>
    <w:rsid w:val="00661664"/>
    <w:rsid w:val="00662A5B"/>
    <w:rsid w:val="00662B5A"/>
    <w:rsid w:val="0066315E"/>
    <w:rsid w:val="00665E7C"/>
    <w:rsid w:val="0066663A"/>
    <w:rsid w:val="006672F3"/>
    <w:rsid w:val="00670FF4"/>
    <w:rsid w:val="00672481"/>
    <w:rsid w:val="00672893"/>
    <w:rsid w:val="0067331E"/>
    <w:rsid w:val="00674AE0"/>
    <w:rsid w:val="006754C8"/>
    <w:rsid w:val="0067773D"/>
    <w:rsid w:val="00681625"/>
    <w:rsid w:val="0068202D"/>
    <w:rsid w:val="006827F1"/>
    <w:rsid w:val="0068346F"/>
    <w:rsid w:val="00683937"/>
    <w:rsid w:val="0068395F"/>
    <w:rsid w:val="00684314"/>
    <w:rsid w:val="00684A42"/>
    <w:rsid w:val="00686EB0"/>
    <w:rsid w:val="0068744B"/>
    <w:rsid w:val="00691A61"/>
    <w:rsid w:val="00694013"/>
    <w:rsid w:val="006A006A"/>
    <w:rsid w:val="006A1AC6"/>
    <w:rsid w:val="006A47AA"/>
    <w:rsid w:val="006A595D"/>
    <w:rsid w:val="006A5DB1"/>
    <w:rsid w:val="006A6F8B"/>
    <w:rsid w:val="006A7C6A"/>
    <w:rsid w:val="006B07A3"/>
    <w:rsid w:val="006B1154"/>
    <w:rsid w:val="006B23A9"/>
    <w:rsid w:val="006B507E"/>
    <w:rsid w:val="006B5C48"/>
    <w:rsid w:val="006B73D6"/>
    <w:rsid w:val="006B7B33"/>
    <w:rsid w:val="006C0CCC"/>
    <w:rsid w:val="006C100A"/>
    <w:rsid w:val="006C1DA9"/>
    <w:rsid w:val="006C1EC5"/>
    <w:rsid w:val="006C2C91"/>
    <w:rsid w:val="006C2ECD"/>
    <w:rsid w:val="006C3032"/>
    <w:rsid w:val="006C3D88"/>
    <w:rsid w:val="006C4037"/>
    <w:rsid w:val="006C591D"/>
    <w:rsid w:val="006C7B5E"/>
    <w:rsid w:val="006D055B"/>
    <w:rsid w:val="006D5095"/>
    <w:rsid w:val="006D6CD1"/>
    <w:rsid w:val="006D794D"/>
    <w:rsid w:val="006E0003"/>
    <w:rsid w:val="006E0F11"/>
    <w:rsid w:val="006E10D7"/>
    <w:rsid w:val="006E1CA7"/>
    <w:rsid w:val="006E33AF"/>
    <w:rsid w:val="006E39CF"/>
    <w:rsid w:val="006E3D39"/>
    <w:rsid w:val="006E44CC"/>
    <w:rsid w:val="006E55E9"/>
    <w:rsid w:val="006E56E2"/>
    <w:rsid w:val="006E5C87"/>
    <w:rsid w:val="006E61BC"/>
    <w:rsid w:val="006E63EF"/>
    <w:rsid w:val="006E6866"/>
    <w:rsid w:val="006E6F9D"/>
    <w:rsid w:val="006F1826"/>
    <w:rsid w:val="006F2ABD"/>
    <w:rsid w:val="006F4148"/>
    <w:rsid w:val="006F5789"/>
    <w:rsid w:val="006F6B6E"/>
    <w:rsid w:val="006F7BB8"/>
    <w:rsid w:val="00701D18"/>
    <w:rsid w:val="007037CB"/>
    <w:rsid w:val="00703C86"/>
    <w:rsid w:val="00705654"/>
    <w:rsid w:val="00705879"/>
    <w:rsid w:val="00705A6C"/>
    <w:rsid w:val="007109DC"/>
    <w:rsid w:val="0071100D"/>
    <w:rsid w:val="007112BF"/>
    <w:rsid w:val="00711AD3"/>
    <w:rsid w:val="0071377D"/>
    <w:rsid w:val="0071583C"/>
    <w:rsid w:val="007218FF"/>
    <w:rsid w:val="00721AD7"/>
    <w:rsid w:val="007241C4"/>
    <w:rsid w:val="00725B00"/>
    <w:rsid w:val="007277DC"/>
    <w:rsid w:val="00731666"/>
    <w:rsid w:val="007317BA"/>
    <w:rsid w:val="00732171"/>
    <w:rsid w:val="00732731"/>
    <w:rsid w:val="007353E4"/>
    <w:rsid w:val="00735DF6"/>
    <w:rsid w:val="007372A8"/>
    <w:rsid w:val="007419E3"/>
    <w:rsid w:val="00741D30"/>
    <w:rsid w:val="007433CB"/>
    <w:rsid w:val="00743E86"/>
    <w:rsid w:val="00744F72"/>
    <w:rsid w:val="00745CB1"/>
    <w:rsid w:val="00746B30"/>
    <w:rsid w:val="0076076C"/>
    <w:rsid w:val="007609E2"/>
    <w:rsid w:val="007610B7"/>
    <w:rsid w:val="0076149B"/>
    <w:rsid w:val="007626FC"/>
    <w:rsid w:val="00763340"/>
    <w:rsid w:val="00764368"/>
    <w:rsid w:val="00764A9A"/>
    <w:rsid w:val="00764FB4"/>
    <w:rsid w:val="00765497"/>
    <w:rsid w:val="0076551A"/>
    <w:rsid w:val="00770C11"/>
    <w:rsid w:val="00770F1E"/>
    <w:rsid w:val="00772189"/>
    <w:rsid w:val="007722A6"/>
    <w:rsid w:val="00774847"/>
    <w:rsid w:val="00777A70"/>
    <w:rsid w:val="00777B2A"/>
    <w:rsid w:val="00780148"/>
    <w:rsid w:val="0078065F"/>
    <w:rsid w:val="007810F1"/>
    <w:rsid w:val="0078348C"/>
    <w:rsid w:val="00784B44"/>
    <w:rsid w:val="00786F51"/>
    <w:rsid w:val="00787713"/>
    <w:rsid w:val="007902BE"/>
    <w:rsid w:val="00791F22"/>
    <w:rsid w:val="0079349B"/>
    <w:rsid w:val="0079420B"/>
    <w:rsid w:val="0079421C"/>
    <w:rsid w:val="007957CA"/>
    <w:rsid w:val="00795B1B"/>
    <w:rsid w:val="00796D26"/>
    <w:rsid w:val="00797AE3"/>
    <w:rsid w:val="007A132F"/>
    <w:rsid w:val="007A1A1D"/>
    <w:rsid w:val="007A374A"/>
    <w:rsid w:val="007A6DB4"/>
    <w:rsid w:val="007A77D9"/>
    <w:rsid w:val="007B28B8"/>
    <w:rsid w:val="007B587E"/>
    <w:rsid w:val="007B5D16"/>
    <w:rsid w:val="007C0F67"/>
    <w:rsid w:val="007C1185"/>
    <w:rsid w:val="007C26C0"/>
    <w:rsid w:val="007C36E5"/>
    <w:rsid w:val="007C40D7"/>
    <w:rsid w:val="007C62D8"/>
    <w:rsid w:val="007D084E"/>
    <w:rsid w:val="007D0F2C"/>
    <w:rsid w:val="007D1585"/>
    <w:rsid w:val="007D1715"/>
    <w:rsid w:val="007D529E"/>
    <w:rsid w:val="007D6CCB"/>
    <w:rsid w:val="007D7049"/>
    <w:rsid w:val="007D73FF"/>
    <w:rsid w:val="007E1191"/>
    <w:rsid w:val="007E1A0C"/>
    <w:rsid w:val="007E3AF3"/>
    <w:rsid w:val="007E5BF5"/>
    <w:rsid w:val="007F0BA0"/>
    <w:rsid w:val="007F3504"/>
    <w:rsid w:val="007F4F75"/>
    <w:rsid w:val="007F5D31"/>
    <w:rsid w:val="007F6343"/>
    <w:rsid w:val="007F68CF"/>
    <w:rsid w:val="007F71D0"/>
    <w:rsid w:val="007F782F"/>
    <w:rsid w:val="00800425"/>
    <w:rsid w:val="00800A2B"/>
    <w:rsid w:val="00800DB0"/>
    <w:rsid w:val="00802CB8"/>
    <w:rsid w:val="00802FBE"/>
    <w:rsid w:val="00805381"/>
    <w:rsid w:val="008059E5"/>
    <w:rsid w:val="00806D41"/>
    <w:rsid w:val="008115C8"/>
    <w:rsid w:val="008115C9"/>
    <w:rsid w:val="00811E0A"/>
    <w:rsid w:val="008122EB"/>
    <w:rsid w:val="008129A8"/>
    <w:rsid w:val="00812AB5"/>
    <w:rsid w:val="00813641"/>
    <w:rsid w:val="008146AC"/>
    <w:rsid w:val="008153D8"/>
    <w:rsid w:val="00816812"/>
    <w:rsid w:val="00817853"/>
    <w:rsid w:val="00820796"/>
    <w:rsid w:val="00822BD7"/>
    <w:rsid w:val="0082385C"/>
    <w:rsid w:val="008249E4"/>
    <w:rsid w:val="00824ECB"/>
    <w:rsid w:val="00825CE9"/>
    <w:rsid w:val="0082726C"/>
    <w:rsid w:val="0083080D"/>
    <w:rsid w:val="00833BF4"/>
    <w:rsid w:val="00833FB6"/>
    <w:rsid w:val="00833FEE"/>
    <w:rsid w:val="008353E2"/>
    <w:rsid w:val="00835B40"/>
    <w:rsid w:val="008360F9"/>
    <w:rsid w:val="00836D81"/>
    <w:rsid w:val="008374A8"/>
    <w:rsid w:val="00837BE5"/>
    <w:rsid w:val="00841F4C"/>
    <w:rsid w:val="0084265A"/>
    <w:rsid w:val="008430E1"/>
    <w:rsid w:val="00845588"/>
    <w:rsid w:val="008459B3"/>
    <w:rsid w:val="00845CEB"/>
    <w:rsid w:val="00845DFC"/>
    <w:rsid w:val="0084681D"/>
    <w:rsid w:val="008502D9"/>
    <w:rsid w:val="00850717"/>
    <w:rsid w:val="00851707"/>
    <w:rsid w:val="00851975"/>
    <w:rsid w:val="00853CAE"/>
    <w:rsid w:val="00855307"/>
    <w:rsid w:val="00856C2C"/>
    <w:rsid w:val="00860650"/>
    <w:rsid w:val="008612A9"/>
    <w:rsid w:val="00861BBF"/>
    <w:rsid w:val="0086469F"/>
    <w:rsid w:val="00864F48"/>
    <w:rsid w:val="00866738"/>
    <w:rsid w:val="0087092F"/>
    <w:rsid w:val="00870A70"/>
    <w:rsid w:val="00870CDD"/>
    <w:rsid w:val="00871F1A"/>
    <w:rsid w:val="0087230A"/>
    <w:rsid w:val="00873902"/>
    <w:rsid w:val="00880C5D"/>
    <w:rsid w:val="00881003"/>
    <w:rsid w:val="00881855"/>
    <w:rsid w:val="008820D1"/>
    <w:rsid w:val="008837FD"/>
    <w:rsid w:val="008863CB"/>
    <w:rsid w:val="0088677B"/>
    <w:rsid w:val="0088713A"/>
    <w:rsid w:val="0088780A"/>
    <w:rsid w:val="008879DD"/>
    <w:rsid w:val="00887DAD"/>
    <w:rsid w:val="00891AFB"/>
    <w:rsid w:val="0089407C"/>
    <w:rsid w:val="00895428"/>
    <w:rsid w:val="00895C7F"/>
    <w:rsid w:val="00896E63"/>
    <w:rsid w:val="008A24D4"/>
    <w:rsid w:val="008A2C04"/>
    <w:rsid w:val="008A3269"/>
    <w:rsid w:val="008A5151"/>
    <w:rsid w:val="008A6CBF"/>
    <w:rsid w:val="008A719A"/>
    <w:rsid w:val="008B0442"/>
    <w:rsid w:val="008B1ED5"/>
    <w:rsid w:val="008B4B08"/>
    <w:rsid w:val="008B513A"/>
    <w:rsid w:val="008B56B2"/>
    <w:rsid w:val="008B5CF7"/>
    <w:rsid w:val="008B6782"/>
    <w:rsid w:val="008B71CD"/>
    <w:rsid w:val="008B7B8F"/>
    <w:rsid w:val="008C3514"/>
    <w:rsid w:val="008C5E75"/>
    <w:rsid w:val="008C67DE"/>
    <w:rsid w:val="008C6886"/>
    <w:rsid w:val="008D1F1A"/>
    <w:rsid w:val="008D2A10"/>
    <w:rsid w:val="008D3F6E"/>
    <w:rsid w:val="008D401A"/>
    <w:rsid w:val="008D4842"/>
    <w:rsid w:val="008D512E"/>
    <w:rsid w:val="008D6B6E"/>
    <w:rsid w:val="008D6FE3"/>
    <w:rsid w:val="008D7EC6"/>
    <w:rsid w:val="008E0612"/>
    <w:rsid w:val="008E3B2C"/>
    <w:rsid w:val="008E5AA1"/>
    <w:rsid w:val="008E72C9"/>
    <w:rsid w:val="008F0211"/>
    <w:rsid w:val="008F099A"/>
    <w:rsid w:val="008F192A"/>
    <w:rsid w:val="008F1D96"/>
    <w:rsid w:val="008F2634"/>
    <w:rsid w:val="008F37AD"/>
    <w:rsid w:val="008F6C61"/>
    <w:rsid w:val="00900C31"/>
    <w:rsid w:val="009022F9"/>
    <w:rsid w:val="009053C5"/>
    <w:rsid w:val="00907396"/>
    <w:rsid w:val="00910A55"/>
    <w:rsid w:val="00912451"/>
    <w:rsid w:val="009131AD"/>
    <w:rsid w:val="00915EA6"/>
    <w:rsid w:val="00917E9C"/>
    <w:rsid w:val="00921CD0"/>
    <w:rsid w:val="00921D9A"/>
    <w:rsid w:val="00922586"/>
    <w:rsid w:val="00922776"/>
    <w:rsid w:val="00924535"/>
    <w:rsid w:val="00925794"/>
    <w:rsid w:val="00925921"/>
    <w:rsid w:val="00925DB7"/>
    <w:rsid w:val="00926CF5"/>
    <w:rsid w:val="00927043"/>
    <w:rsid w:val="00927746"/>
    <w:rsid w:val="00927B4A"/>
    <w:rsid w:val="009308C5"/>
    <w:rsid w:val="00930F53"/>
    <w:rsid w:val="00933770"/>
    <w:rsid w:val="00934CC7"/>
    <w:rsid w:val="00935935"/>
    <w:rsid w:val="00935FFA"/>
    <w:rsid w:val="0093697E"/>
    <w:rsid w:val="009372FF"/>
    <w:rsid w:val="00937872"/>
    <w:rsid w:val="009421BD"/>
    <w:rsid w:val="0094241A"/>
    <w:rsid w:val="00942D9F"/>
    <w:rsid w:val="009445CF"/>
    <w:rsid w:val="00947AB4"/>
    <w:rsid w:val="00951DF2"/>
    <w:rsid w:val="00951EDA"/>
    <w:rsid w:val="00953E8E"/>
    <w:rsid w:val="0095706F"/>
    <w:rsid w:val="00962666"/>
    <w:rsid w:val="009633CC"/>
    <w:rsid w:val="00965D4E"/>
    <w:rsid w:val="00967639"/>
    <w:rsid w:val="009679DF"/>
    <w:rsid w:val="00971679"/>
    <w:rsid w:val="00972220"/>
    <w:rsid w:val="00972513"/>
    <w:rsid w:val="00972F85"/>
    <w:rsid w:val="0097314B"/>
    <w:rsid w:val="00973505"/>
    <w:rsid w:val="00973BE1"/>
    <w:rsid w:val="0097504C"/>
    <w:rsid w:val="009766C9"/>
    <w:rsid w:val="00981240"/>
    <w:rsid w:val="0098240F"/>
    <w:rsid w:val="009845AF"/>
    <w:rsid w:val="009852B7"/>
    <w:rsid w:val="0098570A"/>
    <w:rsid w:val="00991B1D"/>
    <w:rsid w:val="009923BE"/>
    <w:rsid w:val="00992EAC"/>
    <w:rsid w:val="00993EE1"/>
    <w:rsid w:val="00994026"/>
    <w:rsid w:val="00995AC4"/>
    <w:rsid w:val="00996A4E"/>
    <w:rsid w:val="009A26B7"/>
    <w:rsid w:val="009A465A"/>
    <w:rsid w:val="009A4BD0"/>
    <w:rsid w:val="009A4F98"/>
    <w:rsid w:val="009A508A"/>
    <w:rsid w:val="009A7BE3"/>
    <w:rsid w:val="009B079C"/>
    <w:rsid w:val="009B172B"/>
    <w:rsid w:val="009B1A1F"/>
    <w:rsid w:val="009B2E00"/>
    <w:rsid w:val="009B328D"/>
    <w:rsid w:val="009B3667"/>
    <w:rsid w:val="009B4472"/>
    <w:rsid w:val="009C0A3B"/>
    <w:rsid w:val="009C0D7D"/>
    <w:rsid w:val="009C551C"/>
    <w:rsid w:val="009C596B"/>
    <w:rsid w:val="009C5E1F"/>
    <w:rsid w:val="009C71CA"/>
    <w:rsid w:val="009C7218"/>
    <w:rsid w:val="009C743E"/>
    <w:rsid w:val="009D047E"/>
    <w:rsid w:val="009D1EAD"/>
    <w:rsid w:val="009D2D7F"/>
    <w:rsid w:val="009D3E40"/>
    <w:rsid w:val="009D3F6C"/>
    <w:rsid w:val="009D4C06"/>
    <w:rsid w:val="009E1C34"/>
    <w:rsid w:val="009E3173"/>
    <w:rsid w:val="009E5536"/>
    <w:rsid w:val="009F0580"/>
    <w:rsid w:val="009F07D2"/>
    <w:rsid w:val="009F2196"/>
    <w:rsid w:val="009F27B3"/>
    <w:rsid w:val="009F38B2"/>
    <w:rsid w:val="009F3DB8"/>
    <w:rsid w:val="009F6C3F"/>
    <w:rsid w:val="009F721C"/>
    <w:rsid w:val="009F7B93"/>
    <w:rsid w:val="00A02068"/>
    <w:rsid w:val="00A05FBA"/>
    <w:rsid w:val="00A06767"/>
    <w:rsid w:val="00A06DD2"/>
    <w:rsid w:val="00A07A2B"/>
    <w:rsid w:val="00A11C94"/>
    <w:rsid w:val="00A12067"/>
    <w:rsid w:val="00A129FC"/>
    <w:rsid w:val="00A131DC"/>
    <w:rsid w:val="00A141D2"/>
    <w:rsid w:val="00A21D23"/>
    <w:rsid w:val="00A23F47"/>
    <w:rsid w:val="00A24165"/>
    <w:rsid w:val="00A24916"/>
    <w:rsid w:val="00A25200"/>
    <w:rsid w:val="00A279BE"/>
    <w:rsid w:val="00A30FBC"/>
    <w:rsid w:val="00A31656"/>
    <w:rsid w:val="00A31A10"/>
    <w:rsid w:val="00A32148"/>
    <w:rsid w:val="00A327D1"/>
    <w:rsid w:val="00A329D3"/>
    <w:rsid w:val="00A33BA2"/>
    <w:rsid w:val="00A34AD1"/>
    <w:rsid w:val="00A34B7C"/>
    <w:rsid w:val="00A34CEE"/>
    <w:rsid w:val="00A365C7"/>
    <w:rsid w:val="00A36C44"/>
    <w:rsid w:val="00A36E2D"/>
    <w:rsid w:val="00A37B73"/>
    <w:rsid w:val="00A40E35"/>
    <w:rsid w:val="00A435BB"/>
    <w:rsid w:val="00A43D79"/>
    <w:rsid w:val="00A446E2"/>
    <w:rsid w:val="00A510E5"/>
    <w:rsid w:val="00A51680"/>
    <w:rsid w:val="00A52405"/>
    <w:rsid w:val="00A52CCB"/>
    <w:rsid w:val="00A52D2A"/>
    <w:rsid w:val="00A53B89"/>
    <w:rsid w:val="00A54A74"/>
    <w:rsid w:val="00A55C6D"/>
    <w:rsid w:val="00A572BB"/>
    <w:rsid w:val="00A57787"/>
    <w:rsid w:val="00A629BD"/>
    <w:rsid w:val="00A630A6"/>
    <w:rsid w:val="00A633E7"/>
    <w:rsid w:val="00A6351B"/>
    <w:rsid w:val="00A63841"/>
    <w:rsid w:val="00A64FBA"/>
    <w:rsid w:val="00A67C98"/>
    <w:rsid w:val="00A70130"/>
    <w:rsid w:val="00A70433"/>
    <w:rsid w:val="00A70997"/>
    <w:rsid w:val="00A71161"/>
    <w:rsid w:val="00A713CA"/>
    <w:rsid w:val="00A714C7"/>
    <w:rsid w:val="00A718F7"/>
    <w:rsid w:val="00A721F6"/>
    <w:rsid w:val="00A72656"/>
    <w:rsid w:val="00A73FD0"/>
    <w:rsid w:val="00A742BC"/>
    <w:rsid w:val="00A747E5"/>
    <w:rsid w:val="00A74BA3"/>
    <w:rsid w:val="00A7530C"/>
    <w:rsid w:val="00A7652E"/>
    <w:rsid w:val="00A76AC0"/>
    <w:rsid w:val="00A779A8"/>
    <w:rsid w:val="00A804EB"/>
    <w:rsid w:val="00A81DD3"/>
    <w:rsid w:val="00A82E6C"/>
    <w:rsid w:val="00A833A0"/>
    <w:rsid w:val="00A83799"/>
    <w:rsid w:val="00A849BA"/>
    <w:rsid w:val="00A85605"/>
    <w:rsid w:val="00A8570C"/>
    <w:rsid w:val="00A8586A"/>
    <w:rsid w:val="00A85F00"/>
    <w:rsid w:val="00A86380"/>
    <w:rsid w:val="00A876CA"/>
    <w:rsid w:val="00A90DFC"/>
    <w:rsid w:val="00A9188C"/>
    <w:rsid w:val="00A91EAC"/>
    <w:rsid w:val="00A945EF"/>
    <w:rsid w:val="00A9649E"/>
    <w:rsid w:val="00A96DA1"/>
    <w:rsid w:val="00A97FD8"/>
    <w:rsid w:val="00AA01A8"/>
    <w:rsid w:val="00AA0409"/>
    <w:rsid w:val="00AA25AA"/>
    <w:rsid w:val="00AA4A03"/>
    <w:rsid w:val="00AA5371"/>
    <w:rsid w:val="00AA5453"/>
    <w:rsid w:val="00AA6A0C"/>
    <w:rsid w:val="00AB1B89"/>
    <w:rsid w:val="00AB2994"/>
    <w:rsid w:val="00AB3A23"/>
    <w:rsid w:val="00AB6A1F"/>
    <w:rsid w:val="00AB6CC3"/>
    <w:rsid w:val="00AC118D"/>
    <w:rsid w:val="00AC1333"/>
    <w:rsid w:val="00AC1FE1"/>
    <w:rsid w:val="00AC325B"/>
    <w:rsid w:val="00AC3AA1"/>
    <w:rsid w:val="00AC4DCB"/>
    <w:rsid w:val="00AC4FFB"/>
    <w:rsid w:val="00AC6537"/>
    <w:rsid w:val="00AC68CC"/>
    <w:rsid w:val="00AC6CDA"/>
    <w:rsid w:val="00AD0C53"/>
    <w:rsid w:val="00AD15DE"/>
    <w:rsid w:val="00AD40A8"/>
    <w:rsid w:val="00AD6C0C"/>
    <w:rsid w:val="00AE33CC"/>
    <w:rsid w:val="00AE37DB"/>
    <w:rsid w:val="00AF058D"/>
    <w:rsid w:val="00AF0B01"/>
    <w:rsid w:val="00AF13CA"/>
    <w:rsid w:val="00AF1C25"/>
    <w:rsid w:val="00AF223F"/>
    <w:rsid w:val="00AF4C44"/>
    <w:rsid w:val="00AF5817"/>
    <w:rsid w:val="00AF5B09"/>
    <w:rsid w:val="00AF65D2"/>
    <w:rsid w:val="00AF71EC"/>
    <w:rsid w:val="00AF746D"/>
    <w:rsid w:val="00B0096C"/>
    <w:rsid w:val="00B0148F"/>
    <w:rsid w:val="00B025A6"/>
    <w:rsid w:val="00B04602"/>
    <w:rsid w:val="00B05450"/>
    <w:rsid w:val="00B0621A"/>
    <w:rsid w:val="00B07A0F"/>
    <w:rsid w:val="00B07DB4"/>
    <w:rsid w:val="00B12365"/>
    <w:rsid w:val="00B12387"/>
    <w:rsid w:val="00B138B4"/>
    <w:rsid w:val="00B13C6D"/>
    <w:rsid w:val="00B16F4C"/>
    <w:rsid w:val="00B21091"/>
    <w:rsid w:val="00B219EC"/>
    <w:rsid w:val="00B2226E"/>
    <w:rsid w:val="00B2273B"/>
    <w:rsid w:val="00B23313"/>
    <w:rsid w:val="00B25927"/>
    <w:rsid w:val="00B25AB9"/>
    <w:rsid w:val="00B2700E"/>
    <w:rsid w:val="00B3139A"/>
    <w:rsid w:val="00B318A8"/>
    <w:rsid w:val="00B345AC"/>
    <w:rsid w:val="00B34BA3"/>
    <w:rsid w:val="00B35B45"/>
    <w:rsid w:val="00B36A86"/>
    <w:rsid w:val="00B378AF"/>
    <w:rsid w:val="00B37C2B"/>
    <w:rsid w:val="00B40156"/>
    <w:rsid w:val="00B415D1"/>
    <w:rsid w:val="00B42071"/>
    <w:rsid w:val="00B43219"/>
    <w:rsid w:val="00B433E9"/>
    <w:rsid w:val="00B455F8"/>
    <w:rsid w:val="00B45A94"/>
    <w:rsid w:val="00B462EB"/>
    <w:rsid w:val="00B4676C"/>
    <w:rsid w:val="00B47CA2"/>
    <w:rsid w:val="00B500AB"/>
    <w:rsid w:val="00B525AC"/>
    <w:rsid w:val="00B54583"/>
    <w:rsid w:val="00B54AAF"/>
    <w:rsid w:val="00B560F2"/>
    <w:rsid w:val="00B616B8"/>
    <w:rsid w:val="00B63C44"/>
    <w:rsid w:val="00B640BC"/>
    <w:rsid w:val="00B64A75"/>
    <w:rsid w:val="00B6500A"/>
    <w:rsid w:val="00B66321"/>
    <w:rsid w:val="00B66CED"/>
    <w:rsid w:val="00B673DA"/>
    <w:rsid w:val="00B72ADC"/>
    <w:rsid w:val="00B73CEC"/>
    <w:rsid w:val="00B77174"/>
    <w:rsid w:val="00B7773A"/>
    <w:rsid w:val="00B80466"/>
    <w:rsid w:val="00B809ED"/>
    <w:rsid w:val="00B81359"/>
    <w:rsid w:val="00B837D6"/>
    <w:rsid w:val="00B842F2"/>
    <w:rsid w:val="00B84E51"/>
    <w:rsid w:val="00B85EB5"/>
    <w:rsid w:val="00B86ADC"/>
    <w:rsid w:val="00B87A14"/>
    <w:rsid w:val="00B90066"/>
    <w:rsid w:val="00B91314"/>
    <w:rsid w:val="00B93315"/>
    <w:rsid w:val="00B93774"/>
    <w:rsid w:val="00B93EBA"/>
    <w:rsid w:val="00B95134"/>
    <w:rsid w:val="00B95EF4"/>
    <w:rsid w:val="00B96C5D"/>
    <w:rsid w:val="00B97A8B"/>
    <w:rsid w:val="00BA056E"/>
    <w:rsid w:val="00BA2174"/>
    <w:rsid w:val="00BA21A4"/>
    <w:rsid w:val="00BA2369"/>
    <w:rsid w:val="00BA3E98"/>
    <w:rsid w:val="00BA47C6"/>
    <w:rsid w:val="00BA4BBF"/>
    <w:rsid w:val="00BA4D4D"/>
    <w:rsid w:val="00BA7370"/>
    <w:rsid w:val="00BA75FF"/>
    <w:rsid w:val="00BB1DFF"/>
    <w:rsid w:val="00BB1ED0"/>
    <w:rsid w:val="00BB205D"/>
    <w:rsid w:val="00BB3583"/>
    <w:rsid w:val="00BB4E07"/>
    <w:rsid w:val="00BB4F09"/>
    <w:rsid w:val="00BB59F7"/>
    <w:rsid w:val="00BB5A77"/>
    <w:rsid w:val="00BC0DFA"/>
    <w:rsid w:val="00BC1649"/>
    <w:rsid w:val="00BC2448"/>
    <w:rsid w:val="00BC3B8A"/>
    <w:rsid w:val="00BC4547"/>
    <w:rsid w:val="00BC4563"/>
    <w:rsid w:val="00BC4A56"/>
    <w:rsid w:val="00BD0752"/>
    <w:rsid w:val="00BD3BD3"/>
    <w:rsid w:val="00BD3F8D"/>
    <w:rsid w:val="00BD5337"/>
    <w:rsid w:val="00BD5F02"/>
    <w:rsid w:val="00BD7639"/>
    <w:rsid w:val="00BE00C9"/>
    <w:rsid w:val="00BE2123"/>
    <w:rsid w:val="00BE2229"/>
    <w:rsid w:val="00BE28B8"/>
    <w:rsid w:val="00BE4B9A"/>
    <w:rsid w:val="00BE4F8E"/>
    <w:rsid w:val="00BE7C8F"/>
    <w:rsid w:val="00BF0841"/>
    <w:rsid w:val="00BF16E4"/>
    <w:rsid w:val="00BF2CFE"/>
    <w:rsid w:val="00BF3A36"/>
    <w:rsid w:val="00BF4343"/>
    <w:rsid w:val="00C0095D"/>
    <w:rsid w:val="00C01F14"/>
    <w:rsid w:val="00C02092"/>
    <w:rsid w:val="00C0287B"/>
    <w:rsid w:val="00C04278"/>
    <w:rsid w:val="00C046E3"/>
    <w:rsid w:val="00C0542E"/>
    <w:rsid w:val="00C05EF1"/>
    <w:rsid w:val="00C06A1D"/>
    <w:rsid w:val="00C070A9"/>
    <w:rsid w:val="00C077EE"/>
    <w:rsid w:val="00C07C26"/>
    <w:rsid w:val="00C1015E"/>
    <w:rsid w:val="00C14567"/>
    <w:rsid w:val="00C172D2"/>
    <w:rsid w:val="00C17A59"/>
    <w:rsid w:val="00C17F47"/>
    <w:rsid w:val="00C20BF8"/>
    <w:rsid w:val="00C21B3E"/>
    <w:rsid w:val="00C231AB"/>
    <w:rsid w:val="00C24E0E"/>
    <w:rsid w:val="00C27AA9"/>
    <w:rsid w:val="00C30CE1"/>
    <w:rsid w:val="00C3116F"/>
    <w:rsid w:val="00C3163E"/>
    <w:rsid w:val="00C31828"/>
    <w:rsid w:val="00C31BB6"/>
    <w:rsid w:val="00C33BA0"/>
    <w:rsid w:val="00C36A1E"/>
    <w:rsid w:val="00C3784F"/>
    <w:rsid w:val="00C414AD"/>
    <w:rsid w:val="00C42BF1"/>
    <w:rsid w:val="00C43176"/>
    <w:rsid w:val="00C43353"/>
    <w:rsid w:val="00C44925"/>
    <w:rsid w:val="00C44F1B"/>
    <w:rsid w:val="00C46655"/>
    <w:rsid w:val="00C47C58"/>
    <w:rsid w:val="00C50CFA"/>
    <w:rsid w:val="00C51621"/>
    <w:rsid w:val="00C5360D"/>
    <w:rsid w:val="00C53ECA"/>
    <w:rsid w:val="00C5521C"/>
    <w:rsid w:val="00C55512"/>
    <w:rsid w:val="00C56C9B"/>
    <w:rsid w:val="00C57571"/>
    <w:rsid w:val="00C57B5A"/>
    <w:rsid w:val="00C60726"/>
    <w:rsid w:val="00C61695"/>
    <w:rsid w:val="00C61AE1"/>
    <w:rsid w:val="00C63F5D"/>
    <w:rsid w:val="00C63FFE"/>
    <w:rsid w:val="00C665A6"/>
    <w:rsid w:val="00C6745E"/>
    <w:rsid w:val="00C70467"/>
    <w:rsid w:val="00C731B1"/>
    <w:rsid w:val="00C76327"/>
    <w:rsid w:val="00C76743"/>
    <w:rsid w:val="00C767FD"/>
    <w:rsid w:val="00C77423"/>
    <w:rsid w:val="00C800CF"/>
    <w:rsid w:val="00C80478"/>
    <w:rsid w:val="00C81B6A"/>
    <w:rsid w:val="00C83040"/>
    <w:rsid w:val="00C83585"/>
    <w:rsid w:val="00C83DD9"/>
    <w:rsid w:val="00C84803"/>
    <w:rsid w:val="00C853A2"/>
    <w:rsid w:val="00C86AD0"/>
    <w:rsid w:val="00C8759F"/>
    <w:rsid w:val="00C87A0F"/>
    <w:rsid w:val="00C87F25"/>
    <w:rsid w:val="00C90031"/>
    <w:rsid w:val="00C92992"/>
    <w:rsid w:val="00C92D7E"/>
    <w:rsid w:val="00C93D44"/>
    <w:rsid w:val="00C93DFE"/>
    <w:rsid w:val="00C94240"/>
    <w:rsid w:val="00C9539F"/>
    <w:rsid w:val="00C95D27"/>
    <w:rsid w:val="00C979A6"/>
    <w:rsid w:val="00CA08FB"/>
    <w:rsid w:val="00CA2621"/>
    <w:rsid w:val="00CA3374"/>
    <w:rsid w:val="00CA4ADB"/>
    <w:rsid w:val="00CA5994"/>
    <w:rsid w:val="00CA7430"/>
    <w:rsid w:val="00CA7621"/>
    <w:rsid w:val="00CA79E2"/>
    <w:rsid w:val="00CB1775"/>
    <w:rsid w:val="00CB23D9"/>
    <w:rsid w:val="00CB3ED0"/>
    <w:rsid w:val="00CB4B19"/>
    <w:rsid w:val="00CB5FDE"/>
    <w:rsid w:val="00CC0F59"/>
    <w:rsid w:val="00CC25DD"/>
    <w:rsid w:val="00CC484F"/>
    <w:rsid w:val="00CC6C79"/>
    <w:rsid w:val="00CC7BC6"/>
    <w:rsid w:val="00CC7D14"/>
    <w:rsid w:val="00CC7D49"/>
    <w:rsid w:val="00CC7F29"/>
    <w:rsid w:val="00CD20A3"/>
    <w:rsid w:val="00CD45F6"/>
    <w:rsid w:val="00CD4D9E"/>
    <w:rsid w:val="00CD6845"/>
    <w:rsid w:val="00CD76E3"/>
    <w:rsid w:val="00CE1658"/>
    <w:rsid w:val="00CE2415"/>
    <w:rsid w:val="00CE483A"/>
    <w:rsid w:val="00CE7C4D"/>
    <w:rsid w:val="00CE7C62"/>
    <w:rsid w:val="00CE7F42"/>
    <w:rsid w:val="00CF15BE"/>
    <w:rsid w:val="00CF32FE"/>
    <w:rsid w:val="00CF3A18"/>
    <w:rsid w:val="00CF3BCC"/>
    <w:rsid w:val="00CF4073"/>
    <w:rsid w:val="00CF4074"/>
    <w:rsid w:val="00CF491B"/>
    <w:rsid w:val="00CF5BCC"/>
    <w:rsid w:val="00CF617C"/>
    <w:rsid w:val="00CF7327"/>
    <w:rsid w:val="00CF78EC"/>
    <w:rsid w:val="00D00460"/>
    <w:rsid w:val="00D01534"/>
    <w:rsid w:val="00D033DF"/>
    <w:rsid w:val="00D06729"/>
    <w:rsid w:val="00D0748F"/>
    <w:rsid w:val="00D0787F"/>
    <w:rsid w:val="00D07E63"/>
    <w:rsid w:val="00D1125C"/>
    <w:rsid w:val="00D13097"/>
    <w:rsid w:val="00D1421F"/>
    <w:rsid w:val="00D14448"/>
    <w:rsid w:val="00D1512A"/>
    <w:rsid w:val="00D16169"/>
    <w:rsid w:val="00D164F9"/>
    <w:rsid w:val="00D169AC"/>
    <w:rsid w:val="00D173A8"/>
    <w:rsid w:val="00D176F7"/>
    <w:rsid w:val="00D17EFF"/>
    <w:rsid w:val="00D20458"/>
    <w:rsid w:val="00D211DB"/>
    <w:rsid w:val="00D246B7"/>
    <w:rsid w:val="00D256C4"/>
    <w:rsid w:val="00D3224E"/>
    <w:rsid w:val="00D362B0"/>
    <w:rsid w:val="00D36485"/>
    <w:rsid w:val="00D41C34"/>
    <w:rsid w:val="00D443D2"/>
    <w:rsid w:val="00D44864"/>
    <w:rsid w:val="00D4526D"/>
    <w:rsid w:val="00D5005D"/>
    <w:rsid w:val="00D50566"/>
    <w:rsid w:val="00D533A7"/>
    <w:rsid w:val="00D53CC4"/>
    <w:rsid w:val="00D54E7A"/>
    <w:rsid w:val="00D54F70"/>
    <w:rsid w:val="00D554C3"/>
    <w:rsid w:val="00D557AC"/>
    <w:rsid w:val="00D5792A"/>
    <w:rsid w:val="00D60332"/>
    <w:rsid w:val="00D60389"/>
    <w:rsid w:val="00D60851"/>
    <w:rsid w:val="00D60B58"/>
    <w:rsid w:val="00D62432"/>
    <w:rsid w:val="00D62640"/>
    <w:rsid w:val="00D632C7"/>
    <w:rsid w:val="00D63B9F"/>
    <w:rsid w:val="00D66875"/>
    <w:rsid w:val="00D67D0F"/>
    <w:rsid w:val="00D70782"/>
    <w:rsid w:val="00D717B0"/>
    <w:rsid w:val="00D7245E"/>
    <w:rsid w:val="00D72976"/>
    <w:rsid w:val="00D72A7E"/>
    <w:rsid w:val="00D75CDC"/>
    <w:rsid w:val="00D75F32"/>
    <w:rsid w:val="00D7645E"/>
    <w:rsid w:val="00D76A09"/>
    <w:rsid w:val="00D77A42"/>
    <w:rsid w:val="00D77ADF"/>
    <w:rsid w:val="00D816B6"/>
    <w:rsid w:val="00D825FB"/>
    <w:rsid w:val="00D842B6"/>
    <w:rsid w:val="00D850AA"/>
    <w:rsid w:val="00D85413"/>
    <w:rsid w:val="00D90AB8"/>
    <w:rsid w:val="00D92BC7"/>
    <w:rsid w:val="00D9386E"/>
    <w:rsid w:val="00D94C27"/>
    <w:rsid w:val="00D95DF6"/>
    <w:rsid w:val="00D965D7"/>
    <w:rsid w:val="00D978F9"/>
    <w:rsid w:val="00D97F25"/>
    <w:rsid w:val="00DA0E40"/>
    <w:rsid w:val="00DA0F7D"/>
    <w:rsid w:val="00DA10C6"/>
    <w:rsid w:val="00DA27E8"/>
    <w:rsid w:val="00DA50E5"/>
    <w:rsid w:val="00DA5C0B"/>
    <w:rsid w:val="00DA6061"/>
    <w:rsid w:val="00DA622B"/>
    <w:rsid w:val="00DB2DB1"/>
    <w:rsid w:val="00DB3925"/>
    <w:rsid w:val="00DB3A06"/>
    <w:rsid w:val="00DB42FF"/>
    <w:rsid w:val="00DB49D2"/>
    <w:rsid w:val="00DB4F14"/>
    <w:rsid w:val="00DB6BA3"/>
    <w:rsid w:val="00DC261D"/>
    <w:rsid w:val="00DC5576"/>
    <w:rsid w:val="00DC659E"/>
    <w:rsid w:val="00DC78B0"/>
    <w:rsid w:val="00DC7B50"/>
    <w:rsid w:val="00DD332F"/>
    <w:rsid w:val="00DD3415"/>
    <w:rsid w:val="00DD483F"/>
    <w:rsid w:val="00DD49C5"/>
    <w:rsid w:val="00DD4F7E"/>
    <w:rsid w:val="00DD6B3F"/>
    <w:rsid w:val="00DE1AF1"/>
    <w:rsid w:val="00DE5815"/>
    <w:rsid w:val="00DE620D"/>
    <w:rsid w:val="00DE63FF"/>
    <w:rsid w:val="00DE65D0"/>
    <w:rsid w:val="00DE7245"/>
    <w:rsid w:val="00DE736F"/>
    <w:rsid w:val="00DE7A8D"/>
    <w:rsid w:val="00DF17A0"/>
    <w:rsid w:val="00DF1E16"/>
    <w:rsid w:val="00DF4318"/>
    <w:rsid w:val="00DF4C2C"/>
    <w:rsid w:val="00DF78F1"/>
    <w:rsid w:val="00DF7AC2"/>
    <w:rsid w:val="00E01351"/>
    <w:rsid w:val="00E02434"/>
    <w:rsid w:val="00E0507D"/>
    <w:rsid w:val="00E0553F"/>
    <w:rsid w:val="00E069A2"/>
    <w:rsid w:val="00E07CC7"/>
    <w:rsid w:val="00E16FD5"/>
    <w:rsid w:val="00E2007A"/>
    <w:rsid w:val="00E20922"/>
    <w:rsid w:val="00E22A65"/>
    <w:rsid w:val="00E251A5"/>
    <w:rsid w:val="00E26546"/>
    <w:rsid w:val="00E27374"/>
    <w:rsid w:val="00E27AA5"/>
    <w:rsid w:val="00E27D50"/>
    <w:rsid w:val="00E3031C"/>
    <w:rsid w:val="00E3149F"/>
    <w:rsid w:val="00E331FE"/>
    <w:rsid w:val="00E33C03"/>
    <w:rsid w:val="00E34F21"/>
    <w:rsid w:val="00E34F5A"/>
    <w:rsid w:val="00E36FF0"/>
    <w:rsid w:val="00E372A7"/>
    <w:rsid w:val="00E4043E"/>
    <w:rsid w:val="00E4187E"/>
    <w:rsid w:val="00E427C9"/>
    <w:rsid w:val="00E44C80"/>
    <w:rsid w:val="00E46C16"/>
    <w:rsid w:val="00E47074"/>
    <w:rsid w:val="00E50FD2"/>
    <w:rsid w:val="00E5192A"/>
    <w:rsid w:val="00E528CE"/>
    <w:rsid w:val="00E52F11"/>
    <w:rsid w:val="00E5523E"/>
    <w:rsid w:val="00E55743"/>
    <w:rsid w:val="00E57C05"/>
    <w:rsid w:val="00E6182B"/>
    <w:rsid w:val="00E61E92"/>
    <w:rsid w:val="00E62042"/>
    <w:rsid w:val="00E62B1D"/>
    <w:rsid w:val="00E63761"/>
    <w:rsid w:val="00E646AB"/>
    <w:rsid w:val="00E64F50"/>
    <w:rsid w:val="00E66916"/>
    <w:rsid w:val="00E7034A"/>
    <w:rsid w:val="00E7049A"/>
    <w:rsid w:val="00E71659"/>
    <w:rsid w:val="00E739EC"/>
    <w:rsid w:val="00E7400C"/>
    <w:rsid w:val="00E7428F"/>
    <w:rsid w:val="00E77666"/>
    <w:rsid w:val="00E777E1"/>
    <w:rsid w:val="00E77C9E"/>
    <w:rsid w:val="00E80526"/>
    <w:rsid w:val="00E80C1D"/>
    <w:rsid w:val="00E8668E"/>
    <w:rsid w:val="00E8674E"/>
    <w:rsid w:val="00E8790F"/>
    <w:rsid w:val="00E915F3"/>
    <w:rsid w:val="00E9203E"/>
    <w:rsid w:val="00E92430"/>
    <w:rsid w:val="00E92830"/>
    <w:rsid w:val="00E92AFA"/>
    <w:rsid w:val="00E93796"/>
    <w:rsid w:val="00E95348"/>
    <w:rsid w:val="00E9664A"/>
    <w:rsid w:val="00E96804"/>
    <w:rsid w:val="00E97B00"/>
    <w:rsid w:val="00EA2B44"/>
    <w:rsid w:val="00EA4BD8"/>
    <w:rsid w:val="00EA4CFC"/>
    <w:rsid w:val="00EA6421"/>
    <w:rsid w:val="00EA6947"/>
    <w:rsid w:val="00EA79D8"/>
    <w:rsid w:val="00EB0A96"/>
    <w:rsid w:val="00EB11C4"/>
    <w:rsid w:val="00EB3F27"/>
    <w:rsid w:val="00EB4073"/>
    <w:rsid w:val="00EB4B63"/>
    <w:rsid w:val="00EB4CCA"/>
    <w:rsid w:val="00EB6B7D"/>
    <w:rsid w:val="00EB73B0"/>
    <w:rsid w:val="00EC0A8B"/>
    <w:rsid w:val="00EC3E91"/>
    <w:rsid w:val="00EC48B3"/>
    <w:rsid w:val="00EC532A"/>
    <w:rsid w:val="00EC58F1"/>
    <w:rsid w:val="00EC60CB"/>
    <w:rsid w:val="00ED0CF2"/>
    <w:rsid w:val="00ED11E5"/>
    <w:rsid w:val="00ED3232"/>
    <w:rsid w:val="00ED3BEC"/>
    <w:rsid w:val="00ED4CFC"/>
    <w:rsid w:val="00ED4DC5"/>
    <w:rsid w:val="00EE08CB"/>
    <w:rsid w:val="00EE162A"/>
    <w:rsid w:val="00EE34EB"/>
    <w:rsid w:val="00EE5D1E"/>
    <w:rsid w:val="00EE7A96"/>
    <w:rsid w:val="00EF1477"/>
    <w:rsid w:val="00EF32EA"/>
    <w:rsid w:val="00EF3F33"/>
    <w:rsid w:val="00EF493C"/>
    <w:rsid w:val="00EF689D"/>
    <w:rsid w:val="00EF7208"/>
    <w:rsid w:val="00EF7FA3"/>
    <w:rsid w:val="00F0121C"/>
    <w:rsid w:val="00F034D6"/>
    <w:rsid w:val="00F04341"/>
    <w:rsid w:val="00F05D92"/>
    <w:rsid w:val="00F06AAE"/>
    <w:rsid w:val="00F072B9"/>
    <w:rsid w:val="00F07E5A"/>
    <w:rsid w:val="00F10FEB"/>
    <w:rsid w:val="00F11424"/>
    <w:rsid w:val="00F116F7"/>
    <w:rsid w:val="00F12407"/>
    <w:rsid w:val="00F13B3F"/>
    <w:rsid w:val="00F1470D"/>
    <w:rsid w:val="00F1573E"/>
    <w:rsid w:val="00F1580F"/>
    <w:rsid w:val="00F15B78"/>
    <w:rsid w:val="00F17773"/>
    <w:rsid w:val="00F207AC"/>
    <w:rsid w:val="00F2084D"/>
    <w:rsid w:val="00F216A6"/>
    <w:rsid w:val="00F216B7"/>
    <w:rsid w:val="00F2674D"/>
    <w:rsid w:val="00F306EE"/>
    <w:rsid w:val="00F310C7"/>
    <w:rsid w:val="00F31ECD"/>
    <w:rsid w:val="00F33678"/>
    <w:rsid w:val="00F33E47"/>
    <w:rsid w:val="00F3576A"/>
    <w:rsid w:val="00F3738D"/>
    <w:rsid w:val="00F3786D"/>
    <w:rsid w:val="00F41AC7"/>
    <w:rsid w:val="00F42554"/>
    <w:rsid w:val="00F44E29"/>
    <w:rsid w:val="00F4514E"/>
    <w:rsid w:val="00F4554A"/>
    <w:rsid w:val="00F472F5"/>
    <w:rsid w:val="00F5180A"/>
    <w:rsid w:val="00F52498"/>
    <w:rsid w:val="00F52BAB"/>
    <w:rsid w:val="00F52D69"/>
    <w:rsid w:val="00F5330E"/>
    <w:rsid w:val="00F542B5"/>
    <w:rsid w:val="00F54960"/>
    <w:rsid w:val="00F54C15"/>
    <w:rsid w:val="00F54D6B"/>
    <w:rsid w:val="00F60A18"/>
    <w:rsid w:val="00F61808"/>
    <w:rsid w:val="00F629E1"/>
    <w:rsid w:val="00F64DBF"/>
    <w:rsid w:val="00F65444"/>
    <w:rsid w:val="00F65EAC"/>
    <w:rsid w:val="00F67501"/>
    <w:rsid w:val="00F679B3"/>
    <w:rsid w:val="00F67D8F"/>
    <w:rsid w:val="00F70BA8"/>
    <w:rsid w:val="00F72658"/>
    <w:rsid w:val="00F72ECC"/>
    <w:rsid w:val="00F73713"/>
    <w:rsid w:val="00F73EDA"/>
    <w:rsid w:val="00F74030"/>
    <w:rsid w:val="00F7645A"/>
    <w:rsid w:val="00F81A56"/>
    <w:rsid w:val="00F81B02"/>
    <w:rsid w:val="00F848B1"/>
    <w:rsid w:val="00F84D83"/>
    <w:rsid w:val="00F851B4"/>
    <w:rsid w:val="00F85680"/>
    <w:rsid w:val="00F87717"/>
    <w:rsid w:val="00F913D0"/>
    <w:rsid w:val="00F922B4"/>
    <w:rsid w:val="00F92386"/>
    <w:rsid w:val="00F93D5A"/>
    <w:rsid w:val="00F93E12"/>
    <w:rsid w:val="00F94316"/>
    <w:rsid w:val="00F94F6C"/>
    <w:rsid w:val="00F95C38"/>
    <w:rsid w:val="00F97542"/>
    <w:rsid w:val="00F97743"/>
    <w:rsid w:val="00F97D70"/>
    <w:rsid w:val="00FA567A"/>
    <w:rsid w:val="00FA5C3B"/>
    <w:rsid w:val="00FA6D9A"/>
    <w:rsid w:val="00FB26EC"/>
    <w:rsid w:val="00FB318D"/>
    <w:rsid w:val="00FB33DD"/>
    <w:rsid w:val="00FB3952"/>
    <w:rsid w:val="00FB52A6"/>
    <w:rsid w:val="00FB5450"/>
    <w:rsid w:val="00FB5F97"/>
    <w:rsid w:val="00FB6EB8"/>
    <w:rsid w:val="00FB7214"/>
    <w:rsid w:val="00FC12CB"/>
    <w:rsid w:val="00FC23CE"/>
    <w:rsid w:val="00FC2CCE"/>
    <w:rsid w:val="00FC3340"/>
    <w:rsid w:val="00FC384C"/>
    <w:rsid w:val="00FC3F1B"/>
    <w:rsid w:val="00FC5F9A"/>
    <w:rsid w:val="00FC6C03"/>
    <w:rsid w:val="00FD039B"/>
    <w:rsid w:val="00FD0775"/>
    <w:rsid w:val="00FD0972"/>
    <w:rsid w:val="00FD1401"/>
    <w:rsid w:val="00FD3AFA"/>
    <w:rsid w:val="00FD4EBD"/>
    <w:rsid w:val="00FD5500"/>
    <w:rsid w:val="00FE1501"/>
    <w:rsid w:val="00FE1666"/>
    <w:rsid w:val="00FE187C"/>
    <w:rsid w:val="00FE208F"/>
    <w:rsid w:val="00FE2CA5"/>
    <w:rsid w:val="00FE2F78"/>
    <w:rsid w:val="00FE5805"/>
    <w:rsid w:val="00FE6A55"/>
    <w:rsid w:val="00FE78F1"/>
    <w:rsid w:val="00FF16E5"/>
    <w:rsid w:val="00FF1C40"/>
    <w:rsid w:val="00FF1EE4"/>
    <w:rsid w:val="00FF1F50"/>
    <w:rsid w:val="00FF2383"/>
    <w:rsid w:val="00FF25EC"/>
    <w:rsid w:val="00FF2681"/>
    <w:rsid w:val="00FF4BE4"/>
    <w:rsid w:val="00FF59EB"/>
    <w:rsid w:val="00FF607B"/>
    <w:rsid w:val="00FF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0449"/>
    <o:shapelayout v:ext="edit">
      <o:idmap v:ext="edit" data="1"/>
    </o:shapelayout>
  </w:shapeDefaults>
  <w:decimalSymbol w:val="."/>
  <w:listSeparator w:val=","/>
  <w14:docId w14:val="2653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58"/>
    <w:rPr>
      <w:sz w:val="24"/>
      <w:szCs w:val="24"/>
    </w:rPr>
  </w:style>
  <w:style w:type="paragraph" w:styleId="Heading1">
    <w:name w:val="heading 1"/>
    <w:basedOn w:val="Normal"/>
    <w:next w:val="Normal"/>
    <w:link w:val="Heading1Char"/>
    <w:qFormat/>
    <w:rsid w:val="002A36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655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47C58"/>
    <w:pPr>
      <w:autoSpaceDE w:val="0"/>
      <w:autoSpaceDN w:val="0"/>
      <w:adjustRightInd w:val="0"/>
    </w:pPr>
    <w:rPr>
      <w:rFonts w:ascii="Arial" w:hAnsi="Arial"/>
      <w:sz w:val="24"/>
      <w:szCs w:val="24"/>
    </w:rPr>
  </w:style>
  <w:style w:type="character" w:customStyle="1" w:styleId="d1">
    <w:name w:val="d1"/>
    <w:basedOn w:val="DefaultParagraphFont"/>
    <w:rsid w:val="00C47C58"/>
    <w:rPr>
      <w:sz w:val="18"/>
      <w:szCs w:val="18"/>
    </w:rPr>
  </w:style>
  <w:style w:type="paragraph" w:customStyle="1" w:styleId="1LargeBullet">
    <w:name w:val="1Large Bullet"/>
    <w:rsid w:val="00C47C58"/>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C47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C47C58"/>
    <w:pPr>
      <w:tabs>
        <w:tab w:val="center" w:pos="4320"/>
        <w:tab w:val="right" w:pos="8640"/>
      </w:tabs>
    </w:pPr>
  </w:style>
  <w:style w:type="paragraph" w:styleId="Footer">
    <w:name w:val="footer"/>
    <w:basedOn w:val="Normal"/>
    <w:link w:val="FooterChar"/>
    <w:uiPriority w:val="99"/>
    <w:rsid w:val="00C47C58"/>
    <w:pPr>
      <w:tabs>
        <w:tab w:val="center" w:pos="4320"/>
        <w:tab w:val="right" w:pos="8640"/>
      </w:tabs>
    </w:pPr>
  </w:style>
  <w:style w:type="character" w:styleId="PageNumber">
    <w:name w:val="page number"/>
    <w:basedOn w:val="DefaultParagraphFont"/>
    <w:rsid w:val="00C47C58"/>
  </w:style>
  <w:style w:type="character" w:styleId="Hyperlink">
    <w:name w:val="Hyperlink"/>
    <w:basedOn w:val="DefaultParagraphFont"/>
    <w:uiPriority w:val="99"/>
    <w:rsid w:val="00C47C58"/>
    <w:rPr>
      <w:color w:val="0000A0"/>
      <w:u w:val="single"/>
    </w:rPr>
  </w:style>
  <w:style w:type="character" w:styleId="EndnoteReference">
    <w:name w:val="endnote reference"/>
    <w:basedOn w:val="DefaultParagraphFont"/>
    <w:semiHidden/>
    <w:rsid w:val="00C47C58"/>
    <w:rPr>
      <w:rFonts w:ascii="Times New Roman" w:hAnsi="Times New Roman"/>
      <w:sz w:val="24"/>
      <w:vertAlign w:val="baseline"/>
    </w:rPr>
  </w:style>
  <w:style w:type="paragraph" w:styleId="BalloonText">
    <w:name w:val="Balloon Text"/>
    <w:basedOn w:val="Normal"/>
    <w:semiHidden/>
    <w:rsid w:val="00C47C58"/>
    <w:rPr>
      <w:rFonts w:ascii="Tahoma" w:hAnsi="Tahoma" w:cs="Tahoma"/>
      <w:sz w:val="16"/>
      <w:szCs w:val="16"/>
    </w:rPr>
  </w:style>
  <w:style w:type="character" w:styleId="CommentReference">
    <w:name w:val="annotation reference"/>
    <w:basedOn w:val="DefaultParagraphFont"/>
    <w:semiHidden/>
    <w:rsid w:val="00C47C58"/>
    <w:rPr>
      <w:sz w:val="16"/>
      <w:szCs w:val="16"/>
    </w:rPr>
  </w:style>
  <w:style w:type="paragraph" w:styleId="CommentText">
    <w:name w:val="annotation text"/>
    <w:basedOn w:val="Normal"/>
    <w:link w:val="CommentTextChar"/>
    <w:semiHidden/>
    <w:rsid w:val="00C47C58"/>
    <w:rPr>
      <w:sz w:val="20"/>
      <w:szCs w:val="20"/>
    </w:rPr>
  </w:style>
  <w:style w:type="paragraph" w:styleId="CommentSubject">
    <w:name w:val="annotation subject"/>
    <w:basedOn w:val="CommentText"/>
    <w:next w:val="CommentText"/>
    <w:semiHidden/>
    <w:rsid w:val="00C47C58"/>
    <w:rPr>
      <w:b/>
      <w:bCs/>
    </w:rPr>
  </w:style>
  <w:style w:type="paragraph" w:customStyle="1" w:styleId="FormBodyTextHanging">
    <w:name w:val="Form Body Text Hanging"/>
    <w:basedOn w:val="Normal"/>
    <w:rsid w:val="00C47C58"/>
    <w:pPr>
      <w:tabs>
        <w:tab w:val="right" w:pos="9360"/>
      </w:tabs>
      <w:spacing w:before="60" w:after="60"/>
      <w:ind w:left="720" w:hanging="720"/>
    </w:pPr>
    <w:rPr>
      <w:sz w:val="20"/>
    </w:rPr>
  </w:style>
  <w:style w:type="paragraph" w:customStyle="1" w:styleId="FormBodyText">
    <w:name w:val="Form Body Text"/>
    <w:basedOn w:val="FormBodyTextHanging"/>
    <w:rsid w:val="00C47C58"/>
    <w:pPr>
      <w:ind w:left="0" w:firstLine="0"/>
    </w:pPr>
    <w:rPr>
      <w:szCs w:val="20"/>
    </w:rPr>
  </w:style>
  <w:style w:type="paragraph" w:styleId="ListParagraph">
    <w:name w:val="List Paragraph"/>
    <w:basedOn w:val="Normal"/>
    <w:uiPriority w:val="34"/>
    <w:qFormat/>
    <w:rsid w:val="006754C8"/>
    <w:pPr>
      <w:ind w:left="720"/>
      <w:contextualSpacing/>
    </w:pPr>
  </w:style>
  <w:style w:type="paragraph" w:styleId="Revision">
    <w:name w:val="Revision"/>
    <w:hidden/>
    <w:uiPriority w:val="99"/>
    <w:semiHidden/>
    <w:rsid w:val="00C20BF8"/>
    <w:rPr>
      <w:sz w:val="24"/>
      <w:szCs w:val="24"/>
    </w:rPr>
  </w:style>
  <w:style w:type="character" w:styleId="FollowedHyperlink">
    <w:name w:val="FollowedHyperlink"/>
    <w:basedOn w:val="DefaultParagraphFont"/>
    <w:rsid w:val="00C800CF"/>
    <w:rPr>
      <w:color w:val="800080" w:themeColor="followedHyperlink"/>
      <w:u w:val="single"/>
    </w:rPr>
  </w:style>
  <w:style w:type="character" w:customStyle="1" w:styleId="Heading1Char">
    <w:name w:val="Heading 1 Char"/>
    <w:basedOn w:val="DefaultParagraphFont"/>
    <w:link w:val="Heading1"/>
    <w:rsid w:val="002A36F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22BD7"/>
    <w:pPr>
      <w:spacing w:line="276" w:lineRule="auto"/>
      <w:outlineLvl w:val="9"/>
    </w:pPr>
    <w:rPr>
      <w:lang w:eastAsia="ja-JP"/>
    </w:rPr>
  </w:style>
  <w:style w:type="paragraph" w:styleId="TOC1">
    <w:name w:val="toc 1"/>
    <w:basedOn w:val="Normal"/>
    <w:next w:val="Normal"/>
    <w:autoRedefine/>
    <w:uiPriority w:val="39"/>
    <w:rsid w:val="00822BD7"/>
    <w:pPr>
      <w:spacing w:after="100"/>
    </w:pPr>
  </w:style>
  <w:style w:type="table" w:styleId="TableGrid">
    <w:name w:val="Table Grid"/>
    <w:basedOn w:val="TableNormal"/>
    <w:uiPriority w:val="39"/>
    <w:rsid w:val="00C81B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47C6"/>
    <w:rPr>
      <w:sz w:val="24"/>
      <w:szCs w:val="24"/>
    </w:rPr>
  </w:style>
  <w:style w:type="paragraph" w:styleId="FootnoteText">
    <w:name w:val="footnote text"/>
    <w:basedOn w:val="Normal"/>
    <w:link w:val="FootnoteTextChar"/>
    <w:rsid w:val="00A85605"/>
    <w:rPr>
      <w:sz w:val="20"/>
      <w:szCs w:val="20"/>
    </w:rPr>
  </w:style>
  <w:style w:type="character" w:customStyle="1" w:styleId="FootnoteTextChar">
    <w:name w:val="Footnote Text Char"/>
    <w:basedOn w:val="DefaultParagraphFont"/>
    <w:link w:val="FootnoteText"/>
    <w:rsid w:val="00A85605"/>
  </w:style>
  <w:style w:type="character" w:styleId="FootnoteReference">
    <w:name w:val="footnote reference"/>
    <w:basedOn w:val="DefaultParagraphFont"/>
    <w:rsid w:val="00A85605"/>
    <w:rPr>
      <w:vertAlign w:val="superscript"/>
    </w:rPr>
  </w:style>
  <w:style w:type="character" w:customStyle="1" w:styleId="CommentTextChar">
    <w:name w:val="Comment Text Char"/>
    <w:basedOn w:val="DefaultParagraphFont"/>
    <w:link w:val="CommentText"/>
    <w:semiHidden/>
    <w:rsid w:val="00213CF1"/>
  </w:style>
  <w:style w:type="character" w:customStyle="1" w:styleId="Heading2Char">
    <w:name w:val="Heading 2 Char"/>
    <w:basedOn w:val="DefaultParagraphFont"/>
    <w:link w:val="Heading2"/>
    <w:semiHidden/>
    <w:rsid w:val="0076551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7D6CCB"/>
    <w:pPr>
      <w:spacing w:after="100"/>
      <w:ind w:left="240"/>
    </w:pPr>
  </w:style>
  <w:style w:type="paragraph" w:styleId="TOC3">
    <w:name w:val="toc 3"/>
    <w:basedOn w:val="Normal"/>
    <w:next w:val="Normal"/>
    <w:autoRedefine/>
    <w:uiPriority w:val="39"/>
    <w:unhideWhenUsed/>
    <w:rsid w:val="007D6CCB"/>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58"/>
    <w:rPr>
      <w:sz w:val="24"/>
      <w:szCs w:val="24"/>
    </w:rPr>
  </w:style>
  <w:style w:type="paragraph" w:styleId="Heading1">
    <w:name w:val="heading 1"/>
    <w:basedOn w:val="Normal"/>
    <w:next w:val="Normal"/>
    <w:link w:val="Heading1Char"/>
    <w:qFormat/>
    <w:rsid w:val="002A36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655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47C58"/>
    <w:pPr>
      <w:autoSpaceDE w:val="0"/>
      <w:autoSpaceDN w:val="0"/>
      <w:adjustRightInd w:val="0"/>
    </w:pPr>
    <w:rPr>
      <w:rFonts w:ascii="Arial" w:hAnsi="Arial"/>
      <w:sz w:val="24"/>
      <w:szCs w:val="24"/>
    </w:rPr>
  </w:style>
  <w:style w:type="character" w:customStyle="1" w:styleId="d1">
    <w:name w:val="d1"/>
    <w:basedOn w:val="DefaultParagraphFont"/>
    <w:rsid w:val="00C47C58"/>
    <w:rPr>
      <w:sz w:val="18"/>
      <w:szCs w:val="18"/>
    </w:rPr>
  </w:style>
  <w:style w:type="paragraph" w:customStyle="1" w:styleId="1LargeBullet">
    <w:name w:val="1Large Bullet"/>
    <w:rsid w:val="00C47C58"/>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C47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C47C58"/>
    <w:pPr>
      <w:tabs>
        <w:tab w:val="center" w:pos="4320"/>
        <w:tab w:val="right" w:pos="8640"/>
      </w:tabs>
    </w:pPr>
  </w:style>
  <w:style w:type="paragraph" w:styleId="Footer">
    <w:name w:val="footer"/>
    <w:basedOn w:val="Normal"/>
    <w:link w:val="FooterChar"/>
    <w:uiPriority w:val="99"/>
    <w:rsid w:val="00C47C58"/>
    <w:pPr>
      <w:tabs>
        <w:tab w:val="center" w:pos="4320"/>
        <w:tab w:val="right" w:pos="8640"/>
      </w:tabs>
    </w:pPr>
  </w:style>
  <w:style w:type="character" w:styleId="PageNumber">
    <w:name w:val="page number"/>
    <w:basedOn w:val="DefaultParagraphFont"/>
    <w:rsid w:val="00C47C58"/>
  </w:style>
  <w:style w:type="character" w:styleId="Hyperlink">
    <w:name w:val="Hyperlink"/>
    <w:basedOn w:val="DefaultParagraphFont"/>
    <w:uiPriority w:val="99"/>
    <w:rsid w:val="00C47C58"/>
    <w:rPr>
      <w:color w:val="0000A0"/>
      <w:u w:val="single"/>
    </w:rPr>
  </w:style>
  <w:style w:type="character" w:styleId="EndnoteReference">
    <w:name w:val="endnote reference"/>
    <w:basedOn w:val="DefaultParagraphFont"/>
    <w:semiHidden/>
    <w:rsid w:val="00C47C58"/>
    <w:rPr>
      <w:rFonts w:ascii="Times New Roman" w:hAnsi="Times New Roman"/>
      <w:sz w:val="24"/>
      <w:vertAlign w:val="baseline"/>
    </w:rPr>
  </w:style>
  <w:style w:type="paragraph" w:styleId="BalloonText">
    <w:name w:val="Balloon Text"/>
    <w:basedOn w:val="Normal"/>
    <w:semiHidden/>
    <w:rsid w:val="00C47C58"/>
    <w:rPr>
      <w:rFonts w:ascii="Tahoma" w:hAnsi="Tahoma" w:cs="Tahoma"/>
      <w:sz w:val="16"/>
      <w:szCs w:val="16"/>
    </w:rPr>
  </w:style>
  <w:style w:type="character" w:styleId="CommentReference">
    <w:name w:val="annotation reference"/>
    <w:basedOn w:val="DefaultParagraphFont"/>
    <w:semiHidden/>
    <w:rsid w:val="00C47C58"/>
    <w:rPr>
      <w:sz w:val="16"/>
      <w:szCs w:val="16"/>
    </w:rPr>
  </w:style>
  <w:style w:type="paragraph" w:styleId="CommentText">
    <w:name w:val="annotation text"/>
    <w:basedOn w:val="Normal"/>
    <w:link w:val="CommentTextChar"/>
    <w:semiHidden/>
    <w:rsid w:val="00C47C58"/>
    <w:rPr>
      <w:sz w:val="20"/>
      <w:szCs w:val="20"/>
    </w:rPr>
  </w:style>
  <w:style w:type="paragraph" w:styleId="CommentSubject">
    <w:name w:val="annotation subject"/>
    <w:basedOn w:val="CommentText"/>
    <w:next w:val="CommentText"/>
    <w:semiHidden/>
    <w:rsid w:val="00C47C58"/>
    <w:rPr>
      <w:b/>
      <w:bCs/>
    </w:rPr>
  </w:style>
  <w:style w:type="paragraph" w:customStyle="1" w:styleId="FormBodyTextHanging">
    <w:name w:val="Form Body Text Hanging"/>
    <w:basedOn w:val="Normal"/>
    <w:rsid w:val="00C47C58"/>
    <w:pPr>
      <w:tabs>
        <w:tab w:val="right" w:pos="9360"/>
      </w:tabs>
      <w:spacing w:before="60" w:after="60"/>
      <w:ind w:left="720" w:hanging="720"/>
    </w:pPr>
    <w:rPr>
      <w:sz w:val="20"/>
    </w:rPr>
  </w:style>
  <w:style w:type="paragraph" w:customStyle="1" w:styleId="FormBodyText">
    <w:name w:val="Form Body Text"/>
    <w:basedOn w:val="FormBodyTextHanging"/>
    <w:rsid w:val="00C47C58"/>
    <w:pPr>
      <w:ind w:left="0" w:firstLine="0"/>
    </w:pPr>
    <w:rPr>
      <w:szCs w:val="20"/>
    </w:rPr>
  </w:style>
  <w:style w:type="paragraph" w:styleId="ListParagraph">
    <w:name w:val="List Paragraph"/>
    <w:basedOn w:val="Normal"/>
    <w:uiPriority w:val="34"/>
    <w:qFormat/>
    <w:rsid w:val="006754C8"/>
    <w:pPr>
      <w:ind w:left="720"/>
      <w:contextualSpacing/>
    </w:pPr>
  </w:style>
  <w:style w:type="paragraph" w:styleId="Revision">
    <w:name w:val="Revision"/>
    <w:hidden/>
    <w:uiPriority w:val="99"/>
    <w:semiHidden/>
    <w:rsid w:val="00C20BF8"/>
    <w:rPr>
      <w:sz w:val="24"/>
      <w:szCs w:val="24"/>
    </w:rPr>
  </w:style>
  <w:style w:type="character" w:styleId="FollowedHyperlink">
    <w:name w:val="FollowedHyperlink"/>
    <w:basedOn w:val="DefaultParagraphFont"/>
    <w:rsid w:val="00C800CF"/>
    <w:rPr>
      <w:color w:val="800080" w:themeColor="followedHyperlink"/>
      <w:u w:val="single"/>
    </w:rPr>
  </w:style>
  <w:style w:type="character" w:customStyle="1" w:styleId="Heading1Char">
    <w:name w:val="Heading 1 Char"/>
    <w:basedOn w:val="DefaultParagraphFont"/>
    <w:link w:val="Heading1"/>
    <w:rsid w:val="002A36F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22BD7"/>
    <w:pPr>
      <w:spacing w:line="276" w:lineRule="auto"/>
      <w:outlineLvl w:val="9"/>
    </w:pPr>
    <w:rPr>
      <w:lang w:eastAsia="ja-JP"/>
    </w:rPr>
  </w:style>
  <w:style w:type="paragraph" w:styleId="TOC1">
    <w:name w:val="toc 1"/>
    <w:basedOn w:val="Normal"/>
    <w:next w:val="Normal"/>
    <w:autoRedefine/>
    <w:uiPriority w:val="39"/>
    <w:rsid w:val="00822BD7"/>
    <w:pPr>
      <w:spacing w:after="100"/>
    </w:pPr>
  </w:style>
  <w:style w:type="table" w:styleId="TableGrid">
    <w:name w:val="Table Grid"/>
    <w:basedOn w:val="TableNormal"/>
    <w:uiPriority w:val="39"/>
    <w:rsid w:val="00C81B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47C6"/>
    <w:rPr>
      <w:sz w:val="24"/>
      <w:szCs w:val="24"/>
    </w:rPr>
  </w:style>
  <w:style w:type="paragraph" w:styleId="FootnoteText">
    <w:name w:val="footnote text"/>
    <w:basedOn w:val="Normal"/>
    <w:link w:val="FootnoteTextChar"/>
    <w:rsid w:val="00A85605"/>
    <w:rPr>
      <w:sz w:val="20"/>
      <w:szCs w:val="20"/>
    </w:rPr>
  </w:style>
  <w:style w:type="character" w:customStyle="1" w:styleId="FootnoteTextChar">
    <w:name w:val="Footnote Text Char"/>
    <w:basedOn w:val="DefaultParagraphFont"/>
    <w:link w:val="FootnoteText"/>
    <w:rsid w:val="00A85605"/>
  </w:style>
  <w:style w:type="character" w:styleId="FootnoteReference">
    <w:name w:val="footnote reference"/>
    <w:basedOn w:val="DefaultParagraphFont"/>
    <w:rsid w:val="00A85605"/>
    <w:rPr>
      <w:vertAlign w:val="superscript"/>
    </w:rPr>
  </w:style>
  <w:style w:type="character" w:customStyle="1" w:styleId="CommentTextChar">
    <w:name w:val="Comment Text Char"/>
    <w:basedOn w:val="DefaultParagraphFont"/>
    <w:link w:val="CommentText"/>
    <w:semiHidden/>
    <w:rsid w:val="00213CF1"/>
  </w:style>
  <w:style w:type="character" w:customStyle="1" w:styleId="Heading2Char">
    <w:name w:val="Heading 2 Char"/>
    <w:basedOn w:val="DefaultParagraphFont"/>
    <w:link w:val="Heading2"/>
    <w:semiHidden/>
    <w:rsid w:val="0076551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7D6CCB"/>
    <w:pPr>
      <w:spacing w:after="100"/>
      <w:ind w:left="240"/>
    </w:pPr>
  </w:style>
  <w:style w:type="paragraph" w:styleId="TOC3">
    <w:name w:val="toc 3"/>
    <w:basedOn w:val="Normal"/>
    <w:next w:val="Normal"/>
    <w:autoRedefine/>
    <w:uiPriority w:val="39"/>
    <w:unhideWhenUsed/>
    <w:rsid w:val="007D6C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792">
      <w:bodyDiv w:val="1"/>
      <w:marLeft w:val="0"/>
      <w:marRight w:val="0"/>
      <w:marTop w:val="0"/>
      <w:marBottom w:val="0"/>
      <w:divBdr>
        <w:top w:val="none" w:sz="0" w:space="0" w:color="auto"/>
        <w:left w:val="none" w:sz="0" w:space="0" w:color="auto"/>
        <w:bottom w:val="none" w:sz="0" w:space="0" w:color="auto"/>
        <w:right w:val="none" w:sz="0" w:space="0" w:color="auto"/>
      </w:divBdr>
    </w:div>
    <w:div w:id="161160586">
      <w:bodyDiv w:val="1"/>
      <w:marLeft w:val="0"/>
      <w:marRight w:val="0"/>
      <w:marTop w:val="0"/>
      <w:marBottom w:val="0"/>
      <w:divBdr>
        <w:top w:val="none" w:sz="0" w:space="0" w:color="auto"/>
        <w:left w:val="none" w:sz="0" w:space="0" w:color="auto"/>
        <w:bottom w:val="none" w:sz="0" w:space="0" w:color="auto"/>
        <w:right w:val="none" w:sz="0" w:space="0" w:color="auto"/>
      </w:divBdr>
    </w:div>
    <w:div w:id="241188110">
      <w:bodyDiv w:val="1"/>
      <w:marLeft w:val="0"/>
      <w:marRight w:val="0"/>
      <w:marTop w:val="0"/>
      <w:marBottom w:val="0"/>
      <w:divBdr>
        <w:top w:val="none" w:sz="0" w:space="0" w:color="auto"/>
        <w:left w:val="none" w:sz="0" w:space="0" w:color="auto"/>
        <w:bottom w:val="none" w:sz="0" w:space="0" w:color="auto"/>
        <w:right w:val="none" w:sz="0" w:space="0" w:color="auto"/>
      </w:divBdr>
    </w:div>
    <w:div w:id="309600893">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933324854">
      <w:bodyDiv w:val="1"/>
      <w:marLeft w:val="0"/>
      <w:marRight w:val="0"/>
      <w:marTop w:val="0"/>
      <w:marBottom w:val="0"/>
      <w:divBdr>
        <w:top w:val="none" w:sz="0" w:space="0" w:color="auto"/>
        <w:left w:val="none" w:sz="0" w:space="0" w:color="auto"/>
        <w:bottom w:val="none" w:sz="0" w:space="0" w:color="auto"/>
        <w:right w:val="none" w:sz="0" w:space="0" w:color="auto"/>
      </w:divBdr>
    </w:div>
    <w:div w:id="936252426">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267156395">
      <w:bodyDiv w:val="1"/>
      <w:marLeft w:val="0"/>
      <w:marRight w:val="0"/>
      <w:marTop w:val="0"/>
      <w:marBottom w:val="0"/>
      <w:divBdr>
        <w:top w:val="none" w:sz="0" w:space="0" w:color="auto"/>
        <w:left w:val="none" w:sz="0" w:space="0" w:color="auto"/>
        <w:bottom w:val="none" w:sz="0" w:space="0" w:color="auto"/>
        <w:right w:val="none" w:sz="0" w:space="0" w:color="auto"/>
      </w:divBdr>
    </w:div>
    <w:div w:id="1297106436">
      <w:bodyDiv w:val="1"/>
      <w:marLeft w:val="0"/>
      <w:marRight w:val="0"/>
      <w:marTop w:val="0"/>
      <w:marBottom w:val="0"/>
      <w:divBdr>
        <w:top w:val="none" w:sz="0" w:space="0" w:color="auto"/>
        <w:left w:val="none" w:sz="0" w:space="0" w:color="auto"/>
        <w:bottom w:val="none" w:sz="0" w:space="0" w:color="auto"/>
        <w:right w:val="none" w:sz="0" w:space="0" w:color="auto"/>
      </w:divBdr>
    </w:div>
    <w:div w:id="1320813784">
      <w:bodyDiv w:val="1"/>
      <w:marLeft w:val="0"/>
      <w:marRight w:val="0"/>
      <w:marTop w:val="0"/>
      <w:marBottom w:val="0"/>
      <w:divBdr>
        <w:top w:val="none" w:sz="0" w:space="0" w:color="auto"/>
        <w:left w:val="none" w:sz="0" w:space="0" w:color="auto"/>
        <w:bottom w:val="none" w:sz="0" w:space="0" w:color="auto"/>
        <w:right w:val="none" w:sz="0" w:space="0" w:color="auto"/>
      </w:divBdr>
    </w:div>
    <w:div w:id="1444038079">
      <w:bodyDiv w:val="1"/>
      <w:marLeft w:val="0"/>
      <w:marRight w:val="0"/>
      <w:marTop w:val="0"/>
      <w:marBottom w:val="0"/>
      <w:divBdr>
        <w:top w:val="none" w:sz="0" w:space="0" w:color="auto"/>
        <w:left w:val="none" w:sz="0" w:space="0" w:color="auto"/>
        <w:bottom w:val="none" w:sz="0" w:space="0" w:color="auto"/>
        <w:right w:val="none" w:sz="0" w:space="0" w:color="auto"/>
      </w:divBdr>
    </w:div>
    <w:div w:id="1559634268">
      <w:bodyDiv w:val="1"/>
      <w:marLeft w:val="0"/>
      <w:marRight w:val="0"/>
      <w:marTop w:val="0"/>
      <w:marBottom w:val="0"/>
      <w:divBdr>
        <w:top w:val="none" w:sz="0" w:space="0" w:color="auto"/>
        <w:left w:val="none" w:sz="0" w:space="0" w:color="auto"/>
        <w:bottom w:val="none" w:sz="0" w:space="0" w:color="auto"/>
        <w:right w:val="none" w:sz="0" w:space="0" w:color="auto"/>
      </w:divBdr>
    </w:div>
    <w:div w:id="1837303035">
      <w:bodyDiv w:val="1"/>
      <w:marLeft w:val="0"/>
      <w:marRight w:val="0"/>
      <w:marTop w:val="0"/>
      <w:marBottom w:val="0"/>
      <w:divBdr>
        <w:top w:val="none" w:sz="0" w:space="0" w:color="auto"/>
        <w:left w:val="none" w:sz="0" w:space="0" w:color="auto"/>
        <w:bottom w:val="none" w:sz="0" w:space="0" w:color="auto"/>
        <w:right w:val="none" w:sz="0" w:space="0" w:color="auto"/>
      </w:divBdr>
    </w:div>
    <w:div w:id="1852183911">
      <w:bodyDiv w:val="1"/>
      <w:marLeft w:val="0"/>
      <w:marRight w:val="0"/>
      <w:marTop w:val="0"/>
      <w:marBottom w:val="0"/>
      <w:divBdr>
        <w:top w:val="none" w:sz="0" w:space="0" w:color="auto"/>
        <w:left w:val="none" w:sz="0" w:space="0" w:color="auto"/>
        <w:bottom w:val="none" w:sz="0" w:space="0" w:color="auto"/>
        <w:right w:val="none" w:sz="0" w:space="0" w:color="auto"/>
      </w:divBdr>
    </w:div>
    <w:div w:id="2087604409">
      <w:bodyDiv w:val="1"/>
      <w:marLeft w:val="0"/>
      <w:marRight w:val="0"/>
      <w:marTop w:val="0"/>
      <w:marBottom w:val="0"/>
      <w:divBdr>
        <w:top w:val="none" w:sz="0" w:space="0" w:color="auto"/>
        <w:left w:val="none" w:sz="0" w:space="0" w:color="auto"/>
        <w:bottom w:val="none" w:sz="0" w:space="0" w:color="auto"/>
        <w:right w:val="none" w:sz="0" w:space="0" w:color="auto"/>
      </w:divBdr>
    </w:div>
    <w:div w:id="2098819331">
      <w:bodyDiv w:val="1"/>
      <w:marLeft w:val="0"/>
      <w:marRight w:val="0"/>
      <w:marTop w:val="0"/>
      <w:marBottom w:val="0"/>
      <w:divBdr>
        <w:top w:val="none" w:sz="0" w:space="0" w:color="auto"/>
        <w:left w:val="none" w:sz="0" w:space="0" w:color="auto"/>
        <w:bottom w:val="none" w:sz="0" w:space="0" w:color="auto"/>
        <w:right w:val="none" w:sz="0" w:space="0" w:color="auto"/>
      </w:divBdr>
    </w:div>
    <w:div w:id="21064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nchs/data/series/sr_02/Sr02_17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nchs/products/databriefs/db31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ahcd/namcs_participant.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dc.gov/nchs/dhcs/meaningful_use.htm" TargetMode="External"/><Relationship Id="rId4" Type="http://schemas.microsoft.com/office/2007/relationships/stylesWithEffects" Target="stylesWithEffects.xml"/><Relationship Id="rId9" Type="http://schemas.openxmlformats.org/officeDocument/2006/relationships/hyperlink" Target="https://www.cms.gov/Medicare/Quality-Payment-Program/Quality-Payment-Program.html"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D8DB-9E69-4753-95F4-53FFDAC0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8056</Words>
  <Characters>45920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53869</CharactersWithSpaces>
  <SharedDoc>false</SharedDoc>
  <HLinks>
    <vt:vector size="18" baseType="variant">
      <vt:variant>
        <vt:i4>262155</vt:i4>
      </vt:variant>
      <vt:variant>
        <vt:i4>6</vt:i4>
      </vt:variant>
      <vt:variant>
        <vt:i4>0</vt:i4>
      </vt:variant>
      <vt:variant>
        <vt:i4>5</vt:i4>
      </vt:variant>
      <vt:variant>
        <vt:lpwstr>http://www.cdc.gov/nchs/data/databriefs/db41.pdf</vt:lpwstr>
      </vt:variant>
      <vt:variant>
        <vt:lpwstr/>
      </vt:variant>
      <vt:variant>
        <vt:i4>4849752</vt:i4>
      </vt:variant>
      <vt:variant>
        <vt:i4>3</vt:i4>
      </vt:variant>
      <vt:variant>
        <vt:i4>0</vt:i4>
      </vt:variant>
      <vt:variant>
        <vt:i4>5</vt:i4>
      </vt:variant>
      <vt:variant>
        <vt:lpwstr>http://www.cdc.gov/NAMCS</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2019-05-17T15:23:00Z</dcterms:created>
  <dcterms:modified xsi:type="dcterms:W3CDTF">2019-05-17T15:23:00Z</dcterms:modified>
</cp:coreProperties>
</file>