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4B98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1E0291FF">
            <w:pPr>
              <w:rPr>
                <w:rFonts w:eastAsiaTheme="minorHAnsi"/>
                <w:sz w:val="22"/>
                <w:szCs w:val="22"/>
              </w:rPr>
            </w:pPr>
            <w:r>
              <w:rPr>
                <w:rFonts w:eastAsiaTheme="minorHAnsi"/>
                <w:sz w:val="22"/>
                <w:szCs w:val="22"/>
              </w:rPr>
              <w:t>[</w:t>
            </w:r>
            <w:r w:rsidR="00CF084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68F46B56">
            <w:pPr>
              <w:widowControl w:val="0"/>
              <w:rPr>
                <w:sz w:val="22"/>
                <w:szCs w:val="22"/>
              </w:rPr>
            </w:pPr>
            <w:r>
              <w:rPr>
                <w:rFonts w:eastAsiaTheme="minorHAnsi"/>
                <w:sz w:val="22"/>
                <w:szCs w:val="22"/>
              </w:rPr>
              <w:t xml:space="preserve">[ ] Yes     [ </w:t>
            </w:r>
            <w:r w:rsidR="00CF0842">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62751F2">
            <w:pPr>
              <w:rPr>
                <w:rFonts w:eastAsiaTheme="minorHAnsi"/>
                <w:sz w:val="22"/>
                <w:szCs w:val="22"/>
              </w:rPr>
            </w:pPr>
            <w:r>
              <w:rPr>
                <w:rFonts w:eastAsiaTheme="minorHAnsi"/>
                <w:sz w:val="22"/>
                <w:szCs w:val="22"/>
              </w:rPr>
              <w:t>[</w:t>
            </w:r>
            <w:r w:rsidR="00CF084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5092A012">
            <w:pPr>
              <w:widowControl w:val="0"/>
              <w:rPr>
                <w:sz w:val="22"/>
                <w:szCs w:val="22"/>
              </w:rPr>
            </w:pPr>
            <w:r>
              <w:rPr>
                <w:sz w:val="22"/>
                <w:szCs w:val="22"/>
              </w:rPr>
              <w:t>Employs quantitative study design (e.g.</w:t>
            </w:r>
            <w:r w:rsidR="009868F1">
              <w:rPr>
                <w:sz w:val="22"/>
                <w:szCs w:val="22"/>
              </w:rPr>
              <w:t>,</w:t>
            </w:r>
            <w:r>
              <w:rPr>
                <w:sz w:val="22"/>
                <w:szCs w:val="22"/>
              </w:rPr>
              <w:t xml:space="preserve"> those that rely on probability design or experimental methods) </w:t>
            </w:r>
          </w:p>
          <w:p w:rsidR="00145293" w:rsidRDefault="00145293" w14:paraId="7570922A" w14:textId="69964FCF">
            <w:pPr>
              <w:widowControl w:val="0"/>
              <w:rPr>
                <w:sz w:val="22"/>
                <w:szCs w:val="22"/>
              </w:rPr>
            </w:pPr>
            <w:r>
              <w:rPr>
                <w:rFonts w:eastAsiaTheme="minorHAnsi"/>
                <w:sz w:val="22"/>
                <w:szCs w:val="22"/>
              </w:rPr>
              <w:t>[</w:t>
            </w:r>
            <w:r w:rsidR="00CF0842">
              <w:rPr>
                <w:rFonts w:eastAsiaTheme="minorHAnsi"/>
                <w:sz w:val="22"/>
                <w:szCs w:val="22"/>
              </w:rPr>
              <w:t xml:space="preserve"> </w:t>
            </w:r>
            <w:r>
              <w:rPr>
                <w:rFonts w:eastAsiaTheme="minorHAnsi"/>
                <w:sz w:val="22"/>
                <w:szCs w:val="22"/>
              </w:rPr>
              <w:t xml:space="preserve">] Yes     [ </w:t>
            </w:r>
            <w:r w:rsidR="00CF0842">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2413B153">
            <w:pPr>
              <w:rPr>
                <w:rFonts w:eastAsiaTheme="minorHAnsi"/>
                <w:sz w:val="22"/>
                <w:szCs w:val="22"/>
              </w:rPr>
            </w:pPr>
            <w:r>
              <w:rPr>
                <w:rFonts w:eastAsiaTheme="minorHAnsi"/>
                <w:sz w:val="22"/>
                <w:szCs w:val="22"/>
              </w:rPr>
              <w:t>There are no sensitive questions within this collection (e.g.</w:t>
            </w:r>
            <w:r w:rsidR="009868F1">
              <w:rPr>
                <w:rFonts w:eastAsiaTheme="minorHAnsi"/>
                <w:sz w:val="22"/>
                <w:szCs w:val="22"/>
              </w:rPr>
              <w:t>,</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80ABB70">
            <w:pPr>
              <w:rPr>
                <w:rFonts w:eastAsiaTheme="minorHAnsi"/>
                <w:sz w:val="22"/>
                <w:szCs w:val="22"/>
              </w:rPr>
            </w:pPr>
            <w:r>
              <w:rPr>
                <w:rFonts w:eastAsiaTheme="minorHAnsi"/>
                <w:sz w:val="22"/>
                <w:szCs w:val="22"/>
              </w:rPr>
              <w:t>[</w:t>
            </w:r>
            <w:r w:rsidR="00CF084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22868E60">
            <w:pPr>
              <w:widowControl w:val="0"/>
              <w:rPr>
                <w:sz w:val="22"/>
                <w:szCs w:val="22"/>
              </w:rPr>
            </w:pPr>
            <w:r>
              <w:rPr>
                <w:sz w:val="22"/>
                <w:szCs w:val="22"/>
              </w:rPr>
              <w:t>Sensitive questions will be asked (e.g.</w:t>
            </w:r>
            <w:r w:rsidR="009868F1">
              <w:rPr>
                <w:sz w:val="22"/>
                <w:szCs w:val="22"/>
              </w:rPr>
              <w:t>,</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08DFC15A">
            <w:pPr>
              <w:widowControl w:val="0"/>
              <w:rPr>
                <w:sz w:val="22"/>
                <w:szCs w:val="22"/>
              </w:rPr>
            </w:pPr>
            <w:r>
              <w:rPr>
                <w:rFonts w:eastAsiaTheme="minorHAnsi"/>
                <w:sz w:val="22"/>
                <w:szCs w:val="22"/>
              </w:rPr>
              <w:t xml:space="preserve">[ ] Yes     [ </w:t>
            </w:r>
            <w:r w:rsidR="00CF0842">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129952E9">
            <w:pPr>
              <w:rPr>
                <w:rFonts w:eastAsiaTheme="minorHAnsi"/>
                <w:sz w:val="22"/>
                <w:szCs w:val="22"/>
              </w:rPr>
            </w:pPr>
            <w:r>
              <w:rPr>
                <w:rFonts w:eastAsiaTheme="minorHAnsi"/>
                <w:sz w:val="22"/>
                <w:szCs w:val="22"/>
              </w:rPr>
              <w:t>[</w:t>
            </w:r>
            <w:r w:rsidR="00CF084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53C369B8">
            <w:pPr>
              <w:widowControl w:val="0"/>
              <w:rPr>
                <w:sz w:val="22"/>
                <w:szCs w:val="22"/>
              </w:rPr>
            </w:pPr>
            <w:r>
              <w:rPr>
                <w:rFonts w:eastAsiaTheme="minorHAnsi"/>
                <w:sz w:val="22"/>
                <w:szCs w:val="22"/>
              </w:rPr>
              <w:t xml:space="preserve">[ ] Yes     [ </w:t>
            </w:r>
            <w:r w:rsidR="00CF0842">
              <w:rPr>
                <w:rFonts w:eastAsiaTheme="minorHAnsi"/>
                <w:sz w:val="22"/>
                <w:szCs w:val="22"/>
              </w:rPr>
              <w:t>X</w:t>
            </w:r>
            <w:r>
              <w:rPr>
                <w:rFonts w:eastAsiaTheme="minorHAnsi"/>
                <w:sz w:val="22"/>
                <w:szCs w:val="22"/>
              </w:rPr>
              <w:t xml:space="preserve"> ] No</w:t>
            </w:r>
          </w:p>
        </w:tc>
      </w:tr>
      <w:tr w:rsidR="00145293" w:rsidTr="00CF0842" w14:paraId="6450DD0B" w14:textId="77777777">
        <w:trPr>
          <w:trHeight w:val="109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1F10CED2">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9868F1">
              <w:rPr>
                <w:rFonts w:eastAsiaTheme="minorHAnsi"/>
                <w:sz w:val="22"/>
                <w:szCs w:val="22"/>
              </w:rPr>
              <w:t xml:space="preserve">the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45C3B9F2">
            <w:pPr>
              <w:rPr>
                <w:rFonts w:eastAsiaTheme="minorHAnsi"/>
                <w:sz w:val="22"/>
                <w:szCs w:val="22"/>
              </w:rPr>
            </w:pPr>
            <w:r>
              <w:rPr>
                <w:rFonts w:eastAsiaTheme="minorHAnsi"/>
                <w:sz w:val="22"/>
                <w:szCs w:val="22"/>
              </w:rPr>
              <w:t>[</w:t>
            </w:r>
            <w:r w:rsidR="00CF0842">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DF9ECC2">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needs assessment or</w:t>
            </w:r>
            <w:r w:rsidR="00E252F3">
              <w:rPr>
                <w:sz w:val="22"/>
                <w:szCs w:val="22"/>
              </w:rPr>
              <w:t xml:space="preserve">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5E2621B5">
            <w:pPr>
              <w:widowControl w:val="0"/>
              <w:rPr>
                <w:sz w:val="22"/>
                <w:szCs w:val="22"/>
              </w:rPr>
            </w:pPr>
            <w:r>
              <w:rPr>
                <w:rFonts w:eastAsiaTheme="minorHAnsi"/>
                <w:sz w:val="22"/>
                <w:szCs w:val="22"/>
              </w:rPr>
              <w:t>[ ] Yes     [</w:t>
            </w:r>
            <w:r w:rsidR="00CF0842">
              <w:rPr>
                <w:rFonts w:eastAsiaTheme="minorHAnsi"/>
                <w:sz w:val="22"/>
                <w:szCs w:val="22"/>
              </w:rPr>
              <w:t xml:space="preserve"> 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ECD4BAD">
            <w:pPr>
              <w:rPr>
                <w:sz w:val="22"/>
                <w:szCs w:val="22"/>
              </w:rPr>
            </w:pPr>
            <w:r w:rsidRPr="003C4F49">
              <w:rPr>
                <w:rFonts w:eastAsiaTheme="minorHAnsi"/>
                <w:sz w:val="22"/>
                <w:szCs w:val="22"/>
              </w:rPr>
              <w:t>[</w:t>
            </w:r>
            <w:r w:rsidR="00CF0842">
              <w:rPr>
                <w:rFonts w:eastAsiaTheme="minorHAnsi"/>
                <w:sz w:val="22"/>
                <w:szCs w:val="22"/>
              </w:rPr>
              <w:t>X</w:t>
            </w:r>
            <w:r w:rsidRPr="003C4F49">
              <w:rPr>
                <w:rFonts w:eastAsiaTheme="minorHAnsi"/>
                <w:sz w:val="22"/>
                <w:szCs w:val="22"/>
              </w:rPr>
              <w:t>]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2DB5EA0C">
      <w:pPr>
        <w:widowControl w:val="0"/>
        <w:spacing w:before="120"/>
        <w:ind w:left="720"/>
        <w:rPr>
          <w:sz w:val="22"/>
          <w:szCs w:val="22"/>
        </w:rPr>
      </w:pPr>
    </w:p>
    <w:p w:rsidR="009868F1" w:rsidP="00145293" w:rsidRDefault="009868F1" w14:paraId="36E09551" w14:textId="77777777">
      <w:pPr>
        <w:widowControl w:val="0"/>
        <w:spacing w:before="120"/>
        <w:ind w:left="720"/>
        <w:rPr>
          <w:sz w:val="22"/>
          <w:szCs w:val="22"/>
        </w:rPr>
      </w:pPr>
    </w:p>
    <w:p w:rsidR="00B46F2C" w:rsidP="00434E33" w:rsidRDefault="003A4C87" w14:paraId="6D607A79" w14:textId="4E42C7F3">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2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p>
    <w:p w:rsidRPr="009239AA" w:rsidR="001518D1" w:rsidP="00434E33" w:rsidRDefault="001518D1" w14:paraId="72FDA298" w14:textId="77777777">
      <w:pPr>
        <w:rPr>
          <w:b/>
        </w:rPr>
      </w:pPr>
    </w:p>
    <w:p w:rsidR="00B46F2C" w:rsidP="001518D1" w:rsidRDefault="001518D1" w14:paraId="29476A1F" w14:textId="407C3531">
      <w:pPr>
        <w:ind w:firstLine="720"/>
      </w:pPr>
      <w:r>
        <w:t>Evaluators’ Network, Member Survey</w:t>
      </w:r>
    </w:p>
    <w:p w:rsidR="001518D1" w:rsidRDefault="001518D1" w14:paraId="78116453" w14:textId="77777777"/>
    <w:p w:rsidR="00B46F2C" w:rsidRDefault="00B46F2C" w14:paraId="33BEEBF9" w14:textId="2E0F6403">
      <w:pPr>
        <w:rPr>
          <w:b/>
        </w:rPr>
      </w:pPr>
      <w:r>
        <w:rPr>
          <w:b/>
        </w:rPr>
        <w:t>PURPOSE</w:t>
      </w:r>
      <w:r w:rsidRPr="009239AA">
        <w:rPr>
          <w:b/>
        </w:rPr>
        <w:t xml:space="preserve">:  </w:t>
      </w:r>
    </w:p>
    <w:p w:rsidR="001518D1" w:rsidRDefault="001518D1" w14:paraId="1F7C98D7" w14:textId="0A002A1B">
      <w:pPr>
        <w:rPr>
          <w:b/>
        </w:rPr>
      </w:pPr>
    </w:p>
    <w:p w:rsidRPr="001518D1" w:rsidR="001518D1" w:rsidP="001518D1" w:rsidRDefault="001518D1" w14:paraId="4E8B7F72" w14:textId="3E192DB8">
      <w:pPr>
        <w:pStyle w:val="BodyText"/>
        <w:spacing w:before="1" w:line="300" w:lineRule="auto"/>
        <w:ind w:left="659" w:right="749"/>
        <w:rPr>
          <w:i w:val="0"/>
          <w:iCs w:val="0"/>
          <w:color w:val="000000" w:themeColor="text1"/>
          <w:sz w:val="24"/>
          <w:szCs w:val="24"/>
        </w:rPr>
      </w:pPr>
      <w:r w:rsidRPr="001518D1">
        <w:rPr>
          <w:i w:val="0"/>
          <w:iCs w:val="0"/>
          <w:color w:val="000000" w:themeColor="text1"/>
          <w:sz w:val="24"/>
          <w:szCs w:val="24"/>
        </w:rPr>
        <w:t xml:space="preserve">The CDC Office on Smoking and Health (OSH) Evaluators’ Network (“Network”) serves to support surveillance and evaluation technical assistance and capacity building for National Tobacco Control Program (NTCP) grantees. The Network </w:t>
      </w:r>
      <w:r w:rsidR="00C00215">
        <w:rPr>
          <w:i w:val="0"/>
          <w:iCs w:val="0"/>
          <w:color w:val="000000" w:themeColor="text1"/>
          <w:sz w:val="24"/>
          <w:szCs w:val="24"/>
        </w:rPr>
        <w:t>provides a venue for</w:t>
      </w:r>
      <w:r w:rsidRPr="001518D1">
        <w:rPr>
          <w:i w:val="0"/>
          <w:iCs w:val="0"/>
          <w:color w:val="000000" w:themeColor="text1"/>
          <w:sz w:val="24"/>
          <w:szCs w:val="24"/>
        </w:rPr>
        <w:t xml:space="preserve"> the OSH surveillance and evaluation teams to provide NTCP grantees with training, tools, and resources in a consistent manner across states to improve their work and capacity in </w:t>
      </w:r>
      <w:r w:rsidR="00C00215">
        <w:rPr>
          <w:i w:val="0"/>
          <w:iCs w:val="0"/>
          <w:color w:val="000000" w:themeColor="text1"/>
          <w:sz w:val="24"/>
          <w:szCs w:val="24"/>
        </w:rPr>
        <w:t>tobacco control and evaluation efforts</w:t>
      </w:r>
      <w:r w:rsidRPr="001518D1">
        <w:rPr>
          <w:i w:val="0"/>
          <w:iCs w:val="0"/>
          <w:color w:val="000000" w:themeColor="text1"/>
          <w:sz w:val="24"/>
          <w:szCs w:val="24"/>
        </w:rPr>
        <w:t>. It also supports peer-to-peer learning by fostering peer engagement, collaboration, and information sharing.</w:t>
      </w:r>
    </w:p>
    <w:p w:rsidR="00527FA8" w:rsidP="001518D1" w:rsidRDefault="001518D1" w14:paraId="76EBEDF7" w14:textId="254F01ED">
      <w:pPr>
        <w:pStyle w:val="BodyText"/>
        <w:spacing w:before="156" w:line="300" w:lineRule="auto"/>
        <w:ind w:left="659" w:right="660"/>
        <w:rPr>
          <w:i w:val="0"/>
          <w:iCs w:val="0"/>
          <w:color w:val="000000" w:themeColor="text1"/>
          <w:sz w:val="24"/>
          <w:szCs w:val="24"/>
        </w:rPr>
      </w:pPr>
      <w:r w:rsidRPr="001518D1">
        <w:rPr>
          <w:i w:val="0"/>
          <w:iCs w:val="0"/>
          <w:color w:val="000000" w:themeColor="text1"/>
          <w:sz w:val="24"/>
          <w:szCs w:val="24"/>
        </w:rPr>
        <w:t xml:space="preserve">The services provided through the Network include training webinars, newsletters, and a networking website that serves to foster peer engagement and an online community of practice. While each </w:t>
      </w:r>
      <w:r w:rsidR="00423857">
        <w:rPr>
          <w:i w:val="0"/>
          <w:iCs w:val="0"/>
          <w:color w:val="000000" w:themeColor="text1"/>
          <w:sz w:val="24"/>
          <w:szCs w:val="24"/>
        </w:rPr>
        <w:t xml:space="preserve">service offered </w:t>
      </w:r>
      <w:r w:rsidRPr="001518D1">
        <w:rPr>
          <w:i w:val="0"/>
          <w:iCs w:val="0"/>
          <w:color w:val="000000" w:themeColor="text1"/>
          <w:sz w:val="24"/>
          <w:szCs w:val="24"/>
        </w:rPr>
        <w:t>serve</w:t>
      </w:r>
      <w:r w:rsidR="00423857">
        <w:rPr>
          <w:i w:val="0"/>
          <w:iCs w:val="0"/>
          <w:color w:val="000000" w:themeColor="text1"/>
          <w:sz w:val="24"/>
          <w:szCs w:val="24"/>
        </w:rPr>
        <w:t>s a</w:t>
      </w:r>
      <w:r w:rsidRPr="001518D1">
        <w:rPr>
          <w:i w:val="0"/>
          <w:iCs w:val="0"/>
          <w:color w:val="000000" w:themeColor="text1"/>
          <w:sz w:val="24"/>
          <w:szCs w:val="24"/>
        </w:rPr>
        <w:t xml:space="preserve"> distinct function and offer</w:t>
      </w:r>
      <w:r w:rsidR="00423857">
        <w:rPr>
          <w:i w:val="0"/>
          <w:iCs w:val="0"/>
          <w:color w:val="000000" w:themeColor="text1"/>
          <w:sz w:val="24"/>
          <w:szCs w:val="24"/>
        </w:rPr>
        <w:t>s</w:t>
      </w:r>
      <w:r w:rsidRPr="001518D1">
        <w:rPr>
          <w:i w:val="0"/>
          <w:iCs w:val="0"/>
          <w:color w:val="000000" w:themeColor="text1"/>
          <w:sz w:val="24"/>
          <w:szCs w:val="24"/>
        </w:rPr>
        <w:t xml:space="preserve"> different resources, they are also designed to complement each other and reinforce knowledge building. The Network is open to NTCP surveillance and evaluation (S&amp;E) staff</w:t>
      </w:r>
      <w:r w:rsidR="00F627AB">
        <w:rPr>
          <w:i w:val="0"/>
          <w:iCs w:val="0"/>
          <w:color w:val="000000" w:themeColor="text1"/>
          <w:sz w:val="24"/>
          <w:szCs w:val="24"/>
        </w:rPr>
        <w:t xml:space="preserve"> and </w:t>
      </w:r>
      <w:r w:rsidR="00423857">
        <w:rPr>
          <w:i w:val="0"/>
          <w:iCs w:val="0"/>
          <w:color w:val="000000" w:themeColor="text1"/>
          <w:sz w:val="24"/>
          <w:szCs w:val="24"/>
        </w:rPr>
        <w:t>program managers</w:t>
      </w:r>
      <w:r w:rsidR="00F627AB">
        <w:rPr>
          <w:i w:val="0"/>
          <w:iCs w:val="0"/>
          <w:color w:val="000000" w:themeColor="text1"/>
          <w:sz w:val="24"/>
          <w:szCs w:val="24"/>
        </w:rPr>
        <w:t xml:space="preserve"> from all fifty (50) </w:t>
      </w:r>
      <w:r w:rsidRPr="001518D1" w:rsidR="00F627AB">
        <w:rPr>
          <w:i w:val="0"/>
          <w:iCs w:val="0"/>
          <w:color w:val="000000" w:themeColor="text1"/>
          <w:sz w:val="24"/>
          <w:szCs w:val="24"/>
        </w:rPr>
        <w:t>state</w:t>
      </w:r>
      <w:r w:rsidR="00F627AB">
        <w:rPr>
          <w:i w:val="0"/>
          <w:iCs w:val="0"/>
          <w:color w:val="000000" w:themeColor="text1"/>
          <w:sz w:val="24"/>
          <w:szCs w:val="24"/>
        </w:rPr>
        <w:t>s</w:t>
      </w:r>
      <w:r w:rsidR="00DB37EB">
        <w:rPr>
          <w:i w:val="0"/>
          <w:iCs w:val="0"/>
          <w:color w:val="000000" w:themeColor="text1"/>
          <w:sz w:val="24"/>
          <w:szCs w:val="24"/>
        </w:rPr>
        <w:t xml:space="preserve"> and the District of Columbia</w:t>
      </w:r>
      <w:r w:rsidR="00423857">
        <w:rPr>
          <w:i w:val="0"/>
          <w:iCs w:val="0"/>
          <w:color w:val="000000" w:themeColor="text1"/>
          <w:sz w:val="24"/>
          <w:szCs w:val="24"/>
        </w:rPr>
        <w:t>,</w:t>
      </w:r>
      <w:r w:rsidRPr="001518D1">
        <w:rPr>
          <w:i w:val="0"/>
          <w:iCs w:val="0"/>
          <w:color w:val="000000" w:themeColor="text1"/>
          <w:sz w:val="24"/>
          <w:szCs w:val="24"/>
        </w:rPr>
        <w:t xml:space="preserve"> </w:t>
      </w:r>
      <w:r w:rsidR="00F627AB">
        <w:rPr>
          <w:i w:val="0"/>
          <w:iCs w:val="0"/>
          <w:color w:val="000000" w:themeColor="text1"/>
          <w:sz w:val="24"/>
          <w:szCs w:val="24"/>
        </w:rPr>
        <w:t xml:space="preserve">as well as </w:t>
      </w:r>
      <w:r w:rsidRPr="001518D1">
        <w:rPr>
          <w:i w:val="0"/>
          <w:iCs w:val="0"/>
          <w:color w:val="000000" w:themeColor="text1"/>
          <w:sz w:val="24"/>
          <w:szCs w:val="24"/>
        </w:rPr>
        <w:t>contractors</w:t>
      </w:r>
      <w:r w:rsidR="00423857">
        <w:rPr>
          <w:i w:val="0"/>
          <w:iCs w:val="0"/>
          <w:color w:val="000000" w:themeColor="text1"/>
          <w:sz w:val="24"/>
          <w:szCs w:val="24"/>
        </w:rPr>
        <w:t>, and other partners</w:t>
      </w:r>
      <w:r w:rsidRPr="001518D1">
        <w:rPr>
          <w:i w:val="0"/>
          <w:iCs w:val="0"/>
          <w:color w:val="000000" w:themeColor="text1"/>
          <w:sz w:val="24"/>
          <w:szCs w:val="24"/>
        </w:rPr>
        <w:t xml:space="preserve"> working with tobacco control programs</w:t>
      </w:r>
      <w:r w:rsidR="00F627AB">
        <w:rPr>
          <w:i w:val="0"/>
          <w:iCs w:val="0"/>
          <w:color w:val="000000" w:themeColor="text1"/>
          <w:sz w:val="24"/>
          <w:szCs w:val="24"/>
        </w:rPr>
        <w:t>.</w:t>
      </w:r>
    </w:p>
    <w:p w:rsidRPr="001518D1" w:rsidR="001518D1" w:rsidP="001518D1" w:rsidRDefault="00F627AB" w14:paraId="58A50ECE" w14:textId="019660F8">
      <w:pPr>
        <w:pStyle w:val="BodyText"/>
        <w:spacing w:before="156" w:line="300" w:lineRule="auto"/>
        <w:ind w:left="659" w:right="660"/>
        <w:rPr>
          <w:i w:val="0"/>
          <w:iCs w:val="0"/>
          <w:color w:val="000000" w:themeColor="text1"/>
          <w:sz w:val="24"/>
          <w:szCs w:val="24"/>
        </w:rPr>
      </w:pPr>
      <w:r>
        <w:rPr>
          <w:i w:val="0"/>
          <w:iCs w:val="0"/>
          <w:color w:val="000000" w:themeColor="text1"/>
          <w:sz w:val="24"/>
          <w:szCs w:val="24"/>
        </w:rPr>
        <w:t xml:space="preserve">This proposal seeks to survey </w:t>
      </w:r>
      <w:r w:rsidR="00790B3E">
        <w:rPr>
          <w:i w:val="0"/>
          <w:iCs w:val="0"/>
          <w:color w:val="000000" w:themeColor="text1"/>
          <w:sz w:val="24"/>
          <w:szCs w:val="24"/>
        </w:rPr>
        <w:t xml:space="preserve">NTCP </w:t>
      </w:r>
      <w:r>
        <w:rPr>
          <w:i w:val="0"/>
          <w:iCs w:val="0"/>
          <w:color w:val="000000" w:themeColor="text1"/>
          <w:sz w:val="24"/>
          <w:szCs w:val="24"/>
        </w:rPr>
        <w:t>surveillance and evaluation staff on the</w:t>
      </w:r>
      <w:r w:rsidR="00790B3E">
        <w:rPr>
          <w:i w:val="0"/>
          <w:iCs w:val="0"/>
          <w:color w:val="000000" w:themeColor="text1"/>
          <w:sz w:val="24"/>
          <w:szCs w:val="24"/>
        </w:rPr>
        <w:t xml:space="preserve">ir satisfaction and use of Evaluators’ Network services. We will use information gathered from the survey to </w:t>
      </w:r>
      <w:r w:rsidR="00BE3789">
        <w:rPr>
          <w:i w:val="0"/>
          <w:iCs w:val="0"/>
          <w:color w:val="000000" w:themeColor="text1"/>
          <w:sz w:val="24"/>
          <w:szCs w:val="24"/>
        </w:rPr>
        <w:t>continue to build the Network and</w:t>
      </w:r>
      <w:r w:rsidR="00632E24">
        <w:rPr>
          <w:i w:val="0"/>
          <w:iCs w:val="0"/>
          <w:color w:val="000000" w:themeColor="text1"/>
          <w:sz w:val="24"/>
          <w:szCs w:val="24"/>
        </w:rPr>
        <w:t xml:space="preserve"> inform improvements to </w:t>
      </w:r>
      <w:r w:rsidR="00B56F41">
        <w:rPr>
          <w:i w:val="0"/>
          <w:iCs w:val="0"/>
          <w:color w:val="000000" w:themeColor="text1"/>
          <w:sz w:val="24"/>
          <w:szCs w:val="24"/>
        </w:rPr>
        <w:t>Network webinars, newsletters, networking website.</w:t>
      </w:r>
      <w:r w:rsidR="00632E24">
        <w:rPr>
          <w:i w:val="0"/>
          <w:iCs w:val="0"/>
          <w:color w:val="000000" w:themeColor="text1"/>
          <w:sz w:val="24"/>
          <w:szCs w:val="24"/>
        </w:rPr>
        <w:t xml:space="preserve">  </w:t>
      </w:r>
      <w:r w:rsidRPr="00B56F41" w:rsidR="00B56F41">
        <w:rPr>
          <w:i w:val="0"/>
          <w:iCs w:val="0"/>
          <w:color w:val="000000" w:themeColor="text1"/>
          <w:sz w:val="24"/>
          <w:szCs w:val="24"/>
        </w:rPr>
        <w:t xml:space="preserve">Without </w:t>
      </w:r>
      <w:r w:rsidR="00B56F41">
        <w:rPr>
          <w:i w:val="0"/>
          <w:iCs w:val="0"/>
          <w:color w:val="000000" w:themeColor="text1"/>
          <w:sz w:val="24"/>
          <w:szCs w:val="24"/>
        </w:rPr>
        <w:t>this feedback,</w:t>
      </w:r>
      <w:r w:rsidRPr="00B56F41" w:rsidR="00B56F41">
        <w:rPr>
          <w:i w:val="0"/>
          <w:iCs w:val="0"/>
          <w:color w:val="000000" w:themeColor="text1"/>
          <w:sz w:val="24"/>
          <w:szCs w:val="24"/>
        </w:rPr>
        <w:t xml:space="preserve"> </w:t>
      </w:r>
      <w:r w:rsidR="00B56F41">
        <w:rPr>
          <w:i w:val="0"/>
          <w:iCs w:val="0"/>
          <w:color w:val="000000" w:themeColor="text1"/>
          <w:sz w:val="24"/>
          <w:szCs w:val="24"/>
        </w:rPr>
        <w:t>OSH</w:t>
      </w:r>
      <w:r w:rsidRPr="00B56F41" w:rsidR="00B56F41">
        <w:rPr>
          <w:i w:val="0"/>
          <w:iCs w:val="0"/>
          <w:color w:val="000000" w:themeColor="text1"/>
          <w:sz w:val="24"/>
          <w:szCs w:val="24"/>
        </w:rPr>
        <w:t xml:space="preserve"> will not have timely information to</w:t>
      </w:r>
      <w:r w:rsidR="00B56F41">
        <w:rPr>
          <w:i w:val="0"/>
          <w:iCs w:val="0"/>
          <w:color w:val="000000" w:themeColor="text1"/>
          <w:sz w:val="24"/>
          <w:szCs w:val="24"/>
        </w:rPr>
        <w:t xml:space="preserve"> make changes to the Network</w:t>
      </w:r>
      <w:r w:rsidRPr="00B56F41" w:rsidR="00B56F41">
        <w:rPr>
          <w:i w:val="0"/>
          <w:iCs w:val="0"/>
          <w:color w:val="000000" w:themeColor="text1"/>
          <w:sz w:val="24"/>
          <w:szCs w:val="24"/>
        </w:rPr>
        <w:t xml:space="preserve"> services to</w:t>
      </w:r>
      <w:r w:rsidR="00B56F41">
        <w:rPr>
          <w:i w:val="0"/>
          <w:iCs w:val="0"/>
          <w:color w:val="000000" w:themeColor="text1"/>
          <w:sz w:val="24"/>
          <w:szCs w:val="24"/>
        </w:rPr>
        <w:t xml:space="preserve"> </w:t>
      </w:r>
      <w:r w:rsidR="00733043">
        <w:rPr>
          <w:i w:val="0"/>
          <w:iCs w:val="0"/>
          <w:color w:val="000000" w:themeColor="text1"/>
          <w:sz w:val="24"/>
          <w:szCs w:val="24"/>
        </w:rPr>
        <w:t>meet customer needs better</w:t>
      </w:r>
      <w:r w:rsidRPr="00B56F41" w:rsidR="00B56F41">
        <w:rPr>
          <w:i w:val="0"/>
          <w:iCs w:val="0"/>
          <w:color w:val="000000" w:themeColor="text1"/>
          <w:sz w:val="24"/>
          <w:szCs w:val="24"/>
        </w:rPr>
        <w:t>.</w:t>
      </w:r>
      <w:r w:rsidR="00733043">
        <w:rPr>
          <w:i w:val="0"/>
          <w:iCs w:val="0"/>
          <w:color w:val="000000" w:themeColor="text1"/>
          <w:sz w:val="24"/>
          <w:szCs w:val="24"/>
        </w:rPr>
        <w:t xml:space="preserve"> </w:t>
      </w:r>
      <w:r w:rsidR="003D298F">
        <w:rPr>
          <w:i w:val="0"/>
          <w:iCs w:val="0"/>
          <w:color w:val="000000" w:themeColor="text1"/>
          <w:sz w:val="24"/>
          <w:szCs w:val="24"/>
        </w:rPr>
        <w:t xml:space="preserve">The </w:t>
      </w:r>
      <w:r w:rsidR="00B56F41">
        <w:rPr>
          <w:i w:val="0"/>
          <w:iCs w:val="0"/>
          <w:color w:val="000000" w:themeColor="text1"/>
          <w:sz w:val="24"/>
          <w:szCs w:val="24"/>
        </w:rPr>
        <w:t>s</w:t>
      </w:r>
      <w:r w:rsidR="003D298F">
        <w:rPr>
          <w:i w:val="0"/>
          <w:iCs w:val="0"/>
          <w:color w:val="000000" w:themeColor="text1"/>
          <w:sz w:val="24"/>
          <w:szCs w:val="24"/>
        </w:rPr>
        <w:t>urvey is anonymous, solely on a volunteer basis, and participation in the</w:t>
      </w:r>
      <w:r w:rsidR="00733043">
        <w:rPr>
          <w:i w:val="0"/>
          <w:iCs w:val="0"/>
          <w:color w:val="000000" w:themeColor="text1"/>
          <w:sz w:val="24"/>
          <w:szCs w:val="24"/>
        </w:rPr>
        <w:t xml:space="preserve"> Evaluators’ Network Member</w:t>
      </w:r>
      <w:r w:rsidR="003D298F">
        <w:rPr>
          <w:i w:val="0"/>
          <w:iCs w:val="0"/>
          <w:color w:val="000000" w:themeColor="text1"/>
          <w:sz w:val="24"/>
          <w:szCs w:val="24"/>
        </w:rPr>
        <w:t xml:space="preserve"> </w:t>
      </w:r>
      <w:r w:rsidR="00733043">
        <w:rPr>
          <w:i w:val="0"/>
          <w:iCs w:val="0"/>
          <w:color w:val="000000" w:themeColor="text1"/>
          <w:sz w:val="24"/>
          <w:szCs w:val="24"/>
        </w:rPr>
        <w:t>S</w:t>
      </w:r>
      <w:r w:rsidR="00B56F41">
        <w:rPr>
          <w:i w:val="0"/>
          <w:iCs w:val="0"/>
          <w:color w:val="000000" w:themeColor="text1"/>
          <w:sz w:val="24"/>
          <w:szCs w:val="24"/>
        </w:rPr>
        <w:t>urvey</w:t>
      </w:r>
      <w:r w:rsidR="003D298F">
        <w:rPr>
          <w:i w:val="0"/>
          <w:iCs w:val="0"/>
          <w:color w:val="000000" w:themeColor="text1"/>
          <w:sz w:val="24"/>
          <w:szCs w:val="24"/>
        </w:rPr>
        <w:t xml:space="preserve"> suggesting points of improvement does not in any way affect CDC funding of </w:t>
      </w:r>
      <w:r w:rsidR="00DB37EB">
        <w:rPr>
          <w:i w:val="0"/>
          <w:iCs w:val="0"/>
          <w:color w:val="000000" w:themeColor="text1"/>
          <w:sz w:val="24"/>
          <w:szCs w:val="24"/>
        </w:rPr>
        <w:t>state</w:t>
      </w:r>
      <w:r w:rsidR="003D298F">
        <w:rPr>
          <w:i w:val="0"/>
          <w:iCs w:val="0"/>
          <w:color w:val="000000" w:themeColor="text1"/>
          <w:sz w:val="24"/>
          <w:szCs w:val="24"/>
        </w:rPr>
        <w:t xml:space="preserve">-based tobacco control programs. </w:t>
      </w:r>
      <w:r w:rsidR="00B56F41">
        <w:rPr>
          <w:i w:val="0"/>
          <w:iCs w:val="0"/>
          <w:color w:val="000000" w:themeColor="text1"/>
          <w:sz w:val="24"/>
          <w:szCs w:val="24"/>
        </w:rPr>
        <w:t xml:space="preserve">Users will complete the survey using the Qualtrics survey platform. </w:t>
      </w:r>
    </w:p>
    <w:p w:rsidRPr="001518D1" w:rsidR="001518D1" w:rsidP="001518D1" w:rsidRDefault="001518D1" w14:paraId="0785F58C" w14:textId="77777777">
      <w:pPr>
        <w:pStyle w:val="BodyText"/>
        <w:spacing w:before="10"/>
        <w:rPr>
          <w:i w:val="0"/>
          <w:iCs w:val="0"/>
          <w:color w:val="000000" w:themeColor="text1"/>
          <w:sz w:val="24"/>
          <w:szCs w:val="24"/>
        </w:rPr>
      </w:pPr>
    </w:p>
    <w:p w:rsidR="001518D1" w:rsidP="001518D1" w:rsidRDefault="001518D1" w14:paraId="3B3D4C5A" w14:textId="39A6E1D3">
      <w:pPr>
        <w:pStyle w:val="BodyText"/>
        <w:spacing w:line="300" w:lineRule="auto"/>
        <w:ind w:left="659" w:right="749"/>
        <w:rPr>
          <w:i w:val="0"/>
          <w:iCs w:val="0"/>
          <w:color w:val="000000" w:themeColor="text1"/>
          <w:sz w:val="24"/>
          <w:szCs w:val="24"/>
        </w:rPr>
      </w:pPr>
    </w:p>
    <w:p w:rsidR="001518D1" w:rsidP="001518D1" w:rsidRDefault="001518D1" w14:paraId="52324048" w14:textId="6CD8E1D2">
      <w:pPr>
        <w:pStyle w:val="BodyText"/>
        <w:spacing w:line="300" w:lineRule="auto"/>
        <w:ind w:left="659" w:right="749"/>
        <w:rPr>
          <w:i w:val="0"/>
          <w:iCs w:val="0"/>
          <w:color w:val="000000" w:themeColor="text1"/>
          <w:sz w:val="24"/>
          <w:szCs w:val="24"/>
        </w:rPr>
      </w:pPr>
    </w:p>
    <w:p w:rsidR="009868F1" w:rsidP="001518D1" w:rsidRDefault="009868F1" w14:paraId="68AE8865" w14:textId="0AB36DD3">
      <w:pPr>
        <w:pStyle w:val="BodyText"/>
        <w:spacing w:line="300" w:lineRule="auto"/>
        <w:ind w:left="659" w:right="749"/>
        <w:rPr>
          <w:i w:val="0"/>
          <w:iCs w:val="0"/>
          <w:color w:val="000000" w:themeColor="text1"/>
          <w:sz w:val="24"/>
          <w:szCs w:val="24"/>
        </w:rPr>
      </w:pPr>
    </w:p>
    <w:p w:rsidR="009868F1" w:rsidP="001518D1" w:rsidRDefault="009868F1" w14:paraId="2088F70B" w14:textId="417A2E19">
      <w:pPr>
        <w:pStyle w:val="BodyText"/>
        <w:spacing w:line="300" w:lineRule="auto"/>
        <w:ind w:left="659" w:right="749"/>
        <w:rPr>
          <w:i w:val="0"/>
          <w:iCs w:val="0"/>
          <w:color w:val="000000" w:themeColor="text1"/>
          <w:sz w:val="24"/>
          <w:szCs w:val="24"/>
        </w:rPr>
      </w:pPr>
    </w:p>
    <w:p w:rsidR="001518D1" w:rsidP="009868F1" w:rsidRDefault="001518D1" w14:paraId="6F9F07FE" w14:textId="00343020">
      <w:pPr>
        <w:pStyle w:val="BodyText"/>
        <w:spacing w:line="300" w:lineRule="auto"/>
        <w:ind w:right="749"/>
        <w:rPr>
          <w:i w:val="0"/>
          <w:iCs w:val="0"/>
          <w:color w:val="000000" w:themeColor="text1"/>
          <w:sz w:val="24"/>
          <w:szCs w:val="24"/>
        </w:rPr>
      </w:pPr>
    </w:p>
    <w:p w:rsidR="00184D63" w:rsidP="009868F1" w:rsidRDefault="00184D63" w14:paraId="6D26F7B7" w14:textId="0AFA1B40">
      <w:pPr>
        <w:pStyle w:val="BodyText"/>
        <w:spacing w:line="300" w:lineRule="auto"/>
        <w:ind w:right="749"/>
        <w:rPr>
          <w:i w:val="0"/>
          <w:iCs w:val="0"/>
          <w:color w:val="000000" w:themeColor="text1"/>
          <w:sz w:val="24"/>
          <w:szCs w:val="24"/>
        </w:rPr>
      </w:pPr>
    </w:p>
    <w:p w:rsidR="00184D63" w:rsidP="009868F1" w:rsidRDefault="00184D63" w14:paraId="37F41A2D" w14:textId="77777777">
      <w:pPr>
        <w:pStyle w:val="BodyText"/>
        <w:spacing w:line="300" w:lineRule="auto"/>
        <w:ind w:right="749"/>
        <w:rPr>
          <w:i w:val="0"/>
          <w:iCs w:val="0"/>
          <w:color w:val="000000" w:themeColor="text1"/>
          <w:sz w:val="24"/>
          <w:szCs w:val="24"/>
        </w:rPr>
      </w:pPr>
    </w:p>
    <w:p w:rsidRPr="001518D1" w:rsidR="00891CE6" w:rsidP="009868F1" w:rsidRDefault="00891CE6" w14:paraId="2DF376AF" w14:textId="77777777">
      <w:pPr>
        <w:pStyle w:val="BodyText"/>
        <w:spacing w:line="300" w:lineRule="auto"/>
        <w:ind w:right="749"/>
        <w:rPr>
          <w:i w:val="0"/>
          <w:iCs w:val="0"/>
          <w:color w:val="000000" w:themeColor="text1"/>
          <w:sz w:val="24"/>
          <w:szCs w:val="24"/>
        </w:rPr>
      </w:pPr>
    </w:p>
    <w:p w:rsidR="00B46F2C" w:rsidP="00434E33" w:rsidRDefault="00B46F2C" w14:paraId="0488104F" w14:textId="50E22F99">
      <w:pPr>
        <w:pStyle w:val="Header"/>
        <w:tabs>
          <w:tab w:val="clear" w:pos="4320"/>
          <w:tab w:val="clear" w:pos="8640"/>
        </w:tabs>
      </w:pPr>
      <w:r w:rsidRPr="00434E33">
        <w:rPr>
          <w:b/>
        </w:rPr>
        <w:t>DESCRIPTION OF RESPONDENTS</w:t>
      </w:r>
      <w:r>
        <w:t xml:space="preserve">: </w:t>
      </w:r>
    </w:p>
    <w:p w:rsidR="006D246B" w:rsidP="009868F1" w:rsidRDefault="006D246B" w14:paraId="5DDD4816" w14:textId="2647C0F9">
      <w:pPr>
        <w:widowControl w:val="0"/>
        <w:spacing w:line="300" w:lineRule="auto"/>
        <w:ind w:right="749" w:firstLine="659"/>
        <w:rPr>
          <w:color w:val="000000" w:themeColor="text1"/>
        </w:rPr>
      </w:pPr>
    </w:p>
    <w:p w:rsidR="00F906AB" w:rsidP="006D246B" w:rsidRDefault="00B56F41" w14:paraId="7E74D70C" w14:textId="21785F41">
      <w:pPr>
        <w:widowControl w:val="0"/>
        <w:spacing w:line="300" w:lineRule="auto"/>
        <w:ind w:left="659" w:right="749"/>
      </w:pPr>
      <w:r w:rsidRPr="00B56F41">
        <w:t xml:space="preserve">Participation in the </w:t>
      </w:r>
      <w:r w:rsidR="00733043">
        <w:t>Evaluators’ Network Member S</w:t>
      </w:r>
      <w:r w:rsidRPr="00B56F41">
        <w:t xml:space="preserve">urvey is voluntary. </w:t>
      </w:r>
      <w:r w:rsidRPr="00B56F41" w:rsidR="00F906AB">
        <w:t>One</w:t>
      </w:r>
      <w:r w:rsidR="00F906AB">
        <w:t>-hundred and seventy (170) representatives from tobacco control program</w:t>
      </w:r>
      <w:r w:rsidR="00423857">
        <w:t xml:space="preserve">s </w:t>
      </w:r>
      <w:r w:rsidR="00DB37EB">
        <w:t xml:space="preserve">based in state health departments who participate </w:t>
      </w:r>
      <w:r w:rsidR="00423857">
        <w:t>in the Evaluators’ Network</w:t>
      </w:r>
      <w:r>
        <w:t xml:space="preserve"> will be invited to participate in the survey</w:t>
      </w:r>
      <w:r w:rsidR="00423857">
        <w:t xml:space="preserve">. This group </w:t>
      </w:r>
      <w:r w:rsidR="009868F1">
        <w:t xml:space="preserve">consists </w:t>
      </w:r>
      <w:r w:rsidR="00423857">
        <w:t>of</w:t>
      </w:r>
      <w:r w:rsidR="00F906AB">
        <w:t xml:space="preserve"> surveillance and evaluation staff from all fifty (50) </w:t>
      </w:r>
      <w:r w:rsidR="00423857">
        <w:t>s</w:t>
      </w:r>
      <w:r w:rsidR="00F906AB">
        <w:t>tates and the District of Columbia acting in their official capacity.</w:t>
      </w:r>
      <w:r w:rsidR="006D246B">
        <w:t xml:space="preserve"> </w:t>
      </w:r>
    </w:p>
    <w:p w:rsidR="00F906AB" w:rsidRDefault="00F906AB" w14:paraId="763EE8C3" w14:textId="667477E6">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5E38544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64DE">
        <w:rPr>
          <w:bCs/>
          <w:sz w:val="24"/>
        </w:rPr>
        <w:t>X</w:t>
      </w:r>
      <w:r w:rsidRPr="00F06866">
        <w:rPr>
          <w:bCs/>
          <w:sz w:val="24"/>
        </w:rPr>
        <w:t xml:space="preserve">] Customer Satisfaction Survey    </w:t>
      </w:r>
    </w:p>
    <w:p w:rsidR="00B46F2C" w:rsidP="0096108F" w:rsidRDefault="00B46F2C" w14:paraId="04CF626F" w14:textId="320631BD">
      <w:pPr>
        <w:pStyle w:val="BodyTextIndent"/>
        <w:tabs>
          <w:tab w:val="left" w:pos="360"/>
        </w:tabs>
        <w:ind w:left="0"/>
        <w:rPr>
          <w:bCs/>
          <w:sz w:val="24"/>
        </w:rPr>
      </w:pPr>
      <w:r w:rsidRPr="00F06866">
        <w:rPr>
          <w:bCs/>
          <w:sz w:val="24"/>
        </w:rPr>
        <w:t>[</w:t>
      </w:r>
      <w:r w:rsidR="001A64DE">
        <w:rPr>
          <w:bCs/>
          <w:sz w:val="24"/>
        </w:rPr>
        <w:t xml:space="preserve"> </w:t>
      </w:r>
      <w:r w:rsidRPr="00F06866">
        <w:rPr>
          <w:bCs/>
          <w:sz w:val="24"/>
        </w:rPr>
        <w:t>] Usability</w:t>
      </w:r>
      <w:r>
        <w:rPr>
          <w:bCs/>
          <w:sz w:val="24"/>
        </w:rPr>
        <w:t xml:space="preserve"> Testing (e.g., Website or Software</w:t>
      </w:r>
      <w:r w:rsidR="00541F79">
        <w:rPr>
          <w:bCs/>
          <w:sz w:val="24"/>
        </w:rPr>
        <w:t>)</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F5AB43D">
      <w:r w:rsidRPr="00CF0842">
        <w:rPr>
          <w:u w:val="single"/>
        </w:rPr>
        <w:t>Name:</w:t>
      </w:r>
      <w:r w:rsidR="00CF0842">
        <w:rPr>
          <w:u w:val="single"/>
        </w:rPr>
        <w:t xml:space="preserve"> </w:t>
      </w:r>
      <w:r w:rsidRPr="00CF0842" w:rsidR="00CF0842">
        <w:rPr>
          <w:u w:val="single"/>
        </w:rPr>
        <w:t>Ryan C. Martin-Valenzuela</w:t>
      </w:r>
      <w:r w:rsidR="00CF0842">
        <w:rPr>
          <w:u w:val="single"/>
        </w:rPr>
        <w:t xml:space="preserve">, Health Scientist, </w:t>
      </w:r>
      <w:r w:rsidR="00DB37EB">
        <w:rPr>
          <w:u w:val="single"/>
        </w:rPr>
        <w:t xml:space="preserve">National Center for Chronic Disease Prevention and Health Promotion, </w:t>
      </w:r>
      <w:r w:rsidR="00CF0842">
        <w:rPr>
          <w:u w:val="single"/>
        </w:rPr>
        <w:t>O</w:t>
      </w:r>
      <w:r w:rsidR="00DB37EB">
        <w:rPr>
          <w:u w:val="single"/>
        </w:rPr>
        <w:t xml:space="preserve">ffice on </w:t>
      </w:r>
      <w:r w:rsidR="00CF0842">
        <w:rPr>
          <w:u w:val="single"/>
        </w:rPr>
        <w:t>S</w:t>
      </w:r>
      <w:r w:rsidR="00DB37EB">
        <w:rPr>
          <w:u w:val="single"/>
        </w:rPr>
        <w:t xml:space="preserve">moking and </w:t>
      </w:r>
      <w:r w:rsidR="00CF0842">
        <w:rPr>
          <w:u w:val="single"/>
        </w:rPr>
        <w:t>H</w:t>
      </w:r>
      <w:r w:rsidR="00DB37EB">
        <w:rPr>
          <w:u w:val="single"/>
        </w:rPr>
        <w:t>ealth</w:t>
      </w:r>
      <w:r w:rsidR="00CF0842">
        <w:rPr>
          <w:u w:val="single"/>
        </w:rPr>
        <w:t>/</w:t>
      </w:r>
      <w:r w:rsidR="00DB37EB">
        <w:rPr>
          <w:u w:val="single"/>
        </w:rPr>
        <w:t>Epidemiology Branch, Evaluation Team</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54A32259">
      <w:pPr>
        <w:pStyle w:val="ListParagraph"/>
        <w:numPr>
          <w:ilvl w:val="0"/>
          <w:numId w:val="18"/>
        </w:numPr>
      </w:pPr>
      <w:r>
        <w:t>Is personally identifiable information (PII) collected?  [ ] Yes  [</w:t>
      </w:r>
      <w:r w:rsidR="00CF0842">
        <w:t xml:space="preserve"> X</w:t>
      </w:r>
      <w:r>
        <w:t xml:space="preserve"> ]  No </w:t>
      </w:r>
    </w:p>
    <w:p w:rsidR="00B46F2C" w:rsidP="00C86E91" w:rsidRDefault="00B46F2C" w14:paraId="059C2C9E" w14:textId="32AEE27F">
      <w:pPr>
        <w:pStyle w:val="ListParagraph"/>
        <w:numPr>
          <w:ilvl w:val="0"/>
          <w:numId w:val="18"/>
        </w:numPr>
      </w:pPr>
      <w:r>
        <w:t xml:space="preserve">If Yes, is the information that will be collected included in records that are subject to the Privacy Act of 1974?   [ ] Yes [  ] No   </w:t>
      </w:r>
      <w:r w:rsidR="008D0195">
        <w:t>Not Applicable</w:t>
      </w:r>
    </w:p>
    <w:p w:rsidR="00B46F2C" w:rsidP="00C86E91" w:rsidRDefault="00B46F2C" w14:paraId="53684D4A" w14:textId="3778F5F1">
      <w:pPr>
        <w:pStyle w:val="ListParagraph"/>
        <w:numPr>
          <w:ilvl w:val="0"/>
          <w:numId w:val="18"/>
        </w:numPr>
      </w:pPr>
      <w:r>
        <w:t>If Applicable, has a System or Records Notice been published?  [ ] Yes  [] No</w:t>
      </w:r>
      <w:r w:rsidR="00EB6E63">
        <w:t xml:space="preserve">   Not Applicable</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53A4EBF1">
      <w:r>
        <w:t xml:space="preserve">Is an incentive (e.g., money or reimbursement of expenses, token of appreciation) provided to participants?  [ ] Yes [ </w:t>
      </w:r>
      <w:r w:rsidR="00CF0842">
        <w:t>X</w:t>
      </w:r>
      <w:r>
        <w:t xml:space="preserve"> ] No</w:t>
      </w:r>
    </w:p>
    <w:p w:rsidR="00EF484B" w:rsidP="00C86E91" w:rsidRDefault="00EF484B" w14:paraId="5B421EF2" w14:textId="77777777">
      <w:pPr>
        <w:rPr>
          <w:b/>
        </w:rPr>
      </w:pPr>
    </w:p>
    <w:p w:rsidR="00B46F2C" w:rsidP="00EF484B" w:rsidRDefault="00EF484B" w14:paraId="7140CF7D" w14:textId="345AF0EC">
      <w:r>
        <w:rPr>
          <w:b/>
        </w:rPr>
        <w:lastRenderedPageBreak/>
        <w:t xml:space="preserve">If Yes: </w:t>
      </w:r>
      <w:r>
        <w:t>P</w:t>
      </w:r>
      <w:r w:rsidRPr="008F50D4">
        <w:t>lease describe</w:t>
      </w:r>
      <w:r>
        <w:t xml:space="preserve"> the incentive. If amounts are outside of customary incentives, please also </w:t>
      </w:r>
      <w:r w:rsidRPr="008F50D4">
        <w:t xml:space="preserve">provide a justification </w:t>
      </w:r>
      <w:r w:rsidR="00EB6E63">
        <w:t xml:space="preserve"> N/A</w:t>
      </w:r>
    </w:p>
    <w:p w:rsidR="00B46F2C" w:rsidRDefault="00B46F2C" w14:paraId="5E64E1CC" w14:textId="77777777">
      <w:pPr>
        <w:rPr>
          <w:b/>
        </w:rPr>
      </w:pPr>
    </w:p>
    <w:p w:rsidR="00B46F2C" w:rsidRDefault="00B46F2C" w14:paraId="5F3744D2" w14:textId="77777777">
      <w:pPr>
        <w:rPr>
          <w:b/>
        </w:rPr>
      </w:pP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597"/>
      </w:tblGrid>
      <w:tr w:rsidR="00B46F2C" w:rsidTr="00DA5DA4" w14:paraId="1B73BC2F" w14:textId="77777777">
        <w:trPr>
          <w:trHeight w:val="274"/>
        </w:trPr>
        <w:tc>
          <w:tcPr>
            <w:tcW w:w="5418" w:type="dxa"/>
          </w:tcPr>
          <w:p w:rsidRPr="00512CA7" w:rsidR="00B46F2C" w:rsidP="00C8488C" w:rsidRDefault="00B46F2C" w14:paraId="42428B2A" w14:textId="77777777">
            <w:pPr>
              <w:rPr>
                <w:b/>
              </w:rPr>
            </w:pPr>
            <w:r w:rsidRPr="00512CA7">
              <w:rPr>
                <w:b/>
              </w:rPr>
              <w:t xml:space="preserve">Category of Respondent </w:t>
            </w:r>
          </w:p>
        </w:tc>
        <w:tc>
          <w:tcPr>
            <w:tcW w:w="153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597" w:type="dxa"/>
          </w:tcPr>
          <w:p w:rsidRPr="00512CA7" w:rsidR="00B46F2C" w:rsidP="00843796" w:rsidRDefault="00B46F2C" w14:paraId="6AC17A0A" w14:textId="77777777">
            <w:pPr>
              <w:rPr>
                <w:b/>
              </w:rPr>
            </w:pPr>
            <w:r w:rsidRPr="00512CA7">
              <w:rPr>
                <w:b/>
              </w:rPr>
              <w:t>Burden</w:t>
            </w:r>
          </w:p>
        </w:tc>
      </w:tr>
      <w:tr w:rsidR="00B46F2C" w:rsidTr="00DA5DA4" w14:paraId="0FB0D82A" w14:textId="77777777">
        <w:trPr>
          <w:trHeight w:val="274"/>
        </w:trPr>
        <w:tc>
          <w:tcPr>
            <w:tcW w:w="5418" w:type="dxa"/>
          </w:tcPr>
          <w:p w:rsidR="00B46F2C" w:rsidP="00B12897" w:rsidRDefault="00B12897" w14:paraId="420715CA" w14:textId="651ED753">
            <w:pPr>
              <w:jc w:val="center"/>
            </w:pPr>
            <w:r>
              <w:t>State, Local, or Tribal Governments</w:t>
            </w:r>
          </w:p>
        </w:tc>
        <w:tc>
          <w:tcPr>
            <w:tcW w:w="1530" w:type="dxa"/>
          </w:tcPr>
          <w:p w:rsidRPr="00B12897" w:rsidR="00B46F2C" w:rsidP="00B12897" w:rsidRDefault="00B12897" w14:paraId="24DBC17F" w14:textId="367FED00">
            <w:pPr>
              <w:jc w:val="center"/>
              <w:rPr>
                <w:i/>
                <w:iCs/>
              </w:rPr>
            </w:pPr>
            <w:r>
              <w:t>1</w:t>
            </w:r>
            <w:r w:rsidR="006D246B">
              <w:t>70</w:t>
            </w:r>
          </w:p>
        </w:tc>
        <w:tc>
          <w:tcPr>
            <w:tcW w:w="1710" w:type="dxa"/>
          </w:tcPr>
          <w:p w:rsidR="00B46F2C" w:rsidP="00DA5DA4" w:rsidRDefault="00DA5DA4" w14:paraId="1D9AFA2F" w14:textId="039554C1">
            <w:pPr>
              <w:jc w:val="center"/>
            </w:pPr>
            <w:r>
              <w:t>15 MINUTES</w:t>
            </w:r>
          </w:p>
        </w:tc>
        <w:tc>
          <w:tcPr>
            <w:tcW w:w="1597" w:type="dxa"/>
          </w:tcPr>
          <w:p w:rsidR="00B46F2C" w:rsidP="00DA5DA4" w:rsidRDefault="006D246B" w14:paraId="5D7C96C4" w14:textId="32C8A0F2">
            <w:pPr>
              <w:jc w:val="center"/>
            </w:pPr>
            <w:r>
              <w:t>4</w:t>
            </w:r>
            <w:r w:rsidR="003F046A">
              <w:t>3</w:t>
            </w:r>
            <w:bookmarkStart w:name="_GoBack" w:id="0"/>
            <w:bookmarkEnd w:id="0"/>
            <w:r>
              <w:t xml:space="preserve"> HOURS</w:t>
            </w:r>
          </w:p>
        </w:tc>
      </w:tr>
      <w:tr w:rsidR="00B46F2C" w:rsidTr="00DA5DA4" w14:paraId="5F6B02D5" w14:textId="77777777">
        <w:trPr>
          <w:trHeight w:val="274"/>
        </w:trPr>
        <w:tc>
          <w:tcPr>
            <w:tcW w:w="5418" w:type="dxa"/>
          </w:tcPr>
          <w:p w:rsidR="00B46F2C" w:rsidP="00843796" w:rsidRDefault="00B46F2C" w14:paraId="0E617982" w14:textId="77777777"/>
        </w:tc>
        <w:tc>
          <w:tcPr>
            <w:tcW w:w="1530" w:type="dxa"/>
          </w:tcPr>
          <w:p w:rsidR="00B46F2C" w:rsidP="00843796" w:rsidRDefault="00B46F2C" w14:paraId="4C7F372F" w14:textId="77777777"/>
        </w:tc>
        <w:tc>
          <w:tcPr>
            <w:tcW w:w="1710" w:type="dxa"/>
          </w:tcPr>
          <w:p w:rsidR="00B46F2C" w:rsidP="00843796" w:rsidRDefault="00B46F2C" w14:paraId="4774E070" w14:textId="77777777"/>
        </w:tc>
        <w:tc>
          <w:tcPr>
            <w:tcW w:w="1597" w:type="dxa"/>
          </w:tcPr>
          <w:p w:rsidR="00B46F2C" w:rsidP="00843796" w:rsidRDefault="00B46F2C" w14:paraId="69D304C6" w14:textId="77777777"/>
        </w:tc>
      </w:tr>
      <w:tr w:rsidR="00B46F2C" w:rsidTr="00DA5DA4" w14:paraId="440D7C10" w14:textId="77777777">
        <w:trPr>
          <w:trHeight w:val="289"/>
        </w:trPr>
        <w:tc>
          <w:tcPr>
            <w:tcW w:w="5418" w:type="dxa"/>
          </w:tcPr>
          <w:p w:rsidRPr="00512CA7" w:rsidR="00B46F2C" w:rsidP="00843796" w:rsidRDefault="00B46F2C" w14:paraId="27589C97" w14:textId="77777777">
            <w:pPr>
              <w:rPr>
                <w:b/>
              </w:rPr>
            </w:pPr>
            <w:r w:rsidRPr="00512CA7">
              <w:rPr>
                <w:b/>
              </w:rPr>
              <w:t>Totals</w:t>
            </w:r>
          </w:p>
        </w:tc>
        <w:tc>
          <w:tcPr>
            <w:tcW w:w="1530" w:type="dxa"/>
          </w:tcPr>
          <w:p w:rsidRPr="00512CA7" w:rsidR="00B46F2C" w:rsidP="00843796" w:rsidRDefault="00B46F2C" w14:paraId="0D7C2653" w14:textId="77777777">
            <w:pPr>
              <w:rPr>
                <w:b/>
              </w:rPr>
            </w:pPr>
          </w:p>
        </w:tc>
        <w:tc>
          <w:tcPr>
            <w:tcW w:w="1710" w:type="dxa"/>
          </w:tcPr>
          <w:p w:rsidR="00B46F2C" w:rsidP="00843796" w:rsidRDefault="00B46F2C" w14:paraId="6ED6ECFB" w14:textId="77777777"/>
        </w:tc>
        <w:tc>
          <w:tcPr>
            <w:tcW w:w="1597" w:type="dxa"/>
          </w:tcPr>
          <w:p w:rsidRPr="00512CA7" w:rsidR="00B46F2C" w:rsidP="00843796" w:rsidRDefault="00B46F2C" w14:paraId="464E472E" w14:textId="77777777">
            <w:pPr>
              <w:rPr>
                <w:b/>
              </w:rPr>
            </w:pPr>
          </w:p>
        </w:tc>
      </w:tr>
    </w:tbl>
    <w:p w:rsidR="00B46F2C" w:rsidP="00F3170F" w:rsidRDefault="00B46F2C" w14:paraId="545D4F2C" w14:textId="77777777"/>
    <w:p w:rsidR="00B46F2C" w:rsidP="00F3170F" w:rsidRDefault="00B46F2C" w14:paraId="1AB33144" w14:textId="77777777"/>
    <w:p w:rsidR="00B46F2C" w:rsidRDefault="00B46F2C" w14:paraId="6775AEDB" w14:textId="077E9FCF">
      <w:pPr>
        <w:rPr>
          <w:b/>
        </w:rPr>
      </w:pPr>
      <w:r>
        <w:rPr>
          <w:b/>
        </w:rPr>
        <w:t xml:space="preserve">FEDERAL COST:  </w:t>
      </w:r>
      <w:r>
        <w:t>The estimated annual cost to the Federal government is</w:t>
      </w:r>
      <w:r w:rsidR="00CF0842">
        <w:t>:</w:t>
      </w:r>
      <w:r>
        <w:t xml:space="preserve"> </w:t>
      </w:r>
      <w:r w:rsidRPr="009868F1" w:rsidR="00CF0842">
        <w:rPr>
          <w:b/>
          <w:bCs/>
          <w:u w:val="single"/>
        </w:rPr>
        <w:t>$</w:t>
      </w:r>
      <w:r w:rsidRPr="009868F1" w:rsidR="001A64DE">
        <w:rPr>
          <w:b/>
          <w:bCs/>
          <w:color w:val="000000"/>
          <w:u w:val="single"/>
        </w:rPr>
        <w:t>2,674.15</w:t>
      </w:r>
      <w:r w:rsidR="001A64DE">
        <w:rPr>
          <w:b/>
          <w:bCs/>
          <w:color w:val="000000"/>
        </w:rPr>
        <w:t xml:space="preserve"> </w:t>
      </w:r>
    </w:p>
    <w:p w:rsidR="00B46F2C" w:rsidRDefault="00B46F2C" w14:paraId="28C1E765" w14:textId="77777777">
      <w:pPr>
        <w:rPr>
          <w:b/>
          <w:bCs/>
          <w:u w:val="single"/>
        </w:rPr>
      </w:pPr>
    </w:p>
    <w:p w:rsidR="00B46F2C" w:rsidP="00F06866" w:rsidRDefault="00B46F2C" w14:paraId="31D6CD62" w14:textId="1F56335D">
      <w:pPr>
        <w:rPr>
          <w:b/>
        </w:rPr>
      </w:pPr>
      <w:r>
        <w:rPr>
          <w:b/>
          <w:bCs/>
          <w:u w:val="single"/>
        </w:rPr>
        <w:t>If you are conducting a focus group, survey, or plan to employ statistical methods, please</w:t>
      </w:r>
      <w:r w:rsidR="00541F79">
        <w:rPr>
          <w:b/>
          <w:bCs/>
          <w:u w:val="single"/>
        </w:rPr>
        <w:t xml:space="preserve"> </w:t>
      </w:r>
      <w:r>
        <w:rPr>
          <w:b/>
          <w:bCs/>
          <w:u w:val="single"/>
        </w:rPr>
        <w:t>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38C37EA">
      <w:pPr>
        <w:pStyle w:val="ListParagraph"/>
        <w:numPr>
          <w:ilvl w:val="0"/>
          <w:numId w:val="15"/>
        </w:numPr>
      </w:pPr>
      <w:r>
        <w:t>Do you have a customer list or something similar that defines the universe of potential respondents</w:t>
      </w:r>
      <w:r w:rsidR="009868F1">
        <w:t>,</w:t>
      </w:r>
      <w:r>
        <w:t xml:space="preserve"> and do you have a sampling plan for selecting from this universe?</w:t>
      </w:r>
      <w:r>
        <w:tab/>
      </w:r>
      <w:r>
        <w:tab/>
      </w:r>
      <w:r>
        <w:tab/>
      </w:r>
      <w:r>
        <w:tab/>
      </w:r>
      <w:r>
        <w:tab/>
      </w:r>
      <w:r>
        <w:tab/>
      </w:r>
      <w:r>
        <w:tab/>
      </w:r>
      <w:r>
        <w:tab/>
      </w:r>
      <w:r>
        <w:tab/>
      </w:r>
      <w:r>
        <w:tab/>
      </w:r>
      <w:r>
        <w:tab/>
        <w:t>[</w:t>
      </w:r>
      <w:r w:rsidR="00CF0842">
        <w:t>X</w:t>
      </w:r>
      <w:r>
        <w:t>] Yes</w:t>
      </w:r>
      <w:r>
        <w:tab/>
        <w:t>[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ADA31D5">
      <w:pPr>
        <w:pStyle w:val="ListParagraph"/>
      </w:pPr>
    </w:p>
    <w:p w:rsidR="009C473F" w:rsidP="00A403BB" w:rsidRDefault="009C473F" w14:paraId="1FB6B9DB" w14:textId="52E0CEFB">
      <w:pPr>
        <w:pStyle w:val="ListParagraph"/>
      </w:pPr>
      <w:r>
        <w:t>The sampling cohort is defined by the membership of the Evaluators’ Network, in that, there are a total of 1</w:t>
      </w:r>
      <w:r w:rsidR="004005F1">
        <w:t>70</w:t>
      </w:r>
      <w:r>
        <w:t xml:space="preserve"> potential respondents</w:t>
      </w:r>
      <w:r w:rsidR="00B61536">
        <w:t>. All (100%)</w:t>
      </w:r>
      <w:r w:rsidR="00B50355">
        <w:t xml:space="preserve"> </w:t>
      </w:r>
      <w:r w:rsidR="00B61536">
        <w:t>of the Network members are invited to participate in the survey.</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354DD5EE">
      <w:pPr>
        <w:ind w:left="720"/>
      </w:pPr>
      <w:r>
        <w:t>[</w:t>
      </w:r>
      <w:r w:rsidR="00CF0842">
        <w:t>X</w:t>
      </w:r>
      <w:r>
        <w:t xml:space="preserve">] </w:t>
      </w:r>
      <w:r w:rsidRPr="009868F1">
        <w:rPr>
          <w:u w:val="single"/>
        </w:rPr>
        <w:t>Web-based</w:t>
      </w:r>
      <w:r>
        <w:t xml:space="preserve"> or other forms of Social Media </w:t>
      </w:r>
    </w:p>
    <w:p w:rsidR="00B46F2C" w:rsidP="001B0AAA" w:rsidRDefault="00B46F2C" w14:paraId="6F829B01" w14:textId="0614CFA6">
      <w:pPr>
        <w:ind w:left="720"/>
      </w:pPr>
      <w:r>
        <w:t>[ ] Telephone</w:t>
      </w:r>
      <w:r>
        <w:tab/>
      </w:r>
    </w:p>
    <w:p w:rsidR="00B46F2C" w:rsidP="001B0AAA" w:rsidRDefault="00B46F2C" w14:paraId="008163E3" w14:textId="676ED205">
      <w:pPr>
        <w:ind w:left="720"/>
      </w:pPr>
      <w:r>
        <w:t>[ ] In-person</w:t>
      </w:r>
      <w:r>
        <w:tab/>
      </w:r>
    </w:p>
    <w:p w:rsidR="00B46F2C" w:rsidP="001B0AAA" w:rsidRDefault="00B46F2C" w14:paraId="7EE1ABF1" w14:textId="217BE4EE">
      <w:pPr>
        <w:ind w:left="720"/>
      </w:pPr>
      <w:r>
        <w:t xml:space="preserve">[ ] Mail </w:t>
      </w:r>
    </w:p>
    <w:p w:rsidR="00B46F2C" w:rsidP="001B0AAA" w:rsidRDefault="00B46F2C" w14:paraId="328E2A66" w14:textId="290A5382">
      <w:pPr>
        <w:ind w:left="720"/>
      </w:pPr>
      <w:r>
        <w:t>[ ] Other, Explain</w:t>
      </w:r>
    </w:p>
    <w:p w:rsidR="00B46F2C" w:rsidP="00F24CFC" w:rsidRDefault="00B46F2C" w14:paraId="12FD5503" w14:textId="02FD4155">
      <w:pPr>
        <w:pStyle w:val="ListParagraph"/>
        <w:numPr>
          <w:ilvl w:val="0"/>
          <w:numId w:val="17"/>
        </w:numPr>
      </w:pPr>
      <w:r>
        <w:t xml:space="preserve">Will interviewers or facilitators be used?  [ ] Yes [ </w:t>
      </w:r>
      <w:r w:rsidR="00CF0842">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549D54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sidR="009868F1">
        <w:rPr>
          <w:sz w:val="28"/>
        </w:rPr>
        <w:t>.</w:t>
      </w:r>
      <w:r w:rsidRPr="00F06866">
        <w:rPr>
          <w:sz w:val="28"/>
        </w:rPr>
        <w:t>”</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C01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4C7BD4B">
      <w:pPr>
        <w:rPr>
          <w:b/>
        </w:rPr>
      </w:pPr>
      <w:r w:rsidRPr="008F50D4">
        <w:rPr>
          <w:b/>
        </w:rPr>
        <w:lastRenderedPageBreak/>
        <w:t>TITLE OF INFORMATION COLLECTION:</w:t>
      </w:r>
      <w:r w:rsidRPr="008F50D4">
        <w:t xml:space="preserve">  Provide the name of the collection that is the subject of the request</w:t>
      </w:r>
      <w:r>
        <w:t>. (e.g</w:t>
      </w:r>
      <w:r w:rsidR="009868F1">
        <w:t xml:space="preserve">., </w:t>
      </w:r>
      <w:r>
        <w:t>Comment card for soliciting feedback on xxxx)</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48A2D78F">
      <w:r w:rsidRPr="008F50D4">
        <w:rPr>
          <w:b/>
        </w:rPr>
        <w:t xml:space="preserve">CERTIFICATION:  </w:t>
      </w:r>
      <w:r>
        <w:t>Please read the certification carefully.  If you incorrectly certify, the collection will be returned as improperly submitted</w:t>
      </w:r>
      <w:r w:rsidR="009868F1">
        <w:t>,</w:t>
      </w:r>
      <w:r>
        <w:t xml:space="preserve">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2A345F7E">
      <w:r>
        <w:rPr>
          <w:b/>
        </w:rPr>
        <w:t xml:space="preserve">Participation Time:  </w:t>
      </w:r>
      <w:r>
        <w:t>Provide an estimate of the amount of time required for a respondent to participate (e.g.</w:t>
      </w:r>
      <w:r w:rsidR="009868F1">
        <w:t>,</w:t>
      </w:r>
      <w:r>
        <w:t xml:space="preserve">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364036BF">
      <w:r>
        <w:rPr>
          <w:b/>
        </w:rPr>
        <w:lastRenderedPageBreak/>
        <w:t xml:space="preserve">Administration of the Instrument:  </w:t>
      </w:r>
      <w:r>
        <w:t>Identify how the information will be collected.  More than one box may be checked.  Indicate whether there will be interviewers (e.g.</w:t>
      </w:r>
      <w:r w:rsidR="009868F1">
        <w:t>,</w:t>
      </w:r>
      <w:r>
        <w:t xml:space="preserve">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A0D5C" w14:textId="77777777" w:rsidR="000B09B6" w:rsidRDefault="000B09B6">
      <w:r>
        <w:separator/>
      </w:r>
    </w:p>
  </w:endnote>
  <w:endnote w:type="continuationSeparator" w:id="0">
    <w:p w14:paraId="61549389" w14:textId="77777777" w:rsidR="000B09B6" w:rsidRDefault="000B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4E7B9FBE"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DB37EB">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DE193" w14:textId="77777777" w:rsidR="000B09B6" w:rsidRDefault="000B09B6">
      <w:r>
        <w:separator/>
      </w:r>
    </w:p>
  </w:footnote>
  <w:footnote w:type="continuationSeparator" w:id="0">
    <w:p w14:paraId="65EFFB78" w14:textId="77777777" w:rsidR="000B09B6" w:rsidRDefault="000B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jY2MDIxNTU3NzVS0lEKTi0uzszPAymwqAUAFCUHFiwAAAA="/>
  </w:docVars>
  <w:rsids>
    <w:rsidRoot w:val="00D6383F"/>
    <w:rsid w:val="00023A57"/>
    <w:rsid w:val="00047A64"/>
    <w:rsid w:val="00067329"/>
    <w:rsid w:val="000827DB"/>
    <w:rsid w:val="000977E8"/>
    <w:rsid w:val="000B09B6"/>
    <w:rsid w:val="000B2838"/>
    <w:rsid w:val="000D44CA"/>
    <w:rsid w:val="000D6FAE"/>
    <w:rsid w:val="000E200B"/>
    <w:rsid w:val="000F68BE"/>
    <w:rsid w:val="000F6D85"/>
    <w:rsid w:val="00145293"/>
    <w:rsid w:val="00146B20"/>
    <w:rsid w:val="001518D1"/>
    <w:rsid w:val="00170D16"/>
    <w:rsid w:val="00184D63"/>
    <w:rsid w:val="001927A4"/>
    <w:rsid w:val="00194AC6"/>
    <w:rsid w:val="001A23B0"/>
    <w:rsid w:val="001A25CC"/>
    <w:rsid w:val="001A64DE"/>
    <w:rsid w:val="001B0AAA"/>
    <w:rsid w:val="001C39F7"/>
    <w:rsid w:val="00215759"/>
    <w:rsid w:val="00237B48"/>
    <w:rsid w:val="0024521E"/>
    <w:rsid w:val="00263C3D"/>
    <w:rsid w:val="00265236"/>
    <w:rsid w:val="00274D0B"/>
    <w:rsid w:val="002821FF"/>
    <w:rsid w:val="00291893"/>
    <w:rsid w:val="002B3C95"/>
    <w:rsid w:val="002D0B92"/>
    <w:rsid w:val="002E52CD"/>
    <w:rsid w:val="003675DB"/>
    <w:rsid w:val="003859BC"/>
    <w:rsid w:val="00391BB4"/>
    <w:rsid w:val="003A42E9"/>
    <w:rsid w:val="003A4C87"/>
    <w:rsid w:val="003C4F49"/>
    <w:rsid w:val="003D298F"/>
    <w:rsid w:val="003D5BBE"/>
    <w:rsid w:val="003E05AC"/>
    <w:rsid w:val="003E3C61"/>
    <w:rsid w:val="003E567F"/>
    <w:rsid w:val="003F046A"/>
    <w:rsid w:val="003F1C5B"/>
    <w:rsid w:val="004005F1"/>
    <w:rsid w:val="0040417A"/>
    <w:rsid w:val="0041337D"/>
    <w:rsid w:val="00423857"/>
    <w:rsid w:val="00434E33"/>
    <w:rsid w:val="00441434"/>
    <w:rsid w:val="00450CC2"/>
    <w:rsid w:val="0045264C"/>
    <w:rsid w:val="004876EC"/>
    <w:rsid w:val="004A4E45"/>
    <w:rsid w:val="004A52CE"/>
    <w:rsid w:val="004D6E14"/>
    <w:rsid w:val="004E1C18"/>
    <w:rsid w:val="005009B0"/>
    <w:rsid w:val="00512CA7"/>
    <w:rsid w:val="00527FA8"/>
    <w:rsid w:val="00541F79"/>
    <w:rsid w:val="005A1006"/>
    <w:rsid w:val="005A1ED9"/>
    <w:rsid w:val="005C747F"/>
    <w:rsid w:val="005E714A"/>
    <w:rsid w:val="006140A0"/>
    <w:rsid w:val="00621E79"/>
    <w:rsid w:val="00632E24"/>
    <w:rsid w:val="00636621"/>
    <w:rsid w:val="00642B49"/>
    <w:rsid w:val="00660A3F"/>
    <w:rsid w:val="006832D9"/>
    <w:rsid w:val="0069403B"/>
    <w:rsid w:val="00694266"/>
    <w:rsid w:val="006C11EF"/>
    <w:rsid w:val="006D246B"/>
    <w:rsid w:val="006F3DDE"/>
    <w:rsid w:val="00704678"/>
    <w:rsid w:val="007240F0"/>
    <w:rsid w:val="00733043"/>
    <w:rsid w:val="007425E7"/>
    <w:rsid w:val="00760A41"/>
    <w:rsid w:val="00790B3E"/>
    <w:rsid w:val="007B05B4"/>
    <w:rsid w:val="00802607"/>
    <w:rsid w:val="008101A5"/>
    <w:rsid w:val="00822664"/>
    <w:rsid w:val="00843796"/>
    <w:rsid w:val="00891935"/>
    <w:rsid w:val="00891CE6"/>
    <w:rsid w:val="00895229"/>
    <w:rsid w:val="008D0195"/>
    <w:rsid w:val="008F0203"/>
    <w:rsid w:val="008F50D4"/>
    <w:rsid w:val="009239AA"/>
    <w:rsid w:val="00935927"/>
    <w:rsid w:val="00935ADA"/>
    <w:rsid w:val="00946B6C"/>
    <w:rsid w:val="00955A71"/>
    <w:rsid w:val="0096108F"/>
    <w:rsid w:val="00967546"/>
    <w:rsid w:val="009679D8"/>
    <w:rsid w:val="009868F1"/>
    <w:rsid w:val="009C13B9"/>
    <w:rsid w:val="009C473F"/>
    <w:rsid w:val="009D01A2"/>
    <w:rsid w:val="009F5923"/>
    <w:rsid w:val="00A403BB"/>
    <w:rsid w:val="00A674DF"/>
    <w:rsid w:val="00A83AA6"/>
    <w:rsid w:val="00AA3833"/>
    <w:rsid w:val="00AD3D72"/>
    <w:rsid w:val="00AE1809"/>
    <w:rsid w:val="00AF5DBF"/>
    <w:rsid w:val="00B027D5"/>
    <w:rsid w:val="00B12897"/>
    <w:rsid w:val="00B46F2C"/>
    <w:rsid w:val="00B50355"/>
    <w:rsid w:val="00B56F41"/>
    <w:rsid w:val="00B61536"/>
    <w:rsid w:val="00B76F71"/>
    <w:rsid w:val="00B80D76"/>
    <w:rsid w:val="00B876F2"/>
    <w:rsid w:val="00B90B0D"/>
    <w:rsid w:val="00BA2105"/>
    <w:rsid w:val="00BA7E06"/>
    <w:rsid w:val="00BB43B5"/>
    <w:rsid w:val="00BB6219"/>
    <w:rsid w:val="00BD290F"/>
    <w:rsid w:val="00BE3789"/>
    <w:rsid w:val="00C00215"/>
    <w:rsid w:val="00C008AA"/>
    <w:rsid w:val="00C0635E"/>
    <w:rsid w:val="00C14CC4"/>
    <w:rsid w:val="00C33C52"/>
    <w:rsid w:val="00C40D8B"/>
    <w:rsid w:val="00C809B5"/>
    <w:rsid w:val="00C8407A"/>
    <w:rsid w:val="00C8488C"/>
    <w:rsid w:val="00C86E91"/>
    <w:rsid w:val="00C939E9"/>
    <w:rsid w:val="00C9606B"/>
    <w:rsid w:val="00CA2650"/>
    <w:rsid w:val="00CB1078"/>
    <w:rsid w:val="00CC6FAF"/>
    <w:rsid w:val="00CE7721"/>
    <w:rsid w:val="00CF0842"/>
    <w:rsid w:val="00D24698"/>
    <w:rsid w:val="00D6383F"/>
    <w:rsid w:val="00D71221"/>
    <w:rsid w:val="00DA5DA4"/>
    <w:rsid w:val="00DB37EB"/>
    <w:rsid w:val="00DB59D0"/>
    <w:rsid w:val="00DC33D3"/>
    <w:rsid w:val="00DE65DD"/>
    <w:rsid w:val="00DF1134"/>
    <w:rsid w:val="00E02391"/>
    <w:rsid w:val="00E252F3"/>
    <w:rsid w:val="00E26329"/>
    <w:rsid w:val="00E40B50"/>
    <w:rsid w:val="00E412F1"/>
    <w:rsid w:val="00E50293"/>
    <w:rsid w:val="00E57B71"/>
    <w:rsid w:val="00E65FFC"/>
    <w:rsid w:val="00E80951"/>
    <w:rsid w:val="00E81B37"/>
    <w:rsid w:val="00E854FE"/>
    <w:rsid w:val="00E86CC6"/>
    <w:rsid w:val="00EB56B3"/>
    <w:rsid w:val="00EB6E63"/>
    <w:rsid w:val="00EC408C"/>
    <w:rsid w:val="00ED6492"/>
    <w:rsid w:val="00EF2095"/>
    <w:rsid w:val="00EF484B"/>
    <w:rsid w:val="00F005FA"/>
    <w:rsid w:val="00F06866"/>
    <w:rsid w:val="00F121F6"/>
    <w:rsid w:val="00F132BA"/>
    <w:rsid w:val="00F15956"/>
    <w:rsid w:val="00F24CFC"/>
    <w:rsid w:val="00F3170F"/>
    <w:rsid w:val="00F3472B"/>
    <w:rsid w:val="00F4017B"/>
    <w:rsid w:val="00F54F1F"/>
    <w:rsid w:val="00F60CA9"/>
    <w:rsid w:val="00F627AB"/>
    <w:rsid w:val="00F73F18"/>
    <w:rsid w:val="00F906AB"/>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B8BB1-7E0E-4B95-AF2F-CA443CF4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3</cp:revision>
  <cp:lastPrinted>2020-03-11T12:21:00Z</cp:lastPrinted>
  <dcterms:created xsi:type="dcterms:W3CDTF">2020-03-26T20:01:00Z</dcterms:created>
  <dcterms:modified xsi:type="dcterms:W3CDTF">2020-05-21T12:57:00Z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