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B46F2C" w14:paraId="4A225714" w14:textId="23467A8A">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494F91">
        <w:rPr>
          <w:sz w:val="28"/>
        </w:rPr>
        <w:t>1050</w:t>
      </w:r>
      <w:r>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6E4F1D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42F6EE79">
            <w:pPr>
              <w:rPr>
                <w:rFonts w:eastAsiaTheme="minorHAnsi"/>
                <w:sz w:val="22"/>
                <w:szCs w:val="22"/>
              </w:rPr>
            </w:pPr>
            <w:r>
              <w:rPr>
                <w:rFonts w:eastAsiaTheme="minorHAnsi"/>
                <w:sz w:val="22"/>
                <w:szCs w:val="22"/>
              </w:rPr>
              <w:t xml:space="preserve">[ </w:t>
            </w:r>
            <w:r w:rsidR="00382B0E">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58A8D6E8">
            <w:pPr>
              <w:widowControl w:val="0"/>
              <w:rPr>
                <w:sz w:val="22"/>
                <w:szCs w:val="22"/>
              </w:rPr>
            </w:pPr>
            <w:r>
              <w:rPr>
                <w:rFonts w:eastAsiaTheme="minorHAnsi"/>
                <w:sz w:val="22"/>
                <w:szCs w:val="22"/>
              </w:rPr>
              <w:t xml:space="preserve">[  ] Yes     [ </w:t>
            </w:r>
            <w:r w:rsidR="00382B0E">
              <w:rPr>
                <w:rFonts w:eastAsiaTheme="minorHAnsi"/>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16276C54">
            <w:pPr>
              <w:rPr>
                <w:rFonts w:eastAsiaTheme="minorHAnsi"/>
                <w:sz w:val="22"/>
                <w:szCs w:val="22"/>
              </w:rPr>
            </w:pPr>
            <w:r>
              <w:rPr>
                <w:rFonts w:eastAsiaTheme="minorHAnsi"/>
                <w:sz w:val="22"/>
                <w:szCs w:val="22"/>
              </w:rPr>
              <w:t xml:space="preserve">[ </w:t>
            </w:r>
            <w:r w:rsidR="00382B0E">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6049718C">
            <w:pPr>
              <w:widowControl w:val="0"/>
              <w:rPr>
                <w:sz w:val="22"/>
                <w:szCs w:val="22"/>
              </w:rPr>
            </w:pPr>
            <w:r>
              <w:rPr>
                <w:rFonts w:eastAsiaTheme="minorHAnsi"/>
                <w:sz w:val="22"/>
                <w:szCs w:val="22"/>
              </w:rPr>
              <w:t xml:space="preserve">[  ] Yes     [ </w:t>
            </w:r>
            <w:r w:rsidR="00382B0E">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01739A3A">
            <w:pPr>
              <w:rPr>
                <w:rFonts w:eastAsiaTheme="minorHAnsi"/>
                <w:sz w:val="22"/>
                <w:szCs w:val="22"/>
              </w:rPr>
            </w:pPr>
            <w:r>
              <w:rPr>
                <w:rFonts w:eastAsiaTheme="minorHAnsi"/>
                <w:sz w:val="22"/>
                <w:szCs w:val="22"/>
              </w:rPr>
              <w:t xml:space="preserve">[ </w:t>
            </w:r>
            <w:r w:rsidR="00382B0E">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7C95FDF1">
            <w:pPr>
              <w:widowControl w:val="0"/>
              <w:rPr>
                <w:sz w:val="22"/>
                <w:szCs w:val="22"/>
              </w:rPr>
            </w:pPr>
            <w:r>
              <w:rPr>
                <w:rFonts w:eastAsiaTheme="minorHAnsi"/>
                <w:sz w:val="22"/>
                <w:szCs w:val="22"/>
              </w:rPr>
              <w:t xml:space="preserve">[  ] Yes     [ </w:t>
            </w:r>
            <w:r w:rsidR="00382B0E">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4AF05007">
            <w:pPr>
              <w:rPr>
                <w:rFonts w:eastAsiaTheme="minorHAnsi"/>
                <w:sz w:val="22"/>
                <w:szCs w:val="22"/>
              </w:rPr>
            </w:pPr>
            <w:r>
              <w:rPr>
                <w:rFonts w:eastAsiaTheme="minorHAnsi"/>
                <w:sz w:val="22"/>
                <w:szCs w:val="22"/>
              </w:rPr>
              <w:t xml:space="preserve">[ </w:t>
            </w:r>
            <w:r w:rsidR="00382B0E">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213C10F2">
            <w:pPr>
              <w:widowControl w:val="0"/>
              <w:rPr>
                <w:sz w:val="22"/>
                <w:szCs w:val="22"/>
              </w:rPr>
            </w:pPr>
            <w:r>
              <w:rPr>
                <w:rFonts w:eastAsiaTheme="minorHAnsi"/>
                <w:sz w:val="22"/>
                <w:szCs w:val="22"/>
              </w:rPr>
              <w:t xml:space="preserve">[  ] Yes     [ </w:t>
            </w:r>
            <w:r w:rsidR="00382B0E">
              <w:rPr>
                <w:rFonts w:eastAsiaTheme="minorHAnsi"/>
                <w:sz w:val="22"/>
                <w:szCs w:val="22"/>
              </w:rPr>
              <w:t>X</w:t>
            </w:r>
            <w:r>
              <w:rPr>
                <w:rFonts w:eastAsiaTheme="minorHAnsi"/>
                <w:sz w:val="22"/>
                <w:szCs w:val="22"/>
              </w:rPr>
              <w:t xml:space="preserve">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003AF5CA">
            <w:pPr>
              <w:rPr>
                <w:rFonts w:eastAsiaTheme="minorHAnsi"/>
                <w:sz w:val="22"/>
                <w:szCs w:val="22"/>
              </w:rPr>
            </w:pPr>
            <w:r>
              <w:rPr>
                <w:rFonts w:eastAsiaTheme="minorHAnsi"/>
                <w:sz w:val="22"/>
                <w:szCs w:val="22"/>
              </w:rPr>
              <w:t xml:space="preserve">[ </w:t>
            </w:r>
            <w:r w:rsidR="00382B0E">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1862DA46">
            <w:pPr>
              <w:widowControl w:val="0"/>
              <w:rPr>
                <w:sz w:val="22"/>
                <w:szCs w:val="22"/>
              </w:rPr>
            </w:pPr>
            <w:r>
              <w:rPr>
                <w:rFonts w:eastAsiaTheme="minorHAnsi"/>
                <w:sz w:val="22"/>
                <w:szCs w:val="22"/>
              </w:rPr>
              <w:t xml:space="preserve">[  ] Yes     [ </w:t>
            </w:r>
            <w:r w:rsidR="00382B0E">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70F3EBC5">
            <w:pPr>
              <w:rPr>
                <w:sz w:val="22"/>
                <w:szCs w:val="22"/>
              </w:rPr>
            </w:pPr>
            <w:r w:rsidRPr="003C4F49">
              <w:rPr>
                <w:rFonts w:eastAsiaTheme="minorHAnsi"/>
                <w:sz w:val="22"/>
                <w:szCs w:val="22"/>
              </w:rPr>
              <w:t xml:space="preserve">[ </w:t>
            </w:r>
            <w:r w:rsidR="00382B0E">
              <w:rPr>
                <w:rFonts w:eastAsiaTheme="minorHAnsi"/>
                <w:sz w:val="22"/>
                <w:szCs w:val="22"/>
              </w:rPr>
              <w:t>X</w:t>
            </w:r>
            <w:r w:rsidRPr="003C4F49">
              <w:rPr>
                <w:rFonts w:eastAsiaTheme="minorHAnsi"/>
                <w:sz w:val="22"/>
                <w:szCs w:val="22"/>
              </w:rPr>
              <w:t xml:space="preserve"> ]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rsidRDefault="00145293" w14:paraId="71B5FAB9" w14:textId="77777777">
      <w:pPr>
        <w:widowControl w:val="0"/>
        <w:spacing w:before="120"/>
        <w:ind w:left="720"/>
        <w:rPr>
          <w:sz w:val="22"/>
          <w:szCs w:val="22"/>
        </w:rPr>
      </w:pPr>
    </w:p>
    <w:p w:rsidR="00B46F2C" w:rsidRDefault="003A4C87" w14:paraId="29476A1F" w14:textId="185E893C">
      <w:pPr>
        <w:rPr>
          <w:b/>
          <w:bCs/>
          <w:sz w:val="28"/>
          <w:szCs w:val="28"/>
        </w:rPr>
      </w:pPr>
      <w:r>
        <w:rPr>
          <w:noProof/>
        </w:rPr>
        <w:lastRenderedPageBreak/>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82E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0B6A27">
        <w:t xml:space="preserve"> </w:t>
      </w:r>
      <w:r w:rsidRPr="002C163C" w:rsidR="002C163C">
        <w:rPr>
          <w:b/>
          <w:bCs/>
          <w:sz w:val="28"/>
          <w:szCs w:val="28"/>
        </w:rPr>
        <w:t>Customer Feedback on CAMP Teen-SPARC Tool Use and Usability</w:t>
      </w:r>
    </w:p>
    <w:p w:rsidR="002C163C" w:rsidRDefault="002C163C" w14:paraId="7DC389D3" w14:textId="77777777"/>
    <w:p w:rsidR="00B46F2C" w:rsidRDefault="00B46F2C" w14:paraId="33BEEBF9" w14:textId="1B2ADEE1">
      <w:pPr>
        <w:rPr>
          <w:bCs/>
        </w:rPr>
      </w:pPr>
      <w:r>
        <w:rPr>
          <w:b/>
        </w:rPr>
        <w:t>PURPOSE</w:t>
      </w:r>
      <w:r w:rsidRPr="009239AA">
        <w:rPr>
          <w:b/>
        </w:rPr>
        <w:t>:</w:t>
      </w:r>
      <w:r w:rsidR="00382B0E">
        <w:rPr>
          <w:b/>
        </w:rPr>
        <w:t xml:space="preserve"> </w:t>
      </w:r>
      <w:r w:rsidR="00382B0E">
        <w:rPr>
          <w:bCs/>
        </w:rPr>
        <w:t>The teen-SPARC tool was designed by an external recipient (</w:t>
      </w:r>
      <w:r w:rsidR="00C46B98">
        <w:rPr>
          <w:bCs/>
        </w:rPr>
        <w:t>SUNY/Albany, University of Washington,</w:t>
      </w:r>
      <w:r w:rsidR="00382B0E">
        <w:rPr>
          <w:bCs/>
        </w:rPr>
        <w:t xml:space="preserve"> and collaborators) of an NCHHSTP cooperative agreement. The tool is intended to help public health jurisdictions and other entities explore the potential impact of behavior change on reducing sexually transmitted infections among sexually active high-school-attending adolescent population. The tool integrates data from the Youth Risk Behavior Surveillance System (YRBS) and can also be useful to jurisdictions who do not have local YRBS data, and who either have alternative data sources or who wish to explore what-if scenarios. </w:t>
      </w:r>
    </w:p>
    <w:p w:rsidR="00382B0E" w:rsidRDefault="00382B0E" w14:paraId="402F782D" w14:textId="782230B5">
      <w:pPr>
        <w:rPr>
          <w:bCs/>
        </w:rPr>
      </w:pPr>
    </w:p>
    <w:p w:rsidR="00B46F2C" w:rsidP="0004006B" w:rsidRDefault="00382B0E" w14:paraId="11ADCE3A" w14:textId="356D2B3F">
      <w:pPr>
        <w:rPr>
          <w:b/>
        </w:rPr>
      </w:pPr>
      <w:r>
        <w:rPr>
          <w:bCs/>
        </w:rPr>
        <w:t>The tool has been available for about one year and in order to guide improvements</w:t>
      </w:r>
      <w:r w:rsidR="00073087">
        <w:rPr>
          <w:bCs/>
        </w:rPr>
        <w:t xml:space="preserve"> to better serve public health practitioners</w:t>
      </w:r>
      <w:r>
        <w:rPr>
          <w:bCs/>
        </w:rPr>
        <w:t xml:space="preserve"> the recipient would like to conduct a survey to gauge usability and inform needed areas for improvement or expansion. The voluntary survey, which would collect no personally identifiable information, is designed to learn more about the community of active and potential users for teen-SPARC</w:t>
      </w:r>
      <w:r w:rsidR="0004006B">
        <w:rPr>
          <w:bCs/>
        </w:rPr>
        <w:t xml:space="preserve"> but would not be generalizable to people from whom data were not collected. The recipients would like to better understand how people have used the tool so far, how they might envision using it in the future, what barriers they may have faced, and what additional features they would like to see added. We estimate that it should take 7-10 minutes to complete. </w:t>
      </w:r>
      <w:r w:rsidR="00791642">
        <w:rPr>
          <w:bCs/>
        </w:rPr>
        <w:t xml:space="preserve">The recipient will lead all activities related to the design, implementation and analysis of the survey. </w:t>
      </w:r>
    </w:p>
    <w:p w:rsidR="00B46F2C" w:rsidP="00434E33" w:rsidRDefault="00B46F2C" w14:paraId="53CD42CA" w14:textId="77777777">
      <w:pPr>
        <w:pStyle w:val="Header"/>
        <w:tabs>
          <w:tab w:val="clear" w:pos="4320"/>
          <w:tab w:val="clear" w:pos="8640"/>
        </w:tabs>
        <w:rPr>
          <w:b/>
        </w:rPr>
      </w:pPr>
    </w:p>
    <w:p w:rsidR="00B46F2C" w:rsidP="0004006B" w:rsidRDefault="00B46F2C" w14:paraId="54A2E4B0" w14:textId="0967BD62">
      <w:pPr>
        <w:pStyle w:val="Header"/>
        <w:tabs>
          <w:tab w:val="clear" w:pos="4320"/>
          <w:tab w:val="clear" w:pos="8640"/>
        </w:tabs>
        <w:rPr>
          <w:b/>
        </w:rPr>
      </w:pPr>
      <w:r w:rsidRPr="00434E33">
        <w:rPr>
          <w:b/>
        </w:rPr>
        <w:t>DESCRIPTION OF RESPONDENTS</w:t>
      </w:r>
      <w:r>
        <w:t xml:space="preserve">: </w:t>
      </w:r>
      <w:r w:rsidR="0004006B">
        <w:t>The respondents would be persons who attended a webinar to introduce the release of the tool and/or persons who access teen-SPARC.</w:t>
      </w:r>
    </w:p>
    <w:p w:rsidR="00B46F2C" w:rsidRDefault="00B46F2C" w14:paraId="082C1CD7" w14:textId="77777777">
      <w:pPr>
        <w:rPr>
          <w:b/>
        </w:rPr>
      </w:pPr>
    </w:p>
    <w:p w:rsidRPr="00F06866" w:rsidR="00B46F2C" w:rsidRDefault="00B46F2C" w14:paraId="1F5B22F9" w14:textId="77777777">
      <w:pPr>
        <w:rPr>
          <w:b/>
        </w:rPr>
      </w:pPr>
      <w:r>
        <w:rPr>
          <w:b/>
        </w:rPr>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96108F" w:rsidRDefault="00B46F2C" w14:paraId="04CF626F" w14:textId="07BDA540">
      <w:pPr>
        <w:pStyle w:val="BodyTextIndent"/>
        <w:tabs>
          <w:tab w:val="left" w:pos="360"/>
        </w:tabs>
        <w:ind w:left="0"/>
        <w:rPr>
          <w:bCs/>
          <w:sz w:val="24"/>
        </w:rPr>
      </w:pPr>
      <w:r w:rsidRPr="00F06866">
        <w:rPr>
          <w:bCs/>
          <w:sz w:val="24"/>
        </w:rPr>
        <w:t>[</w:t>
      </w:r>
      <w:r w:rsidR="00382B0E">
        <w:rPr>
          <w:bCs/>
          <w:sz w:val="24"/>
        </w:rPr>
        <w:t>X</w:t>
      </w:r>
      <w:r w:rsidRPr="00F06866">
        <w:rPr>
          <w:bCs/>
          <w:sz w:val="24"/>
        </w:rPr>
        <w:t xml:space="preserve"> ] Usability</w:t>
      </w:r>
      <w:r>
        <w:rPr>
          <w:bCs/>
          <w:sz w:val="24"/>
        </w:rPr>
        <w:t xml:space="preserve"> Testing (e.g., Website or Software</w:t>
      </w:r>
      <w:r>
        <w:rPr>
          <w:bCs/>
          <w:sz w:val="24"/>
        </w:rPr>
        <w:tab/>
        <w:t>[ ] Small Discussion Group</w:t>
      </w:r>
    </w:p>
    <w:p w:rsidRPr="00F06866" w:rsidR="00B46F2C" w:rsidP="0096108F" w:rsidRDefault="00B46F2C"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0B6A27" w14:paraId="2A49D889" w14:textId="6E6DFF4D">
      <w:r>
        <w:t xml:space="preserve">Name: </w:t>
      </w:r>
      <w:r w:rsidRPr="000B6A27">
        <w:rPr>
          <w:u w:val="single"/>
        </w:rPr>
        <w:t>Michelle</w:t>
      </w:r>
      <w:r w:rsidRPr="000B6A27" w:rsidR="0004006B">
        <w:rPr>
          <w:u w:val="single"/>
        </w:rPr>
        <w:t xml:space="preserve"> Van Handel</w:t>
      </w:r>
      <w:r w:rsidR="00B46F2C">
        <w:t>______</w:t>
      </w:r>
      <w:r w:rsidR="00EC7EAA">
        <w:tab/>
        <w:t>Email ID</w:t>
      </w:r>
      <w:r w:rsidR="00B46F2C">
        <w:t>_</w:t>
      </w:r>
      <w:r w:rsidRPr="000B6A27" w:rsidR="00B46F2C">
        <w:rPr>
          <w:u w:val="single"/>
        </w:rPr>
        <w:t>_</w:t>
      </w:r>
      <w:r w:rsidRPr="000B6A27" w:rsidR="0004006B">
        <w:rPr>
          <w:u w:val="single"/>
        </w:rPr>
        <w:t>IOQ4</w:t>
      </w:r>
      <w:r w:rsidRPr="000B6A27">
        <w:rPr>
          <w:u w:val="single"/>
        </w:rPr>
        <w:t>@CDC.gov</w:t>
      </w:r>
      <w:r w:rsidR="00B46F2C">
        <w:t>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23E3DDEE">
      <w:pPr>
        <w:pStyle w:val="ListParagraph"/>
        <w:numPr>
          <w:ilvl w:val="0"/>
          <w:numId w:val="18"/>
        </w:numPr>
      </w:pPr>
      <w:r>
        <w:t>Is personally identifiable information (PII) collected?  [  ] Yes  [</w:t>
      </w:r>
      <w:r w:rsidR="0004006B">
        <w:t xml:space="preserve"> X</w:t>
      </w:r>
      <w:r>
        <w:t xml:space="preserve"> ]  No </w:t>
      </w:r>
    </w:p>
    <w:p w:rsidR="00B46F2C" w:rsidP="00C86E91" w:rsidRDefault="00B46F2C" w14:paraId="059C2C9E" w14:textId="77777777">
      <w:pPr>
        <w:pStyle w:val="ListParagraph"/>
        <w:numPr>
          <w:ilvl w:val="0"/>
          <w:numId w:val="18"/>
        </w:numPr>
      </w:pPr>
      <w:r>
        <w:lastRenderedPageBreak/>
        <w:t xml:space="preserve">If Yes, is the information that will be collected included in records that are subject to the Privacy Act of 1974?   [  ] Yes [  ] No   </w:t>
      </w:r>
    </w:p>
    <w:p w:rsidR="00B46F2C" w:rsidP="00C86E91" w:rsidRDefault="00B46F2C" w14:paraId="53684D4A" w14:textId="77777777">
      <w:pPr>
        <w:pStyle w:val="ListParagraph"/>
        <w:numPr>
          <w:ilvl w:val="0"/>
          <w:numId w:val="18"/>
        </w:numPr>
      </w:pPr>
      <w:r>
        <w:t>If Applicable, has a System or Records Notice been published?  [  ] Yes  [  ] No</w:t>
      </w:r>
    </w:p>
    <w:p w:rsidR="00EF484B" w:rsidP="00C86E91" w:rsidRDefault="00EF484B" w14:paraId="27C1C53F"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77C5B89E">
      <w:r>
        <w:t xml:space="preserve">Is an incentive (e.g., money or reimbursement of expenses, token of appreciation) provided to participants?  [  ] Yes [ </w:t>
      </w:r>
      <w:r w:rsidR="0004006B">
        <w:t>X</w:t>
      </w:r>
      <w:r>
        <w:t xml:space="preserve"> ] No</w:t>
      </w:r>
    </w:p>
    <w:p w:rsidR="00EF484B" w:rsidP="00C86E91" w:rsidRDefault="00EF484B" w14:paraId="5B421EF2" w14:textId="77777777">
      <w:pPr>
        <w:rPr>
          <w:b/>
        </w:rPr>
      </w:pPr>
    </w:p>
    <w:p w:rsidR="00B46F2C" w:rsidP="00EF484B" w:rsidRDefault="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rsidRDefault="00B46F2C" w14:paraId="5E64E1CC" w14:textId="77777777">
      <w:pPr>
        <w:rPr>
          <w:b/>
        </w:rPr>
      </w:pPr>
    </w:p>
    <w:p w:rsidR="00B46F2C" w:rsidRDefault="00B46F2C" w14:paraId="5F3744D2" w14:textId="77777777">
      <w:pPr>
        <w:rPr>
          <w:b/>
        </w:rPr>
      </w:pPr>
    </w:p>
    <w:p w:rsidR="00B46F2C" w:rsidRDefault="00B46F2C" w14:paraId="665813D7" w14:textId="77777777">
      <w:pPr>
        <w:rPr>
          <w:b/>
        </w:rPr>
      </w:pPr>
    </w:p>
    <w:p w:rsidR="00B46F2C" w:rsidRDefault="00B46F2C" w14:paraId="5BFDF9FE" w14:textId="77777777">
      <w:pPr>
        <w:rPr>
          <w:b/>
        </w:rPr>
      </w:pPr>
    </w:p>
    <w:p w:rsidR="00B46F2C" w:rsidP="00C86E91" w:rsidRDefault="00B46F2C" w14:paraId="396C6BC7" w14:textId="77777777">
      <w:pPr>
        <w:rPr>
          <w:i/>
        </w:rPr>
      </w:pPr>
      <w:r>
        <w:rPr>
          <w:b/>
        </w:rPr>
        <w:t>BURDEN HOURS</w:t>
      </w:r>
      <w:r>
        <w:t xml:space="preserve"> </w:t>
      </w:r>
    </w:p>
    <w:p w:rsidRPr="006832D9" w:rsidR="00B46F2C" w:rsidP="00F3170F" w:rsidRDefault="00B46F2C" w14:paraId="0F6F775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55"/>
        <w:gridCol w:w="2070"/>
        <w:gridCol w:w="1620"/>
        <w:gridCol w:w="1116"/>
      </w:tblGrid>
      <w:tr w:rsidR="00B46F2C" w:rsidTr="0004006B" w14:paraId="1B73BC2F" w14:textId="77777777">
        <w:trPr>
          <w:trHeight w:val="274"/>
        </w:trPr>
        <w:tc>
          <w:tcPr>
            <w:tcW w:w="4855" w:type="dxa"/>
          </w:tcPr>
          <w:p w:rsidRPr="00512CA7" w:rsidR="00B46F2C" w:rsidP="00C8488C" w:rsidRDefault="00B46F2C" w14:paraId="42428B2A" w14:textId="77777777">
            <w:pPr>
              <w:rPr>
                <w:b/>
              </w:rPr>
            </w:pPr>
            <w:r w:rsidRPr="00512CA7">
              <w:rPr>
                <w:b/>
              </w:rPr>
              <w:t xml:space="preserve">Category of Respondent </w:t>
            </w:r>
          </w:p>
        </w:tc>
        <w:tc>
          <w:tcPr>
            <w:tcW w:w="2070" w:type="dxa"/>
          </w:tcPr>
          <w:p w:rsidRPr="00512CA7" w:rsidR="00B46F2C" w:rsidP="00843796" w:rsidRDefault="00B46F2C" w14:paraId="0DE1B170" w14:textId="77777777">
            <w:pPr>
              <w:rPr>
                <w:b/>
              </w:rPr>
            </w:pPr>
            <w:r w:rsidRPr="00512CA7">
              <w:rPr>
                <w:b/>
              </w:rPr>
              <w:t>No. of Respondents</w:t>
            </w:r>
          </w:p>
        </w:tc>
        <w:tc>
          <w:tcPr>
            <w:tcW w:w="1620" w:type="dxa"/>
          </w:tcPr>
          <w:p w:rsidRPr="00512CA7" w:rsidR="00B46F2C" w:rsidP="00843796" w:rsidRDefault="00B46F2C" w14:paraId="2660CDBC" w14:textId="77777777">
            <w:pPr>
              <w:rPr>
                <w:b/>
              </w:rPr>
            </w:pPr>
            <w:r w:rsidRPr="00512CA7">
              <w:rPr>
                <w:b/>
              </w:rPr>
              <w:t>Participation Time</w:t>
            </w:r>
          </w:p>
        </w:tc>
        <w:tc>
          <w:tcPr>
            <w:tcW w:w="1116" w:type="dxa"/>
          </w:tcPr>
          <w:p w:rsidRPr="00512CA7" w:rsidR="00B46F2C" w:rsidP="00843796" w:rsidRDefault="00B46F2C" w14:paraId="6AC17A0A" w14:textId="77777777">
            <w:pPr>
              <w:rPr>
                <w:b/>
              </w:rPr>
            </w:pPr>
            <w:r w:rsidRPr="00512CA7">
              <w:rPr>
                <w:b/>
              </w:rPr>
              <w:t>Burden</w:t>
            </w:r>
          </w:p>
        </w:tc>
      </w:tr>
      <w:tr w:rsidR="00B46F2C" w:rsidTr="0004006B" w14:paraId="0FB0D82A" w14:textId="77777777">
        <w:trPr>
          <w:trHeight w:val="274"/>
        </w:trPr>
        <w:tc>
          <w:tcPr>
            <w:tcW w:w="4855" w:type="dxa"/>
          </w:tcPr>
          <w:p w:rsidR="00B46F2C" w:rsidP="00843796" w:rsidRDefault="0004006B" w14:paraId="420715CA" w14:textId="4B006092">
            <w:r>
              <w:t>Users of teen-SPARC and attendees at webinar release</w:t>
            </w:r>
          </w:p>
        </w:tc>
        <w:tc>
          <w:tcPr>
            <w:tcW w:w="2070" w:type="dxa"/>
          </w:tcPr>
          <w:p w:rsidR="00B46F2C" w:rsidP="00843796" w:rsidRDefault="0004006B" w14:paraId="24DBC17F" w14:textId="78400B48">
            <w:r>
              <w:t>Approximately 100</w:t>
            </w:r>
          </w:p>
        </w:tc>
        <w:tc>
          <w:tcPr>
            <w:tcW w:w="1620" w:type="dxa"/>
          </w:tcPr>
          <w:p w:rsidR="00B46F2C" w:rsidP="00843796" w:rsidRDefault="002C163C" w14:paraId="1D9AFA2F" w14:textId="01AE7C71">
            <w:r>
              <w:t>10</w:t>
            </w:r>
            <w:r w:rsidR="0004006B">
              <w:t xml:space="preserve"> min</w:t>
            </w:r>
          </w:p>
        </w:tc>
        <w:tc>
          <w:tcPr>
            <w:tcW w:w="1116" w:type="dxa"/>
          </w:tcPr>
          <w:p w:rsidR="00B46F2C" w:rsidP="00843796" w:rsidRDefault="00AE2022" w14:paraId="5D7C96C4" w14:textId="2F118B4E">
            <w:bookmarkStart w:name="_GoBack" w:id="0"/>
            <w:r>
              <w:t xml:space="preserve">17 </w:t>
            </w:r>
            <w:proofErr w:type="spellStart"/>
            <w:r>
              <w:t>hrs</w:t>
            </w:r>
            <w:bookmarkEnd w:id="0"/>
            <w:proofErr w:type="spellEnd"/>
          </w:p>
        </w:tc>
      </w:tr>
      <w:tr w:rsidR="00B46F2C" w:rsidTr="0004006B" w14:paraId="5F6B02D5" w14:textId="77777777">
        <w:trPr>
          <w:trHeight w:val="274"/>
        </w:trPr>
        <w:tc>
          <w:tcPr>
            <w:tcW w:w="4855" w:type="dxa"/>
          </w:tcPr>
          <w:p w:rsidR="00B46F2C" w:rsidP="00843796" w:rsidRDefault="00B46F2C" w14:paraId="0E617982" w14:textId="77777777"/>
        </w:tc>
        <w:tc>
          <w:tcPr>
            <w:tcW w:w="2070" w:type="dxa"/>
          </w:tcPr>
          <w:p w:rsidR="00B46F2C" w:rsidP="00843796" w:rsidRDefault="00B46F2C" w14:paraId="4C7F372F" w14:textId="77777777"/>
        </w:tc>
        <w:tc>
          <w:tcPr>
            <w:tcW w:w="1620" w:type="dxa"/>
          </w:tcPr>
          <w:p w:rsidR="00B46F2C" w:rsidP="00843796" w:rsidRDefault="00B46F2C" w14:paraId="4774E070" w14:textId="77777777"/>
        </w:tc>
        <w:tc>
          <w:tcPr>
            <w:tcW w:w="1116" w:type="dxa"/>
          </w:tcPr>
          <w:p w:rsidR="00B46F2C" w:rsidP="00843796" w:rsidRDefault="00B46F2C" w14:paraId="69D304C6" w14:textId="77777777"/>
        </w:tc>
      </w:tr>
      <w:tr w:rsidR="00B46F2C" w:rsidTr="0004006B" w14:paraId="440D7C10" w14:textId="77777777">
        <w:trPr>
          <w:trHeight w:val="289"/>
        </w:trPr>
        <w:tc>
          <w:tcPr>
            <w:tcW w:w="4855" w:type="dxa"/>
          </w:tcPr>
          <w:p w:rsidRPr="00512CA7" w:rsidR="00B46F2C" w:rsidP="00843796" w:rsidRDefault="00B46F2C" w14:paraId="27589C97" w14:textId="77777777">
            <w:pPr>
              <w:rPr>
                <w:b/>
              </w:rPr>
            </w:pPr>
            <w:r w:rsidRPr="00512CA7">
              <w:rPr>
                <w:b/>
              </w:rPr>
              <w:t>Totals</w:t>
            </w:r>
          </w:p>
        </w:tc>
        <w:tc>
          <w:tcPr>
            <w:tcW w:w="2070" w:type="dxa"/>
          </w:tcPr>
          <w:p w:rsidRPr="00512CA7" w:rsidR="00B46F2C" w:rsidP="00843796" w:rsidRDefault="00B46F2C" w14:paraId="0D7C2653" w14:textId="77777777">
            <w:pPr>
              <w:rPr>
                <w:b/>
              </w:rPr>
            </w:pPr>
          </w:p>
        </w:tc>
        <w:tc>
          <w:tcPr>
            <w:tcW w:w="1620" w:type="dxa"/>
          </w:tcPr>
          <w:p w:rsidR="00B46F2C" w:rsidP="00843796" w:rsidRDefault="00B46F2C" w14:paraId="6ED6ECFB" w14:textId="77777777"/>
        </w:tc>
        <w:tc>
          <w:tcPr>
            <w:tcW w:w="1116" w:type="dxa"/>
          </w:tcPr>
          <w:p w:rsidRPr="00512CA7" w:rsidR="00B46F2C" w:rsidP="00843796" w:rsidRDefault="00B46F2C" w14:paraId="464E472E" w14:textId="77777777">
            <w:pPr>
              <w:rPr>
                <w:b/>
              </w:rPr>
            </w:pPr>
          </w:p>
        </w:tc>
      </w:tr>
    </w:tbl>
    <w:p w:rsidR="00B46F2C" w:rsidP="00F3170F" w:rsidRDefault="00B46F2C" w14:paraId="545D4F2C" w14:textId="77777777"/>
    <w:p w:rsidR="00B46F2C" w:rsidP="00F3170F" w:rsidRDefault="00B46F2C" w14:paraId="1AB33144" w14:textId="77777777"/>
    <w:p w:rsidR="00B46F2C" w:rsidRDefault="00B46F2C" w14:paraId="6775AEDB" w14:textId="2208B039">
      <w:pPr>
        <w:rPr>
          <w:b/>
        </w:rPr>
      </w:pPr>
      <w:r>
        <w:rPr>
          <w:b/>
        </w:rPr>
        <w:t xml:space="preserve">FEDERAL COST:  </w:t>
      </w:r>
      <w:r>
        <w:t xml:space="preserve">The estimated annual cost to the Federal government is  </w:t>
      </w:r>
      <w:r w:rsidR="0004006B">
        <w:t>$0</w:t>
      </w:r>
      <w:r>
        <w:t>____________</w:t>
      </w:r>
    </w:p>
    <w:p w:rsidR="00B46F2C" w:rsidRDefault="00B46F2C" w14:paraId="28C1E765" w14:textId="77777777">
      <w:pPr>
        <w:rPr>
          <w:b/>
          <w:bCs/>
          <w:u w:val="single"/>
        </w:rPr>
      </w:pPr>
    </w:p>
    <w:p w:rsidR="00B46F2C" w:rsidP="00F06866" w:rsidRDefault="00B46F2C" w14:paraId="31D6CD62" w14:textId="77777777">
      <w:pPr>
        <w:rPr>
          <w:b/>
        </w:rPr>
      </w:pPr>
      <w:r>
        <w:rPr>
          <w:b/>
          <w:bCs/>
          <w:u w:val="single"/>
        </w:rPr>
        <w:t>If you are conducting a focus group, survey, or plan to employ statistical methods, please  provide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425D3740">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04006B">
        <w:t>X</w:t>
      </w:r>
      <w:r>
        <w:t xml:space="preserve"> ]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0D1D631A">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04006B" w:rsidP="001B0AAA" w:rsidRDefault="0004006B" w14:paraId="2F4AF53A" w14:textId="77777777"/>
    <w:p w:rsidR="00B46F2C" w:rsidP="00A403BB" w:rsidRDefault="0004006B" w14:paraId="1BB86051" w14:textId="6ADFCE15">
      <w:r>
        <w:t>Potential respondents will be identified from those that attended the kick-off webinar for the teen-SPARC tool and those who access the tool. The voluntary survey will be emailed to attendees and as a pop-up on the tool. On the tool, the survey can be opted-in or opt-ed ou</w:t>
      </w:r>
      <w:r w:rsidR="004B5CA4">
        <w:t xml:space="preserve">t, with no requirement to respond in order to access the tool. No sampling plan has been developed as the intent is not to be representative, but gather usability information from voluntary respondents. </w:t>
      </w:r>
      <w:r w:rsidR="00A76739">
        <w:t>Fu</w:t>
      </w:r>
      <w:r w:rsidR="00073087">
        <w:t>r</w:t>
      </w:r>
      <w:r w:rsidR="00A76739">
        <w:t>ther, no statistical methods are</w:t>
      </w:r>
      <w:r w:rsidR="000B30F3">
        <w:t xml:space="preserve"> applicable as the analysis will be descriptive / qualitative information. </w:t>
      </w:r>
    </w:p>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5C7B5237">
      <w:pPr>
        <w:ind w:left="720"/>
      </w:pPr>
      <w:r>
        <w:t xml:space="preserve">[ </w:t>
      </w:r>
      <w:r w:rsidR="004B5CA4">
        <w:t>X</w:t>
      </w:r>
      <w:r>
        <w:t xml:space="preserve"> ] Web-based or other forms of Social Media </w:t>
      </w:r>
    </w:p>
    <w:p w:rsidR="00B46F2C" w:rsidP="001B0AAA" w:rsidRDefault="00B46F2C" w14:paraId="6F829B01" w14:textId="77777777">
      <w:pPr>
        <w:ind w:left="720"/>
      </w:pPr>
      <w:r>
        <w:lastRenderedPageBreak/>
        <w:t>[  ] Telephone</w:t>
      </w:r>
      <w:r>
        <w:tab/>
      </w:r>
    </w:p>
    <w:p w:rsidR="00B46F2C" w:rsidP="001B0AAA" w:rsidRDefault="00B46F2C" w14:paraId="008163E3" w14:textId="7777777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77777777">
      <w:pPr>
        <w:ind w:left="720"/>
      </w:pPr>
      <w:r>
        <w:t>[  ] Other, Explain</w:t>
      </w:r>
    </w:p>
    <w:p w:rsidR="00B46F2C" w:rsidP="00F24CFC" w:rsidRDefault="00B46F2C" w14:paraId="12FD5503" w14:textId="020DF2D5">
      <w:pPr>
        <w:pStyle w:val="ListParagraph"/>
        <w:numPr>
          <w:ilvl w:val="0"/>
          <w:numId w:val="17"/>
        </w:numPr>
      </w:pPr>
      <w:r>
        <w:t xml:space="preserve">Will interviewers or facilitators be used?  [  ] Yes [ </w:t>
      </w:r>
      <w:r w:rsidR="004B5CA4">
        <w:t>X</w:t>
      </w:r>
      <w:r>
        <w:t xml:space="preserve"> ] No</w:t>
      </w:r>
    </w:p>
    <w:p w:rsidR="00B46F2C" w:rsidP="00F24CFC" w:rsidRDefault="00B46F2C" w14:paraId="1BB31248" w14:textId="77777777">
      <w:pPr>
        <w:pStyle w:val="ListParagraph"/>
        <w:ind w:left="360"/>
      </w:pPr>
      <w:r>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p w:rsidR="00752872" w:rsidRDefault="00752872" w14:paraId="56B9BA25" w14:textId="77777777">
      <w:pPr>
        <w:rPr>
          <w:b/>
          <w:bCs/>
          <w:sz w:val="28"/>
        </w:rPr>
      </w:pPr>
      <w:r>
        <w:rPr>
          <w:sz w:val="28"/>
        </w:rPr>
        <w:br w:type="page"/>
      </w:r>
    </w:p>
    <w:p w:rsidR="00B46F2C" w:rsidP="00F24CFC" w:rsidRDefault="00B46F2C" w14:paraId="1EB9766E" w14:textId="15A78583">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rsidRDefault="00B46F2C" w14:paraId="4C0120D8" w14:textId="77777777">
      <w:pPr>
        <w:rPr>
          <w:b/>
        </w:rPr>
      </w:pPr>
    </w:p>
    <w:p w:rsidR="00B46F2C" w:rsidP="00F24CFC" w:rsidRDefault="003A4C87" w14:paraId="6255D1DD" w14:textId="77777777">
      <w:pPr>
        <w:rPr>
          <w:b/>
        </w:rPr>
      </w:pPr>
      <w:r>
        <w:rPr>
          <w:noProof/>
        </w:rPr>
        <mc:AlternateContent>
          <mc:Choice Requires="wps">
            <w:drawing>
              <wp:anchor distT="0" distB="0" distL="114300" distR="114300" simplePos="0" relativeHeight="251659264" behindDoc="0" locked="0" layoutInCell="0" allowOverlap="1" wp14:editId="3FD746D6" wp14:anchorId="4FD880F0">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D0EF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B46F2C" w:rsidP="00F24CFC" w:rsidRDefault="00B46F2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Pr="008F50D4" w:rsidR="00B46F2C" w:rsidP="00F24CFC" w:rsidRDefault="00B46F2C" w14:paraId="4E37234E" w14:textId="77777777"/>
    <w:p w:rsidRPr="008F50D4" w:rsidR="00B46F2C" w:rsidP="00F24CFC" w:rsidRDefault="00B46F2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Pr="008F50D4" w:rsidR="00B46F2C" w:rsidP="00F24CFC" w:rsidRDefault="00B46F2C" w14:paraId="51C95676" w14:textId="77777777">
      <w:pPr>
        <w:pStyle w:val="Header"/>
        <w:tabs>
          <w:tab w:val="clear" w:pos="4320"/>
          <w:tab w:val="clear" w:pos="8640"/>
        </w:tabs>
        <w:rPr>
          <w:b/>
        </w:rPr>
      </w:pPr>
    </w:p>
    <w:p w:rsidRPr="008F50D4" w:rsidR="00B46F2C" w:rsidP="00F24CFC" w:rsidRDefault="00B46F2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Pr="008F50D4" w:rsidR="00B46F2C" w:rsidP="00F24CFC" w:rsidRDefault="00B46F2C" w14:paraId="0207CAAE" w14:textId="77777777">
      <w:pPr>
        <w:rPr>
          <w:b/>
        </w:rPr>
      </w:pPr>
    </w:p>
    <w:p w:rsidRPr="008F50D4" w:rsidR="00B46F2C" w:rsidP="00F24CFC" w:rsidRDefault="00B46F2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Pr="008F50D4" w:rsidR="00B46F2C" w:rsidP="00F24CFC" w:rsidRDefault="00B46F2C" w14:paraId="49CC437F" w14:textId="77777777">
      <w:pPr>
        <w:pStyle w:val="BodyTextIndent"/>
        <w:tabs>
          <w:tab w:val="left" w:pos="360"/>
        </w:tabs>
        <w:ind w:left="0"/>
        <w:rPr>
          <w:bCs/>
          <w:sz w:val="24"/>
          <w:szCs w:val="24"/>
        </w:rPr>
      </w:pPr>
    </w:p>
    <w:p w:rsidRPr="008F50D4" w:rsidR="00B46F2C" w:rsidP="00F24CFC" w:rsidRDefault="00B46F2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rsidRDefault="00B46F2C" w14:paraId="6E469201" w14:textId="77777777">
      <w:pPr>
        <w:rPr>
          <w:sz w:val="16"/>
          <w:szCs w:val="16"/>
        </w:rPr>
      </w:pPr>
    </w:p>
    <w:p w:rsidR="00B46F2C" w:rsidP="00F24CFC" w:rsidRDefault="00B46F2C" w14:paraId="245C2EEB" w14:textId="77777777">
      <w:r w:rsidRPr="00C86E91">
        <w:rPr>
          <w:b/>
        </w:rPr>
        <w:t>Personally Identifiable Information:</w:t>
      </w:r>
      <w:r>
        <w:rPr>
          <w:b/>
        </w:rPr>
        <w:t xml:space="preserve">  </w:t>
      </w:r>
      <w:r>
        <w:t xml:space="preserve">Provide answers to the questions.  </w:t>
      </w:r>
    </w:p>
    <w:p w:rsidRPr="008F50D4" w:rsidR="00B46F2C" w:rsidP="00F24CFC" w:rsidRDefault="00B46F2C" w14:paraId="7F80BF44" w14:textId="77777777"/>
    <w:p w:rsidRPr="008F50D4" w:rsidR="00B46F2C" w:rsidP="008F50D4" w:rsidRDefault="00B46F2C"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rsidRDefault="00B46F2C" w14:paraId="0B25FBDE" w14:textId="77777777">
      <w:pPr>
        <w:rPr>
          <w:b/>
        </w:rPr>
      </w:pPr>
    </w:p>
    <w:p w:rsidR="00B46F2C" w:rsidP="00F24CFC" w:rsidRDefault="00B46F2C" w14:paraId="4B3C1A29" w14:textId="77777777">
      <w:pPr>
        <w:rPr>
          <w:b/>
        </w:rPr>
      </w:pPr>
      <w:r>
        <w:rPr>
          <w:b/>
        </w:rPr>
        <w:t>BURDEN HOURS:</w:t>
      </w:r>
    </w:p>
    <w:p w:rsidR="00B46F2C" w:rsidP="00F24CFC" w:rsidRDefault="00B46F2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rsidRDefault="00B46F2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rsidRDefault="00B46F2C" w14:paraId="51B8CC25" w14:textId="77777777">
      <w:r>
        <w:rPr>
          <w:b/>
        </w:rPr>
        <w:t xml:space="preserve">Participation Time:  </w:t>
      </w:r>
      <w:r>
        <w:t>Provide an estimate of the amount of time required for a respondent to participate (e.g. fill out a survey or participate in a focus group)</w:t>
      </w:r>
    </w:p>
    <w:p w:rsidRPr="008F50D4" w:rsidR="00B46F2C" w:rsidP="00F24CFC" w:rsidRDefault="00B46F2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B46F2C" w:rsidP="00F24CFC" w:rsidRDefault="00B46F2C" w14:paraId="7B6C76D0" w14:textId="77777777">
      <w:pPr>
        <w:keepNext/>
        <w:keepLines/>
        <w:rPr>
          <w:b/>
        </w:rPr>
      </w:pPr>
    </w:p>
    <w:p w:rsidR="00B46F2C" w:rsidP="00F24CFC" w:rsidRDefault="00B46F2C" w14:paraId="0B16FFA7" w14:textId="77777777">
      <w:pPr>
        <w:rPr>
          <w:b/>
        </w:rPr>
      </w:pPr>
      <w:r>
        <w:rPr>
          <w:b/>
        </w:rPr>
        <w:t xml:space="preserve">FEDERAL COST: </w:t>
      </w:r>
      <w:r>
        <w:t>Provide an estimate of the annual cost to the Federal government.</w:t>
      </w:r>
    </w:p>
    <w:p w:rsidR="00B46F2C" w:rsidP="00F24CFC" w:rsidRDefault="00B46F2C" w14:paraId="0C5A6756" w14:textId="77777777">
      <w:pPr>
        <w:rPr>
          <w:b/>
          <w:bCs/>
          <w:u w:val="single"/>
        </w:rPr>
      </w:pPr>
    </w:p>
    <w:p w:rsidR="00B46F2C" w:rsidP="00F24CFC" w:rsidRDefault="00B46F2C" w14:paraId="033B1487" w14:textId="77777777">
      <w:pPr>
        <w:rPr>
          <w:b/>
        </w:rPr>
      </w:pPr>
      <w:r>
        <w:rPr>
          <w:b/>
          <w:bCs/>
          <w:u w:val="single"/>
        </w:rPr>
        <w:t>If you are conducting a focus group, survey, or plan to employ statistical methods, please  provide answers to the following questions:</w:t>
      </w:r>
    </w:p>
    <w:p w:rsidR="00B46F2C" w:rsidP="00F24CFC" w:rsidRDefault="00B46F2C" w14:paraId="0C8F410F" w14:textId="77777777">
      <w:pPr>
        <w:rPr>
          <w:b/>
        </w:rPr>
      </w:pPr>
    </w:p>
    <w:p w:rsidR="00B46F2C" w:rsidP="00F24CFC" w:rsidRDefault="00B46F2C" w14:paraId="6EBF90E6" w14:textId="77777777">
      <w:r>
        <w:rPr>
          <w:b/>
        </w:rPr>
        <w:lastRenderedPageBreak/>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rsidRDefault="00B46F2C" w14:paraId="4626BE15" w14:textId="77777777">
      <w:pPr>
        <w:rPr>
          <w:b/>
        </w:rPr>
      </w:pPr>
    </w:p>
    <w:p w:rsidRPr="003F1C5B" w:rsidR="00B46F2C" w:rsidP="00F24CFC" w:rsidRDefault="00B46F2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rsidRDefault="003A4C87" w14:paraId="404020DA" w14:textId="77777777">
      <w:pPr>
        <w:rPr>
          <w:b/>
        </w:rPr>
      </w:pPr>
    </w:p>
    <w:p w:rsidRPr="00F24CFC" w:rsidR="00B46F2C" w:rsidP="00F24CFC" w:rsidRDefault="00B46F2C" w14:paraId="77392A47" w14:textId="77777777">
      <w:pPr>
        <w:rPr>
          <w:b/>
        </w:rPr>
      </w:pPr>
      <w:r w:rsidRPr="00F24CFC">
        <w:rPr>
          <w:b/>
        </w:rPr>
        <w:t>Please make sure that all instruments, instructions, and scripts are submitted with the request.</w:t>
      </w:r>
    </w:p>
    <w:p w:rsidR="00B46F2C" w:rsidP="00F24CFC" w:rsidRDefault="00B46F2C" w14:paraId="6717D2E3" w14:textId="77777777">
      <w:pPr>
        <w:tabs>
          <w:tab w:val="left" w:pos="5670"/>
        </w:tabs>
        <w:suppressAutoHyphens/>
      </w:pPr>
    </w:p>
    <w:sectPr w:rsidR="00B46F2C"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411C5" w14:textId="77777777" w:rsidR="0029186F" w:rsidRDefault="0029186F">
      <w:r>
        <w:separator/>
      </w:r>
    </w:p>
  </w:endnote>
  <w:endnote w:type="continuationSeparator" w:id="0">
    <w:p w14:paraId="72FE1AFD" w14:textId="77777777" w:rsidR="0029186F" w:rsidRDefault="0029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597CEE0"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8D6C" w14:textId="77777777" w:rsidR="0029186F" w:rsidRDefault="0029186F">
      <w:r>
        <w:separator/>
      </w:r>
    </w:p>
  </w:footnote>
  <w:footnote w:type="continuationSeparator" w:id="0">
    <w:p w14:paraId="1E6B00C5" w14:textId="77777777" w:rsidR="0029186F" w:rsidRDefault="00291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006B"/>
    <w:rsid w:val="00047A64"/>
    <w:rsid w:val="00067329"/>
    <w:rsid w:val="00073087"/>
    <w:rsid w:val="000B2838"/>
    <w:rsid w:val="000B30F3"/>
    <w:rsid w:val="000B6A27"/>
    <w:rsid w:val="000D44CA"/>
    <w:rsid w:val="000E200B"/>
    <w:rsid w:val="000F68BE"/>
    <w:rsid w:val="000F6D85"/>
    <w:rsid w:val="00124AB9"/>
    <w:rsid w:val="00145293"/>
    <w:rsid w:val="00146B20"/>
    <w:rsid w:val="00170D16"/>
    <w:rsid w:val="001927A4"/>
    <w:rsid w:val="00194AC6"/>
    <w:rsid w:val="001A23B0"/>
    <w:rsid w:val="001A25CC"/>
    <w:rsid w:val="001B0AAA"/>
    <w:rsid w:val="001C39F7"/>
    <w:rsid w:val="00237B48"/>
    <w:rsid w:val="00237DDC"/>
    <w:rsid w:val="0024521E"/>
    <w:rsid w:val="00263C3D"/>
    <w:rsid w:val="00265236"/>
    <w:rsid w:val="00274D0B"/>
    <w:rsid w:val="002821FF"/>
    <w:rsid w:val="0029186F"/>
    <w:rsid w:val="00291893"/>
    <w:rsid w:val="002B3C95"/>
    <w:rsid w:val="002C163C"/>
    <w:rsid w:val="002D0B92"/>
    <w:rsid w:val="002E52CD"/>
    <w:rsid w:val="00336409"/>
    <w:rsid w:val="003675DB"/>
    <w:rsid w:val="00382B0E"/>
    <w:rsid w:val="003859BC"/>
    <w:rsid w:val="00391BB4"/>
    <w:rsid w:val="003A4C87"/>
    <w:rsid w:val="003C4F49"/>
    <w:rsid w:val="003D5BBE"/>
    <w:rsid w:val="003E05AC"/>
    <w:rsid w:val="003E3C61"/>
    <w:rsid w:val="003F1C5B"/>
    <w:rsid w:val="0040417A"/>
    <w:rsid w:val="0041337D"/>
    <w:rsid w:val="00434E33"/>
    <w:rsid w:val="00441434"/>
    <w:rsid w:val="00450CC2"/>
    <w:rsid w:val="0045264C"/>
    <w:rsid w:val="004876EC"/>
    <w:rsid w:val="00494F91"/>
    <w:rsid w:val="004A52CE"/>
    <w:rsid w:val="004B5CA4"/>
    <w:rsid w:val="004D6E14"/>
    <w:rsid w:val="004E1C18"/>
    <w:rsid w:val="005009B0"/>
    <w:rsid w:val="00512CA7"/>
    <w:rsid w:val="005A1006"/>
    <w:rsid w:val="005A1ED9"/>
    <w:rsid w:val="005E714A"/>
    <w:rsid w:val="006140A0"/>
    <w:rsid w:val="00621E79"/>
    <w:rsid w:val="00636621"/>
    <w:rsid w:val="00642B49"/>
    <w:rsid w:val="00660A3F"/>
    <w:rsid w:val="006832D9"/>
    <w:rsid w:val="0069403B"/>
    <w:rsid w:val="006C11EF"/>
    <w:rsid w:val="006F3DDE"/>
    <w:rsid w:val="00704678"/>
    <w:rsid w:val="007425E7"/>
    <w:rsid w:val="007435E8"/>
    <w:rsid w:val="00752872"/>
    <w:rsid w:val="007661EB"/>
    <w:rsid w:val="00791642"/>
    <w:rsid w:val="007B05B4"/>
    <w:rsid w:val="007D0C51"/>
    <w:rsid w:val="00802607"/>
    <w:rsid w:val="008101A5"/>
    <w:rsid w:val="00822664"/>
    <w:rsid w:val="00843796"/>
    <w:rsid w:val="0087276B"/>
    <w:rsid w:val="00895229"/>
    <w:rsid w:val="008F0203"/>
    <w:rsid w:val="008F50D4"/>
    <w:rsid w:val="009239AA"/>
    <w:rsid w:val="00935927"/>
    <w:rsid w:val="00935ADA"/>
    <w:rsid w:val="00946B6C"/>
    <w:rsid w:val="00955A71"/>
    <w:rsid w:val="0096108F"/>
    <w:rsid w:val="009C13B9"/>
    <w:rsid w:val="009D01A2"/>
    <w:rsid w:val="009F1AD9"/>
    <w:rsid w:val="009F5923"/>
    <w:rsid w:val="00A403BB"/>
    <w:rsid w:val="00A674DF"/>
    <w:rsid w:val="00A76739"/>
    <w:rsid w:val="00A83AA6"/>
    <w:rsid w:val="00AD3D72"/>
    <w:rsid w:val="00AE1809"/>
    <w:rsid w:val="00AE2022"/>
    <w:rsid w:val="00B46F2C"/>
    <w:rsid w:val="00B76F71"/>
    <w:rsid w:val="00B80D76"/>
    <w:rsid w:val="00B876F2"/>
    <w:rsid w:val="00BA2105"/>
    <w:rsid w:val="00BA7E06"/>
    <w:rsid w:val="00BB43B5"/>
    <w:rsid w:val="00BB6219"/>
    <w:rsid w:val="00BD290F"/>
    <w:rsid w:val="00C008AA"/>
    <w:rsid w:val="00C14CC4"/>
    <w:rsid w:val="00C272E5"/>
    <w:rsid w:val="00C33C52"/>
    <w:rsid w:val="00C40D8B"/>
    <w:rsid w:val="00C46B98"/>
    <w:rsid w:val="00C809B5"/>
    <w:rsid w:val="00C8407A"/>
    <w:rsid w:val="00C8488C"/>
    <w:rsid w:val="00C86E91"/>
    <w:rsid w:val="00C9606B"/>
    <w:rsid w:val="00CA2650"/>
    <w:rsid w:val="00CB1078"/>
    <w:rsid w:val="00CC6FAF"/>
    <w:rsid w:val="00CE7721"/>
    <w:rsid w:val="00D24698"/>
    <w:rsid w:val="00D6383F"/>
    <w:rsid w:val="00D71221"/>
    <w:rsid w:val="00DB59D0"/>
    <w:rsid w:val="00DC33D3"/>
    <w:rsid w:val="00E02391"/>
    <w:rsid w:val="00E252F3"/>
    <w:rsid w:val="00E26329"/>
    <w:rsid w:val="00E40B50"/>
    <w:rsid w:val="00E50293"/>
    <w:rsid w:val="00E5564B"/>
    <w:rsid w:val="00E57B71"/>
    <w:rsid w:val="00E65FFC"/>
    <w:rsid w:val="00E80951"/>
    <w:rsid w:val="00E854FE"/>
    <w:rsid w:val="00E86CC6"/>
    <w:rsid w:val="00EB56B3"/>
    <w:rsid w:val="00EC408C"/>
    <w:rsid w:val="00EC7EAA"/>
    <w:rsid w:val="00ED6492"/>
    <w:rsid w:val="00EF2095"/>
    <w:rsid w:val="00EF484B"/>
    <w:rsid w:val="00F06866"/>
    <w:rsid w:val="00F121F6"/>
    <w:rsid w:val="00F132BA"/>
    <w:rsid w:val="00F15956"/>
    <w:rsid w:val="00F231A2"/>
    <w:rsid w:val="00F24CFC"/>
    <w:rsid w:val="00F3170F"/>
    <w:rsid w:val="00F3472B"/>
    <w:rsid w:val="00F4017B"/>
    <w:rsid w:val="00F60CA9"/>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ED695F0"/>
  <w15:docId w15:val="{DDF4E334-88F6-4416-A1C3-339CA808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6516b14d6dc0d0e5ed532647f039a6a8">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21e98b6d1a13eea903c9b382d7e702e4"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A2766-152A-4269-8F36-D79D263CCF60}">
  <ds:schemaRefs>
    <ds:schemaRef ds:uri="http://purl.org/dc/terms/"/>
    <ds:schemaRef ds:uri="http://purl.org/dc/elements/1.1/"/>
    <ds:schemaRef ds:uri="http://www.w3.org/XML/1998/namespace"/>
    <ds:schemaRef ds:uri="http://schemas.microsoft.com/office/infopath/2007/PartnerControls"/>
    <ds:schemaRef ds:uri="http://schemas.microsoft.com/sharepoint/v3"/>
    <ds:schemaRef ds:uri="86765d95-7958-4d60-b35d-769de0760221"/>
    <ds:schemaRef ds:uri="dde2d2aa-043b-4580-afc4-8c4886710735"/>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38CE7F9-7BCE-46CE-91AB-7458F1F0E058}">
  <ds:schemaRefs>
    <ds:schemaRef ds:uri="http://schemas.microsoft.com/sharepoint/v3/contenttype/forms"/>
  </ds:schemaRefs>
</ds:datastoreItem>
</file>

<file path=customXml/itemProps3.xml><?xml version="1.0" encoding="utf-8"?>
<ds:datastoreItem xmlns:ds="http://schemas.openxmlformats.org/officeDocument/2006/customXml" ds:itemID="{51BE3233-9CAC-4A26-8EBD-968965412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8D08B-2023-4C69-9F5C-5B242026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1765</Words>
  <Characters>9447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Bonds, Constance (CDC/DDID/NCHHSTP/OD)</cp:lastModifiedBy>
  <cp:revision>2</cp:revision>
  <cp:lastPrinted>2019-03-29T13:58:00Z</cp:lastPrinted>
  <dcterms:created xsi:type="dcterms:W3CDTF">2020-06-16T15:51:00Z</dcterms:created>
  <dcterms:modified xsi:type="dcterms:W3CDTF">2020-06-16T15:51:00Z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0x010100B0280B11AB954C44BB2ADB61C885D152</vt:lpwstr>
  </property>
</Properties>
</file>