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737EEB" w:rsidRDefault="00655F9E" w14:paraId="4A225714" w14:textId="41A70E2D">
      <w:pPr>
        <w:pStyle w:val="Heading2"/>
        <w:tabs>
          <w:tab w:val="left" w:pos="900"/>
        </w:tabs>
        <w:ind w:right="-180"/>
        <w:jc w:val="left"/>
      </w:pPr>
      <w:r>
        <w:rPr>
          <w:sz w:val="28"/>
        </w:rPr>
        <w:t xml:space="preserve"> </w:t>
      </w:r>
      <w:r w:rsidR="00B46F2C">
        <w:rPr>
          <w:sz w:val="28"/>
        </w:rPr>
        <w:t xml:space="preserve">Request for Approval under the </w:t>
      </w:r>
      <w:r w:rsidRPr="00F06866" w:rsidR="00B46F2C">
        <w:rPr>
          <w:sz w:val="28"/>
        </w:rPr>
        <w:t>“Generic Clearance for the Collection of Routine Customer Feedback”</w:t>
      </w:r>
      <w:r w:rsidR="00B46F2C">
        <w:rPr>
          <w:sz w:val="28"/>
        </w:rPr>
        <w:t xml:space="preserve"> (OMB Control Number: </w:t>
      </w:r>
      <w:r w:rsidR="00E02391">
        <w:rPr>
          <w:sz w:val="28"/>
        </w:rPr>
        <w:t>0920</w:t>
      </w:r>
      <w:r w:rsidR="00B46F2C">
        <w:rPr>
          <w:sz w:val="28"/>
        </w:rPr>
        <w:t>-</w:t>
      </w:r>
      <w:r w:rsidR="00E02391">
        <w:rPr>
          <w:sz w:val="28"/>
        </w:rPr>
        <w:t>1050</w:t>
      </w:r>
      <w:r w:rsidR="00B46F2C">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382EF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39613449">
            <w:pPr>
              <w:rPr>
                <w:rFonts w:eastAsiaTheme="minorHAnsi"/>
                <w:sz w:val="22"/>
                <w:szCs w:val="22"/>
              </w:rPr>
            </w:pPr>
            <w:r>
              <w:rPr>
                <w:rFonts w:eastAsiaTheme="minorHAnsi"/>
                <w:sz w:val="22"/>
                <w:szCs w:val="22"/>
              </w:rPr>
              <w:t>[</w:t>
            </w:r>
            <w:proofErr w:type="gramStart"/>
            <w:r w:rsidR="009930A5">
              <w:rPr>
                <w:rFonts w:eastAsiaTheme="minorHAnsi"/>
                <w:sz w:val="22"/>
                <w:szCs w:val="22"/>
              </w:rPr>
              <w:t>X</w:t>
            </w:r>
            <w:r>
              <w:rPr>
                <w:rFonts w:eastAsiaTheme="minorHAnsi"/>
                <w:sz w:val="22"/>
                <w:szCs w:val="22"/>
              </w:rPr>
              <w:t xml:space="preserve">  ]</w:t>
            </w:r>
            <w:proofErr w:type="gramEnd"/>
            <w:r>
              <w:rPr>
                <w:rFonts w:eastAsiaTheme="minorHAnsi"/>
                <w:sz w:val="22"/>
                <w:szCs w:val="22"/>
              </w:rPr>
              <w:t xml:space="preserve">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212CDB02">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w:t>
            </w:r>
            <w:r w:rsidR="0024035B">
              <w:rPr>
                <w:rFonts w:eastAsiaTheme="minorHAnsi"/>
                <w:sz w:val="22"/>
                <w:szCs w:val="22"/>
              </w:rPr>
              <w:t>X</w:t>
            </w:r>
            <w:r>
              <w:rPr>
                <w:rFonts w:eastAsiaTheme="minorHAnsi"/>
                <w:sz w:val="22"/>
                <w:szCs w:val="22"/>
              </w:rPr>
              <w:t xml:space="preserve">  ]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18EF1FE5">
            <w:pPr>
              <w:rPr>
                <w:rFonts w:eastAsiaTheme="minorHAnsi"/>
                <w:sz w:val="22"/>
                <w:szCs w:val="22"/>
              </w:rPr>
            </w:pPr>
            <w:r>
              <w:rPr>
                <w:rFonts w:eastAsiaTheme="minorHAnsi"/>
                <w:sz w:val="22"/>
                <w:szCs w:val="22"/>
              </w:rPr>
              <w:t xml:space="preserve">[ </w:t>
            </w:r>
            <w:r w:rsidR="009930A5">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50DA9DF6">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w:t>
            </w:r>
            <w:r w:rsidR="0024035B">
              <w:rPr>
                <w:rFonts w:eastAsiaTheme="minorHAnsi"/>
                <w:sz w:val="22"/>
                <w:szCs w:val="22"/>
              </w:rPr>
              <w:t>X</w:t>
            </w:r>
            <w:r>
              <w:rPr>
                <w:rFonts w:eastAsiaTheme="minorHAnsi"/>
                <w:sz w:val="22"/>
                <w:szCs w:val="22"/>
              </w:rPr>
              <w:t xml:space="preserve">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6774D7AD">
            <w:pPr>
              <w:rPr>
                <w:rFonts w:eastAsiaTheme="minorHAnsi"/>
                <w:sz w:val="22"/>
                <w:szCs w:val="22"/>
              </w:rPr>
            </w:pPr>
            <w:r>
              <w:rPr>
                <w:rFonts w:eastAsiaTheme="minorHAnsi"/>
                <w:sz w:val="22"/>
                <w:szCs w:val="22"/>
              </w:rPr>
              <w:t>[</w:t>
            </w:r>
            <w:proofErr w:type="gramStart"/>
            <w:r w:rsidR="0024035B">
              <w:rPr>
                <w:rFonts w:eastAsiaTheme="minorHAnsi"/>
                <w:sz w:val="22"/>
                <w:szCs w:val="22"/>
              </w:rPr>
              <w:t>X</w:t>
            </w:r>
            <w:r>
              <w:rPr>
                <w:rFonts w:eastAsiaTheme="minorHAnsi"/>
                <w:sz w:val="22"/>
                <w:szCs w:val="22"/>
              </w:rPr>
              <w:t xml:space="preserve">  ]</w:t>
            </w:r>
            <w:proofErr w:type="gramEnd"/>
            <w:r>
              <w:rPr>
                <w:rFonts w:eastAsiaTheme="minorHAnsi"/>
                <w:sz w:val="22"/>
                <w:szCs w:val="22"/>
              </w:rPr>
              <w:t xml:space="preserve">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6DEAD615">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w:t>
            </w:r>
            <w:r w:rsidR="0024035B">
              <w:rPr>
                <w:rFonts w:eastAsiaTheme="minorHAnsi"/>
                <w:sz w:val="22"/>
                <w:szCs w:val="22"/>
              </w:rPr>
              <w:t>X</w:t>
            </w:r>
            <w:r>
              <w:rPr>
                <w:rFonts w:eastAsiaTheme="minorHAnsi"/>
                <w:sz w:val="22"/>
                <w:szCs w:val="22"/>
              </w:rPr>
              <w:t xml:space="preserve">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08830282">
            <w:pPr>
              <w:rPr>
                <w:rFonts w:eastAsiaTheme="minorHAnsi"/>
                <w:sz w:val="22"/>
                <w:szCs w:val="22"/>
              </w:rPr>
            </w:pPr>
            <w:proofErr w:type="gramStart"/>
            <w:r>
              <w:rPr>
                <w:rFonts w:eastAsiaTheme="minorHAnsi"/>
                <w:sz w:val="22"/>
                <w:szCs w:val="22"/>
              </w:rPr>
              <w:t>[  ]</w:t>
            </w:r>
            <w:proofErr w:type="gramEnd"/>
            <w:r>
              <w:rPr>
                <w:rFonts w:eastAsiaTheme="minorHAnsi"/>
                <w:sz w:val="22"/>
                <w:szCs w:val="22"/>
              </w:rPr>
              <w:t xml:space="preserve"> Yes     [</w:t>
            </w:r>
            <w:r w:rsidR="0024035B">
              <w:rPr>
                <w:rFonts w:eastAsiaTheme="minorHAnsi"/>
                <w:sz w:val="22"/>
                <w:szCs w:val="22"/>
              </w:rPr>
              <w:t>X</w:t>
            </w:r>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2BE85FB6">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w:t>
            </w:r>
            <w:r w:rsidR="0024035B">
              <w:rPr>
                <w:rFonts w:eastAsiaTheme="minorHAnsi"/>
                <w:sz w:val="22"/>
                <w:szCs w:val="22"/>
              </w:rPr>
              <w:t>X</w:t>
            </w:r>
            <w:r>
              <w:rPr>
                <w:rFonts w:eastAsiaTheme="minorHAnsi"/>
                <w:sz w:val="22"/>
                <w:szCs w:val="22"/>
              </w:rPr>
              <w:t xml:space="preserve"> ]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23FFDC2C">
            <w:pPr>
              <w:rPr>
                <w:rFonts w:eastAsiaTheme="minorHAnsi"/>
                <w:sz w:val="22"/>
                <w:szCs w:val="22"/>
              </w:rPr>
            </w:pPr>
            <w:r>
              <w:rPr>
                <w:rFonts w:eastAsiaTheme="minorHAnsi"/>
                <w:sz w:val="22"/>
                <w:szCs w:val="22"/>
              </w:rPr>
              <w:t>[</w:t>
            </w:r>
            <w:proofErr w:type="gramStart"/>
            <w:r w:rsidR="0024035B">
              <w:rPr>
                <w:rFonts w:eastAsiaTheme="minorHAnsi"/>
                <w:sz w:val="22"/>
                <w:szCs w:val="22"/>
              </w:rPr>
              <w:t>X</w:t>
            </w:r>
            <w:r>
              <w:rPr>
                <w:rFonts w:eastAsiaTheme="minorHAnsi"/>
                <w:sz w:val="22"/>
                <w:szCs w:val="22"/>
              </w:rPr>
              <w:t xml:space="preserve"> ]</w:t>
            </w:r>
            <w:proofErr w:type="gramEnd"/>
            <w:r>
              <w:rPr>
                <w:rFonts w:eastAsiaTheme="minorHAnsi"/>
                <w:sz w:val="22"/>
                <w:szCs w:val="22"/>
              </w:rPr>
              <w:t xml:space="preserve">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0CAC9F97">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w:t>
            </w:r>
            <w:r w:rsidR="0024035B">
              <w:rPr>
                <w:rFonts w:eastAsiaTheme="minorHAnsi"/>
                <w:sz w:val="22"/>
                <w:szCs w:val="22"/>
              </w:rPr>
              <w:t>X</w:t>
            </w:r>
            <w:r>
              <w:rPr>
                <w:rFonts w:eastAsiaTheme="minorHAnsi"/>
                <w:sz w:val="22"/>
                <w:szCs w:val="22"/>
              </w:rPr>
              <w:t xml:space="preserve">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29AE5CDA">
            <w:pPr>
              <w:rPr>
                <w:sz w:val="22"/>
                <w:szCs w:val="22"/>
              </w:rPr>
            </w:pPr>
            <w:r w:rsidRPr="003C4F49">
              <w:rPr>
                <w:rFonts w:eastAsiaTheme="minorHAnsi"/>
                <w:sz w:val="22"/>
                <w:szCs w:val="22"/>
              </w:rPr>
              <w:t>[</w:t>
            </w:r>
            <w:proofErr w:type="gramStart"/>
            <w:r w:rsidR="0024035B">
              <w:rPr>
                <w:rFonts w:eastAsiaTheme="minorHAnsi"/>
                <w:sz w:val="22"/>
                <w:szCs w:val="22"/>
              </w:rPr>
              <w:t>X</w:t>
            </w:r>
            <w:r w:rsidRPr="003C4F49">
              <w:rPr>
                <w:rFonts w:eastAsiaTheme="minorHAnsi"/>
                <w:sz w:val="22"/>
                <w:szCs w:val="22"/>
              </w:rPr>
              <w:t xml:space="preserve">  ]</w:t>
            </w:r>
            <w:proofErr w:type="gramEnd"/>
            <w:r w:rsidRPr="003C4F49">
              <w:rPr>
                <w:rFonts w:eastAsiaTheme="minorHAnsi"/>
                <w:sz w:val="22"/>
                <w:szCs w:val="22"/>
              </w:rPr>
              <w:t xml:space="preserve">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rsidRDefault="00145293" w14:paraId="71B5FAB9" w14:textId="77777777">
      <w:pPr>
        <w:widowControl w:val="0"/>
        <w:spacing w:before="120"/>
        <w:ind w:left="720"/>
        <w:rPr>
          <w:sz w:val="22"/>
          <w:szCs w:val="22"/>
        </w:rPr>
      </w:pPr>
    </w:p>
    <w:p w:rsidRPr="00B954E1" w:rsidR="00B46F2C" w:rsidP="00434E33" w:rsidRDefault="003A4C87" w14:paraId="6D607A79" w14:textId="6D732E73">
      <w:pPr>
        <w:rPr>
          <w:rFonts w:ascii="Calibri" w:hAnsi="Calibri"/>
        </w:rPr>
      </w:pPr>
      <w:r>
        <w:rPr>
          <w:noProof/>
        </w:rPr>
        <w:lastRenderedPageBreak/>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1F20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Pr="00B954E1" w:rsidR="00D75A5A">
        <w:rPr>
          <w:rFonts w:ascii="Calibri" w:hAnsi="Calibri"/>
          <w:noProof/>
        </w:rPr>
        <mc:AlternateContent>
          <mc:Choice Requires="wps">
            <w:drawing>
              <wp:anchor distT="0" distB="0" distL="114300" distR="114300" simplePos="0" relativeHeight="251663360" behindDoc="0" locked="0" layoutInCell="1" hidden="0" allowOverlap="1" wp14:editId="629F1C49" wp14:anchorId="1E70A60E">
                <wp:simplePos x="0" y="0"/>
                <wp:positionH relativeFrom="column">
                  <wp:posOffset>1</wp:posOffset>
                </wp:positionH>
                <wp:positionV relativeFrom="paragraph">
                  <wp:posOffset>0</wp:posOffset>
                </wp:positionV>
                <wp:extent cx="5962650" cy="38100"/>
                <wp:effectExtent l="0" t="0" r="0" b="0"/>
                <wp:wrapNone/>
                <wp:docPr id="6" name="Straight Arrow Connector 6"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w:pict>
              <v:shapetype id="_x0000_t32" coordsize="21600,21600" o:oned="t" filled="f" o:spt="32" path="m,l21600,21600e" w14:anchorId="6F0379B2">
                <v:path fillok="f" arrowok="t" o:connecttype="none"/>
                <o:lock v:ext="edit" shapetype="t"/>
              </v:shapetype>
              <v:shape id="Straight Arrow Connector 6" style="position:absolute;margin-left:0;margin-top:0;width:469.5pt;height:3pt;z-index:251663360;visibility:visible;mso-wrap-style:square;mso-wrap-distance-left:9pt;mso-wrap-distance-top:0;mso-wrap-distance-right:9pt;mso-wrap-distance-bottom:0;mso-position-horizontal:absolute;mso-position-horizontal-relative:text;mso-position-vertical:absolute;mso-position-vertical-relative:text" alt="Title: Title Underline - Description: Underlining of Titl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">
                <v:stroke startarrowwidth="narrow" startarrowlength="short" endarrowwidth="narrow" endarrowlength="short"/>
              </v:shape>
            </w:pict>
          </mc:Fallback>
        </mc:AlternateContent>
      </w:r>
      <w:r w:rsidRPr="00B954E1" w:rsidR="00D75A5A">
        <w:rPr>
          <w:rFonts w:ascii="Calibri" w:hAnsi="Calibri"/>
          <w:noProof/>
        </w:rPr>
        <mc:AlternateContent>
          <mc:Choice Requires="wps">
            <w:drawing>
              <wp:anchor distT="0" distB="0" distL="114300" distR="114300" simplePos="0" relativeHeight="251664384" behindDoc="0" locked="0" layoutInCell="1" hidden="0" allowOverlap="1" wp14:editId="45203B6C" wp14:anchorId="0D0CF503">
                <wp:simplePos x="0" y="0"/>
                <wp:positionH relativeFrom="column">
                  <wp:posOffset>1</wp:posOffset>
                </wp:positionH>
                <wp:positionV relativeFrom="paragraph">
                  <wp:posOffset>0</wp:posOffset>
                </wp:positionV>
                <wp:extent cx="5962650" cy="38100"/>
                <wp:effectExtent l="0" t="0" r="0" b="0"/>
                <wp:wrapNone/>
                <wp:docPr id="5" name="Straight Arrow Connector 5"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w:pict>
              <v:shape id="Straight Arrow Connector 5" style="position:absolute;margin-left:0;margin-top:0;width:469.5pt;height:3pt;z-index:251664384;visibility:visible;mso-wrap-style:square;mso-wrap-distance-left:9pt;mso-wrap-distance-top:0;mso-wrap-distance-right:9pt;mso-wrap-distance-bottom:0;mso-position-horizontal:absolute;mso-position-horizontal-relative:text;mso-position-vertical:absolute;mso-position-vertical-relative:text" alt="Title: Title Underline - Description: Underlining of Titl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" w14:anchorId="358080A2">
                <v:stroke startarrowwidth="narrow" startarrowlength="short" endarrowwidth="narrow" endarrowlength="short"/>
              </v:shape>
            </w:pict>
          </mc:Fallback>
        </mc:AlternateContent>
      </w:r>
      <w:r w:rsidR="00F40201">
        <w:t>Dating Matters Customer Satisfaction Survey</w:t>
      </w:r>
      <w:bookmarkStart w:name="_GoBack" w:id="0"/>
      <w:bookmarkEnd w:id="0"/>
    </w:p>
    <w:p w:rsidR="00B46F2C" w:rsidRDefault="00B46F2C" w14:paraId="29476A1F" w14:textId="77777777"/>
    <w:p w:rsidR="0069539F" w:rsidP="0069539F" w:rsidRDefault="00B46F2C" w14:paraId="060CCA6D" w14:textId="54916E94">
      <w:pPr>
        <w:pStyle w:val="Header"/>
        <w:tabs>
          <w:tab w:val="clear" w:pos="4320"/>
          <w:tab w:val="clear" w:pos="8640"/>
        </w:tabs>
        <w:rPr>
          <w:rFonts w:ascii="Calibri" w:hAnsi="Calibri"/>
        </w:rPr>
      </w:pPr>
      <w:r>
        <w:rPr>
          <w:b/>
        </w:rPr>
        <w:t>PURPOSE</w:t>
      </w:r>
      <w:r w:rsidRPr="009239AA">
        <w:rPr>
          <w:b/>
        </w:rPr>
        <w:t xml:space="preserve">: </w:t>
      </w:r>
      <w:r w:rsidRPr="00606FFF" w:rsidR="0069539F">
        <w:rPr>
          <w:rFonts w:ascii="Calibri" w:hAnsi="Calibri"/>
        </w:rPr>
        <w:t xml:space="preserve">The Centers for Disease Control and Prevention (CDC) created the Dating Matters Toolkit to increase the uptake and national dissemination of a comprehensive teen dating violence prevention model. The Toolkit was released in October 2019 and we have received informal feedback thus far. This proposal seeks to survey customers about the usability and content provided in the Toolkit.  The primary target audience for the Toolkit includes CDC grantees, partners in state, local, tribal government agencies, and violence prevention practitioners. The secondary audience includes public health </w:t>
      </w:r>
      <w:r w:rsidRPr="00606FFF" w:rsidR="00323326">
        <w:rPr>
          <w:rFonts w:ascii="Calibri" w:hAnsi="Calibri"/>
        </w:rPr>
        <w:t>practitioners,</w:t>
      </w:r>
      <w:r w:rsidRPr="00606FFF" w:rsidR="0069539F">
        <w:rPr>
          <w:rFonts w:ascii="Calibri" w:hAnsi="Calibri"/>
        </w:rPr>
        <w:t xml:space="preserve"> and anyone interested in learning more about teen dating violence prevention.  </w:t>
      </w:r>
    </w:p>
    <w:p w:rsidR="0069539F" w:rsidP="0069539F" w:rsidRDefault="0069539F" w14:paraId="33BE6B26" w14:textId="77777777">
      <w:pPr>
        <w:pStyle w:val="Header"/>
        <w:tabs>
          <w:tab w:val="clear" w:pos="4320"/>
          <w:tab w:val="clear" w:pos="8640"/>
        </w:tabs>
        <w:rPr>
          <w:rFonts w:ascii="Calibri" w:hAnsi="Calibri"/>
        </w:rPr>
      </w:pPr>
    </w:p>
    <w:p w:rsidR="00713DC4" w:rsidP="0069539F" w:rsidRDefault="0069539F" w14:paraId="2FC5DCE8" w14:textId="77777777">
      <w:pPr>
        <w:pStyle w:val="Header"/>
        <w:tabs>
          <w:tab w:val="clear" w:pos="4320"/>
          <w:tab w:val="clear" w:pos="8640"/>
        </w:tabs>
        <w:rPr>
          <w:rFonts w:ascii="Calibri" w:hAnsi="Calibri"/>
        </w:rPr>
      </w:pPr>
      <w:r w:rsidRPr="00606FFF">
        <w:rPr>
          <w:rFonts w:ascii="Calibri" w:hAnsi="Calibri"/>
        </w:rPr>
        <w:t>CDC's Division of Violence Prevention (DVP) will</w:t>
      </w:r>
      <w:r>
        <w:rPr>
          <w:rFonts w:ascii="Calibri" w:hAnsi="Calibri"/>
        </w:rPr>
        <w:t xml:space="preserve"> use a two-pronged approach to</w:t>
      </w:r>
      <w:r w:rsidRPr="00606FFF">
        <w:rPr>
          <w:rFonts w:ascii="Calibri" w:hAnsi="Calibri"/>
        </w:rPr>
        <w:t xml:space="preserve"> implement</w:t>
      </w:r>
      <w:r w:rsidR="00713DC4">
        <w:rPr>
          <w:rFonts w:ascii="Calibri" w:hAnsi="Calibri"/>
        </w:rPr>
        <w:t>:</w:t>
      </w:r>
      <w:r w:rsidRPr="00606FFF">
        <w:rPr>
          <w:rFonts w:ascii="Calibri" w:hAnsi="Calibri"/>
        </w:rPr>
        <w:t xml:space="preserve"> </w:t>
      </w:r>
    </w:p>
    <w:p w:rsidR="00713DC4" w:rsidP="002A2127" w:rsidRDefault="0069539F" w14:paraId="6500BD12" w14:textId="77777777">
      <w:pPr>
        <w:pStyle w:val="Header"/>
        <w:tabs>
          <w:tab w:val="clear" w:pos="4320"/>
          <w:tab w:val="clear" w:pos="8640"/>
        </w:tabs>
        <w:ind w:left="720"/>
        <w:rPr>
          <w:rFonts w:ascii="Calibri" w:hAnsi="Calibri"/>
        </w:rPr>
      </w:pPr>
      <w:r>
        <w:rPr>
          <w:rFonts w:ascii="Calibri" w:hAnsi="Calibri"/>
        </w:rPr>
        <w:t xml:space="preserve">1) </w:t>
      </w:r>
      <w:r w:rsidRPr="00606FFF">
        <w:rPr>
          <w:rFonts w:ascii="Calibri" w:hAnsi="Calibri"/>
        </w:rPr>
        <w:t>a</w:t>
      </w:r>
      <w:r>
        <w:rPr>
          <w:rFonts w:ascii="Calibri" w:hAnsi="Calibri"/>
        </w:rPr>
        <w:t>n online</w:t>
      </w:r>
      <w:r w:rsidRPr="00606FFF">
        <w:rPr>
          <w:rFonts w:ascii="Calibri" w:hAnsi="Calibri"/>
        </w:rPr>
        <w:t xml:space="preserve"> customer satisfaction survey with </w:t>
      </w:r>
      <w:r>
        <w:rPr>
          <w:rFonts w:ascii="Calibri" w:hAnsi="Calibri"/>
        </w:rPr>
        <w:t>recipients and partners who may use the Dating Matters Toolkit</w:t>
      </w:r>
      <w:r w:rsidR="00713DC4">
        <w:rPr>
          <w:rFonts w:ascii="Calibri" w:hAnsi="Calibri"/>
        </w:rPr>
        <w:t>,</w:t>
      </w:r>
      <w:r>
        <w:rPr>
          <w:rFonts w:ascii="Calibri" w:hAnsi="Calibri"/>
        </w:rPr>
        <w:t xml:space="preserve"> and </w:t>
      </w:r>
    </w:p>
    <w:p w:rsidR="00713DC4" w:rsidP="00713DC4" w:rsidRDefault="0069539F" w14:paraId="1FA5C25D" w14:textId="3F1B6CC8">
      <w:pPr>
        <w:pStyle w:val="Header"/>
        <w:tabs>
          <w:tab w:val="clear" w:pos="4320"/>
          <w:tab w:val="clear" w:pos="8640"/>
        </w:tabs>
        <w:ind w:left="720"/>
        <w:rPr>
          <w:rFonts w:ascii="Calibri" w:hAnsi="Calibri"/>
        </w:rPr>
      </w:pPr>
      <w:r>
        <w:rPr>
          <w:rFonts w:ascii="Calibri" w:hAnsi="Calibri"/>
        </w:rPr>
        <w:t xml:space="preserve">2) </w:t>
      </w:r>
      <w:r w:rsidR="00713DC4">
        <w:rPr>
          <w:rFonts w:ascii="Calibri" w:hAnsi="Calibri"/>
        </w:rPr>
        <w:t xml:space="preserve">a </w:t>
      </w:r>
      <w:r>
        <w:rPr>
          <w:rFonts w:ascii="Calibri" w:hAnsi="Calibri"/>
        </w:rPr>
        <w:t>remote access interview</w:t>
      </w:r>
      <w:r w:rsidRPr="00606FFF">
        <w:rPr>
          <w:rFonts w:ascii="Calibri" w:hAnsi="Calibri"/>
        </w:rPr>
        <w:t xml:space="preserve"> to explore if Dating Matters Toolkit webpages (navigation and content) provide users with a satisfactory experience and meet the needs of CDC's</w:t>
      </w:r>
      <w:r>
        <w:rPr>
          <w:rFonts w:ascii="Calibri" w:hAnsi="Calibri"/>
        </w:rPr>
        <w:t xml:space="preserve"> </w:t>
      </w:r>
      <w:r w:rsidRPr="00606FFF">
        <w:rPr>
          <w:rFonts w:ascii="Calibri" w:hAnsi="Calibri"/>
        </w:rPr>
        <w:t xml:space="preserve">services in the violence prevention field. </w:t>
      </w:r>
    </w:p>
    <w:p w:rsidR="0069539F" w:rsidP="00713DC4" w:rsidRDefault="0069539F" w14:paraId="2B216972" w14:textId="351E2461">
      <w:pPr>
        <w:pStyle w:val="Header"/>
        <w:tabs>
          <w:tab w:val="clear" w:pos="4320"/>
          <w:tab w:val="clear" w:pos="8640"/>
        </w:tabs>
        <w:rPr>
          <w:rFonts w:ascii="Calibri" w:hAnsi="Calibri"/>
        </w:rPr>
      </w:pPr>
      <w:r w:rsidRPr="00606FFF">
        <w:rPr>
          <w:rFonts w:ascii="Calibri" w:hAnsi="Calibri"/>
        </w:rPr>
        <w:t xml:space="preserve">We will use the information gathered from the customer satisfaction surveys </w:t>
      </w:r>
      <w:r>
        <w:rPr>
          <w:rFonts w:ascii="Calibri" w:hAnsi="Calibri"/>
        </w:rPr>
        <w:t xml:space="preserve">and interviews </w:t>
      </w:r>
      <w:r w:rsidRPr="00606FFF">
        <w:rPr>
          <w:rFonts w:ascii="Calibri" w:hAnsi="Calibri"/>
        </w:rPr>
        <w:t xml:space="preserve">to update and improve the web content and navigation in the next fiscal year. </w:t>
      </w:r>
    </w:p>
    <w:p w:rsidR="0069539F" w:rsidP="0069539F" w:rsidRDefault="0069539F" w14:paraId="3BD70FAF" w14:textId="77777777">
      <w:pPr>
        <w:pStyle w:val="Header"/>
        <w:tabs>
          <w:tab w:val="clear" w:pos="4320"/>
          <w:tab w:val="clear" w:pos="8640"/>
        </w:tabs>
        <w:rPr>
          <w:rFonts w:ascii="Calibri" w:hAnsi="Calibri"/>
        </w:rPr>
      </w:pPr>
    </w:p>
    <w:p w:rsidR="0069539F" w:rsidP="0069539F" w:rsidRDefault="0069539F" w14:paraId="44817B2D" w14:textId="03A0B437">
      <w:pPr>
        <w:pStyle w:val="Header"/>
        <w:tabs>
          <w:tab w:val="clear" w:pos="4320"/>
          <w:tab w:val="clear" w:pos="8640"/>
        </w:tabs>
        <w:rPr>
          <w:rFonts w:ascii="Calibri" w:hAnsi="Calibri"/>
        </w:rPr>
      </w:pPr>
      <w:r>
        <w:rPr>
          <w:rFonts w:ascii="Calibri" w:hAnsi="Calibri"/>
        </w:rPr>
        <w:t xml:space="preserve">At the end of the general questions in the online survey, users will have an opportunity to voluntarily opt-in to the interviews by providing their email address to </w:t>
      </w:r>
      <w:r w:rsidR="00713DC4">
        <w:rPr>
          <w:rFonts w:ascii="Calibri" w:hAnsi="Calibri"/>
        </w:rPr>
        <w:t>a contractor</w:t>
      </w:r>
      <w:r>
        <w:rPr>
          <w:rFonts w:ascii="Calibri" w:hAnsi="Calibri"/>
        </w:rPr>
        <w:t xml:space="preserve">. Once users opt in, they </w:t>
      </w:r>
      <w:r w:rsidRPr="00606FFF">
        <w:rPr>
          <w:rFonts w:ascii="Calibri" w:hAnsi="Calibri"/>
        </w:rPr>
        <w:t xml:space="preserve">will be assigned to one of five </w:t>
      </w:r>
      <w:r w:rsidR="00713DC4">
        <w:rPr>
          <w:rFonts w:ascii="Calibri" w:hAnsi="Calibri"/>
        </w:rPr>
        <w:t>interview versions</w:t>
      </w:r>
      <w:r>
        <w:rPr>
          <w:rFonts w:ascii="Calibri" w:hAnsi="Calibri"/>
        </w:rPr>
        <w:t xml:space="preserve"> </w:t>
      </w:r>
      <w:r w:rsidR="00713DC4">
        <w:rPr>
          <w:rFonts w:ascii="Calibri" w:hAnsi="Calibri"/>
        </w:rPr>
        <w:t xml:space="preserve">that correspond to specific sections of the web </w:t>
      </w:r>
      <w:r w:rsidR="00B954E1">
        <w:rPr>
          <w:rFonts w:ascii="Calibri" w:hAnsi="Calibri"/>
        </w:rPr>
        <w:t>content and</w:t>
      </w:r>
      <w:r w:rsidR="00713DC4">
        <w:rPr>
          <w:rFonts w:ascii="Calibri" w:hAnsi="Calibri"/>
        </w:rPr>
        <w:t>/</w:t>
      </w:r>
      <w:r>
        <w:rPr>
          <w:rFonts w:ascii="Calibri" w:hAnsi="Calibri"/>
        </w:rPr>
        <w:t xml:space="preserve">or </w:t>
      </w:r>
      <w:r w:rsidR="00713DC4">
        <w:rPr>
          <w:rFonts w:ascii="Calibri" w:hAnsi="Calibri"/>
        </w:rPr>
        <w:t xml:space="preserve">specific </w:t>
      </w:r>
      <w:r>
        <w:rPr>
          <w:rFonts w:ascii="Calibri" w:hAnsi="Calibri"/>
        </w:rPr>
        <w:t>materials</w:t>
      </w:r>
      <w:r w:rsidR="00713DC4">
        <w:rPr>
          <w:rFonts w:ascii="Calibri" w:hAnsi="Calibri"/>
        </w:rPr>
        <w:t xml:space="preserve"> on the website</w:t>
      </w:r>
      <w:r>
        <w:rPr>
          <w:rFonts w:ascii="Calibri" w:hAnsi="Calibri"/>
        </w:rPr>
        <w:t xml:space="preserve"> (see below for list)</w:t>
      </w:r>
      <w:r w:rsidR="00713DC4">
        <w:rPr>
          <w:rFonts w:ascii="Calibri" w:hAnsi="Calibri"/>
        </w:rPr>
        <w:t xml:space="preserve"> to allow each component to be reviewed in more depth by a small number of respondents (N= 17 total interviews):</w:t>
      </w:r>
      <w:r w:rsidRPr="00606FFF">
        <w:rPr>
          <w:rFonts w:ascii="Calibri" w:hAnsi="Calibri"/>
        </w:rPr>
        <w:t xml:space="preserve"> </w:t>
      </w:r>
    </w:p>
    <w:p w:rsidR="0069539F" w:rsidP="0069539F" w:rsidRDefault="0069539F" w14:paraId="365F3594" w14:textId="76B9C588">
      <w:pPr>
        <w:pStyle w:val="Header"/>
        <w:numPr>
          <w:ilvl w:val="0"/>
          <w:numId w:val="19"/>
        </w:numPr>
        <w:tabs>
          <w:tab w:val="clear" w:pos="4320"/>
          <w:tab w:val="clear" w:pos="8640"/>
        </w:tabs>
        <w:rPr>
          <w:rFonts w:ascii="Calibri" w:hAnsi="Calibri"/>
        </w:rPr>
      </w:pPr>
      <w:r>
        <w:rPr>
          <w:rFonts w:ascii="Calibri" w:hAnsi="Calibri"/>
        </w:rPr>
        <w:t>Youth Program Facilitator and Youth Program component page (</w:t>
      </w:r>
      <w:r w:rsidR="00713DC4">
        <w:rPr>
          <w:rFonts w:ascii="Calibri" w:hAnsi="Calibri"/>
        </w:rPr>
        <w:t>N=</w:t>
      </w:r>
      <w:r>
        <w:rPr>
          <w:rFonts w:ascii="Calibri" w:hAnsi="Calibri"/>
        </w:rPr>
        <w:t xml:space="preserve"> 3 participants)</w:t>
      </w:r>
    </w:p>
    <w:p w:rsidR="0069539F" w:rsidP="0069539F" w:rsidRDefault="0069539F" w14:paraId="7D974C7F" w14:textId="4FDBD9CF">
      <w:pPr>
        <w:pStyle w:val="Header"/>
        <w:numPr>
          <w:ilvl w:val="0"/>
          <w:numId w:val="19"/>
        </w:numPr>
        <w:tabs>
          <w:tab w:val="clear" w:pos="4320"/>
          <w:tab w:val="clear" w:pos="8640"/>
        </w:tabs>
        <w:rPr>
          <w:rFonts w:ascii="Calibri" w:hAnsi="Calibri"/>
        </w:rPr>
      </w:pPr>
      <w:r>
        <w:rPr>
          <w:rFonts w:ascii="Calibri" w:hAnsi="Calibri"/>
        </w:rPr>
        <w:t>Parent Program Facilitator and Parent Program component page (</w:t>
      </w:r>
      <w:r w:rsidR="00713DC4">
        <w:rPr>
          <w:rFonts w:ascii="Calibri" w:hAnsi="Calibri"/>
        </w:rPr>
        <w:t xml:space="preserve">N= </w:t>
      </w:r>
      <w:r>
        <w:rPr>
          <w:rFonts w:ascii="Calibri" w:hAnsi="Calibri"/>
        </w:rPr>
        <w:t>3 participants)</w:t>
      </w:r>
    </w:p>
    <w:p w:rsidR="0069539F" w:rsidP="0069539F" w:rsidRDefault="0069539F" w14:paraId="305EAD42" w14:textId="403FA727">
      <w:pPr>
        <w:pStyle w:val="Header"/>
        <w:numPr>
          <w:ilvl w:val="0"/>
          <w:numId w:val="19"/>
        </w:numPr>
        <w:tabs>
          <w:tab w:val="clear" w:pos="4320"/>
          <w:tab w:val="clear" w:pos="8640"/>
        </w:tabs>
        <w:rPr>
          <w:rFonts w:ascii="Calibri" w:hAnsi="Calibri"/>
        </w:rPr>
      </w:pPr>
      <w:r>
        <w:rPr>
          <w:rFonts w:ascii="Calibri" w:hAnsi="Calibri"/>
        </w:rPr>
        <w:t>Prevention Lead and Guide to Using Indicator Data (</w:t>
      </w:r>
      <w:r w:rsidR="00713DC4">
        <w:rPr>
          <w:rFonts w:ascii="Calibri" w:hAnsi="Calibri"/>
        </w:rPr>
        <w:t xml:space="preserve">N= </w:t>
      </w:r>
      <w:r>
        <w:rPr>
          <w:rFonts w:ascii="Calibri" w:hAnsi="Calibri"/>
        </w:rPr>
        <w:t>2 participants)</w:t>
      </w:r>
    </w:p>
    <w:p w:rsidR="0069539F" w:rsidP="0069539F" w:rsidRDefault="0069539F" w14:paraId="3B29800A" w14:textId="64FC4B8C">
      <w:pPr>
        <w:pStyle w:val="Header"/>
        <w:numPr>
          <w:ilvl w:val="0"/>
          <w:numId w:val="19"/>
        </w:numPr>
        <w:tabs>
          <w:tab w:val="clear" w:pos="4320"/>
          <w:tab w:val="clear" w:pos="8640"/>
        </w:tabs>
        <w:rPr>
          <w:rFonts w:ascii="Calibri" w:hAnsi="Calibri"/>
        </w:rPr>
      </w:pPr>
      <w:r>
        <w:rPr>
          <w:rFonts w:ascii="Calibri" w:hAnsi="Calibri"/>
        </w:rPr>
        <w:t>Prevention Lead and Guide to Informing Policy (</w:t>
      </w:r>
      <w:r w:rsidR="00713DC4">
        <w:rPr>
          <w:rFonts w:ascii="Calibri" w:hAnsi="Calibri"/>
        </w:rPr>
        <w:t xml:space="preserve">N= </w:t>
      </w:r>
      <w:r>
        <w:rPr>
          <w:rFonts w:ascii="Calibri" w:hAnsi="Calibri"/>
        </w:rPr>
        <w:t>2 participants)</w:t>
      </w:r>
    </w:p>
    <w:p w:rsidR="0069539F" w:rsidP="0069539F" w:rsidRDefault="0069539F" w14:paraId="4221C8EA" w14:textId="3DEB2588">
      <w:pPr>
        <w:pStyle w:val="Header"/>
        <w:numPr>
          <w:ilvl w:val="0"/>
          <w:numId w:val="19"/>
        </w:numPr>
        <w:tabs>
          <w:tab w:val="clear" w:pos="4320"/>
          <w:tab w:val="clear" w:pos="8640"/>
        </w:tabs>
        <w:rPr>
          <w:rFonts w:ascii="Calibri" w:hAnsi="Calibri"/>
        </w:rPr>
      </w:pPr>
      <w:r>
        <w:rPr>
          <w:rFonts w:ascii="Calibri" w:hAnsi="Calibri"/>
        </w:rPr>
        <w:t>Prevention Lead and Guide to Implementation (</w:t>
      </w:r>
      <w:r w:rsidR="00713DC4">
        <w:rPr>
          <w:rFonts w:ascii="Calibri" w:hAnsi="Calibri"/>
        </w:rPr>
        <w:t>N=</w:t>
      </w:r>
      <w:r>
        <w:rPr>
          <w:rFonts w:ascii="Calibri" w:hAnsi="Calibri"/>
        </w:rPr>
        <w:t xml:space="preserve"> 2 participants)</w:t>
      </w:r>
    </w:p>
    <w:p w:rsidR="0069539F" w:rsidP="0069539F" w:rsidRDefault="0069539F" w14:paraId="25258536" w14:textId="010BACEC">
      <w:pPr>
        <w:pStyle w:val="Header"/>
        <w:numPr>
          <w:ilvl w:val="0"/>
          <w:numId w:val="19"/>
        </w:numPr>
        <w:tabs>
          <w:tab w:val="clear" w:pos="4320"/>
          <w:tab w:val="clear" w:pos="8640"/>
        </w:tabs>
        <w:rPr>
          <w:rFonts w:ascii="Calibri" w:hAnsi="Calibri"/>
        </w:rPr>
      </w:pPr>
      <w:r>
        <w:rPr>
          <w:rFonts w:ascii="Calibri" w:hAnsi="Calibri"/>
        </w:rPr>
        <w:t>I2i Program Facilitator and i2i Youth Communications Program (</w:t>
      </w:r>
      <w:r w:rsidR="00713DC4">
        <w:rPr>
          <w:rFonts w:ascii="Calibri" w:hAnsi="Calibri"/>
        </w:rPr>
        <w:t>N=</w:t>
      </w:r>
      <w:r>
        <w:rPr>
          <w:rFonts w:ascii="Calibri" w:hAnsi="Calibri"/>
        </w:rPr>
        <w:t xml:space="preserve"> 2 participants)</w:t>
      </w:r>
    </w:p>
    <w:p w:rsidR="0069539F" w:rsidP="0069539F" w:rsidRDefault="0069539F" w14:paraId="2B74380B" w14:textId="37F59D65">
      <w:pPr>
        <w:pStyle w:val="Header"/>
        <w:numPr>
          <w:ilvl w:val="0"/>
          <w:numId w:val="19"/>
        </w:numPr>
        <w:tabs>
          <w:tab w:val="clear" w:pos="4320"/>
          <w:tab w:val="clear" w:pos="8640"/>
        </w:tabs>
        <w:rPr>
          <w:rFonts w:ascii="Calibri" w:hAnsi="Calibri"/>
        </w:rPr>
      </w:pPr>
      <w:r>
        <w:rPr>
          <w:rFonts w:ascii="Calibri" w:hAnsi="Calibri"/>
        </w:rPr>
        <w:t>Coach and Coaches Playbook (</w:t>
      </w:r>
      <w:r w:rsidR="00713DC4">
        <w:rPr>
          <w:rFonts w:ascii="Calibri" w:hAnsi="Calibri"/>
        </w:rPr>
        <w:t xml:space="preserve">N= </w:t>
      </w:r>
      <w:r>
        <w:rPr>
          <w:rFonts w:ascii="Calibri" w:hAnsi="Calibri"/>
        </w:rPr>
        <w:t>2 participants)</w:t>
      </w:r>
    </w:p>
    <w:p w:rsidR="0069539F" w:rsidP="0069539F" w:rsidRDefault="0069539F" w14:paraId="2496C627" w14:textId="64A4065B">
      <w:pPr>
        <w:pStyle w:val="Header"/>
        <w:numPr>
          <w:ilvl w:val="0"/>
          <w:numId w:val="19"/>
        </w:numPr>
        <w:tabs>
          <w:tab w:val="clear" w:pos="4320"/>
          <w:tab w:val="clear" w:pos="8640"/>
        </w:tabs>
        <w:rPr>
          <w:rFonts w:ascii="Calibri" w:hAnsi="Calibri"/>
        </w:rPr>
      </w:pPr>
      <w:r>
        <w:rPr>
          <w:rFonts w:ascii="Calibri" w:hAnsi="Calibri"/>
        </w:rPr>
        <w:t>Coach, Training for Educators, and Capacity Assessment and Planning Tool (</w:t>
      </w:r>
      <w:r w:rsidR="00713DC4">
        <w:rPr>
          <w:rFonts w:ascii="Calibri" w:hAnsi="Calibri"/>
        </w:rPr>
        <w:t>N=</w:t>
      </w:r>
      <w:r>
        <w:rPr>
          <w:rFonts w:ascii="Calibri" w:hAnsi="Calibri"/>
        </w:rPr>
        <w:t xml:space="preserve"> 1 participant)</w:t>
      </w:r>
    </w:p>
    <w:p w:rsidR="0069539F" w:rsidP="002A2127" w:rsidRDefault="0069539F" w14:paraId="473C9CEF" w14:textId="0394AE20">
      <w:pPr>
        <w:pStyle w:val="Header"/>
        <w:tabs>
          <w:tab w:val="clear" w:pos="4320"/>
          <w:tab w:val="clear" w:pos="8640"/>
        </w:tabs>
        <w:ind w:left="720"/>
        <w:rPr>
          <w:rFonts w:ascii="Calibri" w:hAnsi="Calibri"/>
        </w:rPr>
      </w:pPr>
    </w:p>
    <w:p w:rsidR="00713DC4" w:rsidP="0069539F" w:rsidRDefault="00713DC4" w14:paraId="2DC0B4F5" w14:textId="77777777">
      <w:pPr>
        <w:pStyle w:val="Header"/>
        <w:tabs>
          <w:tab w:val="clear" w:pos="4320"/>
          <w:tab w:val="clear" w:pos="8640"/>
        </w:tabs>
        <w:rPr>
          <w:rFonts w:ascii="Calibri" w:hAnsi="Calibri"/>
        </w:rPr>
      </w:pPr>
      <w:r>
        <w:rPr>
          <w:rFonts w:ascii="Calibri" w:hAnsi="Calibri"/>
        </w:rPr>
        <w:t xml:space="preserve">Although many of the questions in the interview versions are similar or overlapping, some are unique to the specific content being reviewed.  Participants will be asked via email to review specific web content in advance of their interview.  </w:t>
      </w:r>
    </w:p>
    <w:p w:rsidR="00713DC4" w:rsidP="0069539F" w:rsidRDefault="00713DC4" w14:paraId="51CBD627" w14:textId="77777777">
      <w:pPr>
        <w:pStyle w:val="Header"/>
        <w:tabs>
          <w:tab w:val="clear" w:pos="4320"/>
          <w:tab w:val="clear" w:pos="8640"/>
        </w:tabs>
        <w:rPr>
          <w:rFonts w:ascii="Calibri" w:hAnsi="Calibri"/>
        </w:rPr>
      </w:pPr>
    </w:p>
    <w:p w:rsidR="0069539F" w:rsidP="0069539F" w:rsidRDefault="0069539F" w14:paraId="48C6B2ED" w14:textId="5C089E55">
      <w:pPr>
        <w:pStyle w:val="Header"/>
        <w:tabs>
          <w:tab w:val="clear" w:pos="4320"/>
          <w:tab w:val="clear" w:pos="8640"/>
        </w:tabs>
        <w:rPr>
          <w:rFonts w:ascii="Calibri" w:hAnsi="Calibri"/>
        </w:rPr>
      </w:pPr>
      <w:r w:rsidRPr="00606FFF">
        <w:rPr>
          <w:rFonts w:ascii="Calibri" w:hAnsi="Calibri"/>
        </w:rPr>
        <w:t xml:space="preserve">Information collected from the customer satisfaction surveys will be used to improve the web content and </w:t>
      </w:r>
      <w:r w:rsidRPr="00606FFF" w:rsidR="00B954E1">
        <w:rPr>
          <w:rFonts w:ascii="Calibri" w:hAnsi="Calibri"/>
        </w:rPr>
        <w:t xml:space="preserve">usability, </w:t>
      </w:r>
      <w:r w:rsidR="00B954E1">
        <w:rPr>
          <w:rFonts w:ascii="Calibri" w:hAnsi="Calibri"/>
        </w:rPr>
        <w:t>and</w:t>
      </w:r>
      <w:r w:rsidRPr="00606FFF">
        <w:rPr>
          <w:rFonts w:ascii="Calibri" w:hAnsi="Calibri"/>
        </w:rPr>
        <w:t xml:space="preserve"> develop future resources. The data will also inform dissemination and communication, and it will help CDC assess if the agency is providing appropriate information to the intended audience, while using the most innovative and engaging user design.  Information gathered will be used only internally for general service improvement and is not intended for release outside of the agency. Information gathered will not be used for the </w:t>
      </w:r>
      <w:r w:rsidRPr="00606FFF">
        <w:rPr>
          <w:rFonts w:ascii="Calibri" w:hAnsi="Calibri"/>
        </w:rPr>
        <w:lastRenderedPageBreak/>
        <w:t>purpose of substantially informing influential policy decisions. Without these types of feedback, the Agency will not have timely information to adjust its services to meet customer needs.</w:t>
      </w:r>
    </w:p>
    <w:p w:rsidRPr="00655F9E" w:rsidR="00B46F2C" w:rsidP="00655F9E" w:rsidRDefault="00B46F2C" w14:paraId="11ADCE3A" w14:textId="337E6D50"/>
    <w:p w:rsidR="00B46F2C" w:rsidP="00D75A5A" w:rsidRDefault="00B46F2C" w14:paraId="54A2E4B0" w14:textId="7CE7CDAF">
      <w:pPr>
        <w:widowControl w:val="0"/>
        <w:pBdr>
          <w:top w:val="nil"/>
          <w:left w:val="nil"/>
          <w:bottom w:val="nil"/>
          <w:right w:val="nil"/>
          <w:between w:val="nil"/>
        </w:pBdr>
        <w:tabs>
          <w:tab w:val="center" w:pos="4320"/>
          <w:tab w:val="right" w:pos="8640"/>
        </w:tabs>
      </w:pPr>
      <w:r w:rsidRPr="00434E33">
        <w:rPr>
          <w:b/>
        </w:rPr>
        <w:t>DESCRIPTION OF RESPONDENTS</w:t>
      </w:r>
      <w:r>
        <w:t xml:space="preserve">: </w:t>
      </w:r>
    </w:p>
    <w:p w:rsidRPr="00AC07C7" w:rsidR="00C659FD" w:rsidP="00C659FD" w:rsidRDefault="00C659FD" w14:paraId="7402598D" w14:textId="6B1195E6">
      <w:pPr>
        <w:pStyle w:val="Header"/>
        <w:tabs>
          <w:tab w:val="clear" w:pos="4320"/>
          <w:tab w:val="clear" w:pos="8640"/>
        </w:tabs>
        <w:rPr>
          <w:rFonts w:ascii="Calibri" w:hAnsi="Calibri"/>
        </w:rPr>
      </w:pPr>
      <w:r w:rsidRPr="00AC07C7">
        <w:rPr>
          <w:rFonts w:ascii="Calibri" w:hAnsi="Calibri"/>
        </w:rPr>
        <w:t xml:space="preserve">Participation in the </w:t>
      </w:r>
      <w:r>
        <w:rPr>
          <w:rFonts w:ascii="Calibri" w:hAnsi="Calibri"/>
        </w:rPr>
        <w:t xml:space="preserve">customer satisfaction surveys and interviews is voluntary. </w:t>
      </w:r>
      <w:r w:rsidRPr="00AC07C7">
        <w:rPr>
          <w:rFonts w:ascii="Calibri" w:hAnsi="Calibri"/>
        </w:rPr>
        <w:t>Users will provide feedback to CDC</w:t>
      </w:r>
      <w:r>
        <w:rPr>
          <w:rFonts w:ascii="Calibri" w:hAnsi="Calibri"/>
        </w:rPr>
        <w:t xml:space="preserve"> through </w:t>
      </w:r>
      <w:r w:rsidR="00E260FE">
        <w:rPr>
          <w:rFonts w:ascii="Calibri" w:hAnsi="Calibri"/>
        </w:rPr>
        <w:t xml:space="preserve">Survey Monkey for the survey portion, and </w:t>
      </w:r>
      <w:r>
        <w:rPr>
          <w:rFonts w:ascii="Calibri" w:hAnsi="Calibri"/>
        </w:rPr>
        <w:t>remote participation interviews</w:t>
      </w:r>
      <w:r w:rsidR="006A686F">
        <w:rPr>
          <w:rFonts w:ascii="Calibri" w:hAnsi="Calibri"/>
        </w:rPr>
        <w:t xml:space="preserve"> will be conducted</w:t>
      </w:r>
      <w:r>
        <w:rPr>
          <w:rFonts w:ascii="Calibri" w:hAnsi="Calibri"/>
        </w:rPr>
        <w:t xml:space="preserve"> via Zoom</w:t>
      </w:r>
      <w:r w:rsidRPr="00AC07C7">
        <w:rPr>
          <w:rFonts w:ascii="Calibri" w:hAnsi="Calibri"/>
        </w:rPr>
        <w:t xml:space="preserve">. Participants for the </w:t>
      </w:r>
      <w:r>
        <w:rPr>
          <w:rFonts w:ascii="Calibri" w:hAnsi="Calibri"/>
        </w:rPr>
        <w:t xml:space="preserve">customer satisfaction survey </w:t>
      </w:r>
      <w:r w:rsidRPr="00AC07C7">
        <w:rPr>
          <w:rFonts w:ascii="Calibri" w:hAnsi="Calibri"/>
        </w:rPr>
        <w:t xml:space="preserve">will be </w:t>
      </w:r>
      <w:r>
        <w:rPr>
          <w:rFonts w:ascii="Calibri" w:hAnsi="Calibri"/>
        </w:rPr>
        <w:t xml:space="preserve">selected </w:t>
      </w:r>
      <w:r w:rsidRPr="00AC07C7">
        <w:rPr>
          <w:rFonts w:ascii="Calibri" w:hAnsi="Calibri"/>
        </w:rPr>
        <w:t>from</w:t>
      </w:r>
      <w:r>
        <w:rPr>
          <w:rFonts w:ascii="Calibri" w:hAnsi="Calibri"/>
        </w:rPr>
        <w:t xml:space="preserve"> two</w:t>
      </w:r>
      <w:r w:rsidRPr="00AC07C7">
        <w:rPr>
          <w:rFonts w:ascii="Calibri" w:hAnsi="Calibri"/>
        </w:rPr>
        <w:t xml:space="preserve"> </w:t>
      </w:r>
      <w:r>
        <w:rPr>
          <w:rFonts w:ascii="Calibri" w:hAnsi="Calibri"/>
        </w:rPr>
        <w:t xml:space="preserve">lists: DVP recipients </w:t>
      </w:r>
      <w:r w:rsidR="00E260FE">
        <w:rPr>
          <w:rFonts w:ascii="Calibri" w:hAnsi="Calibri"/>
        </w:rPr>
        <w:t>and</w:t>
      </w:r>
      <w:r>
        <w:rPr>
          <w:rFonts w:ascii="Calibri" w:hAnsi="Calibri"/>
        </w:rPr>
        <w:t xml:space="preserve"> partners</w:t>
      </w:r>
      <w:r w:rsidR="00E260FE">
        <w:rPr>
          <w:rFonts w:ascii="Calibri" w:hAnsi="Calibri"/>
        </w:rPr>
        <w:t xml:space="preserve">, and </w:t>
      </w:r>
      <w:proofErr w:type="spellStart"/>
      <w:r w:rsidR="00E260FE">
        <w:rPr>
          <w:rFonts w:ascii="Calibri" w:hAnsi="Calibri"/>
        </w:rPr>
        <w:t>VetoViolence</w:t>
      </w:r>
      <w:proofErr w:type="spellEnd"/>
      <w:r w:rsidR="00E260FE">
        <w:rPr>
          <w:rFonts w:ascii="Calibri" w:hAnsi="Calibri"/>
        </w:rPr>
        <w:t xml:space="preserve"> users</w:t>
      </w:r>
      <w:r w:rsidRPr="00AC07C7">
        <w:rPr>
          <w:rFonts w:ascii="Calibri" w:hAnsi="Calibri"/>
        </w:rPr>
        <w:t xml:space="preserve">. </w:t>
      </w:r>
      <w:r>
        <w:rPr>
          <w:rFonts w:ascii="Calibri" w:hAnsi="Calibri"/>
        </w:rPr>
        <w:t>The lists include local and state health departments, non-profit organizations, foundations, and educational institutions with a focus on violence prevention.</w:t>
      </w:r>
    </w:p>
    <w:p w:rsidRPr="00D75A5A" w:rsidR="00C659FD" w:rsidP="00D75A5A" w:rsidRDefault="00C659FD" w14:paraId="63CABEB0" w14:textId="77777777">
      <w:pPr>
        <w:widowControl w:val="0"/>
        <w:pBdr>
          <w:top w:val="nil"/>
          <w:left w:val="nil"/>
          <w:bottom w:val="nil"/>
          <w:right w:val="nil"/>
          <w:between w:val="nil"/>
        </w:pBdr>
        <w:tabs>
          <w:tab w:val="center" w:pos="4320"/>
          <w:tab w:val="right" w:pos="8640"/>
        </w:tabs>
        <w:rPr>
          <w:b/>
          <w:color w:val="000000"/>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5ACD6BE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D75A5A">
        <w:rPr>
          <w:bCs/>
          <w:sz w:val="24"/>
        </w:rPr>
        <w:t>X</w:t>
      </w:r>
      <w:r w:rsidRPr="00F06866">
        <w:rPr>
          <w:bCs/>
          <w:sz w:val="24"/>
        </w:rPr>
        <w:t xml:space="preserve"> ] Customer Satisfaction Survey    </w:t>
      </w:r>
    </w:p>
    <w:p w:rsidR="00B46F2C" w:rsidP="0096108F" w:rsidRDefault="00B46F2C" w14:paraId="04CF626F"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B46F2C" w:rsidP="0096108F" w:rsidRDefault="00B46F2C" w14:paraId="22FFEFCD" w14:textId="41E19969">
      <w:pPr>
        <w:pStyle w:val="BodyTextIndent"/>
        <w:tabs>
          <w:tab w:val="left" w:pos="360"/>
        </w:tabs>
        <w:ind w:left="0"/>
        <w:rPr>
          <w:bCs/>
          <w:sz w:val="24"/>
        </w:rPr>
      </w:pPr>
      <w:proofErr w:type="gramStart"/>
      <w:r>
        <w:rPr>
          <w:bCs/>
          <w:sz w:val="24"/>
        </w:rPr>
        <w:t>[</w:t>
      </w:r>
      <w:r w:rsidR="00660A3F">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00CA3AF3">
        <w:rPr>
          <w:bCs/>
          <w:sz w:val="24"/>
        </w:rPr>
        <w:t>X</w:t>
      </w:r>
      <w:r w:rsidRPr="00F06866">
        <w:rPr>
          <w:bCs/>
          <w:sz w:val="24"/>
        </w:rPr>
        <w:t>]</w:t>
      </w:r>
      <w:r>
        <w:rPr>
          <w:bCs/>
          <w:sz w:val="24"/>
        </w:rPr>
        <w:t xml:space="preserve"> Other:</w:t>
      </w:r>
      <w:r w:rsidRPr="00F06866">
        <w:rPr>
          <w:bCs/>
          <w:sz w:val="24"/>
          <w:u w:val="single"/>
        </w:rPr>
        <w:t xml:space="preserve"> _</w:t>
      </w:r>
      <w:r w:rsidR="00CA3AF3">
        <w:rPr>
          <w:bCs/>
          <w:sz w:val="24"/>
          <w:u w:val="single"/>
        </w:rPr>
        <w:t>Interviews</w:t>
      </w:r>
      <w:r w:rsidRPr="00F06866">
        <w:rPr>
          <w:bCs/>
          <w:sz w:val="24"/>
          <w:u w:val="single"/>
        </w:rPr>
        <w:t>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424CA5E2">
      <w:proofErr w:type="spellStart"/>
      <w:proofErr w:type="gramStart"/>
      <w:r>
        <w:t>Name:_</w:t>
      </w:r>
      <w:proofErr w:type="gramEnd"/>
      <w:r>
        <w:t>______________</w:t>
      </w:r>
      <w:r w:rsidR="00D75A5A">
        <w:t>Karen</w:t>
      </w:r>
      <w:proofErr w:type="spellEnd"/>
      <w:r w:rsidR="00D75A5A">
        <w:t xml:space="preserve"> Angel</w:t>
      </w:r>
      <w:r>
        <w:t>_________________________________</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proofErr w:type="gramStart"/>
      <w:r w:rsidRPr="00C86E91">
        <w:rPr>
          <w:b/>
        </w:rPr>
        <w:t>Personally</w:t>
      </w:r>
      <w:proofErr w:type="gramEnd"/>
      <w:r w:rsidRPr="00C86E91">
        <w:rPr>
          <w:b/>
        </w:rPr>
        <w:t xml:space="preserve"> Identifiable Information:</w:t>
      </w:r>
    </w:p>
    <w:p w:rsidR="00B46F2C" w:rsidP="00C86E91" w:rsidRDefault="00B46F2C" w14:paraId="6B430824" w14:textId="1184A3A0">
      <w:pPr>
        <w:pStyle w:val="ListParagraph"/>
        <w:numPr>
          <w:ilvl w:val="0"/>
          <w:numId w:val="18"/>
        </w:numPr>
      </w:pPr>
      <w:r>
        <w:t xml:space="preserve">Is personally identifiable information (PII) collected?  </w:t>
      </w:r>
      <w:proofErr w:type="gramStart"/>
      <w:r>
        <w:t>[  ]</w:t>
      </w:r>
      <w:proofErr w:type="gramEnd"/>
      <w:r>
        <w:t xml:space="preserve"> Yes  [</w:t>
      </w:r>
      <w:r w:rsidR="00D75A5A">
        <w:t>X</w:t>
      </w:r>
      <w:r>
        <w:t xml:space="preserve"> ]  No </w:t>
      </w:r>
    </w:p>
    <w:p w:rsidR="00B46F2C" w:rsidP="00C86E91" w:rsidRDefault="00B46F2C" w14:paraId="059C2C9E" w14:textId="32FEC0DC">
      <w:pPr>
        <w:pStyle w:val="ListParagraph"/>
        <w:numPr>
          <w:ilvl w:val="0"/>
          <w:numId w:val="18"/>
        </w:numPr>
      </w:pPr>
      <w:r>
        <w:t xml:space="preserve">If Yes, is the information that will be collected included in records that are subject to the Privacy Act of 1974?   </w:t>
      </w:r>
      <w:proofErr w:type="gramStart"/>
      <w:r>
        <w:t>[  ]</w:t>
      </w:r>
      <w:proofErr w:type="gramEnd"/>
      <w:r>
        <w:t xml:space="preserve"> Yes [ </w:t>
      </w:r>
      <w:r w:rsidR="00D75A5A">
        <w:t>X</w:t>
      </w:r>
      <w:r>
        <w:t xml:space="preserve">] No   </w:t>
      </w:r>
    </w:p>
    <w:p w:rsidR="00B46F2C" w:rsidP="00C86E91" w:rsidRDefault="00B46F2C" w14:paraId="53684D4A" w14:textId="49C25F89">
      <w:pPr>
        <w:pStyle w:val="ListParagraph"/>
        <w:numPr>
          <w:ilvl w:val="0"/>
          <w:numId w:val="18"/>
        </w:numPr>
      </w:pPr>
      <w:r>
        <w:t xml:space="preserve">If Applicable, has a System or Records Notice been published?  </w:t>
      </w:r>
      <w:proofErr w:type="gramStart"/>
      <w:r>
        <w:t>[  ]</w:t>
      </w:r>
      <w:proofErr w:type="gramEnd"/>
      <w:r>
        <w:t xml:space="preserve"> Yes  [</w:t>
      </w:r>
      <w:r w:rsidR="00D75A5A">
        <w:t>X</w:t>
      </w:r>
      <w:r>
        <w:t xml:space="preserve">  ] No</w:t>
      </w:r>
    </w:p>
    <w:p w:rsidR="004256F2" w:rsidP="004256F2" w:rsidRDefault="004256F2" w14:paraId="40D7EF53" w14:textId="404A7191"/>
    <w:p w:rsidR="004256F2" w:rsidP="004256F2" w:rsidRDefault="006C417E" w14:paraId="02F3AA36" w14:textId="6B5E42F7">
      <w:r w:rsidRPr="00A229AC">
        <w:t xml:space="preserve">This submission has been reviewed by the </w:t>
      </w:r>
      <w:r>
        <w:t xml:space="preserve">CDC </w:t>
      </w:r>
      <w:r w:rsidRPr="00A229AC">
        <w:t xml:space="preserve">NCIPC’s Information Systems Security Officer, who has determined that the Privacy Act does not apply because </w:t>
      </w:r>
      <w:r w:rsidRPr="00A229AC">
        <w:rPr>
          <w:rFonts w:eastAsiaTheme="minorEastAsia"/>
        </w:rPr>
        <w:t xml:space="preserve">CDC will not have access to or receive any personally identifiable information (PII) about participants. </w:t>
      </w:r>
      <w:r w:rsidRPr="00FC165D" w:rsidR="00737EEB">
        <w:rPr>
          <w:rFonts w:ascii="Calibri" w:hAnsi="Calibri"/>
        </w:rPr>
        <w:t xml:space="preserve">(Att. </w:t>
      </w:r>
      <w:r w:rsidR="00737EEB">
        <w:rPr>
          <w:rFonts w:ascii="Calibri" w:hAnsi="Calibri"/>
        </w:rPr>
        <w:t>4</w:t>
      </w:r>
      <w:r w:rsidRPr="00FC165D" w:rsidR="00737EEB">
        <w:rPr>
          <w:rFonts w:ascii="Calibri" w:hAnsi="Calibri"/>
        </w:rPr>
        <w:t xml:space="preserve">). </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259F7741">
      <w:r>
        <w:t xml:space="preserve">Is an incentive (e.g., money or reimbursement of expenses, token of appreciation) provided to participants?  </w:t>
      </w:r>
      <w:proofErr w:type="gramStart"/>
      <w:r>
        <w:t>[  ]</w:t>
      </w:r>
      <w:proofErr w:type="gramEnd"/>
      <w:r>
        <w:t xml:space="preserve"> Yes [ </w:t>
      </w:r>
      <w:r w:rsidR="00D75A5A">
        <w:t>X</w:t>
      </w:r>
      <w:r>
        <w:t xml:space="preserve"> ] No</w:t>
      </w:r>
    </w:p>
    <w:p w:rsidR="00EF484B" w:rsidP="00C86E91" w:rsidRDefault="00EF484B" w14:paraId="5B421EF2" w14:textId="77777777">
      <w:pPr>
        <w:rPr>
          <w:b/>
        </w:rPr>
      </w:pPr>
    </w:p>
    <w:p w:rsidRPr="001612AF" w:rsidR="00B46F2C" w:rsidRDefault="00EF484B" w14:paraId="665813D7" w14:textId="7EAB416A">
      <w:r>
        <w:rPr>
          <w:b/>
        </w:rPr>
        <w:lastRenderedPageBreak/>
        <w:t xml:space="preserve">If Yes: </w:t>
      </w:r>
      <w:r>
        <w:t>P</w:t>
      </w:r>
      <w:r w:rsidRPr="008F50D4">
        <w:t>lease describe</w:t>
      </w:r>
      <w:r>
        <w:t xml:space="preserve"> the incentive. If amounts are outside of customary incentives, please also </w:t>
      </w:r>
      <w:r w:rsidRPr="008F50D4">
        <w:t>provide a justification</w:t>
      </w:r>
      <w:r w:rsidR="00D75A5A">
        <w:t>.</w:t>
      </w:r>
      <w:r w:rsidRPr="008F50D4">
        <w:t xml:space="preserve"> </w:t>
      </w:r>
    </w:p>
    <w:p w:rsidR="00B46F2C" w:rsidRDefault="00B46F2C" w14:paraId="5BFDF9FE" w14:textId="77777777">
      <w:pPr>
        <w:rPr>
          <w:b/>
        </w:rPr>
      </w:pPr>
    </w:p>
    <w:p w:rsidRPr="001612AF" w:rsidR="00B46F2C" w:rsidP="001612AF" w:rsidRDefault="00B46F2C" w14:paraId="0F6F775B" w14:textId="42D20DD0">
      <w:pPr>
        <w:rPr>
          <w:i/>
        </w:rPr>
      </w:pPr>
      <w:r>
        <w:rPr>
          <w:b/>
        </w:rPr>
        <w:t>BURDEN HOURS</w:t>
      </w:r>
      <w:r>
        <w:t xml:space="preserve"> </w:t>
      </w:r>
    </w:p>
    <w:p w:rsidR="001612AF" w:rsidP="001612AF" w:rsidRDefault="001612AF" w14:paraId="547BEF01" w14:textId="77777777"/>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085"/>
        <w:gridCol w:w="1575"/>
        <w:gridCol w:w="1575"/>
        <w:gridCol w:w="1125"/>
      </w:tblGrid>
      <w:tr w:rsidR="001612AF" w:rsidTr="006D6116" w14:paraId="3C1D3739" w14:textId="77777777">
        <w:trPr>
          <w:trHeight w:val="540"/>
        </w:trPr>
        <w:tc>
          <w:tcPr>
            <w:tcW w:w="5085" w:type="dxa"/>
          </w:tcPr>
          <w:p w:rsidR="001612AF" w:rsidP="006D6116" w:rsidRDefault="001612AF" w14:paraId="318CE377" w14:textId="77777777">
            <w:pPr>
              <w:rPr>
                <w:b/>
              </w:rPr>
            </w:pPr>
            <w:r>
              <w:rPr>
                <w:b/>
              </w:rPr>
              <w:t xml:space="preserve">Category of Respondent </w:t>
            </w:r>
          </w:p>
        </w:tc>
        <w:tc>
          <w:tcPr>
            <w:tcW w:w="1575" w:type="dxa"/>
          </w:tcPr>
          <w:p w:rsidR="001612AF" w:rsidP="006D6116" w:rsidRDefault="001612AF" w14:paraId="04FF0781" w14:textId="77777777">
            <w:pPr>
              <w:rPr>
                <w:b/>
              </w:rPr>
            </w:pPr>
            <w:r>
              <w:rPr>
                <w:b/>
              </w:rPr>
              <w:t>No. of Respondents</w:t>
            </w:r>
          </w:p>
        </w:tc>
        <w:tc>
          <w:tcPr>
            <w:tcW w:w="1575" w:type="dxa"/>
          </w:tcPr>
          <w:p w:rsidR="001612AF" w:rsidP="006D6116" w:rsidRDefault="001612AF" w14:paraId="46CF86FA" w14:textId="77777777">
            <w:pPr>
              <w:rPr>
                <w:b/>
              </w:rPr>
            </w:pPr>
            <w:r>
              <w:rPr>
                <w:b/>
              </w:rPr>
              <w:t>Participation Time</w:t>
            </w:r>
          </w:p>
        </w:tc>
        <w:tc>
          <w:tcPr>
            <w:tcW w:w="1125" w:type="dxa"/>
          </w:tcPr>
          <w:p w:rsidR="001612AF" w:rsidP="006D6116" w:rsidRDefault="001612AF" w14:paraId="2279F79E" w14:textId="77777777">
            <w:pPr>
              <w:rPr>
                <w:b/>
              </w:rPr>
            </w:pPr>
            <w:r>
              <w:rPr>
                <w:b/>
              </w:rPr>
              <w:t>Burden</w:t>
            </w:r>
          </w:p>
        </w:tc>
      </w:tr>
      <w:tr w:rsidR="001612AF" w:rsidTr="006D6116" w14:paraId="70D7882C" w14:textId="77777777">
        <w:tc>
          <w:tcPr>
            <w:tcW w:w="5085" w:type="dxa"/>
          </w:tcPr>
          <w:p w:rsidR="001612AF" w:rsidP="006D6116" w:rsidRDefault="00D15203" w14:paraId="47DC62D8" w14:textId="77A504C6">
            <w:r>
              <w:t xml:space="preserve">Recruitment </w:t>
            </w:r>
            <w:r w:rsidR="001612AF">
              <w:t>letter</w:t>
            </w:r>
          </w:p>
        </w:tc>
        <w:tc>
          <w:tcPr>
            <w:tcW w:w="1575" w:type="dxa"/>
          </w:tcPr>
          <w:p w:rsidR="001612AF" w:rsidP="006D6116" w:rsidRDefault="00F40201" w14:paraId="6CC8C9D7" w14:textId="77777777">
            <w:sdt>
              <w:sdtPr>
                <w:tag w:val="goog_rdk_1"/>
                <w:id w:val="1962609136"/>
              </w:sdtPr>
              <w:sdtEndPr/>
              <w:sdtContent/>
            </w:sdt>
            <w:r w:rsidR="001612AF">
              <w:t>500</w:t>
            </w:r>
          </w:p>
        </w:tc>
        <w:tc>
          <w:tcPr>
            <w:tcW w:w="1575" w:type="dxa"/>
          </w:tcPr>
          <w:p w:rsidR="001612AF" w:rsidP="006D6116" w:rsidRDefault="001612AF" w14:paraId="6DF420FB" w14:textId="77777777">
            <w:r>
              <w:t>3/60</w:t>
            </w:r>
          </w:p>
        </w:tc>
        <w:tc>
          <w:tcPr>
            <w:tcW w:w="1125" w:type="dxa"/>
          </w:tcPr>
          <w:p w:rsidRPr="000B1668" w:rsidR="001612AF" w:rsidP="006D6116" w:rsidRDefault="001612AF" w14:paraId="49A24255" w14:textId="77777777">
            <w:pPr>
              <w:rPr>
                <w:color w:val="000000" w:themeColor="text1"/>
              </w:rPr>
            </w:pPr>
            <w:r>
              <w:rPr>
                <w:color w:val="000000" w:themeColor="text1"/>
              </w:rPr>
              <w:t>25</w:t>
            </w:r>
          </w:p>
        </w:tc>
      </w:tr>
      <w:tr w:rsidR="001612AF" w:rsidTr="006D6116" w14:paraId="471AFBCF" w14:textId="77777777">
        <w:tc>
          <w:tcPr>
            <w:tcW w:w="5085" w:type="dxa"/>
          </w:tcPr>
          <w:p w:rsidR="001612AF" w:rsidP="006D6116" w:rsidRDefault="001612AF" w14:paraId="56D0189B" w14:textId="3EC2F423">
            <w:pPr>
              <w:rPr>
                <w:i/>
              </w:rPr>
            </w:pPr>
            <w:r>
              <w:t xml:space="preserve">DVP grantees, DVP partners, and </w:t>
            </w:r>
            <w:r w:rsidR="00C7200B">
              <w:t>Veto Violence</w:t>
            </w:r>
            <w:r>
              <w:t xml:space="preserve"> account holders -</w:t>
            </w:r>
            <w:r w:rsidR="009F6ADB">
              <w:t>Online Survey</w:t>
            </w:r>
          </w:p>
        </w:tc>
        <w:tc>
          <w:tcPr>
            <w:tcW w:w="1575" w:type="dxa"/>
          </w:tcPr>
          <w:p w:rsidR="001612AF" w:rsidP="006D6116" w:rsidRDefault="00D15203" w14:paraId="084CD358" w14:textId="389A85F7">
            <w:r>
              <w:t>50</w:t>
            </w:r>
          </w:p>
        </w:tc>
        <w:tc>
          <w:tcPr>
            <w:tcW w:w="1575" w:type="dxa"/>
          </w:tcPr>
          <w:p w:rsidR="001612AF" w:rsidP="006D6116" w:rsidRDefault="001612AF" w14:paraId="06549311" w14:textId="77777777">
            <w:r>
              <w:t>30/60</w:t>
            </w:r>
          </w:p>
        </w:tc>
        <w:tc>
          <w:tcPr>
            <w:tcW w:w="1125" w:type="dxa"/>
          </w:tcPr>
          <w:p w:rsidR="001612AF" w:rsidP="006D6116" w:rsidRDefault="00D15203" w14:paraId="759A9A36" w14:textId="7FF0008A">
            <w:r>
              <w:t>25</w:t>
            </w:r>
          </w:p>
        </w:tc>
      </w:tr>
      <w:tr w:rsidR="00D15203" w:rsidTr="00C7200B" w14:paraId="0530442A" w14:textId="77777777">
        <w:trPr>
          <w:trHeight w:val="393"/>
        </w:trPr>
        <w:tc>
          <w:tcPr>
            <w:tcW w:w="5085" w:type="dxa"/>
            <w:shd w:val="clear" w:color="auto" w:fill="auto"/>
            <w:tcMar>
              <w:top w:w="100" w:type="dxa"/>
              <w:left w:w="100" w:type="dxa"/>
              <w:bottom w:w="100" w:type="dxa"/>
              <w:right w:w="100" w:type="dxa"/>
            </w:tcMar>
          </w:tcPr>
          <w:p w:rsidR="00D15203" w:rsidP="00D15203" w:rsidRDefault="00D15203" w14:paraId="713B0724" w14:textId="51C48664">
            <w:r>
              <w:t>DVP grantees, DVP partners</w:t>
            </w:r>
            <w:r w:rsidRPr="009F6ADB">
              <w:t xml:space="preserve">- </w:t>
            </w:r>
            <w:r w:rsidRPr="009F6ADB" w:rsidR="009F6ADB">
              <w:t>Remote Interview</w:t>
            </w:r>
          </w:p>
        </w:tc>
        <w:tc>
          <w:tcPr>
            <w:tcW w:w="1575" w:type="dxa"/>
            <w:shd w:val="clear" w:color="auto" w:fill="auto"/>
            <w:tcMar>
              <w:top w:w="100" w:type="dxa"/>
              <w:left w:w="100" w:type="dxa"/>
              <w:bottom w:w="100" w:type="dxa"/>
              <w:right w:w="100" w:type="dxa"/>
            </w:tcMar>
          </w:tcPr>
          <w:p w:rsidR="00D15203" w:rsidP="00D15203" w:rsidRDefault="00D15203" w14:paraId="008DF335" w14:textId="7C0E921E">
            <w:pPr>
              <w:widowControl w:val="0"/>
              <w:pBdr>
                <w:top w:val="nil"/>
                <w:left w:val="nil"/>
                <w:bottom w:val="nil"/>
                <w:right w:val="nil"/>
                <w:between w:val="nil"/>
              </w:pBdr>
            </w:pPr>
            <w:r>
              <w:t>17</w:t>
            </w:r>
          </w:p>
        </w:tc>
        <w:tc>
          <w:tcPr>
            <w:tcW w:w="1575" w:type="dxa"/>
            <w:shd w:val="clear" w:color="auto" w:fill="auto"/>
            <w:tcMar>
              <w:top w:w="100" w:type="dxa"/>
              <w:left w:w="100" w:type="dxa"/>
              <w:bottom w:w="100" w:type="dxa"/>
              <w:right w:w="100" w:type="dxa"/>
            </w:tcMar>
          </w:tcPr>
          <w:p w:rsidR="00D15203" w:rsidP="00D15203" w:rsidRDefault="00D15203" w14:paraId="60B7E6EF" w14:textId="16AED3DB">
            <w:r>
              <w:t>60/60</w:t>
            </w:r>
          </w:p>
        </w:tc>
        <w:tc>
          <w:tcPr>
            <w:tcW w:w="1125" w:type="dxa"/>
            <w:shd w:val="clear" w:color="auto" w:fill="auto"/>
            <w:tcMar>
              <w:top w:w="100" w:type="dxa"/>
              <w:left w:w="100" w:type="dxa"/>
              <w:bottom w:w="100" w:type="dxa"/>
              <w:right w:w="100" w:type="dxa"/>
            </w:tcMar>
          </w:tcPr>
          <w:p w:rsidR="00D15203" w:rsidP="00D15203" w:rsidRDefault="00D15203" w14:paraId="0A233EE3" w14:textId="0EC9D41F">
            <w:pPr>
              <w:widowControl w:val="0"/>
              <w:pBdr>
                <w:top w:val="nil"/>
                <w:left w:val="nil"/>
                <w:bottom w:val="nil"/>
                <w:right w:val="nil"/>
                <w:between w:val="nil"/>
              </w:pBdr>
            </w:pPr>
            <w:r>
              <w:t>17</w:t>
            </w:r>
          </w:p>
        </w:tc>
      </w:tr>
      <w:tr w:rsidR="00D15203" w:rsidTr="006D6116" w14:paraId="5C77FA5A" w14:textId="77777777">
        <w:tc>
          <w:tcPr>
            <w:tcW w:w="5085" w:type="dxa"/>
            <w:shd w:val="clear" w:color="auto" w:fill="auto"/>
            <w:tcMar>
              <w:top w:w="100" w:type="dxa"/>
              <w:left w:w="100" w:type="dxa"/>
              <w:bottom w:w="100" w:type="dxa"/>
              <w:right w:w="100" w:type="dxa"/>
            </w:tcMar>
          </w:tcPr>
          <w:p w:rsidR="00D15203" w:rsidP="00D15203" w:rsidRDefault="00D15203" w14:paraId="27B3AD7E" w14:textId="77777777">
            <w:r>
              <w:rPr>
                <w:b/>
              </w:rPr>
              <w:t>Totals</w:t>
            </w:r>
          </w:p>
        </w:tc>
        <w:tc>
          <w:tcPr>
            <w:tcW w:w="1575" w:type="dxa"/>
            <w:shd w:val="clear" w:color="auto" w:fill="auto"/>
            <w:tcMar>
              <w:top w:w="100" w:type="dxa"/>
              <w:left w:w="100" w:type="dxa"/>
              <w:bottom w:w="100" w:type="dxa"/>
              <w:right w:w="100" w:type="dxa"/>
            </w:tcMar>
          </w:tcPr>
          <w:p w:rsidRPr="000B1668" w:rsidR="00D15203" w:rsidP="00D15203" w:rsidRDefault="00D15203" w14:paraId="33137106" w14:textId="6D11C78A">
            <w:pPr>
              <w:widowControl w:val="0"/>
              <w:pBdr>
                <w:top w:val="nil"/>
                <w:left w:val="nil"/>
                <w:bottom w:val="nil"/>
                <w:right w:val="nil"/>
                <w:between w:val="nil"/>
              </w:pBdr>
              <w:rPr>
                <w:color w:val="000000" w:themeColor="text1"/>
              </w:rPr>
            </w:pPr>
          </w:p>
        </w:tc>
        <w:tc>
          <w:tcPr>
            <w:tcW w:w="1575" w:type="dxa"/>
            <w:shd w:val="clear" w:color="auto" w:fill="auto"/>
            <w:tcMar>
              <w:top w:w="100" w:type="dxa"/>
              <w:left w:w="100" w:type="dxa"/>
              <w:bottom w:w="100" w:type="dxa"/>
              <w:right w:w="100" w:type="dxa"/>
            </w:tcMar>
          </w:tcPr>
          <w:p w:rsidR="00D15203" w:rsidP="00D15203" w:rsidRDefault="00D15203" w14:paraId="0BE3BA24" w14:textId="791FAD5F">
            <w:pPr>
              <w:widowControl w:val="0"/>
              <w:pBdr>
                <w:top w:val="nil"/>
                <w:left w:val="nil"/>
                <w:bottom w:val="nil"/>
                <w:right w:val="nil"/>
                <w:between w:val="nil"/>
              </w:pBdr>
            </w:pPr>
          </w:p>
        </w:tc>
        <w:tc>
          <w:tcPr>
            <w:tcW w:w="1125" w:type="dxa"/>
            <w:shd w:val="clear" w:color="auto" w:fill="auto"/>
            <w:tcMar>
              <w:top w:w="100" w:type="dxa"/>
              <w:left w:w="100" w:type="dxa"/>
              <w:bottom w:w="100" w:type="dxa"/>
              <w:right w:w="100" w:type="dxa"/>
            </w:tcMar>
          </w:tcPr>
          <w:p w:rsidRPr="006567F7" w:rsidR="00D15203" w:rsidP="00D15203" w:rsidRDefault="00D15203" w14:paraId="3A68AB14" w14:textId="0B8CECD6">
            <w:pPr>
              <w:widowControl w:val="0"/>
              <w:pBdr>
                <w:top w:val="nil"/>
                <w:left w:val="nil"/>
                <w:bottom w:val="nil"/>
                <w:right w:val="nil"/>
                <w:between w:val="nil"/>
              </w:pBdr>
              <w:rPr>
                <w:color w:val="000000" w:themeColor="text1"/>
              </w:rPr>
            </w:pPr>
            <w:r>
              <w:rPr>
                <w:color w:val="000000" w:themeColor="text1"/>
              </w:rPr>
              <w:t>67</w:t>
            </w:r>
          </w:p>
        </w:tc>
      </w:tr>
    </w:tbl>
    <w:p w:rsidR="001612AF" w:rsidP="001612AF" w:rsidRDefault="001612AF" w14:paraId="01CC319B" w14:textId="77777777"/>
    <w:p w:rsidR="00B46F2C" w:rsidP="00F3170F" w:rsidRDefault="00B46F2C" w14:paraId="1AB33144" w14:textId="77777777"/>
    <w:p w:rsidR="00B46F2C" w:rsidRDefault="00B46F2C" w14:paraId="6775AEDB" w14:textId="360CCF6E">
      <w:pPr>
        <w:rPr>
          <w:b/>
        </w:rPr>
      </w:pPr>
      <w:r>
        <w:rPr>
          <w:b/>
        </w:rPr>
        <w:t xml:space="preserve">FEDERAL COST:  </w:t>
      </w:r>
      <w:r>
        <w:t xml:space="preserve">The estimated annual cost to the Federal government </w:t>
      </w:r>
      <w:proofErr w:type="gramStart"/>
      <w:r>
        <w:t>is  _</w:t>
      </w:r>
      <w:proofErr w:type="gramEnd"/>
      <w:r>
        <w:t>_</w:t>
      </w:r>
      <w:r w:rsidRPr="00AE48D9" w:rsidR="001612AF">
        <w:rPr>
          <w:u w:val="single"/>
        </w:rPr>
        <w:t>$</w:t>
      </w:r>
      <w:r w:rsidR="001612AF">
        <w:rPr>
          <w:u w:val="single"/>
        </w:rPr>
        <w:t>7,0</w:t>
      </w:r>
      <w:r w:rsidRPr="00AE48D9" w:rsidR="001612AF">
        <w:rPr>
          <w:u w:val="single"/>
        </w:rPr>
        <w:t>00</w:t>
      </w:r>
      <w:r w:rsidR="001612AF">
        <w:t xml:space="preserve">. </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709DDA82">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1612AF">
        <w:t>X</w:t>
      </w:r>
      <w:r>
        <w:t>] Yes</w:t>
      </w:r>
      <w:r>
        <w:tab/>
      </w:r>
      <w:proofErr w:type="gramStart"/>
      <w:r>
        <w:t>[ ]</w:t>
      </w:r>
      <w:proofErr w:type="gramEnd"/>
      <w:r>
        <w:t xml:space="preserve">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407FE33B">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1612AF" w:rsidP="001B0AAA" w:rsidRDefault="001612AF" w14:paraId="053D14F2" w14:textId="13593878"/>
    <w:p w:rsidRPr="00AC07C7" w:rsidR="00C33769" w:rsidP="00C33769" w:rsidRDefault="00C33769" w14:paraId="5C9BBFF8" w14:textId="697FD5AD">
      <w:pPr>
        <w:rPr>
          <w:rFonts w:ascii="Calibri" w:hAnsi="Calibri"/>
        </w:rPr>
      </w:pPr>
      <w:r>
        <w:rPr>
          <w:rFonts w:ascii="Calibri" w:hAnsi="Calibri"/>
        </w:rPr>
        <w:t>This usability testing effort will draw from two groups of potential respondents. The first group includes DVP recipients</w:t>
      </w:r>
      <w:r w:rsidR="003F5309">
        <w:rPr>
          <w:rFonts w:ascii="Calibri" w:hAnsi="Calibri"/>
        </w:rPr>
        <w:t xml:space="preserve">, DVP partners, and </w:t>
      </w:r>
      <w:proofErr w:type="spellStart"/>
      <w:r w:rsidR="003F5309">
        <w:rPr>
          <w:rFonts w:ascii="Calibri" w:hAnsi="Calibri"/>
        </w:rPr>
        <w:t>VetoViolence</w:t>
      </w:r>
      <w:proofErr w:type="spellEnd"/>
      <w:r w:rsidR="003F5309">
        <w:rPr>
          <w:rFonts w:ascii="Calibri" w:hAnsi="Calibri"/>
        </w:rPr>
        <w:t xml:space="preserve"> users. T</w:t>
      </w:r>
      <w:r>
        <w:rPr>
          <w:rFonts w:ascii="Calibri" w:hAnsi="Calibri"/>
        </w:rPr>
        <w:t>he second group includes DVP partners</w:t>
      </w:r>
      <w:r w:rsidR="003F5309">
        <w:rPr>
          <w:rFonts w:ascii="Calibri" w:hAnsi="Calibri"/>
        </w:rPr>
        <w:t xml:space="preserve"> and recipients</w:t>
      </w:r>
      <w:r>
        <w:rPr>
          <w:rFonts w:ascii="Calibri" w:hAnsi="Calibri"/>
        </w:rPr>
        <w:t xml:space="preserve"> who may </w:t>
      </w:r>
      <w:r w:rsidR="003F5309">
        <w:rPr>
          <w:rFonts w:ascii="Calibri" w:hAnsi="Calibri"/>
        </w:rPr>
        <w:t>be more familiar with program implementation</w:t>
      </w:r>
      <w:r>
        <w:rPr>
          <w:rFonts w:ascii="Calibri" w:hAnsi="Calibri"/>
        </w:rPr>
        <w:t xml:space="preserve">. DVP staff will be responsible for identifying and inviting grantees and partners to participate in the usability testing effort </w:t>
      </w:r>
      <w:r w:rsidRPr="0030513D">
        <w:rPr>
          <w:rFonts w:ascii="Calibri" w:hAnsi="Calibri"/>
        </w:rPr>
        <w:t>(Att.</w:t>
      </w:r>
      <w:r w:rsidR="00C7200B">
        <w:rPr>
          <w:rFonts w:ascii="Calibri" w:hAnsi="Calibri"/>
        </w:rPr>
        <w:t>2</w:t>
      </w:r>
      <w:r w:rsidRPr="0030513D">
        <w:rPr>
          <w:rFonts w:ascii="Calibri" w:hAnsi="Calibri"/>
        </w:rPr>
        <w:t>).</w:t>
      </w:r>
      <w:r>
        <w:rPr>
          <w:rFonts w:ascii="Calibri" w:hAnsi="Calibri"/>
        </w:rPr>
        <w:t xml:space="preserve"> </w:t>
      </w:r>
      <w:r w:rsidR="00673371">
        <w:rPr>
          <w:rFonts w:ascii="Calibri" w:hAnsi="Calibri"/>
        </w:rPr>
        <w:t xml:space="preserve">The </w:t>
      </w:r>
      <w:r w:rsidR="00B03EE0">
        <w:rPr>
          <w:rFonts w:ascii="Calibri" w:hAnsi="Calibri"/>
        </w:rPr>
        <w:t>contractor will</w:t>
      </w:r>
      <w:r>
        <w:rPr>
          <w:rFonts w:ascii="Calibri" w:hAnsi="Calibri"/>
        </w:rPr>
        <w:t xml:space="preserve"> invite participants to test the Dating Matters website and communicate with potential respondents about the interviews (Att.</w:t>
      </w:r>
      <w:r w:rsidR="00C7200B">
        <w:rPr>
          <w:rFonts w:ascii="Calibri" w:hAnsi="Calibri"/>
        </w:rPr>
        <w:t>3</w:t>
      </w:r>
      <w:r>
        <w:rPr>
          <w:rFonts w:ascii="Calibri" w:hAnsi="Calibri"/>
        </w:rPr>
        <w:t>).</w:t>
      </w:r>
    </w:p>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6EE27C32">
      <w:pPr>
        <w:ind w:left="720"/>
      </w:pPr>
      <w:r>
        <w:t>[</w:t>
      </w:r>
      <w:r w:rsidR="001612AF">
        <w:t>X</w:t>
      </w:r>
      <w:r>
        <w:t xml:space="preserve">] Web-based or other forms of Social Media </w:t>
      </w:r>
    </w:p>
    <w:p w:rsidR="00B46F2C" w:rsidP="001B0AAA" w:rsidRDefault="00B46F2C" w14:paraId="6F829B01" w14:textId="77777777">
      <w:pPr>
        <w:ind w:left="720"/>
      </w:pPr>
      <w:proofErr w:type="gramStart"/>
      <w:r>
        <w:t>[  ]</w:t>
      </w:r>
      <w:proofErr w:type="gramEnd"/>
      <w:r>
        <w:t xml:space="preserve"> Telephone</w:t>
      </w:r>
      <w:r>
        <w:tab/>
      </w:r>
    </w:p>
    <w:p w:rsidR="00B46F2C" w:rsidP="001B0AAA" w:rsidRDefault="00B46F2C" w14:paraId="008163E3" w14:textId="77777777">
      <w:pPr>
        <w:ind w:left="720"/>
      </w:pPr>
      <w:proofErr w:type="gramStart"/>
      <w:r>
        <w:t>[  ]</w:t>
      </w:r>
      <w:proofErr w:type="gramEnd"/>
      <w:r>
        <w:t xml:space="preserve"> In-person</w:t>
      </w:r>
      <w:r>
        <w:tab/>
      </w:r>
    </w:p>
    <w:p w:rsidR="00B46F2C" w:rsidP="001B0AAA" w:rsidRDefault="00B46F2C" w14:paraId="7EE1ABF1" w14:textId="77777777">
      <w:pPr>
        <w:ind w:left="720"/>
      </w:pPr>
      <w:proofErr w:type="gramStart"/>
      <w:r>
        <w:t>[  ]</w:t>
      </w:r>
      <w:proofErr w:type="gramEnd"/>
      <w:r>
        <w:t xml:space="preserve"> Mail </w:t>
      </w:r>
    </w:p>
    <w:p w:rsidR="00B46F2C" w:rsidP="001B0AAA" w:rsidRDefault="00B46F2C" w14:paraId="328E2A66" w14:textId="55046313">
      <w:pPr>
        <w:ind w:left="720"/>
      </w:pPr>
      <w:r>
        <w:t xml:space="preserve">[ </w:t>
      </w:r>
      <w:proofErr w:type="gramStart"/>
      <w:r w:rsidR="00F81A0B">
        <w:t>X</w:t>
      </w:r>
      <w:r>
        <w:t xml:space="preserve"> ]</w:t>
      </w:r>
      <w:proofErr w:type="gramEnd"/>
      <w:r>
        <w:t xml:space="preserve"> Other, Explain</w:t>
      </w:r>
      <w:r w:rsidR="00F81A0B">
        <w:t xml:space="preserve"> - </w:t>
      </w:r>
      <w:r w:rsidR="00F81A0B">
        <w:rPr>
          <w:rFonts w:ascii="Calibri" w:hAnsi="Calibri"/>
        </w:rPr>
        <w:t>Remote access interview</w:t>
      </w:r>
    </w:p>
    <w:p w:rsidR="00FC165D" w:rsidP="001B0AAA" w:rsidRDefault="00FC165D" w14:paraId="291DE082" w14:textId="77777777">
      <w:pPr>
        <w:ind w:left="720"/>
      </w:pPr>
    </w:p>
    <w:p w:rsidR="00B46F2C" w:rsidP="00F24CFC" w:rsidRDefault="00B46F2C" w14:paraId="12FD5503" w14:textId="28D7CD4F">
      <w:pPr>
        <w:pStyle w:val="ListParagraph"/>
        <w:numPr>
          <w:ilvl w:val="0"/>
          <w:numId w:val="17"/>
        </w:numPr>
      </w:pPr>
      <w:r>
        <w:t xml:space="preserve">Will interviewers or facilitators be used?  [ </w:t>
      </w:r>
      <w:proofErr w:type="gramStart"/>
      <w:r w:rsidR="00FC165D">
        <w:t>X</w:t>
      </w:r>
      <w:r>
        <w:t xml:space="preserve"> ]</w:t>
      </w:r>
      <w:proofErr w:type="gramEnd"/>
      <w:r>
        <w:t xml:space="preserve"> Yes [  ] No</w:t>
      </w:r>
    </w:p>
    <w:p w:rsidR="00FC165D" w:rsidP="00FC165D" w:rsidRDefault="00FC165D" w14:paraId="4853419F" w14:textId="77777777">
      <w:pPr>
        <w:pStyle w:val="ListParagraph"/>
        <w:tabs>
          <w:tab w:val="left" w:pos="5670"/>
        </w:tabs>
        <w:suppressAutoHyphens/>
        <w:ind w:left="360"/>
        <w:outlineLvl w:val="0"/>
        <w:rPr>
          <w:rFonts w:ascii="Calibri" w:hAnsi="Calibri"/>
        </w:rPr>
      </w:pPr>
    </w:p>
    <w:p w:rsidRPr="00FC165D" w:rsidR="00FC165D" w:rsidP="00FC165D" w:rsidRDefault="00FC165D" w14:paraId="2A53A4CC" w14:textId="11529618">
      <w:pPr>
        <w:pStyle w:val="ListParagraph"/>
        <w:tabs>
          <w:tab w:val="left" w:pos="5670"/>
        </w:tabs>
        <w:suppressAutoHyphens/>
        <w:ind w:left="360"/>
        <w:outlineLvl w:val="0"/>
        <w:rPr>
          <w:rFonts w:asciiTheme="minorHAnsi" w:hAnsiTheme="minorHAnsi"/>
        </w:rPr>
      </w:pPr>
      <w:r w:rsidRPr="00FC165D">
        <w:rPr>
          <w:rFonts w:ascii="Calibri" w:hAnsi="Calibri"/>
        </w:rPr>
        <w:lastRenderedPageBreak/>
        <w:t xml:space="preserve">DVP Project Officers or appropriate DVP staff person with a working relationship with the partner will send recruitment letters to grantees and partners inviting them to participate in the testing effort (Att. 1). The respondents will be asked to review the Dating Matters Toolkit webpages. </w:t>
      </w:r>
      <w:r w:rsidRPr="00FC165D">
        <w:rPr>
          <w:rFonts w:asciiTheme="minorHAnsi" w:hAnsiTheme="minorHAnsi"/>
        </w:rPr>
        <w:t>After reviewing the webpages</w:t>
      </w:r>
      <w:r w:rsidRPr="00FC165D">
        <w:rPr>
          <w:rFonts w:ascii="Calibri" w:hAnsi="Calibri"/>
        </w:rPr>
        <w:t xml:space="preserve">, the respondent will be asked to respond to survey questions related to the task he or she has just reviewed (Att. </w:t>
      </w:r>
      <w:r w:rsidR="005B5A3B">
        <w:rPr>
          <w:rFonts w:ascii="Calibri" w:hAnsi="Calibri"/>
        </w:rPr>
        <w:t>2</w:t>
      </w:r>
      <w:r w:rsidR="00595742">
        <w:rPr>
          <w:rFonts w:ascii="Calibri" w:hAnsi="Calibri"/>
        </w:rPr>
        <w:t xml:space="preserve"> and </w:t>
      </w:r>
      <w:r w:rsidR="005B5A3B">
        <w:rPr>
          <w:rFonts w:ascii="Calibri" w:hAnsi="Calibri"/>
        </w:rPr>
        <w:t>2</w:t>
      </w:r>
      <w:r w:rsidR="00595742">
        <w:rPr>
          <w:rFonts w:ascii="Calibri" w:hAnsi="Calibri"/>
        </w:rPr>
        <w:t>a</w:t>
      </w:r>
      <w:r w:rsidRPr="00FC165D">
        <w:rPr>
          <w:rFonts w:ascii="Calibri" w:hAnsi="Calibri"/>
        </w:rPr>
        <w:t>).</w:t>
      </w:r>
    </w:p>
    <w:p w:rsidRPr="00FC165D" w:rsidR="00FC165D" w:rsidP="00FC165D" w:rsidRDefault="00FC165D" w14:paraId="65E5E040" w14:textId="77777777">
      <w:pPr>
        <w:pStyle w:val="ListParagraph"/>
        <w:ind w:left="360"/>
        <w:rPr>
          <w:rFonts w:ascii="Calibri" w:hAnsi="Calibri"/>
        </w:rPr>
      </w:pPr>
    </w:p>
    <w:p w:rsidRPr="00B23743" w:rsidR="00FC165D" w:rsidP="00FC165D" w:rsidRDefault="00FC165D" w14:paraId="3ED8F5A8" w14:textId="0C2575F6">
      <w:pPr>
        <w:pStyle w:val="Default"/>
        <w:tabs>
          <w:tab w:val="left" w:pos="5670"/>
        </w:tabs>
        <w:suppressAutoHyphens/>
        <w:ind w:left="360"/>
        <w:outlineLvl w:val="0"/>
        <w:rPr>
          <w:rFonts w:ascii="Calibri" w:hAnsi="Calibri"/>
        </w:rPr>
      </w:pPr>
      <w:r w:rsidRPr="00B23743">
        <w:rPr>
          <w:rFonts w:ascii="Calibri" w:hAnsi="Calibri"/>
        </w:rPr>
        <w:t xml:space="preserve">At the end of the survey, respondents will be asked if they would voluntarily participate in an interview to </w:t>
      </w:r>
      <w:r>
        <w:rPr>
          <w:rFonts w:ascii="Calibri" w:hAnsi="Calibri"/>
        </w:rPr>
        <w:t xml:space="preserve">provide feedback on a specific role or </w:t>
      </w:r>
      <w:proofErr w:type="gramStart"/>
      <w:r>
        <w:rPr>
          <w:rFonts w:ascii="Calibri" w:hAnsi="Calibri"/>
        </w:rPr>
        <w:t>component</w:t>
      </w:r>
      <w:r w:rsidR="005B5A3B">
        <w:rPr>
          <w:rFonts w:ascii="Calibri" w:hAnsi="Calibri"/>
        </w:rPr>
        <w:t>(</w:t>
      </w:r>
      <w:proofErr w:type="spellStart"/>
      <w:proofErr w:type="gramEnd"/>
      <w:r w:rsidR="005B5A3B">
        <w:rPr>
          <w:rFonts w:ascii="Calibri" w:hAnsi="Calibri"/>
        </w:rPr>
        <w:t>Att</w:t>
      </w:r>
      <w:proofErr w:type="spellEnd"/>
      <w:r w:rsidR="005B5A3B">
        <w:rPr>
          <w:rFonts w:ascii="Calibri" w:hAnsi="Calibri"/>
        </w:rPr>
        <w:t xml:space="preserve"> 3)</w:t>
      </w:r>
      <w:r>
        <w:rPr>
          <w:rFonts w:ascii="Calibri" w:hAnsi="Calibri"/>
        </w:rPr>
        <w:t xml:space="preserve">. </w:t>
      </w:r>
      <w:r w:rsidR="00F81A0B">
        <w:rPr>
          <w:rFonts w:ascii="Calibri" w:hAnsi="Calibri"/>
        </w:rPr>
        <w:t>The contractor</w:t>
      </w:r>
      <w:r>
        <w:rPr>
          <w:rFonts w:ascii="Calibri" w:hAnsi="Calibri"/>
        </w:rPr>
        <w:t xml:space="preserve"> will reach out to the respondents to schedule the individual interviews. Based on the individual’s experience and role in their organization, they will be assigned one role and its component based on the list above. </w:t>
      </w:r>
    </w:p>
    <w:p w:rsidR="00B46F2C" w:rsidP="00F24CFC" w:rsidRDefault="00B46F2C" w14:paraId="1BB31248" w14:textId="38816F39">
      <w:pPr>
        <w:pStyle w:val="ListParagraph"/>
        <w:ind w:left="360"/>
      </w:pPr>
    </w:p>
    <w:p w:rsidR="00B46F2C" w:rsidP="0024521E" w:rsidRDefault="00B46F2C" w14:paraId="3FD124DB" w14:textId="77777777">
      <w:pPr>
        <w:rPr>
          <w:b/>
        </w:rPr>
      </w:pPr>
      <w:r w:rsidRPr="00F24CFC">
        <w:rPr>
          <w:b/>
        </w:rPr>
        <w:t>Please make sure that all instruments, instructions, and scripts are submitted with the request.</w:t>
      </w:r>
    </w:p>
    <w:p w:rsidRPr="00F24CFC" w:rsidR="003A4C87" w:rsidP="0024521E" w:rsidRDefault="003A4C87" w14:paraId="557FB116" w14:textId="77777777">
      <w:pPr>
        <w:rPr>
          <w:b/>
        </w:rPr>
      </w:pPr>
    </w:p>
    <w:sectPr w:rsidRPr="00F24CFC" w:rsidR="003A4C87"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29B46" w14:textId="77777777" w:rsidR="00AA3A2F" w:rsidRDefault="00AA3A2F">
      <w:r>
        <w:separator/>
      </w:r>
    </w:p>
  </w:endnote>
  <w:endnote w:type="continuationSeparator" w:id="0">
    <w:p w14:paraId="2425E3CE" w14:textId="77777777" w:rsidR="00AA3A2F" w:rsidRDefault="00AA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2B903687"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5ED1C" w14:textId="77777777" w:rsidR="00AA3A2F" w:rsidRDefault="00AA3A2F">
      <w:r>
        <w:separator/>
      </w:r>
    </w:p>
  </w:footnote>
  <w:footnote w:type="continuationSeparator" w:id="0">
    <w:p w14:paraId="7208C23B" w14:textId="77777777" w:rsidR="00AA3A2F" w:rsidRDefault="00AA3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40492E"/>
    <w:multiLevelType w:val="hybridMultilevel"/>
    <w:tmpl w:val="3806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2DC"/>
    <w:rsid w:val="00023A57"/>
    <w:rsid w:val="00047A64"/>
    <w:rsid w:val="00067329"/>
    <w:rsid w:val="000B2838"/>
    <w:rsid w:val="000D44CA"/>
    <w:rsid w:val="000E200B"/>
    <w:rsid w:val="000F68BE"/>
    <w:rsid w:val="000F6D85"/>
    <w:rsid w:val="001149F8"/>
    <w:rsid w:val="00145293"/>
    <w:rsid w:val="00146B20"/>
    <w:rsid w:val="001612AF"/>
    <w:rsid w:val="00170D16"/>
    <w:rsid w:val="001927A4"/>
    <w:rsid w:val="00194AC6"/>
    <w:rsid w:val="001A23B0"/>
    <w:rsid w:val="001A25CC"/>
    <w:rsid w:val="001B0AAA"/>
    <w:rsid w:val="001C39F7"/>
    <w:rsid w:val="00237B48"/>
    <w:rsid w:val="0024035B"/>
    <w:rsid w:val="0024521E"/>
    <w:rsid w:val="00263C3D"/>
    <w:rsid w:val="00265236"/>
    <w:rsid w:val="00274D0B"/>
    <w:rsid w:val="002821FF"/>
    <w:rsid w:val="00291893"/>
    <w:rsid w:val="002A2127"/>
    <w:rsid w:val="002B3C95"/>
    <w:rsid w:val="002D0B92"/>
    <w:rsid w:val="002E52CD"/>
    <w:rsid w:val="00323326"/>
    <w:rsid w:val="003675DB"/>
    <w:rsid w:val="003859BC"/>
    <w:rsid w:val="00391BB4"/>
    <w:rsid w:val="003A4C87"/>
    <w:rsid w:val="003C4F49"/>
    <w:rsid w:val="003D4BCD"/>
    <w:rsid w:val="003D5BBE"/>
    <w:rsid w:val="003E05AC"/>
    <w:rsid w:val="003E3C61"/>
    <w:rsid w:val="003F1C5B"/>
    <w:rsid w:val="003F5309"/>
    <w:rsid w:val="0040417A"/>
    <w:rsid w:val="0041337D"/>
    <w:rsid w:val="004256F2"/>
    <w:rsid w:val="00434E33"/>
    <w:rsid w:val="00441434"/>
    <w:rsid w:val="00450CC2"/>
    <w:rsid w:val="0045264C"/>
    <w:rsid w:val="004876EC"/>
    <w:rsid w:val="004A52CE"/>
    <w:rsid w:val="004D6E14"/>
    <w:rsid w:val="004E1C18"/>
    <w:rsid w:val="005009B0"/>
    <w:rsid w:val="00512CA7"/>
    <w:rsid w:val="00595742"/>
    <w:rsid w:val="005A1006"/>
    <w:rsid w:val="005A1ED9"/>
    <w:rsid w:val="005B5A3B"/>
    <w:rsid w:val="005E714A"/>
    <w:rsid w:val="006140A0"/>
    <w:rsid w:val="00621E79"/>
    <w:rsid w:val="00636621"/>
    <w:rsid w:val="00642B49"/>
    <w:rsid w:val="00655F9E"/>
    <w:rsid w:val="00660A3F"/>
    <w:rsid w:val="00673371"/>
    <w:rsid w:val="006832D9"/>
    <w:rsid w:val="0069403B"/>
    <w:rsid w:val="0069539F"/>
    <w:rsid w:val="006A686F"/>
    <w:rsid w:val="006C11EF"/>
    <w:rsid w:val="006C417E"/>
    <w:rsid w:val="006F3DDE"/>
    <w:rsid w:val="00704678"/>
    <w:rsid w:val="00713DC4"/>
    <w:rsid w:val="00737EEB"/>
    <w:rsid w:val="007425E7"/>
    <w:rsid w:val="007B05B4"/>
    <w:rsid w:val="007C2DF4"/>
    <w:rsid w:val="00802607"/>
    <w:rsid w:val="008101A5"/>
    <w:rsid w:val="00822664"/>
    <w:rsid w:val="00843796"/>
    <w:rsid w:val="00895229"/>
    <w:rsid w:val="008F0203"/>
    <w:rsid w:val="008F50D4"/>
    <w:rsid w:val="009239AA"/>
    <w:rsid w:val="00935927"/>
    <w:rsid w:val="00935ADA"/>
    <w:rsid w:val="00946B6C"/>
    <w:rsid w:val="00955A71"/>
    <w:rsid w:val="0096108F"/>
    <w:rsid w:val="009930A5"/>
    <w:rsid w:val="009C13B9"/>
    <w:rsid w:val="009D01A2"/>
    <w:rsid w:val="009F5923"/>
    <w:rsid w:val="009F6ADB"/>
    <w:rsid w:val="00A403BB"/>
    <w:rsid w:val="00A56248"/>
    <w:rsid w:val="00A674DF"/>
    <w:rsid w:val="00A83AA6"/>
    <w:rsid w:val="00AA3A2F"/>
    <w:rsid w:val="00AD3D72"/>
    <w:rsid w:val="00AE1809"/>
    <w:rsid w:val="00B03EE0"/>
    <w:rsid w:val="00B46F2C"/>
    <w:rsid w:val="00B76F71"/>
    <w:rsid w:val="00B80D76"/>
    <w:rsid w:val="00B876F2"/>
    <w:rsid w:val="00B954E1"/>
    <w:rsid w:val="00BA2105"/>
    <w:rsid w:val="00BA7E06"/>
    <w:rsid w:val="00BB43B5"/>
    <w:rsid w:val="00BB6219"/>
    <w:rsid w:val="00BC1AA6"/>
    <w:rsid w:val="00BD290F"/>
    <w:rsid w:val="00C008AA"/>
    <w:rsid w:val="00C14CC4"/>
    <w:rsid w:val="00C33769"/>
    <w:rsid w:val="00C33C52"/>
    <w:rsid w:val="00C40D8B"/>
    <w:rsid w:val="00C659FD"/>
    <w:rsid w:val="00C7200B"/>
    <w:rsid w:val="00C809B5"/>
    <w:rsid w:val="00C8407A"/>
    <w:rsid w:val="00C8488C"/>
    <w:rsid w:val="00C86E91"/>
    <w:rsid w:val="00C9606B"/>
    <w:rsid w:val="00CA2650"/>
    <w:rsid w:val="00CA3AF3"/>
    <w:rsid w:val="00CB1078"/>
    <w:rsid w:val="00CC6FAF"/>
    <w:rsid w:val="00CE7721"/>
    <w:rsid w:val="00D15203"/>
    <w:rsid w:val="00D24698"/>
    <w:rsid w:val="00D6383F"/>
    <w:rsid w:val="00D71221"/>
    <w:rsid w:val="00D75A5A"/>
    <w:rsid w:val="00DB59D0"/>
    <w:rsid w:val="00DC33D3"/>
    <w:rsid w:val="00E02391"/>
    <w:rsid w:val="00E252F3"/>
    <w:rsid w:val="00E260FE"/>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40201"/>
    <w:rsid w:val="00F54F1F"/>
    <w:rsid w:val="00F60CA9"/>
    <w:rsid w:val="00F81A0B"/>
    <w:rsid w:val="00F976B0"/>
    <w:rsid w:val="00FA6DE7"/>
    <w:rsid w:val="00FC0A8E"/>
    <w:rsid w:val="00FC165D"/>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FC165D"/>
    <w:pPr>
      <w:widowControl w:val="0"/>
      <w:autoSpaceDE w:val="0"/>
      <w:autoSpaceDN w:val="0"/>
      <w:adjustRightInd w:val="0"/>
    </w:pPr>
    <w:rPr>
      <w:rFonts w:ascii="Arial" w:eastAsia="PMingLiU"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71339-C337-4502-9432-60CD87E6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1739</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Vedavyas, Archana (CDC/DDNID/NCIPC/OD) (CTR)</cp:lastModifiedBy>
  <cp:revision>10</cp:revision>
  <cp:lastPrinted>2019-03-29T13:58:00Z</cp:lastPrinted>
  <dcterms:created xsi:type="dcterms:W3CDTF">2020-01-14T16:17:00Z</dcterms:created>
  <dcterms:modified xsi:type="dcterms:W3CDTF">2020-01-16T16:23:00Z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