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58EFF" w14:textId="77777777" w:rsidR="000F5D39" w:rsidRPr="002C4F75" w:rsidRDefault="000F5D39" w:rsidP="000F5D39">
      <w:pPr>
        <w:jc w:val="center"/>
        <w:rPr>
          <w:rFonts w:ascii="Arial" w:hAnsi="Arial" w:cs="Arial"/>
          <w:b/>
        </w:rPr>
      </w:pPr>
      <w:bookmarkStart w:id="0" w:name="_GoBack"/>
      <w:bookmarkEnd w:id="0"/>
    </w:p>
    <w:p w14:paraId="160BC067" w14:textId="77777777" w:rsidR="000F5D39" w:rsidRPr="002C4F75" w:rsidRDefault="000F5D39" w:rsidP="000F5D39">
      <w:pPr>
        <w:jc w:val="center"/>
        <w:rPr>
          <w:rFonts w:ascii="Arial" w:hAnsi="Arial" w:cs="Arial"/>
          <w:b/>
        </w:rPr>
      </w:pPr>
    </w:p>
    <w:p w14:paraId="5BE0FB3E" w14:textId="77777777" w:rsidR="000F5D39" w:rsidRPr="002C4F75" w:rsidRDefault="000F5D39" w:rsidP="000F5D39">
      <w:pPr>
        <w:jc w:val="center"/>
        <w:rPr>
          <w:rFonts w:ascii="Arial" w:hAnsi="Arial" w:cs="Arial"/>
          <w:b/>
        </w:rPr>
      </w:pPr>
    </w:p>
    <w:p w14:paraId="611372D5" w14:textId="77777777" w:rsidR="000F5D39" w:rsidRPr="002C4F75" w:rsidRDefault="000F5D39" w:rsidP="000F5D39">
      <w:pPr>
        <w:pStyle w:val="ReportCover-Title"/>
        <w:rPr>
          <w:rFonts w:ascii="Arial" w:hAnsi="Arial" w:cs="Arial"/>
          <w:color w:val="auto"/>
        </w:rPr>
      </w:pPr>
    </w:p>
    <w:p w14:paraId="565CB8D4" w14:textId="77777777" w:rsidR="00FF47C1" w:rsidRPr="002C4F75" w:rsidRDefault="00FF47C1" w:rsidP="00FF47C1">
      <w:pPr>
        <w:pStyle w:val="ReportCover-Title"/>
        <w:jc w:val="center"/>
        <w:rPr>
          <w:rFonts w:ascii="Arial" w:hAnsi="Arial" w:cs="Arial"/>
          <w:color w:val="auto"/>
        </w:rPr>
      </w:pPr>
      <w:r w:rsidRPr="00754331">
        <w:rPr>
          <w:rFonts w:ascii="Arial" w:eastAsia="Arial Unicode MS" w:hAnsi="Arial" w:cs="Arial"/>
          <w:noProof/>
          <w:color w:val="auto"/>
        </w:rPr>
        <w:t>Strengthening Relationship Education and Marriage Services (STREAMS) Evaluation</w:t>
      </w:r>
    </w:p>
    <w:p w14:paraId="3E2B7ECC" w14:textId="77777777" w:rsidR="00FF47C1" w:rsidRPr="002C4F75" w:rsidRDefault="00FF47C1" w:rsidP="00FF47C1">
      <w:pPr>
        <w:pStyle w:val="ReportCover-Title"/>
        <w:rPr>
          <w:rFonts w:ascii="Arial" w:hAnsi="Arial" w:cs="Arial"/>
          <w:color w:val="auto"/>
        </w:rPr>
      </w:pPr>
    </w:p>
    <w:p w14:paraId="25AC3386" w14:textId="77777777" w:rsidR="00FF47C1" w:rsidRPr="002C4F75" w:rsidRDefault="00FF47C1" w:rsidP="00FF47C1">
      <w:pPr>
        <w:pStyle w:val="ReportCover-Title"/>
        <w:rPr>
          <w:rFonts w:ascii="Arial" w:hAnsi="Arial" w:cs="Arial"/>
          <w:color w:val="auto"/>
        </w:rPr>
      </w:pPr>
    </w:p>
    <w:p w14:paraId="5A41663B" w14:textId="77777777" w:rsidR="00FF47C1" w:rsidRPr="002C4F75" w:rsidRDefault="00FF47C1" w:rsidP="00FF47C1">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19FBDB60" w14:textId="77777777" w:rsidR="00FF47C1" w:rsidRPr="002C4F75" w:rsidRDefault="00FF47C1" w:rsidP="00FF47C1">
      <w:pPr>
        <w:pStyle w:val="ReportCover-Title"/>
        <w:jc w:val="center"/>
        <w:rPr>
          <w:rFonts w:ascii="Arial" w:hAnsi="Arial" w:cs="Arial"/>
          <w:color w:val="auto"/>
          <w:sz w:val="32"/>
          <w:szCs w:val="32"/>
        </w:rPr>
      </w:pPr>
      <w:r w:rsidRPr="00DE16DE">
        <w:rPr>
          <w:rFonts w:ascii="Arial" w:hAnsi="Arial" w:cs="Arial"/>
          <w:color w:val="auto"/>
          <w:sz w:val="32"/>
          <w:szCs w:val="32"/>
        </w:rPr>
        <w:t>0970-0481</w:t>
      </w:r>
    </w:p>
    <w:p w14:paraId="6E1BA19A" w14:textId="77777777" w:rsidR="00FF47C1" w:rsidRPr="002C4F75" w:rsidRDefault="00FF47C1" w:rsidP="00FF47C1">
      <w:pPr>
        <w:rPr>
          <w:rFonts w:ascii="Arial" w:hAnsi="Arial" w:cs="Arial"/>
          <w:szCs w:val="22"/>
        </w:rPr>
      </w:pPr>
    </w:p>
    <w:p w14:paraId="351385D6" w14:textId="77777777" w:rsidR="00FF47C1" w:rsidRPr="002C4F75" w:rsidRDefault="00FF47C1" w:rsidP="00FF47C1">
      <w:pPr>
        <w:pStyle w:val="ReportCover-Date"/>
        <w:jc w:val="center"/>
        <w:rPr>
          <w:rFonts w:ascii="Arial" w:hAnsi="Arial" w:cs="Arial"/>
          <w:color w:val="auto"/>
        </w:rPr>
      </w:pPr>
    </w:p>
    <w:p w14:paraId="49022401" w14:textId="77777777" w:rsidR="00FF47C1" w:rsidRPr="002C4F75" w:rsidRDefault="00FF47C1" w:rsidP="00FF47C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722C1C38" w14:textId="551D54CA" w:rsidR="00FF47C1" w:rsidRPr="002C4F75" w:rsidRDefault="00FF47C1" w:rsidP="00FF47C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0F53E3">
        <w:rPr>
          <w:rFonts w:ascii="Arial" w:hAnsi="Arial" w:cs="Arial"/>
          <w:color w:val="auto"/>
          <w:sz w:val="48"/>
          <w:szCs w:val="48"/>
        </w:rPr>
        <w:t>B</w:t>
      </w:r>
    </w:p>
    <w:p w14:paraId="214372BA" w14:textId="77777777" w:rsidR="00FF47C1" w:rsidRDefault="00FF47C1" w:rsidP="00FF47C1">
      <w:pPr>
        <w:spacing w:line="260" w:lineRule="exact"/>
        <w:jc w:val="center"/>
        <w:rPr>
          <w:rFonts w:ascii="Arial" w:hAnsi="Arial" w:cs="Arial"/>
          <w:b/>
        </w:rPr>
      </w:pPr>
      <w:r>
        <w:rPr>
          <w:rFonts w:ascii="Arial" w:hAnsi="Arial" w:cs="Arial"/>
          <w:b/>
        </w:rPr>
        <w:t>February 2016</w:t>
      </w:r>
    </w:p>
    <w:p w14:paraId="33951014" w14:textId="77777777" w:rsidR="00FF47C1" w:rsidRDefault="00FF47C1" w:rsidP="00FF47C1">
      <w:pPr>
        <w:spacing w:line="260" w:lineRule="exact"/>
        <w:jc w:val="center"/>
        <w:rPr>
          <w:rFonts w:ascii="Arial" w:hAnsi="Arial" w:cs="Arial"/>
          <w:b/>
        </w:rPr>
      </w:pPr>
      <w:r>
        <w:rPr>
          <w:rFonts w:ascii="Arial" w:hAnsi="Arial" w:cs="Arial"/>
          <w:b/>
        </w:rPr>
        <w:t>Updated June 2016</w:t>
      </w:r>
    </w:p>
    <w:p w14:paraId="7896A62E" w14:textId="77777777" w:rsidR="00FF47C1" w:rsidRDefault="00FF47C1" w:rsidP="00FF47C1">
      <w:pPr>
        <w:spacing w:line="260" w:lineRule="exact"/>
        <w:jc w:val="center"/>
        <w:rPr>
          <w:rFonts w:ascii="Arial" w:hAnsi="Arial" w:cs="Arial"/>
          <w:b/>
        </w:rPr>
      </w:pPr>
      <w:r>
        <w:rPr>
          <w:rFonts w:ascii="Arial" w:hAnsi="Arial" w:cs="Arial"/>
          <w:b/>
        </w:rPr>
        <w:t>Updated March 2017</w:t>
      </w:r>
    </w:p>
    <w:p w14:paraId="46722786" w14:textId="36FC2C11" w:rsidR="00FF47C1" w:rsidRPr="000B0D6A" w:rsidRDefault="00FF47C1" w:rsidP="00FF47C1">
      <w:pPr>
        <w:spacing w:line="260" w:lineRule="exact"/>
        <w:jc w:val="center"/>
        <w:rPr>
          <w:rFonts w:ascii="Arial" w:hAnsi="Arial" w:cs="Arial"/>
          <w:b/>
        </w:rPr>
      </w:pPr>
      <w:r>
        <w:rPr>
          <w:rFonts w:ascii="Arial" w:hAnsi="Arial" w:cs="Arial"/>
          <w:b/>
        </w:rPr>
        <w:t xml:space="preserve">Updated </w:t>
      </w:r>
      <w:r w:rsidR="008612F7">
        <w:rPr>
          <w:rFonts w:ascii="Arial" w:hAnsi="Arial" w:cs="Arial"/>
          <w:b/>
        </w:rPr>
        <w:t>January 2019</w:t>
      </w:r>
    </w:p>
    <w:p w14:paraId="2463206A" w14:textId="77777777" w:rsidR="00FF47C1" w:rsidRPr="002C4F75" w:rsidRDefault="00FF47C1" w:rsidP="00FF47C1">
      <w:pPr>
        <w:jc w:val="center"/>
        <w:rPr>
          <w:rFonts w:ascii="Arial" w:hAnsi="Arial" w:cs="Arial"/>
        </w:rPr>
      </w:pPr>
    </w:p>
    <w:p w14:paraId="09DF4918" w14:textId="77777777" w:rsidR="00FF47C1" w:rsidRPr="002C4F75" w:rsidRDefault="00FF47C1" w:rsidP="00FF47C1">
      <w:pPr>
        <w:jc w:val="center"/>
        <w:rPr>
          <w:rFonts w:ascii="Arial" w:hAnsi="Arial" w:cs="Arial"/>
        </w:rPr>
      </w:pPr>
      <w:r w:rsidRPr="002C4F75">
        <w:rPr>
          <w:rFonts w:ascii="Arial" w:hAnsi="Arial" w:cs="Arial"/>
        </w:rPr>
        <w:t>Submitted By:</w:t>
      </w:r>
    </w:p>
    <w:p w14:paraId="5603D53D" w14:textId="77777777" w:rsidR="00FF47C1" w:rsidRPr="002C4F75" w:rsidRDefault="00FF47C1" w:rsidP="00FF47C1">
      <w:pPr>
        <w:jc w:val="center"/>
        <w:rPr>
          <w:rFonts w:ascii="Arial" w:hAnsi="Arial" w:cs="Arial"/>
        </w:rPr>
      </w:pPr>
      <w:r w:rsidRPr="002C4F75">
        <w:rPr>
          <w:rFonts w:ascii="Arial" w:hAnsi="Arial" w:cs="Arial"/>
        </w:rPr>
        <w:t>Office of Planning, Research and Evaluation</w:t>
      </w:r>
    </w:p>
    <w:p w14:paraId="6C1875DA" w14:textId="77777777" w:rsidR="00FF47C1" w:rsidRPr="002C4F75" w:rsidRDefault="00FF47C1" w:rsidP="00FF47C1">
      <w:pPr>
        <w:jc w:val="center"/>
        <w:rPr>
          <w:rFonts w:ascii="Arial" w:hAnsi="Arial" w:cs="Arial"/>
        </w:rPr>
      </w:pPr>
      <w:r w:rsidRPr="002C4F75">
        <w:rPr>
          <w:rFonts w:ascii="Arial" w:hAnsi="Arial" w:cs="Arial"/>
        </w:rPr>
        <w:t xml:space="preserve">Administration for Children and Families </w:t>
      </w:r>
    </w:p>
    <w:p w14:paraId="016E0D3B" w14:textId="77777777" w:rsidR="00FF47C1" w:rsidRPr="002C4F75" w:rsidRDefault="00FF47C1" w:rsidP="00FF47C1">
      <w:pPr>
        <w:jc w:val="center"/>
        <w:rPr>
          <w:rFonts w:ascii="Arial" w:hAnsi="Arial" w:cs="Arial"/>
        </w:rPr>
      </w:pPr>
      <w:r w:rsidRPr="002C4F75">
        <w:rPr>
          <w:rFonts w:ascii="Arial" w:hAnsi="Arial" w:cs="Arial"/>
        </w:rPr>
        <w:t>U.S. Department of Health and Human Services</w:t>
      </w:r>
    </w:p>
    <w:p w14:paraId="75FE4C99" w14:textId="77777777" w:rsidR="00FF47C1" w:rsidRPr="002C4F75" w:rsidRDefault="00FF47C1" w:rsidP="00FF47C1">
      <w:pPr>
        <w:jc w:val="center"/>
        <w:rPr>
          <w:rFonts w:ascii="Arial" w:hAnsi="Arial" w:cs="Arial"/>
        </w:rPr>
      </w:pPr>
    </w:p>
    <w:p w14:paraId="37CD8451" w14:textId="77777777" w:rsidR="00FF47C1" w:rsidRPr="002C4F75" w:rsidRDefault="00FF47C1" w:rsidP="00FF47C1">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14:paraId="6259EAAB" w14:textId="77777777" w:rsidR="00FF47C1" w:rsidRPr="002C4F75" w:rsidRDefault="00FF47C1" w:rsidP="00FF47C1">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14:paraId="2E8C9AC2" w14:textId="77777777" w:rsidR="00FF47C1" w:rsidRPr="002C4F75" w:rsidRDefault="00FF47C1" w:rsidP="00FF47C1">
      <w:pPr>
        <w:jc w:val="center"/>
        <w:rPr>
          <w:rFonts w:ascii="Arial" w:hAnsi="Arial" w:cs="Arial"/>
        </w:rPr>
      </w:pPr>
      <w:r w:rsidRPr="002C4F75">
        <w:rPr>
          <w:rFonts w:ascii="Arial" w:hAnsi="Arial" w:cs="Arial"/>
        </w:rPr>
        <w:t>Washington, D.C. 20</w:t>
      </w:r>
      <w:r>
        <w:rPr>
          <w:rFonts w:ascii="Arial" w:hAnsi="Arial" w:cs="Arial"/>
        </w:rPr>
        <w:t>201</w:t>
      </w:r>
    </w:p>
    <w:p w14:paraId="6319C8E2" w14:textId="77777777" w:rsidR="00FF47C1" w:rsidRPr="002C4F75" w:rsidRDefault="00FF47C1" w:rsidP="00FF47C1">
      <w:pPr>
        <w:jc w:val="center"/>
        <w:rPr>
          <w:rFonts w:ascii="Arial" w:hAnsi="Arial" w:cs="Arial"/>
        </w:rPr>
      </w:pPr>
    </w:p>
    <w:p w14:paraId="6F3C8015" w14:textId="67626877" w:rsidR="00FF47C1" w:rsidRDefault="00FF47C1" w:rsidP="00FF47C1">
      <w:pPr>
        <w:jc w:val="center"/>
        <w:rPr>
          <w:rFonts w:ascii="Arial" w:hAnsi="Arial" w:cs="Arial"/>
        </w:rPr>
      </w:pPr>
      <w:r w:rsidRPr="00BE7952">
        <w:rPr>
          <w:rFonts w:ascii="Arial" w:hAnsi="Arial" w:cs="Arial"/>
        </w:rPr>
        <w:t>Project Officers:</w:t>
      </w:r>
    </w:p>
    <w:p w14:paraId="0B617A3D" w14:textId="359B1BDA" w:rsidR="002D7CB9" w:rsidRDefault="002D7CB9" w:rsidP="00FF47C1">
      <w:pPr>
        <w:jc w:val="center"/>
        <w:rPr>
          <w:rFonts w:ascii="Arial" w:hAnsi="Arial" w:cs="Arial"/>
        </w:rPr>
      </w:pPr>
      <w:r>
        <w:rPr>
          <w:rFonts w:ascii="Arial" w:hAnsi="Arial" w:cs="Arial"/>
        </w:rPr>
        <w:t>Samantha Illangasekare</w:t>
      </w:r>
    </w:p>
    <w:p w14:paraId="08936CBF" w14:textId="1ABF9AEE" w:rsidR="002D7CB9" w:rsidRDefault="002D7CB9">
      <w:pPr>
        <w:rPr>
          <w:rFonts w:ascii="Arial" w:hAnsi="Arial" w:cs="Arial"/>
        </w:rPr>
      </w:pPr>
      <w:r>
        <w:rPr>
          <w:rFonts w:ascii="Arial" w:hAnsi="Arial" w:cs="Arial"/>
        </w:rPr>
        <w:br w:type="page"/>
      </w:r>
    </w:p>
    <w:p w14:paraId="1F598362" w14:textId="67974EAB" w:rsidR="002D7CB9" w:rsidRDefault="00A00766" w:rsidP="003252D6">
      <w:pPr>
        <w:spacing w:after="120"/>
        <w:ind w:firstLine="432"/>
        <w:rPr>
          <w:iCs/>
        </w:rPr>
      </w:pPr>
      <w:r>
        <w:rPr>
          <w:iCs/>
        </w:rPr>
        <w:lastRenderedPageBreak/>
        <w:t>T</w:t>
      </w:r>
      <w:r w:rsidR="002D7CB9" w:rsidRPr="00C661EF">
        <w:rPr>
          <w:iCs/>
        </w:rPr>
        <w:t xml:space="preserve">he Administration for Children and Families (ACF) at the U.S. Department of Health and Human Services issued grants to organizations to provide healthy marriage and relationship education (HMRE) services. </w:t>
      </w:r>
      <w:r w:rsidR="0032356C">
        <w:rPr>
          <w:iCs/>
        </w:rPr>
        <w:t>As</w:t>
      </w:r>
      <w:r w:rsidR="002D7CB9" w:rsidRPr="00C661EF">
        <w:rPr>
          <w:iCs/>
        </w:rPr>
        <w:t xml:space="preserve"> </w:t>
      </w:r>
      <w:r w:rsidR="009323FF" w:rsidRPr="00C661EF">
        <w:rPr>
          <w:iCs/>
        </w:rPr>
        <w:t xml:space="preserve">approved </w:t>
      </w:r>
      <w:r w:rsidR="009323FF">
        <w:rPr>
          <w:iCs/>
        </w:rPr>
        <w:t>under</w:t>
      </w:r>
      <w:r w:rsidR="0032356C">
        <w:rPr>
          <w:iCs/>
        </w:rPr>
        <w:t xml:space="preserve"> </w:t>
      </w:r>
      <w:r w:rsidR="002D7CB9" w:rsidRPr="00C661EF">
        <w:rPr>
          <w:iCs/>
        </w:rPr>
        <w:t xml:space="preserve">OMB#0970-0481, the Office of Planning, Research, and Evaluation (OPRE) within ACF is conducting the Strengthening Relationship Education and Marriage Services (STREAMS) evaluation with five </w:t>
      </w:r>
      <w:r w:rsidR="0032356C">
        <w:rPr>
          <w:iCs/>
        </w:rPr>
        <w:t>Healthy Marriage and Relationship Education (</w:t>
      </w:r>
      <w:r w:rsidR="002D7CB9" w:rsidRPr="00C661EF">
        <w:rPr>
          <w:iCs/>
        </w:rPr>
        <w:t>HMRE</w:t>
      </w:r>
      <w:r w:rsidR="0032356C">
        <w:rPr>
          <w:iCs/>
        </w:rPr>
        <w:t>)</w:t>
      </w:r>
      <w:r w:rsidR="002D7CB9" w:rsidRPr="00C661EF">
        <w:rPr>
          <w:iCs/>
        </w:rPr>
        <w:t xml:space="preserve"> grantees. The purpose of STREAMS is to measure the effectiveness and quality of HMRE programs designed to strengthen intimate relationships. In particular, the evaluation will examine HMRE programs for youth in high school, adult couples, and adult individuals. The study will fill knowledge gaps about the effectiveness of HMRE programming for youth and adults and strategies for improving program delivery and participant</w:t>
      </w:r>
      <w:r w:rsidR="002D7CB9">
        <w:rPr>
          <w:iCs/>
        </w:rPr>
        <w:t xml:space="preserve"> engagement in services.</w:t>
      </w:r>
    </w:p>
    <w:p w14:paraId="7F000F23" w14:textId="4B075080" w:rsidR="000F53E3" w:rsidRDefault="002D7CB9" w:rsidP="003252D6">
      <w:pPr>
        <w:spacing w:after="120"/>
        <w:ind w:firstLine="432"/>
        <w:rPr>
          <w:iCs/>
        </w:rPr>
      </w:pPr>
      <w:r w:rsidRPr="00C661EF">
        <w:rPr>
          <w:iCs/>
        </w:rPr>
        <w:t>The STREAMS evaluation includes</w:t>
      </w:r>
      <w:r>
        <w:rPr>
          <w:iCs/>
        </w:rPr>
        <w:t xml:space="preserve"> two components: (1) </w:t>
      </w:r>
      <w:r w:rsidRPr="00C661EF">
        <w:rPr>
          <w:iCs/>
        </w:rPr>
        <w:t xml:space="preserve">an impact study </w:t>
      </w:r>
      <w:r>
        <w:rPr>
          <w:iCs/>
        </w:rPr>
        <w:t xml:space="preserve">to provide rigorous estimates of the effectiveness of program services and interventions to improve program implementation and (2) a process study to support the interpretation of impact findings and document program operations to support future replication. This data collection request is for (1) an extension of previously </w:t>
      </w:r>
      <w:r w:rsidRPr="00C661EF">
        <w:rPr>
          <w:iCs/>
        </w:rPr>
        <w:t xml:space="preserve">approved data collection instruments for the impact study </w:t>
      </w:r>
      <w:r>
        <w:rPr>
          <w:iCs/>
        </w:rPr>
        <w:t>and (2)</w:t>
      </w:r>
      <w:r w:rsidRPr="00C661EF">
        <w:rPr>
          <w:iCs/>
        </w:rPr>
        <w:t xml:space="preserve"> two additional data collection instruments associated with the impact study</w:t>
      </w:r>
      <w:r>
        <w:rPr>
          <w:iCs/>
        </w:rPr>
        <w:t>. D</w:t>
      </w:r>
      <w:r w:rsidRPr="00577DD1">
        <w:rPr>
          <w:iCs/>
        </w:rPr>
        <w:t xml:space="preserve">ata collection for the </w:t>
      </w:r>
      <w:r>
        <w:rPr>
          <w:iCs/>
        </w:rPr>
        <w:t xml:space="preserve">STREAMS </w:t>
      </w:r>
      <w:r w:rsidRPr="00577DD1">
        <w:rPr>
          <w:iCs/>
        </w:rPr>
        <w:t>process study is complete.</w:t>
      </w:r>
    </w:p>
    <w:p w14:paraId="72A80FDF" w14:textId="77777777" w:rsidR="0032356C" w:rsidRDefault="0032356C" w:rsidP="003252D6">
      <w:pPr>
        <w:spacing w:after="120"/>
        <w:ind w:firstLine="432"/>
        <w:rPr>
          <w:b/>
        </w:rPr>
      </w:pPr>
    </w:p>
    <w:p w14:paraId="37B8E02C" w14:textId="4051B91C" w:rsidR="00E05A0A" w:rsidRPr="00E05A0A" w:rsidRDefault="00E05A0A" w:rsidP="00735EBE">
      <w:pPr>
        <w:spacing w:after="120"/>
        <w:rPr>
          <w:b/>
        </w:rPr>
      </w:pPr>
      <w:r>
        <w:rPr>
          <w:b/>
        </w:rPr>
        <w:t>B1. Respondent Universe and Sampling Methods</w:t>
      </w:r>
    </w:p>
    <w:p w14:paraId="7BA1E3ED" w14:textId="6859B3BB" w:rsidR="001E2749" w:rsidRPr="003252D6" w:rsidRDefault="001E2749" w:rsidP="003252D6">
      <w:pPr>
        <w:spacing w:after="120"/>
        <w:rPr>
          <w:b/>
          <w:i/>
        </w:rPr>
      </w:pPr>
      <w:bookmarkStart w:id="1" w:name="_Toc439688569"/>
      <w:bookmarkStart w:id="2" w:name="_Toc440961795"/>
      <w:r w:rsidRPr="003252D6">
        <w:rPr>
          <w:b/>
          <w:i/>
        </w:rPr>
        <w:t xml:space="preserve">Target </w:t>
      </w:r>
      <w:r w:rsidR="00D1410F">
        <w:rPr>
          <w:b/>
          <w:i/>
        </w:rPr>
        <w:t>p</w:t>
      </w:r>
      <w:r w:rsidRPr="003252D6">
        <w:rPr>
          <w:b/>
          <w:i/>
        </w:rPr>
        <w:t>opulation</w:t>
      </w:r>
      <w:bookmarkEnd w:id="1"/>
      <w:bookmarkEnd w:id="2"/>
    </w:p>
    <w:p w14:paraId="231F496E" w14:textId="1BCFAF15" w:rsidR="001E2749" w:rsidRDefault="001E2749" w:rsidP="003252D6">
      <w:pPr>
        <w:spacing w:after="240"/>
        <w:ind w:firstLine="432"/>
      </w:pPr>
      <w:r w:rsidRPr="001E2749">
        <w:t>The STREAMS evaluation examine</w:t>
      </w:r>
      <w:r w:rsidR="006D237F">
        <w:t>s</w:t>
      </w:r>
      <w:r w:rsidRPr="001E2749">
        <w:t xml:space="preserve"> HMRE programs in </w:t>
      </w:r>
      <w:r w:rsidR="007549D7">
        <w:t>five</w:t>
      </w:r>
      <w:r w:rsidR="007549D7" w:rsidRPr="001E2749">
        <w:t xml:space="preserve"> </w:t>
      </w:r>
      <w:r w:rsidRPr="001E2749">
        <w:t xml:space="preserve">sites selected from among the 46 HMRE grantees that were awarded funding by ACF in September 2015. </w:t>
      </w:r>
      <w:r w:rsidR="006D237F">
        <w:t>The sites that were selected were those</w:t>
      </w:r>
      <w:r w:rsidRPr="001E2749">
        <w:t xml:space="preserve"> best suited to examine research questions that will fill gaps in the literature and field and that address issues of particular interest to ACF. Issues of particular interest include</w:t>
      </w:r>
      <w:r w:rsidR="00D1410F">
        <w:t>d</w:t>
      </w:r>
      <w:r w:rsidRPr="001E2749">
        <w:t xml:space="preserve"> the effects of widely used curricula that have not yet been rigorously studied, effective strategies for combining relationship skills and economic stability services, and implementation factors that could influence program effects. Sites </w:t>
      </w:r>
      <w:r w:rsidR="006D237F">
        <w:t>also needed</w:t>
      </w:r>
      <w:r w:rsidRPr="001E2749">
        <w:t xml:space="preserve"> to generate adequate sample sizes to detect meaningful impacts and be able to implement a random assignment research design. STREAMS sites </w:t>
      </w:r>
      <w:r w:rsidR="006D237F">
        <w:t>were</w:t>
      </w:r>
      <w:r w:rsidR="006D237F" w:rsidRPr="001E2749">
        <w:t xml:space="preserve"> </w:t>
      </w:r>
      <w:r w:rsidRPr="001E2749">
        <w:t xml:space="preserve">not selected to be representative of all HMRE grantees. Instead, they </w:t>
      </w:r>
      <w:r w:rsidR="006D237F">
        <w:t>were</w:t>
      </w:r>
      <w:r w:rsidRPr="001E2749">
        <w:t xml:space="preserve"> chosen to address specific research questions of particular policy interest.</w:t>
      </w:r>
      <w:bookmarkStart w:id="3" w:name="_Toc439688570"/>
      <w:bookmarkStart w:id="4" w:name="_Toc440961796"/>
      <w:r w:rsidR="007335A8">
        <w:t xml:space="preserve"> The target population and primary research questions of focus for each site are described in Table B.1.</w:t>
      </w:r>
    </w:p>
    <w:p w14:paraId="1F41010A" w14:textId="39B04100" w:rsidR="00E22F5C" w:rsidRPr="000818D6" w:rsidRDefault="00E22F5C" w:rsidP="00E22F5C">
      <w:pPr>
        <w:rPr>
          <w:b/>
        </w:rPr>
      </w:pPr>
      <w:r w:rsidRPr="000818D6">
        <w:rPr>
          <w:b/>
        </w:rPr>
        <w:t xml:space="preserve">Table </w:t>
      </w:r>
      <w:r>
        <w:rPr>
          <w:b/>
        </w:rPr>
        <w:t>B</w:t>
      </w:r>
      <w:r w:rsidRPr="000818D6">
        <w:rPr>
          <w:b/>
        </w:rPr>
        <w:t xml:space="preserve">.1. STREAMS </w:t>
      </w:r>
      <w:r>
        <w:rPr>
          <w:b/>
        </w:rPr>
        <w:t>impact st</w:t>
      </w:r>
      <w:r w:rsidR="008D1B96">
        <w:rPr>
          <w:b/>
        </w:rPr>
        <w:t>udy site target populations</w:t>
      </w:r>
    </w:p>
    <w:tbl>
      <w:tblPr>
        <w:tblW w:w="0" w:type="auto"/>
        <w:tblBorders>
          <w:bottom w:val="single" w:sz="4" w:space="0" w:color="auto"/>
        </w:tblBorders>
        <w:tblLook w:val="04A0" w:firstRow="1" w:lastRow="0" w:firstColumn="1" w:lastColumn="0" w:noHBand="0" w:noVBand="1"/>
      </w:tblPr>
      <w:tblGrid>
        <w:gridCol w:w="1854"/>
        <w:gridCol w:w="3204"/>
        <w:gridCol w:w="4518"/>
      </w:tblGrid>
      <w:tr w:rsidR="008D1B96" w:rsidRPr="000818D6" w14:paraId="73D58B0E" w14:textId="77777777" w:rsidTr="00F16D76">
        <w:tc>
          <w:tcPr>
            <w:tcW w:w="0" w:type="auto"/>
            <w:shd w:val="clear" w:color="auto" w:fill="6C6F70"/>
            <w:vAlign w:val="bottom"/>
          </w:tcPr>
          <w:p w14:paraId="1BD1AB3C" w14:textId="77777777" w:rsidR="008D1B96" w:rsidRPr="000818D6" w:rsidRDefault="008D1B96" w:rsidP="00F16D76">
            <w:pPr>
              <w:spacing w:before="120" w:after="60"/>
              <w:rPr>
                <w:rFonts w:ascii="Arial" w:hAnsi="Arial"/>
                <w:b/>
                <w:color w:val="FFFFFF"/>
                <w:sz w:val="18"/>
                <w:szCs w:val="18"/>
              </w:rPr>
            </w:pPr>
            <w:r w:rsidRPr="000818D6">
              <w:rPr>
                <w:rFonts w:ascii="Arial" w:hAnsi="Arial"/>
                <w:b/>
                <w:color w:val="FFFFFF"/>
                <w:sz w:val="18"/>
                <w:szCs w:val="18"/>
              </w:rPr>
              <w:t>Grantee</w:t>
            </w:r>
          </w:p>
        </w:tc>
        <w:tc>
          <w:tcPr>
            <w:tcW w:w="0" w:type="auto"/>
            <w:shd w:val="clear" w:color="auto" w:fill="6C6F70"/>
            <w:vAlign w:val="bottom"/>
          </w:tcPr>
          <w:p w14:paraId="55A2E507" w14:textId="77777777" w:rsidR="008D1B96" w:rsidRPr="000818D6" w:rsidRDefault="008D1B96" w:rsidP="00F16D76">
            <w:pPr>
              <w:spacing w:before="120" w:after="60"/>
              <w:rPr>
                <w:rFonts w:ascii="Arial" w:hAnsi="Arial"/>
                <w:b/>
                <w:color w:val="FFFFFF"/>
                <w:sz w:val="18"/>
                <w:szCs w:val="18"/>
              </w:rPr>
            </w:pPr>
            <w:r>
              <w:rPr>
                <w:rFonts w:ascii="Arial" w:hAnsi="Arial"/>
                <w:b/>
                <w:color w:val="FFFFFF"/>
                <w:sz w:val="18"/>
                <w:szCs w:val="18"/>
              </w:rPr>
              <w:t>Target population</w:t>
            </w:r>
          </w:p>
        </w:tc>
        <w:tc>
          <w:tcPr>
            <w:tcW w:w="0" w:type="auto"/>
            <w:shd w:val="clear" w:color="auto" w:fill="6C6F70"/>
            <w:vAlign w:val="bottom"/>
          </w:tcPr>
          <w:p w14:paraId="5AD8558C" w14:textId="77777777" w:rsidR="008D1B96" w:rsidRPr="000818D6" w:rsidRDefault="008D1B96" w:rsidP="00F16D76">
            <w:pPr>
              <w:spacing w:before="120" w:after="60"/>
              <w:rPr>
                <w:rFonts w:ascii="Arial" w:hAnsi="Arial"/>
                <w:b/>
                <w:color w:val="FFFFFF"/>
                <w:sz w:val="18"/>
                <w:szCs w:val="18"/>
              </w:rPr>
            </w:pPr>
            <w:r w:rsidRPr="000818D6">
              <w:rPr>
                <w:rFonts w:ascii="Arial" w:hAnsi="Arial"/>
                <w:b/>
                <w:color w:val="FFFFFF"/>
                <w:sz w:val="18"/>
                <w:szCs w:val="18"/>
              </w:rPr>
              <w:t>Primary research questions</w:t>
            </w:r>
          </w:p>
        </w:tc>
      </w:tr>
      <w:tr w:rsidR="008D1B96" w:rsidRPr="000818D6" w14:paraId="76CACD95" w14:textId="77777777" w:rsidTr="00DA54CB">
        <w:trPr>
          <w:trHeight w:val="1088"/>
        </w:trPr>
        <w:tc>
          <w:tcPr>
            <w:tcW w:w="0" w:type="auto"/>
            <w:tcBorders>
              <w:top w:val="single" w:sz="4" w:space="0" w:color="auto"/>
            </w:tcBorders>
            <w:shd w:val="clear" w:color="auto" w:fill="auto"/>
          </w:tcPr>
          <w:p w14:paraId="624492E4" w14:textId="77777777" w:rsidR="008D1B96" w:rsidRPr="000818D6" w:rsidRDefault="008D1B96" w:rsidP="00DA54CB">
            <w:pPr>
              <w:rPr>
                <w:rFonts w:ascii="Arial" w:hAnsi="Arial"/>
                <w:sz w:val="18"/>
                <w:szCs w:val="20"/>
              </w:rPr>
            </w:pPr>
            <w:r w:rsidRPr="000818D6">
              <w:rPr>
                <w:rFonts w:ascii="Arial" w:hAnsi="Arial"/>
                <w:sz w:val="18"/>
                <w:szCs w:val="20"/>
              </w:rPr>
              <w:t>More Than Conquerors, Inc.</w:t>
            </w:r>
          </w:p>
        </w:tc>
        <w:tc>
          <w:tcPr>
            <w:tcW w:w="0" w:type="auto"/>
            <w:tcBorders>
              <w:top w:val="single" w:sz="4" w:space="0" w:color="auto"/>
            </w:tcBorders>
            <w:shd w:val="clear" w:color="auto" w:fill="auto"/>
          </w:tcPr>
          <w:p w14:paraId="7BC429F0"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1,900 students from two Atlanta, Georgia-area high schools </w:t>
            </w:r>
          </w:p>
          <w:p w14:paraId="2F89D8B8" w14:textId="77777777" w:rsidR="008D1B96" w:rsidRPr="000818D6" w:rsidRDefault="008D1B96" w:rsidP="00DA54CB">
            <w:pPr>
              <w:rPr>
                <w:rFonts w:ascii="Arial" w:hAnsi="Arial"/>
                <w:sz w:val="18"/>
                <w:szCs w:val="20"/>
              </w:rPr>
            </w:pPr>
          </w:p>
        </w:tc>
        <w:tc>
          <w:tcPr>
            <w:tcW w:w="0" w:type="auto"/>
            <w:tcBorders>
              <w:top w:val="single" w:sz="4" w:space="0" w:color="auto"/>
            </w:tcBorders>
            <w:shd w:val="clear" w:color="auto" w:fill="auto"/>
          </w:tcPr>
          <w:p w14:paraId="37EFE67D"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What is the effect of offering relationship skills education as part of the regular school curriculum? </w:t>
            </w:r>
          </w:p>
          <w:p w14:paraId="096A2367" w14:textId="77777777" w:rsidR="008D1B96" w:rsidRPr="000818D6" w:rsidRDefault="008D1B96" w:rsidP="00DA54CB">
            <w:pPr>
              <w:autoSpaceDE w:val="0"/>
              <w:autoSpaceDN w:val="0"/>
              <w:adjustRightInd w:val="0"/>
              <w:rPr>
                <w:rFonts w:ascii="Arial" w:hAnsi="Arial" w:cs="Arial"/>
                <w:color w:val="000000"/>
                <w:sz w:val="18"/>
                <w:szCs w:val="18"/>
              </w:rPr>
            </w:pPr>
          </w:p>
          <w:p w14:paraId="47DCDFAA"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How does abbreviating the curriculum influence program effects? </w:t>
            </w:r>
          </w:p>
          <w:p w14:paraId="7F7D4DE7" w14:textId="77777777" w:rsidR="008D1B96" w:rsidRPr="000818D6" w:rsidRDefault="008D1B96" w:rsidP="00DA54CB">
            <w:pPr>
              <w:rPr>
                <w:rFonts w:ascii="Arial" w:hAnsi="Arial"/>
                <w:sz w:val="18"/>
                <w:szCs w:val="20"/>
              </w:rPr>
            </w:pPr>
          </w:p>
        </w:tc>
      </w:tr>
      <w:tr w:rsidR="008D1B96" w:rsidRPr="000818D6" w14:paraId="0416FA9E" w14:textId="77777777" w:rsidTr="00DA54CB">
        <w:tc>
          <w:tcPr>
            <w:tcW w:w="0" w:type="auto"/>
            <w:tcBorders>
              <w:top w:val="single" w:sz="4" w:space="0" w:color="auto"/>
              <w:bottom w:val="single" w:sz="4" w:space="0" w:color="auto"/>
            </w:tcBorders>
            <w:shd w:val="clear" w:color="auto" w:fill="auto"/>
          </w:tcPr>
          <w:p w14:paraId="5D3DCBE8" w14:textId="77777777" w:rsidR="008D1B96" w:rsidRPr="000818D6" w:rsidRDefault="008D1B96" w:rsidP="00DA54CB">
            <w:pPr>
              <w:rPr>
                <w:rFonts w:ascii="Arial" w:hAnsi="Arial"/>
                <w:sz w:val="18"/>
                <w:szCs w:val="20"/>
              </w:rPr>
            </w:pPr>
            <w:r w:rsidRPr="000818D6">
              <w:rPr>
                <w:rFonts w:ascii="Arial" w:hAnsi="Arial"/>
                <w:sz w:val="18"/>
                <w:szCs w:val="20"/>
              </w:rPr>
              <w:t>University of Denver</w:t>
            </w:r>
          </w:p>
        </w:tc>
        <w:tc>
          <w:tcPr>
            <w:tcW w:w="0" w:type="auto"/>
            <w:tcBorders>
              <w:top w:val="single" w:sz="4" w:space="0" w:color="auto"/>
              <w:bottom w:val="single" w:sz="4" w:space="0" w:color="auto"/>
            </w:tcBorders>
            <w:shd w:val="clear" w:color="auto" w:fill="auto"/>
          </w:tcPr>
          <w:p w14:paraId="26C46A03"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1,000 low-income pregnant women or new mothers from the Denver Health hospital system in Colorado </w:t>
            </w:r>
          </w:p>
          <w:p w14:paraId="5823A9B0" w14:textId="77777777" w:rsidR="008D1B96" w:rsidRPr="000818D6" w:rsidRDefault="008D1B96" w:rsidP="00DA54CB">
            <w:pPr>
              <w:rPr>
                <w:rFonts w:ascii="Arial" w:hAnsi="Arial"/>
                <w:sz w:val="18"/>
                <w:szCs w:val="20"/>
              </w:rPr>
            </w:pPr>
          </w:p>
        </w:tc>
        <w:tc>
          <w:tcPr>
            <w:tcW w:w="0" w:type="auto"/>
            <w:tcBorders>
              <w:top w:val="single" w:sz="4" w:space="0" w:color="auto"/>
              <w:bottom w:val="single" w:sz="4" w:space="0" w:color="auto"/>
            </w:tcBorders>
            <w:shd w:val="clear" w:color="auto" w:fill="auto"/>
          </w:tcPr>
          <w:p w14:paraId="6C962814" w14:textId="77777777" w:rsidR="008D1B96" w:rsidRPr="000818D6" w:rsidRDefault="008D1B96" w:rsidP="00DA54CB">
            <w:pPr>
              <w:rPr>
                <w:rFonts w:ascii="Arial" w:hAnsi="Arial"/>
                <w:sz w:val="18"/>
                <w:szCs w:val="20"/>
              </w:rPr>
            </w:pPr>
            <w:r w:rsidRPr="000818D6">
              <w:rPr>
                <w:rFonts w:ascii="Arial" w:hAnsi="Arial"/>
                <w:sz w:val="18"/>
                <w:szCs w:val="20"/>
              </w:rPr>
              <w:t>What is the effect on adult relationship quality and stability of offering relationship skills education</w:t>
            </w:r>
            <w:r w:rsidRPr="000818D6">
              <w:rPr>
                <w:rFonts w:ascii="Arial" w:hAnsi="Arial"/>
                <w:i/>
                <w:sz w:val="18"/>
                <w:szCs w:val="20"/>
              </w:rPr>
              <w:t xml:space="preserve"> </w:t>
            </w:r>
            <w:r w:rsidRPr="000818D6">
              <w:rPr>
                <w:rFonts w:ascii="Arial" w:hAnsi="Arial"/>
                <w:sz w:val="18"/>
                <w:szCs w:val="20"/>
              </w:rPr>
              <w:t>and other support services to low-income pregnant women?</w:t>
            </w:r>
          </w:p>
        </w:tc>
      </w:tr>
      <w:tr w:rsidR="008D1B96" w:rsidRPr="000818D6" w14:paraId="2348048A" w14:textId="77777777" w:rsidTr="00DA54CB">
        <w:trPr>
          <w:trHeight w:val="963"/>
        </w:trPr>
        <w:tc>
          <w:tcPr>
            <w:tcW w:w="0" w:type="auto"/>
            <w:tcBorders>
              <w:bottom w:val="single" w:sz="4" w:space="0" w:color="auto"/>
            </w:tcBorders>
            <w:shd w:val="clear" w:color="auto" w:fill="auto"/>
          </w:tcPr>
          <w:p w14:paraId="0099325B" w14:textId="77777777" w:rsidR="008D1B96" w:rsidRPr="000818D6" w:rsidRDefault="008D1B96" w:rsidP="00DA54CB">
            <w:pPr>
              <w:rPr>
                <w:rFonts w:ascii="Arial" w:hAnsi="Arial"/>
                <w:sz w:val="18"/>
                <w:szCs w:val="20"/>
              </w:rPr>
            </w:pPr>
            <w:r w:rsidRPr="000818D6">
              <w:rPr>
                <w:rFonts w:ascii="Arial" w:hAnsi="Arial"/>
                <w:sz w:val="18"/>
                <w:szCs w:val="20"/>
              </w:rPr>
              <w:lastRenderedPageBreak/>
              <w:t>The Parenting Center</w:t>
            </w:r>
          </w:p>
        </w:tc>
        <w:tc>
          <w:tcPr>
            <w:tcW w:w="0" w:type="auto"/>
            <w:tcBorders>
              <w:bottom w:val="single" w:sz="4" w:space="0" w:color="auto"/>
            </w:tcBorders>
            <w:shd w:val="clear" w:color="auto" w:fill="auto"/>
          </w:tcPr>
          <w:p w14:paraId="102D6DF5"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900 low-income romantically involved couples in Fort Worth, Texas </w:t>
            </w:r>
          </w:p>
          <w:p w14:paraId="39DFF984" w14:textId="77777777" w:rsidR="008D1B96" w:rsidRPr="000818D6" w:rsidRDefault="008D1B96" w:rsidP="00DA54CB">
            <w:pPr>
              <w:rPr>
                <w:rFonts w:ascii="Arial" w:hAnsi="Arial"/>
                <w:sz w:val="18"/>
                <w:szCs w:val="20"/>
              </w:rPr>
            </w:pPr>
          </w:p>
        </w:tc>
        <w:tc>
          <w:tcPr>
            <w:tcW w:w="0" w:type="auto"/>
            <w:tcBorders>
              <w:bottom w:val="single" w:sz="4" w:space="0" w:color="auto"/>
            </w:tcBorders>
            <w:shd w:val="clear" w:color="auto" w:fill="auto"/>
          </w:tcPr>
          <w:p w14:paraId="6032502D" w14:textId="77777777" w:rsidR="008D1B96" w:rsidRPr="000818D6" w:rsidRDefault="008D1B96" w:rsidP="00DA54CB">
            <w:pPr>
              <w:rPr>
                <w:rFonts w:ascii="Arial" w:hAnsi="Arial"/>
                <w:sz w:val="18"/>
                <w:szCs w:val="20"/>
              </w:rPr>
            </w:pPr>
            <w:r w:rsidRPr="000818D6">
              <w:rPr>
                <w:rFonts w:ascii="Arial" w:hAnsi="Arial"/>
                <w:sz w:val="18"/>
                <w:szCs w:val="20"/>
              </w:rPr>
              <w:t>How does an integrated approach to relationship skills and economic stability services affect the outcomes of participating couples?</w:t>
            </w:r>
          </w:p>
        </w:tc>
      </w:tr>
      <w:tr w:rsidR="008D1B96" w:rsidRPr="000818D6" w14:paraId="564A65CF" w14:textId="77777777" w:rsidTr="00DA54CB">
        <w:tc>
          <w:tcPr>
            <w:tcW w:w="0" w:type="auto"/>
            <w:tcBorders>
              <w:top w:val="single" w:sz="4" w:space="0" w:color="auto"/>
              <w:bottom w:val="single" w:sz="4" w:space="0" w:color="auto"/>
            </w:tcBorders>
            <w:shd w:val="clear" w:color="auto" w:fill="auto"/>
          </w:tcPr>
          <w:p w14:paraId="1CE2EDE3" w14:textId="77777777" w:rsidR="008D1B96" w:rsidRPr="000818D6" w:rsidRDefault="008D1B96" w:rsidP="00DA54CB">
            <w:pPr>
              <w:rPr>
                <w:rFonts w:ascii="Arial" w:hAnsi="Arial"/>
                <w:sz w:val="18"/>
                <w:szCs w:val="20"/>
              </w:rPr>
            </w:pPr>
            <w:r w:rsidRPr="000818D6">
              <w:rPr>
                <w:rFonts w:ascii="Arial" w:hAnsi="Arial"/>
                <w:sz w:val="18"/>
                <w:szCs w:val="20"/>
              </w:rPr>
              <w:t>Family and Workforce Centers of America</w:t>
            </w:r>
          </w:p>
        </w:tc>
        <w:tc>
          <w:tcPr>
            <w:tcW w:w="0" w:type="auto"/>
            <w:tcBorders>
              <w:top w:val="single" w:sz="4" w:space="0" w:color="auto"/>
              <w:bottom w:val="single" w:sz="4" w:space="0" w:color="auto"/>
            </w:tcBorders>
            <w:shd w:val="clear" w:color="auto" w:fill="auto"/>
          </w:tcPr>
          <w:p w14:paraId="48CCE971"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900 low-income job seekers from an employment center in St. Louis, Missouri </w:t>
            </w:r>
          </w:p>
          <w:p w14:paraId="782474EE" w14:textId="77777777" w:rsidR="008D1B96" w:rsidRPr="000818D6" w:rsidRDefault="008D1B96" w:rsidP="00DA54CB">
            <w:pPr>
              <w:rPr>
                <w:rFonts w:ascii="Arial" w:hAnsi="Arial"/>
                <w:sz w:val="18"/>
                <w:szCs w:val="20"/>
              </w:rPr>
            </w:pPr>
          </w:p>
        </w:tc>
        <w:tc>
          <w:tcPr>
            <w:tcW w:w="0" w:type="auto"/>
            <w:tcBorders>
              <w:top w:val="single" w:sz="4" w:space="0" w:color="auto"/>
              <w:bottom w:val="single" w:sz="4" w:space="0" w:color="auto"/>
            </w:tcBorders>
            <w:shd w:val="clear" w:color="auto" w:fill="auto"/>
          </w:tcPr>
          <w:p w14:paraId="7E870A9C" w14:textId="77777777" w:rsidR="008D1B96" w:rsidRPr="000818D6" w:rsidRDefault="008D1B96" w:rsidP="00DA54CB">
            <w:pPr>
              <w:rPr>
                <w:rFonts w:ascii="Arial" w:hAnsi="Arial"/>
                <w:sz w:val="18"/>
                <w:szCs w:val="20"/>
              </w:rPr>
            </w:pPr>
            <w:r w:rsidRPr="000818D6">
              <w:rPr>
                <w:rFonts w:ascii="Arial" w:hAnsi="Arial"/>
                <w:sz w:val="18"/>
                <w:szCs w:val="20"/>
              </w:rPr>
              <w:t>What is the effect on adult relationship quality and stability of supplementing job readiness services with the relationship skills education?</w:t>
            </w:r>
          </w:p>
        </w:tc>
      </w:tr>
      <w:tr w:rsidR="008D1B96" w:rsidRPr="000818D6" w14:paraId="1923B178" w14:textId="77777777" w:rsidTr="00DA54CB">
        <w:tc>
          <w:tcPr>
            <w:tcW w:w="0" w:type="auto"/>
            <w:tcBorders>
              <w:top w:val="single" w:sz="4" w:space="0" w:color="auto"/>
            </w:tcBorders>
            <w:shd w:val="clear" w:color="auto" w:fill="auto"/>
          </w:tcPr>
          <w:p w14:paraId="7F30AC49" w14:textId="77777777" w:rsidR="008D1B96" w:rsidRPr="000818D6" w:rsidRDefault="008D1B96" w:rsidP="00DA54CB">
            <w:pPr>
              <w:rPr>
                <w:rFonts w:ascii="Arial" w:hAnsi="Arial"/>
                <w:sz w:val="18"/>
                <w:szCs w:val="20"/>
              </w:rPr>
            </w:pPr>
            <w:r w:rsidRPr="000818D6">
              <w:rPr>
                <w:rFonts w:ascii="Arial" w:hAnsi="Arial"/>
                <w:sz w:val="18"/>
                <w:szCs w:val="20"/>
              </w:rPr>
              <w:t>University of Florida</w:t>
            </w:r>
          </w:p>
        </w:tc>
        <w:tc>
          <w:tcPr>
            <w:tcW w:w="0" w:type="auto"/>
            <w:tcBorders>
              <w:top w:val="single" w:sz="4" w:space="0" w:color="auto"/>
            </w:tcBorders>
            <w:shd w:val="clear" w:color="auto" w:fill="auto"/>
          </w:tcPr>
          <w:p w14:paraId="094E678E"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1,500 couples participating in relationship education workshops across five Florida counties </w:t>
            </w:r>
          </w:p>
          <w:p w14:paraId="1FE76FF4" w14:textId="77777777" w:rsidR="008D1B96" w:rsidRPr="000818D6" w:rsidRDefault="008D1B96" w:rsidP="00DA54CB">
            <w:pPr>
              <w:rPr>
                <w:rFonts w:ascii="Arial" w:hAnsi="Arial"/>
                <w:sz w:val="18"/>
                <w:szCs w:val="20"/>
              </w:rPr>
            </w:pPr>
          </w:p>
        </w:tc>
        <w:tc>
          <w:tcPr>
            <w:tcW w:w="0" w:type="auto"/>
            <w:tcBorders>
              <w:top w:val="single" w:sz="4" w:space="0" w:color="auto"/>
            </w:tcBorders>
            <w:shd w:val="clear" w:color="auto" w:fill="auto"/>
          </w:tcPr>
          <w:p w14:paraId="0B1C1902" w14:textId="77777777" w:rsidR="008D1B96" w:rsidRPr="000818D6" w:rsidRDefault="008D1B96" w:rsidP="00DA54CB">
            <w:pPr>
              <w:autoSpaceDE w:val="0"/>
              <w:autoSpaceDN w:val="0"/>
              <w:adjustRightInd w:val="0"/>
              <w:rPr>
                <w:rFonts w:ascii="Arial" w:hAnsi="Arial" w:cs="Arial"/>
                <w:color w:val="000000"/>
                <w:sz w:val="18"/>
                <w:szCs w:val="18"/>
              </w:rPr>
            </w:pPr>
            <w:r w:rsidRPr="000818D6">
              <w:rPr>
                <w:rFonts w:ascii="Arial" w:hAnsi="Arial" w:cs="Arial"/>
                <w:color w:val="000000"/>
                <w:sz w:val="18"/>
                <w:szCs w:val="18"/>
              </w:rPr>
              <w:t xml:space="preserve">Can text messages informed by behavioral insight theory improve attendance at relationship skills education group sessions for couples? </w:t>
            </w:r>
          </w:p>
          <w:p w14:paraId="4FF814AD" w14:textId="77777777" w:rsidR="008D1B96" w:rsidRPr="000818D6" w:rsidRDefault="008D1B96" w:rsidP="00DA54CB">
            <w:pPr>
              <w:rPr>
                <w:rFonts w:ascii="Arial" w:hAnsi="Arial"/>
                <w:sz w:val="18"/>
                <w:szCs w:val="20"/>
              </w:rPr>
            </w:pPr>
          </w:p>
        </w:tc>
      </w:tr>
    </w:tbl>
    <w:p w14:paraId="1237BAA6" w14:textId="77777777" w:rsidR="00E22F5C" w:rsidRDefault="00E22F5C" w:rsidP="003252D6">
      <w:pPr>
        <w:spacing w:after="240"/>
        <w:ind w:firstLine="432"/>
      </w:pPr>
    </w:p>
    <w:p w14:paraId="0250B81D" w14:textId="77777777" w:rsidR="001E2749" w:rsidRPr="003252D6" w:rsidRDefault="001E2749" w:rsidP="003252D6">
      <w:pPr>
        <w:spacing w:after="120"/>
        <w:rPr>
          <w:b/>
          <w:i/>
        </w:rPr>
      </w:pPr>
      <w:r w:rsidRPr="003252D6">
        <w:rPr>
          <w:b/>
          <w:i/>
        </w:rPr>
        <w:t>Sampling frame, sample design, and coverage of target population</w:t>
      </w:r>
      <w:bookmarkEnd w:id="3"/>
      <w:bookmarkEnd w:id="4"/>
    </w:p>
    <w:p w14:paraId="3185222E" w14:textId="725783E9" w:rsidR="001E2749" w:rsidRDefault="001E2749" w:rsidP="005776EB">
      <w:pPr>
        <w:ind w:firstLine="432"/>
      </w:pPr>
      <w:r w:rsidRPr="001E2749">
        <w:t xml:space="preserve">In each of the </w:t>
      </w:r>
      <w:r w:rsidR="000F53E3">
        <w:t>five</w:t>
      </w:r>
      <w:r w:rsidR="000F53E3" w:rsidRPr="001E2749">
        <w:t xml:space="preserve"> </w:t>
      </w:r>
      <w:r w:rsidRPr="001E2749">
        <w:t xml:space="preserve">participating sites, the STREAMS impact study </w:t>
      </w:r>
      <w:r w:rsidR="00D1410F">
        <w:t>is being</w:t>
      </w:r>
      <w:r w:rsidRPr="001E2749">
        <w:t xml:space="preserve"> conducted with individuals eligible to receive the HMRE services provided by the grantee. In </w:t>
      </w:r>
      <w:r w:rsidR="00D1410F">
        <w:t xml:space="preserve">the </w:t>
      </w:r>
      <w:r w:rsidRPr="001E2749">
        <w:t>site serving youth in high schools</w:t>
      </w:r>
      <w:r w:rsidR="00F874AB">
        <w:t xml:space="preserve"> (More Than Conquerors, Inc.)</w:t>
      </w:r>
      <w:r w:rsidR="00BB6D15">
        <w:t xml:space="preserve">, </w:t>
      </w:r>
      <w:r w:rsidRPr="001E2749">
        <w:t xml:space="preserve">these individuals </w:t>
      </w:r>
      <w:r w:rsidR="000F53E3">
        <w:t>are</w:t>
      </w:r>
      <w:r w:rsidRPr="001E2749">
        <w:t xml:space="preserve"> </w:t>
      </w:r>
      <w:r w:rsidR="007D1BAC">
        <w:t>9</w:t>
      </w:r>
      <w:r w:rsidR="007D1BAC" w:rsidRPr="00DA54CB">
        <w:rPr>
          <w:vertAlign w:val="superscript"/>
        </w:rPr>
        <w:t>th</w:t>
      </w:r>
      <w:r w:rsidR="007D1BAC">
        <w:t xml:space="preserve"> grade </w:t>
      </w:r>
      <w:r w:rsidRPr="001E2749">
        <w:t xml:space="preserve">students </w:t>
      </w:r>
      <w:r w:rsidR="00CD6786">
        <w:t xml:space="preserve">enrolled in </w:t>
      </w:r>
      <w:r w:rsidR="007D1BAC">
        <w:t>regular health classes in</w:t>
      </w:r>
      <w:r w:rsidRPr="001E2749">
        <w:t xml:space="preserve"> schools and classrooms selected by the grantee to receive HMRE services. All students attending the class </w:t>
      </w:r>
      <w:r w:rsidR="000F53E3">
        <w:t>were</w:t>
      </w:r>
      <w:r w:rsidRPr="001E2749">
        <w:t xml:space="preserve"> eligible for STREAMS. In sites serving adults, study participants </w:t>
      </w:r>
      <w:r w:rsidR="000F53E3">
        <w:t>are</w:t>
      </w:r>
      <w:r w:rsidRPr="001E2749">
        <w:t xml:space="preserve"> individuals or couples who have voluntarily applied to receive the HMRE services provided by the grantee</w:t>
      </w:r>
      <w:r w:rsidR="00F874AB">
        <w:t xml:space="preserve"> through a hospital system (University of Denver), co-operative extension service (University of Florida), or community-based setting (The Parenting Center, and Family and Workforce Centers of America).</w:t>
      </w:r>
      <w:r w:rsidR="005776EB">
        <w:t xml:space="preserve"> The targeted sample size for each site is shown in Table B.1 above.</w:t>
      </w:r>
      <w:r w:rsidR="00DA54CB">
        <w:t xml:space="preserve"> </w:t>
      </w:r>
      <w:r w:rsidRPr="001E2749">
        <w:t>In each site, the grantee may continue to provide HMRE services to similar individuals after the end of the STREAMS enrollment period. However, these additional individuals served through the grant program will not be part of the STREAMS evaluation sample.</w:t>
      </w:r>
    </w:p>
    <w:p w14:paraId="3F7C6F15" w14:textId="77777777" w:rsidR="005776EB" w:rsidRPr="001E2749" w:rsidRDefault="005776EB" w:rsidP="005776EB">
      <w:pPr>
        <w:ind w:firstLine="432"/>
      </w:pPr>
    </w:p>
    <w:p w14:paraId="5B7CFC27" w14:textId="77777777" w:rsidR="001E2749" w:rsidRPr="003252D6" w:rsidRDefault="001E2749" w:rsidP="003252D6">
      <w:pPr>
        <w:spacing w:after="120"/>
        <w:rPr>
          <w:b/>
          <w:i/>
        </w:rPr>
      </w:pPr>
      <w:r w:rsidRPr="003252D6">
        <w:rPr>
          <w:b/>
          <w:i/>
        </w:rPr>
        <w:t xml:space="preserve">Precision needed for key impact estimates </w:t>
      </w:r>
    </w:p>
    <w:p w14:paraId="64E23BE8" w14:textId="2B045C64" w:rsidR="001E2749" w:rsidRPr="001E2749" w:rsidRDefault="001E2749" w:rsidP="003252D6">
      <w:pPr>
        <w:spacing w:after="240"/>
        <w:ind w:firstLine="432"/>
      </w:pPr>
      <w:r w:rsidRPr="001E2749">
        <w:t xml:space="preserve">For the STREAMS impact study, each site will be analyzed separately, so relatively large samples are needed to answer the study research questions. </w:t>
      </w:r>
      <w:r w:rsidR="00D62FC2">
        <w:t>Given the targeted sample size</w:t>
      </w:r>
      <w:r w:rsidR="00E60BC1">
        <w:t xml:space="preserve">s shown in Table B.1, minimum detectable effect sizes range from 0.14 for the More the Conquerors, Inc. site to </w:t>
      </w:r>
      <w:r w:rsidR="00D62FC2">
        <w:t>0.1</w:t>
      </w:r>
      <w:r w:rsidR="00E60BC1">
        <w:t xml:space="preserve">8 for the Family Workforce Centers of America site and The Parenting Center site (Wood et al. 2018). </w:t>
      </w:r>
      <w:r w:rsidR="00E60BC1" w:rsidRPr="00E60BC1">
        <w:t xml:space="preserve">These minimum detectable effect sizes are in line with </w:t>
      </w:r>
      <w:r w:rsidR="00E60BC1">
        <w:t>the findings from prior evaluations of HMRE programming. For example, a prior evaluation of HMRE programming in high schools</w:t>
      </w:r>
      <w:r w:rsidR="00E60BC1" w:rsidRPr="00E60BC1">
        <w:t xml:space="preserve"> found an average effect size of 0.20 across seven indicators of students’ attitudes and communication skills.</w:t>
      </w:r>
      <w:r w:rsidR="003645A2">
        <w:t xml:space="preserve"> Similarly,</w:t>
      </w:r>
      <w:r w:rsidR="003645A2" w:rsidRPr="003645A2">
        <w:t xml:space="preserve"> recent pre-post analysis of one HMRE curriculum delivered to low-income adults found improvements on communication and conflict management of 25 to 30 percent of a standard deviation six months after the program ended (Antle et al. 2013).</w:t>
      </w:r>
    </w:p>
    <w:p w14:paraId="1D51A3AD" w14:textId="77777777" w:rsidR="001E2749" w:rsidRPr="003252D6" w:rsidRDefault="001E2749" w:rsidP="003252D6">
      <w:pPr>
        <w:spacing w:after="120"/>
        <w:rPr>
          <w:b/>
          <w:i/>
        </w:rPr>
      </w:pPr>
      <w:bookmarkStart w:id="5" w:name="_Toc440961798"/>
      <w:r w:rsidRPr="003252D6">
        <w:rPr>
          <w:b/>
          <w:i/>
        </w:rPr>
        <w:t>Expected response rates to participant surveys for the impact study</w:t>
      </w:r>
      <w:bookmarkEnd w:id="5"/>
    </w:p>
    <w:p w14:paraId="210D8188" w14:textId="22502B41" w:rsidR="00AC7F9F" w:rsidRPr="001E2749" w:rsidRDefault="008868DE" w:rsidP="003252D6">
      <w:pPr>
        <w:spacing w:after="240"/>
        <w:ind w:firstLine="432"/>
      </w:pPr>
      <w:r>
        <w:t>Data collection for the first STREAMS follow-up survey is curren</w:t>
      </w:r>
      <w:r w:rsidR="00FD4D63">
        <w:t>tly ongoing. To date</w:t>
      </w:r>
      <w:r>
        <w:t xml:space="preserve">, the response rate is </w:t>
      </w:r>
      <w:r w:rsidR="00FD4D63">
        <w:t xml:space="preserve">approximately </w:t>
      </w:r>
      <w:r>
        <w:t>85 percent for the</w:t>
      </w:r>
      <w:r w:rsidR="00FD4D63">
        <w:t xml:space="preserve"> site serving youth in high schools and 80 percent for the sites serving adults. For the proposed second follow-up survey, the evaluation team is expecting an 80 percent response rate for both the site serving youth in high schools and the site serving adults. </w:t>
      </w:r>
      <w:r w:rsidR="001E2749" w:rsidRPr="001E2749">
        <w:t>See Section B3 for details on the proposed methods for maximizing response rates to follow-up surveys.</w:t>
      </w:r>
    </w:p>
    <w:p w14:paraId="71D5CC1E" w14:textId="77777777" w:rsidR="001E2749" w:rsidRPr="003252D6" w:rsidRDefault="001E2749" w:rsidP="003252D6">
      <w:pPr>
        <w:spacing w:after="120"/>
        <w:rPr>
          <w:b/>
          <w:i/>
        </w:rPr>
      </w:pPr>
      <w:bookmarkStart w:id="6" w:name="_Toc439688573"/>
      <w:bookmarkStart w:id="7" w:name="_Toc440961799"/>
      <w:r w:rsidRPr="003252D6">
        <w:rPr>
          <w:b/>
          <w:i/>
        </w:rPr>
        <w:t>Expected item nonresponse rate for critical questions</w:t>
      </w:r>
      <w:bookmarkEnd w:id="6"/>
      <w:bookmarkEnd w:id="7"/>
    </w:p>
    <w:p w14:paraId="01D7D2CA" w14:textId="214C4CCB" w:rsidR="00FE1C8E" w:rsidRDefault="001E2749" w:rsidP="003252D6">
      <w:pPr>
        <w:spacing w:after="240"/>
        <w:ind w:firstLine="432"/>
        <w:rPr>
          <w:b/>
        </w:rPr>
      </w:pPr>
      <w:r w:rsidRPr="001E2749">
        <w:t xml:space="preserve">Based on experience asking </w:t>
      </w:r>
      <w:r w:rsidR="00786C78">
        <w:t>many of</w:t>
      </w:r>
      <w:r w:rsidR="00CA4B20">
        <w:t xml:space="preserve"> the same, or very </w:t>
      </w:r>
      <w:r w:rsidRPr="001E2749">
        <w:t xml:space="preserve">similar questions with </w:t>
      </w:r>
      <w:r w:rsidR="00CA4B20">
        <w:t>the same population during the baseline and first follow-up survey data collections</w:t>
      </w:r>
      <w:r w:rsidRPr="001E2749">
        <w:t xml:space="preserve">, the evaluation team does not anticipate significant item nonresponse on </w:t>
      </w:r>
      <w:r w:rsidR="00DE613A">
        <w:t xml:space="preserve">baseline or follow-up </w:t>
      </w:r>
      <w:r w:rsidRPr="001E2749">
        <w:t xml:space="preserve">surveys. </w:t>
      </w:r>
      <w:r w:rsidR="00FD4D63">
        <w:t xml:space="preserve">The </w:t>
      </w:r>
      <w:r w:rsidR="00DE613A">
        <w:t xml:space="preserve">baseline and follow-up </w:t>
      </w:r>
      <w:r w:rsidR="00FD4D63">
        <w:t xml:space="preserve">surveys </w:t>
      </w:r>
      <w:r w:rsidR="007B284C">
        <w:t>are</w:t>
      </w:r>
      <w:r w:rsidR="00930ADB">
        <w:t xml:space="preserve"> available through </w:t>
      </w:r>
      <w:r w:rsidR="00AC7F9F" w:rsidRPr="00A96810">
        <w:t>computer-assisted web interviewing (CAWI)</w:t>
      </w:r>
      <w:r w:rsidR="00930ADB">
        <w:t xml:space="preserve">, as well as </w:t>
      </w:r>
      <w:r w:rsidR="00930ADB" w:rsidRPr="00930ADB">
        <w:t xml:space="preserve">computer-assisted telephone interviewing </w:t>
      </w:r>
      <w:r w:rsidR="00930ADB">
        <w:t>(CATI)</w:t>
      </w:r>
      <w:r w:rsidR="00DE613A">
        <w:t>, and CAWI and CATI will also be used for the second follow-up surveys</w:t>
      </w:r>
      <w:r w:rsidR="00930ADB">
        <w:t xml:space="preserve">. In addition, the youth survey </w:t>
      </w:r>
      <w:r w:rsidR="007B284C">
        <w:t>uses</w:t>
      </w:r>
      <w:r w:rsidRPr="001E2749">
        <w:t xml:space="preserve"> audio computer-assisted self-interviewing (ACASI). </w:t>
      </w:r>
      <w:r w:rsidR="00F77BE3" w:rsidRPr="00F77BE3">
        <w:t xml:space="preserve">Through the ACASI programming, respondents listen to a recording of questions being read aloud, improving comprehension. </w:t>
      </w:r>
      <w:r w:rsidRPr="001E2749">
        <w:t xml:space="preserve">The use of </w:t>
      </w:r>
      <w:r w:rsidR="00930ADB">
        <w:t>these three modes</w:t>
      </w:r>
      <w:r w:rsidRPr="001E2749">
        <w:t xml:space="preserve"> improves data quality and completeness because skip logic, appropriate wording variations, and consistency checks are programmed into the instrument. CATI interviewers </w:t>
      </w:r>
      <w:r w:rsidR="00DE613A">
        <w:t>are</w:t>
      </w:r>
      <w:r w:rsidRPr="001E2749">
        <w:t xml:space="preserve"> trained to use appropriate probes and prompts to encourage responses to all questions.</w:t>
      </w:r>
      <w:r w:rsidR="00930ADB">
        <w:t xml:space="preserve"> </w:t>
      </w:r>
    </w:p>
    <w:p w14:paraId="51D85AEE" w14:textId="77777777" w:rsidR="00E05A0A" w:rsidRPr="00E05A0A" w:rsidRDefault="00E05A0A" w:rsidP="00735EBE">
      <w:pPr>
        <w:spacing w:after="120"/>
        <w:rPr>
          <w:b/>
        </w:rPr>
      </w:pPr>
      <w:r>
        <w:rPr>
          <w:b/>
        </w:rPr>
        <w:t>B2. Procedures for Collection of Information</w:t>
      </w:r>
    </w:p>
    <w:p w14:paraId="1F983A22" w14:textId="7BE3DB0B" w:rsidR="00B43F45" w:rsidRDefault="0033170D" w:rsidP="003252D6">
      <w:pPr>
        <w:spacing w:after="240"/>
        <w:ind w:firstLine="432"/>
        <w:rPr>
          <w:b/>
        </w:rPr>
      </w:pPr>
      <w:bookmarkStart w:id="8" w:name="_Toc439688575"/>
      <w:r w:rsidRPr="0033170D">
        <w:t>Survey data collection for the impact study follow</w:t>
      </w:r>
      <w:r w:rsidR="00B43F45">
        <w:t>s</w:t>
      </w:r>
      <w:r w:rsidRPr="0033170D">
        <w:t xml:space="preserve"> different procedures in sites serving adults and </w:t>
      </w:r>
      <w:r w:rsidR="00B43F45">
        <w:t xml:space="preserve">the </w:t>
      </w:r>
      <w:r w:rsidRPr="0033170D">
        <w:t>site serving youth</w:t>
      </w:r>
      <w:r w:rsidR="00B43F45">
        <w:t xml:space="preserve"> in high schools</w:t>
      </w:r>
      <w:r w:rsidRPr="0033170D">
        <w:t>. These procedures are described below.</w:t>
      </w:r>
    </w:p>
    <w:p w14:paraId="39251F74" w14:textId="44842107" w:rsidR="00266F34" w:rsidRDefault="009F66E1" w:rsidP="003252D6">
      <w:pPr>
        <w:spacing w:after="240"/>
        <w:ind w:firstLine="432"/>
        <w:rPr>
          <w:b/>
        </w:rPr>
      </w:pPr>
      <w:r>
        <w:rPr>
          <w:b/>
        </w:rPr>
        <w:t>Sample intake in sites serving adults</w:t>
      </w:r>
      <w:r w:rsidRPr="00730347">
        <w:rPr>
          <w:b/>
        </w:rPr>
        <w:t>.</w:t>
      </w:r>
      <w:r>
        <w:t xml:space="preserve"> In </w:t>
      </w:r>
      <w:r w:rsidR="00C826A0">
        <w:t xml:space="preserve">three of the </w:t>
      </w:r>
      <w:r w:rsidR="00B43F45">
        <w:t>sites serving adults</w:t>
      </w:r>
      <w:r w:rsidR="00C826A0">
        <w:t xml:space="preserve"> (University of Denver, the Parenting Center and Family and Workforce Centers of America (FWCA)</w:t>
      </w:r>
      <w:r>
        <w:t xml:space="preserve">, program staff meet with eligible and interested potential participants to enroll them in the study sample. They use </w:t>
      </w:r>
      <w:r w:rsidR="00B43F45">
        <w:t>an</w:t>
      </w:r>
      <w:r>
        <w:t xml:space="preserve"> introductory script </w:t>
      </w:r>
      <w:r w:rsidR="006C7C93">
        <w:t xml:space="preserve">(Instrument 6) </w:t>
      </w:r>
      <w:r>
        <w:t>to describe the study to potential enrollees. This script</w:t>
      </w:r>
      <w:r w:rsidR="00B43F45">
        <w:t xml:space="preserve"> </w:t>
      </w:r>
      <w:r>
        <w:t>highlight</w:t>
      </w:r>
      <w:r w:rsidR="00B43F45">
        <w:t>s</w:t>
      </w:r>
      <w:r>
        <w:t xml:space="preserve"> the purpose of the study, the baseline and follow-up measures, and random assignment. If the participant wishes to continue with the sample enrollment process, the intake worker call</w:t>
      </w:r>
      <w:r w:rsidR="00B43F45">
        <w:t>s</w:t>
      </w:r>
      <w:r>
        <w:t xml:space="preserve"> Mathematica’s Survey Operations Center to connect the applicant with a trained interviewer who will administer the consent form</w:t>
      </w:r>
      <w:r w:rsidR="0000106D">
        <w:t xml:space="preserve"> (Attachment G)</w:t>
      </w:r>
      <w:r>
        <w:t xml:space="preserve"> and conduct the baseline survey</w:t>
      </w:r>
      <w:r w:rsidR="006C7C93">
        <w:t xml:space="preserve"> (Instrument 10</w:t>
      </w:r>
      <w:r w:rsidR="00AF5BE7">
        <w:t xml:space="preserve"> and Attachment C</w:t>
      </w:r>
      <w:r w:rsidR="006C7C93">
        <w:t>)</w:t>
      </w:r>
      <w:r w:rsidR="00B43F45">
        <w:t>.</w:t>
      </w:r>
      <w:r>
        <w:t xml:space="preserve"> Once the baseline survey is complete, the interviewer instruct</w:t>
      </w:r>
      <w:r w:rsidR="00B43F45">
        <w:t>s</w:t>
      </w:r>
      <w:r>
        <w:t xml:space="preserve"> the applicant to hand the phone back to the intake worker, who then use</w:t>
      </w:r>
      <w:r w:rsidR="00B43F45">
        <w:t>s</w:t>
      </w:r>
      <w:r>
        <w:t xml:space="preserve"> the add-on component of nFORM</w:t>
      </w:r>
      <w:r w:rsidR="006C7C93">
        <w:t xml:space="preserve"> (Instrument 7)</w:t>
      </w:r>
      <w:r>
        <w:t xml:space="preserve"> to first confirm whether the applicant is eligible for random assignment and then to conduct the random assignment process. Once the applicant has been randomly assigned, the worker inform</w:t>
      </w:r>
      <w:r w:rsidR="00266F34">
        <w:t>s</w:t>
      </w:r>
      <w:r>
        <w:t xml:space="preserve"> the applicant of his or her research status.</w:t>
      </w:r>
      <w:r w:rsidR="00C826A0">
        <w:t xml:space="preserve"> In the fourth site serving adults (University of Florida), the program recruits and enrolls participants following their existing processes, but after enrollment, </w:t>
      </w:r>
      <w:r w:rsidR="00C826A0" w:rsidRPr="002458A8">
        <w:rPr>
          <w:iCs/>
        </w:rPr>
        <w:t>participants are randomly assigned to different strategies to promote program participation</w:t>
      </w:r>
      <w:r w:rsidR="00C826A0">
        <w:rPr>
          <w:iCs/>
        </w:rPr>
        <w:t>.</w:t>
      </w:r>
    </w:p>
    <w:p w14:paraId="434C63CE" w14:textId="089408AA" w:rsidR="00266F34" w:rsidRPr="0033170D" w:rsidRDefault="0033170D" w:rsidP="003252D6">
      <w:pPr>
        <w:spacing w:after="240"/>
        <w:ind w:firstLine="432"/>
      </w:pPr>
      <w:bookmarkStart w:id="9" w:name="_Toc439688580"/>
      <w:bookmarkStart w:id="10" w:name="_Toc439688577"/>
      <w:bookmarkEnd w:id="8"/>
      <w:r w:rsidRPr="0033170D">
        <w:rPr>
          <w:b/>
        </w:rPr>
        <w:t>Follow-up survey for adults</w:t>
      </w:r>
      <w:bookmarkEnd w:id="9"/>
      <w:r w:rsidRPr="0033170D">
        <w:rPr>
          <w:b/>
        </w:rPr>
        <w:t>.</w:t>
      </w:r>
      <w:r w:rsidRPr="0033170D">
        <w:t xml:space="preserve"> </w:t>
      </w:r>
      <w:r w:rsidR="00266F34">
        <w:t xml:space="preserve">Follow-up surveys </w:t>
      </w:r>
      <w:r w:rsidR="006C7C93">
        <w:t xml:space="preserve">(Instruments 11 and 13) </w:t>
      </w:r>
      <w:r w:rsidR="00266F34">
        <w:t>are administered using</w:t>
      </w:r>
      <w:r w:rsidR="005B6DF5">
        <w:t xml:space="preserve"> </w:t>
      </w:r>
      <w:r w:rsidR="005B6DF5" w:rsidRPr="0033170D">
        <w:t>CATI</w:t>
      </w:r>
      <w:r w:rsidR="005B6DF5">
        <w:t xml:space="preserve"> </w:t>
      </w:r>
      <w:r w:rsidR="00266F34">
        <w:t xml:space="preserve">and CAWI </w:t>
      </w:r>
      <w:r w:rsidR="005B6DF5">
        <w:t>platforms</w:t>
      </w:r>
      <w:r w:rsidRPr="0033170D">
        <w:t>. Prior to calling sample members to complete the survey, the evaluation team send</w:t>
      </w:r>
      <w:r w:rsidR="00266F34">
        <w:t>s</w:t>
      </w:r>
      <w:r w:rsidRPr="0033170D">
        <w:t xml:space="preserve"> sample members an advance letter</w:t>
      </w:r>
      <w:r w:rsidR="0000106D">
        <w:t xml:space="preserve"> (Attachment P)</w:t>
      </w:r>
      <w:r w:rsidRPr="0033170D">
        <w:t xml:space="preserve"> to notify them that a Mathematica interviewer will be calling to ask that they complete an interview. </w:t>
      </w:r>
      <w:r w:rsidR="005B6DF5">
        <w:t xml:space="preserve">In addition, those sample members who provided an email address at the time of the baseline survey receive an invitation email with information required to complete the survey on the web. </w:t>
      </w:r>
      <w:r w:rsidRPr="0033170D">
        <w:t>Mathematica’s locating team send</w:t>
      </w:r>
      <w:r w:rsidR="00266F34">
        <w:t>s</w:t>
      </w:r>
      <w:r w:rsidRPr="0033170D">
        <w:t xml:space="preserve"> </w:t>
      </w:r>
      <w:r w:rsidR="00F60976">
        <w:t>mail and email</w:t>
      </w:r>
      <w:r w:rsidRPr="0033170D">
        <w:t xml:space="preserve"> reminders, as well as text message reminders to encourage response among hard-to-reach sample members</w:t>
      </w:r>
      <w:r w:rsidR="0000106D">
        <w:t xml:space="preserve"> (Attachments N and O)</w:t>
      </w:r>
      <w:r w:rsidRPr="0033170D">
        <w:t>. If the respondent cannot be reached by phone and cannot be found by in-house locating staff, the evaluation team assign</w:t>
      </w:r>
      <w:r w:rsidR="00266F34">
        <w:t>s</w:t>
      </w:r>
      <w:r w:rsidRPr="0033170D">
        <w:t xml:space="preserve"> a field locator in the program’s community to contact the sample member in person. The field locator then provide</w:t>
      </w:r>
      <w:r w:rsidR="00266F34">
        <w:t>s</w:t>
      </w:r>
      <w:r w:rsidRPr="0033170D">
        <w:t xml:space="preserve"> the sample member a cell phone to call the Mathematica Survey Operations Center to complete the interview.</w:t>
      </w:r>
    </w:p>
    <w:p w14:paraId="1DE3B425" w14:textId="614F05B4" w:rsidR="00253148" w:rsidRDefault="00266F34" w:rsidP="003252D6">
      <w:pPr>
        <w:spacing w:after="240"/>
        <w:ind w:firstLine="432"/>
        <w:rPr>
          <w:b/>
        </w:rPr>
      </w:pPr>
      <w:r>
        <w:rPr>
          <w:b/>
        </w:rPr>
        <w:t xml:space="preserve">Baseline and </w:t>
      </w:r>
      <w:bookmarkStart w:id="11" w:name="_Toc439688578"/>
      <w:bookmarkEnd w:id="10"/>
      <w:r>
        <w:rPr>
          <w:b/>
        </w:rPr>
        <w:t>f</w:t>
      </w:r>
      <w:r w:rsidR="0033170D" w:rsidRPr="0033170D">
        <w:rPr>
          <w:b/>
        </w:rPr>
        <w:t>ollow-up survey</w:t>
      </w:r>
      <w:r>
        <w:rPr>
          <w:b/>
        </w:rPr>
        <w:t>s</w:t>
      </w:r>
      <w:r w:rsidR="0033170D" w:rsidRPr="0033170D">
        <w:rPr>
          <w:b/>
        </w:rPr>
        <w:t xml:space="preserve"> for youth in high schools.</w:t>
      </w:r>
      <w:bookmarkEnd w:id="11"/>
      <w:r w:rsidR="0033170D" w:rsidRPr="0033170D">
        <w:rPr>
          <w:b/>
        </w:rPr>
        <w:t xml:space="preserve"> </w:t>
      </w:r>
      <w:r>
        <w:t>For the site serving youth in high schools, baseline data collection</w:t>
      </w:r>
      <w:r w:rsidR="006C7C93">
        <w:t xml:space="preserve"> (Instrument 8)</w:t>
      </w:r>
      <w:r>
        <w:t xml:space="preserve"> began in July 2016 and was completed in February 2018. Follow-up s</w:t>
      </w:r>
      <w:r w:rsidR="009F66E1">
        <w:t>urveys</w:t>
      </w:r>
      <w:r>
        <w:t xml:space="preserve"> </w:t>
      </w:r>
      <w:r w:rsidR="006C7C93">
        <w:t xml:space="preserve">(Instruments 9 and 12) </w:t>
      </w:r>
      <w:r>
        <w:t>are</w:t>
      </w:r>
      <w:r w:rsidR="009F66E1">
        <w:t xml:space="preserve"> administered </w:t>
      </w:r>
      <w:r w:rsidR="004B7764">
        <w:t xml:space="preserve">primarily </w:t>
      </w:r>
      <w:r w:rsidR="009F66E1">
        <w:t>via ACASI in schools</w:t>
      </w:r>
      <w:r w:rsidR="004B7764">
        <w:t xml:space="preserve">. </w:t>
      </w:r>
      <w:r w:rsidR="00397581" w:rsidRPr="00397581">
        <w:t xml:space="preserve">Since a majority of the sample was enrolled in the study during 9th grade, we anticipate that </w:t>
      </w:r>
      <w:r w:rsidR="00397581">
        <w:t xml:space="preserve">many participants </w:t>
      </w:r>
      <w:r w:rsidR="00397581" w:rsidRPr="00397581">
        <w:t>will be in 11th or 12th grade at the time of the follow-up</w:t>
      </w:r>
      <w:r w:rsidR="00397581">
        <w:t xml:space="preserve"> and still</w:t>
      </w:r>
      <w:r w:rsidR="004B7764">
        <w:t xml:space="preserve"> </w:t>
      </w:r>
      <w:r w:rsidR="009F66E1" w:rsidRPr="007D17B1">
        <w:t xml:space="preserve">enrolled in the same schools </w:t>
      </w:r>
      <w:r w:rsidR="009F66E1">
        <w:t xml:space="preserve">in which they were enrolled </w:t>
      </w:r>
      <w:r w:rsidR="009F66E1" w:rsidRPr="007D17B1">
        <w:t>at baseline, simplifying locating efforts and improving response rates</w:t>
      </w:r>
      <w:r w:rsidR="00C826A0">
        <w:t>.</w:t>
      </w:r>
      <w:r w:rsidR="00397581">
        <w:t xml:space="preserve"> We expect approximately 50 percent of the student sample will still attend the same school from baseline. </w:t>
      </w:r>
      <w:r w:rsidR="00C826A0">
        <w:t xml:space="preserve"> </w:t>
      </w:r>
      <w:r w:rsidR="00397581">
        <w:t>S</w:t>
      </w:r>
      <w:r w:rsidR="004812E3">
        <w:t>ample members who</w:t>
      </w:r>
      <w:r w:rsidR="00C8264D">
        <w:t xml:space="preserve"> are</w:t>
      </w:r>
      <w:r w:rsidR="004812E3">
        <w:t xml:space="preserve"> not reach</w:t>
      </w:r>
      <w:r w:rsidR="000B3293">
        <w:t>ed</w:t>
      </w:r>
      <w:r w:rsidR="004812E3">
        <w:t xml:space="preserve"> in school will receive an advance letter</w:t>
      </w:r>
      <w:r w:rsidR="0000106D">
        <w:t xml:space="preserve"> (Attachment M)</w:t>
      </w:r>
      <w:r w:rsidR="004812E3">
        <w:t xml:space="preserve"> and invitation email inviting them to complete the survey through </w:t>
      </w:r>
      <w:r w:rsidR="00F4767F">
        <w:t>CAWI</w:t>
      </w:r>
      <w:r w:rsidR="004812E3">
        <w:t xml:space="preserve"> or CATI. </w:t>
      </w:r>
      <w:r w:rsidR="00F60976">
        <w:t xml:space="preserve">These materials will also </w:t>
      </w:r>
      <w:r w:rsidR="00F4767F">
        <w:t>notify</w:t>
      </w:r>
      <w:r w:rsidR="00F60976">
        <w:t xml:space="preserve"> them that a Mathematica interviewer will be calling to ask that they complete an interview. </w:t>
      </w:r>
      <w:r w:rsidR="00F60976" w:rsidRPr="00F60976">
        <w:t xml:space="preserve">Mathematica’s locating team will send mail and email reminders, as well as text message reminders to encourage response among hard-to-reach sample members. If </w:t>
      </w:r>
      <w:r w:rsidR="00F60976">
        <w:t>they</w:t>
      </w:r>
      <w:r w:rsidR="00F60976" w:rsidRPr="00F60976">
        <w:t xml:space="preserve"> cannot be reached by phone </w:t>
      </w:r>
      <w:r w:rsidR="0000106D">
        <w:t xml:space="preserve">(Attachment L) </w:t>
      </w:r>
      <w:r w:rsidR="00F60976" w:rsidRPr="00F60976">
        <w:t xml:space="preserve">and cannot be found by in-house locating staff, the evaluation team will assign a field locator in the program’s community to contact the sample member in person. The field locator will then provide the sample member a cell phone to call the Mathematica Survey Operations Center to complete the interview. </w:t>
      </w:r>
    </w:p>
    <w:p w14:paraId="070CB366" w14:textId="35B580AC" w:rsidR="00F56220" w:rsidRDefault="00E05A0A" w:rsidP="003252D6">
      <w:pPr>
        <w:spacing w:after="120"/>
        <w:rPr>
          <w:b/>
          <w:i/>
        </w:rPr>
      </w:pPr>
      <w:r>
        <w:rPr>
          <w:b/>
        </w:rPr>
        <w:t>B3. Methods to Maximize Response Rates and Deal with Nonresponse</w:t>
      </w:r>
    </w:p>
    <w:p w14:paraId="0D4B0329" w14:textId="77777777" w:rsidR="00EC6101" w:rsidRDefault="00EC6101" w:rsidP="00735EBE">
      <w:pPr>
        <w:spacing w:after="60"/>
        <w:rPr>
          <w:b/>
        </w:rPr>
      </w:pPr>
      <w:r w:rsidRPr="007378E7">
        <w:rPr>
          <w:b/>
          <w:i/>
        </w:rPr>
        <w:t>Expected Response Rates</w:t>
      </w:r>
    </w:p>
    <w:p w14:paraId="6C00FC3D" w14:textId="679FB38D" w:rsidR="00FE1C8E" w:rsidRDefault="00E70F66" w:rsidP="003252D6">
      <w:pPr>
        <w:spacing w:after="240"/>
        <w:ind w:firstLine="432"/>
      </w:pPr>
      <w:r>
        <w:t xml:space="preserve">Data collection for the first STREAMS follow-up survey is currently ongoing. To date, the response rate is approximately 85 percent for the site serving youth in high schools and </w:t>
      </w:r>
      <w:r w:rsidR="00022726">
        <w:t>79</w:t>
      </w:r>
      <w:r>
        <w:t xml:space="preserve"> percent for the sites serving adults. For the proposed second follow-up survey</w:t>
      </w:r>
      <w:r w:rsidR="000B3293">
        <w:t>s</w:t>
      </w:r>
      <w:r>
        <w:t>, the evaluation team is expecting an 80 percent response rate for both the site serving youth in high schools and the site serving adults.</w:t>
      </w:r>
    </w:p>
    <w:p w14:paraId="46D6CB87" w14:textId="475EFA53" w:rsidR="00EC6101" w:rsidRDefault="00EC6101">
      <w:pPr>
        <w:spacing w:after="60" w:line="276" w:lineRule="auto"/>
        <w:rPr>
          <w:b/>
          <w:i/>
        </w:rPr>
      </w:pPr>
      <w:r w:rsidRPr="007378E7">
        <w:rPr>
          <w:b/>
          <w:i/>
        </w:rPr>
        <w:t>Dealing with Nonresponse</w:t>
      </w:r>
    </w:p>
    <w:p w14:paraId="21B61327" w14:textId="76725B82" w:rsidR="00216C78" w:rsidRDefault="00216C78">
      <w:pPr>
        <w:spacing w:after="60" w:line="276" w:lineRule="auto"/>
      </w:pPr>
      <w:r>
        <w:t>Fielding Protocol to Minimize Differential Non-Response</w:t>
      </w:r>
    </w:p>
    <w:p w14:paraId="397BF5AF" w14:textId="74B81910" w:rsidR="00216C78" w:rsidRDefault="00D515BA" w:rsidP="00AF5BE7">
      <w:pPr>
        <w:spacing w:after="240"/>
        <w:ind w:firstLine="432"/>
      </w:pPr>
      <w:r>
        <w:t xml:space="preserve">Throughout data collection, nonresponse will be monitored to ensure representativeness across our sample. We will monitor live reports which breakdown response by critical subgroups (such as treatment and control), to confirm that the level of response is similar across all subgroups. If one subgroup appears to have lower levels of response, we will re-focus resources to </w:t>
      </w:r>
      <w:r w:rsidR="00D8112A">
        <w:t>decrease differential response rates</w:t>
      </w:r>
      <w:r>
        <w:t xml:space="preserve"> (such as, sending additional reminder mailings, prioritizing during field locating).</w:t>
      </w:r>
    </w:p>
    <w:p w14:paraId="327EA73A" w14:textId="2AE877F7" w:rsidR="00216C78" w:rsidRPr="00216C78" w:rsidRDefault="00216C78">
      <w:pPr>
        <w:spacing w:after="60" w:line="276" w:lineRule="auto"/>
      </w:pPr>
      <w:r>
        <w:t>Survey Post-Processing</w:t>
      </w:r>
    </w:p>
    <w:p w14:paraId="67AB9352" w14:textId="55A669C8" w:rsidR="00B64633" w:rsidRDefault="00216C78" w:rsidP="003252D6">
      <w:pPr>
        <w:spacing w:after="240"/>
        <w:ind w:firstLine="432"/>
      </w:pPr>
      <w:r>
        <w:t xml:space="preserve">At the conclusion of data collection, the </w:t>
      </w:r>
      <w:r w:rsidR="00FA3B6D">
        <w:t xml:space="preserve">evaluation team will analyze nonresponse to assess whether the sample of follow-up survey respondents is representative of the full study sample. Using the data on participants’ characteristics collected at baseline, </w:t>
      </w:r>
      <w:r w:rsidR="00E70F66">
        <w:t>the team</w:t>
      </w:r>
      <w:r w:rsidR="00FA3B6D">
        <w:t xml:space="preserve"> will conduct statistical tests (chi-square and t-tests) to gauge whether the</w:t>
      </w:r>
      <w:r w:rsidR="00B64633">
        <w:t xml:space="preserve"> sample members</w:t>
      </w:r>
      <w:r w:rsidR="00FA3B6D">
        <w:t xml:space="preserve"> </w:t>
      </w:r>
      <w:r w:rsidR="00B64633">
        <w:t xml:space="preserve">who completed </w:t>
      </w:r>
      <w:r w:rsidR="000B3293">
        <w:t>the</w:t>
      </w:r>
      <w:r w:rsidR="00B513AE">
        <w:t xml:space="preserve"> follow-up survey</w:t>
      </w:r>
      <w:r w:rsidR="00FA3B6D">
        <w:t xml:space="preserve"> are representative of all </w:t>
      </w:r>
      <w:r w:rsidR="00B64633">
        <w:t>sample members</w:t>
      </w:r>
      <w:r w:rsidR="00FA3B6D">
        <w:t>, and whether there are systematic differences in the treatment and control group members who responded to the survey.</w:t>
      </w:r>
    </w:p>
    <w:p w14:paraId="27F2CEA6" w14:textId="334216C3" w:rsidR="00253148" w:rsidRDefault="00B64633" w:rsidP="003252D6">
      <w:pPr>
        <w:spacing w:after="240"/>
        <w:ind w:firstLine="432"/>
      </w:pPr>
      <w:r>
        <w:t>If necessary, t</w:t>
      </w:r>
      <w:r w:rsidR="00FA3B6D">
        <w:t>he evaluation team will use two approaches to correct for potential nonresponse bias in the estimation of program impacts. First, the regression models described in A16 will adjust for observed differences between the characteristics of treatment and control group respondents. Second, because this regression procedure will not correct for differences between respondents and nonrespondents in each research group, sample weights will be constructed so that the weighted baseline characteristics of respondents in the treatment and control group in each program are similar to those of the full sample (respondents and nonrespondents). These weights will be constructed using data from the baseline surveys.</w:t>
      </w:r>
    </w:p>
    <w:p w14:paraId="7101CC5E" w14:textId="77777777" w:rsidR="00DA54CB" w:rsidRDefault="00DA54CB">
      <w:pPr>
        <w:autoSpaceDE w:val="0"/>
        <w:autoSpaceDN w:val="0"/>
        <w:adjustRightInd w:val="0"/>
        <w:spacing w:after="60"/>
        <w:rPr>
          <w:b/>
          <w:i/>
        </w:rPr>
      </w:pPr>
    </w:p>
    <w:p w14:paraId="28EE75C5" w14:textId="77777777" w:rsidR="00EC6101" w:rsidRPr="007378E7" w:rsidRDefault="00EC6101">
      <w:pPr>
        <w:autoSpaceDE w:val="0"/>
        <w:autoSpaceDN w:val="0"/>
        <w:adjustRightInd w:val="0"/>
        <w:spacing w:after="60"/>
        <w:rPr>
          <w:b/>
          <w:i/>
        </w:rPr>
      </w:pPr>
      <w:r w:rsidRPr="007378E7">
        <w:rPr>
          <w:b/>
          <w:i/>
        </w:rPr>
        <w:t>Maximizing Response Rates</w:t>
      </w:r>
    </w:p>
    <w:p w14:paraId="653FCBB2" w14:textId="718DE492" w:rsidR="00381036" w:rsidRDefault="00381036" w:rsidP="003252D6">
      <w:pPr>
        <w:spacing w:after="240"/>
        <w:ind w:firstLine="432"/>
      </w:pPr>
      <w:r>
        <w:t xml:space="preserve">In sites serving adults, follow-up surveys </w:t>
      </w:r>
      <w:r w:rsidR="000B3293">
        <w:t>are</w:t>
      </w:r>
      <w:r>
        <w:t xml:space="preserve"> conducted using </w:t>
      </w:r>
      <w:r w:rsidR="007865D7">
        <w:t>CATI and CAWI platforms</w:t>
      </w:r>
      <w:r w:rsidR="000B3293">
        <w:t>, and the proposed second follow-up surveys will be conducted using the same platforms</w:t>
      </w:r>
      <w:r>
        <w:t xml:space="preserve">. </w:t>
      </w:r>
      <w:r w:rsidR="003F36E5" w:rsidRPr="005D3C76">
        <w:t>Prior to calling sample members to complete the survey</w:t>
      </w:r>
      <w:r w:rsidR="003F36E5">
        <w:t xml:space="preserve"> via CATI</w:t>
      </w:r>
      <w:r w:rsidR="003F36E5" w:rsidRPr="005D3C76">
        <w:t xml:space="preserve">, the </w:t>
      </w:r>
      <w:r w:rsidR="003F36E5">
        <w:t>study</w:t>
      </w:r>
      <w:r w:rsidR="003F36E5" w:rsidRPr="005D3C76">
        <w:t xml:space="preserve"> team will send sample members an advance letter to </w:t>
      </w:r>
      <w:r w:rsidR="003F36E5" w:rsidRPr="002718C7">
        <w:t xml:space="preserve">notify them </w:t>
      </w:r>
      <w:r w:rsidR="00902994">
        <w:t>of the upcoming data collection</w:t>
      </w:r>
      <w:r w:rsidR="002378FF">
        <w:t xml:space="preserve"> (Attachment P)</w:t>
      </w:r>
      <w:r w:rsidR="003F36E5" w:rsidRPr="002718C7">
        <w:t xml:space="preserve">. </w:t>
      </w:r>
      <w:r w:rsidR="003F36E5">
        <w:t xml:space="preserve">This letter will provide details on their prior participation in the study and reminders about the study purpose and confidentiality. </w:t>
      </w:r>
      <w:r>
        <w:t xml:space="preserve">To facilitate locating, detailed contact information </w:t>
      </w:r>
      <w:r w:rsidR="000B3293">
        <w:t>is</w:t>
      </w:r>
      <w:r>
        <w:t xml:space="preserve"> gathered from sample members. In addition, all telephone interviewers </w:t>
      </w:r>
      <w:r w:rsidR="000B3293">
        <w:t>are</w:t>
      </w:r>
      <w:r>
        <w:t xml:space="preserve"> thoroughly trained in both the specifics of the project as well as strategies for securing respondents’ cooperation and averting refusals. </w:t>
      </w:r>
      <w:r w:rsidR="003F36E5">
        <w:t xml:space="preserve">Further, </w:t>
      </w:r>
      <w:r w:rsidR="006E710B">
        <w:t xml:space="preserve">we will assign sample members who are </w:t>
      </w:r>
      <w:r w:rsidR="003F36E5">
        <w:t xml:space="preserve">reluctant to participate  to </w:t>
      </w:r>
      <w:r w:rsidR="006E710B">
        <w:t xml:space="preserve">phone and field </w:t>
      </w:r>
      <w:r w:rsidR="003F36E5">
        <w:t xml:space="preserve">interviewers </w:t>
      </w:r>
      <w:r w:rsidR="006E710B">
        <w:t xml:space="preserve">who are especially effective </w:t>
      </w:r>
      <w:r w:rsidR="003F36E5">
        <w:t xml:space="preserve">with </w:t>
      </w:r>
      <w:r w:rsidR="002378FF">
        <w:t xml:space="preserve">soft </w:t>
      </w:r>
      <w:r w:rsidR="003F36E5">
        <w:t xml:space="preserve">refusal conversion. </w:t>
      </w:r>
      <w:r>
        <w:t>The team include</w:t>
      </w:r>
      <w:r w:rsidR="000B3293">
        <w:t>s</w:t>
      </w:r>
      <w:r>
        <w:t xml:space="preserve"> bilingual interviewers who can administer the instrument in Spanish when needed. Mathematica’s Survey Operations Center </w:t>
      </w:r>
      <w:r w:rsidR="000B3293">
        <w:t>is</w:t>
      </w:r>
      <w:r>
        <w:t xml:space="preserve"> adequately staffed for both daytime and evening interviews in all U.S. time zones. Mathematica use</w:t>
      </w:r>
      <w:r w:rsidR="000B3293">
        <w:t>s</w:t>
      </w:r>
      <w:r>
        <w:t xml:space="preserve"> automated search tools and online locating services to locate hard-to-reach sample members.</w:t>
      </w:r>
      <w:r w:rsidR="003F36E5" w:rsidRPr="003F36E5">
        <w:t xml:space="preserve"> Mathematica’s locating team will </w:t>
      </w:r>
      <w:r w:rsidR="003F36E5">
        <w:t xml:space="preserve">also </w:t>
      </w:r>
      <w:r w:rsidR="003F36E5" w:rsidRPr="003F36E5">
        <w:t>send post card reminders, as well as text message reminders to encourage response among hard-to-reach sample members</w:t>
      </w:r>
      <w:r w:rsidR="002378FF">
        <w:t xml:space="preserve"> (Attachment N)</w:t>
      </w:r>
      <w:r w:rsidR="003F36E5">
        <w:t>.</w:t>
      </w:r>
      <w:r>
        <w:t xml:space="preserve"> For the hardest-to-reach sample members, Mathematica deploy</w:t>
      </w:r>
      <w:r w:rsidR="000B3293">
        <w:t>s</w:t>
      </w:r>
      <w:r>
        <w:t xml:space="preserve"> field locators in the communities where programs in the study operate to locate sample members and provide them with a cell phone to complete the survey if needed.</w:t>
      </w:r>
    </w:p>
    <w:p w14:paraId="718B0368" w14:textId="6D83317B" w:rsidR="006C7C93" w:rsidRDefault="00381036" w:rsidP="003252D6">
      <w:pPr>
        <w:spacing w:after="240"/>
        <w:ind w:firstLine="432"/>
      </w:pPr>
      <w:r>
        <w:t xml:space="preserve">In </w:t>
      </w:r>
      <w:r w:rsidR="007865D7">
        <w:t xml:space="preserve">the </w:t>
      </w:r>
      <w:r>
        <w:t xml:space="preserve">site serving youth in high schools, follow-up surveys </w:t>
      </w:r>
      <w:r w:rsidR="000B3293">
        <w:t>are</w:t>
      </w:r>
      <w:r>
        <w:t xml:space="preserve"> conducted primarily through group administration in schools. The majority of participants</w:t>
      </w:r>
      <w:r w:rsidR="007865D7">
        <w:t xml:space="preserve"> in this site</w:t>
      </w:r>
      <w:r>
        <w:t xml:space="preserve"> were served during their first year of high school, therefore we anticipate that a large number of these sample members will be enrolled in the same school 2-3 years later</w:t>
      </w:r>
      <w:r w:rsidR="000B3293">
        <w:t xml:space="preserve"> at the time of the second follow up survey</w:t>
      </w:r>
      <w:r w:rsidR="00795D36">
        <w:t xml:space="preserve">. </w:t>
      </w:r>
      <w:r w:rsidR="0000106D">
        <w:t>Sample members not available for the in school administration will receive</w:t>
      </w:r>
      <w:r w:rsidR="00902994" w:rsidRPr="00902994">
        <w:t xml:space="preserve"> an advance letter to </w:t>
      </w:r>
      <w:r w:rsidR="00902994">
        <w:t>notify them of the upcoming data collection</w:t>
      </w:r>
      <w:r w:rsidR="002378FF">
        <w:t xml:space="preserve"> (Attachment M)</w:t>
      </w:r>
      <w:r w:rsidR="00902994" w:rsidRPr="00902994">
        <w:t>. This letter will provide details on their prior participation in the study and reminders about the study purpose and confidentiality</w:t>
      </w:r>
      <w:r w:rsidR="00902994">
        <w:t xml:space="preserve">. </w:t>
      </w:r>
      <w:r w:rsidR="004203F5" w:rsidRPr="004203F5">
        <w:t xml:space="preserve">Mathematica will use automated search tools and online locating services to locate </w:t>
      </w:r>
      <w:r w:rsidR="004203F5">
        <w:t>sample members no longer in their original schools</w:t>
      </w:r>
      <w:r w:rsidR="004203F5" w:rsidRPr="004203F5">
        <w:t xml:space="preserve">. </w:t>
      </w:r>
      <w:r w:rsidR="00902994" w:rsidRPr="00902994">
        <w:t>Mathematica’s locating team will also send post card reminders, as well as text message reminders to encourage response among hard-to-reach sample members.</w:t>
      </w:r>
      <w:r w:rsidR="00902994">
        <w:t xml:space="preserve"> </w:t>
      </w:r>
      <w:r w:rsidR="004203F5" w:rsidRPr="004203F5">
        <w:t>For the hardest-to-reach sample members, Mathematica will deploy field locators in the communities where programs in the study operate to locate sample members and provide them with a cell phone to complete the survey if needed.</w:t>
      </w:r>
    </w:p>
    <w:p w14:paraId="22EDF5A4" w14:textId="77777777" w:rsidR="00E05A0A" w:rsidRDefault="00E05A0A" w:rsidP="00735EBE">
      <w:pPr>
        <w:spacing w:after="120"/>
        <w:rPr>
          <w:b/>
        </w:rPr>
      </w:pPr>
      <w:r>
        <w:rPr>
          <w:b/>
        </w:rPr>
        <w:t>B4. Tests of Procedures or Methods to be Undertaken</w:t>
      </w:r>
    </w:p>
    <w:p w14:paraId="1DE271FF" w14:textId="4AB361A9" w:rsidR="00F47158" w:rsidRDefault="00242976" w:rsidP="003252D6">
      <w:pPr>
        <w:spacing w:after="240"/>
        <w:ind w:firstLine="432"/>
      </w:pPr>
      <w:r>
        <w:t>M</w:t>
      </w:r>
      <w:r w:rsidR="0033170D">
        <w:t>any of the items included in the youth and adult surveys are standardized scales or items adapted from existing surveys. In some cases, the study team developed new items for measuring constructs for which existing measures are not currently available. These items were developed drawing phrasing and language used in survey questions with similar populations.</w:t>
      </w:r>
    </w:p>
    <w:p w14:paraId="48EED597" w14:textId="47E32B52" w:rsidR="000D53DF" w:rsidRDefault="00F47158" w:rsidP="00DA54CB">
      <w:pPr>
        <w:pStyle w:val="NormalSS"/>
      </w:pPr>
      <w:r>
        <w:t>The evaluation team conducted telephone</w:t>
      </w:r>
      <w:r w:rsidR="00221B4A">
        <w:t xml:space="preserve"> pretests of the </w:t>
      </w:r>
      <w:r>
        <w:t>follow</w:t>
      </w:r>
      <w:r w:rsidR="00221B4A">
        <w:t xml:space="preserve">-up survey for youth, baseline survey for adults, and first and second follow-up surveys for adults. </w:t>
      </w:r>
      <w:r w:rsidR="00397581">
        <w:t>An additional pretest was not completed for the second follow-up survey for youth</w:t>
      </w:r>
      <w:r w:rsidR="00C434EC">
        <w:t xml:space="preserve"> due to the fact that approximately 90 percent of the instrument remained the same from the first follow-up survey. </w:t>
      </w:r>
      <w:r w:rsidR="00397581">
        <w:t xml:space="preserve"> </w:t>
      </w:r>
      <w:r w:rsidR="00221B4A">
        <w:t>The team used these pretests to</w:t>
      </w:r>
      <w:r>
        <w:t xml:space="preserve"> ensure that questions are understandable, that they use language familiar to respondents, and that they are consistent with the concepts they aim to measure. All pretests were conducted with fewer than 10 people. The team has also used these pretests to identify typical instrumentation problems (such as question wording and incomplete or inappropriate response categories), to measure the response burden, and to confirm that there are no unforeseen difficulties in administering the instruments. </w:t>
      </w:r>
      <w:r w:rsidR="00221B4A" w:rsidRPr="00221B4A">
        <w:t>The pretests confirmed that the response burden falls within the estimates specified in Part A of this information collection request.</w:t>
      </w:r>
    </w:p>
    <w:p w14:paraId="3AD94543" w14:textId="77777777" w:rsidR="00E05A0A" w:rsidRDefault="00E05A0A" w:rsidP="00735EBE">
      <w:pPr>
        <w:spacing w:after="120"/>
        <w:rPr>
          <w:b/>
        </w:rPr>
      </w:pPr>
      <w:r>
        <w:rPr>
          <w:b/>
        </w:rPr>
        <w:t xml:space="preserve">B5. </w:t>
      </w:r>
      <w:r w:rsidR="0008315A">
        <w:rPr>
          <w:b/>
        </w:rPr>
        <w:t>Individual(s)</w:t>
      </w:r>
      <w:r>
        <w:rPr>
          <w:b/>
        </w:rPr>
        <w:t xml:space="preserve"> Consulted on Statistical Aspects and Individuals Collecting and/or Analyzing Data</w:t>
      </w:r>
    </w:p>
    <w:p w14:paraId="62C878F9" w14:textId="77777777" w:rsidR="0033170D" w:rsidRDefault="0033170D" w:rsidP="003252D6">
      <w:pPr>
        <w:spacing w:after="240"/>
        <w:ind w:firstLine="432"/>
      </w:pPr>
      <w:r>
        <w:t>Mathematica Policy Research is conducting this study under contract number HHSP233201500095G. Mathematica received input and guidance on the plans for the statistical analyses for this study from ACF staff. The Mathematica evaluation team is led by the following individuals:</w:t>
      </w:r>
    </w:p>
    <w:p w14:paraId="3FD5CE96" w14:textId="77777777" w:rsidR="0033170D" w:rsidRDefault="0033170D" w:rsidP="003252D6">
      <w:r>
        <w:t>Dr. Robert G. Wood</w:t>
      </w:r>
    </w:p>
    <w:p w14:paraId="0863258A" w14:textId="77777777" w:rsidR="0033170D" w:rsidRDefault="0033170D" w:rsidP="003252D6">
      <w:r>
        <w:t>Co-Project Director</w:t>
      </w:r>
    </w:p>
    <w:p w14:paraId="5EA3D8D3" w14:textId="77777777" w:rsidR="0033170D" w:rsidRDefault="0033170D" w:rsidP="003252D6">
      <w:r>
        <w:t>Mathematica Policy Research</w:t>
      </w:r>
    </w:p>
    <w:p w14:paraId="4CEE353B" w14:textId="77777777" w:rsidR="0033170D" w:rsidRDefault="0033170D" w:rsidP="003252D6"/>
    <w:p w14:paraId="4EC2119C" w14:textId="77777777" w:rsidR="0033170D" w:rsidRDefault="0033170D" w:rsidP="003252D6">
      <w:r>
        <w:t>Ms. Diane Paulsell</w:t>
      </w:r>
    </w:p>
    <w:p w14:paraId="062A6A49" w14:textId="77777777" w:rsidR="0033170D" w:rsidRDefault="0033170D" w:rsidP="003252D6">
      <w:r>
        <w:t>Co-Project Director</w:t>
      </w:r>
    </w:p>
    <w:p w14:paraId="243C397B" w14:textId="77777777" w:rsidR="0033170D" w:rsidRDefault="0033170D" w:rsidP="003252D6">
      <w:r>
        <w:t>Mathematica Policy Research</w:t>
      </w:r>
    </w:p>
    <w:p w14:paraId="697CF5DE" w14:textId="77777777" w:rsidR="0033170D" w:rsidRDefault="0033170D" w:rsidP="003252D6"/>
    <w:p w14:paraId="3575D7AF" w14:textId="77777777" w:rsidR="0033170D" w:rsidRDefault="0033170D" w:rsidP="003252D6">
      <w:r>
        <w:t>Dr. Brian Goesling</w:t>
      </w:r>
    </w:p>
    <w:p w14:paraId="04E030AA" w14:textId="77777777" w:rsidR="0033170D" w:rsidRDefault="0033170D" w:rsidP="003252D6">
      <w:r>
        <w:t>Principal Investigator</w:t>
      </w:r>
    </w:p>
    <w:p w14:paraId="27B7A64D" w14:textId="77777777" w:rsidR="0033170D" w:rsidRDefault="0033170D" w:rsidP="003252D6">
      <w:r>
        <w:t>Mathematica Policy Research</w:t>
      </w:r>
    </w:p>
    <w:p w14:paraId="79F132E4" w14:textId="77777777" w:rsidR="0033170D" w:rsidRDefault="0033170D" w:rsidP="003252D6"/>
    <w:p w14:paraId="4B73A8D2" w14:textId="77777777" w:rsidR="0033170D" w:rsidRDefault="0033170D" w:rsidP="003252D6">
      <w:r>
        <w:t xml:space="preserve">Mr. Shawn Marsh </w:t>
      </w:r>
    </w:p>
    <w:p w14:paraId="2F2059C1" w14:textId="77777777" w:rsidR="0033170D" w:rsidRDefault="0033170D" w:rsidP="003252D6">
      <w:r>
        <w:t>Survey Director</w:t>
      </w:r>
    </w:p>
    <w:p w14:paraId="6EF8A090" w14:textId="5D68253E" w:rsidR="00FE1C8E" w:rsidRDefault="0033170D" w:rsidP="003252D6">
      <w:r>
        <w:t xml:space="preserve">Mathematica Policy Research </w:t>
      </w:r>
    </w:p>
    <w:p w14:paraId="5334A5C1" w14:textId="77777777" w:rsidR="000D53DF" w:rsidRDefault="000D53DF" w:rsidP="00FD1B70"/>
    <w:sectPr w:rsidR="000D53DF" w:rsidSect="0052073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09917" w14:textId="77777777" w:rsidR="00266F34" w:rsidRDefault="00266F34">
      <w:r>
        <w:separator/>
      </w:r>
    </w:p>
  </w:endnote>
  <w:endnote w:type="continuationSeparator" w:id="0">
    <w:p w14:paraId="1BCEA0F5" w14:textId="77777777" w:rsidR="00266F34" w:rsidRDefault="0026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27F5" w14:textId="579C55BE" w:rsidR="00266F34" w:rsidRDefault="00266F34">
    <w:pPr>
      <w:pStyle w:val="Footer"/>
      <w:jc w:val="center"/>
    </w:pPr>
    <w:r>
      <w:fldChar w:fldCharType="begin"/>
    </w:r>
    <w:r>
      <w:instrText xml:space="preserve"> PAGE   \* MERGEFORMAT </w:instrText>
    </w:r>
    <w:r>
      <w:fldChar w:fldCharType="separate"/>
    </w:r>
    <w:r w:rsidR="00C83D75">
      <w:rPr>
        <w:noProof/>
      </w:rPr>
      <w:t>1</w:t>
    </w:r>
    <w:r>
      <w:fldChar w:fldCharType="end"/>
    </w:r>
  </w:p>
  <w:p w14:paraId="1937BC5F" w14:textId="77777777" w:rsidR="00266F34" w:rsidRDefault="00266F34"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356AF" w14:textId="77777777" w:rsidR="00266F34" w:rsidRDefault="00266F34">
      <w:r>
        <w:separator/>
      </w:r>
    </w:p>
  </w:footnote>
  <w:footnote w:type="continuationSeparator" w:id="0">
    <w:p w14:paraId="6FAF7E85" w14:textId="77777777" w:rsidR="00266F34" w:rsidRDefault="00266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CCF" w14:textId="59D420A1" w:rsidR="00266F34" w:rsidRDefault="00266F34" w:rsidP="00FE1C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10962"/>
    <w:multiLevelType w:val="hybridMultilevel"/>
    <w:tmpl w:val="698E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7"/>
  </w:num>
  <w:num w:numId="5">
    <w:abstractNumId w:val="8"/>
  </w:num>
  <w:num w:numId="6">
    <w:abstractNumId w:val="15"/>
  </w:num>
  <w:num w:numId="7">
    <w:abstractNumId w:val="14"/>
  </w:num>
  <w:num w:numId="8">
    <w:abstractNumId w:val="9"/>
  </w:num>
  <w:num w:numId="9">
    <w:abstractNumId w:val="10"/>
  </w:num>
  <w:num w:numId="10">
    <w:abstractNumId w:val="2"/>
  </w:num>
  <w:num w:numId="11">
    <w:abstractNumId w:val="0"/>
  </w:num>
  <w:num w:numId="12">
    <w:abstractNumId w:val="3"/>
  </w:num>
  <w:num w:numId="13">
    <w:abstractNumId w:val="16"/>
  </w:num>
  <w:num w:numId="14">
    <w:abstractNumId w:val="5"/>
  </w:num>
  <w:num w:numId="15">
    <w:abstractNumId w:val="6"/>
  </w:num>
  <w:num w:numId="16">
    <w:abstractNumId w:val="17"/>
  </w:num>
  <w:num w:numId="17">
    <w:abstractNumId w:val="11"/>
  </w:num>
  <w:num w:numId="18">
    <w:abstractNumId w:val="11"/>
    <w:lvlOverride w:ilvl="0">
      <w:startOverride w:val="1"/>
    </w:lvlOverride>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106D"/>
    <w:rsid w:val="00022726"/>
    <w:rsid w:val="000256F4"/>
    <w:rsid w:val="0008315A"/>
    <w:rsid w:val="00091C59"/>
    <w:rsid w:val="000B3293"/>
    <w:rsid w:val="000B5EA8"/>
    <w:rsid w:val="000D53DF"/>
    <w:rsid w:val="000F53E3"/>
    <w:rsid w:val="000F5D39"/>
    <w:rsid w:val="00117F33"/>
    <w:rsid w:val="0016012E"/>
    <w:rsid w:val="001779C2"/>
    <w:rsid w:val="00183C0F"/>
    <w:rsid w:val="00196D6A"/>
    <w:rsid w:val="001C4D60"/>
    <w:rsid w:val="001E2749"/>
    <w:rsid w:val="00202842"/>
    <w:rsid w:val="0020382F"/>
    <w:rsid w:val="00216C78"/>
    <w:rsid w:val="00221B4A"/>
    <w:rsid w:val="002231FA"/>
    <w:rsid w:val="00234E8D"/>
    <w:rsid w:val="00235A6D"/>
    <w:rsid w:val="002378FF"/>
    <w:rsid w:val="00242976"/>
    <w:rsid w:val="00253148"/>
    <w:rsid w:val="00266F34"/>
    <w:rsid w:val="00292B70"/>
    <w:rsid w:val="002A18B0"/>
    <w:rsid w:val="002A1F68"/>
    <w:rsid w:val="002B4DBE"/>
    <w:rsid w:val="002D7CB9"/>
    <w:rsid w:val="0030356A"/>
    <w:rsid w:val="0032356C"/>
    <w:rsid w:val="003252D6"/>
    <w:rsid w:val="0033170D"/>
    <w:rsid w:val="00364333"/>
    <w:rsid w:val="003645A2"/>
    <w:rsid w:val="0037156C"/>
    <w:rsid w:val="00374DAB"/>
    <w:rsid w:val="00381036"/>
    <w:rsid w:val="00386396"/>
    <w:rsid w:val="003942F5"/>
    <w:rsid w:val="00397581"/>
    <w:rsid w:val="003D5231"/>
    <w:rsid w:val="003F36E5"/>
    <w:rsid w:val="004203F5"/>
    <w:rsid w:val="00451234"/>
    <w:rsid w:val="004554B1"/>
    <w:rsid w:val="00456E2F"/>
    <w:rsid w:val="004812E3"/>
    <w:rsid w:val="00482DDE"/>
    <w:rsid w:val="004A05DE"/>
    <w:rsid w:val="004B587E"/>
    <w:rsid w:val="004B7764"/>
    <w:rsid w:val="004C1EB0"/>
    <w:rsid w:val="004D6CA9"/>
    <w:rsid w:val="004F3C95"/>
    <w:rsid w:val="004F4E1D"/>
    <w:rsid w:val="005046F0"/>
    <w:rsid w:val="00520737"/>
    <w:rsid w:val="005353B7"/>
    <w:rsid w:val="00541024"/>
    <w:rsid w:val="005601E3"/>
    <w:rsid w:val="0056098C"/>
    <w:rsid w:val="005776EB"/>
    <w:rsid w:val="005A4C90"/>
    <w:rsid w:val="005A64C5"/>
    <w:rsid w:val="005A7563"/>
    <w:rsid w:val="005B134D"/>
    <w:rsid w:val="005B6DF5"/>
    <w:rsid w:val="005D2982"/>
    <w:rsid w:val="005E17E2"/>
    <w:rsid w:val="005F2061"/>
    <w:rsid w:val="00607351"/>
    <w:rsid w:val="00607A35"/>
    <w:rsid w:val="00646427"/>
    <w:rsid w:val="00647DFA"/>
    <w:rsid w:val="00651DBA"/>
    <w:rsid w:val="00657424"/>
    <w:rsid w:val="00657F7B"/>
    <w:rsid w:val="006666C7"/>
    <w:rsid w:val="0069475D"/>
    <w:rsid w:val="006A33B7"/>
    <w:rsid w:val="006B4E1C"/>
    <w:rsid w:val="006B6845"/>
    <w:rsid w:val="006C31D6"/>
    <w:rsid w:val="006C7C93"/>
    <w:rsid w:val="006D237F"/>
    <w:rsid w:val="006E710B"/>
    <w:rsid w:val="006F30E0"/>
    <w:rsid w:val="00701045"/>
    <w:rsid w:val="00714408"/>
    <w:rsid w:val="0072204D"/>
    <w:rsid w:val="00723219"/>
    <w:rsid w:val="007335A8"/>
    <w:rsid w:val="00735EBE"/>
    <w:rsid w:val="007549D7"/>
    <w:rsid w:val="00772457"/>
    <w:rsid w:val="00784137"/>
    <w:rsid w:val="007865D7"/>
    <w:rsid w:val="00786C78"/>
    <w:rsid w:val="00795D36"/>
    <w:rsid w:val="007A0D58"/>
    <w:rsid w:val="007A6EEC"/>
    <w:rsid w:val="007B284C"/>
    <w:rsid w:val="007D1BAC"/>
    <w:rsid w:val="007E4E36"/>
    <w:rsid w:val="007F4510"/>
    <w:rsid w:val="007F4949"/>
    <w:rsid w:val="007F77A7"/>
    <w:rsid w:val="00810D34"/>
    <w:rsid w:val="008172E0"/>
    <w:rsid w:val="008612F7"/>
    <w:rsid w:val="0087234E"/>
    <w:rsid w:val="008868DE"/>
    <w:rsid w:val="008A0DF8"/>
    <w:rsid w:val="008A2E00"/>
    <w:rsid w:val="008A784C"/>
    <w:rsid w:val="008A78CC"/>
    <w:rsid w:val="008B456B"/>
    <w:rsid w:val="008B7F2C"/>
    <w:rsid w:val="008C09BF"/>
    <w:rsid w:val="008C3B95"/>
    <w:rsid w:val="008D00C3"/>
    <w:rsid w:val="008D1B96"/>
    <w:rsid w:val="008E72C5"/>
    <w:rsid w:val="008F2D40"/>
    <w:rsid w:val="00902994"/>
    <w:rsid w:val="009033B8"/>
    <w:rsid w:val="009074C3"/>
    <w:rsid w:val="00923611"/>
    <w:rsid w:val="00930ADB"/>
    <w:rsid w:val="009323FF"/>
    <w:rsid w:val="00932D71"/>
    <w:rsid w:val="00945CD6"/>
    <w:rsid w:val="009648CE"/>
    <w:rsid w:val="00965D89"/>
    <w:rsid w:val="00982355"/>
    <w:rsid w:val="009D47D2"/>
    <w:rsid w:val="009E4B08"/>
    <w:rsid w:val="009F66E1"/>
    <w:rsid w:val="00A00766"/>
    <w:rsid w:val="00A03B8A"/>
    <w:rsid w:val="00A334A0"/>
    <w:rsid w:val="00A35E23"/>
    <w:rsid w:val="00A4625E"/>
    <w:rsid w:val="00A878E1"/>
    <w:rsid w:val="00AA29C0"/>
    <w:rsid w:val="00AC4338"/>
    <w:rsid w:val="00AC7F9F"/>
    <w:rsid w:val="00AE3ABD"/>
    <w:rsid w:val="00AF5BE7"/>
    <w:rsid w:val="00B14396"/>
    <w:rsid w:val="00B43F45"/>
    <w:rsid w:val="00B513AE"/>
    <w:rsid w:val="00B64633"/>
    <w:rsid w:val="00B740EB"/>
    <w:rsid w:val="00B934F2"/>
    <w:rsid w:val="00BB6D15"/>
    <w:rsid w:val="00BD4CFB"/>
    <w:rsid w:val="00BE17F5"/>
    <w:rsid w:val="00C12B95"/>
    <w:rsid w:val="00C204C8"/>
    <w:rsid w:val="00C434EC"/>
    <w:rsid w:val="00C56EA9"/>
    <w:rsid w:val="00C73C6C"/>
    <w:rsid w:val="00C8264D"/>
    <w:rsid w:val="00C826A0"/>
    <w:rsid w:val="00C83D75"/>
    <w:rsid w:val="00CA4B20"/>
    <w:rsid w:val="00CD6786"/>
    <w:rsid w:val="00CE23ED"/>
    <w:rsid w:val="00CE6EFF"/>
    <w:rsid w:val="00D012A6"/>
    <w:rsid w:val="00D06D5F"/>
    <w:rsid w:val="00D1410F"/>
    <w:rsid w:val="00D515BA"/>
    <w:rsid w:val="00D519D9"/>
    <w:rsid w:val="00D54678"/>
    <w:rsid w:val="00D62FC2"/>
    <w:rsid w:val="00D67880"/>
    <w:rsid w:val="00D71120"/>
    <w:rsid w:val="00D75DDB"/>
    <w:rsid w:val="00D8112A"/>
    <w:rsid w:val="00DA54CB"/>
    <w:rsid w:val="00DC68B4"/>
    <w:rsid w:val="00DE613A"/>
    <w:rsid w:val="00E05A0A"/>
    <w:rsid w:val="00E06881"/>
    <w:rsid w:val="00E22F5C"/>
    <w:rsid w:val="00E26492"/>
    <w:rsid w:val="00E26DAD"/>
    <w:rsid w:val="00E30859"/>
    <w:rsid w:val="00E401C6"/>
    <w:rsid w:val="00E41D46"/>
    <w:rsid w:val="00E60BC1"/>
    <w:rsid w:val="00E70F66"/>
    <w:rsid w:val="00E72E9A"/>
    <w:rsid w:val="00EA278A"/>
    <w:rsid w:val="00EB5B54"/>
    <w:rsid w:val="00EB61A0"/>
    <w:rsid w:val="00EB7BF3"/>
    <w:rsid w:val="00EC329F"/>
    <w:rsid w:val="00EC6101"/>
    <w:rsid w:val="00ED6153"/>
    <w:rsid w:val="00F20419"/>
    <w:rsid w:val="00F27301"/>
    <w:rsid w:val="00F3528A"/>
    <w:rsid w:val="00F47158"/>
    <w:rsid w:val="00F4767F"/>
    <w:rsid w:val="00F56220"/>
    <w:rsid w:val="00F56BBE"/>
    <w:rsid w:val="00F60976"/>
    <w:rsid w:val="00F63F75"/>
    <w:rsid w:val="00F73374"/>
    <w:rsid w:val="00F77BE3"/>
    <w:rsid w:val="00F83277"/>
    <w:rsid w:val="00F874AB"/>
    <w:rsid w:val="00F93449"/>
    <w:rsid w:val="00F95F02"/>
    <w:rsid w:val="00FA3B6D"/>
    <w:rsid w:val="00FC04C5"/>
    <w:rsid w:val="00FD1B70"/>
    <w:rsid w:val="00FD4D63"/>
    <w:rsid w:val="00FD67D3"/>
    <w:rsid w:val="00FD7600"/>
    <w:rsid w:val="00FE1C8E"/>
    <w:rsid w:val="00FF3048"/>
    <w:rsid w:val="00FF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E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117F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paragraph" w:styleId="ListParagraph">
    <w:name w:val="List Paragraph"/>
    <w:basedOn w:val="Normal"/>
    <w:uiPriority w:val="34"/>
    <w:qFormat/>
    <w:rsid w:val="00646427"/>
    <w:pPr>
      <w:ind w:left="720"/>
      <w:contextualSpacing/>
    </w:pPr>
  </w:style>
  <w:style w:type="table" w:customStyle="1" w:styleId="LightList1">
    <w:name w:val="Light List1"/>
    <w:basedOn w:val="TableNormal"/>
    <w:next w:val="LightList"/>
    <w:uiPriority w:val="61"/>
    <w:rsid w:val="00646427"/>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unhideWhenUsed/>
    <w:rsid w:val="006464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TableTitle">
    <w:name w:val="Mark for Table Title"/>
    <w:basedOn w:val="Normal"/>
    <w:next w:val="Normal"/>
    <w:qFormat/>
    <w:rsid w:val="00646427"/>
    <w:pPr>
      <w:keepNext/>
      <w:spacing w:after="60"/>
    </w:pPr>
    <w:rPr>
      <w:rFonts w:ascii="Arial Black" w:hAnsi="Arial Black"/>
      <w:sz w:val="22"/>
      <w:szCs w:val="20"/>
    </w:rPr>
  </w:style>
  <w:style w:type="paragraph" w:customStyle="1" w:styleId="NumberedBullet">
    <w:name w:val="Numbered Bullet"/>
    <w:basedOn w:val="Normal"/>
    <w:link w:val="NumberedBulletChar"/>
    <w:qFormat/>
    <w:rsid w:val="00646427"/>
    <w:pPr>
      <w:numPr>
        <w:numId w:val="17"/>
      </w:numPr>
      <w:tabs>
        <w:tab w:val="clear" w:pos="792"/>
        <w:tab w:val="left" w:pos="432"/>
      </w:tabs>
      <w:spacing w:after="120"/>
      <w:ind w:left="432" w:hanging="432"/>
    </w:pPr>
    <w:rPr>
      <w:szCs w:val="20"/>
    </w:rPr>
  </w:style>
  <w:style w:type="paragraph" w:customStyle="1" w:styleId="TableHeaderLeft">
    <w:name w:val="Table Header Left"/>
    <w:basedOn w:val="TableText"/>
    <w:next w:val="TableText"/>
    <w:qFormat/>
    <w:rsid w:val="00646427"/>
    <w:pPr>
      <w:spacing w:before="120" w:after="60"/>
    </w:pPr>
    <w:rPr>
      <w:b/>
      <w:color w:val="FFFFFF" w:themeColor="background1"/>
    </w:rPr>
  </w:style>
  <w:style w:type="paragraph" w:customStyle="1" w:styleId="TableHeaderCenter">
    <w:name w:val="Table Header Center"/>
    <w:basedOn w:val="TableHeaderLeft"/>
    <w:qFormat/>
    <w:rsid w:val="00646427"/>
    <w:pPr>
      <w:jc w:val="center"/>
    </w:pPr>
  </w:style>
  <w:style w:type="paragraph" w:customStyle="1" w:styleId="TableText">
    <w:name w:val="Table Text"/>
    <w:basedOn w:val="Normal"/>
    <w:qFormat/>
    <w:rsid w:val="00646427"/>
    <w:rPr>
      <w:rFonts w:ascii="Arial" w:hAnsi="Arial"/>
      <w:sz w:val="18"/>
      <w:szCs w:val="20"/>
    </w:rPr>
  </w:style>
  <w:style w:type="character" w:customStyle="1" w:styleId="NumberedBulletChar">
    <w:name w:val="Numbered Bullet Char"/>
    <w:basedOn w:val="DefaultParagraphFont"/>
    <w:link w:val="NumberedBullet"/>
    <w:rsid w:val="00646427"/>
    <w:rPr>
      <w:sz w:val="24"/>
    </w:rPr>
  </w:style>
  <w:style w:type="paragraph" w:customStyle="1" w:styleId="TableSourceCaption">
    <w:name w:val="Table Source_Caption"/>
    <w:qFormat/>
    <w:rsid w:val="00F83277"/>
    <w:pPr>
      <w:tabs>
        <w:tab w:val="left" w:pos="792"/>
      </w:tabs>
      <w:spacing w:before="60"/>
      <w:ind w:left="792" w:hanging="792"/>
    </w:pPr>
    <w:rPr>
      <w:rFonts w:ascii="Arial" w:hAnsi="Arial"/>
      <w:sz w:val="18"/>
    </w:rPr>
  </w:style>
  <w:style w:type="paragraph" w:customStyle="1" w:styleId="Bullet">
    <w:name w:val="Bullet"/>
    <w:basedOn w:val="Normal"/>
    <w:qFormat/>
    <w:rsid w:val="00117F33"/>
    <w:pPr>
      <w:numPr>
        <w:numId w:val="19"/>
      </w:numPr>
      <w:tabs>
        <w:tab w:val="left" w:pos="432"/>
      </w:tabs>
      <w:spacing w:after="120"/>
      <w:ind w:left="432" w:hanging="432"/>
    </w:pPr>
    <w:rPr>
      <w:szCs w:val="20"/>
    </w:rPr>
  </w:style>
  <w:style w:type="paragraph" w:customStyle="1" w:styleId="BulletLastSS">
    <w:name w:val="Bullet (Last SS)"/>
    <w:basedOn w:val="Bullet"/>
    <w:next w:val="NormalSS"/>
    <w:qFormat/>
    <w:rsid w:val="00117F33"/>
    <w:pPr>
      <w:numPr>
        <w:numId w:val="20"/>
      </w:numPr>
      <w:spacing w:after="240"/>
      <w:ind w:left="432" w:hanging="432"/>
    </w:pPr>
  </w:style>
  <w:style w:type="paragraph" w:customStyle="1" w:styleId="NormalSS">
    <w:name w:val="NormalSS"/>
    <w:basedOn w:val="Normal"/>
    <w:link w:val="NormalSSChar"/>
    <w:qFormat/>
    <w:rsid w:val="00117F33"/>
    <w:pPr>
      <w:spacing w:after="240"/>
      <w:ind w:firstLine="432"/>
    </w:pPr>
    <w:rPr>
      <w:szCs w:val="20"/>
    </w:rPr>
  </w:style>
  <w:style w:type="paragraph" w:customStyle="1" w:styleId="H4Number">
    <w:name w:val="H4_Number"/>
    <w:basedOn w:val="Heading3"/>
    <w:next w:val="NormalSS"/>
    <w:link w:val="H4NumberChar"/>
    <w:qFormat/>
    <w:rsid w:val="00117F33"/>
    <w:pPr>
      <w:keepLines w:val="0"/>
      <w:tabs>
        <w:tab w:val="left" w:pos="432"/>
      </w:tabs>
      <w:spacing w:before="0" w:after="120"/>
      <w:ind w:left="432" w:hanging="432"/>
      <w:outlineLvl w:val="3"/>
    </w:pPr>
    <w:rPr>
      <w:b/>
    </w:rPr>
  </w:style>
  <w:style w:type="character" w:customStyle="1" w:styleId="H4NumberChar">
    <w:name w:val="H4_Number Char"/>
    <w:basedOn w:val="Heading3Char"/>
    <w:link w:val="H4Number"/>
    <w:rsid w:val="00117F33"/>
    <w:rPr>
      <w:rFonts w:asciiTheme="majorHAnsi" w:eastAsiaTheme="majorEastAsia" w:hAnsiTheme="majorHAnsi" w:cstheme="majorBidi"/>
      <w:b/>
      <w:color w:val="1F4D78" w:themeColor="accent1" w:themeShade="7F"/>
      <w:sz w:val="24"/>
      <w:szCs w:val="24"/>
    </w:rPr>
  </w:style>
  <w:style w:type="character" w:customStyle="1" w:styleId="NormalSSChar">
    <w:name w:val="NormalSS Char"/>
    <w:basedOn w:val="DefaultParagraphFont"/>
    <w:link w:val="NormalSS"/>
    <w:rsid w:val="00117F33"/>
    <w:rPr>
      <w:sz w:val="24"/>
    </w:rPr>
  </w:style>
  <w:style w:type="character" w:customStyle="1" w:styleId="Heading3Char">
    <w:name w:val="Heading 3 Char"/>
    <w:basedOn w:val="DefaultParagraphFont"/>
    <w:link w:val="Heading3"/>
    <w:semiHidden/>
    <w:rsid w:val="00117F3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14408"/>
    <w:rPr>
      <w:rFonts w:asciiTheme="minorHAnsi" w:eastAsiaTheme="minorHAnsi" w:hAnsiTheme="minorHAnsi" w:cstheme="minorBidi"/>
      <w:sz w:val="22"/>
      <w:szCs w:val="22"/>
    </w:rPr>
  </w:style>
  <w:style w:type="paragraph" w:styleId="Revision">
    <w:name w:val="Revision"/>
    <w:hidden/>
    <w:uiPriority w:val="99"/>
    <w:semiHidden/>
    <w:rsid w:val="009323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117F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paragraph" w:styleId="ListParagraph">
    <w:name w:val="List Paragraph"/>
    <w:basedOn w:val="Normal"/>
    <w:uiPriority w:val="34"/>
    <w:qFormat/>
    <w:rsid w:val="00646427"/>
    <w:pPr>
      <w:ind w:left="720"/>
      <w:contextualSpacing/>
    </w:pPr>
  </w:style>
  <w:style w:type="table" w:customStyle="1" w:styleId="LightList1">
    <w:name w:val="Light List1"/>
    <w:basedOn w:val="TableNormal"/>
    <w:next w:val="LightList"/>
    <w:uiPriority w:val="61"/>
    <w:rsid w:val="00646427"/>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unhideWhenUsed/>
    <w:rsid w:val="006464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TableTitle">
    <w:name w:val="Mark for Table Title"/>
    <w:basedOn w:val="Normal"/>
    <w:next w:val="Normal"/>
    <w:qFormat/>
    <w:rsid w:val="00646427"/>
    <w:pPr>
      <w:keepNext/>
      <w:spacing w:after="60"/>
    </w:pPr>
    <w:rPr>
      <w:rFonts w:ascii="Arial Black" w:hAnsi="Arial Black"/>
      <w:sz w:val="22"/>
      <w:szCs w:val="20"/>
    </w:rPr>
  </w:style>
  <w:style w:type="paragraph" w:customStyle="1" w:styleId="NumberedBullet">
    <w:name w:val="Numbered Bullet"/>
    <w:basedOn w:val="Normal"/>
    <w:link w:val="NumberedBulletChar"/>
    <w:qFormat/>
    <w:rsid w:val="00646427"/>
    <w:pPr>
      <w:numPr>
        <w:numId w:val="17"/>
      </w:numPr>
      <w:tabs>
        <w:tab w:val="clear" w:pos="792"/>
        <w:tab w:val="left" w:pos="432"/>
      </w:tabs>
      <w:spacing w:after="120"/>
      <w:ind w:left="432" w:hanging="432"/>
    </w:pPr>
    <w:rPr>
      <w:szCs w:val="20"/>
    </w:rPr>
  </w:style>
  <w:style w:type="paragraph" w:customStyle="1" w:styleId="TableHeaderLeft">
    <w:name w:val="Table Header Left"/>
    <w:basedOn w:val="TableText"/>
    <w:next w:val="TableText"/>
    <w:qFormat/>
    <w:rsid w:val="00646427"/>
    <w:pPr>
      <w:spacing w:before="120" w:after="60"/>
    </w:pPr>
    <w:rPr>
      <w:b/>
      <w:color w:val="FFFFFF" w:themeColor="background1"/>
    </w:rPr>
  </w:style>
  <w:style w:type="paragraph" w:customStyle="1" w:styleId="TableHeaderCenter">
    <w:name w:val="Table Header Center"/>
    <w:basedOn w:val="TableHeaderLeft"/>
    <w:qFormat/>
    <w:rsid w:val="00646427"/>
    <w:pPr>
      <w:jc w:val="center"/>
    </w:pPr>
  </w:style>
  <w:style w:type="paragraph" w:customStyle="1" w:styleId="TableText">
    <w:name w:val="Table Text"/>
    <w:basedOn w:val="Normal"/>
    <w:qFormat/>
    <w:rsid w:val="00646427"/>
    <w:rPr>
      <w:rFonts w:ascii="Arial" w:hAnsi="Arial"/>
      <w:sz w:val="18"/>
      <w:szCs w:val="20"/>
    </w:rPr>
  </w:style>
  <w:style w:type="character" w:customStyle="1" w:styleId="NumberedBulletChar">
    <w:name w:val="Numbered Bullet Char"/>
    <w:basedOn w:val="DefaultParagraphFont"/>
    <w:link w:val="NumberedBullet"/>
    <w:rsid w:val="00646427"/>
    <w:rPr>
      <w:sz w:val="24"/>
    </w:rPr>
  </w:style>
  <w:style w:type="paragraph" w:customStyle="1" w:styleId="TableSourceCaption">
    <w:name w:val="Table Source_Caption"/>
    <w:qFormat/>
    <w:rsid w:val="00F83277"/>
    <w:pPr>
      <w:tabs>
        <w:tab w:val="left" w:pos="792"/>
      </w:tabs>
      <w:spacing w:before="60"/>
      <w:ind w:left="792" w:hanging="792"/>
    </w:pPr>
    <w:rPr>
      <w:rFonts w:ascii="Arial" w:hAnsi="Arial"/>
      <w:sz w:val="18"/>
    </w:rPr>
  </w:style>
  <w:style w:type="paragraph" w:customStyle="1" w:styleId="Bullet">
    <w:name w:val="Bullet"/>
    <w:basedOn w:val="Normal"/>
    <w:qFormat/>
    <w:rsid w:val="00117F33"/>
    <w:pPr>
      <w:numPr>
        <w:numId w:val="19"/>
      </w:numPr>
      <w:tabs>
        <w:tab w:val="left" w:pos="432"/>
      </w:tabs>
      <w:spacing w:after="120"/>
      <w:ind w:left="432" w:hanging="432"/>
    </w:pPr>
    <w:rPr>
      <w:szCs w:val="20"/>
    </w:rPr>
  </w:style>
  <w:style w:type="paragraph" w:customStyle="1" w:styleId="BulletLastSS">
    <w:name w:val="Bullet (Last SS)"/>
    <w:basedOn w:val="Bullet"/>
    <w:next w:val="NormalSS"/>
    <w:qFormat/>
    <w:rsid w:val="00117F33"/>
    <w:pPr>
      <w:numPr>
        <w:numId w:val="20"/>
      </w:numPr>
      <w:spacing w:after="240"/>
      <w:ind w:left="432" w:hanging="432"/>
    </w:pPr>
  </w:style>
  <w:style w:type="paragraph" w:customStyle="1" w:styleId="NormalSS">
    <w:name w:val="NormalSS"/>
    <w:basedOn w:val="Normal"/>
    <w:link w:val="NormalSSChar"/>
    <w:qFormat/>
    <w:rsid w:val="00117F33"/>
    <w:pPr>
      <w:spacing w:after="240"/>
      <w:ind w:firstLine="432"/>
    </w:pPr>
    <w:rPr>
      <w:szCs w:val="20"/>
    </w:rPr>
  </w:style>
  <w:style w:type="paragraph" w:customStyle="1" w:styleId="H4Number">
    <w:name w:val="H4_Number"/>
    <w:basedOn w:val="Heading3"/>
    <w:next w:val="NormalSS"/>
    <w:link w:val="H4NumberChar"/>
    <w:qFormat/>
    <w:rsid w:val="00117F33"/>
    <w:pPr>
      <w:keepLines w:val="0"/>
      <w:tabs>
        <w:tab w:val="left" w:pos="432"/>
      </w:tabs>
      <w:spacing w:before="0" w:after="120"/>
      <w:ind w:left="432" w:hanging="432"/>
      <w:outlineLvl w:val="3"/>
    </w:pPr>
    <w:rPr>
      <w:b/>
    </w:rPr>
  </w:style>
  <w:style w:type="character" w:customStyle="1" w:styleId="H4NumberChar">
    <w:name w:val="H4_Number Char"/>
    <w:basedOn w:val="Heading3Char"/>
    <w:link w:val="H4Number"/>
    <w:rsid w:val="00117F33"/>
    <w:rPr>
      <w:rFonts w:asciiTheme="majorHAnsi" w:eastAsiaTheme="majorEastAsia" w:hAnsiTheme="majorHAnsi" w:cstheme="majorBidi"/>
      <w:b/>
      <w:color w:val="1F4D78" w:themeColor="accent1" w:themeShade="7F"/>
      <w:sz w:val="24"/>
      <w:szCs w:val="24"/>
    </w:rPr>
  </w:style>
  <w:style w:type="character" w:customStyle="1" w:styleId="NormalSSChar">
    <w:name w:val="NormalSS Char"/>
    <w:basedOn w:val="DefaultParagraphFont"/>
    <w:link w:val="NormalSS"/>
    <w:rsid w:val="00117F33"/>
    <w:rPr>
      <w:sz w:val="24"/>
    </w:rPr>
  </w:style>
  <w:style w:type="character" w:customStyle="1" w:styleId="Heading3Char">
    <w:name w:val="Heading 3 Char"/>
    <w:basedOn w:val="DefaultParagraphFont"/>
    <w:link w:val="Heading3"/>
    <w:semiHidden/>
    <w:rsid w:val="00117F3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14408"/>
    <w:rPr>
      <w:rFonts w:asciiTheme="minorHAnsi" w:eastAsiaTheme="minorHAnsi" w:hAnsiTheme="minorHAnsi" w:cstheme="minorBidi"/>
      <w:sz w:val="22"/>
      <w:szCs w:val="22"/>
    </w:rPr>
  </w:style>
  <w:style w:type="paragraph" w:styleId="Revision">
    <w:name w:val="Revision"/>
    <w:hidden/>
    <w:uiPriority w:val="99"/>
    <w:semiHidden/>
    <w:rsid w:val="009323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2.xml><?xml version="1.0" encoding="utf-8"?>
<ds:datastoreItem xmlns:ds="http://schemas.openxmlformats.org/officeDocument/2006/customXml" ds:itemID="{1C23D203-C28F-4018-8627-500A50885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DB8A92-5000-458B-AEEF-C2858647366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4FA59A1-D813-4CAA-906C-193488BB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SYSTEM</cp:lastModifiedBy>
  <cp:revision>2</cp:revision>
  <cp:lastPrinted>2009-01-26T15:35:00Z</cp:lastPrinted>
  <dcterms:created xsi:type="dcterms:W3CDTF">2019-02-14T16:32:00Z</dcterms:created>
  <dcterms:modified xsi:type="dcterms:W3CDTF">2019-02-14T16:32:00Z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0x01010068686A168C6BA943A92CA58565AE45FB</vt:lpwstr>
  </property>
</Properties>
</file>