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D8AA8" w14:textId="4BAC0F4A" w:rsidR="00B21747" w:rsidRDefault="00A62CAB" w:rsidP="00B21747">
      <w:pPr>
        <w:pStyle w:val="Title"/>
        <w:rPr>
          <w:rFonts w:ascii="Times New Roman" w:hAnsi="Times New Roman" w:cs="Times New Roman"/>
          <w:sz w:val="24"/>
          <w:szCs w:val="24"/>
        </w:rPr>
      </w:pPr>
      <w:bookmarkStart w:id="0" w:name="_GoBack"/>
      <w:bookmarkEnd w:id="0"/>
      <w:r w:rsidRPr="00A62CAB">
        <w:rPr>
          <w:rFonts w:ascii="Times New Roman" w:hAnsi="Times New Roman" w:cs="Times New Roman"/>
          <w:sz w:val="24"/>
          <w:szCs w:val="24"/>
        </w:rPr>
        <w:t>OMB</w:t>
      </w:r>
      <w:r w:rsidR="00E06CD0" w:rsidRPr="00A62CAB">
        <w:rPr>
          <w:rFonts w:ascii="Times New Roman" w:hAnsi="Times New Roman" w:cs="Times New Roman"/>
          <w:sz w:val="24"/>
          <w:szCs w:val="24"/>
        </w:rPr>
        <w:t xml:space="preserve"> 0985-0059</w:t>
      </w:r>
      <w:r w:rsidR="004431AD">
        <w:rPr>
          <w:rFonts w:ascii="Times New Roman" w:hAnsi="Times New Roman" w:cs="Times New Roman"/>
          <w:sz w:val="24"/>
          <w:szCs w:val="24"/>
        </w:rPr>
        <w:t xml:space="preserve"> </w:t>
      </w:r>
      <w:r w:rsidR="00B21747" w:rsidRPr="00B21747">
        <w:rPr>
          <w:rFonts w:ascii="Times New Roman" w:hAnsi="Times New Roman" w:cs="Times New Roman"/>
          <w:sz w:val="24"/>
          <w:szCs w:val="24"/>
        </w:rPr>
        <w:t>Supporting Statement for the Title VI Program Performance Report</w:t>
      </w:r>
      <w:r w:rsidR="00B21747">
        <w:rPr>
          <w:rFonts w:ascii="Times New Roman" w:hAnsi="Times New Roman" w:cs="Times New Roman"/>
          <w:sz w:val="24"/>
          <w:szCs w:val="24"/>
        </w:rPr>
        <w:t xml:space="preserve"> </w:t>
      </w:r>
      <w:r w:rsidR="00B21747" w:rsidRPr="00B21747">
        <w:rPr>
          <w:rFonts w:ascii="Times New Roman" w:hAnsi="Times New Roman" w:cs="Times New Roman"/>
          <w:sz w:val="24"/>
          <w:szCs w:val="24"/>
        </w:rPr>
        <w:t>for FY 2018-2021</w:t>
      </w:r>
    </w:p>
    <w:p w14:paraId="669CD9F9" w14:textId="77777777" w:rsidR="00B21747" w:rsidRDefault="00B21747" w:rsidP="00B21747">
      <w:pPr>
        <w:pStyle w:val="Title"/>
        <w:rPr>
          <w:rFonts w:ascii="Times New Roman" w:hAnsi="Times New Roman" w:cs="Times New Roman"/>
          <w:sz w:val="24"/>
          <w:szCs w:val="24"/>
        </w:rPr>
      </w:pPr>
    </w:p>
    <w:p w14:paraId="22FB5D06" w14:textId="118CEE40" w:rsidR="00867071" w:rsidRPr="00A62CAB" w:rsidRDefault="00867071" w:rsidP="00B21747">
      <w:pPr>
        <w:pStyle w:val="Title"/>
        <w:rPr>
          <w:rStyle w:val="Strong"/>
          <w:rFonts w:ascii="Times New Roman" w:hAnsi="Times New Roman" w:cs="Times New Roman"/>
          <w:sz w:val="24"/>
          <w:szCs w:val="24"/>
        </w:rPr>
      </w:pPr>
      <w:r w:rsidRPr="00A62CAB">
        <w:rPr>
          <w:rFonts w:ascii="Times New Roman" w:hAnsi="Times New Roman" w:cs="Times New Roman"/>
          <w:sz w:val="24"/>
          <w:szCs w:val="24"/>
        </w:rPr>
        <w:t>A.</w:t>
      </w:r>
      <w:r w:rsidRPr="00A62CAB">
        <w:rPr>
          <w:rFonts w:ascii="Times New Roman" w:hAnsi="Times New Roman" w:cs="Times New Roman"/>
          <w:sz w:val="24"/>
          <w:szCs w:val="24"/>
        </w:rPr>
        <w:tab/>
        <w:t>Justification</w:t>
      </w:r>
    </w:p>
    <w:p w14:paraId="202C62A8" w14:textId="77777777" w:rsidR="00867071" w:rsidRPr="00A62CAB" w:rsidRDefault="00867071" w:rsidP="00867071">
      <w:pPr>
        <w:rPr>
          <w:b/>
          <w:szCs w:val="24"/>
        </w:rPr>
      </w:pPr>
    </w:p>
    <w:p w14:paraId="61D198B4" w14:textId="05C2ADE7" w:rsidR="00867071" w:rsidRPr="00A62CAB" w:rsidRDefault="00867071" w:rsidP="00867071">
      <w:pPr>
        <w:rPr>
          <w:b/>
          <w:szCs w:val="24"/>
          <w:u w:val="single"/>
        </w:rPr>
      </w:pPr>
      <w:r w:rsidRPr="00A62CAB">
        <w:rPr>
          <w:b/>
          <w:szCs w:val="24"/>
        </w:rPr>
        <w:t xml:space="preserve">1.  </w:t>
      </w:r>
      <w:r w:rsidRPr="00A62CAB">
        <w:rPr>
          <w:b/>
          <w:szCs w:val="24"/>
          <w:u w:val="single"/>
        </w:rPr>
        <w:t>Circumstances Making the Collection of Information Necessary</w:t>
      </w:r>
    </w:p>
    <w:p w14:paraId="6EDB0A3E" w14:textId="77777777" w:rsidR="008F63A1" w:rsidRDefault="008F63A1" w:rsidP="007D0054">
      <w:pPr>
        <w:rPr>
          <w:szCs w:val="24"/>
        </w:rPr>
      </w:pPr>
    </w:p>
    <w:p w14:paraId="7DDC72C5" w14:textId="79272C4A" w:rsidR="007D0054" w:rsidRPr="00A62CAB" w:rsidRDefault="007D0054" w:rsidP="007D0054">
      <w:pPr>
        <w:rPr>
          <w:szCs w:val="24"/>
        </w:rPr>
      </w:pPr>
      <w:r w:rsidRPr="00A62CAB">
        <w:rPr>
          <w:szCs w:val="24"/>
        </w:rPr>
        <w:t>The Older Americans Act (OAA), P.L. 89-73, enacted July 14, 1965, last amended in April 2016, P.L. 114-144, requires the Department to submit an annual report to Congress on the performance of  Older Americans Act funded projects.  (42 U.S.C. 3012).</w:t>
      </w:r>
    </w:p>
    <w:p w14:paraId="1C823B1B" w14:textId="77777777" w:rsidR="007D0054" w:rsidRDefault="007D0054" w:rsidP="007D0054">
      <w:pPr>
        <w:rPr>
          <w:szCs w:val="24"/>
        </w:rPr>
      </w:pPr>
    </w:p>
    <w:p w14:paraId="45984AA2" w14:textId="01A1DEDD" w:rsidR="008F63A1" w:rsidRDefault="005A6004" w:rsidP="007D0054">
      <w:r w:rsidRPr="00A62CAB">
        <w:rPr>
          <w:szCs w:val="24"/>
        </w:rPr>
        <w:t xml:space="preserve">This is a request for Office of Management and Budget (OMB) approval of </w:t>
      </w:r>
      <w:r w:rsidR="00024356" w:rsidRPr="00A62CAB">
        <w:rPr>
          <w:szCs w:val="24"/>
        </w:rPr>
        <w:t xml:space="preserve">the </w:t>
      </w:r>
      <w:r w:rsidR="002C1D09" w:rsidRPr="00A62CAB">
        <w:rPr>
          <w:szCs w:val="24"/>
        </w:rPr>
        <w:t xml:space="preserve">Administration for Community Living’s (ACL) Administration on Aging (AoA) </w:t>
      </w:r>
      <w:r w:rsidR="00774E0E" w:rsidRPr="00A62CAB">
        <w:rPr>
          <w:szCs w:val="24"/>
        </w:rPr>
        <w:t xml:space="preserve">Title </w:t>
      </w:r>
      <w:r w:rsidR="00E06D8A" w:rsidRPr="00A62CAB">
        <w:rPr>
          <w:szCs w:val="24"/>
        </w:rPr>
        <w:t xml:space="preserve">VI </w:t>
      </w:r>
      <w:r w:rsidRPr="00A62CAB">
        <w:rPr>
          <w:szCs w:val="24"/>
        </w:rPr>
        <w:t>performance data.</w:t>
      </w:r>
      <w:r w:rsidR="005A0379" w:rsidRPr="00A62CAB">
        <w:rPr>
          <w:szCs w:val="24"/>
        </w:rPr>
        <w:t xml:space="preserve">  </w:t>
      </w:r>
      <w:r w:rsidR="007D0054">
        <w:t xml:space="preserve">These proposed revisions will </w:t>
      </w:r>
      <w:r w:rsidR="007D0054" w:rsidRPr="007A59D1">
        <w:t>replace the currently approved Title VI program performance report under OMB 0985-0007</w:t>
      </w:r>
      <w:r w:rsidR="007D0054">
        <w:t xml:space="preserve"> by collection year 202</w:t>
      </w:r>
      <w:r w:rsidR="00B21747">
        <w:t>0</w:t>
      </w:r>
      <w:r w:rsidR="007D0054">
        <w:t xml:space="preserve">; therefore the </w:t>
      </w:r>
      <w:r w:rsidR="007D0054" w:rsidRPr="007A59D1">
        <w:t xml:space="preserve">currently approved </w:t>
      </w:r>
    </w:p>
    <w:p w14:paraId="409E5AEF" w14:textId="28CC6DAD" w:rsidR="007D0054" w:rsidRDefault="007D0054" w:rsidP="007D0054">
      <w:r w:rsidRPr="007A59D1">
        <w:t>0985-0007 is concurrently undergoing PRA clearance as an extension for usage after the expiration of April 30, 2019.</w:t>
      </w:r>
      <w:r>
        <w:t xml:space="preserve"> </w:t>
      </w:r>
    </w:p>
    <w:p w14:paraId="2460574F" w14:textId="77777777" w:rsidR="007D0054" w:rsidRDefault="007D0054" w:rsidP="007D0054"/>
    <w:p w14:paraId="05288312" w14:textId="1B288C0F" w:rsidR="007D0054" w:rsidRDefault="007D0054" w:rsidP="007D0054">
      <w:r w:rsidRPr="007D0054">
        <w:t xml:space="preserve">These data collection materials have been updated to better align with comparable data collected for ACL’s other nutritional, supportive, and caregiving grants. Proposed changes in this request also include adding data components and updating others for more accurate reporting of persons served and activities provided through the Title VI-funded programs. The revised data collection will provide data necessary to determine the effectiveness of the program. Some examples of these changes are updating definitions in Title VI to be more in line with Title III, asking for unduplicated numbers of people served for different services and the number of hours spent providing said services. Additionally, the caregiver portion of the PPR has been updated to collect more information around types of caregivers served and unduplicated numbers of caregivers. Another element added has to do with information on expenditures. </w:t>
      </w:r>
    </w:p>
    <w:p w14:paraId="3C6090F3" w14:textId="77777777" w:rsidR="007D0054" w:rsidRDefault="007D0054" w:rsidP="007D0054">
      <w:pPr>
        <w:rPr>
          <w:szCs w:val="24"/>
        </w:rPr>
      </w:pPr>
    </w:p>
    <w:p w14:paraId="48B5E47B" w14:textId="1081920C" w:rsidR="007D0054" w:rsidRPr="007D0054" w:rsidRDefault="007D0054" w:rsidP="007D0054">
      <w:r>
        <w:rPr>
          <w:szCs w:val="24"/>
        </w:rPr>
        <w:t>M</w:t>
      </w:r>
      <w:r w:rsidRPr="00A62CAB">
        <w:rPr>
          <w:szCs w:val="24"/>
        </w:rPr>
        <w:t>easures as required by Congress and the Government Performance Results Modernization Act of 2010 (GPR</w:t>
      </w:r>
      <w:r w:rsidR="00D366F1">
        <w:rPr>
          <w:szCs w:val="24"/>
        </w:rPr>
        <w:t>A</w:t>
      </w:r>
      <w:r>
        <w:rPr>
          <w:szCs w:val="24"/>
        </w:rPr>
        <w:t xml:space="preserve">MA), are </w:t>
      </w:r>
      <w:r w:rsidRPr="007D0054">
        <w:t>also support</w:t>
      </w:r>
      <w:r>
        <w:t>ed</w:t>
      </w:r>
      <w:r w:rsidRPr="007D0054">
        <w:t xml:space="preserve"> in </w:t>
      </w:r>
      <w:r>
        <w:t xml:space="preserve">ACL </w:t>
      </w:r>
      <w:r w:rsidRPr="007D0054">
        <w:t>tracking performance outcomes and efficiency measures with respect to the annual and long-term performance targets established in compliance GPRAMA.</w:t>
      </w:r>
    </w:p>
    <w:p w14:paraId="419D6FF4" w14:textId="77777777" w:rsidR="00F872A1" w:rsidRPr="00A62CAB" w:rsidRDefault="00F872A1" w:rsidP="00F872A1">
      <w:pPr>
        <w:rPr>
          <w:szCs w:val="24"/>
        </w:rPr>
      </w:pPr>
    </w:p>
    <w:p w14:paraId="4FDCB623" w14:textId="5F3FEDC9" w:rsidR="00F872A1" w:rsidRPr="00A62CAB" w:rsidRDefault="00F872A1" w:rsidP="00F872A1">
      <w:pPr>
        <w:rPr>
          <w:b/>
          <w:szCs w:val="24"/>
          <w:u w:val="single"/>
        </w:rPr>
      </w:pPr>
      <w:r w:rsidRPr="00A62CAB">
        <w:rPr>
          <w:b/>
          <w:szCs w:val="24"/>
        </w:rPr>
        <w:t xml:space="preserve">2.  </w:t>
      </w:r>
      <w:r w:rsidRPr="00A62CAB">
        <w:rPr>
          <w:b/>
          <w:szCs w:val="24"/>
          <w:u w:val="single"/>
        </w:rPr>
        <w:t>Purpose and Use of Information Collection</w:t>
      </w:r>
    </w:p>
    <w:p w14:paraId="61443607" w14:textId="77777777" w:rsidR="00F872A1" w:rsidRPr="00A62CAB" w:rsidRDefault="00F872A1" w:rsidP="00F872A1">
      <w:pPr>
        <w:rPr>
          <w:b/>
          <w:szCs w:val="24"/>
          <w:u w:val="single"/>
        </w:rPr>
      </w:pPr>
    </w:p>
    <w:p w14:paraId="10D9982B" w14:textId="69E0861B" w:rsidR="004D05B4" w:rsidRPr="00A62CAB" w:rsidRDefault="004D05B4" w:rsidP="00315D79">
      <w:pPr>
        <w:rPr>
          <w:szCs w:val="24"/>
        </w:rPr>
      </w:pPr>
      <w:r w:rsidRPr="00A62CAB">
        <w:rPr>
          <w:szCs w:val="24"/>
        </w:rPr>
        <w:t xml:space="preserve">The information submitted by Older Americans Act (OAA) Title </w:t>
      </w:r>
      <w:r w:rsidR="006E3438" w:rsidRPr="00A62CAB">
        <w:rPr>
          <w:szCs w:val="24"/>
        </w:rPr>
        <w:t>VI</w:t>
      </w:r>
      <w:r w:rsidRPr="00A62CAB">
        <w:rPr>
          <w:szCs w:val="24"/>
        </w:rPr>
        <w:t xml:space="preserve"> grantees is AoA’s principle source </w:t>
      </w:r>
      <w:r w:rsidR="00024356" w:rsidRPr="00A62CAB">
        <w:rPr>
          <w:szCs w:val="24"/>
        </w:rPr>
        <w:t>of information</w:t>
      </w:r>
      <w:r w:rsidRPr="00A62CAB">
        <w:rPr>
          <w:szCs w:val="24"/>
        </w:rPr>
        <w:t xml:space="preserve"> on programs and services funded under the (OAA).  The </w:t>
      </w:r>
      <w:r w:rsidR="006E3438" w:rsidRPr="00A62CAB">
        <w:rPr>
          <w:szCs w:val="24"/>
        </w:rPr>
        <w:t xml:space="preserve">Program </w:t>
      </w:r>
      <w:r w:rsidRPr="00A62CAB">
        <w:rPr>
          <w:szCs w:val="24"/>
        </w:rPr>
        <w:t>Performance Report (</w:t>
      </w:r>
      <w:r w:rsidR="006E3438" w:rsidRPr="00A62CAB">
        <w:rPr>
          <w:szCs w:val="24"/>
        </w:rPr>
        <w:t>P</w:t>
      </w:r>
      <w:r w:rsidRPr="00A62CAB">
        <w:rPr>
          <w:szCs w:val="24"/>
        </w:rPr>
        <w:t xml:space="preserve">PR) serves as the Program Performance Report for grantees to meet their annual grantee reporting requirements and includes the data required by the OAA to be reported in the AoA Annual Report to Congress.  The data collection is summary data of services for seniors and family caregivers provided or managed by </w:t>
      </w:r>
      <w:r w:rsidR="006E3438" w:rsidRPr="00A62CAB">
        <w:rPr>
          <w:szCs w:val="24"/>
        </w:rPr>
        <w:t>American Indian, Alaskan Native, and Native Hawaiian</w:t>
      </w:r>
      <w:r w:rsidR="009F6034" w:rsidRPr="00A62CAB">
        <w:rPr>
          <w:szCs w:val="24"/>
        </w:rPr>
        <w:t xml:space="preserve"> organizations</w:t>
      </w:r>
      <w:r w:rsidRPr="00A62CAB">
        <w:rPr>
          <w:szCs w:val="24"/>
        </w:rPr>
        <w:t xml:space="preserve">. Data is submitted annually by </w:t>
      </w:r>
      <w:r w:rsidR="00E241F0" w:rsidRPr="00A62CAB">
        <w:rPr>
          <w:szCs w:val="24"/>
        </w:rPr>
        <w:t>all Title VI grantees</w:t>
      </w:r>
      <w:r w:rsidRPr="00A62CAB">
        <w:rPr>
          <w:szCs w:val="24"/>
        </w:rPr>
        <w:t xml:space="preserve">.  It includes information on the number of people served, the number of units of specific services, expenditures, </w:t>
      </w:r>
      <w:r w:rsidR="00E241F0" w:rsidRPr="00A62CAB">
        <w:rPr>
          <w:szCs w:val="24"/>
        </w:rPr>
        <w:t xml:space="preserve">and </w:t>
      </w:r>
      <w:r w:rsidRPr="00A62CAB">
        <w:rPr>
          <w:szCs w:val="24"/>
        </w:rPr>
        <w:t xml:space="preserve">number of staff.  </w:t>
      </w:r>
    </w:p>
    <w:p w14:paraId="06AF5323" w14:textId="77777777" w:rsidR="004D05B4" w:rsidRPr="00A62CAB" w:rsidRDefault="004D05B4" w:rsidP="004D05B4">
      <w:pPr>
        <w:ind w:left="1440"/>
        <w:rPr>
          <w:szCs w:val="24"/>
        </w:rPr>
      </w:pPr>
    </w:p>
    <w:p w14:paraId="5C370FE7" w14:textId="77777777" w:rsidR="0088259E" w:rsidRDefault="004D05B4" w:rsidP="00315D79">
      <w:pPr>
        <w:rPr>
          <w:szCs w:val="24"/>
        </w:rPr>
      </w:pPr>
      <w:r w:rsidRPr="00A62CAB">
        <w:rPr>
          <w:szCs w:val="24"/>
        </w:rPr>
        <w:t xml:space="preserve">Data from the </w:t>
      </w:r>
      <w:r w:rsidR="00E241F0" w:rsidRPr="00A62CAB">
        <w:rPr>
          <w:szCs w:val="24"/>
        </w:rPr>
        <w:t>P</w:t>
      </w:r>
      <w:r w:rsidRPr="00A62CAB">
        <w:rPr>
          <w:szCs w:val="24"/>
        </w:rPr>
        <w:t xml:space="preserve">PR are the primary source for performance measures in the Congressional budget justification; the HHS Annual Performance Plan and Report as well as the Annual Report to Congress referred to above. </w:t>
      </w:r>
    </w:p>
    <w:p w14:paraId="0F150AF5" w14:textId="1875046A" w:rsidR="004D05B4" w:rsidRPr="00A62CAB" w:rsidRDefault="004D05B4" w:rsidP="00315D79">
      <w:pPr>
        <w:rPr>
          <w:szCs w:val="24"/>
        </w:rPr>
      </w:pPr>
      <w:r w:rsidRPr="00A62CAB">
        <w:rPr>
          <w:szCs w:val="24"/>
        </w:rPr>
        <w:lastRenderedPageBreak/>
        <w:t xml:space="preserve">AoA also uses the data to respond to inquiries from stakeholders, the public, and the press as well as program and policy decision makers.  </w:t>
      </w:r>
    </w:p>
    <w:p w14:paraId="3552170C" w14:textId="77777777" w:rsidR="004D05B4" w:rsidRPr="00A62CAB" w:rsidRDefault="004D05B4" w:rsidP="004D05B4">
      <w:pPr>
        <w:ind w:left="1440"/>
        <w:rPr>
          <w:szCs w:val="24"/>
        </w:rPr>
      </w:pPr>
    </w:p>
    <w:p w14:paraId="294AEA1F" w14:textId="708EEE15" w:rsidR="004D05B4" w:rsidRPr="00A62CAB" w:rsidRDefault="004D05B4" w:rsidP="00315D79">
      <w:pPr>
        <w:rPr>
          <w:szCs w:val="24"/>
        </w:rPr>
      </w:pPr>
      <w:r w:rsidRPr="00A62CAB">
        <w:rPr>
          <w:szCs w:val="24"/>
        </w:rPr>
        <w:t xml:space="preserve">Information from the most recent </w:t>
      </w:r>
      <w:r w:rsidR="00E241F0" w:rsidRPr="00A62CAB">
        <w:rPr>
          <w:szCs w:val="24"/>
        </w:rPr>
        <w:t>P</w:t>
      </w:r>
      <w:r w:rsidRPr="00A62CAB">
        <w:rPr>
          <w:szCs w:val="24"/>
        </w:rPr>
        <w:t>PR is available on-line on the Aging Integrated Database (AGID) website (</w:t>
      </w:r>
      <w:hyperlink r:id="rId9" w:history="1">
        <w:r w:rsidRPr="00A62CAB">
          <w:rPr>
            <w:rStyle w:val="Hyperlink"/>
            <w:color w:val="auto"/>
            <w:szCs w:val="24"/>
          </w:rPr>
          <w:t>http://www.agid.acl.gov/</w:t>
        </w:r>
      </w:hyperlink>
      <w:r w:rsidRPr="00A62CAB">
        <w:rPr>
          <w:szCs w:val="24"/>
        </w:rPr>
        <w:t xml:space="preserve">).  Results are available annually.  </w:t>
      </w:r>
    </w:p>
    <w:p w14:paraId="3A047B08" w14:textId="77777777" w:rsidR="004D05B4" w:rsidRPr="00A62CAB" w:rsidRDefault="004D05B4" w:rsidP="004D05B4">
      <w:pPr>
        <w:rPr>
          <w:szCs w:val="24"/>
        </w:rPr>
      </w:pPr>
    </w:p>
    <w:p w14:paraId="26CC9B25" w14:textId="77777777" w:rsidR="004D05B4" w:rsidRPr="00A62CAB" w:rsidRDefault="004D05B4" w:rsidP="00F872A1">
      <w:pPr>
        <w:rPr>
          <w:szCs w:val="24"/>
        </w:rPr>
      </w:pPr>
    </w:p>
    <w:p w14:paraId="1268B0B0" w14:textId="641E4521" w:rsidR="004B3665" w:rsidRPr="00A62CAB" w:rsidRDefault="004B3665" w:rsidP="004B3665">
      <w:pPr>
        <w:rPr>
          <w:szCs w:val="24"/>
        </w:rPr>
      </w:pPr>
      <w:r w:rsidRPr="00A62CAB">
        <w:rPr>
          <w:b/>
          <w:szCs w:val="24"/>
        </w:rPr>
        <w:t xml:space="preserve">3.  </w:t>
      </w:r>
      <w:r w:rsidRPr="00A62CAB">
        <w:rPr>
          <w:b/>
          <w:szCs w:val="24"/>
          <w:u w:val="single"/>
        </w:rPr>
        <w:t xml:space="preserve">Use of Improved </w:t>
      </w:r>
      <w:r w:rsidR="00991FBE" w:rsidRPr="00A62CAB">
        <w:rPr>
          <w:b/>
          <w:szCs w:val="24"/>
          <w:u w:val="single"/>
        </w:rPr>
        <w:t xml:space="preserve">Information </w:t>
      </w:r>
      <w:r w:rsidRPr="00A62CAB">
        <w:rPr>
          <w:b/>
          <w:szCs w:val="24"/>
          <w:u w:val="single"/>
        </w:rPr>
        <w:t xml:space="preserve">Technology </w:t>
      </w:r>
      <w:r w:rsidR="00991FBE" w:rsidRPr="00A62CAB">
        <w:rPr>
          <w:b/>
          <w:szCs w:val="24"/>
          <w:u w:val="single"/>
        </w:rPr>
        <w:t>and Burden Reduction</w:t>
      </w:r>
      <w:r w:rsidR="00266374" w:rsidRPr="00A62CAB">
        <w:rPr>
          <w:b/>
          <w:szCs w:val="24"/>
          <w:u w:val="single"/>
        </w:rPr>
        <w:t xml:space="preserve"> </w:t>
      </w:r>
    </w:p>
    <w:p w14:paraId="554F0609" w14:textId="77777777" w:rsidR="00266374" w:rsidRPr="00A62CAB" w:rsidRDefault="00266374" w:rsidP="004B3665">
      <w:pPr>
        <w:rPr>
          <w:szCs w:val="24"/>
        </w:rPr>
      </w:pPr>
    </w:p>
    <w:p w14:paraId="53A766A7" w14:textId="4E23845E" w:rsidR="00506D52" w:rsidRPr="00A62CAB" w:rsidRDefault="00E241F0" w:rsidP="00315D79">
      <w:pPr>
        <w:rPr>
          <w:b/>
          <w:szCs w:val="24"/>
        </w:rPr>
      </w:pPr>
      <w:r w:rsidRPr="00A62CAB">
        <w:rPr>
          <w:szCs w:val="24"/>
        </w:rPr>
        <w:t xml:space="preserve">Grantees </w:t>
      </w:r>
      <w:r w:rsidR="00266374" w:rsidRPr="00A62CAB">
        <w:rPr>
          <w:szCs w:val="24"/>
        </w:rPr>
        <w:t>are required to submit data electronically</w:t>
      </w:r>
      <w:r w:rsidR="00105A3C" w:rsidRPr="00A62CAB">
        <w:rPr>
          <w:szCs w:val="24"/>
        </w:rPr>
        <w:t xml:space="preserve"> via an on-line internet based secure server</w:t>
      </w:r>
      <w:r w:rsidR="00DD2804" w:rsidRPr="00A62CAB">
        <w:rPr>
          <w:szCs w:val="24"/>
        </w:rPr>
        <w:t>.</w:t>
      </w:r>
      <w:r w:rsidR="00105A3C" w:rsidRPr="00A62CAB">
        <w:rPr>
          <w:szCs w:val="24"/>
        </w:rPr>
        <w:t xml:space="preserve">  </w:t>
      </w:r>
    </w:p>
    <w:p w14:paraId="5819F746" w14:textId="77777777" w:rsidR="00E22591" w:rsidRPr="00A62CAB" w:rsidRDefault="003F0D04" w:rsidP="003F0D04">
      <w:pPr>
        <w:rPr>
          <w:szCs w:val="24"/>
        </w:rPr>
      </w:pPr>
      <w:r w:rsidRPr="00A62CAB">
        <w:rPr>
          <w:szCs w:val="24"/>
        </w:rPr>
        <w:tab/>
      </w:r>
    </w:p>
    <w:p w14:paraId="773013C4" w14:textId="3919DF85" w:rsidR="003F0D04" w:rsidRPr="00A62CAB" w:rsidRDefault="003F0D04" w:rsidP="003F0D04">
      <w:pPr>
        <w:rPr>
          <w:szCs w:val="24"/>
        </w:rPr>
      </w:pPr>
      <w:r w:rsidRPr="00A62CAB">
        <w:rPr>
          <w:b/>
          <w:szCs w:val="24"/>
        </w:rPr>
        <w:t xml:space="preserve">4.  </w:t>
      </w:r>
      <w:r w:rsidRPr="00A62CAB">
        <w:rPr>
          <w:b/>
          <w:szCs w:val="24"/>
          <w:u w:val="single"/>
        </w:rPr>
        <w:t>Efforts to Identify Duplication and Use of Similar Information</w:t>
      </w:r>
    </w:p>
    <w:p w14:paraId="0A733028" w14:textId="77777777" w:rsidR="003F0D04" w:rsidRPr="00A62CAB" w:rsidRDefault="003F0D04" w:rsidP="003F0D04">
      <w:pPr>
        <w:rPr>
          <w:szCs w:val="24"/>
        </w:rPr>
      </w:pPr>
    </w:p>
    <w:p w14:paraId="000B1C04" w14:textId="77777777" w:rsidR="00024356" w:rsidRPr="00A62CAB" w:rsidRDefault="00024356" w:rsidP="00315D79">
      <w:pPr>
        <w:rPr>
          <w:b/>
          <w:szCs w:val="24"/>
        </w:rPr>
      </w:pPr>
      <w:r w:rsidRPr="00A62CAB">
        <w:rPr>
          <w:szCs w:val="24"/>
        </w:rPr>
        <w:t>No other sources collect this specific data or similar information that could be used for this purpose.</w:t>
      </w:r>
    </w:p>
    <w:p w14:paraId="453E82BF" w14:textId="77777777" w:rsidR="00E513D2" w:rsidRPr="00A62CAB" w:rsidRDefault="00365CF6" w:rsidP="00024356">
      <w:pPr>
        <w:ind w:left="1447"/>
        <w:rPr>
          <w:b/>
          <w:szCs w:val="24"/>
        </w:rPr>
      </w:pPr>
      <w:r w:rsidRPr="00A62CAB">
        <w:rPr>
          <w:szCs w:val="24"/>
        </w:rPr>
        <w:tab/>
      </w:r>
    </w:p>
    <w:p w14:paraId="0A2AA332" w14:textId="77777777" w:rsidR="00365CF6" w:rsidRPr="00A62CAB" w:rsidRDefault="00365CF6" w:rsidP="00315D79">
      <w:pPr>
        <w:rPr>
          <w:szCs w:val="24"/>
        </w:rPr>
      </w:pPr>
      <w:r w:rsidRPr="00A62CAB">
        <w:rPr>
          <w:b/>
          <w:szCs w:val="24"/>
        </w:rPr>
        <w:t xml:space="preserve">5.  </w:t>
      </w:r>
      <w:r w:rsidRPr="00A62CAB">
        <w:rPr>
          <w:b/>
          <w:szCs w:val="24"/>
          <w:u w:val="single"/>
        </w:rPr>
        <w:t>Impact on Small Businesses or Other Small Entities</w:t>
      </w:r>
    </w:p>
    <w:p w14:paraId="20C3730F" w14:textId="77777777" w:rsidR="00365CF6" w:rsidRPr="00A62CAB" w:rsidRDefault="00365CF6" w:rsidP="00365CF6">
      <w:pPr>
        <w:rPr>
          <w:szCs w:val="24"/>
        </w:rPr>
      </w:pPr>
    </w:p>
    <w:p w14:paraId="0521BB47" w14:textId="4399D96C" w:rsidR="00024356" w:rsidRPr="00A62CAB" w:rsidRDefault="00024356" w:rsidP="00315D79">
      <w:pPr>
        <w:rPr>
          <w:b/>
          <w:szCs w:val="24"/>
          <w:u w:val="single"/>
        </w:rPr>
      </w:pPr>
      <w:r w:rsidRPr="00A62CAB">
        <w:rPr>
          <w:szCs w:val="24"/>
        </w:rPr>
        <w:t xml:space="preserve">Reporting is performed by </w:t>
      </w:r>
      <w:r w:rsidR="00571F5B" w:rsidRPr="00A62CAB">
        <w:rPr>
          <w:szCs w:val="24"/>
        </w:rPr>
        <w:t>Title VI grantees (tribes and other Native organizations)</w:t>
      </w:r>
      <w:r w:rsidRPr="00A62CAB">
        <w:rPr>
          <w:szCs w:val="24"/>
        </w:rPr>
        <w:t>.  No small businesses or other small entities will be involved in this information collection.</w:t>
      </w:r>
    </w:p>
    <w:p w14:paraId="7A1A4870" w14:textId="77777777" w:rsidR="006249E2" w:rsidRPr="00A62CAB" w:rsidRDefault="006249E2" w:rsidP="006249E2">
      <w:pPr>
        <w:ind w:left="1087"/>
        <w:rPr>
          <w:b/>
          <w:szCs w:val="24"/>
          <w:u w:val="single"/>
        </w:rPr>
      </w:pPr>
    </w:p>
    <w:p w14:paraId="5D59F2FD" w14:textId="77777777" w:rsidR="00365CF6" w:rsidRPr="00A62CAB" w:rsidRDefault="00365CF6" w:rsidP="00315D79">
      <w:pPr>
        <w:rPr>
          <w:b/>
          <w:szCs w:val="24"/>
          <w:u w:val="single"/>
        </w:rPr>
      </w:pPr>
      <w:r w:rsidRPr="00A62CAB">
        <w:rPr>
          <w:b/>
          <w:szCs w:val="24"/>
        </w:rPr>
        <w:t xml:space="preserve">6.  </w:t>
      </w:r>
      <w:r w:rsidRPr="00A62CAB">
        <w:rPr>
          <w:b/>
          <w:szCs w:val="24"/>
          <w:u w:val="single"/>
        </w:rPr>
        <w:t xml:space="preserve">Consequences of </w:t>
      </w:r>
      <w:r w:rsidR="00991FBE" w:rsidRPr="00A62CAB">
        <w:rPr>
          <w:b/>
          <w:szCs w:val="24"/>
          <w:u w:val="single"/>
        </w:rPr>
        <w:t xml:space="preserve">Collecting the Information Less Frequent </w:t>
      </w:r>
      <w:r w:rsidR="004F7257" w:rsidRPr="00A62CAB">
        <w:rPr>
          <w:b/>
          <w:szCs w:val="24"/>
          <w:u w:val="single"/>
        </w:rPr>
        <w:t>Collection</w:t>
      </w:r>
    </w:p>
    <w:p w14:paraId="5ECBA8F4" w14:textId="77777777" w:rsidR="004F7257" w:rsidRPr="00A62CAB" w:rsidRDefault="004F7257" w:rsidP="006249E2">
      <w:pPr>
        <w:ind w:left="720"/>
        <w:rPr>
          <w:b/>
          <w:szCs w:val="24"/>
          <w:u w:val="single"/>
        </w:rPr>
      </w:pPr>
    </w:p>
    <w:p w14:paraId="461D78B3" w14:textId="77777777" w:rsidR="00365CF6" w:rsidRPr="00A62CAB" w:rsidRDefault="00024356" w:rsidP="00315D79">
      <w:pPr>
        <w:rPr>
          <w:b/>
          <w:szCs w:val="24"/>
          <w:u w:val="single"/>
        </w:rPr>
      </w:pPr>
      <w:r w:rsidRPr="00A62CAB">
        <w:rPr>
          <w:szCs w:val="24"/>
        </w:rPr>
        <w:t xml:space="preserve">The Older Americans Act requires the Department to report annually on the performance of this program. If the reports were made less frequently, AoA would not fulfill its statutory reporting </w:t>
      </w:r>
      <w:r w:rsidR="00105A3C" w:rsidRPr="00A62CAB">
        <w:rPr>
          <w:szCs w:val="24"/>
        </w:rPr>
        <w:t>responsibilities.</w:t>
      </w:r>
    </w:p>
    <w:p w14:paraId="73AC3F9E" w14:textId="77777777" w:rsidR="00C9252C" w:rsidRPr="00A62CAB" w:rsidRDefault="00C9252C" w:rsidP="00C9252C">
      <w:pPr>
        <w:rPr>
          <w:szCs w:val="24"/>
        </w:rPr>
      </w:pPr>
    </w:p>
    <w:p w14:paraId="32119360" w14:textId="6A1CD4FC" w:rsidR="00C9252C" w:rsidRPr="00A62CAB" w:rsidRDefault="00C9252C" w:rsidP="00C9252C">
      <w:pPr>
        <w:rPr>
          <w:b/>
          <w:szCs w:val="24"/>
          <w:u w:val="single"/>
        </w:rPr>
      </w:pPr>
      <w:r w:rsidRPr="00A62CAB">
        <w:rPr>
          <w:b/>
          <w:szCs w:val="24"/>
        </w:rPr>
        <w:t xml:space="preserve">7.  </w:t>
      </w:r>
      <w:r w:rsidRPr="00A62CAB">
        <w:rPr>
          <w:b/>
          <w:szCs w:val="24"/>
          <w:u w:val="single"/>
        </w:rPr>
        <w:t>Special Circumstances Relating to the Guidelines of 5 CFR 1320.5</w:t>
      </w:r>
    </w:p>
    <w:p w14:paraId="674F90D4" w14:textId="77777777" w:rsidR="00C9252C" w:rsidRPr="00A62CAB" w:rsidRDefault="00C9252C" w:rsidP="00C9252C">
      <w:pPr>
        <w:rPr>
          <w:b/>
          <w:szCs w:val="24"/>
          <w:u w:val="single"/>
        </w:rPr>
      </w:pPr>
    </w:p>
    <w:p w14:paraId="727415BD" w14:textId="77777777" w:rsidR="00024356" w:rsidRPr="00A62CAB" w:rsidRDefault="00024356" w:rsidP="00024356">
      <w:pPr>
        <w:pStyle w:val="ListParagraph"/>
        <w:numPr>
          <w:ilvl w:val="0"/>
          <w:numId w:val="19"/>
        </w:numPr>
        <w:ind w:left="1170"/>
        <w:rPr>
          <w:b/>
          <w:szCs w:val="24"/>
        </w:rPr>
      </w:pPr>
      <w:r w:rsidRPr="00A62CAB">
        <w:rPr>
          <w:b/>
          <w:szCs w:val="24"/>
        </w:rPr>
        <w:t>Requiring respondents to report information to the agency more often than quarterly;</w:t>
      </w:r>
    </w:p>
    <w:p w14:paraId="6A72F61C" w14:textId="77777777" w:rsidR="00024356" w:rsidRPr="00A62CAB" w:rsidRDefault="00024356" w:rsidP="00024356">
      <w:pPr>
        <w:tabs>
          <w:tab w:val="left" w:pos="-720"/>
          <w:tab w:val="left" w:pos="1247"/>
        </w:tabs>
        <w:suppressAutoHyphens/>
        <w:ind w:left="1170" w:hanging="360"/>
        <w:rPr>
          <w:szCs w:val="24"/>
        </w:rPr>
      </w:pPr>
    </w:p>
    <w:p w14:paraId="57587327" w14:textId="77777777" w:rsidR="00024356" w:rsidRPr="00A62CAB" w:rsidRDefault="00024356" w:rsidP="00024356">
      <w:pPr>
        <w:tabs>
          <w:tab w:val="left" w:pos="-720"/>
          <w:tab w:val="left" w:pos="1247"/>
        </w:tabs>
        <w:suppressAutoHyphens/>
        <w:ind w:left="1170" w:hanging="360"/>
        <w:rPr>
          <w:szCs w:val="24"/>
        </w:rPr>
      </w:pPr>
      <w:r w:rsidRPr="00A62CAB">
        <w:rPr>
          <w:szCs w:val="24"/>
        </w:rPr>
        <w:tab/>
        <w:t>Not applicable. Reports are only required on an annual basis.</w:t>
      </w:r>
    </w:p>
    <w:p w14:paraId="774676FB" w14:textId="77777777" w:rsidR="00024356" w:rsidRPr="00A62CAB" w:rsidRDefault="00024356" w:rsidP="00024356">
      <w:pPr>
        <w:tabs>
          <w:tab w:val="left" w:pos="-720"/>
          <w:tab w:val="left" w:pos="1247"/>
        </w:tabs>
        <w:suppressAutoHyphens/>
        <w:ind w:left="1170" w:hanging="360"/>
        <w:rPr>
          <w:szCs w:val="24"/>
        </w:rPr>
      </w:pPr>
    </w:p>
    <w:p w14:paraId="654F76E3" w14:textId="77777777" w:rsidR="00024356" w:rsidRPr="00A62CAB" w:rsidRDefault="00024356" w:rsidP="00024356">
      <w:pPr>
        <w:pStyle w:val="ListParagraph"/>
        <w:numPr>
          <w:ilvl w:val="0"/>
          <w:numId w:val="19"/>
        </w:numPr>
        <w:ind w:left="1170"/>
        <w:rPr>
          <w:b/>
          <w:szCs w:val="24"/>
        </w:rPr>
      </w:pPr>
      <w:r w:rsidRPr="00A62CAB">
        <w:rPr>
          <w:b/>
          <w:szCs w:val="24"/>
        </w:rPr>
        <w:t>Requiring respondents to prepare a written response to a collection of information in fewer than 30 days after receipt of it;</w:t>
      </w:r>
    </w:p>
    <w:p w14:paraId="3490DE79" w14:textId="77777777" w:rsidR="00024356" w:rsidRPr="00A62CAB" w:rsidRDefault="00024356" w:rsidP="00024356">
      <w:pPr>
        <w:tabs>
          <w:tab w:val="left" w:pos="-720"/>
          <w:tab w:val="left" w:pos="1247"/>
        </w:tabs>
        <w:suppressAutoHyphens/>
        <w:ind w:left="1170" w:hanging="360"/>
        <w:rPr>
          <w:szCs w:val="24"/>
        </w:rPr>
      </w:pPr>
    </w:p>
    <w:p w14:paraId="34B39309" w14:textId="77777777" w:rsidR="00024356" w:rsidRPr="00A62CAB" w:rsidRDefault="00024356" w:rsidP="00024356">
      <w:pPr>
        <w:tabs>
          <w:tab w:val="left" w:pos="-720"/>
          <w:tab w:val="left" w:pos="1247"/>
        </w:tabs>
        <w:suppressAutoHyphens/>
        <w:ind w:left="1170" w:hanging="360"/>
        <w:rPr>
          <w:szCs w:val="24"/>
        </w:rPr>
      </w:pPr>
      <w:r w:rsidRPr="00A62CAB">
        <w:rPr>
          <w:szCs w:val="24"/>
        </w:rPr>
        <w:tab/>
        <w:t>Not applicable.</w:t>
      </w:r>
    </w:p>
    <w:p w14:paraId="681C9A42" w14:textId="77777777" w:rsidR="00024356" w:rsidRPr="00A62CAB" w:rsidRDefault="00024356" w:rsidP="00024356">
      <w:pPr>
        <w:tabs>
          <w:tab w:val="left" w:pos="-720"/>
          <w:tab w:val="left" w:pos="1247"/>
        </w:tabs>
        <w:suppressAutoHyphens/>
        <w:ind w:left="1170" w:hanging="360"/>
        <w:rPr>
          <w:szCs w:val="24"/>
        </w:rPr>
      </w:pPr>
    </w:p>
    <w:p w14:paraId="2C56B596" w14:textId="77777777" w:rsidR="00024356" w:rsidRPr="00A62CAB" w:rsidRDefault="00024356" w:rsidP="00024356">
      <w:pPr>
        <w:pStyle w:val="ListParagraph"/>
        <w:numPr>
          <w:ilvl w:val="0"/>
          <w:numId w:val="19"/>
        </w:numPr>
        <w:ind w:left="1170"/>
        <w:rPr>
          <w:b/>
          <w:szCs w:val="24"/>
        </w:rPr>
      </w:pPr>
      <w:r w:rsidRPr="00A62CAB">
        <w:rPr>
          <w:b/>
          <w:szCs w:val="24"/>
        </w:rPr>
        <w:t>Requiring respondents to submit more than an original and two copies of any document;</w:t>
      </w:r>
    </w:p>
    <w:p w14:paraId="15810CA4" w14:textId="77777777" w:rsidR="00024356" w:rsidRPr="00A62CAB" w:rsidRDefault="00024356" w:rsidP="00024356">
      <w:pPr>
        <w:tabs>
          <w:tab w:val="left" w:pos="-720"/>
          <w:tab w:val="left" w:pos="1247"/>
        </w:tabs>
        <w:suppressAutoHyphens/>
        <w:ind w:left="1170" w:hanging="360"/>
        <w:rPr>
          <w:szCs w:val="24"/>
        </w:rPr>
      </w:pPr>
    </w:p>
    <w:p w14:paraId="12CEBE8E" w14:textId="77777777" w:rsidR="00024356" w:rsidRPr="00A62CAB" w:rsidRDefault="00024356" w:rsidP="00024356">
      <w:pPr>
        <w:tabs>
          <w:tab w:val="left" w:pos="-720"/>
          <w:tab w:val="left" w:pos="1247"/>
        </w:tabs>
        <w:suppressAutoHyphens/>
        <w:ind w:left="1170" w:hanging="360"/>
        <w:rPr>
          <w:szCs w:val="24"/>
        </w:rPr>
      </w:pPr>
      <w:r w:rsidRPr="00A62CAB">
        <w:rPr>
          <w:szCs w:val="24"/>
        </w:rPr>
        <w:tab/>
        <w:t>Not applicable.</w:t>
      </w:r>
    </w:p>
    <w:p w14:paraId="2071124C" w14:textId="77777777" w:rsidR="00024356" w:rsidRPr="00A62CAB" w:rsidRDefault="00024356" w:rsidP="00024356">
      <w:pPr>
        <w:tabs>
          <w:tab w:val="left" w:pos="-720"/>
          <w:tab w:val="left" w:pos="1247"/>
        </w:tabs>
        <w:suppressAutoHyphens/>
        <w:ind w:left="1170" w:hanging="360"/>
        <w:rPr>
          <w:szCs w:val="24"/>
        </w:rPr>
      </w:pPr>
    </w:p>
    <w:p w14:paraId="0AD828D3" w14:textId="77777777" w:rsidR="004431AD" w:rsidRDefault="004431AD" w:rsidP="004431AD">
      <w:pPr>
        <w:pStyle w:val="ListParagraph"/>
        <w:ind w:left="1170"/>
        <w:rPr>
          <w:b/>
          <w:szCs w:val="24"/>
        </w:rPr>
      </w:pPr>
    </w:p>
    <w:p w14:paraId="2CD7B6BE" w14:textId="7A758E11" w:rsidR="00024356" w:rsidRPr="00A62CAB" w:rsidRDefault="00024356" w:rsidP="00024356">
      <w:pPr>
        <w:pStyle w:val="ListParagraph"/>
        <w:numPr>
          <w:ilvl w:val="0"/>
          <w:numId w:val="19"/>
        </w:numPr>
        <w:ind w:left="1170"/>
        <w:rPr>
          <w:b/>
          <w:szCs w:val="24"/>
        </w:rPr>
      </w:pPr>
      <w:r w:rsidRPr="00A62CAB">
        <w:rPr>
          <w:b/>
          <w:szCs w:val="24"/>
        </w:rPr>
        <w:t>Requiring respondents to retain records, other than health, medical, government contract, grant-in-aid, or tax records, for more than three years;</w:t>
      </w:r>
    </w:p>
    <w:p w14:paraId="6A8A5549" w14:textId="77777777" w:rsidR="00024356" w:rsidRPr="00A62CAB" w:rsidRDefault="00024356" w:rsidP="00024356">
      <w:pPr>
        <w:tabs>
          <w:tab w:val="left" w:pos="-720"/>
          <w:tab w:val="left" w:pos="1247"/>
        </w:tabs>
        <w:suppressAutoHyphens/>
        <w:ind w:left="1170" w:hanging="360"/>
        <w:rPr>
          <w:szCs w:val="24"/>
        </w:rPr>
      </w:pPr>
    </w:p>
    <w:p w14:paraId="57F6CF8C" w14:textId="77777777" w:rsidR="00024356" w:rsidRPr="00A62CAB" w:rsidRDefault="00024356" w:rsidP="00024356">
      <w:pPr>
        <w:tabs>
          <w:tab w:val="left" w:pos="-720"/>
          <w:tab w:val="left" w:pos="1247"/>
        </w:tabs>
        <w:suppressAutoHyphens/>
        <w:ind w:left="1170" w:hanging="360"/>
        <w:rPr>
          <w:szCs w:val="24"/>
        </w:rPr>
      </w:pPr>
      <w:r w:rsidRPr="00A62CAB">
        <w:rPr>
          <w:szCs w:val="24"/>
        </w:rPr>
        <w:tab/>
        <w:t>Not applicable.</w:t>
      </w:r>
    </w:p>
    <w:p w14:paraId="32851BA1" w14:textId="77777777" w:rsidR="00024356" w:rsidRPr="00A62CAB" w:rsidRDefault="00024356" w:rsidP="00024356">
      <w:pPr>
        <w:tabs>
          <w:tab w:val="left" w:pos="-720"/>
          <w:tab w:val="left" w:pos="1247"/>
        </w:tabs>
        <w:suppressAutoHyphens/>
        <w:ind w:left="1170" w:hanging="360"/>
        <w:rPr>
          <w:szCs w:val="24"/>
        </w:rPr>
      </w:pPr>
    </w:p>
    <w:p w14:paraId="3781CD4D" w14:textId="77777777" w:rsidR="00024356" w:rsidRPr="00A62CAB" w:rsidRDefault="00024356" w:rsidP="00024356">
      <w:pPr>
        <w:pStyle w:val="ListParagraph"/>
        <w:numPr>
          <w:ilvl w:val="0"/>
          <w:numId w:val="19"/>
        </w:numPr>
        <w:ind w:left="1170"/>
        <w:rPr>
          <w:b/>
          <w:szCs w:val="24"/>
        </w:rPr>
      </w:pPr>
      <w:r w:rsidRPr="00A62CAB">
        <w:rPr>
          <w:b/>
          <w:szCs w:val="24"/>
        </w:rPr>
        <w:t>In connection with a statistical survey, that is not designed to produce valid and reliable results than can be generalized to the universe of study;</w:t>
      </w:r>
    </w:p>
    <w:p w14:paraId="09ADC656" w14:textId="77777777" w:rsidR="00024356" w:rsidRPr="00A62CAB" w:rsidRDefault="00024356" w:rsidP="00024356">
      <w:pPr>
        <w:tabs>
          <w:tab w:val="left" w:pos="-720"/>
          <w:tab w:val="left" w:pos="1247"/>
        </w:tabs>
        <w:suppressAutoHyphens/>
        <w:ind w:left="810"/>
        <w:rPr>
          <w:szCs w:val="24"/>
        </w:rPr>
      </w:pPr>
    </w:p>
    <w:p w14:paraId="6A9E9008" w14:textId="77777777" w:rsidR="00024356" w:rsidRPr="00A62CAB" w:rsidRDefault="00024356" w:rsidP="00024356">
      <w:pPr>
        <w:tabs>
          <w:tab w:val="left" w:pos="-720"/>
          <w:tab w:val="left" w:pos="1247"/>
        </w:tabs>
        <w:suppressAutoHyphens/>
        <w:ind w:left="810"/>
        <w:rPr>
          <w:szCs w:val="24"/>
        </w:rPr>
      </w:pPr>
      <w:r w:rsidRPr="00A62CAB">
        <w:rPr>
          <w:szCs w:val="24"/>
        </w:rPr>
        <w:tab/>
        <w:t>Not applicable.</w:t>
      </w:r>
    </w:p>
    <w:p w14:paraId="600864FC" w14:textId="77777777" w:rsidR="00024356" w:rsidRPr="00A62CAB" w:rsidRDefault="00024356" w:rsidP="00024356">
      <w:pPr>
        <w:tabs>
          <w:tab w:val="left" w:pos="-720"/>
          <w:tab w:val="left" w:pos="1247"/>
        </w:tabs>
        <w:suppressAutoHyphens/>
        <w:ind w:left="810"/>
        <w:rPr>
          <w:szCs w:val="24"/>
        </w:rPr>
      </w:pPr>
    </w:p>
    <w:p w14:paraId="3D170ED5" w14:textId="77777777" w:rsidR="00024356" w:rsidRPr="00A62CAB" w:rsidRDefault="00024356" w:rsidP="00024356">
      <w:pPr>
        <w:pStyle w:val="ListParagraph"/>
        <w:numPr>
          <w:ilvl w:val="0"/>
          <w:numId w:val="19"/>
        </w:numPr>
        <w:ind w:left="1260" w:hanging="450"/>
        <w:rPr>
          <w:b/>
          <w:szCs w:val="24"/>
        </w:rPr>
      </w:pPr>
      <w:r w:rsidRPr="00A62CAB">
        <w:rPr>
          <w:b/>
          <w:szCs w:val="24"/>
        </w:rPr>
        <w:t>Requiring the use of a statistical data classification that has not been reviewed and approved by OMB;</w:t>
      </w:r>
    </w:p>
    <w:p w14:paraId="38A0E1D0" w14:textId="77777777" w:rsidR="00024356" w:rsidRPr="00A62CAB" w:rsidRDefault="00024356" w:rsidP="00024356">
      <w:pPr>
        <w:tabs>
          <w:tab w:val="left" w:pos="-720"/>
          <w:tab w:val="left" w:pos="1247"/>
        </w:tabs>
        <w:suppressAutoHyphens/>
        <w:ind w:left="810"/>
        <w:rPr>
          <w:szCs w:val="24"/>
        </w:rPr>
      </w:pPr>
    </w:p>
    <w:p w14:paraId="0F03B9A3" w14:textId="77777777" w:rsidR="00024356" w:rsidRPr="00A62CAB" w:rsidRDefault="00024356" w:rsidP="00024356">
      <w:pPr>
        <w:tabs>
          <w:tab w:val="left" w:pos="-720"/>
          <w:tab w:val="left" w:pos="1247"/>
        </w:tabs>
        <w:suppressAutoHyphens/>
        <w:ind w:left="810"/>
        <w:rPr>
          <w:szCs w:val="24"/>
        </w:rPr>
      </w:pPr>
      <w:r w:rsidRPr="00A62CAB">
        <w:rPr>
          <w:szCs w:val="24"/>
        </w:rPr>
        <w:tab/>
        <w:t>Not applicable.</w:t>
      </w:r>
    </w:p>
    <w:p w14:paraId="1CF56A39" w14:textId="77777777" w:rsidR="00024356" w:rsidRPr="00A62CAB" w:rsidRDefault="00024356" w:rsidP="00024356">
      <w:pPr>
        <w:tabs>
          <w:tab w:val="left" w:pos="-720"/>
          <w:tab w:val="left" w:pos="1247"/>
        </w:tabs>
        <w:suppressAutoHyphens/>
        <w:ind w:left="810"/>
        <w:rPr>
          <w:szCs w:val="24"/>
        </w:rPr>
      </w:pPr>
    </w:p>
    <w:p w14:paraId="0DF8D58A" w14:textId="77777777" w:rsidR="00024356" w:rsidRPr="00A62CAB" w:rsidRDefault="00024356" w:rsidP="00024356">
      <w:pPr>
        <w:pStyle w:val="ListParagraph"/>
        <w:numPr>
          <w:ilvl w:val="0"/>
          <w:numId w:val="19"/>
        </w:numPr>
        <w:ind w:left="1260" w:hanging="450"/>
        <w:rPr>
          <w:b/>
          <w:szCs w:val="24"/>
        </w:rPr>
      </w:pPr>
      <w:r w:rsidRPr="00A62CAB">
        <w:rPr>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E24D7E4" w14:textId="77777777" w:rsidR="00024356" w:rsidRPr="00A62CAB" w:rsidRDefault="00024356" w:rsidP="00024356">
      <w:pPr>
        <w:tabs>
          <w:tab w:val="left" w:pos="-720"/>
          <w:tab w:val="left" w:pos="1247"/>
        </w:tabs>
        <w:suppressAutoHyphens/>
        <w:ind w:left="810"/>
        <w:rPr>
          <w:szCs w:val="24"/>
        </w:rPr>
      </w:pPr>
    </w:p>
    <w:p w14:paraId="067B079E" w14:textId="77777777" w:rsidR="00024356" w:rsidRPr="00A62CAB" w:rsidRDefault="00024356" w:rsidP="00024356">
      <w:pPr>
        <w:tabs>
          <w:tab w:val="left" w:pos="-720"/>
          <w:tab w:val="left" w:pos="1247"/>
        </w:tabs>
        <w:suppressAutoHyphens/>
        <w:ind w:left="810"/>
        <w:rPr>
          <w:szCs w:val="24"/>
        </w:rPr>
      </w:pPr>
      <w:r w:rsidRPr="00A62CAB">
        <w:rPr>
          <w:szCs w:val="24"/>
        </w:rPr>
        <w:tab/>
        <w:t>Not applicable.</w:t>
      </w:r>
    </w:p>
    <w:p w14:paraId="38DFFE4F" w14:textId="77777777" w:rsidR="00024356" w:rsidRPr="00A62CAB" w:rsidRDefault="00024356" w:rsidP="00024356">
      <w:pPr>
        <w:tabs>
          <w:tab w:val="left" w:pos="-720"/>
          <w:tab w:val="left" w:pos="1247"/>
        </w:tabs>
        <w:suppressAutoHyphens/>
        <w:ind w:left="810"/>
        <w:rPr>
          <w:szCs w:val="24"/>
        </w:rPr>
      </w:pPr>
    </w:p>
    <w:p w14:paraId="042BE23D" w14:textId="77777777" w:rsidR="00024356" w:rsidRPr="00A62CAB" w:rsidRDefault="00024356" w:rsidP="00024356">
      <w:pPr>
        <w:pStyle w:val="ListParagraph"/>
        <w:numPr>
          <w:ilvl w:val="0"/>
          <w:numId w:val="19"/>
        </w:numPr>
        <w:ind w:left="1260" w:hanging="450"/>
        <w:rPr>
          <w:b/>
          <w:szCs w:val="24"/>
        </w:rPr>
      </w:pPr>
      <w:r w:rsidRPr="00A62CAB">
        <w:rPr>
          <w:b/>
          <w:szCs w:val="24"/>
        </w:rPr>
        <w:t>Requiring respondents to submit proprietary trade secrets, or other confidential information unless the agency can demonstrate that it has instituted procedures to protect the information’s confidentiality to the extent permitted by law.</w:t>
      </w:r>
    </w:p>
    <w:p w14:paraId="2292E0DB" w14:textId="77777777" w:rsidR="00024356" w:rsidRPr="00A62CAB" w:rsidRDefault="00024356" w:rsidP="00024356">
      <w:pPr>
        <w:pStyle w:val="ListParagraph"/>
        <w:ind w:left="1260"/>
        <w:rPr>
          <w:b/>
          <w:szCs w:val="24"/>
        </w:rPr>
      </w:pPr>
    </w:p>
    <w:p w14:paraId="77C8E8DA" w14:textId="77777777" w:rsidR="00024356" w:rsidRPr="00A62CAB" w:rsidRDefault="00024356" w:rsidP="00024356">
      <w:pPr>
        <w:tabs>
          <w:tab w:val="left" w:pos="-720"/>
          <w:tab w:val="left" w:pos="1247"/>
        </w:tabs>
        <w:suppressAutoHyphens/>
        <w:ind w:left="360" w:hanging="360"/>
        <w:rPr>
          <w:szCs w:val="24"/>
        </w:rPr>
      </w:pPr>
      <w:r w:rsidRPr="00A62CAB">
        <w:rPr>
          <w:szCs w:val="24"/>
        </w:rPr>
        <w:tab/>
      </w:r>
      <w:r w:rsidRPr="00A62CAB">
        <w:rPr>
          <w:szCs w:val="24"/>
        </w:rPr>
        <w:tab/>
        <w:t>Not applicable.</w:t>
      </w:r>
    </w:p>
    <w:p w14:paraId="7199F558" w14:textId="77777777" w:rsidR="00C9252C" w:rsidRPr="00A62CAB" w:rsidRDefault="00C9252C" w:rsidP="00C9252C">
      <w:pPr>
        <w:rPr>
          <w:szCs w:val="24"/>
        </w:rPr>
      </w:pPr>
    </w:p>
    <w:p w14:paraId="3A661E71" w14:textId="76B40C1C" w:rsidR="00C9252C" w:rsidRPr="00A62CAB" w:rsidRDefault="00C9252C" w:rsidP="00C9252C">
      <w:pPr>
        <w:rPr>
          <w:szCs w:val="24"/>
        </w:rPr>
      </w:pPr>
      <w:r w:rsidRPr="00A62CAB">
        <w:rPr>
          <w:b/>
          <w:szCs w:val="24"/>
        </w:rPr>
        <w:t xml:space="preserve">8.  </w:t>
      </w:r>
      <w:r w:rsidRPr="00A62CAB">
        <w:rPr>
          <w:b/>
          <w:szCs w:val="24"/>
          <w:u w:val="single"/>
        </w:rPr>
        <w:t>Comments in Response to the Federal Register Notice/Outside Consultation</w:t>
      </w:r>
    </w:p>
    <w:p w14:paraId="7AAA970F" w14:textId="77777777" w:rsidR="00C9252C" w:rsidRPr="00A62CAB" w:rsidRDefault="00C9252C" w:rsidP="00C9252C">
      <w:pPr>
        <w:rPr>
          <w:szCs w:val="24"/>
        </w:rPr>
      </w:pPr>
    </w:p>
    <w:p w14:paraId="7D721B9F" w14:textId="77777777" w:rsidR="002C1D09" w:rsidRPr="00A62CAB" w:rsidRDefault="00991FBE" w:rsidP="00315D79">
      <w:pPr>
        <w:rPr>
          <w:szCs w:val="24"/>
        </w:rPr>
      </w:pPr>
      <w:r w:rsidRPr="00A62CAB">
        <w:rPr>
          <w:szCs w:val="24"/>
        </w:rPr>
        <w:t xml:space="preserve">A 60-day Federal Register Notice was published in the </w:t>
      </w:r>
      <w:r w:rsidRPr="00A62CAB">
        <w:rPr>
          <w:i/>
          <w:szCs w:val="24"/>
        </w:rPr>
        <w:t xml:space="preserve">Federal Register </w:t>
      </w:r>
      <w:r w:rsidRPr="00A62CAB">
        <w:rPr>
          <w:szCs w:val="24"/>
        </w:rPr>
        <w:t>on</w:t>
      </w:r>
      <w:r w:rsidR="002C1D09" w:rsidRPr="00A62CAB">
        <w:rPr>
          <w:szCs w:val="24"/>
        </w:rPr>
        <w:t xml:space="preserve"> </w:t>
      </w:r>
    </w:p>
    <w:p w14:paraId="1D9AA8A9" w14:textId="1EDFB0BC" w:rsidR="002E3EAA" w:rsidRPr="00A62CAB" w:rsidRDefault="00FA5C4C" w:rsidP="00315D79">
      <w:pPr>
        <w:rPr>
          <w:szCs w:val="24"/>
        </w:rPr>
      </w:pPr>
      <w:r w:rsidRPr="00A62CAB">
        <w:rPr>
          <w:szCs w:val="24"/>
        </w:rPr>
        <w:t>August 15, 2018</w:t>
      </w:r>
      <w:r w:rsidR="00201B14" w:rsidRPr="00A62CAB">
        <w:rPr>
          <w:szCs w:val="24"/>
        </w:rPr>
        <w:t xml:space="preserve">, </w:t>
      </w:r>
      <w:r w:rsidR="005D260B" w:rsidRPr="00A62CAB">
        <w:rPr>
          <w:szCs w:val="24"/>
        </w:rPr>
        <w:t>V</w:t>
      </w:r>
      <w:r w:rsidR="00201B14" w:rsidRPr="00A62CAB">
        <w:rPr>
          <w:szCs w:val="24"/>
        </w:rPr>
        <w:t xml:space="preserve">ol. </w:t>
      </w:r>
      <w:r w:rsidR="002E3EAA" w:rsidRPr="00A62CAB">
        <w:rPr>
          <w:szCs w:val="24"/>
        </w:rPr>
        <w:t>8</w:t>
      </w:r>
      <w:r w:rsidRPr="00A62CAB">
        <w:rPr>
          <w:szCs w:val="24"/>
        </w:rPr>
        <w:t>3</w:t>
      </w:r>
      <w:r w:rsidR="00201B14" w:rsidRPr="00A62CAB">
        <w:rPr>
          <w:szCs w:val="24"/>
        </w:rPr>
        <w:t xml:space="preserve">, No. </w:t>
      </w:r>
      <w:r w:rsidR="002E3EAA" w:rsidRPr="00A62CAB">
        <w:rPr>
          <w:szCs w:val="24"/>
        </w:rPr>
        <w:t>1</w:t>
      </w:r>
      <w:r w:rsidRPr="00A62CAB">
        <w:rPr>
          <w:szCs w:val="24"/>
        </w:rPr>
        <w:t>58</w:t>
      </w:r>
      <w:r w:rsidR="00201B14" w:rsidRPr="00A62CAB">
        <w:rPr>
          <w:szCs w:val="24"/>
        </w:rPr>
        <w:t xml:space="preserve">, pp. </w:t>
      </w:r>
      <w:r w:rsidRPr="00A62CAB">
        <w:rPr>
          <w:szCs w:val="24"/>
        </w:rPr>
        <w:t>40519-40520</w:t>
      </w:r>
      <w:r w:rsidR="00315D79" w:rsidRPr="00A62CAB">
        <w:rPr>
          <w:szCs w:val="24"/>
        </w:rPr>
        <w:t xml:space="preserve"> 83 40519</w:t>
      </w:r>
      <w:r w:rsidR="00991FBE" w:rsidRPr="00A62CAB">
        <w:rPr>
          <w:szCs w:val="24"/>
        </w:rPr>
        <w:t xml:space="preserve">.  This notice is </w:t>
      </w:r>
      <w:r w:rsidR="002E3EAA" w:rsidRPr="00A62CAB">
        <w:rPr>
          <w:szCs w:val="24"/>
        </w:rPr>
        <w:t>included below:</w:t>
      </w:r>
    </w:p>
    <w:p w14:paraId="514525A6" w14:textId="0804DCF0" w:rsidR="002E3EAA" w:rsidRPr="00A62CAB" w:rsidRDefault="002E3EAA" w:rsidP="003D27E2">
      <w:pPr>
        <w:ind w:left="1447"/>
        <w:rPr>
          <w:noProof/>
          <w:szCs w:val="24"/>
        </w:rPr>
      </w:pPr>
    </w:p>
    <w:p w14:paraId="5510EBEE" w14:textId="289790EC" w:rsidR="00F91FC8" w:rsidRPr="00A62CAB" w:rsidRDefault="0034452A" w:rsidP="00F91FC8">
      <w:pPr>
        <w:rPr>
          <w:szCs w:val="24"/>
        </w:rPr>
      </w:pPr>
      <w:r w:rsidRPr="00A62CAB">
        <w:rPr>
          <w:szCs w:val="24"/>
        </w:rPr>
        <w:t>ACL received comments from ten (1</w:t>
      </w:r>
      <w:r w:rsidR="00C419CA" w:rsidRPr="00A62CAB">
        <w:rPr>
          <w:szCs w:val="24"/>
        </w:rPr>
        <w:t>0</w:t>
      </w:r>
      <w:r w:rsidRPr="00A62CAB">
        <w:rPr>
          <w:szCs w:val="24"/>
        </w:rPr>
        <w:t xml:space="preserve">) organizations and </w:t>
      </w:r>
      <w:r w:rsidR="00C419CA" w:rsidRPr="00A62CAB">
        <w:rPr>
          <w:szCs w:val="24"/>
        </w:rPr>
        <w:t xml:space="preserve">two </w:t>
      </w:r>
      <w:r w:rsidRPr="00A62CAB">
        <w:rPr>
          <w:szCs w:val="24"/>
        </w:rPr>
        <w:t>(</w:t>
      </w:r>
      <w:r w:rsidR="00C419CA" w:rsidRPr="00A62CAB">
        <w:rPr>
          <w:szCs w:val="24"/>
        </w:rPr>
        <w:t>2</w:t>
      </w:r>
      <w:r w:rsidRPr="00A62CAB">
        <w:rPr>
          <w:szCs w:val="24"/>
        </w:rPr>
        <w:t>) individual</w:t>
      </w:r>
      <w:r w:rsidR="00C419CA" w:rsidRPr="00A62CAB">
        <w:rPr>
          <w:szCs w:val="24"/>
        </w:rPr>
        <w:t>s</w:t>
      </w:r>
      <w:r w:rsidRPr="00A62CAB">
        <w:rPr>
          <w:szCs w:val="24"/>
        </w:rPr>
        <w:t xml:space="preserve"> about the </w:t>
      </w:r>
      <w:r w:rsidR="00C419CA" w:rsidRPr="00A62CAB">
        <w:rPr>
          <w:szCs w:val="24"/>
        </w:rPr>
        <w:t>Program Performance Report</w:t>
      </w:r>
      <w:r w:rsidRPr="00A62CAB">
        <w:rPr>
          <w:szCs w:val="24"/>
        </w:rPr>
        <w:t xml:space="preserve"> (</w:t>
      </w:r>
      <w:r w:rsidR="00C419CA" w:rsidRPr="00A62CAB">
        <w:rPr>
          <w:szCs w:val="24"/>
        </w:rPr>
        <w:t>P</w:t>
      </w:r>
      <w:r w:rsidRPr="00A62CAB">
        <w:rPr>
          <w:szCs w:val="24"/>
        </w:rPr>
        <w:t>PR) redesign.  ACL reviewed all of the comments</w:t>
      </w:r>
      <w:r w:rsidR="00BF3592" w:rsidRPr="00A62CAB">
        <w:rPr>
          <w:szCs w:val="24"/>
        </w:rPr>
        <w:t>.</w:t>
      </w:r>
      <w:r w:rsidRPr="00A62CAB">
        <w:rPr>
          <w:szCs w:val="24"/>
        </w:rPr>
        <w:t xml:space="preserve"> However, some of the comments were deemed to not be relevant because they were: (a) about the data submission process itself; (b) did not request a change; (c) only related to format; </w:t>
      </w:r>
      <w:r w:rsidR="00BF3592" w:rsidRPr="00A62CAB">
        <w:rPr>
          <w:szCs w:val="24"/>
        </w:rPr>
        <w:t xml:space="preserve">or </w:t>
      </w:r>
      <w:r w:rsidRPr="00A62CAB">
        <w:rPr>
          <w:szCs w:val="24"/>
        </w:rPr>
        <w:t xml:space="preserve">(d) indicated topics for technical assistance and training for the final data collection.  For ease of review, the remaining comments and their responses have been grouped by topic or issue. </w:t>
      </w:r>
      <w:r w:rsidR="00F91FC8" w:rsidRPr="00A62CAB">
        <w:rPr>
          <w:szCs w:val="24"/>
        </w:rPr>
        <w:t>The ACL responses for each topic/issue are detailed below:</w:t>
      </w:r>
    </w:p>
    <w:p w14:paraId="0537F104" w14:textId="4B73E3BD" w:rsidR="00C849C4" w:rsidRPr="00A62CAB" w:rsidRDefault="00C849C4" w:rsidP="00F91FC8">
      <w:pPr>
        <w:rPr>
          <w:szCs w:val="24"/>
        </w:rPr>
      </w:pPr>
    </w:p>
    <w:tbl>
      <w:tblPr>
        <w:tblStyle w:val="TableGrid"/>
        <w:tblW w:w="0" w:type="auto"/>
        <w:jc w:val="center"/>
        <w:tblLook w:val="04A0" w:firstRow="1" w:lastRow="0" w:firstColumn="1" w:lastColumn="0" w:noHBand="0" w:noVBand="1"/>
      </w:tblPr>
      <w:tblGrid>
        <w:gridCol w:w="2109"/>
        <w:gridCol w:w="3056"/>
        <w:gridCol w:w="4331"/>
      </w:tblGrid>
      <w:tr w:rsidR="00402E5F" w:rsidRPr="00A62CAB" w14:paraId="19E4FA4F" w14:textId="77777777" w:rsidTr="00402E5F">
        <w:trPr>
          <w:jc w:val="center"/>
        </w:trPr>
        <w:tc>
          <w:tcPr>
            <w:tcW w:w="196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62C767" w14:textId="77777777" w:rsidR="00402E5F" w:rsidRPr="00A62CAB" w:rsidRDefault="00402E5F">
            <w:pPr>
              <w:rPr>
                <w:b/>
                <w:szCs w:val="24"/>
              </w:rPr>
            </w:pPr>
            <w:r w:rsidRPr="00A62CAB">
              <w:rPr>
                <w:b/>
                <w:szCs w:val="24"/>
              </w:rPr>
              <w:t>Topic/Issue</w:t>
            </w:r>
          </w:p>
        </w:tc>
        <w:tc>
          <w:tcPr>
            <w:tcW w:w="30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889B60" w14:textId="77777777" w:rsidR="00402E5F" w:rsidRPr="00A62CAB" w:rsidRDefault="00402E5F">
            <w:pPr>
              <w:rPr>
                <w:b/>
                <w:szCs w:val="24"/>
              </w:rPr>
            </w:pPr>
            <w:r w:rsidRPr="00A62CAB">
              <w:rPr>
                <w:b/>
                <w:szCs w:val="24"/>
              </w:rPr>
              <w:t>Comment</w:t>
            </w:r>
          </w:p>
        </w:tc>
        <w:tc>
          <w:tcPr>
            <w:tcW w:w="433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BD8D5E" w14:textId="77777777" w:rsidR="00402E5F" w:rsidRPr="00A62CAB" w:rsidRDefault="00402E5F">
            <w:pPr>
              <w:rPr>
                <w:b/>
                <w:szCs w:val="24"/>
              </w:rPr>
            </w:pPr>
            <w:r w:rsidRPr="00A62CAB">
              <w:rPr>
                <w:b/>
                <w:szCs w:val="24"/>
              </w:rPr>
              <w:t>ACL Response</w:t>
            </w:r>
          </w:p>
        </w:tc>
      </w:tr>
      <w:tr w:rsidR="00402E5F" w:rsidRPr="00A62CAB" w14:paraId="2C9C7FBE" w14:textId="77777777" w:rsidTr="00402E5F">
        <w:trPr>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14:paraId="00637428" w14:textId="77777777" w:rsidR="00402E5F" w:rsidRPr="00A62CAB" w:rsidRDefault="00402E5F">
            <w:pPr>
              <w:rPr>
                <w:szCs w:val="24"/>
              </w:rPr>
            </w:pPr>
            <w:r w:rsidRPr="00A62CAB">
              <w:rPr>
                <w:szCs w:val="24"/>
              </w:rPr>
              <w:t>Additional comment boxes for story telling</w:t>
            </w:r>
          </w:p>
        </w:tc>
        <w:tc>
          <w:tcPr>
            <w:tcW w:w="3056" w:type="dxa"/>
            <w:tcBorders>
              <w:top w:val="single" w:sz="4" w:space="0" w:color="auto"/>
              <w:left w:val="single" w:sz="4" w:space="0" w:color="auto"/>
              <w:bottom w:val="single" w:sz="4" w:space="0" w:color="auto"/>
              <w:right w:val="single" w:sz="4" w:space="0" w:color="auto"/>
            </w:tcBorders>
            <w:vAlign w:val="center"/>
            <w:hideMark/>
          </w:tcPr>
          <w:p w14:paraId="026BD2A4" w14:textId="77777777" w:rsidR="00402E5F" w:rsidRPr="00A62CAB" w:rsidRDefault="00402E5F">
            <w:pPr>
              <w:rPr>
                <w:szCs w:val="24"/>
              </w:rPr>
            </w:pPr>
            <w:r w:rsidRPr="00A62CAB">
              <w:rPr>
                <w:szCs w:val="24"/>
              </w:rPr>
              <w:t>One of the comments was to include a comment box to the PPR to allow for programs to better share their stories</w:t>
            </w:r>
          </w:p>
        </w:tc>
        <w:tc>
          <w:tcPr>
            <w:tcW w:w="4331" w:type="dxa"/>
            <w:tcBorders>
              <w:top w:val="single" w:sz="4" w:space="0" w:color="auto"/>
              <w:left w:val="single" w:sz="4" w:space="0" w:color="auto"/>
              <w:bottom w:val="single" w:sz="4" w:space="0" w:color="auto"/>
              <w:right w:val="single" w:sz="4" w:space="0" w:color="auto"/>
            </w:tcBorders>
            <w:vAlign w:val="center"/>
            <w:hideMark/>
          </w:tcPr>
          <w:p w14:paraId="7D7C8237" w14:textId="77777777" w:rsidR="00402E5F" w:rsidRPr="00A62CAB" w:rsidRDefault="00402E5F">
            <w:pPr>
              <w:rPr>
                <w:szCs w:val="24"/>
              </w:rPr>
            </w:pPr>
            <w:r w:rsidRPr="00A62CAB">
              <w:rPr>
                <w:szCs w:val="24"/>
              </w:rPr>
              <w:t xml:space="preserve">ACL has added a comment box at the end of the PPR for program staff to share contextual information about how their program is addressing the needs of Elders in their community. </w:t>
            </w:r>
          </w:p>
        </w:tc>
      </w:tr>
      <w:tr w:rsidR="00402E5F" w:rsidRPr="00A62CAB" w14:paraId="5FF9B74B" w14:textId="77777777" w:rsidTr="00402E5F">
        <w:trPr>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14:paraId="0ADD54BF" w14:textId="77777777" w:rsidR="00402E5F" w:rsidRPr="00A62CAB" w:rsidRDefault="00402E5F">
            <w:pPr>
              <w:rPr>
                <w:szCs w:val="24"/>
              </w:rPr>
            </w:pPr>
            <w:r w:rsidRPr="00A62CAB">
              <w:rPr>
                <w:szCs w:val="24"/>
              </w:rPr>
              <w:t>Additional data reporting</w:t>
            </w:r>
          </w:p>
        </w:tc>
        <w:tc>
          <w:tcPr>
            <w:tcW w:w="3056" w:type="dxa"/>
            <w:tcBorders>
              <w:top w:val="single" w:sz="4" w:space="0" w:color="auto"/>
              <w:left w:val="single" w:sz="4" w:space="0" w:color="auto"/>
              <w:bottom w:val="single" w:sz="4" w:space="0" w:color="auto"/>
              <w:right w:val="single" w:sz="4" w:space="0" w:color="auto"/>
            </w:tcBorders>
            <w:vAlign w:val="center"/>
            <w:hideMark/>
          </w:tcPr>
          <w:p w14:paraId="6808EA1E" w14:textId="77777777" w:rsidR="00402E5F" w:rsidRPr="00A62CAB" w:rsidRDefault="00402E5F">
            <w:pPr>
              <w:rPr>
                <w:szCs w:val="24"/>
              </w:rPr>
            </w:pPr>
            <w:r w:rsidRPr="00A62CAB">
              <w:rPr>
                <w:szCs w:val="24"/>
              </w:rPr>
              <w:t xml:space="preserve">There were some concerns expressed around having to keep track of and report additional data. </w:t>
            </w:r>
          </w:p>
        </w:tc>
        <w:tc>
          <w:tcPr>
            <w:tcW w:w="4331" w:type="dxa"/>
            <w:tcBorders>
              <w:top w:val="single" w:sz="4" w:space="0" w:color="auto"/>
              <w:left w:val="single" w:sz="4" w:space="0" w:color="auto"/>
              <w:bottom w:val="single" w:sz="4" w:space="0" w:color="auto"/>
              <w:right w:val="single" w:sz="4" w:space="0" w:color="auto"/>
            </w:tcBorders>
            <w:vAlign w:val="center"/>
            <w:hideMark/>
          </w:tcPr>
          <w:p w14:paraId="390A6CB9" w14:textId="77777777" w:rsidR="00402E5F" w:rsidRPr="00A62CAB" w:rsidRDefault="00402E5F">
            <w:pPr>
              <w:rPr>
                <w:szCs w:val="24"/>
              </w:rPr>
            </w:pPr>
            <w:r w:rsidRPr="00A62CAB">
              <w:rPr>
                <w:szCs w:val="24"/>
              </w:rPr>
              <w:t>Although ACL understands that reporting can be a burdensome process, having better and richer data is a priority for the Title VI program, particularly where it allows us to align with the data collection for Title III.</w:t>
            </w:r>
          </w:p>
        </w:tc>
      </w:tr>
      <w:tr w:rsidR="00402E5F" w:rsidRPr="00A62CAB" w14:paraId="4FE97B86" w14:textId="77777777" w:rsidTr="00402E5F">
        <w:trPr>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14:paraId="09F99A08" w14:textId="77777777" w:rsidR="00402E5F" w:rsidRPr="00A62CAB" w:rsidRDefault="00402E5F">
            <w:pPr>
              <w:rPr>
                <w:szCs w:val="24"/>
              </w:rPr>
            </w:pPr>
            <w:r w:rsidRPr="00A62CAB">
              <w:rPr>
                <w:szCs w:val="24"/>
              </w:rPr>
              <w:t>“Tribal Organization”</w:t>
            </w:r>
          </w:p>
        </w:tc>
        <w:tc>
          <w:tcPr>
            <w:tcW w:w="3056" w:type="dxa"/>
            <w:tcBorders>
              <w:top w:val="single" w:sz="4" w:space="0" w:color="auto"/>
              <w:left w:val="single" w:sz="4" w:space="0" w:color="auto"/>
              <w:bottom w:val="single" w:sz="4" w:space="0" w:color="auto"/>
              <w:right w:val="single" w:sz="4" w:space="0" w:color="auto"/>
            </w:tcBorders>
            <w:vAlign w:val="center"/>
            <w:hideMark/>
          </w:tcPr>
          <w:p w14:paraId="4796D9F5" w14:textId="77777777" w:rsidR="00402E5F" w:rsidRPr="00A62CAB" w:rsidRDefault="00402E5F">
            <w:pPr>
              <w:rPr>
                <w:szCs w:val="24"/>
              </w:rPr>
            </w:pPr>
            <w:r w:rsidRPr="00A62CAB">
              <w:rPr>
                <w:szCs w:val="24"/>
              </w:rPr>
              <w:t xml:space="preserve">There was a suggestion posited by two organizations to change the term “Tribal Organization” to something more encompassing. </w:t>
            </w:r>
          </w:p>
        </w:tc>
        <w:tc>
          <w:tcPr>
            <w:tcW w:w="4331" w:type="dxa"/>
            <w:tcBorders>
              <w:top w:val="single" w:sz="4" w:space="0" w:color="auto"/>
              <w:left w:val="single" w:sz="4" w:space="0" w:color="auto"/>
              <w:bottom w:val="single" w:sz="4" w:space="0" w:color="auto"/>
              <w:right w:val="single" w:sz="4" w:space="0" w:color="auto"/>
            </w:tcBorders>
            <w:vAlign w:val="center"/>
            <w:hideMark/>
          </w:tcPr>
          <w:p w14:paraId="01345690" w14:textId="77777777" w:rsidR="00402E5F" w:rsidRPr="00A62CAB" w:rsidRDefault="00402E5F">
            <w:pPr>
              <w:rPr>
                <w:szCs w:val="24"/>
              </w:rPr>
            </w:pPr>
            <w:r w:rsidRPr="00A62CAB">
              <w:rPr>
                <w:szCs w:val="24"/>
              </w:rPr>
              <w:t>ACL has decided to use the term “Grantee Name” to be more inclusive of tribal consortia, Native Hawaiian organizations, and other entities that did not feel covered under the previous term of “Tribal Organization”.</w:t>
            </w:r>
          </w:p>
        </w:tc>
      </w:tr>
      <w:tr w:rsidR="00402E5F" w:rsidRPr="00A62CAB" w14:paraId="3D10D655" w14:textId="77777777" w:rsidTr="00402E5F">
        <w:trPr>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14:paraId="4B3499C6" w14:textId="77777777" w:rsidR="00402E5F" w:rsidRPr="00A62CAB" w:rsidRDefault="00402E5F">
            <w:pPr>
              <w:rPr>
                <w:szCs w:val="24"/>
              </w:rPr>
            </w:pPr>
            <w:r w:rsidRPr="00A62CAB">
              <w:rPr>
                <w:szCs w:val="24"/>
              </w:rPr>
              <w:t>Staffing/Volunteers</w:t>
            </w:r>
          </w:p>
        </w:tc>
        <w:tc>
          <w:tcPr>
            <w:tcW w:w="3056" w:type="dxa"/>
            <w:tcBorders>
              <w:top w:val="single" w:sz="4" w:space="0" w:color="auto"/>
              <w:left w:val="single" w:sz="4" w:space="0" w:color="auto"/>
              <w:bottom w:val="single" w:sz="4" w:space="0" w:color="auto"/>
              <w:right w:val="single" w:sz="4" w:space="0" w:color="auto"/>
            </w:tcBorders>
            <w:vAlign w:val="center"/>
            <w:hideMark/>
          </w:tcPr>
          <w:p w14:paraId="3BFC1AEB" w14:textId="77777777" w:rsidR="00402E5F" w:rsidRPr="00A62CAB" w:rsidRDefault="00402E5F">
            <w:pPr>
              <w:rPr>
                <w:szCs w:val="24"/>
              </w:rPr>
            </w:pPr>
            <w:r w:rsidRPr="00A62CAB">
              <w:rPr>
                <w:szCs w:val="24"/>
              </w:rPr>
              <w:t xml:space="preserve">Five organizations commented that they found the prospect of collecting data on volunteers and their hours to be an unnecessary reporting burden. </w:t>
            </w:r>
          </w:p>
        </w:tc>
        <w:tc>
          <w:tcPr>
            <w:tcW w:w="4331" w:type="dxa"/>
            <w:tcBorders>
              <w:top w:val="single" w:sz="4" w:space="0" w:color="auto"/>
              <w:left w:val="single" w:sz="4" w:space="0" w:color="auto"/>
              <w:bottom w:val="single" w:sz="4" w:space="0" w:color="auto"/>
              <w:right w:val="single" w:sz="4" w:space="0" w:color="auto"/>
            </w:tcBorders>
            <w:vAlign w:val="center"/>
            <w:hideMark/>
          </w:tcPr>
          <w:p w14:paraId="51A188FB" w14:textId="77777777" w:rsidR="00402E5F" w:rsidRPr="00A62CAB" w:rsidRDefault="00402E5F">
            <w:pPr>
              <w:rPr>
                <w:szCs w:val="24"/>
              </w:rPr>
            </w:pPr>
            <w:r w:rsidRPr="00A62CAB">
              <w:rPr>
                <w:szCs w:val="24"/>
              </w:rPr>
              <w:t xml:space="preserve">Upon consideration of the issues brought up through the FRN comments, ACL has decided to remove the question on volunteers and volunteer hours. </w:t>
            </w:r>
          </w:p>
        </w:tc>
      </w:tr>
      <w:tr w:rsidR="00402E5F" w:rsidRPr="00A62CAB" w14:paraId="37B435CB" w14:textId="77777777" w:rsidTr="00402E5F">
        <w:trPr>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14:paraId="49FB49DA" w14:textId="77777777" w:rsidR="00402E5F" w:rsidRPr="00A62CAB" w:rsidRDefault="00402E5F">
            <w:pPr>
              <w:rPr>
                <w:szCs w:val="24"/>
              </w:rPr>
            </w:pPr>
            <w:r w:rsidRPr="00A62CAB">
              <w:rPr>
                <w:szCs w:val="24"/>
              </w:rPr>
              <w:t>Nutrition Questions</w:t>
            </w:r>
          </w:p>
        </w:tc>
        <w:tc>
          <w:tcPr>
            <w:tcW w:w="3056" w:type="dxa"/>
            <w:tcBorders>
              <w:top w:val="single" w:sz="4" w:space="0" w:color="auto"/>
              <w:left w:val="single" w:sz="4" w:space="0" w:color="auto"/>
              <w:bottom w:val="single" w:sz="4" w:space="0" w:color="auto"/>
              <w:right w:val="single" w:sz="4" w:space="0" w:color="auto"/>
            </w:tcBorders>
            <w:vAlign w:val="center"/>
            <w:hideMark/>
          </w:tcPr>
          <w:p w14:paraId="484D1B45" w14:textId="77777777" w:rsidR="00402E5F" w:rsidRPr="00A62CAB" w:rsidRDefault="00402E5F">
            <w:pPr>
              <w:rPr>
                <w:szCs w:val="24"/>
              </w:rPr>
            </w:pPr>
            <w:r w:rsidRPr="00A62CAB">
              <w:rPr>
                <w:szCs w:val="24"/>
              </w:rPr>
              <w:t xml:space="preserve">There was one comment noting that there were too many questions around nutrition education and counseling. </w:t>
            </w:r>
          </w:p>
        </w:tc>
        <w:tc>
          <w:tcPr>
            <w:tcW w:w="4331" w:type="dxa"/>
            <w:tcBorders>
              <w:top w:val="single" w:sz="4" w:space="0" w:color="auto"/>
              <w:left w:val="single" w:sz="4" w:space="0" w:color="auto"/>
              <w:bottom w:val="single" w:sz="4" w:space="0" w:color="auto"/>
              <w:right w:val="single" w:sz="4" w:space="0" w:color="auto"/>
            </w:tcBorders>
            <w:vAlign w:val="center"/>
            <w:hideMark/>
          </w:tcPr>
          <w:p w14:paraId="511BEF32" w14:textId="77777777" w:rsidR="00402E5F" w:rsidRPr="00A62CAB" w:rsidRDefault="00402E5F">
            <w:pPr>
              <w:rPr>
                <w:szCs w:val="24"/>
              </w:rPr>
            </w:pPr>
            <w:r w:rsidRPr="00A62CAB">
              <w:rPr>
                <w:szCs w:val="24"/>
              </w:rPr>
              <w:t>ACL understands that reporting can be a burdensome process and so have updated the questions under “Other Nutrition Services” to only ask one additional question regarding number of persons receiving nutrition counseling. In keeping with Title III’s SPR we have updated Nutrition Education hours to “sessions”.</w:t>
            </w:r>
          </w:p>
        </w:tc>
      </w:tr>
      <w:tr w:rsidR="00402E5F" w:rsidRPr="00A62CAB" w14:paraId="4AD1F6A6" w14:textId="77777777" w:rsidTr="00402E5F">
        <w:trPr>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14:paraId="1780846A" w14:textId="77777777" w:rsidR="00402E5F" w:rsidRPr="00A62CAB" w:rsidRDefault="00402E5F">
            <w:pPr>
              <w:rPr>
                <w:szCs w:val="24"/>
              </w:rPr>
            </w:pPr>
            <w:r w:rsidRPr="00A62CAB">
              <w:rPr>
                <w:szCs w:val="24"/>
              </w:rPr>
              <w:t>Meal Mileage</w:t>
            </w:r>
          </w:p>
        </w:tc>
        <w:tc>
          <w:tcPr>
            <w:tcW w:w="3056" w:type="dxa"/>
            <w:tcBorders>
              <w:top w:val="single" w:sz="4" w:space="0" w:color="auto"/>
              <w:left w:val="single" w:sz="4" w:space="0" w:color="auto"/>
              <w:bottom w:val="single" w:sz="4" w:space="0" w:color="auto"/>
              <w:right w:val="single" w:sz="4" w:space="0" w:color="auto"/>
            </w:tcBorders>
            <w:vAlign w:val="center"/>
            <w:hideMark/>
          </w:tcPr>
          <w:p w14:paraId="38649DEA" w14:textId="77777777" w:rsidR="00402E5F" w:rsidRPr="00A62CAB" w:rsidRDefault="00402E5F">
            <w:pPr>
              <w:rPr>
                <w:szCs w:val="24"/>
              </w:rPr>
            </w:pPr>
            <w:r w:rsidRPr="00A62CAB">
              <w:rPr>
                <w:szCs w:val="24"/>
              </w:rPr>
              <w:t xml:space="preserve">There were many comments (both positive and asking for clarification) related to a proposed question around home-delivered meal mileage. </w:t>
            </w:r>
          </w:p>
        </w:tc>
        <w:tc>
          <w:tcPr>
            <w:tcW w:w="4331" w:type="dxa"/>
            <w:tcBorders>
              <w:top w:val="single" w:sz="4" w:space="0" w:color="auto"/>
              <w:left w:val="single" w:sz="4" w:space="0" w:color="auto"/>
              <w:bottom w:val="single" w:sz="4" w:space="0" w:color="auto"/>
              <w:right w:val="single" w:sz="4" w:space="0" w:color="auto"/>
            </w:tcBorders>
            <w:vAlign w:val="center"/>
            <w:hideMark/>
          </w:tcPr>
          <w:p w14:paraId="070AF7D2" w14:textId="77777777" w:rsidR="00402E5F" w:rsidRPr="00A62CAB" w:rsidRDefault="00402E5F">
            <w:pPr>
              <w:rPr>
                <w:szCs w:val="24"/>
              </w:rPr>
            </w:pPr>
            <w:r w:rsidRPr="00A62CAB">
              <w:rPr>
                <w:szCs w:val="24"/>
              </w:rPr>
              <w:t xml:space="preserve">ACL has decided to remove this question from the PPR and will consider posing it to grantees through a different data collection source at a later date. </w:t>
            </w:r>
          </w:p>
        </w:tc>
      </w:tr>
      <w:tr w:rsidR="00402E5F" w:rsidRPr="00A62CAB" w14:paraId="413FCAD0" w14:textId="77777777" w:rsidTr="00402E5F">
        <w:trPr>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14:paraId="73F02374" w14:textId="77777777" w:rsidR="00402E5F" w:rsidRPr="00A62CAB" w:rsidRDefault="00402E5F">
            <w:pPr>
              <w:rPr>
                <w:szCs w:val="24"/>
              </w:rPr>
            </w:pPr>
            <w:r w:rsidRPr="00A62CAB">
              <w:rPr>
                <w:szCs w:val="24"/>
              </w:rPr>
              <w:t>Ombudsman</w:t>
            </w:r>
          </w:p>
        </w:tc>
        <w:tc>
          <w:tcPr>
            <w:tcW w:w="3056" w:type="dxa"/>
            <w:tcBorders>
              <w:top w:val="single" w:sz="4" w:space="0" w:color="auto"/>
              <w:left w:val="single" w:sz="4" w:space="0" w:color="auto"/>
              <w:bottom w:val="single" w:sz="4" w:space="0" w:color="auto"/>
              <w:right w:val="single" w:sz="4" w:space="0" w:color="auto"/>
            </w:tcBorders>
            <w:vAlign w:val="center"/>
            <w:hideMark/>
          </w:tcPr>
          <w:p w14:paraId="5E8D2195" w14:textId="77777777" w:rsidR="00402E5F" w:rsidRPr="00A62CAB" w:rsidRDefault="00402E5F">
            <w:pPr>
              <w:rPr>
                <w:szCs w:val="24"/>
              </w:rPr>
            </w:pPr>
            <w:r w:rsidRPr="00A62CAB">
              <w:rPr>
                <w:szCs w:val="24"/>
              </w:rPr>
              <w:t xml:space="preserve">Removal of the ombudsman question. </w:t>
            </w:r>
          </w:p>
        </w:tc>
        <w:tc>
          <w:tcPr>
            <w:tcW w:w="4331" w:type="dxa"/>
            <w:tcBorders>
              <w:top w:val="single" w:sz="4" w:space="0" w:color="auto"/>
              <w:left w:val="single" w:sz="4" w:space="0" w:color="auto"/>
              <w:bottom w:val="single" w:sz="4" w:space="0" w:color="auto"/>
              <w:right w:val="single" w:sz="4" w:space="0" w:color="auto"/>
            </w:tcBorders>
            <w:vAlign w:val="center"/>
            <w:hideMark/>
          </w:tcPr>
          <w:p w14:paraId="674E487D" w14:textId="77777777" w:rsidR="00402E5F" w:rsidRPr="00A62CAB" w:rsidRDefault="00402E5F">
            <w:pPr>
              <w:rPr>
                <w:szCs w:val="24"/>
              </w:rPr>
            </w:pPr>
            <w:r w:rsidRPr="00A62CAB">
              <w:rPr>
                <w:szCs w:val="24"/>
              </w:rPr>
              <w:t xml:space="preserve">ACL will not add an ombudsman question back into the Title VI PPR as official ombudsman services should be reported through the State Ombudsman and collected in the NORS tool. However, ACL has decided to add in a question related to visiting nursing homes and other assisted living facilities as we agree that these activities are important to capture. </w:t>
            </w:r>
          </w:p>
        </w:tc>
      </w:tr>
      <w:tr w:rsidR="00402E5F" w:rsidRPr="00A62CAB" w14:paraId="023AD5BD" w14:textId="77777777" w:rsidTr="00402E5F">
        <w:trPr>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14:paraId="47545A84" w14:textId="77777777" w:rsidR="00402E5F" w:rsidRPr="00A62CAB" w:rsidRDefault="00402E5F">
            <w:pPr>
              <w:rPr>
                <w:szCs w:val="24"/>
              </w:rPr>
            </w:pPr>
            <w:r w:rsidRPr="00A62CAB">
              <w:rPr>
                <w:szCs w:val="24"/>
              </w:rPr>
              <w:t>Other Supportive Services</w:t>
            </w:r>
          </w:p>
        </w:tc>
        <w:tc>
          <w:tcPr>
            <w:tcW w:w="3056" w:type="dxa"/>
            <w:tcBorders>
              <w:top w:val="single" w:sz="4" w:space="0" w:color="auto"/>
              <w:left w:val="single" w:sz="4" w:space="0" w:color="auto"/>
              <w:bottom w:val="single" w:sz="4" w:space="0" w:color="auto"/>
              <w:right w:val="single" w:sz="4" w:space="0" w:color="auto"/>
            </w:tcBorders>
            <w:vAlign w:val="center"/>
            <w:hideMark/>
          </w:tcPr>
          <w:p w14:paraId="0A214256" w14:textId="77777777" w:rsidR="00402E5F" w:rsidRPr="00A62CAB" w:rsidRDefault="00402E5F">
            <w:pPr>
              <w:rPr>
                <w:szCs w:val="24"/>
              </w:rPr>
            </w:pPr>
            <w:r w:rsidRPr="00A62CAB">
              <w:rPr>
                <w:szCs w:val="24"/>
              </w:rPr>
              <w:t xml:space="preserve">Suggestions to add space for grantees to report on the types of supportive services they provide. </w:t>
            </w:r>
          </w:p>
        </w:tc>
        <w:tc>
          <w:tcPr>
            <w:tcW w:w="4331" w:type="dxa"/>
            <w:tcBorders>
              <w:top w:val="single" w:sz="4" w:space="0" w:color="auto"/>
              <w:left w:val="single" w:sz="4" w:space="0" w:color="auto"/>
              <w:bottom w:val="single" w:sz="4" w:space="0" w:color="auto"/>
              <w:right w:val="single" w:sz="4" w:space="0" w:color="auto"/>
            </w:tcBorders>
            <w:vAlign w:val="center"/>
            <w:hideMark/>
          </w:tcPr>
          <w:p w14:paraId="38FAA28D" w14:textId="77777777" w:rsidR="00402E5F" w:rsidRPr="00A62CAB" w:rsidRDefault="00402E5F">
            <w:pPr>
              <w:rPr>
                <w:szCs w:val="24"/>
              </w:rPr>
            </w:pPr>
            <w:r w:rsidRPr="00A62CAB">
              <w:rPr>
                <w:szCs w:val="24"/>
              </w:rPr>
              <w:t xml:space="preserve">ACL has decided to add an optional text box for programs to share other supportive services they may offer that are not currently listed. </w:t>
            </w:r>
          </w:p>
        </w:tc>
      </w:tr>
      <w:tr w:rsidR="00402E5F" w:rsidRPr="00A62CAB" w14:paraId="072FBB62" w14:textId="77777777" w:rsidTr="00402E5F">
        <w:trPr>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14:paraId="26267753" w14:textId="77777777" w:rsidR="00402E5F" w:rsidRPr="00A62CAB" w:rsidRDefault="00402E5F">
            <w:pPr>
              <w:rPr>
                <w:szCs w:val="24"/>
              </w:rPr>
            </w:pPr>
            <w:r w:rsidRPr="00A62CAB">
              <w:rPr>
                <w:szCs w:val="24"/>
              </w:rPr>
              <w:t>Transportation</w:t>
            </w:r>
          </w:p>
        </w:tc>
        <w:tc>
          <w:tcPr>
            <w:tcW w:w="3056" w:type="dxa"/>
            <w:tcBorders>
              <w:top w:val="single" w:sz="4" w:space="0" w:color="auto"/>
              <w:left w:val="single" w:sz="4" w:space="0" w:color="auto"/>
              <w:bottom w:val="single" w:sz="4" w:space="0" w:color="auto"/>
              <w:right w:val="single" w:sz="4" w:space="0" w:color="auto"/>
            </w:tcBorders>
            <w:vAlign w:val="center"/>
            <w:hideMark/>
          </w:tcPr>
          <w:p w14:paraId="2CBC5F75" w14:textId="77777777" w:rsidR="00402E5F" w:rsidRPr="00A62CAB" w:rsidRDefault="00402E5F">
            <w:pPr>
              <w:rPr>
                <w:szCs w:val="24"/>
              </w:rPr>
            </w:pPr>
            <w:r w:rsidRPr="00A62CAB">
              <w:rPr>
                <w:szCs w:val="24"/>
              </w:rPr>
              <w:t xml:space="preserve">Suggestions to split transportation into assisted and unassisted as they are in Title III’s SPR. </w:t>
            </w:r>
          </w:p>
        </w:tc>
        <w:tc>
          <w:tcPr>
            <w:tcW w:w="4331" w:type="dxa"/>
            <w:tcBorders>
              <w:top w:val="single" w:sz="4" w:space="0" w:color="auto"/>
              <w:left w:val="single" w:sz="4" w:space="0" w:color="auto"/>
              <w:bottom w:val="single" w:sz="4" w:space="0" w:color="auto"/>
              <w:right w:val="single" w:sz="4" w:space="0" w:color="auto"/>
            </w:tcBorders>
            <w:vAlign w:val="center"/>
            <w:hideMark/>
          </w:tcPr>
          <w:p w14:paraId="51A6CDBD" w14:textId="77777777" w:rsidR="00402E5F" w:rsidRPr="00A62CAB" w:rsidRDefault="00402E5F">
            <w:pPr>
              <w:rPr>
                <w:szCs w:val="24"/>
              </w:rPr>
            </w:pPr>
            <w:r w:rsidRPr="00A62CAB">
              <w:rPr>
                <w:szCs w:val="24"/>
              </w:rPr>
              <w:t xml:space="preserve">ACL appreciates the suggestion to collect more data but has decided in the interest of balancing data collection and burden to not make the distinction between the different “types” of transportation provided by a program.  </w:t>
            </w:r>
          </w:p>
        </w:tc>
      </w:tr>
      <w:tr w:rsidR="00402E5F" w:rsidRPr="00A62CAB" w14:paraId="294693F2" w14:textId="77777777" w:rsidTr="00402E5F">
        <w:trPr>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14:paraId="4D344B69" w14:textId="77777777" w:rsidR="00402E5F" w:rsidRPr="00A62CAB" w:rsidRDefault="00402E5F">
            <w:pPr>
              <w:rPr>
                <w:szCs w:val="24"/>
              </w:rPr>
            </w:pPr>
            <w:r w:rsidRPr="00A62CAB">
              <w:rPr>
                <w:szCs w:val="24"/>
              </w:rPr>
              <w:t>Social Events</w:t>
            </w:r>
          </w:p>
        </w:tc>
        <w:tc>
          <w:tcPr>
            <w:tcW w:w="3056" w:type="dxa"/>
            <w:tcBorders>
              <w:top w:val="single" w:sz="4" w:space="0" w:color="auto"/>
              <w:left w:val="single" w:sz="4" w:space="0" w:color="auto"/>
              <w:bottom w:val="single" w:sz="4" w:space="0" w:color="auto"/>
              <w:right w:val="single" w:sz="4" w:space="0" w:color="auto"/>
            </w:tcBorders>
            <w:vAlign w:val="center"/>
            <w:hideMark/>
          </w:tcPr>
          <w:p w14:paraId="6A3DC672" w14:textId="77777777" w:rsidR="00402E5F" w:rsidRPr="00A62CAB" w:rsidRDefault="00402E5F">
            <w:pPr>
              <w:rPr>
                <w:szCs w:val="24"/>
              </w:rPr>
            </w:pPr>
            <w:r w:rsidRPr="00A62CAB">
              <w:rPr>
                <w:szCs w:val="24"/>
              </w:rPr>
              <w:t xml:space="preserve">Question about the purpose of “social events held” and whether it would be better to change to social/recreation events held” to allow cost sharing with Title III. </w:t>
            </w:r>
          </w:p>
        </w:tc>
        <w:tc>
          <w:tcPr>
            <w:tcW w:w="4331" w:type="dxa"/>
            <w:tcBorders>
              <w:top w:val="single" w:sz="4" w:space="0" w:color="auto"/>
              <w:left w:val="single" w:sz="4" w:space="0" w:color="auto"/>
              <w:bottom w:val="single" w:sz="4" w:space="0" w:color="auto"/>
              <w:right w:val="single" w:sz="4" w:space="0" w:color="auto"/>
            </w:tcBorders>
            <w:vAlign w:val="center"/>
            <w:hideMark/>
          </w:tcPr>
          <w:p w14:paraId="5EF2F24E" w14:textId="77777777" w:rsidR="00402E5F" w:rsidRPr="00A62CAB" w:rsidRDefault="00402E5F">
            <w:pPr>
              <w:rPr>
                <w:szCs w:val="24"/>
              </w:rPr>
            </w:pPr>
            <w:r w:rsidRPr="00A62CAB">
              <w:rPr>
                <w:szCs w:val="24"/>
              </w:rPr>
              <w:t xml:space="preserve">Title III does not ask for this information. A social event, as it is being defined in Title VI, can be recorded as “Other” in SPR.  </w:t>
            </w:r>
          </w:p>
        </w:tc>
      </w:tr>
      <w:tr w:rsidR="00402E5F" w:rsidRPr="00A62CAB" w14:paraId="7A1BF6E3" w14:textId="77777777" w:rsidTr="00402E5F">
        <w:trPr>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14:paraId="13A67D30" w14:textId="77777777" w:rsidR="00402E5F" w:rsidRPr="00A62CAB" w:rsidRDefault="00402E5F">
            <w:pPr>
              <w:rPr>
                <w:szCs w:val="24"/>
              </w:rPr>
            </w:pPr>
            <w:r w:rsidRPr="00A62CAB">
              <w:rPr>
                <w:szCs w:val="24"/>
              </w:rPr>
              <w:t>Finance Section for Part A/B</w:t>
            </w:r>
          </w:p>
        </w:tc>
        <w:tc>
          <w:tcPr>
            <w:tcW w:w="3056" w:type="dxa"/>
            <w:tcBorders>
              <w:top w:val="single" w:sz="4" w:space="0" w:color="auto"/>
              <w:left w:val="single" w:sz="4" w:space="0" w:color="auto"/>
              <w:bottom w:val="single" w:sz="4" w:space="0" w:color="auto"/>
              <w:right w:val="single" w:sz="4" w:space="0" w:color="auto"/>
            </w:tcBorders>
            <w:vAlign w:val="center"/>
            <w:hideMark/>
          </w:tcPr>
          <w:p w14:paraId="751D5ED8" w14:textId="77777777" w:rsidR="00402E5F" w:rsidRPr="00A62CAB" w:rsidRDefault="00402E5F">
            <w:pPr>
              <w:rPr>
                <w:szCs w:val="24"/>
              </w:rPr>
            </w:pPr>
            <w:r w:rsidRPr="00A62CAB">
              <w:rPr>
                <w:szCs w:val="24"/>
              </w:rPr>
              <w:t xml:space="preserve">The comments on the newly added finance section for Part A/B were varied and ran from asking that the question be removed and others asking for more options to share data.  </w:t>
            </w:r>
          </w:p>
        </w:tc>
        <w:tc>
          <w:tcPr>
            <w:tcW w:w="4331" w:type="dxa"/>
            <w:tcBorders>
              <w:top w:val="single" w:sz="4" w:space="0" w:color="auto"/>
              <w:left w:val="single" w:sz="4" w:space="0" w:color="auto"/>
              <w:bottom w:val="single" w:sz="4" w:space="0" w:color="auto"/>
              <w:right w:val="single" w:sz="4" w:space="0" w:color="auto"/>
            </w:tcBorders>
            <w:vAlign w:val="center"/>
            <w:hideMark/>
          </w:tcPr>
          <w:p w14:paraId="02CC7E75" w14:textId="77777777" w:rsidR="00402E5F" w:rsidRPr="00A62CAB" w:rsidRDefault="00402E5F">
            <w:pPr>
              <w:rPr>
                <w:szCs w:val="24"/>
              </w:rPr>
            </w:pPr>
            <w:r w:rsidRPr="00A62CAB">
              <w:rPr>
                <w:szCs w:val="24"/>
              </w:rPr>
              <w:t xml:space="preserve">ACL is sensitive to the burden that may be caused by asking for new kinds of information from our grantees, we find that requiring this information will allow us to better advocate for our programs and their financial needs. Based on the comments ACL has added an optional text box for grantees to explain more about their financial situations, and has also added additional options under the section asking for types of funding used. </w:t>
            </w:r>
          </w:p>
        </w:tc>
      </w:tr>
      <w:tr w:rsidR="00402E5F" w:rsidRPr="00A62CAB" w14:paraId="3298CD54" w14:textId="77777777" w:rsidTr="00402E5F">
        <w:trPr>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14:paraId="1DDB5F00" w14:textId="77777777" w:rsidR="00402E5F" w:rsidRPr="00A62CAB" w:rsidRDefault="00402E5F">
            <w:pPr>
              <w:rPr>
                <w:szCs w:val="24"/>
              </w:rPr>
            </w:pPr>
            <w:r w:rsidRPr="00A62CAB">
              <w:rPr>
                <w:szCs w:val="24"/>
              </w:rPr>
              <w:t>Caregiver (language)</w:t>
            </w:r>
          </w:p>
        </w:tc>
        <w:tc>
          <w:tcPr>
            <w:tcW w:w="3056" w:type="dxa"/>
            <w:tcBorders>
              <w:top w:val="single" w:sz="4" w:space="0" w:color="auto"/>
              <w:left w:val="single" w:sz="4" w:space="0" w:color="auto"/>
              <w:bottom w:val="single" w:sz="4" w:space="0" w:color="auto"/>
              <w:right w:val="single" w:sz="4" w:space="0" w:color="auto"/>
            </w:tcBorders>
            <w:vAlign w:val="center"/>
            <w:hideMark/>
          </w:tcPr>
          <w:p w14:paraId="03D84936" w14:textId="77777777" w:rsidR="00402E5F" w:rsidRPr="00A62CAB" w:rsidRDefault="00402E5F">
            <w:pPr>
              <w:rPr>
                <w:szCs w:val="24"/>
              </w:rPr>
            </w:pPr>
            <w:r w:rsidRPr="00A62CAB">
              <w:rPr>
                <w:szCs w:val="24"/>
              </w:rPr>
              <w:t xml:space="preserve">Suggestions to change some of the language in the caregiver section to make it clearer. </w:t>
            </w:r>
          </w:p>
        </w:tc>
        <w:tc>
          <w:tcPr>
            <w:tcW w:w="4331" w:type="dxa"/>
            <w:tcBorders>
              <w:top w:val="single" w:sz="4" w:space="0" w:color="auto"/>
              <w:left w:val="single" w:sz="4" w:space="0" w:color="auto"/>
              <w:bottom w:val="single" w:sz="4" w:space="0" w:color="auto"/>
              <w:right w:val="single" w:sz="4" w:space="0" w:color="auto"/>
            </w:tcBorders>
            <w:vAlign w:val="center"/>
            <w:hideMark/>
          </w:tcPr>
          <w:p w14:paraId="1B7D57AA" w14:textId="77777777" w:rsidR="00402E5F" w:rsidRPr="00A62CAB" w:rsidRDefault="00402E5F">
            <w:pPr>
              <w:rPr>
                <w:szCs w:val="24"/>
              </w:rPr>
            </w:pPr>
            <w:r w:rsidRPr="00A62CAB">
              <w:rPr>
                <w:szCs w:val="24"/>
              </w:rPr>
              <w:t xml:space="preserve">ACL has updated the language in this section to be less wordy and using the term “caregiver” rather than “persons” to make it clearer that the intended recipients of services are caregivers and not those they care for. </w:t>
            </w:r>
          </w:p>
        </w:tc>
      </w:tr>
      <w:tr w:rsidR="00402E5F" w:rsidRPr="00A62CAB" w14:paraId="6FD920C5" w14:textId="77777777" w:rsidTr="00402E5F">
        <w:trPr>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14:paraId="2B09EEAD" w14:textId="77777777" w:rsidR="00402E5F" w:rsidRPr="00A62CAB" w:rsidRDefault="00402E5F">
            <w:pPr>
              <w:rPr>
                <w:szCs w:val="24"/>
              </w:rPr>
            </w:pPr>
            <w:r w:rsidRPr="00A62CAB">
              <w:rPr>
                <w:szCs w:val="24"/>
              </w:rPr>
              <w:t>Caregiver (Information and Assistance)</w:t>
            </w:r>
          </w:p>
        </w:tc>
        <w:tc>
          <w:tcPr>
            <w:tcW w:w="3056" w:type="dxa"/>
            <w:tcBorders>
              <w:top w:val="single" w:sz="4" w:space="0" w:color="auto"/>
              <w:left w:val="single" w:sz="4" w:space="0" w:color="auto"/>
              <w:bottom w:val="single" w:sz="4" w:space="0" w:color="auto"/>
              <w:right w:val="single" w:sz="4" w:space="0" w:color="auto"/>
            </w:tcBorders>
            <w:vAlign w:val="center"/>
            <w:hideMark/>
          </w:tcPr>
          <w:p w14:paraId="3716308D" w14:textId="77777777" w:rsidR="00402E5F" w:rsidRPr="00A62CAB" w:rsidRDefault="00402E5F">
            <w:pPr>
              <w:rPr>
                <w:szCs w:val="24"/>
              </w:rPr>
            </w:pPr>
            <w:r w:rsidRPr="00A62CAB">
              <w:rPr>
                <w:szCs w:val="24"/>
              </w:rPr>
              <w:t xml:space="preserve">There were a couple of suggestions that Information and Assistance should be separated from one another. </w:t>
            </w:r>
          </w:p>
        </w:tc>
        <w:tc>
          <w:tcPr>
            <w:tcW w:w="4331" w:type="dxa"/>
            <w:tcBorders>
              <w:top w:val="single" w:sz="4" w:space="0" w:color="auto"/>
              <w:left w:val="single" w:sz="4" w:space="0" w:color="auto"/>
              <w:bottom w:val="single" w:sz="4" w:space="0" w:color="auto"/>
              <w:right w:val="single" w:sz="4" w:space="0" w:color="auto"/>
            </w:tcBorders>
            <w:vAlign w:val="center"/>
            <w:hideMark/>
          </w:tcPr>
          <w:p w14:paraId="6951528F" w14:textId="77777777" w:rsidR="00402E5F" w:rsidRPr="00A62CAB" w:rsidRDefault="00402E5F">
            <w:pPr>
              <w:rPr>
                <w:szCs w:val="24"/>
              </w:rPr>
            </w:pPr>
            <w:r w:rsidRPr="00A62CAB">
              <w:rPr>
                <w:szCs w:val="24"/>
              </w:rPr>
              <w:t xml:space="preserve">ACL has chosen to maintain consistency in this area with Title III’s SPR and will ensure that training and technical materials make it clear how we are defining Information and Assistance and how to best collect it. </w:t>
            </w:r>
          </w:p>
        </w:tc>
      </w:tr>
      <w:tr w:rsidR="00402E5F" w:rsidRPr="00A62CAB" w14:paraId="5F2C1010" w14:textId="77777777" w:rsidTr="00402E5F">
        <w:trPr>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14:paraId="77CB2A30" w14:textId="77777777" w:rsidR="00402E5F" w:rsidRPr="00A62CAB" w:rsidRDefault="00402E5F">
            <w:pPr>
              <w:rPr>
                <w:szCs w:val="24"/>
              </w:rPr>
            </w:pPr>
            <w:r w:rsidRPr="00A62CAB">
              <w:rPr>
                <w:szCs w:val="24"/>
              </w:rPr>
              <w:t>Finance Section for Part C</w:t>
            </w:r>
          </w:p>
        </w:tc>
        <w:tc>
          <w:tcPr>
            <w:tcW w:w="3056" w:type="dxa"/>
            <w:tcBorders>
              <w:top w:val="single" w:sz="4" w:space="0" w:color="auto"/>
              <w:left w:val="single" w:sz="4" w:space="0" w:color="auto"/>
              <w:bottom w:val="single" w:sz="4" w:space="0" w:color="auto"/>
              <w:right w:val="single" w:sz="4" w:space="0" w:color="auto"/>
            </w:tcBorders>
            <w:vAlign w:val="center"/>
            <w:hideMark/>
          </w:tcPr>
          <w:p w14:paraId="481E60C2" w14:textId="77777777" w:rsidR="00402E5F" w:rsidRPr="00A62CAB" w:rsidRDefault="00402E5F">
            <w:pPr>
              <w:rPr>
                <w:szCs w:val="24"/>
              </w:rPr>
            </w:pPr>
            <w:r w:rsidRPr="00A62CAB">
              <w:rPr>
                <w:szCs w:val="24"/>
              </w:rPr>
              <w:t>Suggestion to not add the finance section and asking for the cost of respite care to be pulled out.</w:t>
            </w:r>
          </w:p>
        </w:tc>
        <w:tc>
          <w:tcPr>
            <w:tcW w:w="4331" w:type="dxa"/>
            <w:tcBorders>
              <w:top w:val="single" w:sz="4" w:space="0" w:color="auto"/>
              <w:left w:val="single" w:sz="4" w:space="0" w:color="auto"/>
              <w:bottom w:val="single" w:sz="4" w:space="0" w:color="auto"/>
              <w:right w:val="single" w:sz="4" w:space="0" w:color="auto"/>
            </w:tcBorders>
            <w:vAlign w:val="center"/>
            <w:hideMark/>
          </w:tcPr>
          <w:p w14:paraId="5072CCEA" w14:textId="77777777" w:rsidR="00402E5F" w:rsidRPr="00A62CAB" w:rsidRDefault="00402E5F">
            <w:pPr>
              <w:rPr>
                <w:szCs w:val="24"/>
              </w:rPr>
            </w:pPr>
            <w:r w:rsidRPr="00A62CAB">
              <w:rPr>
                <w:szCs w:val="24"/>
              </w:rPr>
              <w:t xml:space="preserve">ACL is sensitive to the burden that may be caused by asking for new kinds of information from our grantees, we find that requiring this information will allow us to better advocate for our programs and their financial needs. ACL chose respite care from the five required services based on the thinking that the cost of this service would be easier to track. </w:t>
            </w:r>
          </w:p>
        </w:tc>
      </w:tr>
    </w:tbl>
    <w:p w14:paraId="78FC1DB7" w14:textId="0F5CF2B2" w:rsidR="002E3EAA" w:rsidRPr="00A62CAB" w:rsidRDefault="002E3EAA" w:rsidP="00E513D2">
      <w:pPr>
        <w:ind w:left="1447"/>
        <w:rPr>
          <w:szCs w:val="24"/>
        </w:rPr>
      </w:pPr>
    </w:p>
    <w:p w14:paraId="3801115D" w14:textId="77777777" w:rsidR="009A2EA2" w:rsidRPr="00A62CAB" w:rsidRDefault="009A2EA2" w:rsidP="009A2EA2">
      <w:pPr>
        <w:rPr>
          <w:szCs w:val="24"/>
        </w:rPr>
      </w:pPr>
    </w:p>
    <w:p w14:paraId="04AE1013" w14:textId="2623CB92" w:rsidR="00315D79" w:rsidRPr="00A62CAB" w:rsidRDefault="009A2EA2" w:rsidP="009A2EA2">
      <w:pPr>
        <w:rPr>
          <w:b/>
          <w:szCs w:val="24"/>
        </w:rPr>
      </w:pPr>
      <w:r w:rsidRPr="00A62CAB">
        <w:rPr>
          <w:b/>
          <w:szCs w:val="24"/>
        </w:rPr>
        <w:t xml:space="preserve">9.  </w:t>
      </w:r>
      <w:r w:rsidRPr="00A62CAB">
        <w:rPr>
          <w:b/>
          <w:szCs w:val="24"/>
          <w:u w:val="single"/>
        </w:rPr>
        <w:t>Explanation of any Payment/Gift to Respondents</w:t>
      </w:r>
      <w:r w:rsidR="00315D79" w:rsidRPr="00A62CAB">
        <w:rPr>
          <w:b/>
          <w:szCs w:val="24"/>
        </w:rPr>
        <w:t xml:space="preserve"> </w:t>
      </w:r>
    </w:p>
    <w:p w14:paraId="1C03EFBC" w14:textId="60BB3EA4" w:rsidR="009A2EA2" w:rsidRPr="00A62CAB" w:rsidRDefault="00315D79" w:rsidP="009A2EA2">
      <w:pPr>
        <w:rPr>
          <w:szCs w:val="24"/>
        </w:rPr>
      </w:pPr>
      <w:r w:rsidRPr="00A62CAB">
        <w:rPr>
          <w:szCs w:val="24"/>
        </w:rPr>
        <w:t>Not applicable</w:t>
      </w:r>
      <w:r w:rsidR="00991FBE" w:rsidRPr="00A62CAB">
        <w:rPr>
          <w:szCs w:val="24"/>
        </w:rPr>
        <w:t>.</w:t>
      </w:r>
    </w:p>
    <w:p w14:paraId="5E10B5B1" w14:textId="77777777" w:rsidR="009A2EA2" w:rsidRPr="00A62CAB" w:rsidRDefault="009A2EA2" w:rsidP="009A2EA2">
      <w:pPr>
        <w:rPr>
          <w:szCs w:val="24"/>
        </w:rPr>
      </w:pPr>
    </w:p>
    <w:p w14:paraId="5B561D75" w14:textId="77777777" w:rsidR="004431AD" w:rsidRDefault="004431AD" w:rsidP="009A2EA2">
      <w:pPr>
        <w:rPr>
          <w:b/>
          <w:szCs w:val="24"/>
        </w:rPr>
      </w:pPr>
    </w:p>
    <w:p w14:paraId="4217428F" w14:textId="74221A41" w:rsidR="009A2EA2" w:rsidRPr="00A62CAB" w:rsidRDefault="009A2EA2" w:rsidP="009A2EA2">
      <w:pPr>
        <w:rPr>
          <w:szCs w:val="24"/>
        </w:rPr>
      </w:pPr>
      <w:r w:rsidRPr="00A62CAB">
        <w:rPr>
          <w:b/>
          <w:szCs w:val="24"/>
        </w:rPr>
        <w:t>10</w:t>
      </w:r>
      <w:r w:rsidRPr="00A62CAB">
        <w:rPr>
          <w:szCs w:val="24"/>
        </w:rPr>
        <w:t xml:space="preserve">. </w:t>
      </w:r>
      <w:r w:rsidRPr="00A62CAB">
        <w:rPr>
          <w:b/>
          <w:szCs w:val="24"/>
          <w:u w:val="single"/>
        </w:rPr>
        <w:t xml:space="preserve">Assurance of Confidentiality Provided to Respondents </w:t>
      </w:r>
    </w:p>
    <w:p w14:paraId="11613A13" w14:textId="77777777" w:rsidR="009A2EA2" w:rsidRPr="00A62CAB" w:rsidRDefault="009A2EA2" w:rsidP="009A2EA2">
      <w:pPr>
        <w:rPr>
          <w:szCs w:val="24"/>
        </w:rPr>
      </w:pPr>
    </w:p>
    <w:p w14:paraId="2E569459" w14:textId="77777777" w:rsidR="0088259E" w:rsidRDefault="00255230" w:rsidP="00315D79">
      <w:pPr>
        <w:rPr>
          <w:szCs w:val="24"/>
        </w:rPr>
      </w:pPr>
      <w:r w:rsidRPr="00A62CAB">
        <w:rPr>
          <w:szCs w:val="24"/>
        </w:rPr>
        <w:t xml:space="preserve">ACL has conducted a Privacy Impact Assessment (PIA) which shows that individuals are not identified in the </w:t>
      </w:r>
      <w:r w:rsidR="00571F5B" w:rsidRPr="00A62CAB">
        <w:rPr>
          <w:szCs w:val="24"/>
        </w:rPr>
        <w:t>P</w:t>
      </w:r>
      <w:r w:rsidRPr="00A62CAB">
        <w:rPr>
          <w:szCs w:val="24"/>
        </w:rPr>
        <w:t xml:space="preserve">PR (Program </w:t>
      </w:r>
      <w:r w:rsidR="00571F5B" w:rsidRPr="00A62CAB">
        <w:rPr>
          <w:szCs w:val="24"/>
        </w:rPr>
        <w:t xml:space="preserve">Performance </w:t>
      </w:r>
      <w:r w:rsidRPr="00A62CAB">
        <w:rPr>
          <w:szCs w:val="24"/>
        </w:rPr>
        <w:t xml:space="preserve">Report) data collection. </w:t>
      </w:r>
    </w:p>
    <w:p w14:paraId="7224BBBC" w14:textId="3937D797" w:rsidR="00690EAE" w:rsidRPr="00A62CAB" w:rsidRDefault="00255230" w:rsidP="00315D79">
      <w:pPr>
        <w:rPr>
          <w:szCs w:val="24"/>
        </w:rPr>
      </w:pPr>
      <w:r w:rsidRPr="00A62CAB">
        <w:rPr>
          <w:szCs w:val="24"/>
        </w:rPr>
        <w:t xml:space="preserve">Individual level/person level data is not collected; therefore PII (Personally Identifiable Information) is not applicable. </w:t>
      </w:r>
      <w:r w:rsidR="00571F5B" w:rsidRPr="00A62CAB">
        <w:rPr>
          <w:szCs w:val="24"/>
        </w:rPr>
        <w:t>P</w:t>
      </w:r>
      <w:r w:rsidRPr="00A62CAB">
        <w:rPr>
          <w:szCs w:val="24"/>
        </w:rPr>
        <w:t>PR reporting contains only aggregate level data</w:t>
      </w:r>
      <w:r w:rsidR="000318B3" w:rsidRPr="00A62CAB">
        <w:rPr>
          <w:szCs w:val="24"/>
        </w:rPr>
        <w:t xml:space="preserve">; therefore there are no assurances of confidentiality. </w:t>
      </w:r>
    </w:p>
    <w:p w14:paraId="06430FAA" w14:textId="77777777" w:rsidR="004D05B4" w:rsidRPr="00A62CAB" w:rsidRDefault="004D05B4" w:rsidP="00690EAE">
      <w:pPr>
        <w:rPr>
          <w:szCs w:val="24"/>
        </w:rPr>
      </w:pPr>
    </w:p>
    <w:p w14:paraId="40E02985" w14:textId="77777777" w:rsidR="00690EAE" w:rsidRPr="00A62CAB" w:rsidRDefault="00690EAE" w:rsidP="00690EAE">
      <w:pPr>
        <w:rPr>
          <w:szCs w:val="24"/>
        </w:rPr>
      </w:pPr>
      <w:r w:rsidRPr="00A62CAB">
        <w:rPr>
          <w:b/>
          <w:szCs w:val="24"/>
        </w:rPr>
        <w:t xml:space="preserve">11. </w:t>
      </w:r>
      <w:r w:rsidRPr="00A62CAB">
        <w:rPr>
          <w:b/>
          <w:szCs w:val="24"/>
          <w:u w:val="single"/>
        </w:rPr>
        <w:t>Justification for Sensitive Questions</w:t>
      </w:r>
      <w:r w:rsidRPr="00A62CAB">
        <w:rPr>
          <w:szCs w:val="24"/>
          <w:u w:val="single"/>
        </w:rPr>
        <w:t xml:space="preserve"> </w:t>
      </w:r>
    </w:p>
    <w:p w14:paraId="72A5AEF3" w14:textId="77777777" w:rsidR="00690EAE" w:rsidRPr="00A62CAB" w:rsidRDefault="00690EAE" w:rsidP="00690EAE">
      <w:pPr>
        <w:rPr>
          <w:szCs w:val="24"/>
        </w:rPr>
      </w:pPr>
    </w:p>
    <w:p w14:paraId="5935A619" w14:textId="77777777" w:rsidR="00690EAE" w:rsidRPr="00A62CAB" w:rsidRDefault="00690EAE" w:rsidP="00315D79">
      <w:pPr>
        <w:rPr>
          <w:szCs w:val="24"/>
        </w:rPr>
      </w:pPr>
      <w:r w:rsidRPr="00A62CAB">
        <w:rPr>
          <w:szCs w:val="24"/>
        </w:rPr>
        <w:t>No information of a sensitive nature is being asked or collected.</w:t>
      </w:r>
    </w:p>
    <w:p w14:paraId="7A31F6CD" w14:textId="77777777" w:rsidR="009D584E" w:rsidRPr="00A62CAB" w:rsidRDefault="00690EAE" w:rsidP="00690EAE">
      <w:pPr>
        <w:rPr>
          <w:szCs w:val="24"/>
        </w:rPr>
      </w:pPr>
      <w:r w:rsidRPr="00A62CAB">
        <w:rPr>
          <w:szCs w:val="24"/>
        </w:rPr>
        <w:tab/>
      </w:r>
    </w:p>
    <w:p w14:paraId="69D621FD" w14:textId="77777777" w:rsidR="009B4D21" w:rsidRPr="00A62CAB" w:rsidRDefault="00690EAE" w:rsidP="00E22591">
      <w:pPr>
        <w:ind w:left="720" w:hanging="720"/>
        <w:rPr>
          <w:b/>
          <w:szCs w:val="24"/>
        </w:rPr>
      </w:pPr>
      <w:r w:rsidRPr="00A62CAB">
        <w:rPr>
          <w:b/>
          <w:szCs w:val="24"/>
        </w:rPr>
        <w:t xml:space="preserve">12. </w:t>
      </w:r>
      <w:r w:rsidRPr="00A62CAB">
        <w:rPr>
          <w:b/>
          <w:szCs w:val="24"/>
          <w:u w:val="single"/>
        </w:rPr>
        <w:t xml:space="preserve">Estimates of Annualized Burden Hours </w:t>
      </w:r>
      <w:r w:rsidRPr="00A62CAB">
        <w:rPr>
          <w:b/>
          <w:szCs w:val="24"/>
        </w:rPr>
        <w:t>(Total Hours &amp; Wages)</w:t>
      </w:r>
    </w:p>
    <w:p w14:paraId="56E2C924" w14:textId="77777777" w:rsidR="00690EAE" w:rsidRPr="00A62CAB" w:rsidRDefault="00690EAE" w:rsidP="00690EAE">
      <w:pPr>
        <w:rPr>
          <w:b/>
          <w:szCs w:val="24"/>
        </w:rPr>
      </w:pPr>
    </w:p>
    <w:p w14:paraId="554B48F0" w14:textId="4DF8EE57" w:rsidR="00690EAE" w:rsidRPr="00A62CAB" w:rsidRDefault="00315D79" w:rsidP="00315D79">
      <w:pPr>
        <w:rPr>
          <w:szCs w:val="24"/>
        </w:rPr>
      </w:pPr>
      <w:r w:rsidRPr="00A62CAB">
        <w:rPr>
          <w:szCs w:val="24"/>
        </w:rPr>
        <w:t>T</w:t>
      </w:r>
      <w:r w:rsidR="00690EAE" w:rsidRPr="00A62CAB">
        <w:rPr>
          <w:szCs w:val="24"/>
        </w:rPr>
        <w:t xml:space="preserve">he information below shows the estimated annualized burden hours and costs for </w:t>
      </w:r>
      <w:r w:rsidR="00D366F1">
        <w:rPr>
          <w:szCs w:val="24"/>
        </w:rPr>
        <w:t>grantee</w:t>
      </w:r>
      <w:r w:rsidR="00BA7529" w:rsidRPr="00A62CAB">
        <w:rPr>
          <w:szCs w:val="24"/>
        </w:rPr>
        <w:t>s</w:t>
      </w:r>
      <w:r w:rsidR="00690EAE" w:rsidRPr="00A62CAB">
        <w:rPr>
          <w:szCs w:val="24"/>
        </w:rPr>
        <w:t xml:space="preserve"> to enter their data.</w:t>
      </w:r>
    </w:p>
    <w:p w14:paraId="5AF3B5E3" w14:textId="77777777" w:rsidR="00741BBD" w:rsidRDefault="00741BBD" w:rsidP="004A7D67">
      <w:pPr>
        <w:rPr>
          <w:szCs w:val="24"/>
        </w:rPr>
      </w:pPr>
    </w:p>
    <w:p w14:paraId="4212AC5A" w14:textId="757A4B8D" w:rsidR="00440C9A" w:rsidRPr="00741BBD" w:rsidRDefault="00EE033D" w:rsidP="00315D79">
      <w:pPr>
        <w:rPr>
          <w:bCs/>
          <w:szCs w:val="24"/>
        </w:rPr>
      </w:pPr>
      <w:r w:rsidRPr="00A62CAB">
        <w:rPr>
          <w:szCs w:val="24"/>
        </w:rPr>
        <w:t xml:space="preserve">Title VI funding is broken into three categories. Parts A and B are for nutritional and supportive programming, and ask for the same information. Part A is for American Indian and Alaska Native grantees, and Part B is for Native Hawaiian grantees. Part C is for caregiver programming. All Part C grantees must have Part A/B funding; but not all Part A/B grantees will have Part C programs. Therefore, there are 270 unique respondents, but only 237 will have to complete all portions of the PPR. </w:t>
      </w:r>
      <w:r w:rsidR="004D05B4" w:rsidRPr="00A62CAB">
        <w:rPr>
          <w:szCs w:val="24"/>
        </w:rPr>
        <w:t>The burden hours are based on the number of grantees (</w:t>
      </w:r>
      <w:r w:rsidR="00B754D8" w:rsidRPr="00A62CAB">
        <w:rPr>
          <w:szCs w:val="24"/>
        </w:rPr>
        <w:t>270</w:t>
      </w:r>
      <w:r w:rsidR="00F509F2" w:rsidRPr="00A62CAB">
        <w:rPr>
          <w:szCs w:val="24"/>
        </w:rPr>
        <w:t xml:space="preserve"> grantees for the current funding cycle</w:t>
      </w:r>
      <w:r w:rsidRPr="00A62CAB">
        <w:rPr>
          <w:szCs w:val="24"/>
        </w:rPr>
        <w:t xml:space="preserve"> with Part A/B and 237 grantees with Part C</w:t>
      </w:r>
      <w:r w:rsidR="004D05B4" w:rsidRPr="00A62CAB">
        <w:rPr>
          <w:szCs w:val="24"/>
        </w:rPr>
        <w:t xml:space="preserve">), at an estimated average time of </w:t>
      </w:r>
      <w:r w:rsidRPr="00A62CAB">
        <w:rPr>
          <w:szCs w:val="24"/>
        </w:rPr>
        <w:t>1.83</w:t>
      </w:r>
      <w:r w:rsidR="004D05B4" w:rsidRPr="00A62CAB">
        <w:rPr>
          <w:szCs w:val="24"/>
        </w:rPr>
        <w:t xml:space="preserve"> hours </w:t>
      </w:r>
      <w:r w:rsidRPr="00A62CAB">
        <w:rPr>
          <w:szCs w:val="24"/>
        </w:rPr>
        <w:t xml:space="preserve">for A/B and 1.66 hours for C </w:t>
      </w:r>
      <w:r w:rsidR="004D05B4" w:rsidRPr="00A62CAB">
        <w:rPr>
          <w:szCs w:val="24"/>
        </w:rPr>
        <w:t xml:space="preserve">per year submitted annually for </w:t>
      </w:r>
      <w:r w:rsidR="00240938" w:rsidRPr="00A62CAB">
        <w:rPr>
          <w:szCs w:val="24"/>
        </w:rPr>
        <w:t xml:space="preserve">a total of </w:t>
      </w:r>
      <w:r w:rsidRPr="00A62CAB">
        <w:rPr>
          <w:szCs w:val="24"/>
        </w:rPr>
        <w:t>887.5</w:t>
      </w:r>
      <w:r w:rsidR="004D05B4" w:rsidRPr="00A62CAB">
        <w:rPr>
          <w:szCs w:val="24"/>
        </w:rPr>
        <w:t xml:space="preserve"> hours.</w:t>
      </w:r>
      <w:r w:rsidR="00440C9A" w:rsidRPr="00A62CAB">
        <w:rPr>
          <w:szCs w:val="24"/>
        </w:rPr>
        <w:t xml:space="preserve"> </w:t>
      </w:r>
      <w:r w:rsidRPr="00A62CAB">
        <w:rPr>
          <w:szCs w:val="24"/>
        </w:rPr>
        <w:t xml:space="preserve"> </w:t>
      </w:r>
    </w:p>
    <w:p w14:paraId="3AAD5EA1" w14:textId="77777777" w:rsidR="00EE033D" w:rsidRPr="00A62CAB" w:rsidRDefault="00EE033D" w:rsidP="004854A7">
      <w:pPr>
        <w:ind w:left="1447"/>
        <w:rPr>
          <w:szCs w:val="24"/>
        </w:rPr>
      </w:pPr>
    </w:p>
    <w:tbl>
      <w:tblPr>
        <w:tblW w:w="93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8"/>
        <w:gridCol w:w="1710"/>
        <w:gridCol w:w="1800"/>
        <w:gridCol w:w="1440"/>
        <w:gridCol w:w="1710"/>
      </w:tblGrid>
      <w:tr w:rsidR="00EE033D" w:rsidRPr="00A62CAB" w14:paraId="76ABE934" w14:textId="77777777" w:rsidTr="004854A7">
        <w:trPr>
          <w:cantSplit/>
          <w:tblHeader/>
          <w:jc w:val="center"/>
        </w:trPr>
        <w:tc>
          <w:tcPr>
            <w:tcW w:w="2718" w:type="dxa"/>
            <w:vAlign w:val="center"/>
          </w:tcPr>
          <w:p w14:paraId="0745C29F" w14:textId="77777777" w:rsidR="00EE033D" w:rsidRPr="00A62CAB" w:rsidRDefault="00EE033D" w:rsidP="008D761F">
            <w:pPr>
              <w:keepNext/>
              <w:keepLines/>
              <w:jc w:val="center"/>
              <w:rPr>
                <w:b/>
                <w:szCs w:val="24"/>
              </w:rPr>
            </w:pPr>
            <w:r w:rsidRPr="00A62CAB">
              <w:rPr>
                <w:b/>
                <w:szCs w:val="24"/>
              </w:rPr>
              <w:t>Respondent/Data Collection Activity</w:t>
            </w:r>
          </w:p>
        </w:tc>
        <w:tc>
          <w:tcPr>
            <w:tcW w:w="1710" w:type="dxa"/>
            <w:vAlign w:val="center"/>
          </w:tcPr>
          <w:p w14:paraId="1A480B21" w14:textId="77777777" w:rsidR="00EE033D" w:rsidRPr="00A62CAB" w:rsidRDefault="00EE033D" w:rsidP="008D761F">
            <w:pPr>
              <w:keepNext/>
              <w:keepLines/>
              <w:jc w:val="center"/>
              <w:rPr>
                <w:b/>
                <w:szCs w:val="24"/>
              </w:rPr>
            </w:pPr>
            <w:r w:rsidRPr="00A62CAB">
              <w:rPr>
                <w:b/>
                <w:szCs w:val="24"/>
              </w:rPr>
              <w:t>Number of Respondents</w:t>
            </w:r>
          </w:p>
        </w:tc>
        <w:tc>
          <w:tcPr>
            <w:tcW w:w="1800" w:type="dxa"/>
            <w:vAlign w:val="center"/>
          </w:tcPr>
          <w:p w14:paraId="58DFC1C3" w14:textId="77777777" w:rsidR="00EE033D" w:rsidRPr="00A62CAB" w:rsidRDefault="00EE033D" w:rsidP="008D761F">
            <w:pPr>
              <w:keepNext/>
              <w:keepLines/>
              <w:jc w:val="center"/>
              <w:rPr>
                <w:b/>
                <w:szCs w:val="24"/>
              </w:rPr>
            </w:pPr>
            <w:r w:rsidRPr="00A62CAB">
              <w:rPr>
                <w:b/>
                <w:szCs w:val="24"/>
              </w:rPr>
              <w:t>Responses Per Respondent</w:t>
            </w:r>
          </w:p>
        </w:tc>
        <w:tc>
          <w:tcPr>
            <w:tcW w:w="1440" w:type="dxa"/>
            <w:vAlign w:val="center"/>
          </w:tcPr>
          <w:p w14:paraId="1B192857" w14:textId="77777777" w:rsidR="00EE033D" w:rsidRPr="00A62CAB" w:rsidRDefault="00EE033D" w:rsidP="008D761F">
            <w:pPr>
              <w:keepNext/>
              <w:keepLines/>
              <w:jc w:val="center"/>
              <w:rPr>
                <w:b/>
                <w:szCs w:val="24"/>
              </w:rPr>
            </w:pPr>
            <w:r w:rsidRPr="00A62CAB">
              <w:rPr>
                <w:b/>
                <w:szCs w:val="24"/>
              </w:rPr>
              <w:t>Hours Per Response</w:t>
            </w:r>
          </w:p>
        </w:tc>
        <w:tc>
          <w:tcPr>
            <w:tcW w:w="1710" w:type="dxa"/>
            <w:vAlign w:val="center"/>
          </w:tcPr>
          <w:p w14:paraId="2F2D448F" w14:textId="77777777" w:rsidR="00EE033D" w:rsidRPr="00A62CAB" w:rsidRDefault="00EE033D" w:rsidP="008D761F">
            <w:pPr>
              <w:keepNext/>
              <w:keepLines/>
              <w:jc w:val="center"/>
              <w:rPr>
                <w:b/>
                <w:szCs w:val="24"/>
              </w:rPr>
            </w:pPr>
            <w:r w:rsidRPr="00A62CAB">
              <w:rPr>
                <w:b/>
                <w:szCs w:val="24"/>
              </w:rPr>
              <w:t>Annual Burden Hours</w:t>
            </w:r>
          </w:p>
        </w:tc>
      </w:tr>
      <w:tr w:rsidR="00EE033D" w:rsidRPr="00A62CAB" w14:paraId="47FA8C02" w14:textId="77777777" w:rsidTr="004854A7">
        <w:trPr>
          <w:cantSplit/>
          <w:jc w:val="center"/>
        </w:trPr>
        <w:tc>
          <w:tcPr>
            <w:tcW w:w="2718" w:type="dxa"/>
            <w:vAlign w:val="center"/>
          </w:tcPr>
          <w:p w14:paraId="3C1E6621" w14:textId="77777777" w:rsidR="00EE033D" w:rsidRPr="00A62CAB" w:rsidRDefault="00EE033D" w:rsidP="008D761F">
            <w:pPr>
              <w:keepNext/>
              <w:keepLines/>
              <w:rPr>
                <w:szCs w:val="24"/>
              </w:rPr>
            </w:pPr>
            <w:r w:rsidRPr="00A62CAB">
              <w:rPr>
                <w:szCs w:val="24"/>
              </w:rPr>
              <w:t>PPR Part A/B</w:t>
            </w:r>
          </w:p>
          <w:p w14:paraId="7540CBBD" w14:textId="77777777" w:rsidR="00EE033D" w:rsidRPr="00A62CAB" w:rsidRDefault="00EE033D" w:rsidP="008D761F">
            <w:pPr>
              <w:keepNext/>
              <w:keepLines/>
              <w:rPr>
                <w:szCs w:val="24"/>
              </w:rPr>
            </w:pPr>
          </w:p>
        </w:tc>
        <w:tc>
          <w:tcPr>
            <w:tcW w:w="1710" w:type="dxa"/>
            <w:vAlign w:val="center"/>
          </w:tcPr>
          <w:p w14:paraId="51D50400" w14:textId="77777777" w:rsidR="00EE033D" w:rsidRPr="00A62CAB" w:rsidRDefault="00EE033D" w:rsidP="008D761F">
            <w:pPr>
              <w:keepNext/>
              <w:keepLines/>
              <w:tabs>
                <w:tab w:val="decimal" w:pos="792"/>
              </w:tabs>
              <w:jc w:val="both"/>
              <w:rPr>
                <w:szCs w:val="24"/>
              </w:rPr>
            </w:pPr>
            <w:r w:rsidRPr="00A62CAB">
              <w:rPr>
                <w:szCs w:val="24"/>
              </w:rPr>
              <w:t>270</w:t>
            </w:r>
          </w:p>
        </w:tc>
        <w:tc>
          <w:tcPr>
            <w:tcW w:w="1800" w:type="dxa"/>
            <w:vAlign w:val="center"/>
          </w:tcPr>
          <w:p w14:paraId="74075507" w14:textId="77777777" w:rsidR="00EE033D" w:rsidRPr="00A62CAB" w:rsidRDefault="00EE033D" w:rsidP="008D761F">
            <w:pPr>
              <w:keepNext/>
              <w:keepLines/>
              <w:tabs>
                <w:tab w:val="decimal" w:pos="576"/>
              </w:tabs>
              <w:jc w:val="both"/>
              <w:rPr>
                <w:szCs w:val="24"/>
              </w:rPr>
            </w:pPr>
            <w:r w:rsidRPr="00A62CAB">
              <w:rPr>
                <w:szCs w:val="24"/>
              </w:rPr>
              <w:t>1</w:t>
            </w:r>
          </w:p>
        </w:tc>
        <w:tc>
          <w:tcPr>
            <w:tcW w:w="1440" w:type="dxa"/>
            <w:vAlign w:val="center"/>
          </w:tcPr>
          <w:p w14:paraId="5855F65C" w14:textId="77777777" w:rsidR="00EE033D" w:rsidRPr="00A62CAB" w:rsidRDefault="00EE033D" w:rsidP="008D761F">
            <w:pPr>
              <w:keepNext/>
              <w:keepLines/>
              <w:tabs>
                <w:tab w:val="decimal" w:pos="504"/>
              </w:tabs>
              <w:jc w:val="both"/>
              <w:rPr>
                <w:szCs w:val="24"/>
              </w:rPr>
            </w:pPr>
            <w:r w:rsidRPr="00A62CAB">
              <w:rPr>
                <w:szCs w:val="24"/>
              </w:rPr>
              <w:t>1.83</w:t>
            </w:r>
          </w:p>
        </w:tc>
        <w:tc>
          <w:tcPr>
            <w:tcW w:w="1710" w:type="dxa"/>
            <w:vAlign w:val="center"/>
          </w:tcPr>
          <w:p w14:paraId="74D91B55" w14:textId="77777777" w:rsidR="00EE033D" w:rsidRPr="00A62CAB" w:rsidRDefault="00EE033D" w:rsidP="008D761F">
            <w:pPr>
              <w:keepNext/>
              <w:keepLines/>
              <w:tabs>
                <w:tab w:val="decimal" w:pos="720"/>
              </w:tabs>
              <w:jc w:val="both"/>
              <w:rPr>
                <w:szCs w:val="24"/>
              </w:rPr>
            </w:pPr>
            <w:r w:rsidRPr="00A62CAB">
              <w:rPr>
                <w:szCs w:val="24"/>
              </w:rPr>
              <w:t>494.1</w:t>
            </w:r>
          </w:p>
        </w:tc>
      </w:tr>
      <w:tr w:rsidR="00EE033D" w:rsidRPr="00A62CAB" w14:paraId="3293A841" w14:textId="77777777" w:rsidTr="004854A7">
        <w:trPr>
          <w:cantSplit/>
          <w:jc w:val="center"/>
        </w:trPr>
        <w:tc>
          <w:tcPr>
            <w:tcW w:w="2718" w:type="dxa"/>
            <w:vAlign w:val="center"/>
          </w:tcPr>
          <w:p w14:paraId="71D9F394" w14:textId="77777777" w:rsidR="00EE033D" w:rsidRPr="00A62CAB" w:rsidRDefault="00EE033D" w:rsidP="008D761F">
            <w:pPr>
              <w:keepNext/>
              <w:keepLines/>
              <w:rPr>
                <w:szCs w:val="24"/>
              </w:rPr>
            </w:pPr>
            <w:r w:rsidRPr="00A62CAB">
              <w:rPr>
                <w:szCs w:val="24"/>
              </w:rPr>
              <w:t>PPR Part C</w:t>
            </w:r>
          </w:p>
          <w:p w14:paraId="51626036" w14:textId="77777777" w:rsidR="00EE033D" w:rsidRPr="00A62CAB" w:rsidRDefault="00EE033D" w:rsidP="008D761F">
            <w:pPr>
              <w:keepNext/>
              <w:keepLines/>
              <w:rPr>
                <w:szCs w:val="24"/>
              </w:rPr>
            </w:pPr>
          </w:p>
        </w:tc>
        <w:tc>
          <w:tcPr>
            <w:tcW w:w="1710" w:type="dxa"/>
            <w:vAlign w:val="center"/>
          </w:tcPr>
          <w:p w14:paraId="4611E3BD" w14:textId="77777777" w:rsidR="00EE033D" w:rsidRPr="00A62CAB" w:rsidRDefault="00EE033D" w:rsidP="008D761F">
            <w:pPr>
              <w:keepNext/>
              <w:keepLines/>
              <w:tabs>
                <w:tab w:val="decimal" w:pos="792"/>
              </w:tabs>
              <w:jc w:val="both"/>
              <w:rPr>
                <w:szCs w:val="24"/>
              </w:rPr>
            </w:pPr>
            <w:r w:rsidRPr="00A62CAB">
              <w:rPr>
                <w:szCs w:val="24"/>
              </w:rPr>
              <w:t>237</w:t>
            </w:r>
          </w:p>
        </w:tc>
        <w:tc>
          <w:tcPr>
            <w:tcW w:w="1800" w:type="dxa"/>
            <w:vAlign w:val="center"/>
          </w:tcPr>
          <w:p w14:paraId="375AA79F" w14:textId="77777777" w:rsidR="00EE033D" w:rsidRPr="00A62CAB" w:rsidRDefault="00EE033D" w:rsidP="008D761F">
            <w:pPr>
              <w:keepNext/>
              <w:keepLines/>
              <w:tabs>
                <w:tab w:val="decimal" w:pos="576"/>
              </w:tabs>
              <w:jc w:val="both"/>
              <w:rPr>
                <w:szCs w:val="24"/>
              </w:rPr>
            </w:pPr>
            <w:r w:rsidRPr="00A62CAB">
              <w:rPr>
                <w:szCs w:val="24"/>
              </w:rPr>
              <w:t>1</w:t>
            </w:r>
          </w:p>
        </w:tc>
        <w:tc>
          <w:tcPr>
            <w:tcW w:w="1440" w:type="dxa"/>
            <w:vAlign w:val="center"/>
          </w:tcPr>
          <w:p w14:paraId="2BDD500F" w14:textId="77777777" w:rsidR="00EE033D" w:rsidRPr="00A62CAB" w:rsidRDefault="00EE033D" w:rsidP="008D761F">
            <w:pPr>
              <w:keepNext/>
              <w:keepLines/>
              <w:tabs>
                <w:tab w:val="decimal" w:pos="504"/>
              </w:tabs>
              <w:jc w:val="both"/>
              <w:rPr>
                <w:szCs w:val="24"/>
              </w:rPr>
            </w:pPr>
            <w:r w:rsidRPr="00A62CAB">
              <w:rPr>
                <w:szCs w:val="24"/>
              </w:rPr>
              <w:t>1.66</w:t>
            </w:r>
          </w:p>
        </w:tc>
        <w:tc>
          <w:tcPr>
            <w:tcW w:w="1710" w:type="dxa"/>
            <w:vAlign w:val="center"/>
          </w:tcPr>
          <w:p w14:paraId="64552C5C" w14:textId="77777777" w:rsidR="00EE033D" w:rsidRPr="00A62CAB" w:rsidRDefault="00EE033D" w:rsidP="008D761F">
            <w:pPr>
              <w:keepNext/>
              <w:keepLines/>
              <w:tabs>
                <w:tab w:val="decimal" w:pos="720"/>
              </w:tabs>
              <w:jc w:val="both"/>
              <w:rPr>
                <w:szCs w:val="24"/>
              </w:rPr>
            </w:pPr>
            <w:r w:rsidRPr="00A62CAB">
              <w:rPr>
                <w:szCs w:val="24"/>
              </w:rPr>
              <w:t>393.4</w:t>
            </w:r>
          </w:p>
        </w:tc>
      </w:tr>
      <w:tr w:rsidR="00EE033D" w:rsidRPr="00A62CAB" w14:paraId="1A0AF9AD" w14:textId="77777777" w:rsidTr="004854A7">
        <w:trPr>
          <w:cantSplit/>
          <w:trHeight w:val="282"/>
          <w:jc w:val="center"/>
        </w:trPr>
        <w:tc>
          <w:tcPr>
            <w:tcW w:w="2718" w:type="dxa"/>
            <w:vAlign w:val="center"/>
          </w:tcPr>
          <w:p w14:paraId="65AA8F7E" w14:textId="77777777" w:rsidR="00EE033D" w:rsidRPr="00A62CAB" w:rsidRDefault="00EE033D" w:rsidP="008D761F">
            <w:pPr>
              <w:keepNext/>
              <w:keepLines/>
              <w:jc w:val="both"/>
              <w:rPr>
                <w:b/>
                <w:color w:val="000000" w:themeColor="text1"/>
                <w:szCs w:val="24"/>
              </w:rPr>
            </w:pPr>
            <w:r w:rsidRPr="00A62CAB">
              <w:rPr>
                <w:b/>
                <w:color w:val="000000" w:themeColor="text1"/>
                <w:szCs w:val="24"/>
              </w:rPr>
              <w:t xml:space="preserve">          Total:</w:t>
            </w:r>
          </w:p>
          <w:p w14:paraId="5B4FB25C" w14:textId="77777777" w:rsidR="00EE033D" w:rsidRPr="00A62CAB" w:rsidRDefault="00EE033D" w:rsidP="008D761F">
            <w:pPr>
              <w:keepNext/>
              <w:keepLines/>
              <w:jc w:val="both"/>
              <w:rPr>
                <w:b/>
                <w:color w:val="000000" w:themeColor="text1"/>
                <w:szCs w:val="24"/>
              </w:rPr>
            </w:pPr>
          </w:p>
        </w:tc>
        <w:tc>
          <w:tcPr>
            <w:tcW w:w="1710" w:type="dxa"/>
            <w:vAlign w:val="center"/>
          </w:tcPr>
          <w:p w14:paraId="1B7A483E" w14:textId="55B2F73A" w:rsidR="00EE033D" w:rsidRPr="00A62CAB" w:rsidRDefault="00B67677" w:rsidP="008D761F">
            <w:pPr>
              <w:keepNext/>
              <w:keepLines/>
              <w:tabs>
                <w:tab w:val="decimal" w:pos="792"/>
              </w:tabs>
              <w:jc w:val="both"/>
              <w:rPr>
                <w:color w:val="000000" w:themeColor="text1"/>
                <w:szCs w:val="24"/>
              </w:rPr>
            </w:pPr>
            <w:r>
              <w:rPr>
                <w:color w:val="000000" w:themeColor="text1"/>
                <w:szCs w:val="24"/>
              </w:rPr>
              <w:t>507</w:t>
            </w:r>
          </w:p>
        </w:tc>
        <w:tc>
          <w:tcPr>
            <w:tcW w:w="1800" w:type="dxa"/>
            <w:vAlign w:val="center"/>
          </w:tcPr>
          <w:p w14:paraId="3D323DAD" w14:textId="77777777" w:rsidR="00EE033D" w:rsidRPr="00A62CAB" w:rsidRDefault="00EE033D" w:rsidP="008D761F">
            <w:pPr>
              <w:keepNext/>
              <w:keepLines/>
              <w:tabs>
                <w:tab w:val="decimal" w:pos="576"/>
              </w:tabs>
              <w:jc w:val="both"/>
              <w:rPr>
                <w:color w:val="000000" w:themeColor="text1"/>
                <w:szCs w:val="24"/>
              </w:rPr>
            </w:pPr>
          </w:p>
        </w:tc>
        <w:tc>
          <w:tcPr>
            <w:tcW w:w="1440" w:type="dxa"/>
            <w:vAlign w:val="center"/>
          </w:tcPr>
          <w:p w14:paraId="4B74F6CE" w14:textId="77777777" w:rsidR="00EE033D" w:rsidRPr="00A62CAB" w:rsidRDefault="00EE033D" w:rsidP="008D761F">
            <w:pPr>
              <w:keepNext/>
              <w:keepLines/>
              <w:tabs>
                <w:tab w:val="decimal" w:pos="504"/>
              </w:tabs>
              <w:jc w:val="both"/>
              <w:rPr>
                <w:color w:val="000000" w:themeColor="text1"/>
                <w:szCs w:val="24"/>
              </w:rPr>
            </w:pPr>
          </w:p>
        </w:tc>
        <w:tc>
          <w:tcPr>
            <w:tcW w:w="1710" w:type="dxa"/>
            <w:vAlign w:val="center"/>
          </w:tcPr>
          <w:p w14:paraId="612D1852" w14:textId="77777777" w:rsidR="00EE033D" w:rsidRPr="00A62CAB" w:rsidRDefault="00EE033D" w:rsidP="008D761F">
            <w:pPr>
              <w:keepNext/>
              <w:keepLines/>
              <w:tabs>
                <w:tab w:val="decimal" w:pos="720"/>
              </w:tabs>
              <w:jc w:val="both"/>
              <w:rPr>
                <w:color w:val="000000" w:themeColor="text1"/>
                <w:szCs w:val="24"/>
              </w:rPr>
            </w:pPr>
            <w:r w:rsidRPr="00A62CAB">
              <w:rPr>
                <w:color w:val="000000" w:themeColor="text1"/>
                <w:szCs w:val="24"/>
              </w:rPr>
              <w:t>887.5</w:t>
            </w:r>
          </w:p>
        </w:tc>
      </w:tr>
    </w:tbl>
    <w:p w14:paraId="5E72D7DE" w14:textId="0D64959A" w:rsidR="00EE033D" w:rsidRPr="00A62CAB" w:rsidRDefault="00EE033D" w:rsidP="00EE033D">
      <w:pPr>
        <w:ind w:left="1087"/>
        <w:rPr>
          <w:szCs w:val="24"/>
        </w:rPr>
      </w:pPr>
    </w:p>
    <w:p w14:paraId="0CA247BB" w14:textId="6A035715" w:rsidR="00417942" w:rsidRPr="00A62CAB" w:rsidRDefault="005932B8" w:rsidP="00315D79">
      <w:pPr>
        <w:rPr>
          <w:b/>
          <w:szCs w:val="24"/>
          <w:u w:val="single"/>
        </w:rPr>
      </w:pPr>
      <w:r w:rsidRPr="00A62CAB">
        <w:rPr>
          <w:b/>
          <w:szCs w:val="24"/>
          <w:u w:val="single"/>
        </w:rPr>
        <w:t>Costs to Respondents</w:t>
      </w:r>
    </w:p>
    <w:tbl>
      <w:tblPr>
        <w:tblpPr w:leftFromText="180" w:rightFromText="180"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70"/>
        <w:gridCol w:w="2070"/>
        <w:gridCol w:w="1980"/>
      </w:tblGrid>
      <w:tr w:rsidR="00315D79" w:rsidRPr="00A62CAB" w14:paraId="6E6B20A9" w14:textId="77777777" w:rsidTr="00315D79">
        <w:tc>
          <w:tcPr>
            <w:tcW w:w="1800" w:type="dxa"/>
          </w:tcPr>
          <w:p w14:paraId="70B35A97" w14:textId="77777777" w:rsidR="00315D79" w:rsidRPr="00A62CAB" w:rsidRDefault="00315D79" w:rsidP="00315D79">
            <w:pPr>
              <w:rPr>
                <w:b/>
                <w:szCs w:val="24"/>
              </w:rPr>
            </w:pPr>
            <w:r w:rsidRPr="00A62CAB">
              <w:rPr>
                <w:b/>
                <w:szCs w:val="24"/>
              </w:rPr>
              <w:t>Type of Respondent</w:t>
            </w:r>
          </w:p>
        </w:tc>
        <w:tc>
          <w:tcPr>
            <w:tcW w:w="1170" w:type="dxa"/>
          </w:tcPr>
          <w:p w14:paraId="2BA7523C" w14:textId="77777777" w:rsidR="00315D79" w:rsidRPr="00A62CAB" w:rsidRDefault="00315D79" w:rsidP="00315D79">
            <w:pPr>
              <w:rPr>
                <w:b/>
                <w:szCs w:val="24"/>
              </w:rPr>
            </w:pPr>
            <w:r w:rsidRPr="00A62CAB">
              <w:rPr>
                <w:b/>
                <w:szCs w:val="24"/>
              </w:rPr>
              <w:t>Total Burden Hours</w:t>
            </w:r>
          </w:p>
        </w:tc>
        <w:tc>
          <w:tcPr>
            <w:tcW w:w="2070" w:type="dxa"/>
          </w:tcPr>
          <w:p w14:paraId="4D0A998B" w14:textId="77777777" w:rsidR="00315D79" w:rsidRPr="00A62CAB" w:rsidRDefault="00315D79" w:rsidP="00315D79">
            <w:pPr>
              <w:rPr>
                <w:b/>
                <w:szCs w:val="24"/>
              </w:rPr>
            </w:pPr>
            <w:r w:rsidRPr="00A62CAB">
              <w:rPr>
                <w:b/>
                <w:szCs w:val="24"/>
              </w:rPr>
              <w:t>Hourly Wage Rate</w:t>
            </w:r>
          </w:p>
        </w:tc>
        <w:tc>
          <w:tcPr>
            <w:tcW w:w="1980" w:type="dxa"/>
          </w:tcPr>
          <w:p w14:paraId="2AB149DB" w14:textId="77777777" w:rsidR="00315D79" w:rsidRPr="00A62CAB" w:rsidRDefault="00315D79" w:rsidP="00315D79">
            <w:pPr>
              <w:rPr>
                <w:b/>
                <w:szCs w:val="24"/>
              </w:rPr>
            </w:pPr>
            <w:r w:rsidRPr="00A62CAB">
              <w:rPr>
                <w:b/>
                <w:szCs w:val="24"/>
              </w:rPr>
              <w:t>Total Respondent Costs</w:t>
            </w:r>
          </w:p>
        </w:tc>
      </w:tr>
      <w:tr w:rsidR="00315D79" w:rsidRPr="00A62CAB" w14:paraId="3593C915" w14:textId="77777777" w:rsidTr="00315D79">
        <w:tc>
          <w:tcPr>
            <w:tcW w:w="1800" w:type="dxa"/>
          </w:tcPr>
          <w:p w14:paraId="1ED0E5E3" w14:textId="77777777" w:rsidR="00315D79" w:rsidRPr="00A62CAB" w:rsidRDefault="00315D79" w:rsidP="00315D79">
            <w:pPr>
              <w:rPr>
                <w:szCs w:val="24"/>
              </w:rPr>
            </w:pPr>
            <w:r w:rsidRPr="00A62CAB">
              <w:rPr>
                <w:szCs w:val="24"/>
              </w:rPr>
              <w:t>American Indian, Alaskan Native, Native Hawaiian program staff</w:t>
            </w:r>
          </w:p>
        </w:tc>
        <w:tc>
          <w:tcPr>
            <w:tcW w:w="1170" w:type="dxa"/>
          </w:tcPr>
          <w:p w14:paraId="4F0FFDEB" w14:textId="77777777" w:rsidR="00315D79" w:rsidRPr="00A62CAB" w:rsidRDefault="00315D79" w:rsidP="00315D79">
            <w:pPr>
              <w:rPr>
                <w:szCs w:val="24"/>
              </w:rPr>
            </w:pPr>
            <w:r w:rsidRPr="00A62CAB">
              <w:rPr>
                <w:szCs w:val="24"/>
              </w:rPr>
              <w:t>887.5</w:t>
            </w:r>
          </w:p>
        </w:tc>
        <w:tc>
          <w:tcPr>
            <w:tcW w:w="2070" w:type="dxa"/>
          </w:tcPr>
          <w:p w14:paraId="338D1303" w14:textId="77777777" w:rsidR="00315D79" w:rsidRPr="00A62CAB" w:rsidRDefault="00315D79" w:rsidP="00315D79">
            <w:pPr>
              <w:rPr>
                <w:szCs w:val="24"/>
              </w:rPr>
            </w:pPr>
            <w:r w:rsidRPr="00A62CAB">
              <w:rPr>
                <w:szCs w:val="24"/>
              </w:rPr>
              <w:t>$61.64 per hour</w:t>
            </w:r>
            <w:r w:rsidRPr="00A62CAB">
              <w:rPr>
                <w:rStyle w:val="FootnoteReference"/>
                <w:szCs w:val="24"/>
              </w:rPr>
              <w:footnoteReference w:id="1"/>
            </w:r>
          </w:p>
        </w:tc>
        <w:tc>
          <w:tcPr>
            <w:tcW w:w="1980" w:type="dxa"/>
          </w:tcPr>
          <w:p w14:paraId="461F307B" w14:textId="77777777" w:rsidR="00315D79" w:rsidRPr="00A62CAB" w:rsidRDefault="00315D79" w:rsidP="00315D79">
            <w:pPr>
              <w:rPr>
                <w:szCs w:val="24"/>
              </w:rPr>
            </w:pPr>
            <w:r w:rsidRPr="00A62CAB">
              <w:rPr>
                <w:szCs w:val="24"/>
              </w:rPr>
              <w:t>$54,705.5</w:t>
            </w:r>
          </w:p>
        </w:tc>
      </w:tr>
    </w:tbl>
    <w:p w14:paraId="48A678B8" w14:textId="77777777" w:rsidR="00440C9A" w:rsidRPr="00A62CAB" w:rsidRDefault="00440C9A" w:rsidP="005932B8">
      <w:pPr>
        <w:ind w:firstLine="720"/>
        <w:rPr>
          <w:szCs w:val="24"/>
        </w:rPr>
      </w:pPr>
    </w:p>
    <w:p w14:paraId="2C8E3584" w14:textId="77777777" w:rsidR="00E35BF2" w:rsidRPr="00A62CAB" w:rsidRDefault="00E35BF2" w:rsidP="00690EAE">
      <w:pPr>
        <w:rPr>
          <w:b/>
          <w:szCs w:val="24"/>
        </w:rPr>
      </w:pPr>
    </w:p>
    <w:p w14:paraId="1BC81D0F" w14:textId="77777777" w:rsidR="009526E8" w:rsidRPr="00A62CAB" w:rsidRDefault="009526E8" w:rsidP="00690EAE">
      <w:pPr>
        <w:rPr>
          <w:b/>
          <w:szCs w:val="24"/>
        </w:rPr>
      </w:pPr>
    </w:p>
    <w:p w14:paraId="15698D13" w14:textId="77777777" w:rsidR="00315D79" w:rsidRPr="00A62CAB" w:rsidRDefault="00315D79" w:rsidP="00440C9A">
      <w:pPr>
        <w:ind w:left="-90"/>
        <w:rPr>
          <w:b/>
          <w:szCs w:val="24"/>
        </w:rPr>
      </w:pPr>
    </w:p>
    <w:p w14:paraId="2A058185" w14:textId="77777777" w:rsidR="00315D79" w:rsidRPr="00A62CAB" w:rsidRDefault="00315D79" w:rsidP="00440C9A">
      <w:pPr>
        <w:ind w:left="-90"/>
        <w:rPr>
          <w:b/>
          <w:szCs w:val="24"/>
        </w:rPr>
      </w:pPr>
    </w:p>
    <w:p w14:paraId="7FFE43D3" w14:textId="77777777" w:rsidR="00315D79" w:rsidRPr="00A62CAB" w:rsidRDefault="00315D79" w:rsidP="00440C9A">
      <w:pPr>
        <w:ind w:left="-90"/>
        <w:rPr>
          <w:b/>
          <w:szCs w:val="24"/>
        </w:rPr>
      </w:pPr>
    </w:p>
    <w:p w14:paraId="70F89909" w14:textId="77777777" w:rsidR="00315D79" w:rsidRPr="00A62CAB" w:rsidRDefault="00315D79" w:rsidP="00440C9A">
      <w:pPr>
        <w:ind w:left="-90"/>
        <w:rPr>
          <w:b/>
          <w:szCs w:val="24"/>
        </w:rPr>
      </w:pPr>
    </w:p>
    <w:p w14:paraId="1C9364D5" w14:textId="77777777" w:rsidR="00315D79" w:rsidRPr="00A62CAB" w:rsidRDefault="00315D79" w:rsidP="00440C9A">
      <w:pPr>
        <w:ind w:left="-90"/>
        <w:rPr>
          <w:b/>
          <w:szCs w:val="24"/>
        </w:rPr>
      </w:pPr>
    </w:p>
    <w:p w14:paraId="14437E61" w14:textId="77777777" w:rsidR="00315D79" w:rsidRPr="00A62CAB" w:rsidRDefault="00315D79" w:rsidP="00440C9A">
      <w:pPr>
        <w:ind w:left="-90"/>
        <w:rPr>
          <w:b/>
          <w:szCs w:val="24"/>
        </w:rPr>
      </w:pPr>
    </w:p>
    <w:p w14:paraId="6E240A56" w14:textId="77777777" w:rsidR="00741BBD" w:rsidRDefault="00741BBD" w:rsidP="00440C9A">
      <w:pPr>
        <w:ind w:left="-90"/>
        <w:rPr>
          <w:b/>
          <w:szCs w:val="24"/>
        </w:rPr>
      </w:pPr>
    </w:p>
    <w:p w14:paraId="07FB79C2" w14:textId="77777777" w:rsidR="008F63A1" w:rsidRDefault="008F63A1" w:rsidP="00440C9A">
      <w:pPr>
        <w:ind w:left="-90"/>
        <w:rPr>
          <w:b/>
          <w:szCs w:val="24"/>
        </w:rPr>
      </w:pPr>
    </w:p>
    <w:p w14:paraId="670F7F25" w14:textId="5D9DC0D4" w:rsidR="00A41D82" w:rsidRPr="00A62CAB" w:rsidRDefault="002503E0" w:rsidP="00440C9A">
      <w:pPr>
        <w:ind w:left="-90"/>
        <w:rPr>
          <w:b/>
          <w:szCs w:val="24"/>
          <w:u w:val="single"/>
        </w:rPr>
      </w:pPr>
      <w:r w:rsidRPr="00A62CAB">
        <w:rPr>
          <w:b/>
          <w:szCs w:val="24"/>
        </w:rPr>
        <w:t xml:space="preserve">13. </w:t>
      </w:r>
      <w:r w:rsidRPr="00A62CAB">
        <w:rPr>
          <w:b/>
          <w:szCs w:val="24"/>
          <w:u w:val="single"/>
        </w:rPr>
        <w:t>Estimates of other Total Annual Co</w:t>
      </w:r>
      <w:r w:rsidR="00A41D82" w:rsidRPr="00A62CAB">
        <w:rPr>
          <w:b/>
          <w:szCs w:val="24"/>
          <w:u w:val="single"/>
        </w:rPr>
        <w:t xml:space="preserve">st Burden to Respondents or </w:t>
      </w:r>
      <w:r w:rsidR="00A62CAB" w:rsidRPr="00A62CAB">
        <w:rPr>
          <w:b/>
          <w:szCs w:val="24"/>
          <w:u w:val="single"/>
        </w:rPr>
        <w:t>Record-keepers</w:t>
      </w:r>
      <w:r w:rsidRPr="00A62CAB">
        <w:rPr>
          <w:b/>
          <w:szCs w:val="24"/>
          <w:u w:val="single"/>
        </w:rPr>
        <w:t>/</w:t>
      </w:r>
      <w:r w:rsidR="00A41D82" w:rsidRPr="00A62CAB">
        <w:rPr>
          <w:b/>
          <w:szCs w:val="24"/>
          <w:u w:val="single"/>
        </w:rPr>
        <w:t xml:space="preserve"> </w:t>
      </w:r>
    </w:p>
    <w:p w14:paraId="588D9F35" w14:textId="77777777" w:rsidR="00CA02AA" w:rsidRPr="00A62CAB" w:rsidRDefault="002503E0" w:rsidP="00440C9A">
      <w:pPr>
        <w:rPr>
          <w:szCs w:val="24"/>
        </w:rPr>
      </w:pPr>
      <w:r w:rsidRPr="00A62CAB">
        <w:rPr>
          <w:b/>
          <w:szCs w:val="24"/>
          <w:u w:val="single"/>
        </w:rPr>
        <w:t>Capital Costs</w:t>
      </w:r>
    </w:p>
    <w:p w14:paraId="4C219C41" w14:textId="77777777" w:rsidR="002503E0" w:rsidRPr="00A62CAB" w:rsidRDefault="002503E0" w:rsidP="00690EAE">
      <w:pPr>
        <w:rPr>
          <w:szCs w:val="24"/>
        </w:rPr>
      </w:pPr>
    </w:p>
    <w:p w14:paraId="407447F3" w14:textId="0D321B6E" w:rsidR="002503E0" w:rsidRPr="00A62CAB" w:rsidRDefault="002503E0" w:rsidP="00315D79">
      <w:pPr>
        <w:rPr>
          <w:szCs w:val="24"/>
        </w:rPr>
      </w:pPr>
      <w:r w:rsidRPr="00A62CAB">
        <w:rPr>
          <w:szCs w:val="24"/>
        </w:rPr>
        <w:t xml:space="preserve">There </w:t>
      </w:r>
      <w:r w:rsidR="00315D79" w:rsidRPr="00A62CAB">
        <w:rPr>
          <w:szCs w:val="24"/>
        </w:rPr>
        <w:t>are no</w:t>
      </w:r>
      <w:r w:rsidR="004410F8" w:rsidRPr="00A62CAB">
        <w:rPr>
          <w:szCs w:val="24"/>
        </w:rPr>
        <w:t xml:space="preserve"> additional costs to the projects beyond those already identified in Item 12 above.</w:t>
      </w:r>
    </w:p>
    <w:p w14:paraId="47F9030E" w14:textId="77777777" w:rsidR="002503E0" w:rsidRPr="00A62CAB" w:rsidRDefault="002503E0" w:rsidP="002503E0">
      <w:pPr>
        <w:rPr>
          <w:szCs w:val="24"/>
        </w:rPr>
      </w:pPr>
    </w:p>
    <w:p w14:paraId="2F5745C8" w14:textId="77777777" w:rsidR="00983A59" w:rsidRPr="00A62CAB" w:rsidRDefault="002503E0" w:rsidP="002503E0">
      <w:pPr>
        <w:rPr>
          <w:b/>
          <w:szCs w:val="24"/>
          <w:u w:val="single"/>
        </w:rPr>
      </w:pPr>
      <w:r w:rsidRPr="00A62CAB">
        <w:rPr>
          <w:b/>
          <w:szCs w:val="24"/>
        </w:rPr>
        <w:t xml:space="preserve">14. </w:t>
      </w:r>
      <w:r w:rsidRPr="00A62CAB">
        <w:rPr>
          <w:b/>
          <w:szCs w:val="24"/>
          <w:u w:val="single"/>
        </w:rPr>
        <w:t>Annualized Cost to Federal Government</w:t>
      </w:r>
      <w:r w:rsidR="00983A59" w:rsidRPr="00A62CAB">
        <w:rPr>
          <w:b/>
          <w:szCs w:val="24"/>
          <w:u w:val="single"/>
        </w:rPr>
        <w:t xml:space="preserve"> </w:t>
      </w:r>
    </w:p>
    <w:p w14:paraId="421CE7D7" w14:textId="77777777" w:rsidR="00983A59" w:rsidRPr="00A62CAB" w:rsidRDefault="00983A59" w:rsidP="002503E0">
      <w:pPr>
        <w:rPr>
          <w:b/>
          <w:szCs w:val="24"/>
          <w:u w:val="single"/>
        </w:rPr>
      </w:pPr>
    </w:p>
    <w:p w14:paraId="3117AAB5" w14:textId="77777777" w:rsidR="00741BBD" w:rsidRDefault="00C73D91" w:rsidP="00A62CAB">
      <w:pPr>
        <w:pStyle w:val="ListParagraph"/>
        <w:ind w:left="0"/>
        <w:contextualSpacing/>
        <w:rPr>
          <w:szCs w:val="24"/>
        </w:rPr>
      </w:pPr>
      <w:r w:rsidRPr="00A62CAB">
        <w:rPr>
          <w:rStyle w:val="a"/>
          <w:szCs w:val="24"/>
        </w:rPr>
        <w:t>The total F</w:t>
      </w:r>
      <w:r w:rsidR="0047650E" w:rsidRPr="00A62CAB">
        <w:rPr>
          <w:rStyle w:val="a"/>
          <w:szCs w:val="24"/>
        </w:rPr>
        <w:t xml:space="preserve">ederal burden hours for two staff spent reviewing and analyzing the program data are estimated to be </w:t>
      </w:r>
      <w:r w:rsidRPr="00A62CAB">
        <w:rPr>
          <w:rStyle w:val="a"/>
          <w:szCs w:val="24"/>
        </w:rPr>
        <w:t>200</w:t>
      </w:r>
      <w:r w:rsidR="0047650E" w:rsidRPr="00A62CAB">
        <w:rPr>
          <w:rStyle w:val="a"/>
          <w:szCs w:val="24"/>
        </w:rPr>
        <w:t xml:space="preserve"> hours annually at an average salary rate of </w:t>
      </w:r>
      <w:r w:rsidRPr="00A62CAB">
        <w:rPr>
          <w:rStyle w:val="a"/>
          <w:szCs w:val="24"/>
        </w:rPr>
        <w:t xml:space="preserve">a GS-13 </w:t>
      </w:r>
      <w:r w:rsidR="0047650E" w:rsidRPr="00A62CAB">
        <w:rPr>
          <w:rStyle w:val="a"/>
          <w:szCs w:val="24"/>
        </w:rPr>
        <w:t>$</w:t>
      </w:r>
      <w:r w:rsidRPr="00A62CAB">
        <w:rPr>
          <w:rStyle w:val="a"/>
          <w:szCs w:val="24"/>
        </w:rPr>
        <w:t>46.46</w:t>
      </w:r>
      <w:r w:rsidR="0047650E" w:rsidRPr="00A62CAB">
        <w:rPr>
          <w:rStyle w:val="a"/>
          <w:szCs w:val="24"/>
        </w:rPr>
        <w:t xml:space="preserve"> per hour</w:t>
      </w:r>
      <w:r w:rsidR="0047650E" w:rsidRPr="00A62CAB">
        <w:rPr>
          <w:rStyle w:val="FootnoteReference"/>
          <w:szCs w:val="24"/>
        </w:rPr>
        <w:footnoteReference w:id="2"/>
      </w:r>
      <w:r w:rsidR="0047650E" w:rsidRPr="00A62CAB">
        <w:rPr>
          <w:rStyle w:val="a"/>
          <w:szCs w:val="24"/>
        </w:rPr>
        <w:t xml:space="preserve"> for a total of $</w:t>
      </w:r>
      <w:r w:rsidRPr="00A62CAB">
        <w:rPr>
          <w:szCs w:val="24"/>
        </w:rPr>
        <w:t>9,292</w:t>
      </w:r>
      <w:r w:rsidR="0047650E" w:rsidRPr="00A62CAB">
        <w:rPr>
          <w:rStyle w:val="a"/>
          <w:szCs w:val="24"/>
        </w:rPr>
        <w:t>.</w:t>
      </w:r>
      <w:r w:rsidR="0047650E" w:rsidRPr="00A62CAB">
        <w:rPr>
          <w:szCs w:val="24"/>
        </w:rPr>
        <w:t xml:space="preserve"> </w:t>
      </w:r>
    </w:p>
    <w:p w14:paraId="1ADE7F93" w14:textId="77777777" w:rsidR="00741BBD" w:rsidRDefault="00741BBD" w:rsidP="00A62CAB">
      <w:pPr>
        <w:pStyle w:val="ListParagraph"/>
        <w:ind w:left="0"/>
        <w:contextualSpacing/>
        <w:rPr>
          <w:szCs w:val="24"/>
        </w:rPr>
      </w:pPr>
    </w:p>
    <w:p w14:paraId="05C652CC" w14:textId="38CC90DF" w:rsidR="00A62CAB" w:rsidRPr="00A62CAB" w:rsidRDefault="00C73D91" w:rsidP="00A62CAB">
      <w:pPr>
        <w:pStyle w:val="ListParagraph"/>
        <w:ind w:left="0"/>
        <w:contextualSpacing/>
        <w:rPr>
          <w:szCs w:val="24"/>
        </w:rPr>
      </w:pPr>
      <w:r w:rsidRPr="00A62CAB">
        <w:rPr>
          <w:szCs w:val="24"/>
        </w:rPr>
        <w:t xml:space="preserve">At an average salary rate of a GS-12 $39.07 per hour for a total of $7,814. Factoring in 100% </w:t>
      </w:r>
      <w:r w:rsidR="0047650E" w:rsidRPr="00A62CAB">
        <w:rPr>
          <w:szCs w:val="24"/>
        </w:rPr>
        <w:t>to account for benefits and overhead</w:t>
      </w:r>
      <w:r w:rsidR="00A62CAB" w:rsidRPr="00A62CAB">
        <w:rPr>
          <w:szCs w:val="24"/>
        </w:rPr>
        <w:t xml:space="preserve"> and the ACL database contract of $773,000; the total estimated annualized cost to the Federal Government is $ $807,212. </w:t>
      </w:r>
    </w:p>
    <w:p w14:paraId="78E6809A" w14:textId="77777777" w:rsidR="00A62CAB" w:rsidRPr="00A62CAB" w:rsidRDefault="00A62CAB" w:rsidP="005932B8">
      <w:pPr>
        <w:ind w:left="1447"/>
        <w:rPr>
          <w:szCs w:val="24"/>
          <w:u w:val="single"/>
        </w:rPr>
      </w:pPr>
    </w:p>
    <w:p w14:paraId="0FA8FE28" w14:textId="2C0332F0" w:rsidR="005932B8" w:rsidRPr="00A62CAB" w:rsidRDefault="005932B8" w:rsidP="00A62CAB">
      <w:pPr>
        <w:ind w:left="360"/>
        <w:rPr>
          <w:szCs w:val="24"/>
          <w:u w:val="single"/>
        </w:rPr>
      </w:pPr>
      <w:r w:rsidRPr="00A62CAB">
        <w:rPr>
          <w:szCs w:val="24"/>
          <w:u w:val="single"/>
        </w:rPr>
        <w:t>Staff Hours/Costs</w:t>
      </w:r>
    </w:p>
    <w:p w14:paraId="612AF89B" w14:textId="3D1F8D8C" w:rsidR="005932B8" w:rsidRPr="00A62CAB" w:rsidRDefault="00391967" w:rsidP="00A62CAB">
      <w:pPr>
        <w:ind w:firstLine="360"/>
        <w:rPr>
          <w:szCs w:val="24"/>
        </w:rPr>
      </w:pPr>
      <w:r w:rsidRPr="00A62CAB">
        <w:rPr>
          <w:szCs w:val="24"/>
        </w:rPr>
        <w:t xml:space="preserve">Grade 13: </w:t>
      </w:r>
      <w:r w:rsidR="005932B8" w:rsidRPr="00A62CAB">
        <w:rPr>
          <w:szCs w:val="24"/>
        </w:rPr>
        <w:t xml:space="preserve">200 hrs. </w:t>
      </w:r>
      <w:r w:rsidR="00A62CAB" w:rsidRPr="00A62CAB">
        <w:rPr>
          <w:szCs w:val="24"/>
        </w:rPr>
        <w:t>X</w:t>
      </w:r>
      <w:r w:rsidR="005932B8" w:rsidRPr="00A62CAB">
        <w:rPr>
          <w:szCs w:val="24"/>
        </w:rPr>
        <w:t xml:space="preserve"> $</w:t>
      </w:r>
      <w:r w:rsidR="00C73D91" w:rsidRPr="00A62CAB">
        <w:rPr>
          <w:szCs w:val="24"/>
        </w:rPr>
        <w:t>92.92</w:t>
      </w:r>
      <w:r w:rsidR="00BE027B" w:rsidRPr="00A62CAB">
        <w:rPr>
          <w:szCs w:val="24"/>
        </w:rPr>
        <w:t xml:space="preserve"> per hour</w:t>
      </w:r>
      <w:r w:rsidR="00573055" w:rsidRPr="00A62CAB">
        <w:rPr>
          <w:szCs w:val="24"/>
        </w:rPr>
        <w:tab/>
      </w:r>
      <w:r w:rsidR="00573055" w:rsidRPr="00A62CAB">
        <w:rPr>
          <w:szCs w:val="24"/>
        </w:rPr>
        <w:tab/>
      </w:r>
      <w:r w:rsidR="005932B8" w:rsidRPr="00A62CAB">
        <w:rPr>
          <w:szCs w:val="24"/>
        </w:rPr>
        <w:t xml:space="preserve">$ </w:t>
      </w:r>
      <w:r w:rsidR="00573055" w:rsidRPr="00A62CAB">
        <w:rPr>
          <w:szCs w:val="24"/>
        </w:rPr>
        <w:t xml:space="preserve"> </w:t>
      </w:r>
      <w:r w:rsidR="005932B8" w:rsidRPr="00A62CAB">
        <w:rPr>
          <w:szCs w:val="24"/>
        </w:rPr>
        <w:t xml:space="preserve"> </w:t>
      </w:r>
      <w:r w:rsidR="00C73D91" w:rsidRPr="00A62CAB">
        <w:rPr>
          <w:szCs w:val="24"/>
        </w:rPr>
        <w:t>18,584</w:t>
      </w:r>
      <w:r w:rsidR="00C82AF3" w:rsidRPr="00A62CAB">
        <w:rPr>
          <w:szCs w:val="24"/>
        </w:rPr>
        <w:t xml:space="preserve"> </w:t>
      </w:r>
    </w:p>
    <w:p w14:paraId="4890355D" w14:textId="0BDC4264" w:rsidR="005932B8" w:rsidRPr="00A62CAB" w:rsidRDefault="00391967" w:rsidP="00A62CAB">
      <w:pPr>
        <w:ind w:firstLine="360"/>
        <w:rPr>
          <w:szCs w:val="24"/>
          <w:u w:val="single"/>
        </w:rPr>
      </w:pPr>
      <w:r w:rsidRPr="00A62CAB">
        <w:rPr>
          <w:szCs w:val="24"/>
        </w:rPr>
        <w:t xml:space="preserve">Grade 12: </w:t>
      </w:r>
      <w:r w:rsidR="005932B8" w:rsidRPr="00A62CAB">
        <w:rPr>
          <w:szCs w:val="24"/>
        </w:rPr>
        <w:t xml:space="preserve">200 hrs. </w:t>
      </w:r>
      <w:r w:rsidR="00A62CAB" w:rsidRPr="00A62CAB">
        <w:rPr>
          <w:szCs w:val="24"/>
        </w:rPr>
        <w:t>X</w:t>
      </w:r>
      <w:r w:rsidR="005932B8" w:rsidRPr="00A62CAB">
        <w:rPr>
          <w:szCs w:val="24"/>
        </w:rPr>
        <w:t xml:space="preserve"> </w:t>
      </w:r>
      <w:r w:rsidR="00314698" w:rsidRPr="00A62CAB">
        <w:rPr>
          <w:szCs w:val="24"/>
        </w:rPr>
        <w:t>$</w:t>
      </w:r>
      <w:r w:rsidR="00C73D91" w:rsidRPr="00A62CAB">
        <w:rPr>
          <w:szCs w:val="24"/>
        </w:rPr>
        <w:t>78.14</w:t>
      </w:r>
      <w:r w:rsidR="005932B8" w:rsidRPr="00A62CAB">
        <w:rPr>
          <w:szCs w:val="24"/>
        </w:rPr>
        <w:t xml:space="preserve"> per hour</w:t>
      </w:r>
      <w:r w:rsidR="00573055" w:rsidRPr="00A62CAB">
        <w:rPr>
          <w:szCs w:val="24"/>
        </w:rPr>
        <w:tab/>
      </w:r>
      <w:r w:rsidR="00573055" w:rsidRPr="00A62CAB">
        <w:rPr>
          <w:szCs w:val="24"/>
        </w:rPr>
        <w:tab/>
      </w:r>
      <w:r w:rsidR="005932B8" w:rsidRPr="00A62CAB">
        <w:rPr>
          <w:szCs w:val="24"/>
        </w:rPr>
        <w:t>$</w:t>
      </w:r>
      <w:r w:rsidR="00573055" w:rsidRPr="00A62CAB">
        <w:rPr>
          <w:szCs w:val="24"/>
        </w:rPr>
        <w:t xml:space="preserve"> </w:t>
      </w:r>
      <w:r w:rsidR="00BE027B" w:rsidRPr="00A62CAB">
        <w:rPr>
          <w:szCs w:val="24"/>
        </w:rPr>
        <w:t xml:space="preserve"> </w:t>
      </w:r>
      <w:r w:rsidR="00BE027B" w:rsidRPr="00A62CAB">
        <w:rPr>
          <w:szCs w:val="24"/>
          <w:u w:val="single"/>
        </w:rPr>
        <w:t xml:space="preserve"> </w:t>
      </w:r>
      <w:r w:rsidR="00C73D91" w:rsidRPr="00A62CAB">
        <w:rPr>
          <w:szCs w:val="24"/>
          <w:u w:val="single"/>
        </w:rPr>
        <w:t>15,628</w:t>
      </w:r>
    </w:p>
    <w:p w14:paraId="5F5C0F91" w14:textId="3D20B533" w:rsidR="00BE027B" w:rsidRPr="00A62CAB" w:rsidRDefault="00BE027B" w:rsidP="00BE027B">
      <w:pPr>
        <w:ind w:left="3607"/>
        <w:rPr>
          <w:szCs w:val="24"/>
        </w:rPr>
      </w:pPr>
      <w:r w:rsidRPr="00A62CAB">
        <w:rPr>
          <w:szCs w:val="24"/>
        </w:rPr>
        <w:t xml:space="preserve">          </w:t>
      </w:r>
      <w:r w:rsidR="00A62CAB" w:rsidRPr="00A62CAB">
        <w:rPr>
          <w:szCs w:val="24"/>
        </w:rPr>
        <w:tab/>
      </w:r>
      <w:r w:rsidR="00A62CAB" w:rsidRPr="00A62CAB">
        <w:rPr>
          <w:szCs w:val="24"/>
        </w:rPr>
        <w:tab/>
      </w:r>
      <w:r w:rsidRPr="00A62CAB">
        <w:rPr>
          <w:szCs w:val="24"/>
        </w:rPr>
        <w:t>$</w:t>
      </w:r>
      <w:r w:rsidR="00573055" w:rsidRPr="00A62CAB">
        <w:rPr>
          <w:szCs w:val="24"/>
        </w:rPr>
        <w:t xml:space="preserve"> </w:t>
      </w:r>
      <w:r w:rsidR="00A62CAB" w:rsidRPr="00A62CAB">
        <w:rPr>
          <w:szCs w:val="24"/>
        </w:rPr>
        <w:t xml:space="preserve">  </w:t>
      </w:r>
      <w:r w:rsidR="00C73D91" w:rsidRPr="00A62CAB">
        <w:rPr>
          <w:szCs w:val="24"/>
        </w:rPr>
        <w:t>34,212</w:t>
      </w:r>
    </w:p>
    <w:p w14:paraId="17C5688E" w14:textId="77777777" w:rsidR="00C82AF3" w:rsidRPr="00A62CAB" w:rsidRDefault="00C82AF3" w:rsidP="00573055">
      <w:pPr>
        <w:ind w:left="1447"/>
        <w:rPr>
          <w:szCs w:val="24"/>
        </w:rPr>
      </w:pPr>
    </w:p>
    <w:p w14:paraId="24785149" w14:textId="63BDA8A9" w:rsidR="00BE027B" w:rsidRPr="00A62CAB" w:rsidRDefault="00BE027B" w:rsidP="00A62CAB">
      <w:pPr>
        <w:ind w:left="360"/>
        <w:rPr>
          <w:szCs w:val="24"/>
        </w:rPr>
      </w:pPr>
      <w:r w:rsidRPr="00A62CAB">
        <w:rPr>
          <w:szCs w:val="24"/>
        </w:rPr>
        <w:t>C</w:t>
      </w:r>
      <w:r w:rsidR="005932B8" w:rsidRPr="00A62CAB">
        <w:rPr>
          <w:szCs w:val="24"/>
        </w:rPr>
        <w:t xml:space="preserve">ontract for database  </w:t>
      </w:r>
      <w:r w:rsidR="00573055" w:rsidRPr="00A62CAB">
        <w:rPr>
          <w:szCs w:val="24"/>
        </w:rPr>
        <w:t xml:space="preserve">         </w:t>
      </w:r>
      <w:r w:rsidR="00573055" w:rsidRPr="00A62CAB">
        <w:rPr>
          <w:szCs w:val="24"/>
        </w:rPr>
        <w:tab/>
      </w:r>
      <w:r w:rsidR="00573055" w:rsidRPr="00A62CAB">
        <w:rPr>
          <w:szCs w:val="24"/>
        </w:rPr>
        <w:tab/>
      </w:r>
      <w:r w:rsidR="00573055" w:rsidRPr="00A62CAB">
        <w:rPr>
          <w:szCs w:val="24"/>
        </w:rPr>
        <w:tab/>
      </w:r>
      <w:r w:rsidR="00A62CAB" w:rsidRPr="00A62CAB">
        <w:rPr>
          <w:szCs w:val="24"/>
        </w:rPr>
        <w:t>$ 773,000</w:t>
      </w:r>
    </w:p>
    <w:p w14:paraId="36D31E1C" w14:textId="00F5D365" w:rsidR="00BE027B" w:rsidRPr="00A62CAB" w:rsidRDefault="00573055" w:rsidP="00A62CAB">
      <w:pPr>
        <w:ind w:firstLine="360"/>
        <w:rPr>
          <w:szCs w:val="24"/>
        </w:rPr>
      </w:pPr>
      <w:r w:rsidRPr="00A62CAB">
        <w:rPr>
          <w:szCs w:val="24"/>
        </w:rPr>
        <w:t>Total Cost to Federal Government</w:t>
      </w:r>
      <w:r w:rsidRPr="00A62CAB">
        <w:rPr>
          <w:szCs w:val="24"/>
        </w:rPr>
        <w:tab/>
      </w:r>
      <w:r w:rsidRPr="00A62CAB">
        <w:rPr>
          <w:szCs w:val="24"/>
        </w:rPr>
        <w:tab/>
      </w:r>
      <w:r w:rsidR="00A62CAB" w:rsidRPr="00A62CAB">
        <w:rPr>
          <w:szCs w:val="24"/>
        </w:rPr>
        <w:t>$ 807,212</w:t>
      </w:r>
    </w:p>
    <w:p w14:paraId="5C36E1AD" w14:textId="77777777" w:rsidR="009059D4" w:rsidRPr="00A62CAB" w:rsidRDefault="009059D4" w:rsidP="002503E0">
      <w:pPr>
        <w:rPr>
          <w:szCs w:val="24"/>
        </w:rPr>
      </w:pPr>
    </w:p>
    <w:p w14:paraId="6FBA3E85" w14:textId="77777777" w:rsidR="008F63A1" w:rsidRDefault="008F63A1" w:rsidP="009231A8">
      <w:pPr>
        <w:rPr>
          <w:b/>
          <w:szCs w:val="24"/>
        </w:rPr>
      </w:pPr>
    </w:p>
    <w:p w14:paraId="407C8AF4" w14:textId="5CCE41AC" w:rsidR="00641B0F" w:rsidRPr="00A62CAB" w:rsidRDefault="002503E0" w:rsidP="009231A8">
      <w:pPr>
        <w:rPr>
          <w:szCs w:val="24"/>
        </w:rPr>
      </w:pPr>
      <w:r w:rsidRPr="00A62CAB">
        <w:rPr>
          <w:b/>
          <w:szCs w:val="24"/>
        </w:rPr>
        <w:t xml:space="preserve">15. </w:t>
      </w:r>
      <w:r w:rsidRPr="00A62CAB">
        <w:rPr>
          <w:b/>
          <w:szCs w:val="24"/>
          <w:u w:val="single"/>
        </w:rPr>
        <w:t>Explanation for Program Changes or Adjustments</w:t>
      </w:r>
      <w:r w:rsidR="009526E8" w:rsidRPr="00A62CAB">
        <w:rPr>
          <w:szCs w:val="24"/>
        </w:rPr>
        <w:t xml:space="preserve"> </w:t>
      </w:r>
    </w:p>
    <w:p w14:paraId="04EB9C12" w14:textId="77777777" w:rsidR="009526E8" w:rsidRPr="00A62CAB" w:rsidRDefault="009526E8" w:rsidP="009231A8">
      <w:pPr>
        <w:rPr>
          <w:szCs w:val="24"/>
        </w:rPr>
      </w:pPr>
    </w:p>
    <w:p w14:paraId="7DC05550" w14:textId="77777777" w:rsidR="0088259E" w:rsidRDefault="00866E42" w:rsidP="00315D79">
      <w:pPr>
        <w:rPr>
          <w:szCs w:val="24"/>
        </w:rPr>
      </w:pPr>
      <w:r w:rsidRPr="00A62CAB">
        <w:rPr>
          <w:szCs w:val="24"/>
        </w:rPr>
        <w:t>These reporting requirements are a revision of those which are currently in effect</w:t>
      </w:r>
      <w:r w:rsidR="00741BBD">
        <w:rPr>
          <w:szCs w:val="24"/>
        </w:rPr>
        <w:t xml:space="preserve"> under OMB 0985-0007</w:t>
      </w:r>
      <w:r w:rsidRPr="00A62CAB">
        <w:rPr>
          <w:szCs w:val="24"/>
        </w:rPr>
        <w:t xml:space="preserve">.  </w:t>
      </w:r>
      <w:r w:rsidR="00A53006" w:rsidRPr="00A62CAB">
        <w:rPr>
          <w:szCs w:val="24"/>
        </w:rPr>
        <w:t>There is a program change increase from 2.5 hours for A/B and C to 3.5 hours per respondent, for a total incre</w:t>
      </w:r>
      <w:r w:rsidR="00315D79" w:rsidRPr="00A62CAB">
        <w:rPr>
          <w:szCs w:val="24"/>
        </w:rPr>
        <w:t xml:space="preserve">ase of 392.5 annual burden hours. </w:t>
      </w:r>
    </w:p>
    <w:p w14:paraId="1FC15F99" w14:textId="59DFE77C" w:rsidR="00B21747" w:rsidRDefault="00866E42" w:rsidP="00315D79">
      <w:pPr>
        <w:rPr>
          <w:szCs w:val="24"/>
        </w:rPr>
      </w:pPr>
      <w:r w:rsidRPr="00A62CAB">
        <w:rPr>
          <w:szCs w:val="24"/>
        </w:rPr>
        <w:t xml:space="preserve">The factors that influenced the revision of the </w:t>
      </w:r>
      <w:r w:rsidR="00744D0E" w:rsidRPr="00A62CAB">
        <w:rPr>
          <w:szCs w:val="24"/>
        </w:rPr>
        <w:t>P</w:t>
      </w:r>
      <w:r w:rsidRPr="00A62CAB">
        <w:rPr>
          <w:szCs w:val="24"/>
        </w:rPr>
        <w:t xml:space="preserve">PR include: </w:t>
      </w:r>
    </w:p>
    <w:p w14:paraId="0FB5EE28" w14:textId="14586FB0" w:rsidR="00EE033D" w:rsidRPr="00A62CAB" w:rsidRDefault="00866E42" w:rsidP="00315D79">
      <w:pPr>
        <w:rPr>
          <w:szCs w:val="24"/>
        </w:rPr>
      </w:pPr>
      <w:r w:rsidRPr="00A62CAB">
        <w:rPr>
          <w:szCs w:val="24"/>
        </w:rPr>
        <w:t xml:space="preserve">1) the need to modernize the data structure to allow for more efficient reporting and the ability to use current technology for reporting and analysis; 2) the interest in aligning data elements within and across data collections; 3) the need to consider alternative data elements that reflect the current Aging Network and long-term care services and supports; and 4) the need to </w:t>
      </w:r>
      <w:r w:rsidR="00744D0E" w:rsidRPr="00A62CAB">
        <w:rPr>
          <w:szCs w:val="24"/>
        </w:rPr>
        <w:t>enhance</w:t>
      </w:r>
      <w:r w:rsidRPr="00A62CAB">
        <w:rPr>
          <w:szCs w:val="24"/>
        </w:rPr>
        <w:t xml:space="preserve"> data quality. </w:t>
      </w:r>
    </w:p>
    <w:p w14:paraId="2FE93C2E" w14:textId="77777777" w:rsidR="00866E42" w:rsidRPr="00A62CAB" w:rsidRDefault="00866E42" w:rsidP="00866E42">
      <w:pPr>
        <w:rPr>
          <w:szCs w:val="24"/>
        </w:rPr>
      </w:pPr>
    </w:p>
    <w:p w14:paraId="21B678DE" w14:textId="77777777" w:rsidR="002503E0" w:rsidRPr="00A62CAB" w:rsidRDefault="002503E0" w:rsidP="002503E0">
      <w:pPr>
        <w:rPr>
          <w:b/>
          <w:szCs w:val="24"/>
          <w:u w:val="single"/>
        </w:rPr>
      </w:pPr>
      <w:r w:rsidRPr="00A62CAB">
        <w:rPr>
          <w:b/>
          <w:szCs w:val="24"/>
        </w:rPr>
        <w:t xml:space="preserve">16. </w:t>
      </w:r>
      <w:r w:rsidRPr="00A62CAB">
        <w:rPr>
          <w:b/>
          <w:szCs w:val="24"/>
          <w:u w:val="single"/>
        </w:rPr>
        <w:t xml:space="preserve">Plans for Tabulation and Publication and Project Time Schedule </w:t>
      </w:r>
    </w:p>
    <w:p w14:paraId="7047B36A" w14:textId="77777777" w:rsidR="005932B8" w:rsidRPr="00A62CAB" w:rsidRDefault="005932B8" w:rsidP="002503E0">
      <w:pPr>
        <w:rPr>
          <w:b/>
          <w:szCs w:val="24"/>
          <w:u w:val="single"/>
        </w:rPr>
      </w:pPr>
    </w:p>
    <w:p w14:paraId="09BAD063" w14:textId="7C8BE9B7" w:rsidR="00D40F29" w:rsidRPr="00A62CAB" w:rsidRDefault="00D366F1" w:rsidP="00315D79">
      <w:pPr>
        <w:rPr>
          <w:b/>
          <w:szCs w:val="24"/>
          <w:u w:val="single"/>
        </w:rPr>
      </w:pPr>
      <w:r>
        <w:rPr>
          <w:szCs w:val="24"/>
        </w:rPr>
        <w:t>Results from</w:t>
      </w:r>
      <w:r w:rsidR="00B16F58" w:rsidRPr="00A62CAB">
        <w:rPr>
          <w:szCs w:val="24"/>
        </w:rPr>
        <w:t xml:space="preserve"> Program </w:t>
      </w:r>
      <w:r>
        <w:rPr>
          <w:szCs w:val="24"/>
        </w:rPr>
        <w:t xml:space="preserve">Performance </w:t>
      </w:r>
      <w:r w:rsidR="00B16F58" w:rsidRPr="00A62CAB">
        <w:rPr>
          <w:szCs w:val="24"/>
        </w:rPr>
        <w:t xml:space="preserve">Report are uploaded to the Aging Integrated Database (AGID) available on-line at </w:t>
      </w:r>
      <w:hyperlink r:id="rId10" w:history="1">
        <w:r w:rsidR="005932B8" w:rsidRPr="00A62CAB">
          <w:rPr>
            <w:rStyle w:val="Hyperlink"/>
            <w:szCs w:val="24"/>
          </w:rPr>
          <w:t>http://www.agid.acl.gov/</w:t>
        </w:r>
      </w:hyperlink>
      <w:r w:rsidR="005932B8" w:rsidRPr="00A62CAB">
        <w:rPr>
          <w:szCs w:val="24"/>
        </w:rPr>
        <w:t xml:space="preserve"> .  </w:t>
      </w:r>
      <w:r w:rsidR="00B16F58" w:rsidRPr="00A62CAB">
        <w:rPr>
          <w:szCs w:val="24"/>
        </w:rPr>
        <w:t>Results are available annually.</w:t>
      </w:r>
      <w:r w:rsidR="00D40F29" w:rsidRPr="00A62CAB">
        <w:rPr>
          <w:szCs w:val="24"/>
        </w:rPr>
        <w:t xml:space="preserve">  </w:t>
      </w:r>
      <w:r w:rsidR="009F5A69" w:rsidRPr="00A62CAB">
        <w:rPr>
          <w:szCs w:val="24"/>
        </w:rPr>
        <w:t xml:space="preserve">     </w:t>
      </w:r>
      <w:r w:rsidR="00D40F29" w:rsidRPr="00A62CAB">
        <w:rPr>
          <w:szCs w:val="24"/>
        </w:rPr>
        <w:t xml:space="preserve">  </w:t>
      </w:r>
    </w:p>
    <w:p w14:paraId="5ED92893" w14:textId="77777777" w:rsidR="007A4D2A" w:rsidRPr="00A62CAB" w:rsidRDefault="007A4D2A" w:rsidP="007A4D2A">
      <w:pPr>
        <w:rPr>
          <w:szCs w:val="24"/>
        </w:rPr>
      </w:pPr>
    </w:p>
    <w:p w14:paraId="4BF67B99" w14:textId="2A61B610" w:rsidR="00031305" w:rsidRPr="00A62CAB" w:rsidRDefault="00031305" w:rsidP="00031305">
      <w:pPr>
        <w:rPr>
          <w:b/>
          <w:szCs w:val="24"/>
          <w:u w:val="single"/>
        </w:rPr>
      </w:pPr>
      <w:r w:rsidRPr="00A62CAB">
        <w:rPr>
          <w:b/>
          <w:szCs w:val="24"/>
        </w:rPr>
        <w:t xml:space="preserve">17. </w:t>
      </w:r>
      <w:r w:rsidRPr="00A62CAB">
        <w:rPr>
          <w:b/>
          <w:szCs w:val="24"/>
          <w:u w:val="single"/>
        </w:rPr>
        <w:t xml:space="preserve">Reason(s) Display of OMB Expiration Date is Inappropriate </w:t>
      </w:r>
    </w:p>
    <w:p w14:paraId="49F08183" w14:textId="77777777" w:rsidR="00031305" w:rsidRPr="00A62CAB" w:rsidRDefault="00031305" w:rsidP="00031305">
      <w:pPr>
        <w:rPr>
          <w:b/>
          <w:szCs w:val="24"/>
          <w:u w:val="single"/>
        </w:rPr>
      </w:pPr>
    </w:p>
    <w:p w14:paraId="2AA54BC5" w14:textId="77777777" w:rsidR="00031305" w:rsidRPr="00A62CAB" w:rsidRDefault="00031305" w:rsidP="00315D79">
      <w:pPr>
        <w:rPr>
          <w:szCs w:val="24"/>
        </w:rPr>
      </w:pPr>
      <w:r w:rsidRPr="00A62CAB">
        <w:rPr>
          <w:szCs w:val="24"/>
        </w:rPr>
        <w:t>We are not seeking approval to not display the expiration date for OMB approval of the information collected.</w:t>
      </w:r>
    </w:p>
    <w:p w14:paraId="22587B7E" w14:textId="77777777" w:rsidR="00031305" w:rsidRPr="00A62CAB" w:rsidRDefault="00031305" w:rsidP="00031305">
      <w:pPr>
        <w:rPr>
          <w:szCs w:val="24"/>
        </w:rPr>
      </w:pPr>
    </w:p>
    <w:p w14:paraId="378649B8" w14:textId="77777777" w:rsidR="00031305" w:rsidRPr="00A62CAB" w:rsidRDefault="00031305" w:rsidP="00031305">
      <w:pPr>
        <w:rPr>
          <w:szCs w:val="24"/>
        </w:rPr>
      </w:pPr>
      <w:r w:rsidRPr="00A62CAB">
        <w:rPr>
          <w:b/>
          <w:szCs w:val="24"/>
        </w:rPr>
        <w:t xml:space="preserve">18. </w:t>
      </w:r>
      <w:r w:rsidRPr="00A62CAB">
        <w:rPr>
          <w:b/>
          <w:szCs w:val="24"/>
          <w:u w:val="single"/>
        </w:rPr>
        <w:t xml:space="preserve">Exceptions to Certification for Paperwork Reduction Act Submissions </w:t>
      </w:r>
    </w:p>
    <w:p w14:paraId="35C6F37B" w14:textId="77777777" w:rsidR="00031305" w:rsidRPr="00A62CAB" w:rsidRDefault="00031305" w:rsidP="00031305">
      <w:pPr>
        <w:rPr>
          <w:szCs w:val="24"/>
        </w:rPr>
      </w:pPr>
    </w:p>
    <w:p w14:paraId="2C779525" w14:textId="77777777" w:rsidR="00031305" w:rsidRPr="00A62CAB" w:rsidRDefault="00AF47AD" w:rsidP="00315D79">
      <w:pPr>
        <w:rPr>
          <w:szCs w:val="24"/>
        </w:rPr>
      </w:pPr>
      <w:r w:rsidRPr="00A62CAB">
        <w:rPr>
          <w:szCs w:val="24"/>
        </w:rPr>
        <w:t>There are no exceptions to th</w:t>
      </w:r>
      <w:r w:rsidR="000D1B2A" w:rsidRPr="00A62CAB">
        <w:rPr>
          <w:szCs w:val="24"/>
        </w:rPr>
        <w:t xml:space="preserve">is request for </w:t>
      </w:r>
      <w:r w:rsidRPr="00A62CAB">
        <w:rPr>
          <w:szCs w:val="24"/>
        </w:rPr>
        <w:t>certification.</w:t>
      </w:r>
    </w:p>
    <w:p w14:paraId="02A16FA8" w14:textId="77777777" w:rsidR="00573055" w:rsidRPr="00A62CAB" w:rsidRDefault="00573055" w:rsidP="00573055">
      <w:pPr>
        <w:rPr>
          <w:b/>
          <w:szCs w:val="24"/>
        </w:rPr>
      </w:pPr>
    </w:p>
    <w:p w14:paraId="167B32B0" w14:textId="4972DB41" w:rsidR="00315D79" w:rsidRPr="00A62CAB" w:rsidRDefault="00315D79" w:rsidP="00315D79">
      <w:pPr>
        <w:rPr>
          <w:b/>
          <w:szCs w:val="24"/>
        </w:rPr>
      </w:pPr>
      <w:r w:rsidRPr="00A62CAB">
        <w:rPr>
          <w:b/>
          <w:szCs w:val="24"/>
        </w:rPr>
        <w:t xml:space="preserve">Supporting Statement Part B. </w:t>
      </w:r>
    </w:p>
    <w:p w14:paraId="064530E3" w14:textId="335DCFB5" w:rsidR="00573055" w:rsidRPr="00A62CAB" w:rsidRDefault="00573055" w:rsidP="00315D79">
      <w:pPr>
        <w:rPr>
          <w:b/>
          <w:szCs w:val="24"/>
        </w:rPr>
      </w:pPr>
      <w:r w:rsidRPr="00A62CAB">
        <w:rPr>
          <w:b/>
          <w:szCs w:val="24"/>
        </w:rPr>
        <w:t xml:space="preserve">Collection of Information Employing Statistical Methods.  </w:t>
      </w:r>
    </w:p>
    <w:p w14:paraId="2771386E" w14:textId="77777777" w:rsidR="00573055" w:rsidRPr="00A62CAB" w:rsidRDefault="00573055" w:rsidP="00573055">
      <w:pPr>
        <w:ind w:left="1447"/>
        <w:rPr>
          <w:szCs w:val="24"/>
        </w:rPr>
      </w:pPr>
    </w:p>
    <w:p w14:paraId="3D8E94C4" w14:textId="4F698F03" w:rsidR="00866E42" w:rsidRPr="00A62CAB" w:rsidRDefault="00A62CAB" w:rsidP="00315D79">
      <w:pPr>
        <w:rPr>
          <w:b/>
          <w:szCs w:val="24"/>
          <w:u w:val="single"/>
        </w:rPr>
      </w:pPr>
      <w:r>
        <w:rPr>
          <w:szCs w:val="24"/>
        </w:rPr>
        <w:t xml:space="preserve">This information collection does not employ statistical methods. </w:t>
      </w:r>
    </w:p>
    <w:sectPr w:rsidR="00866E42" w:rsidRPr="00A62CAB" w:rsidSect="00F57F0E">
      <w:footerReference w:type="default" r:id="rId11"/>
      <w:pgSz w:w="12240" w:h="15840" w:code="1"/>
      <w:pgMar w:top="810" w:right="1440" w:bottom="72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D8369" w14:textId="77777777" w:rsidR="00C419CA" w:rsidRDefault="00C419CA" w:rsidP="00A41D82">
      <w:r>
        <w:separator/>
      </w:r>
    </w:p>
  </w:endnote>
  <w:endnote w:type="continuationSeparator" w:id="0">
    <w:p w14:paraId="08AE8E02" w14:textId="77777777" w:rsidR="00C419CA" w:rsidRDefault="00C419CA" w:rsidP="00A4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JGNKO H+ 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13584" w14:textId="2C1BB6A5" w:rsidR="00C419CA" w:rsidRDefault="00C419CA">
    <w:pPr>
      <w:pStyle w:val="Footer"/>
      <w:jc w:val="center"/>
    </w:pPr>
    <w:r>
      <w:fldChar w:fldCharType="begin"/>
    </w:r>
    <w:r>
      <w:instrText xml:space="preserve"> PAGE   \* MERGEFORMAT </w:instrText>
    </w:r>
    <w:r>
      <w:fldChar w:fldCharType="separate"/>
    </w:r>
    <w:r w:rsidR="0032411E">
      <w:rPr>
        <w:noProof/>
      </w:rPr>
      <w:t>1</w:t>
    </w:r>
    <w:r>
      <w:fldChar w:fldCharType="end"/>
    </w:r>
  </w:p>
  <w:p w14:paraId="380F0170" w14:textId="77777777" w:rsidR="00C419CA" w:rsidRDefault="00C41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25424" w14:textId="77777777" w:rsidR="00C419CA" w:rsidRDefault="00C419CA" w:rsidP="00A41D82">
      <w:r>
        <w:separator/>
      </w:r>
    </w:p>
  </w:footnote>
  <w:footnote w:type="continuationSeparator" w:id="0">
    <w:p w14:paraId="658DC244" w14:textId="77777777" w:rsidR="00C419CA" w:rsidRDefault="00C419CA" w:rsidP="00A41D82">
      <w:r>
        <w:continuationSeparator/>
      </w:r>
    </w:p>
  </w:footnote>
  <w:footnote w:id="1">
    <w:p w14:paraId="019601C6" w14:textId="77777777" w:rsidR="00315D79" w:rsidRDefault="00315D79" w:rsidP="00315D79">
      <w:pPr>
        <w:pStyle w:val="FootnoteText"/>
      </w:pPr>
      <w:r>
        <w:rPr>
          <w:rStyle w:val="FootnoteReference"/>
        </w:rPr>
        <w:footnoteRef/>
      </w:r>
      <w:r>
        <w:t xml:space="preserve"> The Hourly Wage Rate of $30.82 per hour is derived from the Bureau of Labor Statistics 2017 Occupational Employment and Wages Estimates median hourly wage for Social and Community Service Managers. </w:t>
      </w:r>
      <w:r w:rsidRPr="00E06CD0">
        <w:t>Hourly wage of $</w:t>
      </w:r>
      <w:r>
        <w:t>30.82</w:t>
      </w:r>
      <w:r w:rsidRPr="00E06CD0">
        <w:t>, plus a factor of 100% ($</w:t>
      </w:r>
      <w:r>
        <w:t>30.82</w:t>
      </w:r>
      <w:r w:rsidRPr="00E06CD0">
        <w:t xml:space="preserve">) to account for benefits and overhead. </w:t>
      </w:r>
      <w:r>
        <w:t xml:space="preserve">Link: </w:t>
      </w:r>
      <w:r w:rsidRPr="00F72C43">
        <w:t>https://www.bls.gov/oes/current/oes119151.htm</w:t>
      </w:r>
    </w:p>
  </w:footnote>
  <w:footnote w:id="2">
    <w:p w14:paraId="23B2670F" w14:textId="3FE31143" w:rsidR="0047650E" w:rsidRDefault="0047650E" w:rsidP="0047650E">
      <w:pPr>
        <w:pStyle w:val="CommentText"/>
      </w:pPr>
      <w:r>
        <w:rPr>
          <w:rStyle w:val="FootnoteReference"/>
        </w:rPr>
        <w:footnoteRef/>
      </w:r>
      <w:r>
        <w:t xml:space="preserve"> </w:t>
      </w:r>
      <w:r w:rsidRPr="000F4F10">
        <w:rPr>
          <w:rFonts w:ascii="Tahoma" w:hAnsi="Tahoma" w:cs="Tahoma"/>
          <w:sz w:val="16"/>
          <w:szCs w:val="16"/>
        </w:rPr>
        <w:t>F</w:t>
      </w:r>
      <w:r>
        <w:rPr>
          <w:rFonts w:ascii="Tahoma" w:hAnsi="Tahoma" w:cs="Tahoma"/>
          <w:sz w:val="16"/>
          <w:szCs w:val="16"/>
        </w:rPr>
        <w:t>ederal staff costs based on 2018 hourly wage rate of $</w:t>
      </w:r>
      <w:r w:rsidR="00C73D91">
        <w:rPr>
          <w:rFonts w:ascii="Tahoma" w:hAnsi="Tahoma" w:cs="Tahoma"/>
          <w:sz w:val="16"/>
          <w:szCs w:val="16"/>
        </w:rPr>
        <w:t>46.46</w:t>
      </w:r>
      <w:r w:rsidRPr="000F4F10">
        <w:rPr>
          <w:rFonts w:ascii="Tahoma" w:hAnsi="Tahoma" w:cs="Tahoma"/>
          <w:sz w:val="16"/>
          <w:szCs w:val="16"/>
        </w:rPr>
        <w:t xml:space="preserve"> for </w:t>
      </w:r>
      <w:r>
        <w:rPr>
          <w:rFonts w:ascii="Tahoma" w:hAnsi="Tahoma" w:cs="Tahoma"/>
          <w:sz w:val="16"/>
          <w:szCs w:val="16"/>
        </w:rPr>
        <w:t>a Project Officer at the GS 13</w:t>
      </w:r>
      <w:r w:rsidRPr="000F4F10">
        <w:rPr>
          <w:rFonts w:ascii="Tahoma" w:hAnsi="Tahoma" w:cs="Tahoma"/>
          <w:sz w:val="16"/>
          <w:szCs w:val="16"/>
        </w:rPr>
        <w:t xml:space="preserve"> level</w:t>
      </w:r>
      <w:r w:rsidR="00C73D91">
        <w:rPr>
          <w:rFonts w:ascii="Tahoma" w:hAnsi="Tahoma" w:cs="Tahoma"/>
          <w:sz w:val="16"/>
          <w:szCs w:val="16"/>
        </w:rPr>
        <w:t xml:space="preserve"> and $39.07 for a Project Officer at the GS 12 level</w:t>
      </w:r>
      <w:r w:rsidRPr="000F4F10">
        <w:rPr>
          <w:rFonts w:ascii="Tahoma" w:hAnsi="Tahoma" w:cs="Tahoma"/>
          <w:sz w:val="16"/>
          <w:szCs w:val="16"/>
        </w:rPr>
        <w:t xml:space="preserve">. </w:t>
      </w:r>
      <w:hyperlink r:id="rId1" w:history="1">
        <w:r w:rsidRPr="006B5931">
          <w:rPr>
            <w:rStyle w:val="Hyperlink"/>
            <w:rFonts w:ascii="Tahoma" w:hAnsi="Tahoma" w:cs="Tahoma"/>
            <w:sz w:val="16"/>
            <w:szCs w:val="16"/>
          </w:rPr>
          <w:t>https://www.opm.gov/policy-data-oversight/pay-leave/salaries-wages/salary-tables/pdf/2018/DCB_h.pdf</w:t>
        </w:r>
      </w:hyperlink>
      <w:r>
        <w:rPr>
          <w:rStyle w:val="Hyperlink"/>
          <w:rFonts w:ascii="Tahoma" w:hAnsi="Tahoma" w:cs="Tahoma"/>
          <w:sz w:val="16"/>
          <w:szCs w:val="16"/>
        </w:rPr>
        <w:t xml:space="preserve">. </w:t>
      </w:r>
      <w:r w:rsidRPr="000F4F10">
        <w:rPr>
          <w:rFonts w:ascii="Tahoma" w:hAnsi="Tahoma" w:cs="Tahoma"/>
          <w:sz w:val="16"/>
          <w:szCs w:val="16"/>
        </w:rPr>
        <w:t xml:space="preserve">Accessed </w:t>
      </w:r>
      <w:r>
        <w:rPr>
          <w:rFonts w:ascii="Tahoma" w:hAnsi="Tahoma" w:cs="Tahoma"/>
          <w:sz w:val="16"/>
          <w:szCs w:val="16"/>
        </w:rPr>
        <w:t>November 29, 2018</w:t>
      </w:r>
      <w:r w:rsidRPr="000F4F10">
        <w:rPr>
          <w:rFonts w:ascii="Tahoma" w:hAnsi="Tahoma" w:cs="Tahoma"/>
          <w:sz w:val="16"/>
          <w:szCs w:val="16"/>
        </w:rPr>
        <w:t>.</w:t>
      </w:r>
    </w:p>
    <w:p w14:paraId="0E2861C0" w14:textId="77777777" w:rsidR="0047650E" w:rsidRDefault="0047650E" w:rsidP="0047650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735F"/>
    <w:multiLevelType w:val="hybridMultilevel"/>
    <w:tmpl w:val="998AA836"/>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nsid w:val="171E17E7"/>
    <w:multiLevelType w:val="hybridMultilevel"/>
    <w:tmpl w:val="EF648FBC"/>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
    <w:nsid w:val="1DF3270A"/>
    <w:multiLevelType w:val="hybridMultilevel"/>
    <w:tmpl w:val="DE0ACD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0DE1688"/>
    <w:multiLevelType w:val="hybridMultilevel"/>
    <w:tmpl w:val="A31E3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B62851"/>
    <w:multiLevelType w:val="hybridMultilevel"/>
    <w:tmpl w:val="B5D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0403C5"/>
    <w:multiLevelType w:val="hybridMultilevel"/>
    <w:tmpl w:val="8086329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
    <w:nsid w:val="3AD07698"/>
    <w:multiLevelType w:val="hybridMultilevel"/>
    <w:tmpl w:val="12B40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DA007F"/>
    <w:multiLevelType w:val="hybridMultilevel"/>
    <w:tmpl w:val="7B0CE31A"/>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nsid w:val="3B014DD3"/>
    <w:multiLevelType w:val="hybridMultilevel"/>
    <w:tmpl w:val="8842C830"/>
    <w:lvl w:ilvl="0" w:tplc="04090001">
      <w:start w:val="1"/>
      <w:numFmt w:val="bullet"/>
      <w:lvlText w:val=""/>
      <w:lvlJc w:val="left"/>
      <w:pPr>
        <w:tabs>
          <w:tab w:val="num" w:pos="1447"/>
        </w:tabs>
        <w:ind w:left="1447" w:hanging="360"/>
      </w:pPr>
      <w:rPr>
        <w:rFonts w:ascii="Symbol" w:hAnsi="Symbol" w:hint="default"/>
      </w:rPr>
    </w:lvl>
    <w:lvl w:ilvl="1" w:tplc="04090003">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9">
    <w:nsid w:val="3F741058"/>
    <w:multiLevelType w:val="hybridMultilevel"/>
    <w:tmpl w:val="7DFCCE0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0">
    <w:nsid w:val="46015590"/>
    <w:multiLevelType w:val="hybridMultilevel"/>
    <w:tmpl w:val="595A2F98"/>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1">
    <w:nsid w:val="4A834A94"/>
    <w:multiLevelType w:val="hybridMultilevel"/>
    <w:tmpl w:val="9FB0A20A"/>
    <w:lvl w:ilvl="0" w:tplc="04090001">
      <w:start w:val="1"/>
      <w:numFmt w:val="bullet"/>
      <w:lvlText w:val=""/>
      <w:lvlJc w:val="left"/>
      <w:pPr>
        <w:tabs>
          <w:tab w:val="num" w:pos="2945"/>
        </w:tabs>
        <w:ind w:left="2945" w:hanging="360"/>
      </w:pPr>
      <w:rPr>
        <w:rFonts w:ascii="Symbol" w:hAnsi="Symbol" w:hint="default"/>
      </w:rPr>
    </w:lvl>
    <w:lvl w:ilvl="1" w:tplc="04090003" w:tentative="1">
      <w:start w:val="1"/>
      <w:numFmt w:val="bullet"/>
      <w:lvlText w:val="o"/>
      <w:lvlJc w:val="left"/>
      <w:pPr>
        <w:tabs>
          <w:tab w:val="num" w:pos="3665"/>
        </w:tabs>
        <w:ind w:left="3665" w:hanging="360"/>
      </w:pPr>
      <w:rPr>
        <w:rFonts w:ascii="Courier New" w:hAnsi="Courier New" w:cs="Courier New" w:hint="default"/>
      </w:rPr>
    </w:lvl>
    <w:lvl w:ilvl="2" w:tplc="04090005" w:tentative="1">
      <w:start w:val="1"/>
      <w:numFmt w:val="bullet"/>
      <w:lvlText w:val=""/>
      <w:lvlJc w:val="left"/>
      <w:pPr>
        <w:tabs>
          <w:tab w:val="num" w:pos="4385"/>
        </w:tabs>
        <w:ind w:left="4385" w:hanging="360"/>
      </w:pPr>
      <w:rPr>
        <w:rFonts w:ascii="Wingdings" w:hAnsi="Wingdings" w:hint="default"/>
      </w:rPr>
    </w:lvl>
    <w:lvl w:ilvl="3" w:tplc="04090001" w:tentative="1">
      <w:start w:val="1"/>
      <w:numFmt w:val="bullet"/>
      <w:lvlText w:val=""/>
      <w:lvlJc w:val="left"/>
      <w:pPr>
        <w:tabs>
          <w:tab w:val="num" w:pos="5105"/>
        </w:tabs>
        <w:ind w:left="5105" w:hanging="360"/>
      </w:pPr>
      <w:rPr>
        <w:rFonts w:ascii="Symbol" w:hAnsi="Symbol" w:hint="default"/>
      </w:rPr>
    </w:lvl>
    <w:lvl w:ilvl="4" w:tplc="04090003" w:tentative="1">
      <w:start w:val="1"/>
      <w:numFmt w:val="bullet"/>
      <w:lvlText w:val="o"/>
      <w:lvlJc w:val="left"/>
      <w:pPr>
        <w:tabs>
          <w:tab w:val="num" w:pos="5825"/>
        </w:tabs>
        <w:ind w:left="5825" w:hanging="360"/>
      </w:pPr>
      <w:rPr>
        <w:rFonts w:ascii="Courier New" w:hAnsi="Courier New" w:cs="Courier New" w:hint="default"/>
      </w:rPr>
    </w:lvl>
    <w:lvl w:ilvl="5" w:tplc="04090005" w:tentative="1">
      <w:start w:val="1"/>
      <w:numFmt w:val="bullet"/>
      <w:lvlText w:val=""/>
      <w:lvlJc w:val="left"/>
      <w:pPr>
        <w:tabs>
          <w:tab w:val="num" w:pos="6545"/>
        </w:tabs>
        <w:ind w:left="6545" w:hanging="360"/>
      </w:pPr>
      <w:rPr>
        <w:rFonts w:ascii="Wingdings" w:hAnsi="Wingdings" w:hint="default"/>
      </w:rPr>
    </w:lvl>
    <w:lvl w:ilvl="6" w:tplc="04090001" w:tentative="1">
      <w:start w:val="1"/>
      <w:numFmt w:val="bullet"/>
      <w:lvlText w:val=""/>
      <w:lvlJc w:val="left"/>
      <w:pPr>
        <w:tabs>
          <w:tab w:val="num" w:pos="7265"/>
        </w:tabs>
        <w:ind w:left="7265" w:hanging="360"/>
      </w:pPr>
      <w:rPr>
        <w:rFonts w:ascii="Symbol" w:hAnsi="Symbol" w:hint="default"/>
      </w:rPr>
    </w:lvl>
    <w:lvl w:ilvl="7" w:tplc="04090003" w:tentative="1">
      <w:start w:val="1"/>
      <w:numFmt w:val="bullet"/>
      <w:lvlText w:val="o"/>
      <w:lvlJc w:val="left"/>
      <w:pPr>
        <w:tabs>
          <w:tab w:val="num" w:pos="7985"/>
        </w:tabs>
        <w:ind w:left="7985" w:hanging="360"/>
      </w:pPr>
      <w:rPr>
        <w:rFonts w:ascii="Courier New" w:hAnsi="Courier New" w:cs="Courier New" w:hint="default"/>
      </w:rPr>
    </w:lvl>
    <w:lvl w:ilvl="8" w:tplc="04090005" w:tentative="1">
      <w:start w:val="1"/>
      <w:numFmt w:val="bullet"/>
      <w:lvlText w:val=""/>
      <w:lvlJc w:val="left"/>
      <w:pPr>
        <w:tabs>
          <w:tab w:val="num" w:pos="8705"/>
        </w:tabs>
        <w:ind w:left="8705" w:hanging="360"/>
      </w:pPr>
      <w:rPr>
        <w:rFonts w:ascii="Wingdings" w:hAnsi="Wingdings" w:hint="default"/>
      </w:rPr>
    </w:lvl>
  </w:abstractNum>
  <w:abstractNum w:abstractNumId="12">
    <w:nsid w:val="4CBB5708"/>
    <w:multiLevelType w:val="hybridMultilevel"/>
    <w:tmpl w:val="1B9A53FE"/>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nsid w:val="4EC64941"/>
    <w:multiLevelType w:val="hybridMultilevel"/>
    <w:tmpl w:val="00ECDFE2"/>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4">
    <w:nsid w:val="5AAA7C80"/>
    <w:multiLevelType w:val="hybridMultilevel"/>
    <w:tmpl w:val="251A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0C56D1"/>
    <w:multiLevelType w:val="hybridMultilevel"/>
    <w:tmpl w:val="B34C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E1141E"/>
    <w:multiLevelType w:val="hybridMultilevel"/>
    <w:tmpl w:val="814841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57807A1"/>
    <w:multiLevelType w:val="hybridMultilevel"/>
    <w:tmpl w:val="E3BC38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9DA16BA"/>
    <w:multiLevelType w:val="hybridMultilevel"/>
    <w:tmpl w:val="342A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793E10"/>
    <w:multiLevelType w:val="hybridMultilevel"/>
    <w:tmpl w:val="747E6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11"/>
  </w:num>
  <w:num w:numId="4">
    <w:abstractNumId w:val="18"/>
  </w:num>
  <w:num w:numId="5">
    <w:abstractNumId w:val="19"/>
  </w:num>
  <w:num w:numId="6">
    <w:abstractNumId w:val="7"/>
  </w:num>
  <w:num w:numId="7">
    <w:abstractNumId w:val="0"/>
  </w:num>
  <w:num w:numId="8">
    <w:abstractNumId w:val="12"/>
  </w:num>
  <w:num w:numId="9">
    <w:abstractNumId w:val="16"/>
  </w:num>
  <w:num w:numId="10">
    <w:abstractNumId w:val="5"/>
  </w:num>
  <w:num w:numId="11">
    <w:abstractNumId w:val="1"/>
  </w:num>
  <w:num w:numId="12">
    <w:abstractNumId w:val="13"/>
  </w:num>
  <w:num w:numId="13">
    <w:abstractNumId w:val="8"/>
  </w:num>
  <w:num w:numId="14">
    <w:abstractNumId w:val="9"/>
  </w:num>
  <w:num w:numId="15">
    <w:abstractNumId w:val="10"/>
  </w:num>
  <w:num w:numId="16">
    <w:abstractNumId w:val="2"/>
  </w:num>
  <w:num w:numId="17">
    <w:abstractNumId w:val="4"/>
  </w:num>
  <w:num w:numId="18">
    <w:abstractNumId w:val="15"/>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071"/>
    <w:rsid w:val="00014C60"/>
    <w:rsid w:val="00024356"/>
    <w:rsid w:val="00031305"/>
    <w:rsid w:val="000318B3"/>
    <w:rsid w:val="00041656"/>
    <w:rsid w:val="00042794"/>
    <w:rsid w:val="000528BD"/>
    <w:rsid w:val="00054EBC"/>
    <w:rsid w:val="000731BB"/>
    <w:rsid w:val="00087CD8"/>
    <w:rsid w:val="000941DF"/>
    <w:rsid w:val="000C7243"/>
    <w:rsid w:val="000D1B2A"/>
    <w:rsid w:val="000E2FF1"/>
    <w:rsid w:val="000F446D"/>
    <w:rsid w:val="000F6523"/>
    <w:rsid w:val="001016D7"/>
    <w:rsid w:val="00105A3C"/>
    <w:rsid w:val="0011007A"/>
    <w:rsid w:val="00112466"/>
    <w:rsid w:val="001249CA"/>
    <w:rsid w:val="00125368"/>
    <w:rsid w:val="00142586"/>
    <w:rsid w:val="0015372F"/>
    <w:rsid w:val="001626B3"/>
    <w:rsid w:val="00192A1A"/>
    <w:rsid w:val="001A5A3D"/>
    <w:rsid w:val="001B645E"/>
    <w:rsid w:val="001C7707"/>
    <w:rsid w:val="001F764E"/>
    <w:rsid w:val="00201B14"/>
    <w:rsid w:val="00214CFE"/>
    <w:rsid w:val="00217195"/>
    <w:rsid w:val="00227AAE"/>
    <w:rsid w:val="002344D0"/>
    <w:rsid w:val="00240938"/>
    <w:rsid w:val="002503E0"/>
    <w:rsid w:val="00255230"/>
    <w:rsid w:val="00255F6B"/>
    <w:rsid w:val="002578D4"/>
    <w:rsid w:val="00266374"/>
    <w:rsid w:val="0027584C"/>
    <w:rsid w:val="0028286F"/>
    <w:rsid w:val="002A50EF"/>
    <w:rsid w:val="002C1D09"/>
    <w:rsid w:val="002D06A6"/>
    <w:rsid w:val="002E3EAA"/>
    <w:rsid w:val="003035E6"/>
    <w:rsid w:val="00310CA0"/>
    <w:rsid w:val="00314698"/>
    <w:rsid w:val="00315D1F"/>
    <w:rsid w:val="00315D79"/>
    <w:rsid w:val="00316594"/>
    <w:rsid w:val="0032411E"/>
    <w:rsid w:val="0034452A"/>
    <w:rsid w:val="00346323"/>
    <w:rsid w:val="00365CF6"/>
    <w:rsid w:val="00380A33"/>
    <w:rsid w:val="00386F5E"/>
    <w:rsid w:val="00391967"/>
    <w:rsid w:val="00395F47"/>
    <w:rsid w:val="003A1008"/>
    <w:rsid w:val="003A30A3"/>
    <w:rsid w:val="003B0369"/>
    <w:rsid w:val="003C0751"/>
    <w:rsid w:val="003C57E5"/>
    <w:rsid w:val="003D240C"/>
    <w:rsid w:val="003D27E2"/>
    <w:rsid w:val="003F0D04"/>
    <w:rsid w:val="00402E5F"/>
    <w:rsid w:val="00404D00"/>
    <w:rsid w:val="00417942"/>
    <w:rsid w:val="004265E6"/>
    <w:rsid w:val="00440C9A"/>
    <w:rsid w:val="00441066"/>
    <w:rsid w:val="004410F8"/>
    <w:rsid w:val="004431AD"/>
    <w:rsid w:val="00446621"/>
    <w:rsid w:val="00447E74"/>
    <w:rsid w:val="0047650E"/>
    <w:rsid w:val="004854A7"/>
    <w:rsid w:val="00490354"/>
    <w:rsid w:val="00494F4D"/>
    <w:rsid w:val="004A7D67"/>
    <w:rsid w:val="004B1ED4"/>
    <w:rsid w:val="004B3665"/>
    <w:rsid w:val="004C5BE4"/>
    <w:rsid w:val="004D05B4"/>
    <w:rsid w:val="004D0B69"/>
    <w:rsid w:val="004D6381"/>
    <w:rsid w:val="004E2F65"/>
    <w:rsid w:val="004E6FE6"/>
    <w:rsid w:val="004F5748"/>
    <w:rsid w:val="004F7257"/>
    <w:rsid w:val="00506D52"/>
    <w:rsid w:val="00541E07"/>
    <w:rsid w:val="00543A27"/>
    <w:rsid w:val="00547CAC"/>
    <w:rsid w:val="00556171"/>
    <w:rsid w:val="00565D6B"/>
    <w:rsid w:val="0057139D"/>
    <w:rsid w:val="00571F5B"/>
    <w:rsid w:val="00573055"/>
    <w:rsid w:val="00584A87"/>
    <w:rsid w:val="005932B8"/>
    <w:rsid w:val="005A0379"/>
    <w:rsid w:val="005A6004"/>
    <w:rsid w:val="005B3FDB"/>
    <w:rsid w:val="005C17C6"/>
    <w:rsid w:val="005D260B"/>
    <w:rsid w:val="00600681"/>
    <w:rsid w:val="0060726C"/>
    <w:rsid w:val="00611FA8"/>
    <w:rsid w:val="006249E2"/>
    <w:rsid w:val="006343C3"/>
    <w:rsid w:val="006409BE"/>
    <w:rsid w:val="00641B0F"/>
    <w:rsid w:val="00646010"/>
    <w:rsid w:val="006512AF"/>
    <w:rsid w:val="00657D41"/>
    <w:rsid w:val="0068728F"/>
    <w:rsid w:val="00690EAE"/>
    <w:rsid w:val="006A4830"/>
    <w:rsid w:val="006B0A60"/>
    <w:rsid w:val="006B1065"/>
    <w:rsid w:val="006B7416"/>
    <w:rsid w:val="006C417B"/>
    <w:rsid w:val="006C5599"/>
    <w:rsid w:val="006D63AF"/>
    <w:rsid w:val="006E3438"/>
    <w:rsid w:val="006F5AA4"/>
    <w:rsid w:val="00703C6B"/>
    <w:rsid w:val="007070BD"/>
    <w:rsid w:val="007104CA"/>
    <w:rsid w:val="00741BBD"/>
    <w:rsid w:val="00744D0E"/>
    <w:rsid w:val="00745D5D"/>
    <w:rsid w:val="00752BAC"/>
    <w:rsid w:val="00774E0E"/>
    <w:rsid w:val="007A4D2A"/>
    <w:rsid w:val="007D0054"/>
    <w:rsid w:val="007D2B3A"/>
    <w:rsid w:val="007D2BC2"/>
    <w:rsid w:val="007D4B66"/>
    <w:rsid w:val="007E32C7"/>
    <w:rsid w:val="007E36E4"/>
    <w:rsid w:val="008153A8"/>
    <w:rsid w:val="0083370F"/>
    <w:rsid w:val="00866E42"/>
    <w:rsid w:val="00867071"/>
    <w:rsid w:val="00881EF5"/>
    <w:rsid w:val="0088259E"/>
    <w:rsid w:val="008826A8"/>
    <w:rsid w:val="008906F4"/>
    <w:rsid w:val="008E6ACF"/>
    <w:rsid w:val="008F2DB6"/>
    <w:rsid w:val="008F63A1"/>
    <w:rsid w:val="009059D4"/>
    <w:rsid w:val="009231A8"/>
    <w:rsid w:val="00941EC6"/>
    <w:rsid w:val="009526E8"/>
    <w:rsid w:val="00952816"/>
    <w:rsid w:val="00957718"/>
    <w:rsid w:val="00961FE6"/>
    <w:rsid w:val="0096239D"/>
    <w:rsid w:val="009746D1"/>
    <w:rsid w:val="0097484B"/>
    <w:rsid w:val="00976032"/>
    <w:rsid w:val="00983A59"/>
    <w:rsid w:val="00991FBE"/>
    <w:rsid w:val="009A2EA2"/>
    <w:rsid w:val="009B4D21"/>
    <w:rsid w:val="009D344C"/>
    <w:rsid w:val="009D584E"/>
    <w:rsid w:val="009D7406"/>
    <w:rsid w:val="009E1E90"/>
    <w:rsid w:val="009E6227"/>
    <w:rsid w:val="009F26B9"/>
    <w:rsid w:val="009F371C"/>
    <w:rsid w:val="009F5A69"/>
    <w:rsid w:val="009F6034"/>
    <w:rsid w:val="00A129C1"/>
    <w:rsid w:val="00A24A07"/>
    <w:rsid w:val="00A41D82"/>
    <w:rsid w:val="00A52ECD"/>
    <w:rsid w:val="00A53006"/>
    <w:rsid w:val="00A62CAB"/>
    <w:rsid w:val="00A85AA2"/>
    <w:rsid w:val="00AA188B"/>
    <w:rsid w:val="00AA54E7"/>
    <w:rsid w:val="00AA5D38"/>
    <w:rsid w:val="00AB4256"/>
    <w:rsid w:val="00AB61DF"/>
    <w:rsid w:val="00AC3CDB"/>
    <w:rsid w:val="00AD6D4F"/>
    <w:rsid w:val="00AF47AD"/>
    <w:rsid w:val="00B16F58"/>
    <w:rsid w:val="00B21747"/>
    <w:rsid w:val="00B2487B"/>
    <w:rsid w:val="00B4136F"/>
    <w:rsid w:val="00B67677"/>
    <w:rsid w:val="00B718BB"/>
    <w:rsid w:val="00B730E6"/>
    <w:rsid w:val="00B754D8"/>
    <w:rsid w:val="00B915A1"/>
    <w:rsid w:val="00BA7529"/>
    <w:rsid w:val="00BE027B"/>
    <w:rsid w:val="00BF2403"/>
    <w:rsid w:val="00BF3592"/>
    <w:rsid w:val="00BF4BAE"/>
    <w:rsid w:val="00C064D5"/>
    <w:rsid w:val="00C27EB2"/>
    <w:rsid w:val="00C419CA"/>
    <w:rsid w:val="00C64A2C"/>
    <w:rsid w:val="00C70D27"/>
    <w:rsid w:val="00C73D91"/>
    <w:rsid w:val="00C82AF3"/>
    <w:rsid w:val="00C849C4"/>
    <w:rsid w:val="00C9005B"/>
    <w:rsid w:val="00C9252C"/>
    <w:rsid w:val="00CA02AA"/>
    <w:rsid w:val="00CB2223"/>
    <w:rsid w:val="00CB3D66"/>
    <w:rsid w:val="00CD0A9E"/>
    <w:rsid w:val="00CF1D4E"/>
    <w:rsid w:val="00CF220C"/>
    <w:rsid w:val="00D15FC6"/>
    <w:rsid w:val="00D366F1"/>
    <w:rsid w:val="00D40F29"/>
    <w:rsid w:val="00D548D9"/>
    <w:rsid w:val="00D636DC"/>
    <w:rsid w:val="00DB340C"/>
    <w:rsid w:val="00DB5DA3"/>
    <w:rsid w:val="00DC240A"/>
    <w:rsid w:val="00DD2804"/>
    <w:rsid w:val="00DE33E2"/>
    <w:rsid w:val="00DF1DC4"/>
    <w:rsid w:val="00DF5B52"/>
    <w:rsid w:val="00E027EE"/>
    <w:rsid w:val="00E06CD0"/>
    <w:rsid w:val="00E06D8A"/>
    <w:rsid w:val="00E14244"/>
    <w:rsid w:val="00E22591"/>
    <w:rsid w:val="00E241F0"/>
    <w:rsid w:val="00E24FF8"/>
    <w:rsid w:val="00E30DF2"/>
    <w:rsid w:val="00E35BF2"/>
    <w:rsid w:val="00E43FA8"/>
    <w:rsid w:val="00E513D2"/>
    <w:rsid w:val="00E51DD2"/>
    <w:rsid w:val="00E51E33"/>
    <w:rsid w:val="00EA0283"/>
    <w:rsid w:val="00EB523E"/>
    <w:rsid w:val="00EC1C25"/>
    <w:rsid w:val="00ED17A3"/>
    <w:rsid w:val="00ED33BA"/>
    <w:rsid w:val="00EE033D"/>
    <w:rsid w:val="00EF1339"/>
    <w:rsid w:val="00F10BDC"/>
    <w:rsid w:val="00F176D7"/>
    <w:rsid w:val="00F22C12"/>
    <w:rsid w:val="00F3358F"/>
    <w:rsid w:val="00F40E61"/>
    <w:rsid w:val="00F474B0"/>
    <w:rsid w:val="00F5039E"/>
    <w:rsid w:val="00F509F2"/>
    <w:rsid w:val="00F57F0E"/>
    <w:rsid w:val="00F63B21"/>
    <w:rsid w:val="00F72C43"/>
    <w:rsid w:val="00F75A79"/>
    <w:rsid w:val="00F872A1"/>
    <w:rsid w:val="00F873A4"/>
    <w:rsid w:val="00F90935"/>
    <w:rsid w:val="00F91FC8"/>
    <w:rsid w:val="00F9502D"/>
    <w:rsid w:val="00FA5C4C"/>
    <w:rsid w:val="00FB3779"/>
    <w:rsid w:val="00FC7AF3"/>
    <w:rsid w:val="00FD192C"/>
    <w:rsid w:val="00FD212E"/>
    <w:rsid w:val="00FF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A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9F603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A5A3D"/>
    <w:rPr>
      <w:rFonts w:ascii="Tahoma" w:hAnsi="Tahoma" w:cs="Tahoma"/>
      <w:sz w:val="16"/>
      <w:szCs w:val="16"/>
    </w:rPr>
  </w:style>
  <w:style w:type="character" w:styleId="Hyperlink">
    <w:name w:val="Hyperlink"/>
    <w:uiPriority w:val="99"/>
    <w:rsid w:val="00B16F58"/>
    <w:rPr>
      <w:color w:val="0000FF"/>
      <w:u w:val="single"/>
    </w:rPr>
  </w:style>
  <w:style w:type="paragraph" w:styleId="Header">
    <w:name w:val="header"/>
    <w:basedOn w:val="Normal"/>
    <w:link w:val="HeaderChar"/>
    <w:rsid w:val="00A41D82"/>
    <w:pPr>
      <w:tabs>
        <w:tab w:val="center" w:pos="4680"/>
        <w:tab w:val="right" w:pos="9360"/>
      </w:tabs>
    </w:pPr>
  </w:style>
  <w:style w:type="character" w:customStyle="1" w:styleId="HeaderChar">
    <w:name w:val="Header Char"/>
    <w:link w:val="Header"/>
    <w:rsid w:val="00A41D82"/>
    <w:rPr>
      <w:sz w:val="24"/>
    </w:rPr>
  </w:style>
  <w:style w:type="paragraph" w:styleId="Footer">
    <w:name w:val="footer"/>
    <w:basedOn w:val="Normal"/>
    <w:link w:val="FooterChar"/>
    <w:uiPriority w:val="99"/>
    <w:rsid w:val="00A41D82"/>
    <w:pPr>
      <w:tabs>
        <w:tab w:val="center" w:pos="4680"/>
        <w:tab w:val="right" w:pos="9360"/>
      </w:tabs>
    </w:pPr>
  </w:style>
  <w:style w:type="character" w:customStyle="1" w:styleId="FooterChar">
    <w:name w:val="Footer Char"/>
    <w:link w:val="Footer"/>
    <w:uiPriority w:val="99"/>
    <w:rsid w:val="00A41D82"/>
    <w:rPr>
      <w:sz w:val="24"/>
    </w:rPr>
  </w:style>
  <w:style w:type="paragraph" w:styleId="ListParagraph">
    <w:name w:val="List Paragraph"/>
    <w:basedOn w:val="Normal"/>
    <w:uiPriority w:val="34"/>
    <w:qFormat/>
    <w:rsid w:val="00E513D2"/>
    <w:pPr>
      <w:ind w:left="720"/>
    </w:pPr>
  </w:style>
  <w:style w:type="paragraph" w:styleId="FootnoteText">
    <w:name w:val="footnote text"/>
    <w:aliases w:val="F1"/>
    <w:basedOn w:val="Normal"/>
    <w:link w:val="FootnoteTextChar"/>
    <w:uiPriority w:val="99"/>
    <w:rsid w:val="009526E8"/>
    <w:rPr>
      <w:sz w:val="20"/>
    </w:rPr>
  </w:style>
  <w:style w:type="character" w:customStyle="1" w:styleId="FootnoteTextChar">
    <w:name w:val="Footnote Text Char"/>
    <w:aliases w:val="F1 Char"/>
    <w:basedOn w:val="DefaultParagraphFont"/>
    <w:link w:val="FootnoteText"/>
    <w:uiPriority w:val="99"/>
    <w:rsid w:val="009526E8"/>
  </w:style>
  <w:style w:type="character" w:styleId="FootnoteReference">
    <w:name w:val="footnote reference"/>
    <w:uiPriority w:val="99"/>
    <w:rsid w:val="009526E8"/>
    <w:rPr>
      <w:vertAlign w:val="superscript"/>
    </w:rPr>
  </w:style>
  <w:style w:type="character" w:styleId="CommentReference">
    <w:name w:val="annotation reference"/>
    <w:rsid w:val="009526E8"/>
    <w:rPr>
      <w:sz w:val="16"/>
      <w:szCs w:val="16"/>
    </w:rPr>
  </w:style>
  <w:style w:type="paragraph" w:styleId="CommentText">
    <w:name w:val="annotation text"/>
    <w:basedOn w:val="Normal"/>
    <w:link w:val="CommentTextChar"/>
    <w:uiPriority w:val="99"/>
    <w:rsid w:val="009526E8"/>
    <w:rPr>
      <w:sz w:val="20"/>
    </w:rPr>
  </w:style>
  <w:style w:type="character" w:customStyle="1" w:styleId="CommentTextChar">
    <w:name w:val="Comment Text Char"/>
    <w:basedOn w:val="DefaultParagraphFont"/>
    <w:link w:val="CommentText"/>
    <w:uiPriority w:val="99"/>
    <w:rsid w:val="009526E8"/>
  </w:style>
  <w:style w:type="paragraph" w:styleId="CommentSubject">
    <w:name w:val="annotation subject"/>
    <w:basedOn w:val="CommentText"/>
    <w:next w:val="CommentText"/>
    <w:link w:val="CommentSubjectChar"/>
    <w:rsid w:val="009526E8"/>
    <w:rPr>
      <w:b/>
      <w:bCs/>
    </w:rPr>
  </w:style>
  <w:style w:type="character" w:customStyle="1" w:styleId="CommentSubjectChar">
    <w:name w:val="Comment Subject Char"/>
    <w:link w:val="CommentSubject"/>
    <w:rsid w:val="009526E8"/>
    <w:rPr>
      <w:b/>
      <w:bCs/>
    </w:rPr>
  </w:style>
  <w:style w:type="paragraph" w:customStyle="1" w:styleId="Default">
    <w:name w:val="Default"/>
    <w:rsid w:val="00F91FC8"/>
    <w:pPr>
      <w:autoSpaceDE w:val="0"/>
      <w:autoSpaceDN w:val="0"/>
      <w:adjustRightInd w:val="0"/>
    </w:pPr>
    <w:rPr>
      <w:rFonts w:ascii="JGNKO H+ New Century Schlbk" w:eastAsia="Calibri" w:hAnsi="JGNKO H+ New Century Schlbk" w:cs="JGNKO H+ New Century Schlbk"/>
      <w:color w:val="000000"/>
      <w:sz w:val="24"/>
      <w:szCs w:val="24"/>
    </w:rPr>
  </w:style>
  <w:style w:type="character" w:styleId="FollowedHyperlink">
    <w:name w:val="FollowedHyperlink"/>
    <w:rsid w:val="00F3358F"/>
    <w:rPr>
      <w:color w:val="800080"/>
      <w:u w:val="single"/>
    </w:rPr>
  </w:style>
  <w:style w:type="paragraph" w:styleId="Title">
    <w:name w:val="Title"/>
    <w:basedOn w:val="Normal"/>
    <w:next w:val="Normal"/>
    <w:link w:val="TitleChar"/>
    <w:qFormat/>
    <w:rsid w:val="009F60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F603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9F6034"/>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qFormat/>
    <w:rsid w:val="009F6034"/>
    <w:rPr>
      <w:b/>
      <w:bCs/>
    </w:rPr>
  </w:style>
  <w:style w:type="paragraph" w:styleId="Revision">
    <w:name w:val="Revision"/>
    <w:hidden/>
    <w:uiPriority w:val="99"/>
    <w:semiHidden/>
    <w:rsid w:val="00BF3592"/>
    <w:rPr>
      <w:sz w:val="24"/>
    </w:rPr>
  </w:style>
  <w:style w:type="character" w:customStyle="1" w:styleId="a">
    <w:name w:val="À"/>
    <w:uiPriority w:val="99"/>
    <w:rsid w:val="0047650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9F603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A5A3D"/>
    <w:rPr>
      <w:rFonts w:ascii="Tahoma" w:hAnsi="Tahoma" w:cs="Tahoma"/>
      <w:sz w:val="16"/>
      <w:szCs w:val="16"/>
    </w:rPr>
  </w:style>
  <w:style w:type="character" w:styleId="Hyperlink">
    <w:name w:val="Hyperlink"/>
    <w:uiPriority w:val="99"/>
    <w:rsid w:val="00B16F58"/>
    <w:rPr>
      <w:color w:val="0000FF"/>
      <w:u w:val="single"/>
    </w:rPr>
  </w:style>
  <w:style w:type="paragraph" w:styleId="Header">
    <w:name w:val="header"/>
    <w:basedOn w:val="Normal"/>
    <w:link w:val="HeaderChar"/>
    <w:rsid w:val="00A41D82"/>
    <w:pPr>
      <w:tabs>
        <w:tab w:val="center" w:pos="4680"/>
        <w:tab w:val="right" w:pos="9360"/>
      </w:tabs>
    </w:pPr>
  </w:style>
  <w:style w:type="character" w:customStyle="1" w:styleId="HeaderChar">
    <w:name w:val="Header Char"/>
    <w:link w:val="Header"/>
    <w:rsid w:val="00A41D82"/>
    <w:rPr>
      <w:sz w:val="24"/>
    </w:rPr>
  </w:style>
  <w:style w:type="paragraph" w:styleId="Footer">
    <w:name w:val="footer"/>
    <w:basedOn w:val="Normal"/>
    <w:link w:val="FooterChar"/>
    <w:uiPriority w:val="99"/>
    <w:rsid w:val="00A41D82"/>
    <w:pPr>
      <w:tabs>
        <w:tab w:val="center" w:pos="4680"/>
        <w:tab w:val="right" w:pos="9360"/>
      </w:tabs>
    </w:pPr>
  </w:style>
  <w:style w:type="character" w:customStyle="1" w:styleId="FooterChar">
    <w:name w:val="Footer Char"/>
    <w:link w:val="Footer"/>
    <w:uiPriority w:val="99"/>
    <w:rsid w:val="00A41D82"/>
    <w:rPr>
      <w:sz w:val="24"/>
    </w:rPr>
  </w:style>
  <w:style w:type="paragraph" w:styleId="ListParagraph">
    <w:name w:val="List Paragraph"/>
    <w:basedOn w:val="Normal"/>
    <w:uiPriority w:val="34"/>
    <w:qFormat/>
    <w:rsid w:val="00E513D2"/>
    <w:pPr>
      <w:ind w:left="720"/>
    </w:pPr>
  </w:style>
  <w:style w:type="paragraph" w:styleId="FootnoteText">
    <w:name w:val="footnote text"/>
    <w:aliases w:val="F1"/>
    <w:basedOn w:val="Normal"/>
    <w:link w:val="FootnoteTextChar"/>
    <w:uiPriority w:val="99"/>
    <w:rsid w:val="009526E8"/>
    <w:rPr>
      <w:sz w:val="20"/>
    </w:rPr>
  </w:style>
  <w:style w:type="character" w:customStyle="1" w:styleId="FootnoteTextChar">
    <w:name w:val="Footnote Text Char"/>
    <w:aliases w:val="F1 Char"/>
    <w:basedOn w:val="DefaultParagraphFont"/>
    <w:link w:val="FootnoteText"/>
    <w:uiPriority w:val="99"/>
    <w:rsid w:val="009526E8"/>
  </w:style>
  <w:style w:type="character" w:styleId="FootnoteReference">
    <w:name w:val="footnote reference"/>
    <w:uiPriority w:val="99"/>
    <w:rsid w:val="009526E8"/>
    <w:rPr>
      <w:vertAlign w:val="superscript"/>
    </w:rPr>
  </w:style>
  <w:style w:type="character" w:styleId="CommentReference">
    <w:name w:val="annotation reference"/>
    <w:rsid w:val="009526E8"/>
    <w:rPr>
      <w:sz w:val="16"/>
      <w:szCs w:val="16"/>
    </w:rPr>
  </w:style>
  <w:style w:type="paragraph" w:styleId="CommentText">
    <w:name w:val="annotation text"/>
    <w:basedOn w:val="Normal"/>
    <w:link w:val="CommentTextChar"/>
    <w:uiPriority w:val="99"/>
    <w:rsid w:val="009526E8"/>
    <w:rPr>
      <w:sz w:val="20"/>
    </w:rPr>
  </w:style>
  <w:style w:type="character" w:customStyle="1" w:styleId="CommentTextChar">
    <w:name w:val="Comment Text Char"/>
    <w:basedOn w:val="DefaultParagraphFont"/>
    <w:link w:val="CommentText"/>
    <w:uiPriority w:val="99"/>
    <w:rsid w:val="009526E8"/>
  </w:style>
  <w:style w:type="paragraph" w:styleId="CommentSubject">
    <w:name w:val="annotation subject"/>
    <w:basedOn w:val="CommentText"/>
    <w:next w:val="CommentText"/>
    <w:link w:val="CommentSubjectChar"/>
    <w:rsid w:val="009526E8"/>
    <w:rPr>
      <w:b/>
      <w:bCs/>
    </w:rPr>
  </w:style>
  <w:style w:type="character" w:customStyle="1" w:styleId="CommentSubjectChar">
    <w:name w:val="Comment Subject Char"/>
    <w:link w:val="CommentSubject"/>
    <w:rsid w:val="009526E8"/>
    <w:rPr>
      <w:b/>
      <w:bCs/>
    </w:rPr>
  </w:style>
  <w:style w:type="paragraph" w:customStyle="1" w:styleId="Default">
    <w:name w:val="Default"/>
    <w:rsid w:val="00F91FC8"/>
    <w:pPr>
      <w:autoSpaceDE w:val="0"/>
      <w:autoSpaceDN w:val="0"/>
      <w:adjustRightInd w:val="0"/>
    </w:pPr>
    <w:rPr>
      <w:rFonts w:ascii="JGNKO H+ New Century Schlbk" w:eastAsia="Calibri" w:hAnsi="JGNKO H+ New Century Schlbk" w:cs="JGNKO H+ New Century Schlbk"/>
      <w:color w:val="000000"/>
      <w:sz w:val="24"/>
      <w:szCs w:val="24"/>
    </w:rPr>
  </w:style>
  <w:style w:type="character" w:styleId="FollowedHyperlink">
    <w:name w:val="FollowedHyperlink"/>
    <w:rsid w:val="00F3358F"/>
    <w:rPr>
      <w:color w:val="800080"/>
      <w:u w:val="single"/>
    </w:rPr>
  </w:style>
  <w:style w:type="paragraph" w:styleId="Title">
    <w:name w:val="Title"/>
    <w:basedOn w:val="Normal"/>
    <w:next w:val="Normal"/>
    <w:link w:val="TitleChar"/>
    <w:qFormat/>
    <w:rsid w:val="009F60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F603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9F6034"/>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qFormat/>
    <w:rsid w:val="009F6034"/>
    <w:rPr>
      <w:b/>
      <w:bCs/>
    </w:rPr>
  </w:style>
  <w:style w:type="paragraph" w:styleId="Revision">
    <w:name w:val="Revision"/>
    <w:hidden/>
    <w:uiPriority w:val="99"/>
    <w:semiHidden/>
    <w:rsid w:val="00BF3592"/>
    <w:rPr>
      <w:sz w:val="24"/>
    </w:rPr>
  </w:style>
  <w:style w:type="character" w:customStyle="1" w:styleId="a">
    <w:name w:val="À"/>
    <w:uiPriority w:val="99"/>
    <w:rsid w:val="004765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963527">
      <w:bodyDiv w:val="1"/>
      <w:marLeft w:val="0"/>
      <w:marRight w:val="0"/>
      <w:marTop w:val="0"/>
      <w:marBottom w:val="0"/>
      <w:divBdr>
        <w:top w:val="none" w:sz="0" w:space="0" w:color="auto"/>
        <w:left w:val="none" w:sz="0" w:space="0" w:color="auto"/>
        <w:bottom w:val="none" w:sz="0" w:space="0" w:color="auto"/>
        <w:right w:val="none" w:sz="0" w:space="0" w:color="auto"/>
      </w:divBdr>
    </w:div>
    <w:div w:id="186451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gid.acl.gov/" TargetMode="External"/><Relationship Id="rId4" Type="http://schemas.microsoft.com/office/2007/relationships/stylesWithEffects" Target="stylesWithEffects.xml"/><Relationship Id="rId9" Type="http://schemas.openxmlformats.org/officeDocument/2006/relationships/hyperlink" Target="http://www.agid.acl.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8/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8AA59-D431-4C6C-AABE-8EE0A9CF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2456</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the Senior Medicare Patrol (SMP) Program</vt:lpstr>
    </vt:vector>
  </TitlesOfParts>
  <Company>DHHS</Company>
  <LinksUpToDate>false</LinksUpToDate>
  <CharactersWithSpaces>16426</CharactersWithSpaces>
  <SharedDoc>false</SharedDoc>
  <HLinks>
    <vt:vector size="18" baseType="variant">
      <vt:variant>
        <vt:i4>79</vt:i4>
      </vt:variant>
      <vt:variant>
        <vt:i4>3</vt:i4>
      </vt:variant>
      <vt:variant>
        <vt:i4>0</vt:i4>
      </vt:variant>
      <vt:variant>
        <vt:i4>5</vt:i4>
      </vt:variant>
      <vt:variant>
        <vt:lpwstr>http://www.agid.acl.gov/</vt:lpwstr>
      </vt:variant>
      <vt:variant>
        <vt:lpwstr/>
      </vt:variant>
      <vt:variant>
        <vt:i4>79</vt:i4>
      </vt:variant>
      <vt:variant>
        <vt:i4>0</vt:i4>
      </vt:variant>
      <vt:variant>
        <vt:i4>0</vt:i4>
      </vt:variant>
      <vt:variant>
        <vt:i4>5</vt:i4>
      </vt:variant>
      <vt:variant>
        <vt:lpwstr>http://www.agid.acl.gov/</vt:lpwstr>
      </vt:variant>
      <vt:variant>
        <vt:lpwstr/>
      </vt:variant>
      <vt:variant>
        <vt:i4>2228243</vt:i4>
      </vt:variant>
      <vt:variant>
        <vt:i4>0</vt:i4>
      </vt:variant>
      <vt:variant>
        <vt:i4>0</vt:i4>
      </vt:variant>
      <vt:variant>
        <vt:i4>5</vt:i4>
      </vt:variant>
      <vt:variant>
        <vt:lpwstr>https://www.bls.gov/oes/2016/may/oes_nat.htm</vt:lpwstr>
      </vt:variant>
      <vt:variant>
        <vt:lpwstr>13-0000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Senior Medicare Patrol (SMP) Program</dc:title>
  <dc:subject/>
  <dc:creator>DSummey</dc:creator>
  <cp:keywords/>
  <cp:lastModifiedBy>SYSTEM</cp:lastModifiedBy>
  <cp:revision>2</cp:revision>
  <cp:lastPrinted>2016-07-01T20:21:00Z</cp:lastPrinted>
  <dcterms:created xsi:type="dcterms:W3CDTF">2019-03-06T22:07:00Z</dcterms:created>
  <dcterms:modified xsi:type="dcterms:W3CDTF">2019-03-06T22:07:00Z</dcterms:modified>
</cp:coreProperties>
</file>