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295103" w:rsidRDefault="00295103" w14:paraId="5DFC2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rsidR="009B359F" w:rsidRDefault="009B359F" w14:paraId="2DA6DD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AE213F" w:rsidR="00AE213F" w:rsidP="00AE213F" w:rsidRDefault="00AE213F" w14:paraId="7590ED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lang w:bidi="en-US"/>
        </w:rPr>
      </w:pPr>
      <w:r w:rsidRPr="00AE213F">
        <w:rPr>
          <w:b/>
          <w:bCs/>
          <w:sz w:val="32"/>
          <w:szCs w:val="32"/>
          <w:lang w:bidi="en-US"/>
        </w:rPr>
        <w:t>Economic Contribution of Federal Investments in Restoration of Degraded, Damaged, or Destroyed Ecosystems.</w:t>
      </w:r>
    </w:p>
    <w:p w:rsidR="00295103" w:rsidRDefault="00295103" w14:paraId="53ECD3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3F8093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AE213F">
        <w:rPr>
          <w:b/>
          <w:bCs/>
          <w:sz w:val="32"/>
          <w:szCs w:val="32"/>
        </w:rPr>
        <w:t>1028-0107</w:t>
      </w:r>
    </w:p>
    <w:p w:rsidR="009B359F" w:rsidP="009B359F" w:rsidRDefault="009B359F" w14:paraId="42A743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25CA1A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AE213F">
        <w:rPr>
          <w:sz w:val="32"/>
          <w:szCs w:val="32"/>
        </w:rPr>
        <w:t>None.</w:t>
      </w:r>
    </w:p>
    <w:p w:rsidR="009B359F" w:rsidP="009B359F" w:rsidRDefault="009B359F" w14:paraId="55659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348ED8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6722B1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8FBFC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36187C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4774C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4FCB7B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C42E6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r w:rsidR="000F3AF1">
        <w:rPr>
          <w:sz w:val="24"/>
          <w:szCs w:val="24"/>
        </w:rPr>
        <w:t>.</w:t>
      </w:r>
    </w:p>
    <w:p w:rsidR="00AE213F" w:rsidRDefault="00AE213F" w14:paraId="3D83C1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AE213F" w:rsidP="00AE213F" w:rsidRDefault="00AE213F" w14:paraId="02B29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 mission of the DOI Natural Resource Damage Assessment and Restoration Program (NRDA Restoration Program) is to restore natural resources injured as a result of oil spills or hazardous substance releases into the environment. As authorized by the Comprehensive Environmental Response, Compensation, and Liability Act of 1980 (CERCLA)</w:t>
      </w:r>
      <w:r w:rsidR="001F3F04">
        <w:rPr>
          <w:sz w:val="24"/>
          <w:szCs w:val="24"/>
        </w:rPr>
        <w:t>,</w:t>
      </w:r>
      <w:r>
        <w:rPr>
          <w:rStyle w:val="FootnoteReference"/>
          <w:sz w:val="24"/>
          <w:szCs w:val="24"/>
        </w:rPr>
        <w:footnoteReference w:id="1"/>
      </w:r>
      <w:r w:rsidRPr="00CC627F">
        <w:rPr>
          <w:sz w:val="24"/>
          <w:szCs w:val="24"/>
        </w:rPr>
        <w:t xml:space="preserve"> Oil Pollution Act of 1990 (OPA)</w:t>
      </w:r>
      <w:r w:rsidR="001F3F04">
        <w:rPr>
          <w:sz w:val="24"/>
          <w:szCs w:val="24"/>
        </w:rPr>
        <w:t>,</w:t>
      </w:r>
      <w:r>
        <w:rPr>
          <w:rStyle w:val="FootnoteReference"/>
          <w:sz w:val="24"/>
          <w:szCs w:val="24"/>
        </w:rPr>
        <w:footnoteReference w:id="2"/>
      </w:r>
      <w:r w:rsidRPr="00CC627F">
        <w:rPr>
          <w:sz w:val="24"/>
          <w:szCs w:val="24"/>
        </w:rPr>
        <w:t xml:space="preserve"> and Federal Water Pollution Control Act or Clean Water Act (CWA)</w:t>
      </w:r>
      <w:r w:rsidR="001F3F04">
        <w:rPr>
          <w:sz w:val="24"/>
          <w:szCs w:val="24"/>
        </w:rPr>
        <w:t>,</w:t>
      </w:r>
      <w:r>
        <w:rPr>
          <w:rStyle w:val="FootnoteReference"/>
          <w:sz w:val="24"/>
          <w:szCs w:val="24"/>
        </w:rPr>
        <w:footnoteReference w:id="3"/>
      </w:r>
      <w:r w:rsidRPr="00CC627F">
        <w:rPr>
          <w:sz w:val="24"/>
          <w:szCs w:val="24"/>
        </w:rPr>
        <w:t xml:space="preserve"> injuries to natural resources that the DOI manages or controls are assessed and appropriate restoration projects are identified in contemplation of negotiated settlements or legal actions (in rare cases) with potentially responsible parties. Under these authorizing legislations as well as the American </w:t>
      </w:r>
      <w:r>
        <w:rPr>
          <w:sz w:val="24"/>
          <w:szCs w:val="24"/>
        </w:rPr>
        <w:t>Recovery and Reinvestment</w:t>
      </w:r>
      <w:r w:rsidRPr="00CC627F">
        <w:rPr>
          <w:sz w:val="24"/>
          <w:szCs w:val="24"/>
        </w:rPr>
        <w:t xml:space="preserve"> Act</w:t>
      </w:r>
      <w:r>
        <w:rPr>
          <w:sz w:val="24"/>
          <w:szCs w:val="24"/>
        </w:rPr>
        <w:t xml:space="preserve"> of 2009</w:t>
      </w:r>
      <w:r w:rsidRPr="00CC627F">
        <w:rPr>
          <w:sz w:val="24"/>
          <w:szCs w:val="24"/>
        </w:rPr>
        <w:t xml:space="preserve"> (ARRA)</w:t>
      </w:r>
      <w:r w:rsidR="001F3F04">
        <w:rPr>
          <w:sz w:val="24"/>
          <w:szCs w:val="24"/>
        </w:rPr>
        <w:t>,</w:t>
      </w:r>
      <w:r>
        <w:rPr>
          <w:rStyle w:val="FootnoteReference"/>
          <w:sz w:val="24"/>
          <w:szCs w:val="24"/>
        </w:rPr>
        <w:footnoteReference w:id="4"/>
      </w:r>
      <w:r w:rsidRPr="00CC627F">
        <w:rPr>
          <w:sz w:val="24"/>
          <w:szCs w:val="24"/>
        </w:rPr>
        <w:t xml:space="preserve"> the U.S. Department of the Interior (DOI) is implementing restoration projects across the nation to restore injured natural resources and to improve the health and resiliency of terrestrial, freshwater</w:t>
      </w:r>
      <w:r w:rsidR="001F3F04">
        <w:rPr>
          <w:sz w:val="24"/>
          <w:szCs w:val="24"/>
        </w:rPr>
        <w:t>,</w:t>
      </w:r>
      <w:r w:rsidRPr="00CC627F">
        <w:rPr>
          <w:sz w:val="24"/>
          <w:szCs w:val="24"/>
        </w:rPr>
        <w:t xml:space="preserve"> and marine ecosystems. </w:t>
      </w:r>
    </w:p>
    <w:p w:rsidRPr="00CC627F" w:rsidR="00AE213F" w:rsidP="00AE213F" w:rsidRDefault="00AE213F" w14:paraId="18802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C627F" w:rsidR="00AE213F" w:rsidP="00AE213F" w:rsidRDefault="00AE213F" w14:paraId="06B6C6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Under NRDA, settlements for natural resource injuries are usually based on the cost of restoration projects, which are often implemented by third parties with federal, state and/or tribal government oversight. The restoration industry tends to use fixed price contracts, which leaves all levels of government at a disadvantage in understanding restoration costs. The NRDA Restoration Program needs actual unit costs to enhance its ability to ensure settlements sufficiently compensate the public for natural resource damage and to help ensure that the money spent on assessment is not disproportionate to the expected settlement for restoration.  Better </w:t>
      </w:r>
      <w:r w:rsidRPr="00CC627F">
        <w:rPr>
          <w:sz w:val="24"/>
          <w:szCs w:val="24"/>
        </w:rPr>
        <w:lastRenderedPageBreak/>
        <w:t>information on actual costs is expected to broadly benefit all levels of government through Trustee Councils, which can include state and tribal representatives.  From an economic perspective, correcting incomplete information (also called information asymmetry) leads to better decisions and performance.</w:t>
      </w:r>
    </w:p>
    <w:p w:rsidRPr="00CC627F" w:rsidR="00AE213F" w:rsidP="00AE213F" w:rsidRDefault="00AE213F" w14:paraId="2CE593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C627F" w:rsidR="00AE213F" w:rsidP="00AE213F" w:rsidRDefault="00AE213F" w14:paraId="7E514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In addition to increased information on the costs of restoration, there is a need to better understand the relationship between restoration investments and job creation.  An emphasis on quantifying the relationship between job creation and investments in ecological restoration is evident in Interior’s annual report on the Department’s economic contribution to the Nation’s economy</w:t>
      </w:r>
      <w:r w:rsidR="001F3F04">
        <w:rPr>
          <w:sz w:val="24"/>
          <w:szCs w:val="24"/>
        </w:rPr>
        <w:t>.</w:t>
      </w:r>
      <w:r>
        <w:rPr>
          <w:rStyle w:val="FootnoteReference"/>
          <w:sz w:val="24"/>
          <w:szCs w:val="24"/>
        </w:rPr>
        <w:footnoteReference w:id="5"/>
      </w:r>
      <w:r w:rsidRPr="00CC627F">
        <w:rPr>
          <w:sz w:val="24"/>
          <w:szCs w:val="24"/>
        </w:rPr>
        <w:t xml:space="preserve">   </w:t>
      </w:r>
    </w:p>
    <w:p w:rsidRPr="00CC627F" w:rsidR="00AE213F" w:rsidP="00AE213F" w:rsidRDefault="00AE213F" w14:paraId="0FCEA0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C627F" w:rsidR="00AE213F" w:rsidP="00AE213F" w:rsidRDefault="00AE213F" w14:paraId="05006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Researchers with the U.S. Geological Survey (USGS)</w:t>
      </w:r>
      <w:r>
        <w:rPr>
          <w:sz w:val="24"/>
          <w:szCs w:val="24"/>
        </w:rPr>
        <w:t xml:space="preserve"> and the DOI Office of Policy Analysis</w:t>
      </w:r>
      <w:r w:rsidRPr="00CC627F">
        <w:rPr>
          <w:sz w:val="24"/>
          <w:szCs w:val="24"/>
        </w:rPr>
        <w:t xml:space="preserve"> are conducting this information collection at the request of the NRDA Restoration Program. The NRDA Restoration Program is </w:t>
      </w:r>
      <w:r>
        <w:rPr>
          <w:sz w:val="24"/>
          <w:szCs w:val="24"/>
        </w:rPr>
        <w:t>weighing</w:t>
      </w:r>
      <w:r w:rsidRPr="00CC627F">
        <w:rPr>
          <w:sz w:val="24"/>
          <w:szCs w:val="24"/>
        </w:rPr>
        <w:t xml:space="preserve"> </w:t>
      </w:r>
      <w:r>
        <w:rPr>
          <w:sz w:val="24"/>
          <w:szCs w:val="24"/>
        </w:rPr>
        <w:t xml:space="preserve">the pros and cons of </w:t>
      </w:r>
      <w:r w:rsidRPr="00CC627F">
        <w:rPr>
          <w:sz w:val="24"/>
          <w:szCs w:val="24"/>
        </w:rPr>
        <w:t>collecting restoration cost data as part of contractor reporting requirements for restoration projects associated with Natural Resource Damage Assessment and Restoration (NRDAR) cases. The collection described under this request is designed to refine potential expenditure and project summary questions prior to</w:t>
      </w:r>
      <w:r>
        <w:rPr>
          <w:sz w:val="24"/>
          <w:szCs w:val="24"/>
        </w:rPr>
        <w:t xml:space="preserve"> developing </w:t>
      </w:r>
      <w:r w:rsidRPr="00CC627F">
        <w:rPr>
          <w:sz w:val="24"/>
          <w:szCs w:val="24"/>
        </w:rPr>
        <w:t xml:space="preserve">contractor reporting requirements.  </w:t>
      </w:r>
    </w:p>
    <w:p w:rsidRPr="00CC627F" w:rsidR="00AE213F" w:rsidP="00AE213F" w:rsidRDefault="00AE213F" w14:paraId="7B151E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highlight w:val="yellow"/>
        </w:rPr>
      </w:pPr>
    </w:p>
    <w:p w:rsidR="003755A0" w:rsidP="00AE213F" w:rsidRDefault="00AE213F" w14:paraId="743027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This is a continuation of collection OMB-1028-0107 that was initiated in 2013. Case studies and methods developed through this original collection are published in a USGS Open File Report titled “Estimating the Economic Impacts of Ecosystem Restoration—Methods and Case Studies</w:t>
      </w:r>
      <w:r w:rsidR="001F3F04">
        <w:rPr>
          <w:sz w:val="24"/>
          <w:szCs w:val="24"/>
        </w:rPr>
        <w:t>.</w:t>
      </w:r>
      <w:r w:rsidRPr="00CC627F">
        <w:rPr>
          <w:sz w:val="24"/>
          <w:szCs w:val="24"/>
        </w:rPr>
        <w:t>”</w:t>
      </w:r>
      <w:r>
        <w:rPr>
          <w:rStyle w:val="FootnoteReference"/>
          <w:sz w:val="24"/>
          <w:szCs w:val="24"/>
        </w:rPr>
        <w:footnoteReference w:id="6"/>
      </w:r>
      <w:r w:rsidRPr="00CC627F">
        <w:rPr>
          <w:sz w:val="24"/>
          <w:szCs w:val="24"/>
        </w:rPr>
        <w:t xml:space="preserve"> USGS and the </w:t>
      </w:r>
      <w:r>
        <w:rPr>
          <w:sz w:val="24"/>
          <w:szCs w:val="24"/>
        </w:rPr>
        <w:t>DOI Office of Policy Analysis</w:t>
      </w:r>
      <w:r w:rsidRPr="00CC627F">
        <w:rPr>
          <w:sz w:val="24"/>
          <w:szCs w:val="24"/>
        </w:rPr>
        <w:t xml:space="preserve"> </w:t>
      </w:r>
      <w:r w:rsidR="003755A0">
        <w:rPr>
          <w:sz w:val="24"/>
          <w:szCs w:val="24"/>
        </w:rPr>
        <w:t>modified</w:t>
      </w:r>
      <w:r w:rsidRPr="00CC627F">
        <w:rPr>
          <w:sz w:val="24"/>
          <w:szCs w:val="24"/>
        </w:rPr>
        <w:t xml:space="preserve"> the survey instrument and analysis methodologies based on lessons learned from the original effort.</w:t>
      </w:r>
      <w:r w:rsidR="003755A0">
        <w:rPr>
          <w:sz w:val="24"/>
          <w:szCs w:val="24"/>
        </w:rPr>
        <w:t xml:space="preserve"> The modified survey instrument and methods have been tested </w:t>
      </w:r>
      <w:r w:rsidR="001E7900">
        <w:rPr>
          <w:sz w:val="24"/>
          <w:szCs w:val="24"/>
        </w:rPr>
        <w:t>with</w:t>
      </w:r>
      <w:r w:rsidR="003755A0">
        <w:rPr>
          <w:sz w:val="24"/>
          <w:szCs w:val="24"/>
        </w:rPr>
        <w:t xml:space="preserve"> several additional case studies</w:t>
      </w:r>
      <w:r w:rsidR="001E7900">
        <w:rPr>
          <w:sz w:val="24"/>
          <w:szCs w:val="24"/>
        </w:rPr>
        <w:t xml:space="preserve"> and have been further refined</w:t>
      </w:r>
      <w:r w:rsidR="00111A85">
        <w:rPr>
          <w:sz w:val="24"/>
          <w:szCs w:val="24"/>
        </w:rPr>
        <w:t>.</w:t>
      </w:r>
      <w:r w:rsidR="001E7900">
        <w:rPr>
          <w:rStyle w:val="FootnoteReference"/>
          <w:sz w:val="24"/>
          <w:szCs w:val="24"/>
        </w:rPr>
        <w:footnoteReference w:id="7"/>
      </w:r>
      <w:r w:rsidRPr="00041027" w:rsidR="001E7900">
        <w:rPr>
          <w:sz w:val="24"/>
          <w:szCs w:val="24"/>
          <w:vertAlign w:val="superscript"/>
        </w:rPr>
        <w:t>,</w:t>
      </w:r>
      <w:r w:rsidR="001E7900">
        <w:rPr>
          <w:rStyle w:val="FootnoteReference"/>
          <w:sz w:val="24"/>
          <w:szCs w:val="24"/>
        </w:rPr>
        <w:footnoteReference w:id="8"/>
      </w:r>
      <w:r w:rsidR="008077F1">
        <w:rPr>
          <w:sz w:val="24"/>
          <w:szCs w:val="24"/>
          <w:vertAlign w:val="superscript"/>
        </w:rPr>
        <w:t>,</w:t>
      </w:r>
      <w:r w:rsidR="008077F1">
        <w:rPr>
          <w:rStyle w:val="FootnoteReference"/>
          <w:sz w:val="24"/>
          <w:szCs w:val="24"/>
        </w:rPr>
        <w:footnoteReference w:id="9"/>
      </w:r>
    </w:p>
    <w:p w:rsidRPr="00CC627F" w:rsidR="00AE213F" w:rsidP="00AE213F" w:rsidRDefault="00AE213F" w14:paraId="76700C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  </w:t>
      </w:r>
    </w:p>
    <w:p w:rsidR="00AE213F" w:rsidP="00AE213F" w:rsidRDefault="001E7900" w14:paraId="4389D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w:t>
      </w:r>
      <w:r w:rsidR="008519B5">
        <w:rPr>
          <w:sz w:val="24"/>
          <w:szCs w:val="24"/>
        </w:rPr>
        <w:t xml:space="preserve">Office of Restoration and Damage Assessment (ORDA) </w:t>
      </w:r>
      <w:r w:rsidR="001F3F04">
        <w:rPr>
          <w:sz w:val="24"/>
          <w:szCs w:val="24"/>
        </w:rPr>
        <w:t xml:space="preserve">has </w:t>
      </w:r>
      <w:r w:rsidR="008519B5">
        <w:rPr>
          <w:sz w:val="24"/>
          <w:szCs w:val="24"/>
        </w:rPr>
        <w:t>fund</w:t>
      </w:r>
      <w:r w:rsidR="001F3F04">
        <w:rPr>
          <w:sz w:val="24"/>
          <w:szCs w:val="24"/>
        </w:rPr>
        <w:t>ed</w:t>
      </w:r>
      <w:r w:rsidR="008519B5">
        <w:rPr>
          <w:sz w:val="24"/>
          <w:szCs w:val="24"/>
        </w:rPr>
        <w:t xml:space="preserve"> </w:t>
      </w:r>
      <w:r>
        <w:rPr>
          <w:sz w:val="24"/>
          <w:szCs w:val="24"/>
        </w:rPr>
        <w:t>develop</w:t>
      </w:r>
      <w:r w:rsidR="008519B5">
        <w:rPr>
          <w:sz w:val="24"/>
          <w:szCs w:val="24"/>
        </w:rPr>
        <w:t>ment</w:t>
      </w:r>
      <w:r>
        <w:rPr>
          <w:sz w:val="24"/>
          <w:szCs w:val="24"/>
        </w:rPr>
        <w:t xml:space="preserve"> </w:t>
      </w:r>
      <w:r w:rsidR="008519B5">
        <w:rPr>
          <w:sz w:val="24"/>
          <w:szCs w:val="24"/>
        </w:rPr>
        <w:t xml:space="preserve">of </w:t>
      </w:r>
      <w:r>
        <w:rPr>
          <w:sz w:val="24"/>
          <w:szCs w:val="24"/>
        </w:rPr>
        <w:t xml:space="preserve">a Web-based data collection form that would enable broader collection of restoration project expenditure data. The new Web-based data collection tool will be tested </w:t>
      </w:r>
      <w:r w:rsidR="00F0369A">
        <w:rPr>
          <w:sz w:val="24"/>
          <w:szCs w:val="24"/>
        </w:rPr>
        <w:t xml:space="preserve">using new case study restoration projects. </w:t>
      </w:r>
      <w:r w:rsidRPr="00CC627F" w:rsidR="00AE213F">
        <w:rPr>
          <w:sz w:val="24"/>
          <w:szCs w:val="24"/>
        </w:rPr>
        <w:t xml:space="preserve">Expenditure data will be collected and economic impacts will be estimated for approximately 10 DOI restoration projects per year for 3 years.  </w:t>
      </w:r>
    </w:p>
    <w:p w:rsidR="00295103" w:rsidRDefault="00295103" w14:paraId="1A18B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0BF39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Pr>
          <w:sz w:val="24"/>
          <w:szCs w:val="24"/>
        </w:rPr>
        <w:t xml:space="preserve"> </w:t>
      </w:r>
      <w:r>
        <w:rPr>
          <w:sz w:val="24"/>
          <w:szCs w:val="24"/>
        </w:rPr>
        <w:t xml:space="preserve">Be specific.  If this collection is a form or a questionnaire, every </w:t>
      </w:r>
      <w:r w:rsidR="00DE1FFE">
        <w:rPr>
          <w:sz w:val="24"/>
          <w:szCs w:val="24"/>
        </w:rPr>
        <w:t>question needs to be justified.</w:t>
      </w:r>
    </w:p>
    <w:p w:rsidR="00AE213F" w:rsidRDefault="00AE213F" w14:paraId="031A1F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AE213F" w:rsidP="00AE213F" w:rsidRDefault="00AE213F" w14:paraId="1C44E3F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lastRenderedPageBreak/>
        <w:t xml:space="preserve">As indicated in #1 above, information from this data collection will be used to refine potential expenditure and project summary questions and validate the data collection process for estimating the costs of restoration and the resultant economic impacts of DOI restoration projects. Collection of these data is necessary to improve agency decision making on individual restoration projects, to help prioritize spending across restoration projects, and to meet internal guidelines for credible economic analysis. The data collected under this authorization will help the NRDA Restoration Program </w:t>
      </w:r>
      <w:r w:rsidR="00F0369A">
        <w:rPr>
          <w:sz w:val="24"/>
          <w:szCs w:val="24"/>
        </w:rPr>
        <w:t>test a Web-based implementation of this data collection.</w:t>
      </w:r>
      <w:r w:rsidRPr="00CC627F">
        <w:rPr>
          <w:sz w:val="24"/>
          <w:szCs w:val="24"/>
        </w:rPr>
        <w:t xml:space="preserve"> How and for what purpose the information will be used is described below and in the attached surveys.</w:t>
      </w:r>
    </w:p>
    <w:p w:rsidRPr="00CC627F" w:rsidR="00AE213F" w:rsidP="00AE213F" w:rsidRDefault="00AE213F" w14:paraId="19EB02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C627F" w:rsidR="00AE213F" w:rsidP="00AE213F" w:rsidRDefault="00AE213F" w14:paraId="67D3A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This collection </w:t>
      </w:r>
      <w:r w:rsidR="00F0369A">
        <w:rPr>
          <w:sz w:val="24"/>
          <w:szCs w:val="24"/>
        </w:rPr>
        <w:t>includes a project expenditure survey to be</w:t>
      </w:r>
      <w:r w:rsidRPr="00CC627F">
        <w:rPr>
          <w:sz w:val="24"/>
          <w:szCs w:val="24"/>
        </w:rPr>
        <w:t xml:space="preserve"> completed by the project manager for each case study project.</w:t>
      </w:r>
    </w:p>
    <w:p w:rsidRPr="00CC627F" w:rsidR="00AE213F" w:rsidP="00AE213F" w:rsidRDefault="00AE213F" w14:paraId="3CDA7F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CC627F" w:rsidR="00AE213F" w:rsidP="00AE213F" w:rsidRDefault="00AE213F" w14:paraId="256206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 purpose of the expenditure survey is to gather project cost data that will be used to estimate the economic impacts to local economies and to the national economy.  Sufficient data will be collected to enable cost data to be split by project phase (planning/project management</w:t>
      </w:r>
      <w:r>
        <w:rPr>
          <w:sz w:val="24"/>
          <w:szCs w:val="24"/>
        </w:rPr>
        <w:t>/compliance activities</w:t>
      </w:r>
      <w:r w:rsidRPr="00CC627F">
        <w:rPr>
          <w:sz w:val="24"/>
          <w:szCs w:val="24"/>
        </w:rPr>
        <w:t xml:space="preserve">, implementation, monitoring), by restoration actions (e.g., aerial seeding, streambank stabilization, project management, etc.), and by year. Cost data and contractor NAICS codes will be used to develop IMPLAN economic input/output models to estimate the direct and secondary economic impacts of expenditures. Justifications for questions asked in the project expenditure survey are included </w:t>
      </w:r>
      <w:r>
        <w:rPr>
          <w:sz w:val="24"/>
          <w:szCs w:val="24"/>
        </w:rPr>
        <w:t>with</w:t>
      </w:r>
      <w:r w:rsidRPr="00CC627F">
        <w:rPr>
          <w:sz w:val="24"/>
          <w:szCs w:val="24"/>
        </w:rPr>
        <w:t xml:space="preserve"> the expenditure survey instruction letter.</w:t>
      </w:r>
    </w:p>
    <w:p w:rsidR="00295103" w:rsidRDefault="00295103" w14:paraId="3C916B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1DD21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D2272" w:rsidRDefault="009D2272" w14:paraId="0B488D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B308BF" w:rsidP="009D2272" w:rsidRDefault="008077F1" w14:paraId="79726C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To date, the expenditure survey has been</w:t>
      </w:r>
      <w:r w:rsidRPr="00CC627F" w:rsidR="009D2272">
        <w:rPr>
          <w:bCs/>
          <w:sz w:val="24"/>
          <w:szCs w:val="24"/>
        </w:rPr>
        <w:t xml:space="preserve"> delivered to respondents as a</w:t>
      </w:r>
      <w:r w:rsidR="00C61567">
        <w:rPr>
          <w:bCs/>
          <w:sz w:val="24"/>
          <w:szCs w:val="24"/>
        </w:rPr>
        <w:t xml:space="preserve"> Microsoft</w:t>
      </w:r>
      <w:r w:rsidRPr="00CC627F" w:rsidR="009D2272">
        <w:rPr>
          <w:bCs/>
          <w:sz w:val="24"/>
          <w:szCs w:val="24"/>
        </w:rPr>
        <w:t xml:space="preserve"> Excel spreadsheet attachment in an email. Respondents </w:t>
      </w:r>
      <w:r>
        <w:rPr>
          <w:bCs/>
          <w:sz w:val="24"/>
          <w:szCs w:val="24"/>
        </w:rPr>
        <w:t>are</w:t>
      </w:r>
      <w:r w:rsidRPr="00CC627F" w:rsidR="009D2272">
        <w:rPr>
          <w:bCs/>
          <w:sz w:val="24"/>
          <w:szCs w:val="24"/>
        </w:rPr>
        <w:t xml:space="preserve"> asked to return the completed expenditure survey via email. Data collection for this information collection is designed to be 100% electronic, but paper versions of the surveys </w:t>
      </w:r>
      <w:r w:rsidR="00B308BF">
        <w:rPr>
          <w:bCs/>
          <w:sz w:val="24"/>
          <w:szCs w:val="24"/>
        </w:rPr>
        <w:t>can</w:t>
      </w:r>
      <w:r w:rsidRPr="00CC627F" w:rsidR="00B308BF">
        <w:rPr>
          <w:bCs/>
          <w:sz w:val="24"/>
          <w:szCs w:val="24"/>
        </w:rPr>
        <w:t xml:space="preserve"> </w:t>
      </w:r>
      <w:r w:rsidRPr="00CC627F" w:rsidR="009D2272">
        <w:rPr>
          <w:bCs/>
          <w:sz w:val="24"/>
          <w:szCs w:val="24"/>
        </w:rPr>
        <w:t xml:space="preserve">be made available to all respondents who lack the appropriate technology to access the Excel-based survey. </w:t>
      </w:r>
    </w:p>
    <w:p w:rsidR="00B308BF" w:rsidP="009D2272" w:rsidRDefault="00B308BF" w14:paraId="35A9A5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CC627F" w:rsidR="009D2272" w:rsidP="009D2272" w:rsidRDefault="00B308BF" w14:paraId="484A2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ORDA </w:t>
      </w:r>
      <w:r w:rsidR="008519B5">
        <w:rPr>
          <w:bCs/>
          <w:sz w:val="24"/>
          <w:szCs w:val="24"/>
        </w:rPr>
        <w:t>is implementing</w:t>
      </w:r>
      <w:r>
        <w:rPr>
          <w:bCs/>
          <w:sz w:val="24"/>
          <w:szCs w:val="24"/>
        </w:rPr>
        <w:t xml:space="preserve"> a Web-based collection form</w:t>
      </w:r>
      <w:r w:rsidR="008519B5">
        <w:rPr>
          <w:bCs/>
          <w:sz w:val="24"/>
          <w:szCs w:val="24"/>
        </w:rPr>
        <w:t xml:space="preserve"> to expedite the data collection process</w:t>
      </w:r>
      <w:r>
        <w:rPr>
          <w:bCs/>
          <w:sz w:val="24"/>
          <w:szCs w:val="24"/>
        </w:rPr>
        <w:t xml:space="preserve">. We will test the Web-application by working with project managers for case study restoration projects. </w:t>
      </w:r>
    </w:p>
    <w:p w:rsidR="00295103" w:rsidRDefault="00295103" w14:paraId="5F7688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16688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9D2272" w:rsidRDefault="009D2272" w14:paraId="358D8C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125AAE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This collection is focused on the collection of restoration expenditure data. The NRDA Restoration Program requires restoration unit cost data, which </w:t>
      </w:r>
      <w:r>
        <w:rPr>
          <w:sz w:val="24"/>
          <w:szCs w:val="24"/>
        </w:rPr>
        <w:t>are</w:t>
      </w:r>
      <w:r w:rsidRPr="00CC627F">
        <w:rPr>
          <w:sz w:val="24"/>
          <w:szCs w:val="24"/>
        </w:rPr>
        <w:t xml:space="preserve"> currently </w:t>
      </w:r>
      <w:r w:rsidR="00C61567">
        <w:rPr>
          <w:sz w:val="24"/>
          <w:szCs w:val="24"/>
        </w:rPr>
        <w:t>un</w:t>
      </w:r>
      <w:r w:rsidRPr="00CC627F">
        <w:rPr>
          <w:sz w:val="24"/>
          <w:szCs w:val="24"/>
        </w:rPr>
        <w:t xml:space="preserve">available. This </w:t>
      </w:r>
      <w:r w:rsidRPr="00CC627F">
        <w:rPr>
          <w:sz w:val="24"/>
          <w:szCs w:val="24"/>
        </w:rPr>
        <w:lastRenderedPageBreak/>
        <w:t>effort continues an exploration of the best way to collect these data so that expenditure data can be split by project phase (planning/project management</w:t>
      </w:r>
      <w:r>
        <w:rPr>
          <w:sz w:val="24"/>
          <w:szCs w:val="24"/>
        </w:rPr>
        <w:t>/compliance activities</w:t>
      </w:r>
      <w:r w:rsidRPr="00CC627F">
        <w:rPr>
          <w:sz w:val="24"/>
          <w:szCs w:val="24"/>
        </w:rPr>
        <w:t>, implementation, monitoring) and by restoration actions (e.g., aerial seeding, streambank stabilization, project management, etc.), and so that expenditure data can be used to estimate the economic impacts of restoration projects. The NRDA Restoration Program seeks reliable data for a broad range of restoration activities across the nation. To better understand DOI-related restoration, the USGS previously quantified expenditures and economic impacts for</w:t>
      </w:r>
      <w:r>
        <w:rPr>
          <w:sz w:val="24"/>
          <w:szCs w:val="24"/>
        </w:rPr>
        <w:t xml:space="preserve"> a total of</w:t>
      </w:r>
      <w:r w:rsidRPr="00CC627F">
        <w:rPr>
          <w:sz w:val="24"/>
          <w:szCs w:val="24"/>
        </w:rPr>
        <w:t xml:space="preserve"> 31 restoration projects supported by DOI bureaus and partners</w:t>
      </w:r>
      <w:r>
        <w:rPr>
          <w:sz w:val="24"/>
          <w:szCs w:val="24"/>
        </w:rPr>
        <w:t xml:space="preserve"> (21 published in Cullinane Thomas et al. 2016, and 10 published in the Department of the Interior’s Economic Contributions for FY2011)</w:t>
      </w:r>
      <w:r w:rsidRPr="00CC627F">
        <w:rPr>
          <w:sz w:val="24"/>
          <w:szCs w:val="24"/>
        </w:rPr>
        <w:t xml:space="preserve">. The results from these case studies </w:t>
      </w:r>
      <w:r w:rsidR="00C61567">
        <w:rPr>
          <w:sz w:val="24"/>
          <w:szCs w:val="24"/>
        </w:rPr>
        <w:t>indicated</w:t>
      </w:r>
      <w:r w:rsidRPr="00CC627F">
        <w:rPr>
          <w:sz w:val="24"/>
          <w:szCs w:val="24"/>
        </w:rPr>
        <w:t xml:space="preserve"> there is a large amount of variation in the economic impacts supported by restoration investments. Because of this substantial variation, it has become clear that applying generic economic impact multipliers from studies that estimate impacts of </w:t>
      </w:r>
      <w:r w:rsidR="00C61567">
        <w:rPr>
          <w:sz w:val="24"/>
          <w:szCs w:val="24"/>
        </w:rPr>
        <w:t>dis</w:t>
      </w:r>
      <w:r w:rsidRPr="00CC627F">
        <w:rPr>
          <w:sz w:val="24"/>
          <w:szCs w:val="24"/>
        </w:rPr>
        <w:t xml:space="preserve">similar restoration projects is likely to result in large </w:t>
      </w:r>
      <w:r w:rsidR="00C61567">
        <w:rPr>
          <w:sz w:val="24"/>
          <w:szCs w:val="24"/>
        </w:rPr>
        <w:t xml:space="preserve">reporting </w:t>
      </w:r>
      <w:r w:rsidRPr="00CC627F">
        <w:rPr>
          <w:sz w:val="24"/>
          <w:szCs w:val="24"/>
        </w:rPr>
        <w:t>errors. The</w:t>
      </w:r>
      <w:r w:rsidR="00C61567">
        <w:rPr>
          <w:sz w:val="24"/>
          <w:szCs w:val="24"/>
        </w:rPr>
        <w:t>se</w:t>
      </w:r>
      <w:r w:rsidRPr="00CC627F">
        <w:rPr>
          <w:sz w:val="24"/>
          <w:szCs w:val="24"/>
        </w:rPr>
        <w:t xml:space="preserve"> original case-studies represent only a small subset of the broad range of restoration projects supported by DOI.     </w:t>
      </w:r>
    </w:p>
    <w:p w:rsidRPr="00CC627F" w:rsidR="009D2272" w:rsidP="009D2272" w:rsidRDefault="009D2272" w14:paraId="3BD4F7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C627F" w:rsidR="009D2272" w:rsidP="009D2272" w:rsidRDefault="009D2272" w14:paraId="74391870" w14:textId="37620E0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There is relatively limited information available on the costs and the associated economic impacts of ecosystem restoration projects. Several studies have addressed impacts of specific restoration projects, but these estimates are not generalizable to other restoration projects.  Specifically, </w:t>
      </w:r>
      <w:proofErr w:type="spellStart"/>
      <w:r w:rsidRPr="00CC627F">
        <w:rPr>
          <w:sz w:val="24"/>
          <w:szCs w:val="24"/>
        </w:rPr>
        <w:t>Laughland</w:t>
      </w:r>
      <w:proofErr w:type="spellEnd"/>
      <w:r w:rsidRPr="00CC627F">
        <w:rPr>
          <w:sz w:val="24"/>
          <w:szCs w:val="24"/>
        </w:rPr>
        <w:t xml:space="preserve"> and others</w:t>
      </w:r>
      <w:r>
        <w:rPr>
          <w:rStyle w:val="FootnoteReference"/>
          <w:sz w:val="24"/>
          <w:szCs w:val="24"/>
        </w:rPr>
        <w:footnoteReference w:id="10"/>
      </w:r>
      <w:r w:rsidRPr="00CC627F">
        <w:rPr>
          <w:sz w:val="24"/>
          <w:szCs w:val="24"/>
        </w:rPr>
        <w:t xml:space="preserve"> estimate</w:t>
      </w:r>
      <w:r w:rsidR="00C813A3">
        <w:rPr>
          <w:sz w:val="24"/>
          <w:szCs w:val="24"/>
        </w:rPr>
        <w:t>d</w:t>
      </w:r>
      <w:r w:rsidRPr="00CC627F">
        <w:rPr>
          <w:sz w:val="24"/>
          <w:szCs w:val="24"/>
        </w:rPr>
        <w:t xml:space="preserve"> the economic impacts of the U.S. Fish and Wildlife Service’s Partners for Fish and Wildlife and Coastal Programs; </w:t>
      </w:r>
      <w:proofErr w:type="spellStart"/>
      <w:r w:rsidRPr="00CC627F">
        <w:rPr>
          <w:sz w:val="24"/>
          <w:szCs w:val="24"/>
        </w:rPr>
        <w:t>Hjerpe</w:t>
      </w:r>
      <w:proofErr w:type="spellEnd"/>
      <w:r w:rsidRPr="00CC627F">
        <w:rPr>
          <w:sz w:val="24"/>
          <w:szCs w:val="24"/>
        </w:rPr>
        <w:t xml:space="preserve"> and Kim</w:t>
      </w:r>
      <w:r w:rsidR="00C61567">
        <w:rPr>
          <w:sz w:val="24"/>
          <w:szCs w:val="24"/>
        </w:rPr>
        <w:t>,</w:t>
      </w:r>
      <w:r>
        <w:rPr>
          <w:rStyle w:val="FootnoteReference"/>
          <w:sz w:val="24"/>
          <w:szCs w:val="24"/>
        </w:rPr>
        <w:footnoteReference w:id="11"/>
      </w:r>
      <w:r w:rsidRPr="00CC627F">
        <w:rPr>
          <w:sz w:val="24"/>
          <w:szCs w:val="24"/>
        </w:rPr>
        <w:t xml:space="preserve"> Kim</w:t>
      </w:r>
      <w:r w:rsidR="00C61567">
        <w:rPr>
          <w:sz w:val="24"/>
          <w:szCs w:val="24"/>
        </w:rPr>
        <w:t>,</w:t>
      </w:r>
      <w:r>
        <w:rPr>
          <w:rStyle w:val="FootnoteReference"/>
          <w:sz w:val="24"/>
          <w:szCs w:val="24"/>
        </w:rPr>
        <w:footnoteReference w:id="12"/>
      </w:r>
      <w:r w:rsidRPr="00CC627F">
        <w:rPr>
          <w:sz w:val="24"/>
          <w:szCs w:val="24"/>
        </w:rPr>
        <w:t xml:space="preserve"> Southwick Associates and Responsive Management</w:t>
      </w:r>
      <w:r w:rsidR="00C61567">
        <w:rPr>
          <w:sz w:val="24"/>
          <w:szCs w:val="24"/>
        </w:rPr>
        <w:t>,</w:t>
      </w:r>
      <w:r>
        <w:rPr>
          <w:rStyle w:val="FootnoteReference"/>
          <w:sz w:val="24"/>
          <w:szCs w:val="24"/>
        </w:rPr>
        <w:footnoteReference w:id="13"/>
      </w:r>
      <w:r w:rsidRPr="00CC627F">
        <w:rPr>
          <w:sz w:val="24"/>
          <w:szCs w:val="24"/>
        </w:rPr>
        <w:t xml:space="preserve"> and the U.S. Department of Agriculture</w:t>
      </w:r>
      <w:r>
        <w:rPr>
          <w:rStyle w:val="FootnoteReference"/>
          <w:sz w:val="24"/>
          <w:szCs w:val="24"/>
        </w:rPr>
        <w:footnoteReference w:id="14"/>
      </w:r>
      <w:r w:rsidRPr="00CC627F">
        <w:rPr>
          <w:sz w:val="24"/>
          <w:szCs w:val="24"/>
        </w:rPr>
        <w:t xml:space="preserve"> estimate</w:t>
      </w:r>
      <w:r w:rsidR="00C813A3">
        <w:rPr>
          <w:sz w:val="24"/>
          <w:szCs w:val="24"/>
        </w:rPr>
        <w:t>d</w:t>
      </w:r>
      <w:r w:rsidRPr="00CC627F">
        <w:rPr>
          <w:sz w:val="24"/>
          <w:szCs w:val="24"/>
        </w:rPr>
        <w:t xml:space="preserve"> the economic impacts of U.S. Forest Service fuels reduction projects and the Collaborative Forest Landscape Restoration Program; and</w:t>
      </w:r>
      <w:r w:rsidR="00B6770E">
        <w:rPr>
          <w:sz w:val="24"/>
          <w:szCs w:val="24"/>
        </w:rPr>
        <w:t xml:space="preserve"> Edwards et al.</w:t>
      </w:r>
      <w:r>
        <w:rPr>
          <w:rStyle w:val="FootnoteReference"/>
          <w:sz w:val="24"/>
          <w:szCs w:val="24"/>
        </w:rPr>
        <w:footnoteReference w:id="15"/>
      </w:r>
      <w:r w:rsidRPr="00CC627F">
        <w:rPr>
          <w:sz w:val="24"/>
          <w:szCs w:val="24"/>
        </w:rPr>
        <w:t xml:space="preserve"> estimate</w:t>
      </w:r>
      <w:r w:rsidR="00C813A3">
        <w:rPr>
          <w:sz w:val="24"/>
          <w:szCs w:val="24"/>
        </w:rPr>
        <w:t>d</w:t>
      </w:r>
      <w:r w:rsidRPr="00CC627F">
        <w:rPr>
          <w:sz w:val="24"/>
          <w:szCs w:val="24"/>
        </w:rPr>
        <w:t xml:space="preserve"> the economic impacts of coastal restoration projects undertaken by the National Oceanic and Atmospheric Administration (NOAA). There are also several studies that estimate</w:t>
      </w:r>
      <w:r w:rsidR="00C813A3">
        <w:rPr>
          <w:sz w:val="24"/>
          <w:szCs w:val="24"/>
        </w:rPr>
        <w:t>d</w:t>
      </w:r>
      <w:r w:rsidRPr="00CC627F">
        <w:rPr>
          <w:sz w:val="24"/>
          <w:szCs w:val="24"/>
        </w:rPr>
        <w:t xml:space="preserve"> the economic impacts of restoration projects within specific </w:t>
      </w:r>
      <w:r w:rsidR="00C813A3">
        <w:rPr>
          <w:sz w:val="24"/>
          <w:szCs w:val="24"/>
        </w:rPr>
        <w:t>s</w:t>
      </w:r>
      <w:r w:rsidRPr="00CC627F">
        <w:rPr>
          <w:sz w:val="24"/>
          <w:szCs w:val="24"/>
        </w:rPr>
        <w:t>tates, geographic regions, or the United States</w:t>
      </w:r>
      <w:r w:rsidR="00C813A3">
        <w:rPr>
          <w:sz w:val="24"/>
          <w:szCs w:val="24"/>
        </w:rPr>
        <w:t>.</w:t>
      </w:r>
      <w:r>
        <w:rPr>
          <w:rStyle w:val="FootnoteReference"/>
          <w:sz w:val="24"/>
          <w:szCs w:val="24"/>
        </w:rPr>
        <w:footnoteReference w:id="16"/>
      </w:r>
      <w:r w:rsidRPr="00CC627F">
        <w:rPr>
          <w:sz w:val="24"/>
          <w:szCs w:val="24"/>
        </w:rPr>
        <w:t xml:space="preserve">  </w:t>
      </w:r>
    </w:p>
    <w:p w:rsidRPr="00CC627F" w:rsidR="009D2272" w:rsidP="009D2272" w:rsidRDefault="009D2272" w14:paraId="4D6B87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D2272" w:rsidP="009D2272" w:rsidRDefault="009D2272" w14:paraId="3147D07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There are also studies that address the economic value of restoration. These studies were summarized by a Blue Ribbon Panel for estuary economics organized by the National Oceanic and Atmospheric Administration</w:t>
      </w:r>
      <w:r w:rsidR="00C813A3">
        <w:rPr>
          <w:sz w:val="24"/>
          <w:szCs w:val="24"/>
        </w:rPr>
        <w:t>.</w:t>
      </w:r>
      <w:r>
        <w:rPr>
          <w:rStyle w:val="FootnoteReference"/>
          <w:sz w:val="24"/>
          <w:szCs w:val="24"/>
        </w:rPr>
        <w:footnoteReference w:id="17"/>
      </w:r>
      <w:r w:rsidRPr="00CC627F">
        <w:rPr>
          <w:sz w:val="24"/>
          <w:szCs w:val="24"/>
        </w:rPr>
        <w:t xml:space="preserve"> The NOAA panel set forward guidelines on how to measure the economic value of ecosystem restoration, with a specific focus on the economic value of restoring degraded marine and coastal habitat.  These values include values associated with commercial and recreational fisheries, wildlife viewing and other recreation, increases in property values, and the non-market values associated with ecosystem services such as shoreline protection and flood control.  The NOAA report excludes economic impacts because economic impacts are not a measure of economic value; rather, economic impacts measure how spending in local economies generates jobs and income.   </w:t>
      </w:r>
    </w:p>
    <w:p w:rsidR="00C813A3" w:rsidP="009D2272" w:rsidRDefault="00C813A3" w14:paraId="2B158BB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CC627F" w:rsidR="00C813A3" w:rsidP="009D2272" w:rsidRDefault="00C813A3" w14:paraId="749E02E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CE282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8A80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w:t>
      </w:r>
      <w:r w:rsidR="006E339F">
        <w:rPr>
          <w:sz w:val="24"/>
          <w:szCs w:val="24"/>
        </w:rPr>
        <w:t>inesses or other small entities</w:t>
      </w:r>
      <w:r>
        <w:rPr>
          <w:sz w:val="24"/>
          <w:szCs w:val="24"/>
        </w:rPr>
        <w:t>, describe any methods used to minimize burden.</w:t>
      </w:r>
    </w:p>
    <w:p w:rsidR="009D2272" w:rsidRDefault="009D2272" w14:paraId="7109A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1B3CC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This collection </w:t>
      </w:r>
      <w:r>
        <w:rPr>
          <w:sz w:val="24"/>
          <w:szCs w:val="24"/>
        </w:rPr>
        <w:t>will</w:t>
      </w:r>
      <w:r w:rsidRPr="00CC627F">
        <w:rPr>
          <w:sz w:val="24"/>
          <w:szCs w:val="24"/>
        </w:rPr>
        <w:t xml:space="preserve"> </w:t>
      </w:r>
      <w:r w:rsidR="00AD77DB">
        <w:rPr>
          <w:sz w:val="24"/>
          <w:szCs w:val="24"/>
        </w:rPr>
        <w:t>seek</w:t>
      </w:r>
      <w:r w:rsidR="00111A85">
        <w:rPr>
          <w:sz w:val="24"/>
          <w:szCs w:val="24"/>
        </w:rPr>
        <w:t xml:space="preserve"> to minimize </w:t>
      </w:r>
      <w:r w:rsidR="006F1BE2">
        <w:rPr>
          <w:sz w:val="24"/>
          <w:szCs w:val="24"/>
        </w:rPr>
        <w:t xml:space="preserve">the </w:t>
      </w:r>
      <w:r w:rsidRPr="00CC627F">
        <w:rPr>
          <w:sz w:val="24"/>
          <w:szCs w:val="24"/>
        </w:rPr>
        <w:t xml:space="preserve">impact </w:t>
      </w:r>
      <w:r w:rsidR="00111A85">
        <w:rPr>
          <w:sz w:val="24"/>
          <w:szCs w:val="24"/>
        </w:rPr>
        <w:t xml:space="preserve">on </w:t>
      </w:r>
      <w:r w:rsidRPr="00CC627F">
        <w:rPr>
          <w:sz w:val="24"/>
          <w:szCs w:val="24"/>
        </w:rPr>
        <w:t xml:space="preserve">small business or small entities. Only DOI restoration project managers will be </w:t>
      </w:r>
      <w:r w:rsidR="006F1BE2">
        <w:rPr>
          <w:sz w:val="24"/>
          <w:szCs w:val="24"/>
        </w:rPr>
        <w:t xml:space="preserve">directly </w:t>
      </w:r>
      <w:r w:rsidRPr="00CC627F">
        <w:rPr>
          <w:sz w:val="24"/>
          <w:szCs w:val="24"/>
        </w:rPr>
        <w:t xml:space="preserve">surveyed. </w:t>
      </w:r>
      <w:r w:rsidR="00C813A3">
        <w:rPr>
          <w:sz w:val="24"/>
          <w:szCs w:val="24"/>
        </w:rPr>
        <w:t>P</w:t>
      </w:r>
      <w:r w:rsidRPr="00CC627F">
        <w:rPr>
          <w:sz w:val="24"/>
          <w:szCs w:val="24"/>
        </w:rPr>
        <w:t>revious efforts found that the majority of DOI restoration projects are managed by government or non-profit non-governmental organizations</w:t>
      </w:r>
      <w:r w:rsidR="00AD77DB">
        <w:rPr>
          <w:sz w:val="24"/>
          <w:szCs w:val="24"/>
        </w:rPr>
        <w:t xml:space="preserve"> (NGOs)</w:t>
      </w:r>
      <w:r w:rsidRPr="00CC627F">
        <w:rPr>
          <w:sz w:val="24"/>
          <w:szCs w:val="24"/>
        </w:rPr>
        <w:t xml:space="preserve">. A small portion of restoration projects are managed by private environmental consulting firms. The original collection </w:t>
      </w:r>
      <w:r w:rsidR="00111A85">
        <w:rPr>
          <w:sz w:val="24"/>
          <w:szCs w:val="24"/>
        </w:rPr>
        <w:t>directly</w:t>
      </w:r>
      <w:r w:rsidRPr="00CC627F">
        <w:rPr>
          <w:sz w:val="24"/>
          <w:szCs w:val="24"/>
        </w:rPr>
        <w:t xml:space="preserve"> surveyed restoration contractors.</w:t>
      </w:r>
      <w:r w:rsidR="008519B5">
        <w:rPr>
          <w:sz w:val="24"/>
          <w:szCs w:val="24"/>
        </w:rPr>
        <w:t xml:space="preserve">   </w:t>
      </w:r>
      <w:r w:rsidR="00111A85">
        <w:rPr>
          <w:sz w:val="24"/>
          <w:szCs w:val="24"/>
        </w:rPr>
        <w:t xml:space="preserve">Through the updated process, case managers will need to fill out the information but are expected to need input from the </w:t>
      </w:r>
      <w:r w:rsidR="00AD77DB">
        <w:rPr>
          <w:sz w:val="24"/>
          <w:szCs w:val="24"/>
        </w:rPr>
        <w:t xml:space="preserve">NGOs or private </w:t>
      </w:r>
      <w:r w:rsidR="00111A85">
        <w:rPr>
          <w:sz w:val="24"/>
          <w:szCs w:val="24"/>
        </w:rPr>
        <w:t>contractors</w:t>
      </w:r>
      <w:r w:rsidR="00AD77DB">
        <w:rPr>
          <w:sz w:val="24"/>
          <w:szCs w:val="24"/>
        </w:rPr>
        <w:t xml:space="preserve"> implementing the restoration actions</w:t>
      </w:r>
      <w:r w:rsidR="00111A85">
        <w:rPr>
          <w:sz w:val="24"/>
          <w:szCs w:val="24"/>
        </w:rPr>
        <w:t xml:space="preserve">. </w:t>
      </w:r>
      <w:r w:rsidRPr="00CC627F">
        <w:rPr>
          <w:sz w:val="24"/>
          <w:szCs w:val="24"/>
        </w:rPr>
        <w:t xml:space="preserve"> </w:t>
      </w:r>
    </w:p>
    <w:p w:rsidR="00295103" w:rsidRDefault="00295103" w14:paraId="06B119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31AFC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rsidR="009D2272" w:rsidRDefault="009D2272" w14:paraId="4D489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748BCE1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C627F">
        <w:rPr>
          <w:sz w:val="24"/>
          <w:szCs w:val="24"/>
        </w:rPr>
        <w:lastRenderedPageBreak/>
        <w:t xml:space="preserve">Without the information from this data collection and future collection efforts, the NRDA Restoration Program will </w:t>
      </w:r>
      <w:r w:rsidR="00C813A3">
        <w:rPr>
          <w:sz w:val="24"/>
          <w:szCs w:val="24"/>
        </w:rPr>
        <w:t>lack</w:t>
      </w:r>
      <w:r w:rsidRPr="00CC627F">
        <w:rPr>
          <w:sz w:val="24"/>
          <w:szCs w:val="24"/>
        </w:rPr>
        <w:t xml:space="preserve"> the necessary cost data to</w:t>
      </w:r>
      <w:r w:rsidRPr="00CC627F">
        <w:rPr>
          <w:color w:val="000000"/>
          <w:sz w:val="24"/>
          <w:szCs w:val="24"/>
        </w:rPr>
        <w:t xml:space="preserve"> ensure settlements sufficiently compensate the public for natural resource damage, and to help ensure that the money spent on assessment is not disproportionate to the expected settlement for restoration. Furthermore, </w:t>
      </w:r>
      <w:r w:rsidRPr="00CC627F">
        <w:rPr>
          <w:sz w:val="24"/>
          <w:szCs w:val="24"/>
        </w:rPr>
        <w:t xml:space="preserve">Federal agencies who invest in ecosystem restoration projects </w:t>
      </w:r>
      <w:r w:rsidR="00C813A3">
        <w:rPr>
          <w:sz w:val="24"/>
          <w:szCs w:val="24"/>
        </w:rPr>
        <w:t>lack</w:t>
      </w:r>
      <w:r w:rsidRPr="00CC627F">
        <w:rPr>
          <w:sz w:val="24"/>
          <w:szCs w:val="24"/>
        </w:rPr>
        <w:t xml:space="preserve"> the necessary data to meet internal guidelines for credible economic analysis of the impacts of project alternatives.   Previous research indicates that there is </w:t>
      </w:r>
      <w:r w:rsidR="00C813A3">
        <w:rPr>
          <w:sz w:val="24"/>
          <w:szCs w:val="24"/>
        </w:rPr>
        <w:t>large</w:t>
      </w:r>
      <w:r w:rsidRPr="00CC627F">
        <w:rPr>
          <w:sz w:val="24"/>
          <w:szCs w:val="24"/>
        </w:rPr>
        <w:t xml:space="preserve"> variation in the economic impacts supported by restoration investments. Because of this substantial variation, it has become clear that applications of generic economic impact multipliers to estimate the economic impacts of restoration projects are likely to result in large errors. As a consequence, without additional information to develop accurate and reliable estimates, the economic contributions of such activities may be ignored </w:t>
      </w:r>
      <w:r w:rsidR="00C813A3">
        <w:rPr>
          <w:sz w:val="24"/>
          <w:szCs w:val="24"/>
        </w:rPr>
        <w:t>and</w:t>
      </w:r>
      <w:r w:rsidRPr="00CC627F" w:rsidR="00C813A3">
        <w:rPr>
          <w:sz w:val="24"/>
          <w:szCs w:val="24"/>
        </w:rPr>
        <w:t xml:space="preserve"> </w:t>
      </w:r>
      <w:r w:rsidRPr="00CC627F">
        <w:rPr>
          <w:sz w:val="24"/>
          <w:szCs w:val="24"/>
        </w:rPr>
        <w:t>may result in sub-optimal policy suggestions and management implications for DOI agencies.</w:t>
      </w:r>
    </w:p>
    <w:p w:rsidR="00295103" w:rsidRDefault="00295103" w14:paraId="326F5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75120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295103" w:rsidRDefault="00295103" w14:paraId="50962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report information to the agency more often than quarterly;</w:t>
      </w:r>
    </w:p>
    <w:p w:rsidR="00295103" w:rsidRDefault="00295103" w14:paraId="2C94F0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prepare a written response to a collection of information in fewer than 30 days after receipt of it;</w:t>
      </w:r>
    </w:p>
    <w:p w:rsidR="00295103" w:rsidRDefault="00295103" w14:paraId="68CEF9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more than an original and two copies of any document;</w:t>
      </w:r>
    </w:p>
    <w:p w:rsidR="00295103" w:rsidRDefault="00295103" w14:paraId="675475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retain records, other than health, medical, government contract, grant-in-aid, or tax records, for more than three years;</w:t>
      </w:r>
    </w:p>
    <w:p w:rsidR="00295103" w:rsidRDefault="00295103" w14:paraId="2E2768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rsidR="00295103" w:rsidRDefault="00295103" w14:paraId="38D05A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the use of a statistical data classification that has not been reviewed and approved by OMB;</w:t>
      </w:r>
    </w:p>
    <w:p w:rsidR="00295103" w:rsidRDefault="00295103" w14:paraId="2C3ED3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295103" w14:paraId="0145D0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requiring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rsidR="009D2272" w:rsidRDefault="009D2272" w14:paraId="6E593B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CC627F" w:rsidR="009D2272" w:rsidP="009D2272" w:rsidRDefault="009D2272" w14:paraId="7046415C" w14:textId="77777777">
      <w:pPr>
        <w:ind w:left="90"/>
        <w:rPr>
          <w:sz w:val="24"/>
          <w:szCs w:val="24"/>
        </w:rPr>
      </w:pPr>
      <w:r w:rsidRPr="00CC627F">
        <w:rPr>
          <w:sz w:val="24"/>
          <w:szCs w:val="24"/>
        </w:rPr>
        <w:t xml:space="preserve">There are no circumstances that require us to collect the information in a manner inconsistent with OMB guidelines </w:t>
      </w:r>
    </w:p>
    <w:p w:rsidR="00295103" w:rsidRDefault="00295103" w14:paraId="52465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FFEA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 xml:space="preserve">If applicable, provide a copy and identify the date and page number of </w:t>
      </w:r>
      <w:proofErr w:type="gramStart"/>
      <w:r>
        <w:rPr>
          <w:sz w:val="24"/>
          <w:szCs w:val="24"/>
        </w:rPr>
        <w:t>publication</w:t>
      </w:r>
      <w:proofErr w:type="gramEnd"/>
      <w:r>
        <w:rPr>
          <w:sz w:val="24"/>
          <w:szCs w:val="24"/>
        </w:rPr>
        <w:t xml:space="preserve"> in the Federal Register of the agency's notice, required by 5 CFR 1320.8(d), soliciting comments on the information collection prior to submission to OMB.  Summarize public comments recei</w:t>
      </w:r>
      <w:r w:rsidR="00DE1FFE">
        <w:rPr>
          <w:sz w:val="24"/>
          <w:szCs w:val="24"/>
        </w:rPr>
        <w:t xml:space="preserve">ved in response to that notice </w:t>
      </w:r>
      <w:r>
        <w:rPr>
          <w:sz w:val="24"/>
          <w:szCs w:val="24"/>
        </w:rPr>
        <w:t>and in response to the PRA statement associated with the collec</w:t>
      </w:r>
      <w:r w:rsidR="00DE1FFE">
        <w:rPr>
          <w:sz w:val="24"/>
          <w:szCs w:val="24"/>
        </w:rPr>
        <w:t xml:space="preserve">tion over the past three years, </w:t>
      </w:r>
      <w:r>
        <w:rPr>
          <w:sz w:val="24"/>
          <w:szCs w:val="24"/>
        </w:rPr>
        <w:t>and describe actions taken by the agency in response to these comments.  Specifically address comments received on cost and hour burden.</w:t>
      </w:r>
    </w:p>
    <w:p w:rsidR="00295103" w:rsidRDefault="00295103" w14:paraId="189976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264A4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Describe efforts to consult with persons outside the agency to obtain their views on the </w:t>
      </w:r>
      <w:r w:rsidRPr="00094092">
        <w:rPr>
          <w:sz w:val="24"/>
          <w:szCs w:val="24"/>
        </w:rPr>
        <w:t xml:space="preserve">availability of data, frequency of collection, the clarity of instructions and recordkeeping, </w:t>
      </w:r>
      <w:r w:rsidRPr="00094092">
        <w:rPr>
          <w:sz w:val="24"/>
          <w:szCs w:val="24"/>
        </w:rPr>
        <w:lastRenderedPageBreak/>
        <w:t>disclosure, or reporting format (if any), and on the data elements to be recorded</w:t>
      </w:r>
      <w:r>
        <w:rPr>
          <w:sz w:val="24"/>
          <w:szCs w:val="24"/>
        </w:rPr>
        <w:t>, disclosed, or reported</w:t>
      </w:r>
      <w:r w:rsidR="00352210">
        <w:rPr>
          <w:sz w:val="24"/>
          <w:szCs w:val="24"/>
        </w:rPr>
        <w:t>.</w:t>
      </w:r>
    </w:p>
    <w:p w:rsidR="00295103" w:rsidRDefault="00295103" w14:paraId="7A1920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0F7EC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Consultation with representatives of those from whom information is to be obtained or those who must compile records should occur at least once every </w:t>
      </w:r>
      <w:r w:rsidR="00352210">
        <w:rPr>
          <w:sz w:val="24"/>
          <w:szCs w:val="24"/>
        </w:rPr>
        <w:t>three</w:t>
      </w:r>
      <w:r>
        <w:rPr>
          <w:sz w:val="24"/>
          <w:szCs w:val="24"/>
        </w:rPr>
        <w:t xml:space="preserve"> years — even if the collection of information activity is the same as in prior periods.  There may be circumstances that may preclude consultation in a specific situation.  These circumstances should be explained.</w:t>
      </w:r>
    </w:p>
    <w:p w:rsidR="009D2272" w:rsidRDefault="009D2272" w14:paraId="3226B7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CC627F" w:rsidR="009D2272" w:rsidP="009D2272" w:rsidRDefault="009D2272" w14:paraId="124F7753" w14:textId="77777777">
      <w:pPr>
        <w:rPr>
          <w:sz w:val="24"/>
          <w:szCs w:val="24"/>
        </w:rPr>
      </w:pPr>
      <w:r w:rsidRPr="00CC627F">
        <w:rPr>
          <w:sz w:val="24"/>
          <w:szCs w:val="24"/>
        </w:rPr>
        <w:t xml:space="preserve">On </w:t>
      </w:r>
      <w:r w:rsidR="00041027">
        <w:rPr>
          <w:sz w:val="24"/>
          <w:szCs w:val="24"/>
        </w:rPr>
        <w:t>June 11, 2019</w:t>
      </w:r>
      <w:r w:rsidRPr="00CC627F">
        <w:rPr>
          <w:sz w:val="24"/>
          <w:szCs w:val="24"/>
        </w:rPr>
        <w:t>, we published a 60-day Federal Register notice</w:t>
      </w:r>
      <w:r>
        <w:rPr>
          <w:sz w:val="24"/>
          <w:szCs w:val="24"/>
        </w:rPr>
        <w:t>,</w:t>
      </w:r>
      <w:r w:rsidRPr="00CC627F">
        <w:rPr>
          <w:sz w:val="24"/>
          <w:szCs w:val="24"/>
        </w:rPr>
        <w:t xml:space="preserve"> </w:t>
      </w:r>
      <w:r w:rsidRPr="00041027" w:rsidR="00041027">
        <w:rPr>
          <w:sz w:val="24"/>
          <w:szCs w:val="24"/>
        </w:rPr>
        <w:t>84 FR 27154</w:t>
      </w:r>
      <w:r w:rsidR="00F4481E">
        <w:rPr>
          <w:sz w:val="24"/>
          <w:szCs w:val="24"/>
        </w:rPr>
        <w:t>, pages 27154-27155 (2 pages)</w:t>
      </w:r>
      <w:r>
        <w:rPr>
          <w:sz w:val="24"/>
          <w:szCs w:val="24"/>
        </w:rPr>
        <w:t>,</w:t>
      </w:r>
      <w:r w:rsidRPr="00CC627F">
        <w:rPr>
          <w:sz w:val="24"/>
          <w:szCs w:val="24"/>
        </w:rPr>
        <w:t xml:space="preserve"> announcing that we would submit this information request to OMB for approval.  In that notice we solicited public comments for 60 days, ending </w:t>
      </w:r>
      <w:r w:rsidR="00F4481E">
        <w:rPr>
          <w:sz w:val="24"/>
          <w:szCs w:val="24"/>
        </w:rPr>
        <w:t>August 12, 2019</w:t>
      </w:r>
      <w:r w:rsidRPr="00CC627F">
        <w:rPr>
          <w:sz w:val="24"/>
          <w:szCs w:val="24"/>
        </w:rPr>
        <w:t>.</w:t>
      </w:r>
      <w:r w:rsidR="007024E4">
        <w:rPr>
          <w:sz w:val="24"/>
          <w:szCs w:val="24"/>
        </w:rPr>
        <w:t xml:space="preserve"> No public comments were received.</w:t>
      </w:r>
    </w:p>
    <w:p w:rsidRPr="00CC627F" w:rsidR="009D2272" w:rsidP="009D2272" w:rsidRDefault="009D2272" w14:paraId="0DA1636D" w14:textId="77777777">
      <w:pPr>
        <w:rPr>
          <w:sz w:val="24"/>
          <w:szCs w:val="24"/>
        </w:rPr>
      </w:pPr>
    </w:p>
    <w:p w:rsidR="009D2272" w:rsidP="009D2272" w:rsidRDefault="009D2272" w14:paraId="03700FE3" w14:textId="77777777">
      <w:pPr>
        <w:rPr>
          <w:sz w:val="24"/>
          <w:szCs w:val="24"/>
        </w:rPr>
      </w:pPr>
      <w:r w:rsidRPr="00CC627F">
        <w:rPr>
          <w:sz w:val="24"/>
          <w:szCs w:val="24"/>
        </w:rPr>
        <w:t xml:space="preserve">In addition to our Federal Register notice, we solicited </w:t>
      </w:r>
      <w:r w:rsidR="00F4481E">
        <w:rPr>
          <w:sz w:val="24"/>
          <w:szCs w:val="24"/>
        </w:rPr>
        <w:t>feedback from t</w:t>
      </w:r>
      <w:r w:rsidR="007024E4">
        <w:rPr>
          <w:sz w:val="24"/>
          <w:szCs w:val="24"/>
        </w:rPr>
        <w:t>hree</w:t>
      </w:r>
      <w:r w:rsidR="00F4481E">
        <w:rPr>
          <w:sz w:val="24"/>
          <w:szCs w:val="24"/>
        </w:rPr>
        <w:t xml:space="preserve"> restoration project managers</w:t>
      </w:r>
      <w:r w:rsidRPr="00CC627F">
        <w:rPr>
          <w:sz w:val="24"/>
          <w:szCs w:val="24"/>
        </w:rPr>
        <w:t xml:space="preserve"> (see Table 1). </w:t>
      </w:r>
    </w:p>
    <w:p w:rsidR="00236280" w:rsidP="009D2272" w:rsidRDefault="00236280" w14:paraId="7D1E2F48" w14:textId="77777777">
      <w:pPr>
        <w:rPr>
          <w:sz w:val="24"/>
          <w:szCs w:val="24"/>
        </w:rPr>
      </w:pPr>
    </w:p>
    <w:p w:rsidRPr="00CC627F" w:rsidR="009D2272" w:rsidP="009D2272" w:rsidRDefault="009D2272" w14:paraId="0A08E9BA" w14:textId="77777777">
      <w:pPr>
        <w:rPr>
          <w:sz w:val="24"/>
          <w:szCs w:val="24"/>
        </w:rPr>
      </w:pPr>
      <w:r w:rsidRPr="00CC627F">
        <w:rPr>
          <w:sz w:val="24"/>
          <w:szCs w:val="24"/>
        </w:rPr>
        <w:t xml:space="preserve">Table 1. Individuals Contacted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0"/>
        <w:gridCol w:w="3271"/>
        <w:gridCol w:w="3269"/>
      </w:tblGrid>
      <w:tr w:rsidRPr="00CC627F" w:rsidR="00094092" w:rsidTr="009E6FE0" w14:paraId="734B6798" w14:textId="77777777">
        <w:trPr>
          <w:trHeight w:val="1475"/>
        </w:trPr>
        <w:tc>
          <w:tcPr>
            <w:tcW w:w="1503" w:type="pct"/>
          </w:tcPr>
          <w:p w:rsidRPr="003A5BB4" w:rsidR="00094092" w:rsidP="002753DA" w:rsidRDefault="00094092" w14:paraId="12FB2EC2" w14:textId="77777777">
            <w:pPr>
              <w:widowControl/>
              <w:rPr>
                <w:b/>
                <w:iCs/>
                <w:sz w:val="24"/>
                <w:szCs w:val="24"/>
              </w:rPr>
            </w:pPr>
            <w:r w:rsidRPr="003A5BB4">
              <w:rPr>
                <w:b/>
                <w:iCs/>
                <w:sz w:val="24"/>
                <w:szCs w:val="24"/>
              </w:rPr>
              <w:t>Contact #1</w:t>
            </w:r>
          </w:p>
          <w:p w:rsidR="00094092" w:rsidP="00757CBA" w:rsidRDefault="00094092" w14:paraId="493D86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The Nature Conservancy</w:t>
            </w:r>
          </w:p>
          <w:p w:rsidR="00094092" w:rsidP="002753DA" w:rsidRDefault="00094092" w14:paraId="584D1F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GIS Specialist</w:t>
            </w:r>
          </w:p>
          <w:p w:rsidRPr="003A5BB4" w:rsidR="00094092" w:rsidP="002753DA" w:rsidRDefault="00094092" w14:paraId="21CBD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505-946-2029</w:t>
            </w:r>
          </w:p>
          <w:p w:rsidRPr="003A5BB4" w:rsidR="00094092" w:rsidP="002753DA" w:rsidRDefault="00094092" w14:paraId="249192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tc>
        <w:tc>
          <w:tcPr>
            <w:tcW w:w="1749" w:type="pct"/>
          </w:tcPr>
          <w:p w:rsidRPr="003A5BB4" w:rsidR="00094092" w:rsidP="002753DA" w:rsidRDefault="00094092" w14:paraId="7FB73FB6" w14:textId="77777777">
            <w:pPr>
              <w:widowControl/>
              <w:rPr>
                <w:b/>
                <w:sz w:val="24"/>
                <w:szCs w:val="24"/>
              </w:rPr>
            </w:pPr>
            <w:r w:rsidRPr="003A5BB4">
              <w:rPr>
                <w:b/>
                <w:sz w:val="24"/>
                <w:szCs w:val="24"/>
              </w:rPr>
              <w:t>Contact #2</w:t>
            </w:r>
          </w:p>
          <w:p w:rsidRPr="003A5BB4" w:rsidR="00094092" w:rsidP="00757CBA" w:rsidRDefault="00094092" w14:paraId="34142E4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rPr>
                <w:sz w:val="24"/>
                <w:szCs w:val="24"/>
              </w:rPr>
            </w:pPr>
            <w:r w:rsidRPr="003A5BB4">
              <w:rPr>
                <w:sz w:val="24"/>
                <w:szCs w:val="24"/>
              </w:rPr>
              <w:t>National Park Service</w:t>
            </w:r>
          </w:p>
          <w:p w:rsidRPr="003A5BB4" w:rsidR="00094092" w:rsidP="002753DA" w:rsidRDefault="00094092" w14:paraId="053FB8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rPr>
                <w:sz w:val="24"/>
                <w:szCs w:val="24"/>
              </w:rPr>
            </w:pPr>
            <w:r w:rsidRPr="003A5BB4">
              <w:rPr>
                <w:sz w:val="24"/>
                <w:szCs w:val="24"/>
              </w:rPr>
              <w:t>Restoration Project Manager</w:t>
            </w:r>
          </w:p>
          <w:p w:rsidRPr="003A5BB4" w:rsidR="00094092" w:rsidP="002753DA" w:rsidRDefault="00094092" w14:paraId="7882B4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9"/>
              <w:rPr>
                <w:color w:val="000000"/>
                <w:sz w:val="24"/>
                <w:szCs w:val="24"/>
              </w:rPr>
            </w:pPr>
            <w:r w:rsidRPr="003A5BB4">
              <w:rPr>
                <w:sz w:val="24"/>
                <w:szCs w:val="24"/>
              </w:rPr>
              <w:t>970-225-3507</w:t>
            </w:r>
          </w:p>
        </w:tc>
        <w:tc>
          <w:tcPr>
            <w:tcW w:w="1748" w:type="pct"/>
          </w:tcPr>
          <w:p w:rsidR="00094092" w:rsidP="002753DA" w:rsidRDefault="00094092" w14:paraId="4963317A" w14:textId="77777777">
            <w:pPr>
              <w:widowControl/>
              <w:rPr>
                <w:b/>
                <w:sz w:val="24"/>
                <w:szCs w:val="24"/>
              </w:rPr>
            </w:pPr>
            <w:r>
              <w:rPr>
                <w:b/>
                <w:sz w:val="24"/>
                <w:szCs w:val="24"/>
              </w:rPr>
              <w:t>Contact #3</w:t>
            </w:r>
          </w:p>
          <w:p w:rsidR="00094092" w:rsidP="002753DA" w:rsidRDefault="00A168FC" w14:paraId="7D6DDF45" w14:textId="77777777">
            <w:pPr>
              <w:widowControl/>
              <w:rPr>
                <w:sz w:val="24"/>
                <w:szCs w:val="24"/>
              </w:rPr>
            </w:pPr>
            <w:r>
              <w:rPr>
                <w:sz w:val="24"/>
                <w:szCs w:val="24"/>
              </w:rPr>
              <w:t>The Forest Stewards Guild</w:t>
            </w:r>
          </w:p>
          <w:p w:rsidR="00A168FC" w:rsidP="002753DA" w:rsidRDefault="00A168FC" w14:paraId="7B1B64FB" w14:textId="77777777">
            <w:pPr>
              <w:widowControl/>
              <w:rPr>
                <w:sz w:val="24"/>
                <w:szCs w:val="24"/>
              </w:rPr>
            </w:pPr>
            <w:r>
              <w:rPr>
                <w:sz w:val="24"/>
                <w:szCs w:val="24"/>
              </w:rPr>
              <w:t>Southwest Assistant Director</w:t>
            </w:r>
          </w:p>
          <w:p w:rsidRPr="009E6FE0" w:rsidR="00A168FC" w:rsidP="002753DA" w:rsidRDefault="00A168FC" w14:paraId="64FDE865" w14:textId="77777777">
            <w:pPr>
              <w:widowControl/>
              <w:rPr>
                <w:sz w:val="24"/>
                <w:szCs w:val="24"/>
              </w:rPr>
            </w:pPr>
            <w:r>
              <w:rPr>
                <w:sz w:val="24"/>
                <w:szCs w:val="24"/>
              </w:rPr>
              <w:t xml:space="preserve">505-983-8992 </w:t>
            </w:r>
            <w:proofErr w:type="spellStart"/>
            <w:r>
              <w:rPr>
                <w:sz w:val="24"/>
                <w:szCs w:val="24"/>
              </w:rPr>
              <w:t>xt.</w:t>
            </w:r>
            <w:proofErr w:type="spellEnd"/>
            <w:r>
              <w:rPr>
                <w:sz w:val="24"/>
                <w:szCs w:val="24"/>
              </w:rPr>
              <w:t xml:space="preserve"> 14</w:t>
            </w:r>
          </w:p>
          <w:p w:rsidRPr="003A5BB4" w:rsidR="00094092" w:rsidP="002753DA" w:rsidRDefault="00094092" w14:paraId="7BC9443A" w14:textId="77777777">
            <w:pPr>
              <w:widowControl/>
              <w:rPr>
                <w:b/>
                <w:sz w:val="24"/>
                <w:szCs w:val="24"/>
              </w:rPr>
            </w:pPr>
          </w:p>
        </w:tc>
      </w:tr>
    </w:tbl>
    <w:p w:rsidR="00295103" w:rsidRDefault="00295103" w14:paraId="2ED21C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F5EF4" w:rsidRDefault="00FF5EF4" w14:paraId="4D9251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used feedback from participating project managers to improve the survey instrument; specifically:</w:t>
      </w:r>
    </w:p>
    <w:p w:rsidR="00FF5EF4" w:rsidP="00FF5EF4" w:rsidRDefault="00FF5EF4" w14:paraId="01444FE9"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Participants were confused about the meaning of “in-house expenditures” – it was unclear who/ what organization “in-house” referred to. To clarify this, we added a question that asks respondents “What type of organization are you with (i.e., what type of organization is managing this project)”. We also added a second question that asks “Who performed this action? Or from whom were these materials purchased?” The answer choices for th</w:t>
      </w:r>
      <w:r w:rsidR="00AC08A8">
        <w:rPr>
          <w:sz w:val="24"/>
          <w:szCs w:val="24"/>
        </w:rPr>
        <w:t>e</w:t>
      </w:r>
      <w:r>
        <w:rPr>
          <w:sz w:val="24"/>
          <w:szCs w:val="24"/>
        </w:rPr>
        <w:t xml:space="preserve"> second question refer to “my organization” or “another organization”.</w:t>
      </w:r>
    </w:p>
    <w:p w:rsidR="00094092" w:rsidP="009E6FE0" w:rsidRDefault="00094092" w14:paraId="34BA4595" w14:textId="77777777">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It was also brought to our attention that we should add a question about the location of expenditures made by the leading organization.</w:t>
      </w:r>
    </w:p>
    <w:p w:rsidR="00D5228F" w:rsidRDefault="00D5228F" w14:paraId="690C3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4C77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9D2272" w:rsidRDefault="009D2272" w14:paraId="438F0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60EC61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There are no payments or gift giving associated with this collection.</w:t>
      </w:r>
    </w:p>
    <w:p w:rsidR="00295103" w:rsidRDefault="00295103" w14:paraId="675EDF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Default="00295103" w14:paraId="3DA4D7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rsidR="009D2272" w:rsidRDefault="009D2272" w14:paraId="77F4E9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09B30D39" w14:textId="77777777">
      <w:pPr>
        <w:widowControl/>
        <w:rPr>
          <w:sz w:val="24"/>
          <w:szCs w:val="24"/>
        </w:rPr>
      </w:pPr>
      <w:r w:rsidRPr="00CC627F">
        <w:rPr>
          <w:sz w:val="24"/>
          <w:szCs w:val="24"/>
        </w:rPr>
        <w:t>We are not collecting confidential information or personally identifiable information.</w:t>
      </w:r>
    </w:p>
    <w:p w:rsidR="004A6DFA" w:rsidRDefault="004A6DFA" w14:paraId="350EE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17D1F2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 xml:space="preserve">Provide additional justification for any questions of a sensitive nature, such as sexual </w:t>
      </w:r>
      <w:r>
        <w:rPr>
          <w:sz w:val="24"/>
          <w:szCs w:val="24"/>
        </w:rPr>
        <w:lastRenderedPageBreak/>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2272" w:rsidRDefault="009D2272" w14:paraId="6C6076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4BB7FCF0" w14:textId="77777777">
      <w:pPr>
        <w:rPr>
          <w:color w:val="0000FF"/>
          <w:sz w:val="24"/>
          <w:szCs w:val="24"/>
        </w:rPr>
      </w:pPr>
      <w:r w:rsidRPr="00CC627F">
        <w:rPr>
          <w:sz w:val="24"/>
          <w:szCs w:val="24"/>
        </w:rPr>
        <w:t>This collection does not ask for information of a sensitive nature.</w:t>
      </w:r>
    </w:p>
    <w:p w:rsidR="009D2272" w:rsidRDefault="009D2272" w14:paraId="6C6F59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06D22C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rsidR="00295103" w:rsidRDefault="00295103" w14:paraId="48118F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Default="00295103" w14:paraId="64B47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rsidR="00295103" w:rsidRDefault="00295103" w14:paraId="7AF4E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Pr>
          <w:sz w:val="24"/>
          <w:szCs w:val="24"/>
        </w:rPr>
        <w:t>.</w:t>
      </w:r>
    </w:p>
    <w:p w:rsidR="009D2272" w:rsidRDefault="009D2272" w14:paraId="1F8D59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E6FE0" w:rsidP="009D2272" w:rsidRDefault="009D2272" w14:paraId="0C9C7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We estimate that we will complete approximately 10 case studies per year. For each case study, project managers will be contacted via phone for an initial conversation; these initial conv</w:t>
      </w:r>
      <w:r>
        <w:rPr>
          <w:sz w:val="24"/>
          <w:szCs w:val="24"/>
        </w:rPr>
        <w:t xml:space="preserve">ersations are estimated to take </w:t>
      </w:r>
      <w:r w:rsidRPr="00CC627F">
        <w:rPr>
          <w:sz w:val="24"/>
          <w:szCs w:val="24"/>
        </w:rPr>
        <w:t>30 minutes. Following the initial conversations, project managers will be sent</w:t>
      </w:r>
      <w:r w:rsidR="008B54E9">
        <w:rPr>
          <w:sz w:val="24"/>
          <w:szCs w:val="24"/>
        </w:rPr>
        <w:t xml:space="preserve"> the</w:t>
      </w:r>
      <w:r w:rsidRPr="00CC627F">
        <w:rPr>
          <w:sz w:val="24"/>
          <w:szCs w:val="24"/>
        </w:rPr>
        <w:t xml:space="preserve"> expenditure survey</w:t>
      </w:r>
      <w:r w:rsidR="00C813A3">
        <w:rPr>
          <w:sz w:val="24"/>
          <w:szCs w:val="24"/>
        </w:rPr>
        <w:t xml:space="preserve"> through email</w:t>
      </w:r>
      <w:r w:rsidRPr="00CC627F">
        <w:rPr>
          <w:sz w:val="24"/>
          <w:szCs w:val="24"/>
        </w:rPr>
        <w:t xml:space="preserve">. </w:t>
      </w:r>
      <w:r w:rsidR="00C813A3">
        <w:rPr>
          <w:sz w:val="24"/>
          <w:szCs w:val="24"/>
        </w:rPr>
        <w:t xml:space="preserve">Experience with the </w:t>
      </w:r>
      <w:r w:rsidR="008D21F2">
        <w:rPr>
          <w:sz w:val="24"/>
          <w:szCs w:val="24"/>
        </w:rPr>
        <w:t xml:space="preserve">previously approved </w:t>
      </w:r>
      <w:r w:rsidR="00C813A3">
        <w:rPr>
          <w:sz w:val="24"/>
          <w:szCs w:val="24"/>
        </w:rPr>
        <w:t xml:space="preserve">survey shows </w:t>
      </w:r>
      <w:r w:rsidRPr="00CC627F">
        <w:rPr>
          <w:sz w:val="24"/>
          <w:szCs w:val="24"/>
        </w:rPr>
        <w:t xml:space="preserve">that most project managers will be able to complete the expenditure survey in </w:t>
      </w:r>
      <w:r w:rsidR="008B54E9">
        <w:rPr>
          <w:sz w:val="24"/>
          <w:szCs w:val="24"/>
        </w:rPr>
        <w:t>no more than</w:t>
      </w:r>
      <w:r w:rsidRPr="00CC627F" w:rsidR="008B54E9">
        <w:rPr>
          <w:sz w:val="24"/>
          <w:szCs w:val="24"/>
        </w:rPr>
        <w:t xml:space="preserve"> </w:t>
      </w:r>
      <w:r>
        <w:rPr>
          <w:sz w:val="24"/>
          <w:szCs w:val="24"/>
        </w:rPr>
        <w:t>2</w:t>
      </w:r>
      <w:r w:rsidRPr="00CC627F">
        <w:rPr>
          <w:sz w:val="24"/>
          <w:szCs w:val="24"/>
        </w:rPr>
        <w:t xml:space="preserve"> hour</w:t>
      </w:r>
      <w:r>
        <w:rPr>
          <w:sz w:val="24"/>
          <w:szCs w:val="24"/>
        </w:rPr>
        <w:t>s (120 minutes)</w:t>
      </w:r>
      <w:r w:rsidR="00DD7DAD">
        <w:rPr>
          <w:sz w:val="24"/>
          <w:szCs w:val="24"/>
        </w:rPr>
        <w:t xml:space="preserve">. Some of this time will involve </w:t>
      </w:r>
      <w:r w:rsidR="00AD77DB">
        <w:rPr>
          <w:sz w:val="24"/>
          <w:szCs w:val="24"/>
        </w:rPr>
        <w:t>consultation with or requests for information from non-profit or private sector entities helping to implement the restoration action</w:t>
      </w:r>
      <w:r w:rsidR="00DD7DAD">
        <w:rPr>
          <w:sz w:val="24"/>
          <w:szCs w:val="24"/>
        </w:rPr>
        <w:t>s</w:t>
      </w:r>
      <w:r w:rsidRPr="00CC627F">
        <w:rPr>
          <w:sz w:val="24"/>
          <w:szCs w:val="24"/>
        </w:rPr>
        <w:t>.</w:t>
      </w:r>
      <w:r w:rsidR="00DD7DAD">
        <w:rPr>
          <w:sz w:val="24"/>
          <w:szCs w:val="24"/>
        </w:rPr>
        <w:t xml:space="preserve"> These entities are estimated to expend up to 2 hours per case study, as discussed below. </w:t>
      </w:r>
      <w:r w:rsidRPr="00CC627F">
        <w:rPr>
          <w:sz w:val="24"/>
          <w:szCs w:val="24"/>
        </w:rPr>
        <w:t xml:space="preserve">We expect to have follow-up conversations with each respondent to check on their progress and to answer questions about the surveys. We have estimated that these follow-up conversations will take </w:t>
      </w:r>
      <w:r>
        <w:rPr>
          <w:sz w:val="24"/>
          <w:szCs w:val="24"/>
        </w:rPr>
        <w:t>about 30</w:t>
      </w:r>
      <w:r w:rsidRPr="00CC627F">
        <w:rPr>
          <w:sz w:val="24"/>
          <w:szCs w:val="24"/>
        </w:rPr>
        <w:t xml:space="preserve"> minutes per case study.</w:t>
      </w:r>
      <w:r w:rsidR="00D201F2">
        <w:rPr>
          <w:sz w:val="24"/>
          <w:szCs w:val="24"/>
        </w:rPr>
        <w:t xml:space="preserve"> </w:t>
      </w:r>
      <w:r>
        <w:rPr>
          <w:sz w:val="24"/>
          <w:szCs w:val="24"/>
        </w:rPr>
        <w:t xml:space="preserve">Table 2 summarizes estimated time requirements for </w:t>
      </w:r>
      <w:r w:rsidR="00D201F2">
        <w:rPr>
          <w:sz w:val="24"/>
          <w:szCs w:val="24"/>
        </w:rPr>
        <w:t>Federal</w:t>
      </w:r>
      <w:r>
        <w:rPr>
          <w:sz w:val="24"/>
          <w:szCs w:val="24"/>
        </w:rPr>
        <w:t xml:space="preserve"> survey respondent</w:t>
      </w:r>
      <w:r w:rsidR="00D201F2">
        <w:rPr>
          <w:sz w:val="24"/>
          <w:szCs w:val="24"/>
        </w:rPr>
        <w:t>s, and Table 3 estimated time requirements for non-Federal consultations</w:t>
      </w:r>
      <w:r>
        <w:rPr>
          <w:sz w:val="24"/>
          <w:szCs w:val="24"/>
        </w:rPr>
        <w:t>.</w:t>
      </w:r>
      <w:r w:rsidR="00D201F2">
        <w:rPr>
          <w:sz w:val="24"/>
          <w:szCs w:val="24"/>
        </w:rPr>
        <w:t xml:space="preserve"> Table 4 gives anticipated respondents/consultations by type of organization.</w:t>
      </w:r>
    </w:p>
    <w:p w:rsidR="009E6FE0" w:rsidP="009D2272" w:rsidRDefault="009E6FE0" w14:paraId="6962C5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024E4" w:rsidRDefault="007024E4" w14:paraId="0D332F09" w14:textId="77777777">
      <w:pPr>
        <w:widowControl/>
        <w:autoSpaceDE/>
        <w:autoSpaceDN/>
        <w:adjustRightInd/>
        <w:rPr>
          <w:sz w:val="24"/>
          <w:szCs w:val="24"/>
        </w:rPr>
      </w:pPr>
      <w:r>
        <w:rPr>
          <w:sz w:val="24"/>
          <w:szCs w:val="24"/>
        </w:rPr>
        <w:br w:type="page"/>
      </w:r>
    </w:p>
    <w:p w:rsidR="009D2272" w:rsidP="009D2272" w:rsidRDefault="009D2272" w14:paraId="7FA01E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 xml:space="preserve">Table 2. Estimated time requirements per </w:t>
      </w:r>
      <w:r w:rsidR="00D201F2">
        <w:rPr>
          <w:sz w:val="24"/>
          <w:szCs w:val="24"/>
        </w:rPr>
        <w:t xml:space="preserve">Federal </w:t>
      </w:r>
      <w:r>
        <w:rPr>
          <w:sz w:val="24"/>
          <w:szCs w:val="24"/>
        </w:rPr>
        <w:t xml:space="preserve">survey respondent. </w:t>
      </w:r>
    </w:p>
    <w:p w:rsidR="009D2272" w:rsidP="009D2272" w:rsidRDefault="009D2272" w14:paraId="3CAC97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Look w:val="04A0" w:firstRow="1" w:lastRow="0" w:firstColumn="1" w:lastColumn="0" w:noHBand="0" w:noVBand="1"/>
      </w:tblPr>
      <w:tblGrid>
        <w:gridCol w:w="4594"/>
        <w:gridCol w:w="2422"/>
        <w:gridCol w:w="2344"/>
      </w:tblGrid>
      <w:tr w:rsidRPr="00390D04" w:rsidR="009D2272" w:rsidTr="002753DA" w14:paraId="30D7EA2F" w14:textId="77777777">
        <w:trPr>
          <w:trHeight w:val="1152"/>
        </w:trPr>
        <w:tc>
          <w:tcPr>
            <w:tcW w:w="2454" w:type="pct"/>
            <w:tcBorders>
              <w:top w:val="nil"/>
              <w:left w:val="nil"/>
              <w:bottom w:val="nil"/>
              <w:right w:val="nil"/>
            </w:tcBorders>
            <w:shd w:val="clear" w:color="auto" w:fill="auto"/>
            <w:noWrap/>
            <w:hideMark/>
          </w:tcPr>
          <w:p w:rsidRPr="008D21F2" w:rsidR="009D2272" w:rsidP="002753DA" w:rsidRDefault="009D2272" w14:paraId="442AF96E" w14:textId="77777777">
            <w:pPr>
              <w:widowControl/>
              <w:autoSpaceDE/>
              <w:autoSpaceDN/>
              <w:adjustRightInd/>
              <w:rPr>
                <w:sz w:val="24"/>
                <w:szCs w:val="24"/>
              </w:rPr>
            </w:pPr>
          </w:p>
        </w:tc>
        <w:tc>
          <w:tcPr>
            <w:tcW w:w="1294" w:type="pct"/>
            <w:tcBorders>
              <w:top w:val="nil"/>
              <w:left w:val="nil"/>
              <w:bottom w:val="nil"/>
              <w:right w:val="nil"/>
            </w:tcBorders>
            <w:shd w:val="clear" w:color="auto" w:fill="auto"/>
            <w:hideMark/>
          </w:tcPr>
          <w:p w:rsidRPr="00390D04" w:rsidR="009D2272" w:rsidP="002753DA" w:rsidRDefault="009D2272" w14:paraId="3FAFBD8A" w14:textId="77777777">
            <w:pPr>
              <w:widowControl/>
              <w:autoSpaceDE/>
              <w:autoSpaceDN/>
              <w:adjustRightInd/>
              <w:jc w:val="center"/>
              <w:rPr>
                <w:b/>
                <w:bCs/>
                <w:color w:val="000000"/>
                <w:sz w:val="22"/>
                <w:szCs w:val="22"/>
              </w:rPr>
            </w:pPr>
            <w:r w:rsidRPr="00390D04">
              <w:rPr>
                <w:b/>
                <w:bCs/>
                <w:color w:val="000000"/>
                <w:sz w:val="22"/>
                <w:szCs w:val="22"/>
              </w:rPr>
              <w:t>Estimated Time per Respondent (minutes)</w:t>
            </w:r>
          </w:p>
        </w:tc>
        <w:tc>
          <w:tcPr>
            <w:tcW w:w="1252" w:type="pct"/>
            <w:tcBorders>
              <w:top w:val="nil"/>
              <w:left w:val="nil"/>
              <w:bottom w:val="nil"/>
              <w:right w:val="nil"/>
            </w:tcBorders>
            <w:shd w:val="clear" w:color="auto" w:fill="auto"/>
            <w:hideMark/>
          </w:tcPr>
          <w:p w:rsidRPr="00390D04" w:rsidR="009D2272" w:rsidP="002753DA" w:rsidRDefault="009D2272" w14:paraId="54072309" w14:textId="77777777">
            <w:pPr>
              <w:widowControl/>
              <w:autoSpaceDE/>
              <w:autoSpaceDN/>
              <w:adjustRightInd/>
              <w:jc w:val="center"/>
              <w:rPr>
                <w:b/>
                <w:bCs/>
                <w:color w:val="000000"/>
                <w:sz w:val="22"/>
                <w:szCs w:val="22"/>
              </w:rPr>
            </w:pPr>
            <w:r w:rsidRPr="00390D04">
              <w:rPr>
                <w:b/>
                <w:bCs/>
                <w:color w:val="000000"/>
                <w:sz w:val="22"/>
                <w:szCs w:val="22"/>
              </w:rPr>
              <w:t>Estimated Time per Respondent (hours)</w:t>
            </w:r>
          </w:p>
        </w:tc>
      </w:tr>
      <w:tr w:rsidRPr="00390D04" w:rsidR="009D2272" w:rsidTr="002753DA" w14:paraId="57EC8AED" w14:textId="77777777">
        <w:trPr>
          <w:trHeight w:val="288"/>
        </w:trPr>
        <w:tc>
          <w:tcPr>
            <w:tcW w:w="2454" w:type="pct"/>
            <w:tcBorders>
              <w:top w:val="single" w:color="auto" w:sz="4" w:space="0"/>
              <w:left w:val="nil"/>
              <w:bottom w:val="nil"/>
              <w:right w:val="nil"/>
            </w:tcBorders>
            <w:shd w:val="clear" w:color="auto" w:fill="auto"/>
            <w:noWrap/>
            <w:vAlign w:val="bottom"/>
            <w:hideMark/>
          </w:tcPr>
          <w:p w:rsidRPr="00390D04" w:rsidR="009D2272" w:rsidP="002753DA" w:rsidRDefault="009D2272" w14:paraId="663FE5B6" w14:textId="77777777">
            <w:pPr>
              <w:widowControl/>
              <w:autoSpaceDE/>
              <w:autoSpaceDN/>
              <w:adjustRightInd/>
              <w:rPr>
                <w:color w:val="000000"/>
                <w:sz w:val="22"/>
                <w:szCs w:val="22"/>
              </w:rPr>
            </w:pPr>
            <w:r w:rsidRPr="00390D04">
              <w:rPr>
                <w:color w:val="000000"/>
                <w:sz w:val="22"/>
                <w:szCs w:val="22"/>
              </w:rPr>
              <w:t>Initial phone call</w:t>
            </w:r>
          </w:p>
        </w:tc>
        <w:tc>
          <w:tcPr>
            <w:tcW w:w="1294" w:type="pct"/>
            <w:tcBorders>
              <w:top w:val="single" w:color="auto" w:sz="4" w:space="0"/>
              <w:left w:val="nil"/>
              <w:bottom w:val="nil"/>
              <w:right w:val="nil"/>
            </w:tcBorders>
            <w:shd w:val="clear" w:color="auto" w:fill="auto"/>
            <w:noWrap/>
            <w:vAlign w:val="bottom"/>
            <w:hideMark/>
          </w:tcPr>
          <w:p w:rsidRPr="00390D04" w:rsidR="009D2272" w:rsidP="002753DA" w:rsidRDefault="009D2272" w14:paraId="3C5C72C0" w14:textId="77777777">
            <w:pPr>
              <w:widowControl/>
              <w:autoSpaceDE/>
              <w:autoSpaceDN/>
              <w:adjustRightInd/>
              <w:jc w:val="center"/>
              <w:rPr>
                <w:color w:val="000000"/>
                <w:sz w:val="22"/>
                <w:szCs w:val="22"/>
              </w:rPr>
            </w:pPr>
            <w:r w:rsidRPr="00390D04">
              <w:rPr>
                <w:color w:val="000000"/>
                <w:sz w:val="22"/>
                <w:szCs w:val="22"/>
              </w:rPr>
              <w:t>30</w:t>
            </w:r>
          </w:p>
        </w:tc>
        <w:tc>
          <w:tcPr>
            <w:tcW w:w="1252" w:type="pct"/>
            <w:tcBorders>
              <w:top w:val="single" w:color="auto" w:sz="4" w:space="0"/>
              <w:left w:val="nil"/>
              <w:bottom w:val="nil"/>
              <w:right w:val="nil"/>
            </w:tcBorders>
            <w:shd w:val="clear" w:color="auto" w:fill="auto"/>
            <w:noWrap/>
            <w:vAlign w:val="bottom"/>
            <w:hideMark/>
          </w:tcPr>
          <w:p w:rsidRPr="00390D04" w:rsidR="009D2272" w:rsidP="002753DA" w:rsidRDefault="009D2272" w14:paraId="41AAFE5A" w14:textId="77777777">
            <w:pPr>
              <w:widowControl/>
              <w:autoSpaceDE/>
              <w:autoSpaceDN/>
              <w:adjustRightInd/>
              <w:jc w:val="center"/>
              <w:rPr>
                <w:color w:val="000000"/>
                <w:sz w:val="22"/>
                <w:szCs w:val="22"/>
              </w:rPr>
            </w:pPr>
            <w:r w:rsidRPr="00390D04">
              <w:rPr>
                <w:color w:val="000000"/>
                <w:sz w:val="22"/>
                <w:szCs w:val="22"/>
              </w:rPr>
              <w:t>0.5</w:t>
            </w:r>
          </w:p>
        </w:tc>
      </w:tr>
      <w:tr w:rsidRPr="00390D04" w:rsidR="009D2272" w:rsidTr="002753DA" w14:paraId="337585D5" w14:textId="77777777">
        <w:trPr>
          <w:trHeight w:val="288"/>
        </w:trPr>
        <w:tc>
          <w:tcPr>
            <w:tcW w:w="2454" w:type="pct"/>
            <w:tcBorders>
              <w:top w:val="nil"/>
              <w:left w:val="nil"/>
              <w:bottom w:val="nil"/>
              <w:right w:val="nil"/>
            </w:tcBorders>
            <w:shd w:val="clear" w:color="auto" w:fill="auto"/>
            <w:noWrap/>
            <w:vAlign w:val="bottom"/>
            <w:hideMark/>
          </w:tcPr>
          <w:p w:rsidRPr="00390D04" w:rsidR="009D2272" w:rsidP="002753DA" w:rsidRDefault="009D2272" w14:paraId="289A83D6" w14:textId="77777777">
            <w:pPr>
              <w:widowControl/>
              <w:autoSpaceDE/>
              <w:autoSpaceDN/>
              <w:adjustRightInd/>
              <w:rPr>
                <w:color w:val="000000"/>
                <w:sz w:val="22"/>
                <w:szCs w:val="22"/>
              </w:rPr>
            </w:pPr>
            <w:r w:rsidRPr="00390D04">
              <w:rPr>
                <w:color w:val="000000"/>
                <w:sz w:val="22"/>
                <w:szCs w:val="22"/>
              </w:rPr>
              <w:t>Project expenditure survey</w:t>
            </w:r>
          </w:p>
        </w:tc>
        <w:tc>
          <w:tcPr>
            <w:tcW w:w="1294" w:type="pct"/>
            <w:tcBorders>
              <w:top w:val="nil"/>
              <w:left w:val="nil"/>
              <w:bottom w:val="nil"/>
              <w:right w:val="nil"/>
            </w:tcBorders>
            <w:shd w:val="clear" w:color="auto" w:fill="auto"/>
            <w:noWrap/>
            <w:vAlign w:val="bottom"/>
            <w:hideMark/>
          </w:tcPr>
          <w:p w:rsidRPr="00390D04" w:rsidR="009D2272" w:rsidP="002753DA" w:rsidRDefault="009D2272" w14:paraId="4AC06522" w14:textId="77777777">
            <w:pPr>
              <w:widowControl/>
              <w:autoSpaceDE/>
              <w:autoSpaceDN/>
              <w:adjustRightInd/>
              <w:jc w:val="center"/>
              <w:rPr>
                <w:color w:val="000000"/>
                <w:sz w:val="22"/>
                <w:szCs w:val="22"/>
              </w:rPr>
            </w:pPr>
            <w:r w:rsidRPr="00390D04">
              <w:rPr>
                <w:color w:val="000000"/>
                <w:sz w:val="22"/>
                <w:szCs w:val="22"/>
              </w:rPr>
              <w:t>120</w:t>
            </w:r>
          </w:p>
        </w:tc>
        <w:tc>
          <w:tcPr>
            <w:tcW w:w="1252" w:type="pct"/>
            <w:tcBorders>
              <w:top w:val="nil"/>
              <w:left w:val="nil"/>
              <w:bottom w:val="nil"/>
              <w:right w:val="nil"/>
            </w:tcBorders>
            <w:shd w:val="clear" w:color="auto" w:fill="auto"/>
            <w:noWrap/>
            <w:vAlign w:val="bottom"/>
            <w:hideMark/>
          </w:tcPr>
          <w:p w:rsidRPr="00390D04" w:rsidR="009D2272" w:rsidP="002753DA" w:rsidRDefault="009D2272" w14:paraId="51F4B2A0" w14:textId="77777777">
            <w:pPr>
              <w:widowControl/>
              <w:autoSpaceDE/>
              <w:autoSpaceDN/>
              <w:adjustRightInd/>
              <w:jc w:val="center"/>
              <w:rPr>
                <w:color w:val="000000"/>
                <w:sz w:val="22"/>
                <w:szCs w:val="22"/>
              </w:rPr>
            </w:pPr>
            <w:r w:rsidRPr="00390D04">
              <w:rPr>
                <w:color w:val="000000"/>
                <w:sz w:val="22"/>
                <w:szCs w:val="22"/>
              </w:rPr>
              <w:t>2</w:t>
            </w:r>
          </w:p>
        </w:tc>
      </w:tr>
      <w:tr w:rsidRPr="00390D04" w:rsidR="009D2272" w:rsidTr="002753DA" w14:paraId="0346DC19" w14:textId="77777777">
        <w:trPr>
          <w:trHeight w:val="288"/>
        </w:trPr>
        <w:tc>
          <w:tcPr>
            <w:tcW w:w="2454" w:type="pct"/>
            <w:tcBorders>
              <w:top w:val="nil"/>
              <w:left w:val="nil"/>
              <w:bottom w:val="nil"/>
              <w:right w:val="nil"/>
            </w:tcBorders>
            <w:shd w:val="clear" w:color="auto" w:fill="auto"/>
            <w:noWrap/>
            <w:vAlign w:val="bottom"/>
            <w:hideMark/>
          </w:tcPr>
          <w:p w:rsidRPr="00390D04" w:rsidR="009D2272" w:rsidP="002753DA" w:rsidRDefault="009D2272" w14:paraId="3E9C10D3" w14:textId="77777777">
            <w:pPr>
              <w:widowControl/>
              <w:autoSpaceDE/>
              <w:autoSpaceDN/>
              <w:adjustRightInd/>
              <w:rPr>
                <w:color w:val="000000"/>
                <w:sz w:val="22"/>
                <w:szCs w:val="22"/>
              </w:rPr>
            </w:pPr>
            <w:r w:rsidRPr="00390D04">
              <w:rPr>
                <w:color w:val="000000"/>
                <w:sz w:val="22"/>
                <w:szCs w:val="22"/>
              </w:rPr>
              <w:t>Follow-up phone calls</w:t>
            </w:r>
          </w:p>
        </w:tc>
        <w:tc>
          <w:tcPr>
            <w:tcW w:w="1294" w:type="pct"/>
            <w:tcBorders>
              <w:top w:val="nil"/>
              <w:left w:val="nil"/>
              <w:bottom w:val="nil"/>
              <w:right w:val="nil"/>
            </w:tcBorders>
            <w:shd w:val="clear" w:color="auto" w:fill="auto"/>
            <w:noWrap/>
            <w:vAlign w:val="bottom"/>
            <w:hideMark/>
          </w:tcPr>
          <w:p w:rsidRPr="00390D04" w:rsidR="009D2272" w:rsidP="002753DA" w:rsidRDefault="009D2272" w14:paraId="043E3D55" w14:textId="77777777">
            <w:pPr>
              <w:widowControl/>
              <w:autoSpaceDE/>
              <w:autoSpaceDN/>
              <w:adjustRightInd/>
              <w:jc w:val="center"/>
              <w:rPr>
                <w:color w:val="000000"/>
                <w:sz w:val="22"/>
                <w:szCs w:val="22"/>
              </w:rPr>
            </w:pPr>
            <w:r w:rsidRPr="00390D04">
              <w:rPr>
                <w:color w:val="000000"/>
                <w:sz w:val="22"/>
                <w:szCs w:val="22"/>
              </w:rPr>
              <w:t>30</w:t>
            </w:r>
          </w:p>
        </w:tc>
        <w:tc>
          <w:tcPr>
            <w:tcW w:w="1252" w:type="pct"/>
            <w:tcBorders>
              <w:top w:val="nil"/>
              <w:left w:val="nil"/>
              <w:bottom w:val="nil"/>
              <w:right w:val="nil"/>
            </w:tcBorders>
            <w:shd w:val="clear" w:color="auto" w:fill="auto"/>
            <w:noWrap/>
            <w:vAlign w:val="bottom"/>
            <w:hideMark/>
          </w:tcPr>
          <w:p w:rsidRPr="00390D04" w:rsidR="009D2272" w:rsidP="002753DA" w:rsidRDefault="009D2272" w14:paraId="62C38EB7" w14:textId="77777777">
            <w:pPr>
              <w:widowControl/>
              <w:autoSpaceDE/>
              <w:autoSpaceDN/>
              <w:adjustRightInd/>
              <w:jc w:val="center"/>
              <w:rPr>
                <w:color w:val="000000"/>
                <w:sz w:val="22"/>
                <w:szCs w:val="22"/>
              </w:rPr>
            </w:pPr>
            <w:r w:rsidRPr="00390D04">
              <w:rPr>
                <w:color w:val="000000"/>
                <w:sz w:val="22"/>
                <w:szCs w:val="22"/>
              </w:rPr>
              <w:t>0.5</w:t>
            </w:r>
          </w:p>
        </w:tc>
      </w:tr>
      <w:tr w:rsidRPr="00390D04" w:rsidR="009D2272" w:rsidTr="002753DA" w14:paraId="22A31DD6" w14:textId="77777777">
        <w:trPr>
          <w:trHeight w:val="288"/>
        </w:trPr>
        <w:tc>
          <w:tcPr>
            <w:tcW w:w="2454" w:type="pct"/>
            <w:tcBorders>
              <w:top w:val="single" w:color="auto" w:sz="4" w:space="0"/>
              <w:left w:val="nil"/>
              <w:bottom w:val="nil"/>
              <w:right w:val="nil"/>
            </w:tcBorders>
            <w:shd w:val="clear" w:color="auto" w:fill="auto"/>
            <w:noWrap/>
            <w:vAlign w:val="bottom"/>
            <w:hideMark/>
          </w:tcPr>
          <w:p w:rsidRPr="00390D04" w:rsidR="009D2272" w:rsidP="002753DA" w:rsidRDefault="009D2272" w14:paraId="507667D9" w14:textId="77777777">
            <w:pPr>
              <w:widowControl/>
              <w:autoSpaceDE/>
              <w:autoSpaceDN/>
              <w:adjustRightInd/>
              <w:rPr>
                <w:color w:val="000000"/>
                <w:sz w:val="22"/>
                <w:szCs w:val="22"/>
              </w:rPr>
            </w:pPr>
            <w:r w:rsidRPr="00390D04">
              <w:rPr>
                <w:color w:val="000000"/>
                <w:sz w:val="22"/>
                <w:szCs w:val="22"/>
              </w:rPr>
              <w:t>Total</w:t>
            </w:r>
          </w:p>
        </w:tc>
        <w:tc>
          <w:tcPr>
            <w:tcW w:w="1294" w:type="pct"/>
            <w:tcBorders>
              <w:top w:val="single" w:color="auto" w:sz="4" w:space="0"/>
              <w:left w:val="nil"/>
              <w:bottom w:val="nil"/>
              <w:right w:val="nil"/>
            </w:tcBorders>
            <w:shd w:val="clear" w:color="auto" w:fill="auto"/>
            <w:noWrap/>
            <w:vAlign w:val="bottom"/>
            <w:hideMark/>
          </w:tcPr>
          <w:p w:rsidRPr="00390D04" w:rsidR="009D2272" w:rsidP="002753DA" w:rsidRDefault="008B54E9" w14:paraId="697AD596" w14:textId="77777777">
            <w:pPr>
              <w:widowControl/>
              <w:autoSpaceDE/>
              <w:autoSpaceDN/>
              <w:adjustRightInd/>
              <w:jc w:val="center"/>
              <w:rPr>
                <w:color w:val="000000"/>
                <w:sz w:val="22"/>
                <w:szCs w:val="22"/>
              </w:rPr>
            </w:pPr>
            <w:r w:rsidRPr="00390D04">
              <w:rPr>
                <w:color w:val="000000"/>
                <w:sz w:val="22"/>
                <w:szCs w:val="22"/>
              </w:rPr>
              <w:t>180</w:t>
            </w:r>
          </w:p>
        </w:tc>
        <w:tc>
          <w:tcPr>
            <w:tcW w:w="1252" w:type="pct"/>
            <w:tcBorders>
              <w:top w:val="single" w:color="auto" w:sz="4" w:space="0"/>
              <w:left w:val="nil"/>
              <w:bottom w:val="nil"/>
              <w:right w:val="nil"/>
            </w:tcBorders>
            <w:shd w:val="clear" w:color="auto" w:fill="auto"/>
            <w:noWrap/>
            <w:vAlign w:val="bottom"/>
            <w:hideMark/>
          </w:tcPr>
          <w:p w:rsidRPr="00390D04" w:rsidR="009D2272" w:rsidP="002753DA" w:rsidRDefault="008B54E9" w14:paraId="2860BF99" w14:textId="77777777">
            <w:pPr>
              <w:widowControl/>
              <w:autoSpaceDE/>
              <w:autoSpaceDN/>
              <w:adjustRightInd/>
              <w:jc w:val="center"/>
              <w:rPr>
                <w:color w:val="000000"/>
                <w:sz w:val="22"/>
                <w:szCs w:val="22"/>
              </w:rPr>
            </w:pPr>
            <w:r w:rsidRPr="00390D04">
              <w:rPr>
                <w:color w:val="000000"/>
                <w:sz w:val="22"/>
                <w:szCs w:val="22"/>
              </w:rPr>
              <w:t>3</w:t>
            </w:r>
          </w:p>
        </w:tc>
      </w:tr>
    </w:tbl>
    <w:p w:rsidRPr="00CC627F" w:rsidR="009D2272" w:rsidP="009D2272" w:rsidRDefault="009D2272" w14:paraId="66BC58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6FE0" w:rsidP="00D201F2" w:rsidRDefault="009E6FE0" w14:paraId="62A11A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6FE0" w:rsidP="00D201F2" w:rsidRDefault="009E6FE0" w14:paraId="5970CD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201F2" w:rsidP="00D201F2" w:rsidRDefault="00D201F2" w14:paraId="578E0E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3. Estimated time requirements per non-Federal survey </w:t>
      </w:r>
      <w:r w:rsidR="00561C93">
        <w:rPr>
          <w:sz w:val="24"/>
          <w:szCs w:val="24"/>
        </w:rPr>
        <w:t>consultation</w:t>
      </w:r>
      <w:r>
        <w:rPr>
          <w:sz w:val="24"/>
          <w:szCs w:val="24"/>
        </w:rPr>
        <w:t xml:space="preserve">. </w:t>
      </w:r>
    </w:p>
    <w:p w:rsidR="00D201F2" w:rsidP="00D201F2" w:rsidRDefault="00D201F2" w14:paraId="7FDDA2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Look w:val="04A0" w:firstRow="1" w:lastRow="0" w:firstColumn="1" w:lastColumn="0" w:noHBand="0" w:noVBand="1"/>
      </w:tblPr>
      <w:tblGrid>
        <w:gridCol w:w="4594"/>
        <w:gridCol w:w="2422"/>
        <w:gridCol w:w="2344"/>
      </w:tblGrid>
      <w:tr w:rsidRPr="00390D04" w:rsidR="00D201F2" w:rsidTr="00D11BBC" w14:paraId="0EA9454E" w14:textId="77777777">
        <w:trPr>
          <w:trHeight w:val="1152"/>
        </w:trPr>
        <w:tc>
          <w:tcPr>
            <w:tcW w:w="2454" w:type="pct"/>
            <w:tcBorders>
              <w:top w:val="nil"/>
              <w:left w:val="nil"/>
              <w:bottom w:val="nil"/>
              <w:right w:val="nil"/>
            </w:tcBorders>
            <w:shd w:val="clear" w:color="auto" w:fill="auto"/>
            <w:noWrap/>
            <w:hideMark/>
          </w:tcPr>
          <w:p w:rsidRPr="008D21F2" w:rsidR="00D201F2" w:rsidP="00D11BBC" w:rsidRDefault="00D201F2" w14:paraId="74B7D2D7" w14:textId="77777777">
            <w:pPr>
              <w:widowControl/>
              <w:autoSpaceDE/>
              <w:autoSpaceDN/>
              <w:adjustRightInd/>
              <w:rPr>
                <w:sz w:val="24"/>
                <w:szCs w:val="24"/>
              </w:rPr>
            </w:pPr>
          </w:p>
        </w:tc>
        <w:tc>
          <w:tcPr>
            <w:tcW w:w="1294" w:type="pct"/>
            <w:tcBorders>
              <w:top w:val="nil"/>
              <w:left w:val="nil"/>
              <w:bottom w:val="nil"/>
              <w:right w:val="nil"/>
            </w:tcBorders>
            <w:shd w:val="clear" w:color="auto" w:fill="auto"/>
            <w:hideMark/>
          </w:tcPr>
          <w:p w:rsidRPr="00390D04" w:rsidR="00D201F2" w:rsidP="00D11BBC" w:rsidRDefault="00D201F2" w14:paraId="4B208142" w14:textId="77777777">
            <w:pPr>
              <w:widowControl/>
              <w:autoSpaceDE/>
              <w:autoSpaceDN/>
              <w:adjustRightInd/>
              <w:jc w:val="center"/>
              <w:rPr>
                <w:b/>
                <w:bCs/>
                <w:color w:val="000000"/>
                <w:sz w:val="22"/>
                <w:szCs w:val="22"/>
              </w:rPr>
            </w:pPr>
            <w:r w:rsidRPr="00390D04">
              <w:rPr>
                <w:b/>
                <w:bCs/>
                <w:color w:val="000000"/>
                <w:sz w:val="22"/>
                <w:szCs w:val="22"/>
              </w:rPr>
              <w:t>Estimated Time per Respondent (minutes)</w:t>
            </w:r>
          </w:p>
        </w:tc>
        <w:tc>
          <w:tcPr>
            <w:tcW w:w="1252" w:type="pct"/>
            <w:tcBorders>
              <w:top w:val="nil"/>
              <w:left w:val="nil"/>
              <w:bottom w:val="nil"/>
              <w:right w:val="nil"/>
            </w:tcBorders>
            <w:shd w:val="clear" w:color="auto" w:fill="auto"/>
            <w:hideMark/>
          </w:tcPr>
          <w:p w:rsidRPr="00390D04" w:rsidR="00D201F2" w:rsidP="00D11BBC" w:rsidRDefault="00D201F2" w14:paraId="390BA442" w14:textId="77777777">
            <w:pPr>
              <w:widowControl/>
              <w:autoSpaceDE/>
              <w:autoSpaceDN/>
              <w:adjustRightInd/>
              <w:jc w:val="center"/>
              <w:rPr>
                <w:b/>
                <w:bCs/>
                <w:color w:val="000000"/>
                <w:sz w:val="22"/>
                <w:szCs w:val="22"/>
              </w:rPr>
            </w:pPr>
            <w:r w:rsidRPr="00390D04">
              <w:rPr>
                <w:b/>
                <w:bCs/>
                <w:color w:val="000000"/>
                <w:sz w:val="22"/>
                <w:szCs w:val="22"/>
              </w:rPr>
              <w:t>Estimated Time per Respondent (hours)</w:t>
            </w:r>
          </w:p>
        </w:tc>
      </w:tr>
      <w:tr w:rsidRPr="00390D04" w:rsidR="00D201F2" w:rsidTr="00D11BBC" w14:paraId="202EB2B5" w14:textId="77777777">
        <w:trPr>
          <w:trHeight w:val="288"/>
        </w:trPr>
        <w:tc>
          <w:tcPr>
            <w:tcW w:w="2454" w:type="pct"/>
            <w:tcBorders>
              <w:top w:val="single" w:color="auto" w:sz="4" w:space="0"/>
              <w:left w:val="nil"/>
              <w:bottom w:val="nil"/>
              <w:right w:val="nil"/>
            </w:tcBorders>
            <w:shd w:val="clear" w:color="auto" w:fill="auto"/>
            <w:noWrap/>
            <w:vAlign w:val="bottom"/>
            <w:hideMark/>
          </w:tcPr>
          <w:p w:rsidRPr="00390D04" w:rsidR="00D201F2" w:rsidP="00D11BBC" w:rsidRDefault="00D201F2" w14:paraId="0ED48633" w14:textId="77777777">
            <w:pPr>
              <w:widowControl/>
              <w:autoSpaceDE/>
              <w:autoSpaceDN/>
              <w:adjustRightInd/>
              <w:rPr>
                <w:color w:val="000000"/>
                <w:sz w:val="22"/>
                <w:szCs w:val="22"/>
              </w:rPr>
            </w:pPr>
            <w:r>
              <w:rPr>
                <w:color w:val="000000"/>
                <w:sz w:val="22"/>
                <w:szCs w:val="22"/>
              </w:rPr>
              <w:t>Consultation</w:t>
            </w:r>
          </w:p>
        </w:tc>
        <w:tc>
          <w:tcPr>
            <w:tcW w:w="1294" w:type="pct"/>
            <w:tcBorders>
              <w:top w:val="single" w:color="auto" w:sz="4" w:space="0"/>
              <w:left w:val="nil"/>
              <w:bottom w:val="nil"/>
              <w:right w:val="nil"/>
            </w:tcBorders>
            <w:shd w:val="clear" w:color="auto" w:fill="auto"/>
            <w:noWrap/>
            <w:vAlign w:val="bottom"/>
            <w:hideMark/>
          </w:tcPr>
          <w:p w:rsidRPr="00390D04" w:rsidR="00D201F2" w:rsidP="00D11BBC" w:rsidRDefault="00D201F2" w14:paraId="0A2D033C" w14:textId="77777777">
            <w:pPr>
              <w:widowControl/>
              <w:autoSpaceDE/>
              <w:autoSpaceDN/>
              <w:adjustRightInd/>
              <w:jc w:val="center"/>
              <w:rPr>
                <w:color w:val="000000"/>
                <w:sz w:val="22"/>
                <w:szCs w:val="22"/>
              </w:rPr>
            </w:pPr>
            <w:r>
              <w:rPr>
                <w:color w:val="000000"/>
                <w:sz w:val="22"/>
                <w:szCs w:val="22"/>
              </w:rPr>
              <w:t>120</w:t>
            </w:r>
          </w:p>
        </w:tc>
        <w:tc>
          <w:tcPr>
            <w:tcW w:w="1252" w:type="pct"/>
            <w:tcBorders>
              <w:top w:val="single" w:color="auto" w:sz="4" w:space="0"/>
              <w:left w:val="nil"/>
              <w:bottom w:val="nil"/>
              <w:right w:val="nil"/>
            </w:tcBorders>
            <w:shd w:val="clear" w:color="auto" w:fill="auto"/>
            <w:noWrap/>
            <w:vAlign w:val="bottom"/>
            <w:hideMark/>
          </w:tcPr>
          <w:p w:rsidRPr="00390D04" w:rsidR="00D201F2" w:rsidP="00D11BBC" w:rsidRDefault="00D201F2" w14:paraId="7BE1CAD1" w14:textId="77777777">
            <w:pPr>
              <w:widowControl/>
              <w:autoSpaceDE/>
              <w:autoSpaceDN/>
              <w:adjustRightInd/>
              <w:jc w:val="center"/>
              <w:rPr>
                <w:color w:val="000000"/>
                <w:sz w:val="22"/>
                <w:szCs w:val="22"/>
              </w:rPr>
            </w:pPr>
            <w:r>
              <w:rPr>
                <w:color w:val="000000"/>
                <w:sz w:val="22"/>
                <w:szCs w:val="22"/>
              </w:rPr>
              <w:t>2</w:t>
            </w:r>
          </w:p>
        </w:tc>
      </w:tr>
      <w:tr w:rsidRPr="00390D04" w:rsidR="00D201F2" w:rsidTr="00D11BBC" w14:paraId="5F9EA8B4" w14:textId="77777777">
        <w:trPr>
          <w:trHeight w:val="288"/>
        </w:trPr>
        <w:tc>
          <w:tcPr>
            <w:tcW w:w="2454" w:type="pct"/>
            <w:tcBorders>
              <w:top w:val="single" w:color="auto" w:sz="4" w:space="0"/>
              <w:left w:val="nil"/>
              <w:bottom w:val="nil"/>
              <w:right w:val="nil"/>
            </w:tcBorders>
            <w:shd w:val="clear" w:color="auto" w:fill="auto"/>
            <w:noWrap/>
            <w:vAlign w:val="bottom"/>
            <w:hideMark/>
          </w:tcPr>
          <w:p w:rsidRPr="00390D04" w:rsidR="00D201F2" w:rsidP="00D11BBC" w:rsidRDefault="00D201F2" w14:paraId="3A8A8A1E" w14:textId="77777777">
            <w:pPr>
              <w:widowControl/>
              <w:autoSpaceDE/>
              <w:autoSpaceDN/>
              <w:adjustRightInd/>
              <w:rPr>
                <w:color w:val="000000"/>
                <w:sz w:val="22"/>
                <w:szCs w:val="22"/>
              </w:rPr>
            </w:pPr>
            <w:r w:rsidRPr="00390D04">
              <w:rPr>
                <w:color w:val="000000"/>
                <w:sz w:val="22"/>
                <w:szCs w:val="22"/>
              </w:rPr>
              <w:t>Total</w:t>
            </w:r>
          </w:p>
        </w:tc>
        <w:tc>
          <w:tcPr>
            <w:tcW w:w="1294" w:type="pct"/>
            <w:tcBorders>
              <w:top w:val="single" w:color="auto" w:sz="4" w:space="0"/>
              <w:left w:val="nil"/>
              <w:bottom w:val="nil"/>
              <w:right w:val="nil"/>
            </w:tcBorders>
            <w:shd w:val="clear" w:color="auto" w:fill="auto"/>
            <w:noWrap/>
            <w:vAlign w:val="bottom"/>
            <w:hideMark/>
          </w:tcPr>
          <w:p w:rsidRPr="00390D04" w:rsidR="00D201F2" w:rsidP="00D11BBC" w:rsidRDefault="00D201F2" w14:paraId="6FE17BDC" w14:textId="77777777">
            <w:pPr>
              <w:widowControl/>
              <w:autoSpaceDE/>
              <w:autoSpaceDN/>
              <w:adjustRightInd/>
              <w:jc w:val="center"/>
              <w:rPr>
                <w:color w:val="000000"/>
                <w:sz w:val="22"/>
                <w:szCs w:val="22"/>
              </w:rPr>
            </w:pPr>
            <w:r>
              <w:rPr>
                <w:color w:val="000000"/>
                <w:sz w:val="22"/>
                <w:szCs w:val="22"/>
              </w:rPr>
              <w:t>120</w:t>
            </w:r>
          </w:p>
        </w:tc>
        <w:tc>
          <w:tcPr>
            <w:tcW w:w="1252" w:type="pct"/>
            <w:tcBorders>
              <w:top w:val="single" w:color="auto" w:sz="4" w:space="0"/>
              <w:left w:val="nil"/>
              <w:bottom w:val="nil"/>
              <w:right w:val="nil"/>
            </w:tcBorders>
            <w:shd w:val="clear" w:color="auto" w:fill="auto"/>
            <w:noWrap/>
            <w:vAlign w:val="bottom"/>
            <w:hideMark/>
          </w:tcPr>
          <w:p w:rsidRPr="00390D04" w:rsidR="00D201F2" w:rsidP="00D11BBC" w:rsidRDefault="00D201F2" w14:paraId="38599465" w14:textId="77777777">
            <w:pPr>
              <w:widowControl/>
              <w:autoSpaceDE/>
              <w:autoSpaceDN/>
              <w:adjustRightInd/>
              <w:jc w:val="center"/>
              <w:rPr>
                <w:color w:val="000000"/>
                <w:sz w:val="22"/>
                <w:szCs w:val="22"/>
              </w:rPr>
            </w:pPr>
            <w:r>
              <w:rPr>
                <w:color w:val="000000"/>
                <w:sz w:val="22"/>
                <w:szCs w:val="22"/>
              </w:rPr>
              <w:t>2</w:t>
            </w:r>
          </w:p>
        </w:tc>
      </w:tr>
    </w:tbl>
    <w:p w:rsidRPr="00CC627F" w:rsidR="009D2272" w:rsidP="009D2272" w:rsidRDefault="009D2272" w14:paraId="64BADC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6FE0" w:rsidP="009D2272" w:rsidRDefault="009E6FE0" w14:paraId="6F9E96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E6FE0" w:rsidP="009D2272" w:rsidRDefault="009E6FE0" w14:paraId="31FD9D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D2272" w:rsidP="009D2272" w:rsidRDefault="009D2272" w14:paraId="699AA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w:t>
      </w:r>
      <w:r w:rsidR="00D201F2">
        <w:rPr>
          <w:sz w:val="24"/>
          <w:szCs w:val="24"/>
        </w:rPr>
        <w:t>4</w:t>
      </w:r>
      <w:r>
        <w:rPr>
          <w:sz w:val="24"/>
          <w:szCs w:val="24"/>
        </w:rPr>
        <w:t xml:space="preserve">. Anticipated </w:t>
      </w:r>
      <w:r w:rsidR="00D201F2">
        <w:rPr>
          <w:sz w:val="24"/>
          <w:szCs w:val="24"/>
        </w:rPr>
        <w:t xml:space="preserve">respondents/consultations </w:t>
      </w:r>
      <w:r>
        <w:rPr>
          <w:sz w:val="24"/>
          <w:szCs w:val="24"/>
        </w:rPr>
        <w:t>by type of organization.</w:t>
      </w:r>
    </w:p>
    <w:tbl>
      <w:tblPr>
        <w:tblW w:w="5000" w:type="pct"/>
        <w:tblLook w:val="04A0" w:firstRow="1" w:lastRow="0" w:firstColumn="1" w:lastColumn="0" w:noHBand="0" w:noVBand="1"/>
      </w:tblPr>
      <w:tblGrid>
        <w:gridCol w:w="4927"/>
        <w:gridCol w:w="2216"/>
        <w:gridCol w:w="2217"/>
      </w:tblGrid>
      <w:tr w:rsidRPr="00390D04" w:rsidR="002A3BAD" w:rsidTr="009E6FE0" w14:paraId="15EE9B2E" w14:textId="77777777">
        <w:trPr>
          <w:trHeight w:val="864"/>
        </w:trPr>
        <w:tc>
          <w:tcPr>
            <w:tcW w:w="2474" w:type="pct"/>
            <w:tcBorders>
              <w:top w:val="nil"/>
              <w:left w:val="nil"/>
              <w:bottom w:val="nil"/>
              <w:right w:val="nil"/>
            </w:tcBorders>
            <w:shd w:val="clear" w:color="auto" w:fill="auto"/>
            <w:noWrap/>
            <w:hideMark/>
          </w:tcPr>
          <w:p w:rsidRPr="008D21F2" w:rsidR="002A3BAD" w:rsidP="002753DA" w:rsidRDefault="002A3BAD" w14:paraId="6E26B667" w14:textId="77777777">
            <w:pPr>
              <w:widowControl/>
              <w:autoSpaceDE/>
              <w:autoSpaceDN/>
              <w:adjustRightInd/>
              <w:rPr>
                <w:sz w:val="24"/>
                <w:szCs w:val="24"/>
              </w:rPr>
            </w:pPr>
          </w:p>
        </w:tc>
        <w:tc>
          <w:tcPr>
            <w:tcW w:w="1263" w:type="pct"/>
            <w:tcBorders>
              <w:top w:val="nil"/>
              <w:left w:val="nil"/>
              <w:bottom w:val="nil"/>
              <w:right w:val="nil"/>
            </w:tcBorders>
            <w:shd w:val="clear" w:color="auto" w:fill="auto"/>
            <w:hideMark/>
          </w:tcPr>
          <w:p w:rsidRPr="00390D04" w:rsidR="002A3BAD" w:rsidP="002753DA" w:rsidRDefault="002A3BAD" w14:paraId="5E307830" w14:textId="77777777">
            <w:pPr>
              <w:widowControl/>
              <w:autoSpaceDE/>
              <w:autoSpaceDN/>
              <w:adjustRightInd/>
              <w:jc w:val="center"/>
              <w:rPr>
                <w:b/>
                <w:bCs/>
                <w:color w:val="000000"/>
                <w:sz w:val="22"/>
                <w:szCs w:val="22"/>
              </w:rPr>
            </w:pPr>
            <w:r w:rsidRPr="00390D04">
              <w:rPr>
                <w:b/>
                <w:bCs/>
                <w:color w:val="000000"/>
                <w:sz w:val="22"/>
                <w:szCs w:val="22"/>
              </w:rPr>
              <w:t>Estimated number of respondents and supporting consultations</w:t>
            </w:r>
          </w:p>
        </w:tc>
        <w:tc>
          <w:tcPr>
            <w:tcW w:w="1263" w:type="pct"/>
            <w:tcBorders>
              <w:top w:val="nil"/>
              <w:left w:val="nil"/>
              <w:bottom w:val="nil"/>
              <w:right w:val="nil"/>
            </w:tcBorders>
          </w:tcPr>
          <w:p w:rsidR="002A3BAD" w:rsidP="002753DA" w:rsidRDefault="002A3BAD" w14:paraId="047FC380" w14:textId="77777777">
            <w:pPr>
              <w:widowControl/>
              <w:autoSpaceDE/>
              <w:autoSpaceDN/>
              <w:adjustRightInd/>
              <w:jc w:val="center"/>
              <w:rPr>
                <w:b/>
                <w:bCs/>
                <w:color w:val="000000"/>
                <w:sz w:val="22"/>
                <w:szCs w:val="22"/>
              </w:rPr>
            </w:pPr>
            <w:r>
              <w:rPr>
                <w:b/>
                <w:bCs/>
                <w:color w:val="000000"/>
                <w:sz w:val="22"/>
                <w:szCs w:val="22"/>
              </w:rPr>
              <w:t>Estimated</w:t>
            </w:r>
          </w:p>
          <w:p w:rsidR="002A3BAD" w:rsidP="002753DA" w:rsidRDefault="002A3BAD" w14:paraId="347BB4DB" w14:textId="77777777">
            <w:pPr>
              <w:widowControl/>
              <w:autoSpaceDE/>
              <w:autoSpaceDN/>
              <w:adjustRightInd/>
              <w:jc w:val="center"/>
              <w:rPr>
                <w:b/>
                <w:bCs/>
                <w:color w:val="000000"/>
                <w:sz w:val="22"/>
                <w:szCs w:val="22"/>
              </w:rPr>
            </w:pPr>
            <w:r>
              <w:rPr>
                <w:b/>
                <w:bCs/>
                <w:color w:val="000000"/>
                <w:sz w:val="22"/>
                <w:szCs w:val="22"/>
              </w:rPr>
              <w:t>Burden Hours</w:t>
            </w:r>
          </w:p>
          <w:p w:rsidRPr="00390D04" w:rsidR="002A3BAD" w:rsidP="002753DA" w:rsidRDefault="002A3BAD" w14:paraId="08D6079C" w14:textId="77777777">
            <w:pPr>
              <w:widowControl/>
              <w:autoSpaceDE/>
              <w:autoSpaceDN/>
              <w:adjustRightInd/>
              <w:jc w:val="center"/>
              <w:rPr>
                <w:b/>
                <w:bCs/>
                <w:color w:val="000000"/>
                <w:sz w:val="22"/>
                <w:szCs w:val="22"/>
              </w:rPr>
            </w:pPr>
            <w:r>
              <w:rPr>
                <w:b/>
                <w:bCs/>
                <w:color w:val="000000"/>
                <w:sz w:val="22"/>
                <w:szCs w:val="22"/>
              </w:rPr>
              <w:t>Per Class</w:t>
            </w:r>
          </w:p>
        </w:tc>
      </w:tr>
      <w:tr w:rsidRPr="00390D04" w:rsidR="002A3BAD" w:rsidTr="009E6FE0" w14:paraId="329FF02A" w14:textId="77777777">
        <w:trPr>
          <w:trHeight w:val="288"/>
        </w:trPr>
        <w:tc>
          <w:tcPr>
            <w:tcW w:w="2474" w:type="pct"/>
            <w:tcBorders>
              <w:top w:val="single" w:color="auto" w:sz="4" w:space="0"/>
              <w:left w:val="nil"/>
              <w:bottom w:val="nil"/>
              <w:right w:val="nil"/>
            </w:tcBorders>
            <w:shd w:val="clear" w:color="auto" w:fill="auto"/>
            <w:noWrap/>
            <w:vAlign w:val="bottom"/>
            <w:hideMark/>
          </w:tcPr>
          <w:p w:rsidRPr="00390D04" w:rsidR="002A3BAD" w:rsidP="002753DA" w:rsidRDefault="002A3BAD" w14:paraId="7DC3ED54" w14:textId="77777777">
            <w:pPr>
              <w:widowControl/>
              <w:autoSpaceDE/>
              <w:autoSpaceDN/>
              <w:adjustRightInd/>
              <w:rPr>
                <w:color w:val="000000"/>
                <w:sz w:val="22"/>
                <w:szCs w:val="22"/>
              </w:rPr>
            </w:pPr>
            <w:r w:rsidRPr="00390D04">
              <w:rPr>
                <w:color w:val="000000"/>
                <w:sz w:val="22"/>
                <w:szCs w:val="22"/>
              </w:rPr>
              <w:t>Federal Government</w:t>
            </w:r>
            <w:r>
              <w:rPr>
                <w:color w:val="000000"/>
                <w:sz w:val="22"/>
                <w:szCs w:val="22"/>
              </w:rPr>
              <w:t xml:space="preserve"> (respondents)</w:t>
            </w:r>
          </w:p>
        </w:tc>
        <w:tc>
          <w:tcPr>
            <w:tcW w:w="1263" w:type="pct"/>
            <w:tcBorders>
              <w:top w:val="single" w:color="auto" w:sz="4" w:space="0"/>
              <w:left w:val="nil"/>
              <w:bottom w:val="nil"/>
              <w:right w:val="nil"/>
            </w:tcBorders>
            <w:shd w:val="clear" w:color="auto" w:fill="auto"/>
            <w:noWrap/>
            <w:vAlign w:val="bottom"/>
            <w:hideMark/>
          </w:tcPr>
          <w:p w:rsidRPr="00390D04" w:rsidR="002A3BAD" w:rsidP="002753DA" w:rsidRDefault="002A3BAD" w14:paraId="6074A381" w14:textId="77777777">
            <w:pPr>
              <w:widowControl/>
              <w:autoSpaceDE/>
              <w:autoSpaceDN/>
              <w:adjustRightInd/>
              <w:jc w:val="center"/>
              <w:rPr>
                <w:color w:val="000000"/>
                <w:sz w:val="22"/>
                <w:szCs w:val="22"/>
              </w:rPr>
            </w:pPr>
            <w:r w:rsidRPr="00390D04">
              <w:rPr>
                <w:color w:val="000000"/>
                <w:sz w:val="22"/>
                <w:szCs w:val="22"/>
              </w:rPr>
              <w:t>10</w:t>
            </w:r>
          </w:p>
        </w:tc>
        <w:tc>
          <w:tcPr>
            <w:tcW w:w="1263" w:type="pct"/>
            <w:tcBorders>
              <w:top w:val="single" w:color="auto" w:sz="4" w:space="0"/>
              <w:left w:val="nil"/>
              <w:bottom w:val="nil"/>
              <w:right w:val="nil"/>
            </w:tcBorders>
          </w:tcPr>
          <w:p w:rsidRPr="00390D04" w:rsidR="002A3BAD" w:rsidP="002753DA" w:rsidRDefault="002A3BAD" w14:paraId="75B16C98" w14:textId="77777777">
            <w:pPr>
              <w:widowControl/>
              <w:autoSpaceDE/>
              <w:autoSpaceDN/>
              <w:adjustRightInd/>
              <w:jc w:val="center"/>
              <w:rPr>
                <w:color w:val="000000"/>
                <w:sz w:val="22"/>
                <w:szCs w:val="22"/>
              </w:rPr>
            </w:pPr>
            <w:r>
              <w:rPr>
                <w:color w:val="000000"/>
                <w:sz w:val="22"/>
                <w:szCs w:val="22"/>
              </w:rPr>
              <w:t>30 hrs.</w:t>
            </w:r>
          </w:p>
        </w:tc>
      </w:tr>
      <w:tr w:rsidRPr="00390D04" w:rsidR="002A3BAD" w:rsidTr="009E6FE0" w14:paraId="78F7F871" w14:textId="77777777">
        <w:trPr>
          <w:trHeight w:val="288"/>
        </w:trPr>
        <w:tc>
          <w:tcPr>
            <w:tcW w:w="2474" w:type="pct"/>
            <w:tcBorders>
              <w:top w:val="nil"/>
              <w:left w:val="nil"/>
              <w:bottom w:val="nil"/>
              <w:right w:val="nil"/>
            </w:tcBorders>
            <w:shd w:val="clear" w:color="auto" w:fill="auto"/>
            <w:noWrap/>
            <w:vAlign w:val="bottom"/>
            <w:hideMark/>
          </w:tcPr>
          <w:p w:rsidRPr="00390D04" w:rsidR="002A3BAD" w:rsidP="002753DA" w:rsidRDefault="002A3BAD" w14:paraId="3CCD594B" w14:textId="77777777">
            <w:pPr>
              <w:widowControl/>
              <w:autoSpaceDE/>
              <w:autoSpaceDN/>
              <w:adjustRightInd/>
              <w:rPr>
                <w:color w:val="000000"/>
                <w:sz w:val="22"/>
                <w:szCs w:val="22"/>
              </w:rPr>
            </w:pPr>
            <w:r w:rsidRPr="00390D04">
              <w:rPr>
                <w:color w:val="000000"/>
                <w:sz w:val="22"/>
                <w:szCs w:val="22"/>
              </w:rPr>
              <w:t>Consultations with State/Local Government</w:t>
            </w:r>
          </w:p>
        </w:tc>
        <w:tc>
          <w:tcPr>
            <w:tcW w:w="1263" w:type="pct"/>
            <w:tcBorders>
              <w:top w:val="nil"/>
              <w:left w:val="nil"/>
              <w:bottom w:val="nil"/>
              <w:right w:val="nil"/>
            </w:tcBorders>
            <w:shd w:val="clear" w:color="auto" w:fill="auto"/>
            <w:noWrap/>
            <w:vAlign w:val="bottom"/>
            <w:hideMark/>
          </w:tcPr>
          <w:p w:rsidRPr="00390D04" w:rsidR="002A3BAD" w:rsidP="002753DA" w:rsidRDefault="002A3BAD" w14:paraId="2CE76A83" w14:textId="77777777">
            <w:pPr>
              <w:widowControl/>
              <w:autoSpaceDE/>
              <w:autoSpaceDN/>
              <w:adjustRightInd/>
              <w:jc w:val="center"/>
              <w:rPr>
                <w:color w:val="000000"/>
                <w:sz w:val="22"/>
                <w:szCs w:val="22"/>
              </w:rPr>
            </w:pPr>
            <w:r w:rsidRPr="00390D04">
              <w:rPr>
                <w:color w:val="000000"/>
                <w:sz w:val="22"/>
                <w:szCs w:val="22"/>
              </w:rPr>
              <w:t>1</w:t>
            </w:r>
          </w:p>
        </w:tc>
        <w:tc>
          <w:tcPr>
            <w:tcW w:w="1263" w:type="pct"/>
            <w:tcBorders>
              <w:top w:val="nil"/>
              <w:left w:val="nil"/>
              <w:bottom w:val="nil"/>
              <w:right w:val="nil"/>
            </w:tcBorders>
          </w:tcPr>
          <w:p w:rsidRPr="00390D04" w:rsidR="002A3BAD" w:rsidP="002753DA" w:rsidRDefault="002A3BAD" w14:paraId="44EDFC61" w14:textId="77777777">
            <w:pPr>
              <w:widowControl/>
              <w:autoSpaceDE/>
              <w:autoSpaceDN/>
              <w:adjustRightInd/>
              <w:jc w:val="center"/>
              <w:rPr>
                <w:color w:val="000000"/>
                <w:sz w:val="22"/>
                <w:szCs w:val="22"/>
              </w:rPr>
            </w:pPr>
            <w:r>
              <w:rPr>
                <w:color w:val="000000"/>
                <w:sz w:val="22"/>
                <w:szCs w:val="22"/>
              </w:rPr>
              <w:t>2 hrs</w:t>
            </w:r>
            <w:r w:rsidR="009E6FE0">
              <w:rPr>
                <w:color w:val="000000"/>
                <w:sz w:val="22"/>
                <w:szCs w:val="22"/>
              </w:rPr>
              <w:t>.</w:t>
            </w:r>
          </w:p>
        </w:tc>
      </w:tr>
      <w:tr w:rsidRPr="00390D04" w:rsidR="002A3BAD" w:rsidTr="009E6FE0" w14:paraId="1B3F1D32" w14:textId="77777777">
        <w:trPr>
          <w:trHeight w:val="288"/>
        </w:trPr>
        <w:tc>
          <w:tcPr>
            <w:tcW w:w="2474" w:type="pct"/>
            <w:tcBorders>
              <w:top w:val="nil"/>
              <w:left w:val="nil"/>
              <w:bottom w:val="nil"/>
              <w:right w:val="nil"/>
            </w:tcBorders>
            <w:shd w:val="clear" w:color="auto" w:fill="auto"/>
            <w:noWrap/>
            <w:vAlign w:val="bottom"/>
            <w:hideMark/>
          </w:tcPr>
          <w:p w:rsidRPr="00390D04" w:rsidR="002A3BAD" w:rsidP="002753DA" w:rsidRDefault="002A3BAD" w14:paraId="5C02F3C5" w14:textId="77777777">
            <w:pPr>
              <w:widowControl/>
              <w:autoSpaceDE/>
              <w:autoSpaceDN/>
              <w:adjustRightInd/>
              <w:rPr>
                <w:color w:val="000000"/>
                <w:sz w:val="22"/>
                <w:szCs w:val="22"/>
              </w:rPr>
            </w:pPr>
            <w:r w:rsidRPr="00390D04">
              <w:rPr>
                <w:color w:val="000000"/>
                <w:sz w:val="22"/>
                <w:szCs w:val="22"/>
              </w:rPr>
              <w:t>Consultations with Non-Profit and Private Industry</w:t>
            </w:r>
          </w:p>
        </w:tc>
        <w:tc>
          <w:tcPr>
            <w:tcW w:w="1263" w:type="pct"/>
            <w:tcBorders>
              <w:top w:val="nil"/>
              <w:left w:val="nil"/>
              <w:bottom w:val="nil"/>
              <w:right w:val="nil"/>
            </w:tcBorders>
            <w:shd w:val="clear" w:color="auto" w:fill="auto"/>
            <w:noWrap/>
            <w:vAlign w:val="bottom"/>
            <w:hideMark/>
          </w:tcPr>
          <w:p w:rsidRPr="00390D04" w:rsidR="002A3BAD" w:rsidP="002753DA" w:rsidRDefault="002A3BAD" w14:paraId="784EBBFB" w14:textId="77777777">
            <w:pPr>
              <w:widowControl/>
              <w:autoSpaceDE/>
              <w:autoSpaceDN/>
              <w:adjustRightInd/>
              <w:jc w:val="center"/>
              <w:rPr>
                <w:color w:val="000000"/>
                <w:sz w:val="22"/>
                <w:szCs w:val="22"/>
              </w:rPr>
            </w:pPr>
            <w:r w:rsidRPr="00390D04">
              <w:rPr>
                <w:color w:val="000000"/>
                <w:sz w:val="22"/>
                <w:szCs w:val="22"/>
              </w:rPr>
              <w:t>5</w:t>
            </w:r>
          </w:p>
        </w:tc>
        <w:tc>
          <w:tcPr>
            <w:tcW w:w="1263" w:type="pct"/>
            <w:tcBorders>
              <w:top w:val="nil"/>
              <w:left w:val="nil"/>
              <w:bottom w:val="nil"/>
              <w:right w:val="nil"/>
            </w:tcBorders>
          </w:tcPr>
          <w:p w:rsidRPr="00390D04" w:rsidR="002A3BAD" w:rsidP="002753DA" w:rsidRDefault="002A3BAD" w14:paraId="7F8E9034" w14:textId="77777777">
            <w:pPr>
              <w:widowControl/>
              <w:autoSpaceDE/>
              <w:autoSpaceDN/>
              <w:adjustRightInd/>
              <w:jc w:val="center"/>
              <w:rPr>
                <w:color w:val="000000"/>
                <w:sz w:val="22"/>
                <w:szCs w:val="22"/>
              </w:rPr>
            </w:pPr>
            <w:r>
              <w:rPr>
                <w:color w:val="000000"/>
                <w:sz w:val="22"/>
                <w:szCs w:val="22"/>
              </w:rPr>
              <w:t>10 hrs.</w:t>
            </w:r>
          </w:p>
        </w:tc>
      </w:tr>
      <w:tr w:rsidRPr="00390D04" w:rsidR="002A3BAD" w:rsidTr="009E6FE0" w14:paraId="2EA3F3D4" w14:textId="77777777">
        <w:trPr>
          <w:trHeight w:val="288"/>
        </w:trPr>
        <w:tc>
          <w:tcPr>
            <w:tcW w:w="2474" w:type="pct"/>
            <w:tcBorders>
              <w:top w:val="single" w:color="auto" w:sz="4" w:space="0"/>
              <w:left w:val="nil"/>
              <w:bottom w:val="single" w:color="auto" w:sz="4" w:space="0"/>
              <w:right w:val="nil"/>
            </w:tcBorders>
            <w:shd w:val="clear" w:color="auto" w:fill="auto"/>
            <w:noWrap/>
            <w:vAlign w:val="bottom"/>
            <w:hideMark/>
          </w:tcPr>
          <w:p w:rsidRPr="00390D04" w:rsidR="002A3BAD" w:rsidP="002753DA" w:rsidRDefault="002A3BAD" w14:paraId="5F4FB5D8" w14:textId="77777777">
            <w:pPr>
              <w:widowControl/>
              <w:autoSpaceDE/>
              <w:autoSpaceDN/>
              <w:adjustRightInd/>
              <w:rPr>
                <w:color w:val="000000"/>
                <w:sz w:val="22"/>
                <w:szCs w:val="22"/>
              </w:rPr>
            </w:pPr>
            <w:r w:rsidRPr="00390D04">
              <w:rPr>
                <w:color w:val="000000"/>
                <w:sz w:val="22"/>
                <w:szCs w:val="22"/>
              </w:rPr>
              <w:t>Total Annual Number of Respondents</w:t>
            </w:r>
            <w:r>
              <w:rPr>
                <w:color w:val="000000"/>
                <w:sz w:val="22"/>
                <w:szCs w:val="22"/>
              </w:rPr>
              <w:t xml:space="preserve"> (Federal)</w:t>
            </w:r>
          </w:p>
        </w:tc>
        <w:tc>
          <w:tcPr>
            <w:tcW w:w="1263" w:type="pct"/>
            <w:tcBorders>
              <w:top w:val="single" w:color="auto" w:sz="4" w:space="0"/>
              <w:left w:val="nil"/>
              <w:bottom w:val="single" w:color="auto" w:sz="4" w:space="0"/>
              <w:right w:val="nil"/>
            </w:tcBorders>
            <w:shd w:val="clear" w:color="auto" w:fill="auto"/>
            <w:noWrap/>
            <w:vAlign w:val="bottom"/>
            <w:hideMark/>
          </w:tcPr>
          <w:p w:rsidRPr="00390D04" w:rsidR="002A3BAD" w:rsidP="002753DA" w:rsidRDefault="002A3BAD" w14:paraId="0FFFFF88" w14:textId="77777777">
            <w:pPr>
              <w:widowControl/>
              <w:autoSpaceDE/>
              <w:autoSpaceDN/>
              <w:adjustRightInd/>
              <w:jc w:val="center"/>
              <w:rPr>
                <w:color w:val="000000"/>
                <w:sz w:val="22"/>
                <w:szCs w:val="22"/>
              </w:rPr>
            </w:pPr>
            <w:r w:rsidRPr="00390D04">
              <w:rPr>
                <w:color w:val="000000"/>
                <w:sz w:val="22"/>
                <w:szCs w:val="22"/>
              </w:rPr>
              <w:t>10</w:t>
            </w:r>
          </w:p>
        </w:tc>
        <w:tc>
          <w:tcPr>
            <w:tcW w:w="1263" w:type="pct"/>
            <w:tcBorders>
              <w:top w:val="single" w:color="auto" w:sz="4" w:space="0"/>
              <w:left w:val="nil"/>
              <w:bottom w:val="single" w:color="auto" w:sz="4" w:space="0"/>
              <w:right w:val="nil"/>
            </w:tcBorders>
          </w:tcPr>
          <w:p w:rsidRPr="00390D04" w:rsidR="002A3BAD" w:rsidP="002753DA" w:rsidRDefault="009E6FE0" w14:paraId="6AFAB2A2" w14:textId="77777777">
            <w:pPr>
              <w:widowControl/>
              <w:autoSpaceDE/>
              <w:autoSpaceDN/>
              <w:adjustRightInd/>
              <w:jc w:val="center"/>
              <w:rPr>
                <w:color w:val="000000"/>
                <w:sz w:val="22"/>
                <w:szCs w:val="22"/>
              </w:rPr>
            </w:pPr>
            <w:r>
              <w:rPr>
                <w:color w:val="000000"/>
                <w:sz w:val="22"/>
                <w:szCs w:val="22"/>
              </w:rPr>
              <w:t>30 hrs.</w:t>
            </w:r>
          </w:p>
        </w:tc>
      </w:tr>
      <w:tr w:rsidRPr="00390D04" w:rsidR="00C6394F" w:rsidTr="002A3BAD" w14:paraId="1827DDC8" w14:textId="77777777">
        <w:trPr>
          <w:trHeight w:val="288"/>
        </w:trPr>
        <w:tc>
          <w:tcPr>
            <w:tcW w:w="2474" w:type="pct"/>
            <w:tcBorders>
              <w:top w:val="single" w:color="auto" w:sz="4" w:space="0"/>
              <w:left w:val="nil"/>
              <w:bottom w:val="nil"/>
              <w:right w:val="nil"/>
            </w:tcBorders>
            <w:shd w:val="clear" w:color="auto" w:fill="auto"/>
            <w:noWrap/>
            <w:vAlign w:val="bottom"/>
          </w:tcPr>
          <w:p w:rsidRPr="00390D04" w:rsidR="00C6394F" w:rsidP="002753DA" w:rsidRDefault="00C6394F" w14:paraId="62CDD2F9" w14:textId="77777777">
            <w:pPr>
              <w:widowControl/>
              <w:autoSpaceDE/>
              <w:autoSpaceDN/>
              <w:adjustRightInd/>
              <w:rPr>
                <w:color w:val="000000"/>
                <w:sz w:val="22"/>
                <w:szCs w:val="22"/>
              </w:rPr>
            </w:pPr>
            <w:r w:rsidRPr="00AD77DB">
              <w:rPr>
                <w:sz w:val="22"/>
                <w:szCs w:val="22"/>
              </w:rPr>
              <w:t>Total Annual Number of Consultations</w:t>
            </w:r>
            <w:r>
              <w:rPr>
                <w:sz w:val="22"/>
                <w:szCs w:val="22"/>
              </w:rPr>
              <w:t xml:space="preserve"> (non-Federal)</w:t>
            </w:r>
          </w:p>
        </w:tc>
        <w:tc>
          <w:tcPr>
            <w:tcW w:w="1263" w:type="pct"/>
            <w:tcBorders>
              <w:top w:val="single" w:color="auto" w:sz="4" w:space="0"/>
              <w:left w:val="nil"/>
              <w:bottom w:val="nil"/>
              <w:right w:val="nil"/>
            </w:tcBorders>
            <w:shd w:val="clear" w:color="auto" w:fill="auto"/>
            <w:noWrap/>
            <w:vAlign w:val="bottom"/>
          </w:tcPr>
          <w:p w:rsidRPr="00390D04" w:rsidR="00C6394F" w:rsidP="002753DA" w:rsidRDefault="00C6394F" w14:paraId="0D2374D3" w14:textId="77777777">
            <w:pPr>
              <w:widowControl/>
              <w:autoSpaceDE/>
              <w:autoSpaceDN/>
              <w:adjustRightInd/>
              <w:jc w:val="center"/>
              <w:rPr>
                <w:color w:val="000000"/>
                <w:sz w:val="22"/>
                <w:szCs w:val="22"/>
              </w:rPr>
            </w:pPr>
            <w:r>
              <w:rPr>
                <w:color w:val="000000"/>
                <w:sz w:val="22"/>
                <w:szCs w:val="22"/>
              </w:rPr>
              <w:t>6</w:t>
            </w:r>
          </w:p>
        </w:tc>
        <w:tc>
          <w:tcPr>
            <w:tcW w:w="1263" w:type="pct"/>
            <w:tcBorders>
              <w:top w:val="single" w:color="auto" w:sz="4" w:space="0"/>
              <w:left w:val="nil"/>
              <w:bottom w:val="nil"/>
              <w:right w:val="nil"/>
            </w:tcBorders>
          </w:tcPr>
          <w:p w:rsidRPr="00390D04" w:rsidR="00C6394F" w:rsidP="002753DA" w:rsidRDefault="009E6FE0" w14:paraId="24457861" w14:textId="77777777">
            <w:pPr>
              <w:widowControl/>
              <w:autoSpaceDE/>
              <w:autoSpaceDN/>
              <w:adjustRightInd/>
              <w:jc w:val="center"/>
              <w:rPr>
                <w:color w:val="000000"/>
                <w:sz w:val="22"/>
                <w:szCs w:val="22"/>
              </w:rPr>
            </w:pPr>
            <w:r>
              <w:rPr>
                <w:color w:val="000000"/>
                <w:sz w:val="22"/>
                <w:szCs w:val="22"/>
              </w:rPr>
              <w:t>12 hrs.</w:t>
            </w:r>
          </w:p>
        </w:tc>
      </w:tr>
    </w:tbl>
    <w:p w:rsidRPr="00AD77DB" w:rsidR="009D2272" w:rsidP="009D2272" w:rsidRDefault="00AD77DB" w14:paraId="4C7412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D77DB">
        <w:rPr>
          <w:sz w:val="22"/>
          <w:szCs w:val="22"/>
        </w:rPr>
        <w:tab/>
      </w:r>
      <w:r w:rsidRPr="00AD77DB">
        <w:rPr>
          <w:sz w:val="22"/>
          <w:szCs w:val="22"/>
        </w:rPr>
        <w:tab/>
      </w:r>
      <w:r w:rsidRPr="00AD77DB">
        <w:rPr>
          <w:sz w:val="22"/>
          <w:szCs w:val="22"/>
        </w:rPr>
        <w:tab/>
      </w:r>
      <w:r w:rsidRPr="00AD77DB">
        <w:rPr>
          <w:sz w:val="22"/>
          <w:szCs w:val="22"/>
        </w:rPr>
        <w:tab/>
      </w:r>
    </w:p>
    <w:p w:rsidR="009D2272" w:rsidP="009D2272" w:rsidRDefault="009D2272" w14:paraId="1BF6B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D2272" w:rsidP="009D2272" w:rsidRDefault="00561C93" w14:paraId="630A43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br w:type="page"/>
      </w:r>
      <w:r w:rsidRPr="00CC627F" w:rsidR="009D2272">
        <w:rPr>
          <w:sz w:val="24"/>
          <w:szCs w:val="24"/>
        </w:rPr>
        <w:lastRenderedPageBreak/>
        <w:t xml:space="preserve">To estimate the annual dollar value of the burden </w:t>
      </w:r>
      <w:r w:rsidR="009D2272">
        <w:rPr>
          <w:sz w:val="24"/>
          <w:szCs w:val="24"/>
        </w:rPr>
        <w:t>for non-</w:t>
      </w:r>
      <w:r w:rsidR="008B2E45">
        <w:rPr>
          <w:sz w:val="24"/>
          <w:szCs w:val="24"/>
        </w:rPr>
        <w:t>F</w:t>
      </w:r>
      <w:r w:rsidR="009D2272">
        <w:rPr>
          <w:sz w:val="24"/>
          <w:szCs w:val="24"/>
        </w:rPr>
        <w:t xml:space="preserve">ederal </w:t>
      </w:r>
      <w:r w:rsidR="008B2E45">
        <w:rPr>
          <w:sz w:val="24"/>
          <w:szCs w:val="24"/>
        </w:rPr>
        <w:t>consultations</w:t>
      </w:r>
      <w:r w:rsidR="009D2272">
        <w:rPr>
          <w:sz w:val="24"/>
          <w:szCs w:val="24"/>
        </w:rPr>
        <w:t xml:space="preserve"> (i.e., state and local government and</w:t>
      </w:r>
      <w:r w:rsidR="00094092">
        <w:rPr>
          <w:sz w:val="24"/>
          <w:szCs w:val="24"/>
        </w:rPr>
        <w:t xml:space="preserve"> civilian workers</w:t>
      </w:r>
      <w:r w:rsidR="009D2272">
        <w:rPr>
          <w:sz w:val="24"/>
          <w:szCs w:val="24"/>
        </w:rPr>
        <w:t>)</w:t>
      </w:r>
      <w:r w:rsidRPr="00CC627F" w:rsidR="009D2272">
        <w:rPr>
          <w:sz w:val="24"/>
          <w:szCs w:val="24"/>
        </w:rPr>
        <w:t>, we used the</w:t>
      </w:r>
      <w:r w:rsidR="00C936CE">
        <w:rPr>
          <w:sz w:val="24"/>
          <w:szCs w:val="24"/>
        </w:rPr>
        <w:t xml:space="preserve"> </w:t>
      </w:r>
      <w:r w:rsidR="00094092">
        <w:rPr>
          <w:sz w:val="24"/>
          <w:szCs w:val="24"/>
        </w:rPr>
        <w:t>average</w:t>
      </w:r>
      <w:r w:rsidRPr="00CC627F" w:rsidR="009D2272">
        <w:rPr>
          <w:sz w:val="24"/>
          <w:szCs w:val="24"/>
        </w:rPr>
        <w:t xml:space="preserve"> total employer compensation costs for</w:t>
      </w:r>
      <w:r w:rsidR="009D2272">
        <w:rPr>
          <w:sz w:val="24"/>
          <w:szCs w:val="24"/>
        </w:rPr>
        <w:t xml:space="preserve"> </w:t>
      </w:r>
      <w:r w:rsidR="00094092">
        <w:rPr>
          <w:sz w:val="24"/>
          <w:szCs w:val="24"/>
        </w:rPr>
        <w:t>civilian workers</w:t>
      </w:r>
      <w:r w:rsidR="009D2272">
        <w:rPr>
          <w:sz w:val="24"/>
          <w:szCs w:val="24"/>
        </w:rPr>
        <w:t xml:space="preserve"> of $</w:t>
      </w:r>
      <w:r w:rsidR="00094092">
        <w:rPr>
          <w:sz w:val="24"/>
          <w:szCs w:val="24"/>
        </w:rPr>
        <w:t>36.77</w:t>
      </w:r>
      <w:r w:rsidR="009D2272">
        <w:rPr>
          <w:sz w:val="24"/>
          <w:szCs w:val="24"/>
        </w:rPr>
        <w:t xml:space="preserve"> per hour worked and </w:t>
      </w:r>
      <w:r w:rsidR="00C936CE">
        <w:rPr>
          <w:sz w:val="24"/>
          <w:szCs w:val="24"/>
        </w:rPr>
        <w:t xml:space="preserve">the </w:t>
      </w:r>
      <w:r w:rsidR="00094092">
        <w:rPr>
          <w:sz w:val="24"/>
          <w:szCs w:val="24"/>
        </w:rPr>
        <w:t xml:space="preserve">average </w:t>
      </w:r>
      <w:r w:rsidRPr="00CC627F" w:rsidR="009D2272">
        <w:rPr>
          <w:sz w:val="24"/>
          <w:szCs w:val="24"/>
        </w:rPr>
        <w:t>total employer compensation costs</w:t>
      </w:r>
      <w:r w:rsidR="009D2272">
        <w:rPr>
          <w:sz w:val="24"/>
          <w:szCs w:val="24"/>
        </w:rPr>
        <w:t xml:space="preserve"> for</w:t>
      </w:r>
      <w:r w:rsidRPr="00CC627F" w:rsidR="009D2272">
        <w:rPr>
          <w:sz w:val="24"/>
          <w:szCs w:val="24"/>
        </w:rPr>
        <w:t xml:space="preserve"> state and local government workers of $</w:t>
      </w:r>
      <w:r w:rsidR="00094092">
        <w:rPr>
          <w:sz w:val="24"/>
          <w:szCs w:val="24"/>
        </w:rPr>
        <w:t>50.89</w:t>
      </w:r>
      <w:r w:rsidRPr="00CC627F" w:rsidR="009D2272">
        <w:rPr>
          <w:sz w:val="24"/>
          <w:szCs w:val="24"/>
        </w:rPr>
        <w:t xml:space="preserve"> per hour worked. We used the Bureau of Labor Statistics news release </w:t>
      </w:r>
      <w:r w:rsidRPr="008B54E9" w:rsidR="00C936CE">
        <w:rPr>
          <w:sz w:val="24"/>
          <w:szCs w:val="24"/>
        </w:rPr>
        <w:t>USDL-19-1002</w:t>
      </w:r>
      <w:r w:rsidRPr="00CC627F" w:rsidR="009D2272">
        <w:rPr>
          <w:sz w:val="24"/>
          <w:szCs w:val="24"/>
        </w:rPr>
        <w:t xml:space="preserve"> to determine the</w:t>
      </w:r>
      <w:r w:rsidR="009D2272">
        <w:rPr>
          <w:sz w:val="24"/>
          <w:szCs w:val="24"/>
        </w:rPr>
        <w:t>se</w:t>
      </w:r>
      <w:r w:rsidRPr="00CC627F" w:rsidR="009D2272">
        <w:rPr>
          <w:sz w:val="24"/>
          <w:szCs w:val="24"/>
        </w:rPr>
        <w:t xml:space="preserve"> annual rate</w:t>
      </w:r>
      <w:r w:rsidR="009D2272">
        <w:rPr>
          <w:sz w:val="24"/>
          <w:szCs w:val="24"/>
        </w:rPr>
        <w:t>s</w:t>
      </w:r>
      <w:r w:rsidR="00DD7DAD">
        <w:rPr>
          <w:sz w:val="24"/>
          <w:szCs w:val="24"/>
        </w:rPr>
        <w:t>.</w:t>
      </w:r>
      <w:r w:rsidR="009D2272">
        <w:rPr>
          <w:rStyle w:val="FootnoteReference"/>
          <w:sz w:val="24"/>
          <w:szCs w:val="24"/>
        </w:rPr>
        <w:footnoteReference w:id="18"/>
      </w:r>
      <w:r w:rsidRPr="00CC627F" w:rsidR="009D2272">
        <w:rPr>
          <w:sz w:val="24"/>
          <w:szCs w:val="24"/>
        </w:rPr>
        <w:t xml:space="preserve"> This gives an estimated total dollar value of burden</w:t>
      </w:r>
      <w:r w:rsidR="009D2272">
        <w:rPr>
          <w:sz w:val="24"/>
          <w:szCs w:val="24"/>
        </w:rPr>
        <w:t xml:space="preserve"> for non-federal respondents</w:t>
      </w:r>
      <w:r w:rsidRPr="00CC627F" w:rsidR="009D2272">
        <w:rPr>
          <w:sz w:val="24"/>
          <w:szCs w:val="24"/>
        </w:rPr>
        <w:t xml:space="preserve"> </w:t>
      </w:r>
      <w:r w:rsidRPr="00F959C3" w:rsidR="009D2272">
        <w:rPr>
          <w:sz w:val="24"/>
          <w:szCs w:val="24"/>
        </w:rPr>
        <w:t xml:space="preserve">of </w:t>
      </w:r>
      <w:r w:rsidRPr="009E6FE0" w:rsidR="009D2272">
        <w:rPr>
          <w:sz w:val="24"/>
          <w:szCs w:val="24"/>
        </w:rPr>
        <w:t>$</w:t>
      </w:r>
      <w:r w:rsidRPr="009E6FE0" w:rsidR="00694D6C">
        <w:rPr>
          <w:sz w:val="24"/>
          <w:szCs w:val="24"/>
        </w:rPr>
        <w:t>470</w:t>
      </w:r>
      <w:r w:rsidRPr="009E6FE0" w:rsidR="009D2272">
        <w:rPr>
          <w:sz w:val="24"/>
          <w:szCs w:val="24"/>
        </w:rPr>
        <w:t>.</w:t>
      </w:r>
      <w:r w:rsidR="009D2272">
        <w:rPr>
          <w:sz w:val="24"/>
          <w:szCs w:val="24"/>
        </w:rPr>
        <w:t xml:space="preserve"> Table </w:t>
      </w:r>
      <w:r>
        <w:rPr>
          <w:sz w:val="24"/>
          <w:szCs w:val="24"/>
        </w:rPr>
        <w:t>5</w:t>
      </w:r>
      <w:r w:rsidR="009D2272">
        <w:rPr>
          <w:sz w:val="24"/>
          <w:szCs w:val="24"/>
        </w:rPr>
        <w:t xml:space="preserve"> gives a summary of total burden estimates for non-federal respondents.</w:t>
      </w:r>
    </w:p>
    <w:p w:rsidR="00561C93" w:rsidP="009D2272" w:rsidRDefault="00561C93" w14:paraId="1BD464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D2272" w:rsidP="009D2272" w:rsidRDefault="009D2272" w14:paraId="3E29E6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Table </w:t>
      </w:r>
      <w:r w:rsidR="00D201F2">
        <w:rPr>
          <w:sz w:val="24"/>
          <w:szCs w:val="24"/>
        </w:rPr>
        <w:t>5</w:t>
      </w:r>
      <w:r>
        <w:rPr>
          <w:sz w:val="24"/>
          <w:szCs w:val="24"/>
        </w:rPr>
        <w:t>. Burden estimates for non-federal respondents.</w:t>
      </w:r>
    </w:p>
    <w:p w:rsidR="009D2272" w:rsidP="009D2272" w:rsidRDefault="009D2272" w14:paraId="686D50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5000" w:type="pct"/>
        <w:tblLook w:val="04A0" w:firstRow="1" w:lastRow="0" w:firstColumn="1" w:lastColumn="0" w:noHBand="0" w:noVBand="1"/>
      </w:tblPr>
      <w:tblGrid>
        <w:gridCol w:w="4720"/>
        <w:gridCol w:w="1622"/>
        <w:gridCol w:w="1346"/>
        <w:gridCol w:w="1672"/>
      </w:tblGrid>
      <w:tr w:rsidRPr="00390D04" w:rsidR="009D2272" w:rsidTr="002753DA" w14:paraId="190CEB61" w14:textId="77777777">
        <w:trPr>
          <w:trHeight w:val="1152"/>
        </w:trPr>
        <w:tc>
          <w:tcPr>
            <w:tcW w:w="2178" w:type="pct"/>
            <w:tcBorders>
              <w:top w:val="nil"/>
              <w:left w:val="nil"/>
              <w:bottom w:val="nil"/>
              <w:right w:val="nil"/>
            </w:tcBorders>
            <w:shd w:val="clear" w:color="auto" w:fill="auto"/>
            <w:noWrap/>
            <w:vAlign w:val="bottom"/>
            <w:hideMark/>
          </w:tcPr>
          <w:p w:rsidRPr="00757CBA" w:rsidR="009D2272" w:rsidP="002753DA" w:rsidRDefault="009D2272" w14:paraId="44C1D51D" w14:textId="77777777">
            <w:pPr>
              <w:widowControl/>
              <w:autoSpaceDE/>
              <w:autoSpaceDN/>
              <w:adjustRightInd/>
              <w:rPr>
                <w:sz w:val="24"/>
                <w:szCs w:val="24"/>
              </w:rPr>
            </w:pPr>
          </w:p>
        </w:tc>
        <w:tc>
          <w:tcPr>
            <w:tcW w:w="981" w:type="pct"/>
            <w:tcBorders>
              <w:top w:val="nil"/>
              <w:left w:val="nil"/>
              <w:bottom w:val="nil"/>
              <w:right w:val="nil"/>
            </w:tcBorders>
            <w:shd w:val="clear" w:color="auto" w:fill="auto"/>
            <w:hideMark/>
          </w:tcPr>
          <w:p w:rsidRPr="00390D04" w:rsidR="009D2272" w:rsidP="002753DA" w:rsidRDefault="009D2272" w14:paraId="5B19910D" w14:textId="77777777">
            <w:pPr>
              <w:widowControl/>
              <w:autoSpaceDE/>
              <w:autoSpaceDN/>
              <w:adjustRightInd/>
              <w:jc w:val="center"/>
              <w:rPr>
                <w:b/>
                <w:bCs/>
                <w:color w:val="000000"/>
                <w:sz w:val="22"/>
                <w:szCs w:val="22"/>
              </w:rPr>
            </w:pPr>
            <w:r w:rsidRPr="00390D04">
              <w:rPr>
                <w:b/>
                <w:bCs/>
                <w:color w:val="000000"/>
                <w:sz w:val="22"/>
                <w:szCs w:val="22"/>
              </w:rPr>
              <w:t>Total Burden (Hours)</w:t>
            </w:r>
          </w:p>
        </w:tc>
        <w:tc>
          <w:tcPr>
            <w:tcW w:w="833" w:type="pct"/>
            <w:tcBorders>
              <w:top w:val="nil"/>
              <w:left w:val="nil"/>
              <w:bottom w:val="nil"/>
              <w:right w:val="nil"/>
            </w:tcBorders>
            <w:shd w:val="clear" w:color="auto" w:fill="auto"/>
            <w:hideMark/>
          </w:tcPr>
          <w:p w:rsidRPr="00390D04" w:rsidR="009D2272" w:rsidP="002753DA" w:rsidRDefault="009D2272" w14:paraId="7EDE7F8D" w14:textId="77777777">
            <w:pPr>
              <w:widowControl/>
              <w:autoSpaceDE/>
              <w:autoSpaceDN/>
              <w:adjustRightInd/>
              <w:jc w:val="center"/>
              <w:rPr>
                <w:b/>
                <w:bCs/>
                <w:color w:val="000000"/>
                <w:sz w:val="22"/>
                <w:szCs w:val="22"/>
              </w:rPr>
            </w:pPr>
            <w:r w:rsidRPr="00390D04">
              <w:rPr>
                <w:b/>
                <w:bCs/>
                <w:color w:val="000000"/>
                <w:sz w:val="22"/>
                <w:szCs w:val="22"/>
              </w:rPr>
              <w:t xml:space="preserve">Dollar Value of Burden </w:t>
            </w:r>
          </w:p>
          <w:p w:rsidRPr="00390D04" w:rsidR="009D2272" w:rsidP="002753DA" w:rsidRDefault="009D2272" w14:paraId="38D050A4" w14:textId="77777777">
            <w:pPr>
              <w:widowControl/>
              <w:autoSpaceDE/>
              <w:autoSpaceDN/>
              <w:adjustRightInd/>
              <w:jc w:val="center"/>
              <w:rPr>
                <w:b/>
                <w:bCs/>
                <w:color w:val="000000"/>
                <w:sz w:val="22"/>
                <w:szCs w:val="22"/>
              </w:rPr>
            </w:pPr>
            <w:r w:rsidRPr="00390D04">
              <w:rPr>
                <w:b/>
                <w:bCs/>
                <w:color w:val="000000"/>
                <w:sz w:val="22"/>
                <w:szCs w:val="22"/>
              </w:rPr>
              <w:t>(per hour)</w:t>
            </w:r>
          </w:p>
        </w:tc>
        <w:tc>
          <w:tcPr>
            <w:tcW w:w="1007" w:type="pct"/>
            <w:tcBorders>
              <w:top w:val="nil"/>
              <w:left w:val="nil"/>
              <w:bottom w:val="nil"/>
              <w:right w:val="nil"/>
            </w:tcBorders>
            <w:shd w:val="clear" w:color="auto" w:fill="auto"/>
            <w:hideMark/>
          </w:tcPr>
          <w:p w:rsidRPr="00390D04" w:rsidR="009D2272" w:rsidP="002753DA" w:rsidRDefault="009D2272" w14:paraId="2AB26657" w14:textId="77777777">
            <w:pPr>
              <w:widowControl/>
              <w:autoSpaceDE/>
              <w:autoSpaceDN/>
              <w:adjustRightInd/>
              <w:jc w:val="center"/>
              <w:rPr>
                <w:b/>
                <w:bCs/>
                <w:color w:val="000000"/>
                <w:sz w:val="22"/>
                <w:szCs w:val="22"/>
              </w:rPr>
            </w:pPr>
            <w:r w:rsidRPr="00390D04">
              <w:rPr>
                <w:b/>
                <w:bCs/>
                <w:color w:val="000000"/>
                <w:sz w:val="22"/>
                <w:szCs w:val="22"/>
              </w:rPr>
              <w:t>Total Dollar Value of Burden</w:t>
            </w:r>
          </w:p>
        </w:tc>
      </w:tr>
      <w:tr w:rsidRPr="00390D04" w:rsidR="009D2272" w:rsidTr="002753DA" w14:paraId="34C8081F" w14:textId="77777777">
        <w:trPr>
          <w:trHeight w:val="288"/>
        </w:trPr>
        <w:tc>
          <w:tcPr>
            <w:tcW w:w="2178" w:type="pct"/>
            <w:tcBorders>
              <w:top w:val="single" w:color="auto" w:sz="4" w:space="0"/>
              <w:left w:val="nil"/>
              <w:bottom w:val="nil"/>
              <w:right w:val="nil"/>
            </w:tcBorders>
            <w:shd w:val="clear" w:color="auto" w:fill="auto"/>
            <w:noWrap/>
            <w:vAlign w:val="bottom"/>
            <w:hideMark/>
          </w:tcPr>
          <w:p w:rsidRPr="00390D04" w:rsidR="009D2272" w:rsidP="002753DA" w:rsidRDefault="00DD7DAD" w14:paraId="1FAE9E90" w14:textId="77777777">
            <w:pPr>
              <w:widowControl/>
              <w:autoSpaceDE/>
              <w:autoSpaceDN/>
              <w:adjustRightInd/>
              <w:rPr>
                <w:color w:val="000000"/>
                <w:sz w:val="22"/>
                <w:szCs w:val="22"/>
              </w:rPr>
            </w:pPr>
            <w:r w:rsidRPr="00390D04">
              <w:rPr>
                <w:color w:val="000000"/>
                <w:sz w:val="22"/>
                <w:szCs w:val="22"/>
              </w:rPr>
              <w:t xml:space="preserve">Consultations with </w:t>
            </w:r>
            <w:r w:rsidRPr="00390D04" w:rsidR="009D2272">
              <w:rPr>
                <w:color w:val="000000"/>
                <w:sz w:val="22"/>
                <w:szCs w:val="22"/>
              </w:rPr>
              <w:t>State/Local Government</w:t>
            </w:r>
          </w:p>
        </w:tc>
        <w:tc>
          <w:tcPr>
            <w:tcW w:w="981" w:type="pct"/>
            <w:tcBorders>
              <w:top w:val="single" w:color="auto" w:sz="4" w:space="0"/>
              <w:left w:val="nil"/>
              <w:bottom w:val="nil"/>
              <w:right w:val="nil"/>
            </w:tcBorders>
            <w:shd w:val="clear" w:color="auto" w:fill="auto"/>
            <w:noWrap/>
            <w:vAlign w:val="bottom"/>
            <w:hideMark/>
          </w:tcPr>
          <w:p w:rsidRPr="00390D04" w:rsidR="009D2272" w:rsidP="002753DA" w:rsidRDefault="00561C93" w14:paraId="0905C83E" w14:textId="77777777">
            <w:pPr>
              <w:widowControl/>
              <w:autoSpaceDE/>
              <w:autoSpaceDN/>
              <w:adjustRightInd/>
              <w:jc w:val="center"/>
              <w:rPr>
                <w:color w:val="000000"/>
                <w:sz w:val="22"/>
                <w:szCs w:val="22"/>
              </w:rPr>
            </w:pPr>
            <w:r>
              <w:rPr>
                <w:color w:val="000000"/>
                <w:sz w:val="22"/>
                <w:szCs w:val="22"/>
              </w:rPr>
              <w:t>2</w:t>
            </w:r>
          </w:p>
        </w:tc>
        <w:tc>
          <w:tcPr>
            <w:tcW w:w="833" w:type="pct"/>
            <w:tcBorders>
              <w:top w:val="single" w:color="auto" w:sz="4" w:space="0"/>
              <w:left w:val="nil"/>
              <w:bottom w:val="nil"/>
              <w:right w:val="nil"/>
            </w:tcBorders>
            <w:shd w:val="clear" w:color="auto" w:fill="auto"/>
            <w:noWrap/>
            <w:vAlign w:val="bottom"/>
            <w:hideMark/>
          </w:tcPr>
          <w:p w:rsidRPr="00390D04" w:rsidR="009D2272" w:rsidP="002753DA" w:rsidRDefault="009D2272" w14:paraId="3DDFA267" w14:textId="77777777">
            <w:pPr>
              <w:widowControl/>
              <w:autoSpaceDE/>
              <w:autoSpaceDN/>
              <w:adjustRightInd/>
              <w:jc w:val="center"/>
              <w:rPr>
                <w:color w:val="000000"/>
                <w:sz w:val="22"/>
                <w:szCs w:val="22"/>
              </w:rPr>
            </w:pPr>
            <w:r w:rsidRPr="00390D04">
              <w:rPr>
                <w:color w:val="000000"/>
                <w:sz w:val="22"/>
                <w:szCs w:val="22"/>
              </w:rPr>
              <w:t>$</w:t>
            </w:r>
            <w:r w:rsidR="00094092">
              <w:rPr>
                <w:color w:val="000000"/>
                <w:sz w:val="22"/>
                <w:szCs w:val="22"/>
              </w:rPr>
              <w:t>50.89</w:t>
            </w:r>
            <w:r w:rsidRPr="00390D04">
              <w:rPr>
                <w:color w:val="000000"/>
                <w:sz w:val="22"/>
                <w:szCs w:val="22"/>
              </w:rPr>
              <w:t xml:space="preserve"> </w:t>
            </w:r>
          </w:p>
        </w:tc>
        <w:tc>
          <w:tcPr>
            <w:tcW w:w="1007" w:type="pct"/>
            <w:tcBorders>
              <w:top w:val="single" w:color="auto" w:sz="4" w:space="0"/>
              <w:left w:val="nil"/>
              <w:bottom w:val="nil"/>
              <w:right w:val="nil"/>
            </w:tcBorders>
            <w:shd w:val="clear" w:color="auto" w:fill="auto"/>
            <w:noWrap/>
            <w:vAlign w:val="bottom"/>
            <w:hideMark/>
          </w:tcPr>
          <w:p w:rsidRPr="00390D04" w:rsidR="009D2272" w:rsidP="002753DA" w:rsidRDefault="009D2272" w14:paraId="476625E1" w14:textId="77777777">
            <w:pPr>
              <w:widowControl/>
              <w:autoSpaceDE/>
              <w:autoSpaceDN/>
              <w:adjustRightInd/>
              <w:jc w:val="center"/>
              <w:rPr>
                <w:color w:val="000000"/>
                <w:sz w:val="22"/>
                <w:szCs w:val="22"/>
              </w:rPr>
            </w:pPr>
            <w:r w:rsidRPr="00390D04">
              <w:rPr>
                <w:color w:val="000000"/>
                <w:sz w:val="22"/>
                <w:szCs w:val="22"/>
              </w:rPr>
              <w:t>$</w:t>
            </w:r>
            <w:r w:rsidR="00094092">
              <w:rPr>
                <w:color w:val="000000"/>
                <w:sz w:val="22"/>
                <w:szCs w:val="22"/>
              </w:rPr>
              <w:t>102</w:t>
            </w:r>
          </w:p>
        </w:tc>
      </w:tr>
      <w:tr w:rsidRPr="00390D04" w:rsidR="009D2272" w:rsidTr="002753DA" w14:paraId="4CD8C8FD" w14:textId="77777777">
        <w:trPr>
          <w:trHeight w:val="288"/>
        </w:trPr>
        <w:tc>
          <w:tcPr>
            <w:tcW w:w="2178" w:type="pct"/>
            <w:tcBorders>
              <w:top w:val="nil"/>
              <w:left w:val="nil"/>
              <w:bottom w:val="single" w:color="auto" w:sz="4" w:space="0"/>
              <w:right w:val="nil"/>
            </w:tcBorders>
            <w:shd w:val="clear" w:color="auto" w:fill="auto"/>
            <w:noWrap/>
            <w:vAlign w:val="bottom"/>
            <w:hideMark/>
          </w:tcPr>
          <w:p w:rsidRPr="00390D04" w:rsidR="009D2272" w:rsidP="002753DA" w:rsidRDefault="00DD7DAD" w14:paraId="78EC6FDD" w14:textId="77777777">
            <w:pPr>
              <w:widowControl/>
              <w:autoSpaceDE/>
              <w:autoSpaceDN/>
              <w:adjustRightInd/>
              <w:rPr>
                <w:color w:val="000000"/>
                <w:sz w:val="22"/>
                <w:szCs w:val="22"/>
              </w:rPr>
            </w:pPr>
            <w:r w:rsidRPr="00390D04">
              <w:rPr>
                <w:color w:val="000000"/>
                <w:sz w:val="22"/>
                <w:szCs w:val="22"/>
              </w:rPr>
              <w:t xml:space="preserve">Consultations with </w:t>
            </w:r>
            <w:r w:rsidRPr="00390D04" w:rsidR="009D2272">
              <w:rPr>
                <w:color w:val="000000"/>
                <w:sz w:val="22"/>
                <w:szCs w:val="22"/>
              </w:rPr>
              <w:t>Non-Profit and Private Industry</w:t>
            </w:r>
          </w:p>
        </w:tc>
        <w:tc>
          <w:tcPr>
            <w:tcW w:w="981" w:type="pct"/>
            <w:tcBorders>
              <w:top w:val="nil"/>
              <w:left w:val="nil"/>
              <w:bottom w:val="single" w:color="auto" w:sz="4" w:space="0"/>
              <w:right w:val="nil"/>
            </w:tcBorders>
            <w:shd w:val="clear" w:color="auto" w:fill="auto"/>
            <w:noWrap/>
            <w:vAlign w:val="bottom"/>
            <w:hideMark/>
          </w:tcPr>
          <w:p w:rsidRPr="00390D04" w:rsidR="009D2272" w:rsidP="002753DA" w:rsidRDefault="00561C93" w14:paraId="218C72FD" w14:textId="77777777">
            <w:pPr>
              <w:widowControl/>
              <w:autoSpaceDE/>
              <w:autoSpaceDN/>
              <w:adjustRightInd/>
              <w:jc w:val="center"/>
              <w:rPr>
                <w:color w:val="000000"/>
                <w:sz w:val="22"/>
                <w:szCs w:val="22"/>
              </w:rPr>
            </w:pPr>
            <w:r>
              <w:rPr>
                <w:color w:val="000000"/>
                <w:sz w:val="22"/>
                <w:szCs w:val="22"/>
              </w:rPr>
              <w:t>10</w:t>
            </w:r>
          </w:p>
        </w:tc>
        <w:tc>
          <w:tcPr>
            <w:tcW w:w="833" w:type="pct"/>
            <w:tcBorders>
              <w:top w:val="nil"/>
              <w:left w:val="nil"/>
              <w:bottom w:val="single" w:color="auto" w:sz="4" w:space="0"/>
              <w:right w:val="nil"/>
            </w:tcBorders>
            <w:shd w:val="clear" w:color="auto" w:fill="auto"/>
            <w:noWrap/>
            <w:vAlign w:val="bottom"/>
            <w:hideMark/>
          </w:tcPr>
          <w:p w:rsidRPr="00390D04" w:rsidR="009D2272" w:rsidP="002753DA" w:rsidRDefault="009D2272" w14:paraId="24241793" w14:textId="77777777">
            <w:pPr>
              <w:widowControl/>
              <w:autoSpaceDE/>
              <w:autoSpaceDN/>
              <w:adjustRightInd/>
              <w:jc w:val="center"/>
              <w:rPr>
                <w:color w:val="000000"/>
                <w:sz w:val="22"/>
                <w:szCs w:val="22"/>
              </w:rPr>
            </w:pPr>
            <w:r w:rsidRPr="00390D04">
              <w:rPr>
                <w:color w:val="000000"/>
                <w:sz w:val="22"/>
                <w:szCs w:val="22"/>
              </w:rPr>
              <w:t>$</w:t>
            </w:r>
            <w:r w:rsidR="00094092">
              <w:rPr>
                <w:color w:val="000000"/>
                <w:sz w:val="22"/>
                <w:szCs w:val="22"/>
              </w:rPr>
              <w:t>36.77</w:t>
            </w:r>
            <w:r w:rsidRPr="00390D04">
              <w:rPr>
                <w:color w:val="000000"/>
                <w:sz w:val="22"/>
                <w:szCs w:val="22"/>
              </w:rPr>
              <w:t xml:space="preserve"> </w:t>
            </w:r>
          </w:p>
        </w:tc>
        <w:tc>
          <w:tcPr>
            <w:tcW w:w="1007" w:type="pct"/>
            <w:tcBorders>
              <w:top w:val="nil"/>
              <w:left w:val="nil"/>
              <w:bottom w:val="single" w:color="auto" w:sz="4" w:space="0"/>
              <w:right w:val="nil"/>
            </w:tcBorders>
            <w:shd w:val="clear" w:color="auto" w:fill="auto"/>
            <w:noWrap/>
            <w:vAlign w:val="bottom"/>
            <w:hideMark/>
          </w:tcPr>
          <w:p w:rsidRPr="00390D04" w:rsidR="009D2272" w:rsidP="002753DA" w:rsidRDefault="009D2272" w14:paraId="17A916B5" w14:textId="77777777">
            <w:pPr>
              <w:widowControl/>
              <w:autoSpaceDE/>
              <w:autoSpaceDN/>
              <w:adjustRightInd/>
              <w:jc w:val="center"/>
              <w:rPr>
                <w:color w:val="000000"/>
                <w:sz w:val="22"/>
                <w:szCs w:val="22"/>
              </w:rPr>
            </w:pPr>
            <w:r w:rsidRPr="00390D04">
              <w:rPr>
                <w:color w:val="000000"/>
                <w:sz w:val="22"/>
                <w:szCs w:val="22"/>
              </w:rPr>
              <w:t>$</w:t>
            </w:r>
            <w:r w:rsidR="00094092">
              <w:rPr>
                <w:color w:val="000000"/>
                <w:sz w:val="22"/>
                <w:szCs w:val="22"/>
              </w:rPr>
              <w:t>368</w:t>
            </w:r>
            <w:r w:rsidRPr="00390D04" w:rsidR="00C936CE">
              <w:rPr>
                <w:color w:val="000000"/>
                <w:sz w:val="22"/>
                <w:szCs w:val="22"/>
              </w:rPr>
              <w:t xml:space="preserve"> </w:t>
            </w:r>
          </w:p>
        </w:tc>
      </w:tr>
      <w:tr w:rsidRPr="00390D04" w:rsidR="009D2272" w:rsidTr="002753DA" w14:paraId="50E63CEB" w14:textId="77777777">
        <w:trPr>
          <w:trHeight w:val="288"/>
        </w:trPr>
        <w:tc>
          <w:tcPr>
            <w:tcW w:w="2178" w:type="pct"/>
            <w:tcBorders>
              <w:top w:val="nil"/>
              <w:left w:val="nil"/>
              <w:bottom w:val="nil"/>
              <w:right w:val="nil"/>
            </w:tcBorders>
            <w:shd w:val="clear" w:color="auto" w:fill="auto"/>
            <w:noWrap/>
            <w:vAlign w:val="bottom"/>
            <w:hideMark/>
          </w:tcPr>
          <w:p w:rsidRPr="00390D04" w:rsidR="009D2272" w:rsidP="002753DA" w:rsidRDefault="009D2272" w14:paraId="33A36455" w14:textId="77777777">
            <w:pPr>
              <w:widowControl/>
              <w:autoSpaceDE/>
              <w:autoSpaceDN/>
              <w:adjustRightInd/>
              <w:rPr>
                <w:color w:val="000000"/>
                <w:sz w:val="22"/>
                <w:szCs w:val="22"/>
              </w:rPr>
            </w:pPr>
            <w:r w:rsidRPr="00390D04">
              <w:rPr>
                <w:color w:val="000000"/>
                <w:sz w:val="22"/>
                <w:szCs w:val="22"/>
              </w:rPr>
              <w:t>Total</w:t>
            </w:r>
          </w:p>
        </w:tc>
        <w:tc>
          <w:tcPr>
            <w:tcW w:w="981" w:type="pct"/>
            <w:tcBorders>
              <w:top w:val="nil"/>
              <w:left w:val="nil"/>
              <w:bottom w:val="nil"/>
              <w:right w:val="nil"/>
            </w:tcBorders>
            <w:shd w:val="clear" w:color="auto" w:fill="auto"/>
            <w:noWrap/>
            <w:vAlign w:val="bottom"/>
            <w:hideMark/>
          </w:tcPr>
          <w:p w:rsidRPr="00390D04" w:rsidR="009D2272" w:rsidP="002753DA" w:rsidRDefault="00561C93" w14:paraId="1E4CE33A" w14:textId="77777777">
            <w:pPr>
              <w:widowControl/>
              <w:autoSpaceDE/>
              <w:autoSpaceDN/>
              <w:adjustRightInd/>
              <w:jc w:val="center"/>
              <w:rPr>
                <w:color w:val="000000"/>
                <w:sz w:val="22"/>
                <w:szCs w:val="22"/>
              </w:rPr>
            </w:pPr>
            <w:r>
              <w:rPr>
                <w:color w:val="000000"/>
                <w:sz w:val="22"/>
                <w:szCs w:val="22"/>
              </w:rPr>
              <w:t>12</w:t>
            </w:r>
          </w:p>
        </w:tc>
        <w:tc>
          <w:tcPr>
            <w:tcW w:w="833" w:type="pct"/>
            <w:tcBorders>
              <w:top w:val="nil"/>
              <w:left w:val="nil"/>
              <w:bottom w:val="nil"/>
              <w:right w:val="nil"/>
            </w:tcBorders>
            <w:shd w:val="clear" w:color="auto" w:fill="auto"/>
            <w:noWrap/>
            <w:vAlign w:val="bottom"/>
            <w:hideMark/>
          </w:tcPr>
          <w:p w:rsidRPr="00390D04" w:rsidR="009D2272" w:rsidP="002753DA" w:rsidRDefault="009D2272" w14:paraId="06B5F374" w14:textId="77777777">
            <w:pPr>
              <w:widowControl/>
              <w:autoSpaceDE/>
              <w:autoSpaceDN/>
              <w:adjustRightInd/>
              <w:jc w:val="center"/>
              <w:rPr>
                <w:color w:val="000000"/>
                <w:sz w:val="22"/>
                <w:szCs w:val="22"/>
              </w:rPr>
            </w:pPr>
          </w:p>
        </w:tc>
        <w:tc>
          <w:tcPr>
            <w:tcW w:w="1007" w:type="pct"/>
            <w:tcBorders>
              <w:top w:val="nil"/>
              <w:left w:val="nil"/>
              <w:bottom w:val="nil"/>
              <w:right w:val="nil"/>
            </w:tcBorders>
            <w:shd w:val="clear" w:color="auto" w:fill="auto"/>
            <w:noWrap/>
            <w:vAlign w:val="bottom"/>
            <w:hideMark/>
          </w:tcPr>
          <w:p w:rsidRPr="00390D04" w:rsidR="009D2272" w:rsidP="002753DA" w:rsidRDefault="009D2272" w14:paraId="0D495248" w14:textId="77777777">
            <w:pPr>
              <w:widowControl/>
              <w:autoSpaceDE/>
              <w:autoSpaceDN/>
              <w:adjustRightInd/>
              <w:jc w:val="center"/>
              <w:rPr>
                <w:color w:val="000000"/>
                <w:sz w:val="22"/>
                <w:szCs w:val="22"/>
              </w:rPr>
            </w:pPr>
            <w:r w:rsidRPr="00390D04">
              <w:rPr>
                <w:color w:val="000000"/>
                <w:sz w:val="22"/>
                <w:szCs w:val="22"/>
              </w:rPr>
              <w:t>$</w:t>
            </w:r>
            <w:r w:rsidR="00094092">
              <w:rPr>
                <w:color w:val="000000"/>
                <w:sz w:val="22"/>
                <w:szCs w:val="22"/>
              </w:rPr>
              <w:t>470</w:t>
            </w:r>
            <w:r w:rsidRPr="00390D04" w:rsidR="00094092">
              <w:rPr>
                <w:color w:val="000000"/>
                <w:sz w:val="22"/>
                <w:szCs w:val="22"/>
              </w:rPr>
              <w:t xml:space="preserve"> </w:t>
            </w:r>
          </w:p>
        </w:tc>
      </w:tr>
    </w:tbl>
    <w:p w:rsidR="00561C93" w:rsidRDefault="00561C93" w14:paraId="2BBBD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61C93" w:rsidRDefault="00561C93" w14:paraId="600E3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1D8864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w:t>
      </w:r>
      <w:r w:rsidR="00DE1FFE">
        <w:rPr>
          <w:sz w:val="24"/>
          <w:szCs w:val="24"/>
        </w:rPr>
        <w:t>non-hour</w:t>
      </w:r>
      <w:r>
        <w:rPr>
          <w:sz w:val="24"/>
          <w:szCs w:val="24"/>
        </w:rPr>
        <w:t xml:space="preserve"> cost burden to respondents or recordkeepers resulting from the collection of information.  (Do not include the cost of any hour burden </w:t>
      </w:r>
      <w:r w:rsidR="004A6DFA">
        <w:rPr>
          <w:sz w:val="24"/>
          <w:szCs w:val="24"/>
        </w:rPr>
        <w:t xml:space="preserve">already reflected </w:t>
      </w:r>
      <w:r w:rsidR="00F73931">
        <w:rPr>
          <w:sz w:val="24"/>
          <w:szCs w:val="24"/>
        </w:rPr>
        <w:t>in item 12</w:t>
      </w:r>
      <w:r w:rsidR="004A6DFA">
        <w:rPr>
          <w:sz w:val="24"/>
          <w:szCs w:val="24"/>
        </w:rPr>
        <w:t>.)</w:t>
      </w:r>
    </w:p>
    <w:p w:rsidR="00295103" w:rsidRDefault="00295103" w14:paraId="148EAA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sz w:val="24"/>
          <w:szCs w:val="24"/>
        </w:rPr>
        <w:t>take into account</w:t>
      </w:r>
      <w:proofErr w:type="gramEnd"/>
      <w:r>
        <w:rPr>
          <w:sz w:val="24"/>
          <w:szCs w:val="24"/>
        </w:rPr>
        <w:t xml:space="preserve"> costs associated with generating, maintaining, and disclosing or providing the information </w:t>
      </w:r>
      <w:r w:rsidR="000257C8">
        <w:rPr>
          <w:sz w:val="24"/>
          <w:szCs w:val="24"/>
        </w:rPr>
        <w:t>(</w:t>
      </w:r>
      <w:r>
        <w:rPr>
          <w:sz w:val="24"/>
          <w:szCs w:val="24"/>
        </w:rPr>
        <w:t>including filing fees paid</w:t>
      </w:r>
      <w:r w:rsidR="000257C8">
        <w:rPr>
          <w:sz w:val="24"/>
          <w:szCs w:val="24"/>
        </w:rPr>
        <w:t xml:space="preserve"> for form processing)</w:t>
      </w:r>
      <w:r>
        <w:rPr>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Default="00295103" w14:paraId="4023DE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3B1650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w:t>
      </w:r>
      <w:r>
        <w:rPr>
          <w:sz w:val="24"/>
          <w:szCs w:val="24"/>
        </w:rPr>
        <w:lastRenderedPageBreak/>
        <w:t>usual business or private practices.</w:t>
      </w:r>
    </w:p>
    <w:p w:rsidR="009D2272" w:rsidRDefault="009D2272" w14:paraId="622D73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61C93" w:rsidP="00561C93" w:rsidRDefault="009D2272" w14:paraId="04BC2439"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There is no non-hour cost burden to applicants under this collection.  </w:t>
      </w:r>
    </w:p>
    <w:p w:rsidR="00561C93" w:rsidP="00561C93" w:rsidRDefault="00561C93" w14:paraId="40C646CB"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P="00561C93" w:rsidRDefault="00295103" w14:paraId="1196BA68" w14:textId="77777777">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w:t>
      </w:r>
      <w:r>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Pr>
          <w:sz w:val="24"/>
          <w:szCs w:val="24"/>
        </w:rPr>
        <w:t xml:space="preserve">his collection of information. </w:t>
      </w:r>
    </w:p>
    <w:p w:rsidR="009D2272" w:rsidRDefault="009D2272" w14:paraId="5E79E7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05AEEFB4" w14:textId="77777777">
      <w:pPr>
        <w:rPr>
          <w:sz w:val="24"/>
          <w:szCs w:val="24"/>
        </w:rPr>
      </w:pPr>
      <w:r w:rsidRPr="00CC627F">
        <w:rPr>
          <w:sz w:val="24"/>
          <w:szCs w:val="24"/>
        </w:rPr>
        <w:t xml:space="preserve">The total annual estimated cost to the </w:t>
      </w:r>
      <w:r w:rsidR="008D21F2">
        <w:rPr>
          <w:sz w:val="24"/>
          <w:szCs w:val="24"/>
        </w:rPr>
        <w:t>f</w:t>
      </w:r>
      <w:r w:rsidRPr="00CC627F">
        <w:rPr>
          <w:sz w:val="24"/>
          <w:szCs w:val="24"/>
        </w:rPr>
        <w:t xml:space="preserve">ederal </w:t>
      </w:r>
      <w:r>
        <w:rPr>
          <w:sz w:val="24"/>
          <w:szCs w:val="24"/>
        </w:rPr>
        <w:t>g</w:t>
      </w:r>
      <w:r w:rsidRPr="00CC627F">
        <w:rPr>
          <w:sz w:val="24"/>
          <w:szCs w:val="24"/>
        </w:rPr>
        <w:t xml:space="preserve">overnment </w:t>
      </w:r>
      <w:r>
        <w:rPr>
          <w:sz w:val="24"/>
          <w:szCs w:val="24"/>
        </w:rPr>
        <w:t xml:space="preserve">for </w:t>
      </w:r>
      <w:r w:rsidRPr="00CC627F">
        <w:rPr>
          <w:sz w:val="24"/>
          <w:szCs w:val="24"/>
        </w:rPr>
        <w:t xml:space="preserve">reviewing information received </w:t>
      </w:r>
      <w:r w:rsidR="008D21F2">
        <w:rPr>
          <w:sz w:val="24"/>
          <w:szCs w:val="24"/>
        </w:rPr>
        <w:t>from this</w:t>
      </w:r>
      <w:r w:rsidRPr="00CC627F">
        <w:rPr>
          <w:sz w:val="24"/>
          <w:szCs w:val="24"/>
        </w:rPr>
        <w:t xml:space="preserve"> collection is </w:t>
      </w:r>
      <w:r w:rsidR="00B659A5">
        <w:rPr>
          <w:sz w:val="24"/>
          <w:szCs w:val="24"/>
        </w:rPr>
        <w:t xml:space="preserve">$26,733 </w:t>
      </w:r>
      <w:r w:rsidR="00757CBA">
        <w:rPr>
          <w:sz w:val="24"/>
          <w:szCs w:val="24"/>
        </w:rPr>
        <w:t xml:space="preserve">per </w:t>
      </w:r>
      <w:r w:rsidR="00B659A5">
        <w:rPr>
          <w:sz w:val="24"/>
          <w:szCs w:val="24"/>
        </w:rPr>
        <w:t>year</w:t>
      </w:r>
      <w:r w:rsidRPr="00CC627F">
        <w:rPr>
          <w:sz w:val="24"/>
          <w:szCs w:val="24"/>
        </w:rPr>
        <w:t xml:space="preserve"> (Table </w:t>
      </w:r>
      <w:r w:rsidR="00561C93">
        <w:rPr>
          <w:sz w:val="24"/>
          <w:szCs w:val="24"/>
        </w:rPr>
        <w:t>6</w:t>
      </w:r>
      <w:r w:rsidRPr="00CC627F">
        <w:rPr>
          <w:sz w:val="24"/>
          <w:szCs w:val="24"/>
        </w:rPr>
        <w:t xml:space="preserve">). This total includes </w:t>
      </w:r>
      <w:r w:rsidR="008D21F2">
        <w:rPr>
          <w:sz w:val="24"/>
          <w:szCs w:val="24"/>
        </w:rPr>
        <w:t>f</w:t>
      </w:r>
      <w:r w:rsidRPr="00CC627F">
        <w:rPr>
          <w:sz w:val="24"/>
          <w:szCs w:val="24"/>
        </w:rPr>
        <w:t>ederal employee salaries and benefits. The table below shows</w:t>
      </w:r>
      <w:r>
        <w:rPr>
          <w:sz w:val="24"/>
          <w:szCs w:val="24"/>
        </w:rPr>
        <w:t xml:space="preserve"> tasks and</w:t>
      </w:r>
      <w:r w:rsidR="008D21F2">
        <w:rPr>
          <w:sz w:val="24"/>
          <w:szCs w:val="24"/>
        </w:rPr>
        <w:t xml:space="preserve"> f</w:t>
      </w:r>
      <w:r w:rsidRPr="00CC627F">
        <w:rPr>
          <w:sz w:val="24"/>
          <w:szCs w:val="24"/>
        </w:rPr>
        <w:t>ederal staff</w:t>
      </w:r>
      <w:r>
        <w:rPr>
          <w:sz w:val="24"/>
          <w:szCs w:val="24"/>
        </w:rPr>
        <w:t>ing requirements</w:t>
      </w:r>
      <w:r w:rsidRPr="00CC627F">
        <w:rPr>
          <w:sz w:val="24"/>
          <w:szCs w:val="24"/>
        </w:rPr>
        <w:t xml:space="preserve"> associated with this information collection. We used the Office of Personnel Management Salary Table </w:t>
      </w:r>
      <w:r w:rsidRPr="00CC627F" w:rsidR="0018006A">
        <w:rPr>
          <w:sz w:val="24"/>
          <w:szCs w:val="24"/>
        </w:rPr>
        <w:t>201</w:t>
      </w:r>
      <w:r w:rsidR="0018006A">
        <w:rPr>
          <w:sz w:val="24"/>
          <w:szCs w:val="24"/>
        </w:rPr>
        <w:t>9</w:t>
      </w:r>
      <w:r w:rsidRPr="00CC627F">
        <w:rPr>
          <w:sz w:val="24"/>
          <w:szCs w:val="24"/>
        </w:rPr>
        <w:t>-DEN to determine the hourly rate</w:t>
      </w:r>
      <w:r>
        <w:rPr>
          <w:sz w:val="24"/>
          <w:szCs w:val="24"/>
        </w:rPr>
        <w:t>s</w:t>
      </w:r>
      <w:r w:rsidR="008D21F2">
        <w:rPr>
          <w:sz w:val="24"/>
          <w:szCs w:val="24"/>
        </w:rPr>
        <w:t>.</w:t>
      </w:r>
      <w:r>
        <w:rPr>
          <w:rStyle w:val="FootnoteReference"/>
          <w:sz w:val="24"/>
          <w:szCs w:val="24"/>
        </w:rPr>
        <w:footnoteReference w:id="19"/>
      </w:r>
      <w:r w:rsidRPr="00CC627F">
        <w:rPr>
          <w:sz w:val="24"/>
          <w:szCs w:val="24"/>
        </w:rPr>
        <w:t xml:space="preserve"> We multiplied the hourly rate</w:t>
      </w:r>
      <w:r>
        <w:rPr>
          <w:sz w:val="24"/>
          <w:szCs w:val="24"/>
        </w:rPr>
        <w:t>s</w:t>
      </w:r>
      <w:r w:rsidRPr="00CC627F">
        <w:rPr>
          <w:sz w:val="24"/>
          <w:szCs w:val="24"/>
        </w:rPr>
        <w:t xml:space="preserve"> by 1.</w:t>
      </w:r>
      <w:r>
        <w:rPr>
          <w:sz w:val="24"/>
          <w:szCs w:val="24"/>
        </w:rPr>
        <w:t>6</w:t>
      </w:r>
      <w:r w:rsidRPr="00CC627F">
        <w:rPr>
          <w:sz w:val="24"/>
          <w:szCs w:val="24"/>
        </w:rPr>
        <w:t xml:space="preserve"> to account for benefits (as implied by the previously referenced BLS news release).</w:t>
      </w:r>
    </w:p>
    <w:p w:rsidRPr="00CC627F" w:rsidR="009D2272" w:rsidP="009D2272" w:rsidRDefault="009D2272" w14:paraId="232E6FFC" w14:textId="77777777">
      <w:pPr>
        <w:rPr>
          <w:sz w:val="24"/>
          <w:szCs w:val="24"/>
        </w:rPr>
      </w:pPr>
    </w:p>
    <w:p w:rsidRPr="00CC627F" w:rsidR="009D2272" w:rsidP="009D2272" w:rsidRDefault="009D2272" w14:paraId="478AD4BD" w14:textId="77777777">
      <w:pPr>
        <w:rPr>
          <w:sz w:val="24"/>
          <w:szCs w:val="24"/>
        </w:rPr>
      </w:pPr>
      <w:r w:rsidRPr="00CC627F">
        <w:rPr>
          <w:sz w:val="24"/>
          <w:szCs w:val="24"/>
        </w:rPr>
        <w:t xml:space="preserve">Table </w:t>
      </w:r>
      <w:r w:rsidR="00561C93">
        <w:rPr>
          <w:sz w:val="24"/>
          <w:szCs w:val="24"/>
        </w:rPr>
        <w:t>6</w:t>
      </w:r>
      <w:r w:rsidRPr="00CC627F">
        <w:rPr>
          <w:sz w:val="24"/>
          <w:szCs w:val="24"/>
        </w:rPr>
        <w:t>. Federal Employee Salaries and Benefits</w:t>
      </w:r>
    </w:p>
    <w:p w:rsidRPr="00CC627F" w:rsidR="009D2272" w:rsidP="009D2272" w:rsidRDefault="009D2272" w14:paraId="3410275C" w14:textId="77777777">
      <w:pPr>
        <w:rPr>
          <w:sz w:val="24"/>
          <w:szCs w:val="24"/>
        </w:rPr>
      </w:pPr>
    </w:p>
    <w:tbl>
      <w:tblPr>
        <w:tblW w:w="5052" w:type="pct"/>
        <w:tblLayout w:type="fixed"/>
        <w:tblLook w:val="04A0" w:firstRow="1" w:lastRow="0" w:firstColumn="1" w:lastColumn="0" w:noHBand="0" w:noVBand="1"/>
      </w:tblPr>
      <w:tblGrid>
        <w:gridCol w:w="2833"/>
        <w:gridCol w:w="1231"/>
        <w:gridCol w:w="1320"/>
        <w:gridCol w:w="880"/>
        <w:gridCol w:w="2198"/>
        <w:gridCol w:w="995"/>
      </w:tblGrid>
      <w:tr w:rsidRPr="00390D04" w:rsidR="00B659A5" w:rsidTr="00B659A5" w14:paraId="18C33F4A" w14:textId="77777777">
        <w:trPr>
          <w:trHeight w:val="1152"/>
        </w:trPr>
        <w:tc>
          <w:tcPr>
            <w:tcW w:w="1498" w:type="pct"/>
            <w:tcBorders>
              <w:top w:val="nil"/>
              <w:left w:val="nil"/>
              <w:bottom w:val="nil"/>
              <w:right w:val="nil"/>
            </w:tcBorders>
            <w:shd w:val="clear" w:color="auto" w:fill="auto"/>
            <w:hideMark/>
          </w:tcPr>
          <w:p w:rsidRPr="00390D04" w:rsidR="00C936CE" w:rsidP="002753DA" w:rsidRDefault="00C936CE" w14:paraId="6AC2BFF3" w14:textId="77777777">
            <w:pPr>
              <w:widowControl/>
              <w:autoSpaceDE/>
              <w:autoSpaceDN/>
              <w:adjustRightInd/>
              <w:rPr>
                <w:b/>
                <w:bCs/>
                <w:color w:val="000000"/>
                <w:sz w:val="22"/>
                <w:szCs w:val="22"/>
              </w:rPr>
            </w:pPr>
            <w:r w:rsidRPr="00390D04">
              <w:rPr>
                <w:b/>
                <w:bCs/>
                <w:color w:val="000000"/>
                <w:sz w:val="22"/>
                <w:szCs w:val="22"/>
              </w:rPr>
              <w:t>Task</w:t>
            </w:r>
          </w:p>
        </w:tc>
        <w:tc>
          <w:tcPr>
            <w:tcW w:w="651" w:type="pct"/>
            <w:tcBorders>
              <w:top w:val="nil"/>
              <w:left w:val="nil"/>
              <w:bottom w:val="nil"/>
              <w:right w:val="nil"/>
            </w:tcBorders>
            <w:shd w:val="clear" w:color="auto" w:fill="auto"/>
            <w:hideMark/>
          </w:tcPr>
          <w:p w:rsidRPr="00390D04" w:rsidR="00C936CE" w:rsidP="002753DA" w:rsidRDefault="00C936CE" w14:paraId="4C4AAAB6" w14:textId="77777777">
            <w:pPr>
              <w:widowControl/>
              <w:autoSpaceDE/>
              <w:autoSpaceDN/>
              <w:adjustRightInd/>
              <w:rPr>
                <w:b/>
                <w:bCs/>
                <w:color w:val="000000"/>
                <w:sz w:val="22"/>
                <w:szCs w:val="22"/>
              </w:rPr>
            </w:pPr>
            <w:r w:rsidRPr="00390D04">
              <w:rPr>
                <w:b/>
                <w:bCs/>
                <w:color w:val="000000"/>
                <w:sz w:val="22"/>
                <w:szCs w:val="22"/>
              </w:rPr>
              <w:t>Position</w:t>
            </w:r>
          </w:p>
        </w:tc>
        <w:tc>
          <w:tcPr>
            <w:tcW w:w="698" w:type="pct"/>
            <w:tcBorders>
              <w:top w:val="nil"/>
              <w:left w:val="nil"/>
              <w:bottom w:val="nil"/>
              <w:right w:val="nil"/>
            </w:tcBorders>
            <w:shd w:val="clear" w:color="auto" w:fill="auto"/>
            <w:hideMark/>
          </w:tcPr>
          <w:p w:rsidRPr="00390D04" w:rsidR="00C936CE" w:rsidP="002753DA" w:rsidRDefault="00C936CE" w14:paraId="6783F55C" w14:textId="77777777">
            <w:pPr>
              <w:widowControl/>
              <w:autoSpaceDE/>
              <w:autoSpaceDN/>
              <w:adjustRightInd/>
              <w:jc w:val="center"/>
              <w:rPr>
                <w:b/>
                <w:bCs/>
                <w:color w:val="000000"/>
                <w:sz w:val="22"/>
                <w:szCs w:val="22"/>
              </w:rPr>
            </w:pPr>
            <w:r w:rsidRPr="00390D04">
              <w:rPr>
                <w:b/>
                <w:bCs/>
                <w:color w:val="000000"/>
                <w:sz w:val="22"/>
                <w:szCs w:val="22"/>
              </w:rPr>
              <w:t>Estimated Time (hours)</w:t>
            </w:r>
          </w:p>
        </w:tc>
        <w:tc>
          <w:tcPr>
            <w:tcW w:w="465" w:type="pct"/>
            <w:tcBorders>
              <w:top w:val="nil"/>
              <w:left w:val="nil"/>
              <w:bottom w:val="nil"/>
              <w:right w:val="nil"/>
            </w:tcBorders>
            <w:shd w:val="clear" w:color="auto" w:fill="auto"/>
            <w:hideMark/>
          </w:tcPr>
          <w:p w:rsidRPr="00390D04" w:rsidR="00C936CE" w:rsidP="002753DA" w:rsidRDefault="00C936CE" w14:paraId="4C68C42E" w14:textId="77777777">
            <w:pPr>
              <w:widowControl/>
              <w:autoSpaceDE/>
              <w:autoSpaceDN/>
              <w:adjustRightInd/>
              <w:jc w:val="center"/>
              <w:rPr>
                <w:b/>
                <w:bCs/>
                <w:color w:val="000000"/>
                <w:sz w:val="22"/>
                <w:szCs w:val="22"/>
              </w:rPr>
            </w:pPr>
            <w:r w:rsidRPr="00390D04">
              <w:rPr>
                <w:b/>
                <w:bCs/>
                <w:color w:val="000000"/>
                <w:sz w:val="22"/>
                <w:szCs w:val="22"/>
              </w:rPr>
              <w:t>Hourly Pay Rate</w:t>
            </w:r>
          </w:p>
        </w:tc>
        <w:tc>
          <w:tcPr>
            <w:tcW w:w="1162" w:type="pct"/>
            <w:tcBorders>
              <w:top w:val="nil"/>
              <w:left w:val="nil"/>
              <w:bottom w:val="nil"/>
              <w:right w:val="nil"/>
            </w:tcBorders>
            <w:shd w:val="clear" w:color="auto" w:fill="auto"/>
            <w:hideMark/>
          </w:tcPr>
          <w:p w:rsidRPr="00390D04" w:rsidR="00C936CE" w:rsidP="002753DA" w:rsidRDefault="00C936CE" w14:paraId="6A3AF8EB" w14:textId="77777777">
            <w:pPr>
              <w:widowControl/>
              <w:autoSpaceDE/>
              <w:autoSpaceDN/>
              <w:adjustRightInd/>
              <w:jc w:val="center"/>
              <w:rPr>
                <w:b/>
                <w:bCs/>
                <w:color w:val="000000"/>
                <w:sz w:val="22"/>
                <w:szCs w:val="22"/>
              </w:rPr>
            </w:pPr>
            <w:r w:rsidRPr="00390D04">
              <w:rPr>
                <w:b/>
                <w:bCs/>
                <w:color w:val="000000"/>
                <w:sz w:val="22"/>
                <w:szCs w:val="22"/>
              </w:rPr>
              <w:t>Hourly Rate including Benefits (1.6 x hourly pay rate)</w:t>
            </w:r>
          </w:p>
        </w:tc>
        <w:tc>
          <w:tcPr>
            <w:tcW w:w="526" w:type="pct"/>
            <w:tcBorders>
              <w:top w:val="nil"/>
              <w:left w:val="nil"/>
              <w:bottom w:val="nil"/>
              <w:right w:val="nil"/>
            </w:tcBorders>
            <w:shd w:val="clear" w:color="auto" w:fill="auto"/>
            <w:hideMark/>
          </w:tcPr>
          <w:p w:rsidRPr="00390D04" w:rsidR="00C936CE" w:rsidP="002753DA" w:rsidRDefault="00C936CE" w14:paraId="736C31E6" w14:textId="77777777">
            <w:pPr>
              <w:widowControl/>
              <w:autoSpaceDE/>
              <w:autoSpaceDN/>
              <w:adjustRightInd/>
              <w:jc w:val="center"/>
              <w:rPr>
                <w:b/>
                <w:bCs/>
                <w:color w:val="000000"/>
                <w:sz w:val="22"/>
                <w:szCs w:val="22"/>
              </w:rPr>
            </w:pPr>
            <w:r w:rsidRPr="00390D04">
              <w:rPr>
                <w:b/>
                <w:bCs/>
                <w:color w:val="000000"/>
                <w:sz w:val="22"/>
                <w:szCs w:val="22"/>
              </w:rPr>
              <w:t>Annual Cost</w:t>
            </w:r>
          </w:p>
        </w:tc>
      </w:tr>
      <w:tr w:rsidRPr="00390D04" w:rsidR="00B659A5" w:rsidTr="00B659A5" w14:paraId="4BF08509" w14:textId="77777777">
        <w:trPr>
          <w:trHeight w:val="288"/>
        </w:trPr>
        <w:tc>
          <w:tcPr>
            <w:tcW w:w="1498" w:type="pct"/>
            <w:tcBorders>
              <w:top w:val="single" w:color="auto" w:sz="4" w:space="0"/>
              <w:left w:val="nil"/>
              <w:bottom w:val="nil"/>
              <w:right w:val="nil"/>
            </w:tcBorders>
            <w:shd w:val="clear" w:color="auto" w:fill="auto"/>
            <w:noWrap/>
            <w:hideMark/>
          </w:tcPr>
          <w:p w:rsidRPr="00390D04" w:rsidR="00753D99" w:rsidP="002753DA" w:rsidRDefault="00C936CE" w14:paraId="155FC1BE" w14:textId="77777777">
            <w:pPr>
              <w:widowControl/>
              <w:autoSpaceDE/>
              <w:autoSpaceDN/>
              <w:adjustRightInd/>
              <w:rPr>
                <w:color w:val="000000"/>
                <w:sz w:val="22"/>
                <w:szCs w:val="22"/>
              </w:rPr>
            </w:pPr>
            <w:r w:rsidRPr="00390D04">
              <w:rPr>
                <w:color w:val="000000"/>
                <w:sz w:val="22"/>
                <w:szCs w:val="22"/>
              </w:rPr>
              <w:t>Project Management</w:t>
            </w:r>
            <w:r w:rsidRPr="00390D04" w:rsidR="0018006A">
              <w:rPr>
                <w:color w:val="000000"/>
                <w:sz w:val="22"/>
                <w:szCs w:val="22"/>
              </w:rPr>
              <w:t>,</w:t>
            </w:r>
            <w:r w:rsidRPr="00390D04">
              <w:rPr>
                <w:color w:val="000000"/>
                <w:sz w:val="22"/>
                <w:szCs w:val="22"/>
              </w:rPr>
              <w:t xml:space="preserve"> Survey Administration</w:t>
            </w:r>
            <w:r w:rsidRPr="00390D04" w:rsidR="0018006A">
              <w:rPr>
                <w:color w:val="000000"/>
                <w:sz w:val="22"/>
                <w:szCs w:val="22"/>
              </w:rPr>
              <w:t>, Data Analysis</w:t>
            </w:r>
          </w:p>
        </w:tc>
        <w:tc>
          <w:tcPr>
            <w:tcW w:w="651" w:type="pct"/>
            <w:tcBorders>
              <w:top w:val="single" w:color="auto" w:sz="4" w:space="0"/>
              <w:left w:val="nil"/>
              <w:bottom w:val="nil"/>
              <w:right w:val="nil"/>
            </w:tcBorders>
            <w:shd w:val="clear" w:color="auto" w:fill="auto"/>
            <w:noWrap/>
            <w:hideMark/>
          </w:tcPr>
          <w:p w:rsidRPr="00390D04" w:rsidR="00C936CE" w:rsidP="002753DA" w:rsidRDefault="00C936CE" w14:paraId="159850EC" w14:textId="77777777">
            <w:pPr>
              <w:widowControl/>
              <w:autoSpaceDE/>
              <w:autoSpaceDN/>
              <w:adjustRightInd/>
              <w:rPr>
                <w:color w:val="000000"/>
                <w:sz w:val="22"/>
                <w:szCs w:val="22"/>
              </w:rPr>
            </w:pPr>
            <w:r w:rsidRPr="00390D04">
              <w:rPr>
                <w:color w:val="000000"/>
                <w:sz w:val="22"/>
                <w:szCs w:val="22"/>
              </w:rPr>
              <w:t>Economist</w:t>
            </w:r>
            <w:r w:rsidRPr="00390D04" w:rsidR="00B659A5">
              <w:rPr>
                <w:color w:val="000000"/>
                <w:sz w:val="22"/>
                <w:szCs w:val="22"/>
              </w:rPr>
              <w:t>,</w:t>
            </w:r>
            <w:r w:rsidRPr="00390D04" w:rsidR="0018006A">
              <w:rPr>
                <w:color w:val="000000"/>
                <w:sz w:val="22"/>
                <w:szCs w:val="22"/>
              </w:rPr>
              <w:t xml:space="preserve"> GS 13/1</w:t>
            </w:r>
          </w:p>
        </w:tc>
        <w:tc>
          <w:tcPr>
            <w:tcW w:w="698" w:type="pct"/>
            <w:tcBorders>
              <w:top w:val="single" w:color="auto" w:sz="4" w:space="0"/>
              <w:left w:val="nil"/>
              <w:bottom w:val="nil"/>
              <w:right w:val="nil"/>
            </w:tcBorders>
            <w:shd w:val="clear" w:color="auto" w:fill="auto"/>
            <w:noWrap/>
            <w:hideMark/>
          </w:tcPr>
          <w:p w:rsidRPr="00390D04" w:rsidR="00C936CE" w:rsidP="002753DA" w:rsidRDefault="0018006A" w14:paraId="0F65185F" w14:textId="77777777">
            <w:pPr>
              <w:widowControl/>
              <w:autoSpaceDE/>
              <w:autoSpaceDN/>
              <w:adjustRightInd/>
              <w:jc w:val="center"/>
              <w:rPr>
                <w:color w:val="000000"/>
                <w:sz w:val="22"/>
                <w:szCs w:val="22"/>
              </w:rPr>
            </w:pPr>
            <w:r w:rsidRPr="00390D04">
              <w:rPr>
                <w:color w:val="000000"/>
                <w:sz w:val="22"/>
                <w:szCs w:val="22"/>
              </w:rPr>
              <w:t>3</w:t>
            </w:r>
            <w:r w:rsidRPr="00390D04" w:rsidR="00B659A5">
              <w:rPr>
                <w:color w:val="000000"/>
                <w:sz w:val="22"/>
                <w:szCs w:val="22"/>
              </w:rPr>
              <w:t>60</w:t>
            </w:r>
          </w:p>
        </w:tc>
        <w:tc>
          <w:tcPr>
            <w:tcW w:w="465" w:type="pct"/>
            <w:tcBorders>
              <w:top w:val="single" w:color="auto" w:sz="4" w:space="0"/>
              <w:left w:val="nil"/>
              <w:bottom w:val="nil"/>
              <w:right w:val="nil"/>
            </w:tcBorders>
            <w:shd w:val="clear" w:color="auto" w:fill="auto"/>
            <w:noWrap/>
            <w:hideMark/>
          </w:tcPr>
          <w:p w:rsidRPr="00390D04" w:rsidR="00C936CE" w:rsidP="002753DA" w:rsidRDefault="00C936CE" w14:paraId="3464B58D" w14:textId="77777777">
            <w:pPr>
              <w:widowControl/>
              <w:autoSpaceDE/>
              <w:autoSpaceDN/>
              <w:adjustRightInd/>
              <w:jc w:val="center"/>
              <w:rPr>
                <w:color w:val="000000"/>
                <w:sz w:val="22"/>
                <w:szCs w:val="22"/>
              </w:rPr>
            </w:pPr>
            <w:r w:rsidRPr="00390D04">
              <w:rPr>
                <w:color w:val="000000"/>
                <w:sz w:val="22"/>
                <w:szCs w:val="22"/>
              </w:rPr>
              <w:t>$</w:t>
            </w:r>
            <w:r w:rsidRPr="00390D04" w:rsidR="0018006A">
              <w:rPr>
                <w:color w:val="000000"/>
                <w:sz w:val="22"/>
                <w:szCs w:val="22"/>
              </w:rPr>
              <w:t>46.41</w:t>
            </w:r>
            <w:r w:rsidRPr="00390D04">
              <w:rPr>
                <w:color w:val="000000"/>
                <w:sz w:val="22"/>
                <w:szCs w:val="22"/>
              </w:rPr>
              <w:t xml:space="preserve"> </w:t>
            </w:r>
          </w:p>
        </w:tc>
        <w:tc>
          <w:tcPr>
            <w:tcW w:w="1162" w:type="pct"/>
            <w:tcBorders>
              <w:top w:val="single" w:color="auto" w:sz="4" w:space="0"/>
              <w:left w:val="nil"/>
              <w:bottom w:val="nil"/>
              <w:right w:val="nil"/>
            </w:tcBorders>
            <w:shd w:val="clear" w:color="auto" w:fill="auto"/>
            <w:noWrap/>
            <w:hideMark/>
          </w:tcPr>
          <w:p w:rsidRPr="00390D04" w:rsidR="00C936CE" w:rsidP="002753DA" w:rsidRDefault="00C936CE" w14:paraId="1695AF2D" w14:textId="77777777">
            <w:pPr>
              <w:widowControl/>
              <w:autoSpaceDE/>
              <w:autoSpaceDN/>
              <w:adjustRightInd/>
              <w:jc w:val="center"/>
              <w:rPr>
                <w:color w:val="000000"/>
                <w:sz w:val="22"/>
                <w:szCs w:val="22"/>
              </w:rPr>
            </w:pPr>
            <w:r w:rsidRPr="00390D04">
              <w:rPr>
                <w:color w:val="000000"/>
                <w:sz w:val="22"/>
                <w:szCs w:val="22"/>
              </w:rPr>
              <w:t>$</w:t>
            </w:r>
            <w:r w:rsidRPr="00390D04" w:rsidR="0018006A">
              <w:rPr>
                <w:color w:val="000000"/>
                <w:sz w:val="22"/>
                <w:szCs w:val="22"/>
              </w:rPr>
              <w:t>74.26</w:t>
            </w:r>
            <w:r w:rsidRPr="00390D04">
              <w:rPr>
                <w:color w:val="000000"/>
                <w:sz w:val="22"/>
                <w:szCs w:val="22"/>
              </w:rPr>
              <w:t xml:space="preserve"> </w:t>
            </w:r>
          </w:p>
        </w:tc>
        <w:tc>
          <w:tcPr>
            <w:tcW w:w="526" w:type="pct"/>
            <w:tcBorders>
              <w:top w:val="single" w:color="auto" w:sz="4" w:space="0"/>
              <w:left w:val="nil"/>
              <w:bottom w:val="nil"/>
              <w:right w:val="nil"/>
            </w:tcBorders>
            <w:shd w:val="clear" w:color="auto" w:fill="auto"/>
            <w:noWrap/>
            <w:hideMark/>
          </w:tcPr>
          <w:p w:rsidRPr="00390D04" w:rsidR="00C936CE" w:rsidP="002753DA" w:rsidRDefault="00C936CE" w14:paraId="076E19BB" w14:textId="77777777">
            <w:pPr>
              <w:widowControl/>
              <w:autoSpaceDE/>
              <w:autoSpaceDN/>
              <w:adjustRightInd/>
              <w:jc w:val="center"/>
              <w:rPr>
                <w:color w:val="000000"/>
                <w:sz w:val="22"/>
                <w:szCs w:val="22"/>
              </w:rPr>
            </w:pPr>
            <w:r w:rsidRPr="00390D04">
              <w:rPr>
                <w:color w:val="000000"/>
                <w:sz w:val="22"/>
                <w:szCs w:val="22"/>
              </w:rPr>
              <w:t>$</w:t>
            </w:r>
            <w:r w:rsidRPr="00390D04" w:rsidR="00B659A5">
              <w:rPr>
                <w:color w:val="000000"/>
                <w:sz w:val="22"/>
                <w:szCs w:val="22"/>
              </w:rPr>
              <w:t>26,733</w:t>
            </w:r>
            <w:r w:rsidRPr="00390D04">
              <w:rPr>
                <w:color w:val="000000"/>
                <w:sz w:val="22"/>
                <w:szCs w:val="22"/>
              </w:rPr>
              <w:t xml:space="preserve"> </w:t>
            </w:r>
          </w:p>
          <w:p w:rsidRPr="00390D04" w:rsidR="00C936CE" w:rsidP="002753DA" w:rsidRDefault="00C936CE" w14:paraId="25DDE03F" w14:textId="77777777">
            <w:pPr>
              <w:widowControl/>
              <w:autoSpaceDE/>
              <w:autoSpaceDN/>
              <w:adjustRightInd/>
              <w:jc w:val="center"/>
              <w:rPr>
                <w:color w:val="000000"/>
                <w:sz w:val="22"/>
                <w:szCs w:val="22"/>
              </w:rPr>
            </w:pPr>
          </w:p>
        </w:tc>
      </w:tr>
      <w:tr w:rsidRPr="00390D04" w:rsidR="0018006A" w:rsidTr="00390D04" w14:paraId="07DD20A0" w14:textId="77777777">
        <w:trPr>
          <w:trHeight w:val="288"/>
        </w:trPr>
        <w:tc>
          <w:tcPr>
            <w:tcW w:w="1498" w:type="pct"/>
            <w:tcBorders>
              <w:top w:val="nil"/>
              <w:left w:val="nil"/>
              <w:bottom w:val="nil"/>
              <w:right w:val="nil"/>
            </w:tcBorders>
            <w:shd w:val="clear" w:color="auto" w:fill="auto"/>
            <w:noWrap/>
          </w:tcPr>
          <w:p w:rsidRPr="00390D04" w:rsidR="00C936CE" w:rsidP="002753DA" w:rsidRDefault="00C936CE" w14:paraId="652C944B" w14:textId="77777777">
            <w:pPr>
              <w:widowControl/>
              <w:autoSpaceDE/>
              <w:autoSpaceDN/>
              <w:adjustRightInd/>
              <w:rPr>
                <w:color w:val="000000"/>
                <w:sz w:val="22"/>
                <w:szCs w:val="22"/>
              </w:rPr>
            </w:pPr>
          </w:p>
        </w:tc>
        <w:tc>
          <w:tcPr>
            <w:tcW w:w="651" w:type="pct"/>
            <w:tcBorders>
              <w:top w:val="nil"/>
              <w:left w:val="nil"/>
              <w:bottom w:val="nil"/>
              <w:right w:val="nil"/>
            </w:tcBorders>
            <w:shd w:val="clear" w:color="auto" w:fill="auto"/>
            <w:noWrap/>
          </w:tcPr>
          <w:p w:rsidRPr="00390D04" w:rsidR="00C936CE" w:rsidP="002753DA" w:rsidRDefault="00C936CE" w14:paraId="7A41DBE8" w14:textId="77777777">
            <w:pPr>
              <w:widowControl/>
              <w:autoSpaceDE/>
              <w:autoSpaceDN/>
              <w:adjustRightInd/>
              <w:rPr>
                <w:color w:val="000000"/>
                <w:sz w:val="22"/>
                <w:szCs w:val="22"/>
              </w:rPr>
            </w:pPr>
          </w:p>
        </w:tc>
        <w:tc>
          <w:tcPr>
            <w:tcW w:w="698" w:type="pct"/>
            <w:tcBorders>
              <w:top w:val="nil"/>
              <w:left w:val="nil"/>
              <w:bottom w:val="nil"/>
              <w:right w:val="nil"/>
            </w:tcBorders>
            <w:shd w:val="clear" w:color="auto" w:fill="auto"/>
            <w:noWrap/>
          </w:tcPr>
          <w:p w:rsidRPr="00390D04" w:rsidR="00C936CE" w:rsidP="002753DA" w:rsidRDefault="00C936CE" w14:paraId="4B9E4B3E" w14:textId="77777777">
            <w:pPr>
              <w:widowControl/>
              <w:autoSpaceDE/>
              <w:autoSpaceDN/>
              <w:adjustRightInd/>
              <w:jc w:val="center"/>
              <w:rPr>
                <w:color w:val="000000"/>
                <w:sz w:val="22"/>
                <w:szCs w:val="22"/>
              </w:rPr>
            </w:pPr>
          </w:p>
        </w:tc>
        <w:tc>
          <w:tcPr>
            <w:tcW w:w="465" w:type="pct"/>
            <w:tcBorders>
              <w:top w:val="nil"/>
              <w:left w:val="nil"/>
              <w:bottom w:val="nil"/>
              <w:right w:val="nil"/>
            </w:tcBorders>
            <w:shd w:val="clear" w:color="auto" w:fill="auto"/>
            <w:noWrap/>
          </w:tcPr>
          <w:p w:rsidRPr="00390D04" w:rsidR="00C936CE" w:rsidP="002753DA" w:rsidRDefault="00C936CE" w14:paraId="12B95C06" w14:textId="77777777">
            <w:pPr>
              <w:widowControl/>
              <w:autoSpaceDE/>
              <w:autoSpaceDN/>
              <w:adjustRightInd/>
              <w:jc w:val="center"/>
              <w:rPr>
                <w:color w:val="000000"/>
                <w:sz w:val="22"/>
                <w:szCs w:val="22"/>
              </w:rPr>
            </w:pPr>
          </w:p>
        </w:tc>
        <w:tc>
          <w:tcPr>
            <w:tcW w:w="1162" w:type="pct"/>
            <w:tcBorders>
              <w:top w:val="nil"/>
              <w:left w:val="nil"/>
              <w:bottom w:val="nil"/>
              <w:right w:val="nil"/>
            </w:tcBorders>
            <w:shd w:val="clear" w:color="auto" w:fill="auto"/>
            <w:noWrap/>
          </w:tcPr>
          <w:p w:rsidRPr="00390D04" w:rsidR="00C936CE" w:rsidP="002753DA" w:rsidRDefault="00C936CE" w14:paraId="6C0C0521" w14:textId="77777777">
            <w:pPr>
              <w:widowControl/>
              <w:autoSpaceDE/>
              <w:autoSpaceDN/>
              <w:adjustRightInd/>
              <w:jc w:val="center"/>
              <w:rPr>
                <w:color w:val="000000"/>
                <w:sz w:val="22"/>
                <w:szCs w:val="22"/>
              </w:rPr>
            </w:pPr>
          </w:p>
        </w:tc>
        <w:tc>
          <w:tcPr>
            <w:tcW w:w="526" w:type="pct"/>
            <w:tcBorders>
              <w:top w:val="nil"/>
              <w:left w:val="nil"/>
              <w:bottom w:val="nil"/>
              <w:right w:val="nil"/>
            </w:tcBorders>
            <w:shd w:val="clear" w:color="auto" w:fill="auto"/>
            <w:noWrap/>
          </w:tcPr>
          <w:p w:rsidRPr="00390D04" w:rsidR="00C936CE" w:rsidP="000146F3" w:rsidRDefault="00C936CE" w14:paraId="242DB09C" w14:textId="77777777">
            <w:pPr>
              <w:widowControl/>
              <w:autoSpaceDE/>
              <w:autoSpaceDN/>
              <w:adjustRightInd/>
              <w:rPr>
                <w:color w:val="000000"/>
                <w:sz w:val="22"/>
                <w:szCs w:val="22"/>
              </w:rPr>
            </w:pPr>
          </w:p>
        </w:tc>
      </w:tr>
      <w:tr w:rsidRPr="00390D04" w:rsidR="00757CBA" w:rsidTr="00B659A5" w14:paraId="6D325F47" w14:textId="77777777">
        <w:trPr>
          <w:trHeight w:val="288"/>
        </w:trPr>
        <w:tc>
          <w:tcPr>
            <w:tcW w:w="1498" w:type="pct"/>
            <w:tcBorders>
              <w:top w:val="single" w:color="auto" w:sz="4" w:space="0"/>
              <w:left w:val="nil"/>
              <w:bottom w:val="nil"/>
              <w:right w:val="nil"/>
            </w:tcBorders>
            <w:shd w:val="clear" w:color="auto" w:fill="auto"/>
            <w:noWrap/>
            <w:hideMark/>
          </w:tcPr>
          <w:p w:rsidRPr="00390D04" w:rsidR="00757CBA" w:rsidP="00757CBA" w:rsidRDefault="00757CBA" w14:paraId="49394655" w14:textId="77777777">
            <w:pPr>
              <w:widowControl/>
              <w:autoSpaceDE/>
              <w:autoSpaceDN/>
              <w:adjustRightInd/>
              <w:rPr>
                <w:color w:val="000000"/>
                <w:sz w:val="22"/>
                <w:szCs w:val="22"/>
              </w:rPr>
            </w:pPr>
            <w:r w:rsidRPr="00390D04">
              <w:rPr>
                <w:color w:val="000000"/>
                <w:sz w:val="22"/>
                <w:szCs w:val="22"/>
              </w:rPr>
              <w:t>Total</w:t>
            </w:r>
          </w:p>
        </w:tc>
        <w:tc>
          <w:tcPr>
            <w:tcW w:w="651" w:type="pct"/>
            <w:tcBorders>
              <w:top w:val="single" w:color="auto" w:sz="4" w:space="0"/>
              <w:left w:val="nil"/>
              <w:bottom w:val="nil"/>
              <w:right w:val="nil"/>
            </w:tcBorders>
            <w:shd w:val="clear" w:color="auto" w:fill="auto"/>
            <w:noWrap/>
            <w:hideMark/>
          </w:tcPr>
          <w:p w:rsidRPr="00390D04" w:rsidR="00757CBA" w:rsidP="00757CBA" w:rsidRDefault="00757CBA" w14:paraId="354C0B2A" w14:textId="77777777">
            <w:pPr>
              <w:widowControl/>
              <w:autoSpaceDE/>
              <w:autoSpaceDN/>
              <w:adjustRightInd/>
              <w:rPr>
                <w:color w:val="000000"/>
                <w:sz w:val="22"/>
                <w:szCs w:val="22"/>
              </w:rPr>
            </w:pPr>
            <w:r w:rsidRPr="00390D04">
              <w:rPr>
                <w:color w:val="000000"/>
                <w:sz w:val="22"/>
                <w:szCs w:val="22"/>
              </w:rPr>
              <w:t> </w:t>
            </w:r>
          </w:p>
        </w:tc>
        <w:tc>
          <w:tcPr>
            <w:tcW w:w="698" w:type="pct"/>
            <w:tcBorders>
              <w:top w:val="single" w:color="auto" w:sz="4" w:space="0"/>
              <w:left w:val="nil"/>
              <w:bottom w:val="nil"/>
              <w:right w:val="nil"/>
            </w:tcBorders>
            <w:shd w:val="clear" w:color="auto" w:fill="auto"/>
            <w:noWrap/>
            <w:hideMark/>
          </w:tcPr>
          <w:p w:rsidRPr="00390D04" w:rsidR="00757CBA" w:rsidP="00757CBA" w:rsidRDefault="00757CBA" w14:paraId="41550D65" w14:textId="77777777">
            <w:pPr>
              <w:widowControl/>
              <w:autoSpaceDE/>
              <w:autoSpaceDN/>
              <w:adjustRightInd/>
              <w:jc w:val="center"/>
              <w:rPr>
                <w:color w:val="000000"/>
                <w:sz w:val="22"/>
                <w:szCs w:val="22"/>
              </w:rPr>
            </w:pPr>
            <w:r>
              <w:rPr>
                <w:color w:val="000000"/>
                <w:sz w:val="22"/>
                <w:szCs w:val="22"/>
              </w:rPr>
              <w:t>36</w:t>
            </w:r>
            <w:r w:rsidRPr="00390D04">
              <w:rPr>
                <w:color w:val="000000"/>
                <w:sz w:val="22"/>
                <w:szCs w:val="22"/>
              </w:rPr>
              <w:t>0</w:t>
            </w:r>
          </w:p>
        </w:tc>
        <w:tc>
          <w:tcPr>
            <w:tcW w:w="465" w:type="pct"/>
            <w:tcBorders>
              <w:top w:val="single" w:color="auto" w:sz="4" w:space="0"/>
              <w:left w:val="nil"/>
              <w:bottom w:val="nil"/>
              <w:right w:val="nil"/>
            </w:tcBorders>
            <w:shd w:val="clear" w:color="auto" w:fill="auto"/>
            <w:noWrap/>
            <w:hideMark/>
          </w:tcPr>
          <w:p w:rsidRPr="00390D04" w:rsidR="00757CBA" w:rsidP="00757CBA" w:rsidRDefault="00757CBA" w14:paraId="76EFABF0" w14:textId="77777777">
            <w:pPr>
              <w:widowControl/>
              <w:autoSpaceDE/>
              <w:autoSpaceDN/>
              <w:adjustRightInd/>
              <w:jc w:val="center"/>
              <w:rPr>
                <w:color w:val="000000"/>
                <w:sz w:val="22"/>
                <w:szCs w:val="22"/>
              </w:rPr>
            </w:pPr>
            <w:r w:rsidRPr="00883F78">
              <w:rPr>
                <w:color w:val="000000"/>
                <w:sz w:val="22"/>
                <w:szCs w:val="22"/>
              </w:rPr>
              <w:t xml:space="preserve">$46.41 </w:t>
            </w:r>
          </w:p>
        </w:tc>
        <w:tc>
          <w:tcPr>
            <w:tcW w:w="1162" w:type="pct"/>
            <w:tcBorders>
              <w:top w:val="single" w:color="auto" w:sz="4" w:space="0"/>
              <w:left w:val="nil"/>
              <w:bottom w:val="nil"/>
              <w:right w:val="nil"/>
            </w:tcBorders>
            <w:shd w:val="clear" w:color="auto" w:fill="auto"/>
            <w:noWrap/>
            <w:hideMark/>
          </w:tcPr>
          <w:p w:rsidRPr="00390D04" w:rsidR="00757CBA" w:rsidP="00757CBA" w:rsidRDefault="00757CBA" w14:paraId="63A404A1" w14:textId="77777777">
            <w:pPr>
              <w:widowControl/>
              <w:autoSpaceDE/>
              <w:autoSpaceDN/>
              <w:adjustRightInd/>
              <w:jc w:val="center"/>
              <w:rPr>
                <w:color w:val="000000"/>
                <w:sz w:val="22"/>
                <w:szCs w:val="22"/>
              </w:rPr>
            </w:pPr>
            <w:r w:rsidRPr="00883F78">
              <w:rPr>
                <w:color w:val="000000"/>
                <w:sz w:val="22"/>
                <w:szCs w:val="22"/>
              </w:rPr>
              <w:t xml:space="preserve">$74.26 </w:t>
            </w:r>
          </w:p>
        </w:tc>
        <w:tc>
          <w:tcPr>
            <w:tcW w:w="526" w:type="pct"/>
            <w:tcBorders>
              <w:top w:val="single" w:color="auto" w:sz="4" w:space="0"/>
              <w:left w:val="nil"/>
              <w:bottom w:val="nil"/>
              <w:right w:val="nil"/>
            </w:tcBorders>
            <w:shd w:val="clear" w:color="auto" w:fill="auto"/>
            <w:noWrap/>
            <w:hideMark/>
          </w:tcPr>
          <w:p w:rsidRPr="00883F78" w:rsidR="00757CBA" w:rsidP="00757CBA" w:rsidRDefault="00757CBA" w14:paraId="26528ACD" w14:textId="77777777">
            <w:pPr>
              <w:widowControl/>
              <w:autoSpaceDE/>
              <w:autoSpaceDN/>
              <w:adjustRightInd/>
              <w:jc w:val="center"/>
              <w:rPr>
                <w:color w:val="000000"/>
                <w:sz w:val="22"/>
                <w:szCs w:val="22"/>
              </w:rPr>
            </w:pPr>
            <w:r w:rsidRPr="00883F78">
              <w:rPr>
                <w:color w:val="000000"/>
                <w:sz w:val="22"/>
                <w:szCs w:val="22"/>
              </w:rPr>
              <w:t xml:space="preserve">$26,733 </w:t>
            </w:r>
          </w:p>
          <w:p w:rsidRPr="00390D04" w:rsidR="00757CBA" w:rsidP="00757CBA" w:rsidRDefault="00757CBA" w14:paraId="47A3AD0B" w14:textId="77777777">
            <w:pPr>
              <w:widowControl/>
              <w:autoSpaceDE/>
              <w:autoSpaceDN/>
              <w:adjustRightInd/>
              <w:jc w:val="center"/>
              <w:rPr>
                <w:color w:val="000000"/>
                <w:sz w:val="22"/>
                <w:szCs w:val="22"/>
              </w:rPr>
            </w:pPr>
          </w:p>
        </w:tc>
      </w:tr>
    </w:tbl>
    <w:p w:rsidR="0060758B" w:rsidRDefault="0060758B" w14:paraId="407E10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E6FE0" w:rsidRDefault="009E6FE0" w14:paraId="3F43DD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29951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 xml:space="preserve">Explain the reasons for any program changes or adjustments </w:t>
      </w:r>
      <w:r w:rsidR="00F73931">
        <w:rPr>
          <w:sz w:val="24"/>
          <w:szCs w:val="24"/>
        </w:rPr>
        <w:t>in hour or cost burden</w:t>
      </w:r>
      <w:r w:rsidR="0060758B">
        <w:rPr>
          <w:sz w:val="24"/>
          <w:szCs w:val="24"/>
        </w:rPr>
        <w:t>.</w:t>
      </w:r>
    </w:p>
    <w:p w:rsidR="00561C93" w:rsidRDefault="00561C93" w14:paraId="57F549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2272" w:rsidRDefault="00561C93" w14:paraId="7803D5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Expected hour and cost burdens</w:t>
      </w:r>
      <w:r w:rsidR="0057745A">
        <w:rPr>
          <w:sz w:val="24"/>
          <w:szCs w:val="24"/>
        </w:rPr>
        <w:t xml:space="preserve"> have been reduced slightly with more experience </w:t>
      </w:r>
      <w:r w:rsidR="000146F3">
        <w:rPr>
          <w:sz w:val="24"/>
          <w:szCs w:val="24"/>
        </w:rPr>
        <w:t xml:space="preserve">in </w:t>
      </w:r>
      <w:r w:rsidR="0057745A">
        <w:rPr>
          <w:sz w:val="24"/>
          <w:szCs w:val="24"/>
        </w:rPr>
        <w:t>using the survey</w:t>
      </w:r>
      <w:r>
        <w:rPr>
          <w:sz w:val="24"/>
          <w:szCs w:val="24"/>
        </w:rPr>
        <w:t xml:space="preserve">. </w:t>
      </w:r>
      <w:r w:rsidR="0057745A">
        <w:rPr>
          <w:sz w:val="24"/>
          <w:szCs w:val="24"/>
        </w:rPr>
        <w:t xml:space="preserve">Non-Federal burden hours have gone from 21 hours to 12. </w:t>
      </w:r>
    </w:p>
    <w:p w:rsidR="00295103" w:rsidRDefault="00295103" w14:paraId="461222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40BF9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D2272" w:rsidRDefault="009D2272" w14:paraId="114745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D2272" w:rsidP="009D2272" w:rsidRDefault="009D2272" w14:paraId="7641DF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 xml:space="preserve">Case studies will be reviewed and approved by USGS. New case studies will be published </w:t>
      </w:r>
      <w:r w:rsidR="00CE0A04">
        <w:rPr>
          <w:sz w:val="24"/>
          <w:szCs w:val="24"/>
        </w:rPr>
        <w:t>as</w:t>
      </w:r>
      <w:r w:rsidR="00F61096">
        <w:rPr>
          <w:sz w:val="24"/>
          <w:szCs w:val="24"/>
        </w:rPr>
        <w:t xml:space="preserve"> USGS </w:t>
      </w:r>
      <w:r w:rsidR="00933837">
        <w:rPr>
          <w:sz w:val="24"/>
          <w:szCs w:val="24"/>
        </w:rPr>
        <w:t>Op</w:t>
      </w:r>
      <w:r w:rsidR="00F61096">
        <w:rPr>
          <w:sz w:val="24"/>
          <w:szCs w:val="24"/>
        </w:rPr>
        <w:t xml:space="preserve">en </w:t>
      </w:r>
      <w:r w:rsidR="00933837">
        <w:rPr>
          <w:sz w:val="24"/>
          <w:szCs w:val="24"/>
        </w:rPr>
        <w:t>F</w:t>
      </w:r>
      <w:r w:rsidR="00F61096">
        <w:rPr>
          <w:sz w:val="24"/>
          <w:szCs w:val="24"/>
        </w:rPr>
        <w:t xml:space="preserve">ile </w:t>
      </w:r>
      <w:r w:rsidR="00933837">
        <w:rPr>
          <w:sz w:val="24"/>
          <w:szCs w:val="24"/>
        </w:rPr>
        <w:t>R</w:t>
      </w:r>
      <w:r w:rsidR="00F61096">
        <w:rPr>
          <w:sz w:val="24"/>
          <w:szCs w:val="24"/>
        </w:rPr>
        <w:t>eports</w:t>
      </w:r>
      <w:r w:rsidR="008519B5">
        <w:rPr>
          <w:sz w:val="24"/>
          <w:szCs w:val="24"/>
        </w:rPr>
        <w:t xml:space="preserve"> and/or by the Restoration Program</w:t>
      </w:r>
      <w:r w:rsidRPr="00CC627F">
        <w:rPr>
          <w:sz w:val="24"/>
          <w:szCs w:val="24"/>
        </w:rPr>
        <w:t xml:space="preserve"> as they are completed. </w:t>
      </w:r>
    </w:p>
    <w:p w:rsidR="00295103" w:rsidRDefault="00295103" w14:paraId="58391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 xml:space="preserve">If seeking approval to not display the expiration date for OMB approval of the information </w:t>
      </w:r>
      <w:r>
        <w:rPr>
          <w:sz w:val="24"/>
          <w:szCs w:val="24"/>
        </w:rPr>
        <w:lastRenderedPageBreak/>
        <w:t>collection, explain the reasons that display would be inappropriate.</w:t>
      </w:r>
    </w:p>
    <w:p w:rsidR="009D2272" w:rsidRDefault="009D2272" w14:paraId="20A7D4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61A0B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C627F">
        <w:rPr>
          <w:sz w:val="24"/>
          <w:szCs w:val="24"/>
        </w:rPr>
        <w:t>Not applicable. We will display the expiration date.</w:t>
      </w:r>
    </w:p>
    <w:p w:rsidR="00295103" w:rsidRDefault="00295103" w14:paraId="6D9893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14F1C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 xml:space="preserve">Explain each exception to the </w:t>
      </w:r>
      <w:r w:rsidR="005D39A7">
        <w:rPr>
          <w:sz w:val="24"/>
          <w:szCs w:val="24"/>
        </w:rPr>
        <w:t xml:space="preserve">topics of the </w:t>
      </w:r>
      <w:r>
        <w:rPr>
          <w:sz w:val="24"/>
          <w:szCs w:val="24"/>
        </w:rPr>
        <w:t>certification statement identified in "Certification for Paperwork Reduction Act Submissions</w:t>
      </w:r>
      <w:r w:rsidR="005D39A7">
        <w:rPr>
          <w:sz w:val="24"/>
          <w:szCs w:val="24"/>
        </w:rPr>
        <w:t>.</w:t>
      </w:r>
      <w:r>
        <w:rPr>
          <w:sz w:val="24"/>
          <w:szCs w:val="24"/>
        </w:rPr>
        <w:t>"</w:t>
      </w:r>
    </w:p>
    <w:p w:rsidR="009D2272" w:rsidRDefault="009D2272" w14:paraId="22FA3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CC627F" w:rsidR="009D2272" w:rsidP="009D2272" w:rsidRDefault="009D2272" w14:paraId="74C6AF71" w14:textId="77777777">
      <w:pPr>
        <w:pStyle w:val="Bibliography"/>
        <w:rPr>
          <w:sz w:val="24"/>
          <w:szCs w:val="24"/>
        </w:rPr>
      </w:pPr>
      <w:r w:rsidRPr="00CC627F">
        <w:rPr>
          <w:sz w:val="24"/>
          <w:szCs w:val="24"/>
        </w:rPr>
        <w:t>There are no exceptions to the certification statement.</w:t>
      </w:r>
    </w:p>
    <w:p w:rsidR="009D2272" w:rsidRDefault="009D2272" w14:paraId="05458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14:paraId="56BF8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7D195" w14:textId="77777777" w:rsidR="000A3CD7" w:rsidRDefault="000A3CD7" w:rsidP="00AE213F">
      <w:r>
        <w:separator/>
      </w:r>
    </w:p>
  </w:endnote>
  <w:endnote w:type="continuationSeparator" w:id="0">
    <w:p w14:paraId="2F635F3A" w14:textId="77777777" w:rsidR="000A3CD7" w:rsidRDefault="000A3CD7" w:rsidP="00AE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4E22F" w14:textId="77777777" w:rsidR="000A3CD7" w:rsidRDefault="000A3CD7" w:rsidP="00AE213F">
      <w:r>
        <w:separator/>
      </w:r>
    </w:p>
  </w:footnote>
  <w:footnote w:type="continuationSeparator" w:id="0">
    <w:p w14:paraId="288B62CA" w14:textId="77777777" w:rsidR="000A3CD7" w:rsidRDefault="000A3CD7" w:rsidP="00AE213F">
      <w:r>
        <w:continuationSeparator/>
      </w:r>
    </w:p>
  </w:footnote>
  <w:footnote w:id="1">
    <w:p w14:paraId="5AB619FA" w14:textId="77777777" w:rsidR="00AE213F" w:rsidRPr="00041027" w:rsidRDefault="00AE213F" w:rsidP="00AE213F">
      <w:pPr>
        <w:pStyle w:val="FootnoteText"/>
      </w:pPr>
      <w:r w:rsidRPr="008077F1">
        <w:rPr>
          <w:rStyle w:val="FootnoteReference"/>
        </w:rPr>
        <w:footnoteRef/>
      </w:r>
      <w:r w:rsidRPr="008077F1">
        <w:t xml:space="preserve"> </w:t>
      </w:r>
      <w:r w:rsidRPr="00041027">
        <w:fldChar w:fldCharType="begin"/>
      </w:r>
      <w:r w:rsidRPr="008077F1">
        <w:instrText xml:space="preserve"> ADDIN ZOTERO_ITEM CSL_CITATION {"citationID":"ERkOEyrE","properties":{"formattedCitation":"{\\rtf {\\i{}Comprehensive Environmental Response, Compensation, and Liability Act of 1980 (CERCLA), as Amended (42 U.S.C. \\uc0\\u167{}\\uc0\\u167{} 9601, et Seq.), Including but Not Limited to Sections 104, 107, 111(i), and 122}, 1980.}","plainCitation":"Comprehensive Environmental Response, Compensation, and Liability Act of 1980 (CERCLA), as Amended (42 U.S.C. §§ 9601, et Seq.), Including but Not Limited to Sections 104, 107, 111(i), and 122, 1980."},"citationItems":[{"id":641,"uris":["http://zotero.org/users/2345041/items/9QDM2U9E"],"uri":["http://zotero.org/users/2345041/items/9QDM2U9E"],"itemData":{"id":641,"type":"bill","title":"Comprehensive Environmental Response, Compensation, and Liability Act of 1980 (CERCLA), as amended (42 U.S.C. §§ 9601, et seq.), including but not limited to sections 104, 107, 111(i), and 122","issued":{"date-parts":[["1980"]]}}}],"schema":"https://github.com/citation-style-language/schema/raw/master/csl-citation.json"} </w:instrText>
      </w:r>
      <w:r w:rsidRPr="00041027">
        <w:fldChar w:fldCharType="separate"/>
      </w:r>
      <w:r w:rsidRPr="00390D04">
        <w:rPr>
          <w:iCs/>
          <w:szCs w:val="24"/>
        </w:rPr>
        <w:t>Comprehensive Environmental Response, Compensation, and Liability Act of 1980 (CERCLA), as Amended (42 U.S.C. §§ 9601, et Seq.), Including but Not Limited to Sections 104, 107, 111(i), and 122</w:t>
      </w:r>
      <w:r w:rsidRPr="00041027">
        <w:rPr>
          <w:szCs w:val="24"/>
        </w:rPr>
        <w:t>, 1980.</w:t>
      </w:r>
      <w:r w:rsidRPr="00041027">
        <w:fldChar w:fldCharType="end"/>
      </w:r>
    </w:p>
  </w:footnote>
  <w:footnote w:id="2">
    <w:p w14:paraId="170F6A28" w14:textId="77777777" w:rsidR="00AE213F" w:rsidRPr="00041027" w:rsidRDefault="00AE213F" w:rsidP="00AE213F">
      <w:pPr>
        <w:pStyle w:val="FootnoteText"/>
      </w:pPr>
      <w:r w:rsidRPr="00041027">
        <w:rPr>
          <w:rStyle w:val="FootnoteReference"/>
        </w:rPr>
        <w:footnoteRef/>
      </w:r>
      <w:r w:rsidRPr="00041027">
        <w:t xml:space="preserve"> </w:t>
      </w:r>
      <w:r w:rsidRPr="00041027">
        <w:fldChar w:fldCharType="begin"/>
      </w:r>
      <w:r w:rsidRPr="00390D04">
        <w:instrText xml:space="preserve"> ADDIN ZOTERO_ITEM CSL_CITATION {"citationID":"HUKbvGa0","properties":{"formattedCitation":"{\\rtf {\\i{}Oil Pollution Act of 1990 (OPA) (33 U.S.C. \\uc0\\u167{}\\uc0\\u167{} 2701, et Seq.), Including but Not Limited to Sections 1006 and 1012}, 1990.}","plainCitation":"Oil Pollution Act of 1990 (OPA) (33 U.S.C. §§ 2701, et Seq.), Including but Not Limited to Sections 1006 and 1012, 1990."},"citationItems":[{"id":645,"uris":["http://zotero.org/users/2345041/items/TQ9PUJFZ"],"uri":["http://zotero.org/users/2345041/items/TQ9PUJFZ"],"itemData":{"id":645,"type":"bill","title":"Oil Pollution Act of 1990 (OPA) (33 U.S.C. §§ 2701, et seq.), including but not limited to sections 1006 and 1012","issued":{"date-parts":[["1990"]]}}}],"schema":"https://github.com/citation-style-language/schema/raw/master/csl-citation.json"} </w:instrText>
      </w:r>
      <w:r w:rsidRPr="00041027">
        <w:fldChar w:fldCharType="separate"/>
      </w:r>
      <w:r w:rsidRPr="00390D04">
        <w:rPr>
          <w:iCs/>
          <w:szCs w:val="24"/>
        </w:rPr>
        <w:t>Oil Pollution Act of 1990 (OPA) (33 U.S.C. §§ 2701, et Seq.), Including but Not Limited to Sections 1006 and 1012</w:t>
      </w:r>
      <w:r w:rsidRPr="00041027">
        <w:rPr>
          <w:szCs w:val="24"/>
        </w:rPr>
        <w:t>, 1990.</w:t>
      </w:r>
      <w:r w:rsidRPr="00041027">
        <w:fldChar w:fldCharType="end"/>
      </w:r>
    </w:p>
  </w:footnote>
  <w:footnote w:id="3">
    <w:p w14:paraId="45684E4F" w14:textId="77777777" w:rsidR="00AE213F" w:rsidRPr="00041027" w:rsidRDefault="00AE213F" w:rsidP="00AE213F">
      <w:pPr>
        <w:pStyle w:val="FootnoteText"/>
      </w:pPr>
      <w:r w:rsidRPr="00041027">
        <w:rPr>
          <w:rStyle w:val="FootnoteReference"/>
        </w:rPr>
        <w:footnoteRef/>
      </w:r>
      <w:r w:rsidRPr="00041027">
        <w:t xml:space="preserve"> </w:t>
      </w:r>
      <w:r w:rsidRPr="00041027">
        <w:fldChar w:fldCharType="begin"/>
      </w:r>
      <w:r w:rsidRPr="00390D04">
        <w:instrText xml:space="preserve"> ADDIN ZOTERO_ITEM CSL_CITATION {"citationID":"Es1e9tW1","properties":{"formattedCitation":"{\\rtf {\\i{}Federal Water Pollution Control Act or Clean Water Act (CWA), as Amended (33 U.S.C. \\uc0\\u167{}\\uc0\\u167{} 1251, et Seq.), Including but Not Limited to Section 311(f)}, 1972.}","plainCitation":"Federal Water Pollution Control Act or Clean Water Act (CWA), as Amended (33 U.S.C. §§ 1251, et Seq.), Including but Not Limited to Section 311(f), 1972."},"citationItems":[{"id":643,"uris":["http://zotero.org/users/2345041/items/RXIJ528S"],"uri":["http://zotero.org/users/2345041/items/RXIJ528S"],"itemData":{"id":643,"type":"bill","title":"Federal Water Pollution Control Act or Clean Water Act (CWA), as amended (33 U.S.C. §§ 1251, et seq.), including but not limited to section 311(f)","issued":{"date-parts":[["1972"]]}}}],"schema":"https://github.com/citation-style-language/schema/raw/master/csl-citation.json"} </w:instrText>
      </w:r>
      <w:r w:rsidRPr="00041027">
        <w:fldChar w:fldCharType="separate"/>
      </w:r>
      <w:r w:rsidRPr="00390D04">
        <w:rPr>
          <w:iCs/>
          <w:szCs w:val="24"/>
        </w:rPr>
        <w:t>Federal Water Pollution Control Act or Clean Water Act (CWA), as Amended (33 U.S.C. §§ 1251, et Seq.), Including but Not Limited to Section 311(f)</w:t>
      </w:r>
      <w:r w:rsidRPr="00041027">
        <w:rPr>
          <w:szCs w:val="24"/>
        </w:rPr>
        <w:t>, 1972.</w:t>
      </w:r>
      <w:r w:rsidRPr="00041027">
        <w:fldChar w:fldCharType="end"/>
      </w:r>
    </w:p>
  </w:footnote>
  <w:footnote w:id="4">
    <w:p w14:paraId="4D90F501" w14:textId="77777777" w:rsidR="00AE213F" w:rsidRPr="00041027" w:rsidRDefault="00AE213F" w:rsidP="00AE213F">
      <w:pPr>
        <w:pStyle w:val="FootnoteText"/>
      </w:pPr>
      <w:r w:rsidRPr="00041027">
        <w:rPr>
          <w:rStyle w:val="FootnoteReference"/>
        </w:rPr>
        <w:footnoteRef/>
      </w:r>
      <w:r w:rsidRPr="00041027">
        <w:t xml:space="preserve"> </w:t>
      </w:r>
      <w:r w:rsidRPr="00041027">
        <w:fldChar w:fldCharType="begin"/>
      </w:r>
      <w:r w:rsidRPr="00390D04">
        <w:instrText xml:space="preserve"> ADDIN ZOTERO_ITEM CSL_CITATION {"citationID":"mt2955Dl","properties":{"formattedCitation":"{\\rtf {\\i{}American Recovery and Reinvestment Act of 2009 (ARRA), Public Law 111-5}, 2009.}","plainCitation":"American Recovery and Reinvestment Act of 2009 (ARRA), Public Law 111-5, 2009."},"citationItems":[{"id":639,"uris":["http://zotero.org/users/2345041/items/2IKW6IME"],"uri":["http://zotero.org/users/2345041/items/2IKW6IME"],"itemData":{"id":639,"type":"bill","title":"American Recovery and Reinvestment Act of 2009 (ARRA), Public Law 111-5","issued":{"date-parts":[["2009",2,17]]}}}],"schema":"https://github.com/citation-style-language/schema/raw/master/csl-citation.json"} </w:instrText>
      </w:r>
      <w:r w:rsidRPr="00041027">
        <w:fldChar w:fldCharType="separate"/>
      </w:r>
      <w:r w:rsidRPr="00390D04">
        <w:rPr>
          <w:iCs/>
          <w:szCs w:val="24"/>
        </w:rPr>
        <w:t>American Recovery and Reinvestment Act of 2009 (ARRA), Public Law 111-5</w:t>
      </w:r>
      <w:r w:rsidRPr="00041027">
        <w:rPr>
          <w:szCs w:val="24"/>
        </w:rPr>
        <w:t>, 2009.</w:t>
      </w:r>
      <w:r w:rsidRPr="00041027">
        <w:fldChar w:fldCharType="end"/>
      </w:r>
    </w:p>
  </w:footnote>
  <w:footnote w:id="5">
    <w:p w14:paraId="4D140C11" w14:textId="77777777" w:rsidR="00AE213F" w:rsidRPr="00041027" w:rsidRDefault="00AE213F" w:rsidP="00AE213F">
      <w:pPr>
        <w:pStyle w:val="FootnoteText"/>
        <w:rPr>
          <w:iCs/>
          <w:szCs w:val="24"/>
        </w:rPr>
      </w:pPr>
      <w:r w:rsidRPr="00390D04">
        <w:rPr>
          <w:iCs/>
          <w:szCs w:val="24"/>
          <w:vertAlign w:val="superscript"/>
        </w:rPr>
        <w:footnoteRef/>
      </w:r>
      <w:r w:rsidRPr="00041027">
        <w:rPr>
          <w:iCs/>
          <w:szCs w:val="24"/>
        </w:rPr>
        <w:t xml:space="preserve"> </w:t>
      </w:r>
      <w:r w:rsidRPr="00041027">
        <w:rPr>
          <w:iCs/>
          <w:szCs w:val="24"/>
        </w:rPr>
        <w:fldChar w:fldCharType="begin"/>
      </w:r>
      <w:r w:rsidRPr="00041027">
        <w:rPr>
          <w:iCs/>
          <w:szCs w:val="24"/>
        </w:rPr>
        <w:instrText xml:space="preserve"> ADDIN ZOTERO_ITEM CSL_CITATION {"citationID":"2ecj66v9dp","properties":{"formattedCitation":"{\\rtf Department of Interior, \\uc0\\u8220{}The Department of the Interior\\uc0\\u8217{}s Economic Contributions, FY 2011,\\uc0\\u8221{} July 2012.}","plainCitation":"Department of Interior, “The Department of the Interior’s Economic Contributions, FY 2011,” July 2012."},"citationItems":[{"id":397,"uris":["http://zotero.org/users/2345041/items/KGZASS3C"],"uri":["http://zotero.org/users/2345041/items/KGZASS3C"],"itemData":{"id":397,"type":"report","title":"The Department of the Interior's Economic Contributions, FY 2011","author":[{"literal":"Department of Interior"}],"issued":{"date-parts":[["2012",7]]}}}],"schema":"https://github.com/citation-style-language/schema/raw/master/csl-citation.json"} </w:instrText>
      </w:r>
      <w:r w:rsidRPr="00041027">
        <w:rPr>
          <w:iCs/>
          <w:szCs w:val="24"/>
        </w:rPr>
        <w:fldChar w:fldCharType="separate"/>
      </w:r>
      <w:r w:rsidRPr="00041027">
        <w:rPr>
          <w:iCs/>
          <w:szCs w:val="24"/>
        </w:rPr>
        <w:t>Department of Interior, “</w:t>
      </w:r>
      <w:r w:rsidR="003755A0" w:rsidRPr="00041027">
        <w:rPr>
          <w:iCs/>
          <w:szCs w:val="24"/>
        </w:rPr>
        <w:t>U.S. Department of the Interior Economic Report, FY 2017</w:t>
      </w:r>
      <w:r w:rsidRPr="00041027">
        <w:rPr>
          <w:iCs/>
          <w:szCs w:val="24"/>
        </w:rPr>
        <w:t xml:space="preserve">” </w:t>
      </w:r>
      <w:r w:rsidR="003755A0" w:rsidRPr="00041027">
        <w:rPr>
          <w:iCs/>
          <w:szCs w:val="24"/>
        </w:rPr>
        <w:t>October, 2018</w:t>
      </w:r>
      <w:r w:rsidRPr="00041027">
        <w:rPr>
          <w:iCs/>
          <w:szCs w:val="24"/>
        </w:rPr>
        <w:t>.</w:t>
      </w:r>
      <w:r w:rsidRPr="00041027">
        <w:rPr>
          <w:iCs/>
          <w:szCs w:val="24"/>
        </w:rPr>
        <w:fldChar w:fldCharType="end"/>
      </w:r>
    </w:p>
  </w:footnote>
  <w:footnote w:id="6">
    <w:p w14:paraId="151FC6D0" w14:textId="77777777" w:rsidR="00AE213F" w:rsidRPr="00041027" w:rsidRDefault="00AE213F" w:rsidP="00AE213F">
      <w:pPr>
        <w:pStyle w:val="FootnoteText"/>
      </w:pPr>
      <w:r w:rsidRPr="00390D04">
        <w:rPr>
          <w:iCs/>
          <w:szCs w:val="24"/>
          <w:vertAlign w:val="superscript"/>
        </w:rPr>
        <w:footnoteRef/>
      </w:r>
      <w:r w:rsidRPr="00041027">
        <w:rPr>
          <w:iCs/>
          <w:szCs w:val="24"/>
        </w:rPr>
        <w:t xml:space="preserve"> </w:t>
      </w:r>
      <w:r w:rsidRPr="00041027">
        <w:rPr>
          <w:iCs/>
          <w:szCs w:val="24"/>
        </w:rPr>
        <w:fldChar w:fldCharType="begin"/>
      </w:r>
      <w:r w:rsidRPr="00041027">
        <w:rPr>
          <w:iCs/>
          <w:szCs w:val="24"/>
        </w:rPr>
        <w:instrText xml:space="preserve"> ADDIN ZOTERO_ITEM CSL_CITATION {"citationID":"2075dafoju","properties":{"formattedCitation":"{\\rtf Catherine Cullinane Thomas et al., \\uc0\\u8220{}Estimating the Economic Impacts of Ecosystem Restoration\\uc0\\u8212{}Methods and Case Studies,\\uc0\\u8221{} U.S. Geological Survey Open-File Report, 2016, http://dx.doi.org/10.3133/ofr20161016.}","plainCitation":"Catherine Cullinane Thomas et al., “Estimating the Economic Impacts of Ecosystem Restoration—Methods and Case Studies,” U.S. Geological Survey Open-File Report, 2016, http://dx.doi.org/10.3133/ofr20161016."},"citationItems":[{"id":633,"uris":["http://zotero.org/users/2345041/items/QN566PQV"],"uri":["http://zotero.org/users/2345041/items/QN566PQV"],"itemData":{"id":633,"type":"report","title":"Estimating the Economic Impacts of Ecosystem Restoration—Methods and Case Studies","collection-title":"U.S. Geological Survey Open-File Report","page":"98","URL":"http://dx.doi.org/10.3133/ofr20161016","number":"2016-1016","author":[{"family":"Cullinane Thomas","given":"Catherine"},{"family":"Huber","given":"Christopher"},{"family":"Skrabis","given":"Kristin"},{"family":"Sidon","given":"Joshua"}],"issued":{"date-parts":[["2016"]]}}}],"schema":"https://github.com/citation-style-language/schema/raw/master/csl-citation.json"} </w:instrText>
      </w:r>
      <w:r w:rsidRPr="00041027">
        <w:rPr>
          <w:iCs/>
          <w:szCs w:val="24"/>
        </w:rPr>
        <w:fldChar w:fldCharType="separate"/>
      </w:r>
      <w:r w:rsidRPr="00041027">
        <w:rPr>
          <w:iCs/>
          <w:szCs w:val="24"/>
        </w:rPr>
        <w:t>Cullinane Thomas et al., “Estimating the Economic Impacts of Ecosystem Restoration—Methods and Case Studies,” U.S. Geological Survey Open-File Report, 2016, http://dx.doi.org/10.3133/ofr20161016.</w:t>
      </w:r>
      <w:r w:rsidRPr="00041027">
        <w:rPr>
          <w:iCs/>
          <w:szCs w:val="24"/>
        </w:rPr>
        <w:fldChar w:fldCharType="end"/>
      </w:r>
    </w:p>
  </w:footnote>
  <w:footnote w:id="7">
    <w:p w14:paraId="7F1ADCD8" w14:textId="77777777" w:rsidR="001E7900" w:rsidRPr="00041027" w:rsidRDefault="001E7900">
      <w:pPr>
        <w:pStyle w:val="FootnoteText"/>
        <w:rPr>
          <w:i/>
          <w:iCs/>
          <w:szCs w:val="24"/>
        </w:rPr>
      </w:pPr>
      <w:r w:rsidRPr="00390D04">
        <w:rPr>
          <w:iCs/>
          <w:szCs w:val="24"/>
          <w:vertAlign w:val="superscript"/>
        </w:rPr>
        <w:footnoteRef/>
      </w:r>
      <w:r w:rsidRPr="00041027">
        <w:rPr>
          <w:iCs/>
          <w:szCs w:val="24"/>
        </w:rPr>
        <w:t xml:space="preserve"> Cullinane Thomas et al., Economic impacts of restoration in national parks. Natural Resource Report. NPS/NRSS/EQD/NRR—2018/1860, 2019.</w:t>
      </w:r>
    </w:p>
  </w:footnote>
  <w:footnote w:id="8">
    <w:p w14:paraId="44974F04" w14:textId="77777777" w:rsidR="001E7900" w:rsidRPr="00041027" w:rsidRDefault="001E7900">
      <w:pPr>
        <w:pStyle w:val="FootnoteText"/>
      </w:pPr>
      <w:r w:rsidRPr="00390D04">
        <w:rPr>
          <w:iCs/>
          <w:szCs w:val="24"/>
          <w:vertAlign w:val="superscript"/>
        </w:rPr>
        <w:footnoteRef/>
      </w:r>
      <w:r w:rsidRPr="00041027">
        <w:rPr>
          <w:iCs/>
          <w:szCs w:val="24"/>
        </w:rPr>
        <w:t xml:space="preserve"> Huber et al., Economic impacts of wildfire risk reduction and source water protection projects in the Rio Grande river basin, U.S. Geological Survey Open-File Report, forthcoming.</w:t>
      </w:r>
      <w:r w:rsidRPr="00041027">
        <w:rPr>
          <w:sz w:val="24"/>
          <w:szCs w:val="24"/>
        </w:rPr>
        <w:t xml:space="preserve"> </w:t>
      </w:r>
      <w:r w:rsidRPr="00041027">
        <w:t xml:space="preserve"> </w:t>
      </w:r>
    </w:p>
  </w:footnote>
  <w:footnote w:id="9">
    <w:p w14:paraId="7BBF32BA" w14:textId="77777777" w:rsidR="008077F1" w:rsidRDefault="008077F1">
      <w:pPr>
        <w:pStyle w:val="FootnoteText"/>
      </w:pPr>
      <w:r w:rsidRPr="00041027">
        <w:rPr>
          <w:rStyle w:val="FootnoteReference"/>
        </w:rPr>
        <w:footnoteRef/>
      </w:r>
      <w:r w:rsidRPr="00041027">
        <w:t xml:space="preserve"> Huber et al., </w:t>
      </w:r>
      <w:r>
        <w:t>Economic impacts of the Wyoming Landscape Conservation Initiative</w:t>
      </w:r>
      <w:r w:rsidRPr="00041027">
        <w:t xml:space="preserve">, </w:t>
      </w:r>
      <w:r w:rsidRPr="00041027">
        <w:rPr>
          <w:iCs/>
          <w:szCs w:val="24"/>
        </w:rPr>
        <w:t>U.S. Geological Survey Open-File Report, forthcoming.</w:t>
      </w:r>
      <w:r>
        <w:rPr>
          <w:sz w:val="24"/>
          <w:szCs w:val="24"/>
        </w:rPr>
        <w:t xml:space="preserve"> </w:t>
      </w:r>
      <w:r>
        <w:t xml:space="preserve"> </w:t>
      </w:r>
    </w:p>
  </w:footnote>
  <w:footnote w:id="10">
    <w:p w14:paraId="710A0772"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{"citationID":"6w1qSgTJ","properties":{"formattedCitation":"{\\rtf \\uc0\\u8220{}Restoration Returns: The Contribution of Partners for Fish and Wildlife Program and Coastal Program Restoration Projects to Local U.S. Economies\\uc0\\u8221{} (U.S. Fish &amp; Wildlife Service, February 2014), http://www.fws.gov/home/pdfs/restoration-returns.pdf.}","plainCitation":"“Restoration Returns: The Contribution of Partners for Fish and Wildlife Program and Coastal Program Restoration Projects to Local U.S. Economies” (U.S. Fish &amp; Wildlife Service, February 2014), http://www.fws.gov/home/pdfs/restoration-returns.pdf."},"citationItems":[{"id":385,"uris":["http://zotero.org/users/2345041/items/6ARMZK8E"],"uri":["http://zotero.org/users/2345041/items/6ARMZK8E"],"itemData":{"id":385,"type":"report","title":"Restoration Returns: The Contribution of Partners for Fish and Wildlife Program and Coastal Program Restoration Projects to Local U.S. Economies","publisher":"U.S. Fish &amp; Wildlife Service","URL":"http://www.fws.gov/home/pdfs/restoration-returns.pdf","author":[{"family":"Laughland","given":"Drew"},{"family":"Phu","given":"Linh"},{"family":"Milmoe","given":"Joe"}],"issued":{"date-parts":[["2014",2]]}},"suppress-author":true}],"schema":"https://github.com/citation-style-language/schema/raw/master/csl-citation.json"} </w:instrText>
      </w:r>
      <w:r w:rsidRPr="00CC627F">
        <w:rPr>
          <w:sz w:val="24"/>
          <w:szCs w:val="24"/>
        </w:rPr>
        <w:fldChar w:fldCharType="separate"/>
      </w:r>
      <w:r w:rsidRPr="002C6701">
        <w:rPr>
          <w:sz w:val="24"/>
          <w:szCs w:val="24"/>
        </w:rPr>
        <w:t>“Restoration Returns: The Contribution of Partners for Fish and Wildlife Program and Coastal Program Restoration Projects to Local U.S. Economies” (U.S. Fish &amp; Wildlife Service, February 2014), http://www.fws.gov/home/pdfs/restoration-returns.pdf.</w:t>
      </w:r>
      <w:r w:rsidRPr="00CC627F">
        <w:rPr>
          <w:sz w:val="24"/>
          <w:szCs w:val="24"/>
        </w:rPr>
        <w:fldChar w:fldCharType="end"/>
      </w:r>
    </w:p>
  </w:footnote>
  <w:footnote w:id="11">
    <w:p w14:paraId="28CCA69D"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{"citationID":"pdPTgfw8","properties":{"formattedCitation":"{\\rtf \\uc0\\u8220{}Economic Impacts of Southwestern National Forest Fuels Reductions,\\uc0\\u8221{} {\\i{}Journal of Forestry} 106, no. 6 (2008): 311\\uc0\\u8211{}16.}","plainCitation":"“Economic Impacts of Southwestern National Forest Fuels Reductions,” Journal of Forestry 106, no. 6 (2008): 311–16."},"citationItems":[{"id":382,"uris":["http://zotero.org/users/2345041/items/RM6W9HUZ"],"uri":["http://zotero.org/users/2345041/items/RM6W9HUZ"],"itemData":{"id":382,"type":"article-journal","title":"Economic impacts of southwestern national forest fuels reductions","container-title":"Journal of Forestry","page":"311–316","volume":"106","issue":"6","source":"Google Scholar","author":[{"family":"Hjerpe","given":"Evan E."},{"family":"Kim","given":"Yeon-Su"}],"issued":{"date-parts":[["2008"]]}},"suppress-author":true}],"schema":"https://github.com/citation-style-language/schema/raw/master/csl-citation.json"} </w:instrText>
      </w:r>
      <w:r w:rsidRPr="00CC627F">
        <w:rPr>
          <w:sz w:val="24"/>
          <w:szCs w:val="24"/>
        </w:rPr>
        <w:fldChar w:fldCharType="separate"/>
      </w:r>
      <w:r w:rsidRPr="002C6701">
        <w:rPr>
          <w:sz w:val="24"/>
          <w:szCs w:val="24"/>
        </w:rPr>
        <w:t xml:space="preserve">“Economic Impacts of Southwestern National Forest Fuels Reductions,” </w:t>
      </w:r>
      <w:r w:rsidRPr="002C6701">
        <w:rPr>
          <w:i/>
          <w:iCs/>
          <w:sz w:val="24"/>
          <w:szCs w:val="24"/>
        </w:rPr>
        <w:t>Journal of Forestry</w:t>
      </w:r>
      <w:r w:rsidRPr="002C6701">
        <w:rPr>
          <w:sz w:val="24"/>
          <w:szCs w:val="24"/>
        </w:rPr>
        <w:t xml:space="preserve"> 106, no. 6 (2008): 311–16.</w:t>
      </w:r>
      <w:r w:rsidRPr="00CC627F">
        <w:rPr>
          <w:sz w:val="24"/>
          <w:szCs w:val="24"/>
        </w:rPr>
        <w:fldChar w:fldCharType="end"/>
      </w:r>
    </w:p>
  </w:footnote>
  <w:footnote w:id="12">
    <w:p w14:paraId="4E2094CC"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{"citationID":"dKPTNmBV","properties":{"formattedCitation":"{\\rtf \\uc0\\u8220{}Ecological Restoration as Economic Stimulus: A Regional Analysis\\uc0\\u8221{} (Northern Arizona University Ecological Restoration Institute, April 2010).}","plainCitation":"“Ecological Restoration as Economic Stimulus: A Regional Analysis” (Northern Arizona University Ecological Restoration Institute, April 2010)."},"citationItems":[{"id":387,"uris":["http://zotero.org/users/2345041/items/E3TJDTUQ"],"uri":["http://zotero.org/users/2345041/items/E3TJDTUQ"],"itemData":{"id":387,"type":"report","title":"Ecological Restoration as Economic Stimulus: A Regional Analysis","publisher":"Northern Arizona University Ecological Restoration Institute","author":[{"family":"Kim","given":"Yeon-Su"}],"issued":{"date-parts":[["2010",4]]}},"suppress-author":true}],"schema":"https://github.com/citation-style-language/schema/raw/master/csl-citation.json"} </w:instrText>
      </w:r>
      <w:r w:rsidRPr="00CC627F">
        <w:rPr>
          <w:sz w:val="24"/>
          <w:szCs w:val="24"/>
        </w:rPr>
        <w:fldChar w:fldCharType="separate"/>
      </w:r>
      <w:r w:rsidRPr="002C6701">
        <w:rPr>
          <w:sz w:val="24"/>
          <w:szCs w:val="24"/>
        </w:rPr>
        <w:t>“Ecological Restoration as Economic Stimulus: A Regional Analysis” (Northern Arizona University Ecological Restoration Institute, April 2010).</w:t>
      </w:r>
      <w:r w:rsidRPr="00CC627F">
        <w:rPr>
          <w:sz w:val="24"/>
          <w:szCs w:val="24"/>
        </w:rPr>
        <w:fldChar w:fldCharType="end"/>
      </w:r>
    </w:p>
  </w:footnote>
  <w:footnote w:id="13">
    <w:p w14:paraId="52F9460D"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{"citationID":"lEREkVHE","properties":{"formattedCitation":"{\\rtf \\uc0\\u8220{}Economic Impact Analysis of the Collaborative Forest Landscape Restoration Program\\uc0\\u8221{} (Florida, 2013).}","plainCitation":"“Economic Impact Analysis of the Collaborative Forest Landscape Restoration Program” (Florida, 2013)."},"citationItems":[{"id":391,"uris":["http://zotero.org/users/2345041/items/3GDSCW9U"],"uri":["http://zotero.org/users/2345041/items/3GDSCW9U"],"itemData":{"id":391,"type":"report","title":"Economic Impact Analysis of the Collaborative Forest Landscape Restoration Program","publisher-place":"Florida","event-place":"Florida","author":[{"literal":"Southwick Associates and Responsive Management"}],"issued":{"date-parts":[["2013"]]}},"suppress-author":true}],"schema":"https://github.com/citation-style-language/schema/raw/master/csl-citation.json"} </w:instrText>
      </w:r>
      <w:r w:rsidRPr="00CC627F">
        <w:rPr>
          <w:sz w:val="24"/>
          <w:szCs w:val="24"/>
        </w:rPr>
        <w:fldChar w:fldCharType="separate"/>
      </w:r>
      <w:r w:rsidRPr="002C6701">
        <w:rPr>
          <w:sz w:val="24"/>
          <w:szCs w:val="24"/>
        </w:rPr>
        <w:t>“Economic Impact Analysis of the Collaborative Forest Landscape Restoration Program” (Florida, 2013).</w:t>
      </w:r>
      <w:r w:rsidRPr="00CC627F">
        <w:rPr>
          <w:sz w:val="24"/>
          <w:szCs w:val="24"/>
        </w:rPr>
        <w:fldChar w:fldCharType="end"/>
      </w:r>
    </w:p>
  </w:footnote>
  <w:footnote w:id="14">
    <w:p w14:paraId="400148CC"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{"citationID":"hed1iAtS","properties":{"formattedCitation":"{\\rtf \\uc0\\u8220{}Collaborative Forest Landscape Restoration Program 5-Year Report, FY 2010-2014\\uc0\\u8221{} (Forest Service, April 2015), http://www.fs.fed.us/restoration/documents/cflrp/CFLRP_5-YearReport.pdf.}","plainCitation":"“Collaborative Forest Landscape Restoration Program 5-Year Report, FY 2010-2014” (Forest Service, April 2015), http://www.fs.fed.us/restoration/documents/cflrp/CFLRP_5-YearReport.pdf."},"citationItems":[{"id":477,"uris":["http://zotero.org/users/2345041/items/DIQT9TTR"],"uri":["http://zotero.org/users/2345041/items/DIQT9TTR"],"itemData":{"id":477,"type":"report","title":"Collaborative Forest Landscape Restoration Program 5-Year Report, FY 2010-2014","publisher":"Forest Service","URL":"http://www.fs.fed.us/restoration/documents/cflrp/CFLRP_5-YearReport.pdf","number":"FS-1047","author":[{"literal":"United States Department of Agriculture"}],"issued":{"date-parts":[["2015",4]]}},"suppress-author":true}],"schema":"https://github.com/citation-style-language/schema/raw/master/csl-citation.json"} </w:instrText>
      </w:r>
      <w:r w:rsidRPr="00CC627F">
        <w:rPr>
          <w:sz w:val="24"/>
          <w:szCs w:val="24"/>
        </w:rPr>
        <w:fldChar w:fldCharType="separate"/>
      </w:r>
      <w:r w:rsidRPr="002C6701">
        <w:rPr>
          <w:sz w:val="24"/>
          <w:szCs w:val="24"/>
        </w:rPr>
        <w:t>“Collaborative Forest Landscape Restoration Program 5-Year Report, FY 2010-2014” (Forest Service, April 2015), http://www.fs.fed.us/restoration/documents/cflrp/CFLRP_5-YearReport.pdf.</w:t>
      </w:r>
      <w:r w:rsidRPr="00CC627F">
        <w:rPr>
          <w:sz w:val="24"/>
          <w:szCs w:val="24"/>
        </w:rPr>
        <w:fldChar w:fldCharType="end"/>
      </w:r>
    </w:p>
  </w:footnote>
  <w:footnote w:id="15">
    <w:p w14:paraId="27C13AE0" w14:textId="16BA7065" w:rsidR="00EC4FCD" w:rsidRPr="00CC3F62" w:rsidRDefault="009D2272" w:rsidP="009D2272">
      <w:pPr>
        <w:pStyle w:val="FootnoteText"/>
        <w:rPr>
          <w:sz w:val="24"/>
          <w:szCs w:val="24"/>
        </w:rPr>
      </w:pPr>
      <w:r>
        <w:rPr>
          <w:rStyle w:val="FootnoteReference"/>
        </w:rPr>
        <w:footnoteRef/>
      </w:r>
      <w:r w:rsidRPr="00CC3F62">
        <w:rPr>
          <w:sz w:val="24"/>
          <w:szCs w:val="24"/>
        </w:rPr>
        <w:t xml:space="preserve"> </w:t>
      </w:r>
      <w:r w:rsidR="006F6832">
        <w:rPr>
          <w:sz w:val="24"/>
          <w:szCs w:val="24"/>
        </w:rPr>
        <w:t xml:space="preserve">Peter </w:t>
      </w:r>
      <w:r w:rsidR="000A1A62" w:rsidRPr="00CC3F62">
        <w:rPr>
          <w:sz w:val="24"/>
          <w:szCs w:val="24"/>
        </w:rPr>
        <w:t>Edward</w:t>
      </w:r>
      <w:r w:rsidR="00C5117D" w:rsidRPr="00CC3F62">
        <w:rPr>
          <w:sz w:val="24"/>
          <w:szCs w:val="24"/>
        </w:rPr>
        <w:t xml:space="preserve">s, </w:t>
      </w:r>
      <w:r w:rsidR="006F6832">
        <w:rPr>
          <w:sz w:val="24"/>
          <w:szCs w:val="24"/>
        </w:rPr>
        <w:t xml:space="preserve">Ariana </w:t>
      </w:r>
      <w:r w:rsidR="00C5117D" w:rsidRPr="00CC3F62">
        <w:rPr>
          <w:sz w:val="24"/>
          <w:szCs w:val="24"/>
        </w:rPr>
        <w:t xml:space="preserve">Sutton-Grier, and </w:t>
      </w:r>
      <w:r w:rsidR="009F0178">
        <w:rPr>
          <w:sz w:val="24"/>
          <w:szCs w:val="24"/>
        </w:rPr>
        <w:t xml:space="preserve">G.E. </w:t>
      </w:r>
      <w:r w:rsidR="00C5117D" w:rsidRPr="00CC3F62">
        <w:rPr>
          <w:sz w:val="24"/>
          <w:szCs w:val="24"/>
        </w:rPr>
        <w:t>Coyle</w:t>
      </w:r>
      <w:r w:rsidR="00C5117D">
        <w:rPr>
          <w:sz w:val="24"/>
          <w:szCs w:val="24"/>
        </w:rPr>
        <w:t xml:space="preserve">, </w:t>
      </w:r>
      <w:r w:rsidRPr="00CC627F">
        <w:rPr>
          <w:sz w:val="24"/>
          <w:szCs w:val="24"/>
        </w:rPr>
        <w:fldChar w:fldCharType="begin"/>
      </w:r>
      <w:r>
        <w:rPr>
          <w:sz w:val="24"/>
          <w:szCs w:val="24"/>
        </w:rPr>
        <w:instrText xml:space="preserve"> ADDIN ZOTERO_ITEM CSL_CITATION {"citationID":"hojHUGsS","properties":{"formattedCitation":"{\\rtf \\uc0\\u8220{}Investing in Nature: Creating Jobs and Restoring Coastal Habitats\\uc0\\u8221{} (National Oceanic and Atmospheric Administration, April 2010), http://www.habitat.noaa.gov/pdf/tnc_noaa_arra_restoration_summary.pdf.}","plainCitation":"“Investing in Nature: Creating Jobs and Restoring Coastal Habitats” (National Oceanic and Atmospheric Administration, April 2010), http://www.habitat.noaa.gov/pdf/tnc_noaa_arra_restoration_summary.pdf."},"citationItems":[{"id":395,"uris":["http://zotero.org/users/2345041/items/KPA2HIJC"],"uri":["http://zotero.org/users/2345041/items/KPA2HIJC"],"itemData":{"id":395,"type":"report","title":"Investing in Nature: Creating Jobs and Restoring Coastal Habitats","publisher":"National Oceanic and Atmospheric Administration","URL":"http://www.habitat.noaa.gov/pdf/tnc_noaa_arra_restoration_summary.pdf","author":[{"literal":"The Nature Conservancy"}],"issued":{"date-parts":[["2010",4]]}},"suppress-author":true}],"schema":"https://github.com/citation-style-language/schema/raw/master/csl-citation.json"} </w:instrText>
      </w:r>
      <w:r w:rsidRPr="00CC627F">
        <w:rPr>
          <w:sz w:val="24"/>
          <w:szCs w:val="24"/>
        </w:rPr>
        <w:fldChar w:fldCharType="separate"/>
      </w:r>
      <w:r w:rsidRPr="002C6701">
        <w:rPr>
          <w:sz w:val="24"/>
          <w:szCs w:val="24"/>
        </w:rPr>
        <w:t xml:space="preserve">“Investing in Nature: </w:t>
      </w:r>
      <w:r w:rsidR="00E77082">
        <w:rPr>
          <w:sz w:val="24"/>
          <w:szCs w:val="24"/>
        </w:rPr>
        <w:t>Restoring Coastal Habitat</w:t>
      </w:r>
      <w:r w:rsidR="006A6C32">
        <w:rPr>
          <w:sz w:val="24"/>
          <w:szCs w:val="24"/>
        </w:rPr>
        <w:t xml:space="preserve"> Blue Infrastructure and Green Job Creation</w:t>
      </w:r>
      <w:r w:rsidRPr="002C6701">
        <w:rPr>
          <w:sz w:val="24"/>
          <w:szCs w:val="24"/>
        </w:rPr>
        <w:t>” (</w:t>
      </w:r>
      <w:r w:rsidR="00C71B2D" w:rsidRPr="00C71B2D">
        <w:rPr>
          <w:sz w:val="24"/>
          <w:szCs w:val="24"/>
        </w:rPr>
        <w:t>Marine Policy. 38:65-71.</w:t>
      </w:r>
      <w:r w:rsidR="002151CE">
        <w:rPr>
          <w:sz w:val="24"/>
          <w:szCs w:val="24"/>
        </w:rPr>
        <w:t xml:space="preserve"> </w:t>
      </w:r>
      <w:r w:rsidR="00C71B2D" w:rsidRPr="00C71B2D">
        <w:rPr>
          <w:sz w:val="24"/>
          <w:szCs w:val="24"/>
        </w:rPr>
        <w:t>DOI:10.1016/j.marpol.2012.05.020</w:t>
      </w:r>
      <w:r w:rsidRPr="002C6701">
        <w:rPr>
          <w:sz w:val="24"/>
          <w:szCs w:val="24"/>
        </w:rPr>
        <w:t xml:space="preserve">), </w:t>
      </w:r>
      <w:r w:rsidR="00C71B2D" w:rsidRPr="00C71B2D">
        <w:rPr>
          <w:sz w:val="24"/>
          <w:szCs w:val="24"/>
        </w:rPr>
        <w:t>https://www.researchgate.net/publication/257163033_Investing_in_nature_Restoring_coastal_habitat_blue_infrastructure_and_green_job_creation</w:t>
      </w:r>
      <w:r w:rsidRPr="00CC627F">
        <w:rPr>
          <w:sz w:val="24"/>
          <w:szCs w:val="24"/>
        </w:rPr>
        <w:fldChar w:fldCharType="end"/>
      </w:r>
      <w:r w:rsidR="00EC4FCD">
        <w:rPr>
          <w:sz w:val="24"/>
          <w:szCs w:val="24"/>
        </w:rPr>
        <w:t>.</w:t>
      </w:r>
    </w:p>
  </w:footnote>
  <w:footnote w:id="16">
    <w:p w14:paraId="58BA6F29"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{"citationID":"0y71UWAt","properties":{"formattedCitation":"{\\rtf Barbara Wagner and Robin Shropshire, \\uc0\\u8220{}As Estimation of Montana\\uc0\\u8217{}s Restoration Economy\\uc0\\u8221{} (Montana Department of Labor and Industry, June 2009), http://www.ourfactsyourfuture.org/media/9321/restoration.pdf; Headwaters Economics, \\uc0\\u8220{}The Economic Impacts of Restoration: Custer and Lemhi Counties, Idaho,\\uc0\\u8221{} April 2014, http://headwaterseconomics.org/wphw/wp-content/uploads/Idaho_Restoration_Report.pdf; Industrial Economics, \\uc0\\u8220{}Economic Impacts of Ecological Restoration in Massachusetts\\uc0\\u8221{} (Massachusetts Department of Fish and Game, March 2012), http://www.mass.gov/eea/docs/dfg/der/pdf/economic-impacts-ma-der.pdf; Max Nielsen-Pincus and Cassandra Moseley, {\\i{}Economic and Employment Impacts of Forest and Watershed Restoration in Oregon} (Ecosystem Workforce Program, Institute for a Sustainable Environment, University of Oregon, 2010), http://www.oregoncoastalliance.org/documents_13/Restoration_Economy_Study_2010.pdf; Todd BenDor et al., \\uc0\\u8220{}Estimating the Size and Impact of the Ecological Restoration Economy,\\uc0\\u8221{} {\\i{}PLoS ONE} 10, no. 6 (June 17, 2015): e0128339, doi:10.1371/journal.pone.0128339.}","plainCitation":"Barbara Wagner and Robin Shropshire, “As Estimation of Montana’s Restoration Economy” (Montana Department of Labor and Industry, June 2009), http://www.ourfactsyourfuture.org/media/9321/restoration.pdf; Headwaters Economics, “The Economic Impacts of Restoration: Custer and Lemhi Counties, Idaho,” April 2014, http://headwaterseconomics.org/wphw/wp-content/uploads/Idaho_Restoration_Report.pdf; Industrial Economics, “Economic Impacts of Ecological Restoration in Massachusetts” (Massachusetts Department of Fish and Game, March 2012), http://www.mass.gov/eea/docs/dfg/der/pdf/economic-impacts-ma-der.pdf; Max Nielsen-Pincus and Cassandra Moseley, Economic and Employment Impacts of Forest and Watershed Restoration in Oregon (Ecosystem Workforce Program, Institute for a Sustainable Environment, University of Oregon, 2010), http://www.oregoncoastalliance.org/documents_13/Restoration_Economy_Study_2010.pdf; Todd BenDor et al., “Estimating the Size and Impact of the Ecological Restoration Economy,” PLoS ONE 10, no. 6 (June 17, 2015): e0128339, doi:10.1371/journal.pone.0128339."},"citationItems":[{"id":393,"uris":["http://zotero.org/users/2345041/items/NC353JQA"],"uri":["http://zotero.org/users/2345041/items/NC353JQA"],"itemData":{"id":393,"type":"report","title":"As Estimation of Montana's Restoration Economy","publisher":"Montana Department of Labor and Industry","URL":"http://www.ourfactsyourfuture.org/media/9321/restoration.pdf","author":[{"family":"Wagner","given":"Barbara"},{"family":"Shropshire","given":"Robin"}],"issued":{"date-parts":[["2009",6]]}}},{"id":392,"uris":["http://zotero.org/users/2345041/items/XBZ5EQBJ"],"uri":["http://zotero.org/users/2345041/items/XBZ5EQBJ"],"itemData":{"id":392,"type":"report","title":"The Economic Impacts of Restoration: Custer and Lemhi Counties, Idaho","URL":"http://headwaterseconomics.org/wphw/wp-content/uploads/Idaho_Restoration_Report.pdf","author":[{"literal":"Headwaters Economics"}],"issued":{"date-parts":[["2014",4]]}}},{"id":394,"uris":["http://zotero.org/users/2345041/items/RU2QMTK5"],"uri":["http://zotero.org/users/2345041/items/RU2QMTK5"],"itemData":{"id":394,"type":"report","title":"Economic Impacts of Ecological Restoration in Massachusetts","publisher":"Massachusetts Department of Fish and Game","URL":"http://www.mass.gov/eea/docs/dfg/der/pdf/economic-impacts-ma-der.pdf","author":[{"literal":"Industrial Economics"}],"issued":{"date-parts":[["2012",3]]}}},{"id":355,"uris":["http://zotero.org/users/2345041/items/BS374P2J"],"uri":["http://zotero.org/users/2345041/items/BS374P2J"],"itemData":{"id":355,"type":"book","title":"Economic and employment impacts of forest and watershed restoration in Oregon","publisher":"Ecosystem Workforce Program, Institute for a Sustainable Environment, University of Oregon","source":"Google Scholar","URL":"http://www.oregoncoastalliance.org/documents_13/Restoration_Economy_Study_2010.pdf","author":[{"family":"Nielsen-Pincus","given":"Max"},{"family":"Moseley","given":"Cassandra"}],"issued":{"date-parts":[["2010"]]},"accessed":{"date-parts":[["2015",7,9]]}}},{"id":158,"uris":["http://zotero.org/users/2345041/items/945ERA62"],"uri":["http://zotero.org/users/2345041/items/945ERA62"],"itemData":{"id":158,"type":"article-journal","title":"Estimating the Size and Impact of the Ecological Restoration Economy","container-title":"PLoS ONE","page":"e0128339","volume":"10","issue":"6","source":"PLoS Journals","abstract":"Domestic public debate continues over the economic impacts of environmental regulations that require environmental restoration. This debate has occurred in the absence of broad-scale empirical research on economic output and employment resulting from environmental restoration, restoration-related conservation, and mitigation actions — the activities that are part of what we term the “restoration economy.” In this article, we provide a high-level accounting of the size and scope of the restoration economy in terms of employment, value added, and overall economic output on a national scale. We conducted a national survey of businesses that participate in restoration work in order to estimate the total sales and number of jobs directly associated with the restoration economy, and to provide a profile of this nascent sector in terms of type of restoration work, industrial classification, workforce needs, and growth potential. We use survey results as inputs into a national input-output model (IMPLAN 3.1) in order to estimate the indirect and induced economic impacts of restoration activities. Based on this analysis we conclude that the domestic ecological restoration sector directly employs ~ 126,000 workers and generates ~ $9.5 billion in economic output (sales) annually. This activity supports an additional 95,000 jobs and $15 billion in economic output through indirect (business-to-business) linkages and increased household spending.","DOI":"10.1371/journal.pone.0128339","journalAbbreviation":"PLoS ONE","author":[{"family":"BenDor","given":"Todd"},{"family":"Lester","given":"T. William"},{"family":"Livengood","given":"Avery"},{"family":"Davis","given":"Adam"},{"family":"Yonavjak","given":"Logan"}],"issued":{"date-parts":[["2015",6,17]]}}}],"schema":"https://github.com/citation-style-language/schema/raw/master/csl-citation.json"} </w:instrText>
      </w:r>
      <w:r w:rsidRPr="00CC627F">
        <w:rPr>
          <w:sz w:val="24"/>
          <w:szCs w:val="24"/>
        </w:rPr>
        <w:fldChar w:fldCharType="separate"/>
      </w:r>
      <w:r w:rsidRPr="002C6701">
        <w:rPr>
          <w:sz w:val="24"/>
          <w:szCs w:val="24"/>
        </w:rPr>
        <w:t xml:space="preserve">Barbara Wagner and Robin Shropshire, “As Estimation of Montana’s Restoration Economy” (Montana Department of Labor and Industry, June 2009), http://www.ourfactsyourfuture.org/media/9321/restoration.pdf; Headwaters Economics, “The Economic Impacts of Restoration: Custer and Lemhi Counties, Idaho,” April 2014, http://headwaterseconomics.org/wphw/wp-content/uploads/Idaho_Restoration_Report.pdf; Industrial Economics, “Economic Impacts of Ecological Restoration in Massachusetts” (Massachusetts Department of Fish and Game, March 2012), http://www.mass.gov/eea/docs/dfg/der/pdf/economic-impacts-ma-der.pdf; Max Nielsen-Pincus and Cassandra Moseley, </w:t>
      </w:r>
      <w:r w:rsidRPr="002C6701">
        <w:rPr>
          <w:i/>
          <w:iCs/>
          <w:sz w:val="24"/>
          <w:szCs w:val="24"/>
        </w:rPr>
        <w:t>Economic and Employment Impacts of Forest and Watershed Restoration in Oregon</w:t>
      </w:r>
      <w:r w:rsidRPr="002C6701">
        <w:rPr>
          <w:sz w:val="24"/>
          <w:szCs w:val="24"/>
        </w:rPr>
        <w:t xml:space="preserve"> (Ecosystem Workforce Program, Institute for a Sustainable Environment, University of Oregon, 2010), http://www.oregoncoastalliance.org/documents_13/Restoration_Economy_Study_2010.pdf; Todd BenDor et al., “Estimating the Size and Impact of the Ecological Restoration Economy,” </w:t>
      </w:r>
      <w:r w:rsidRPr="002C6701">
        <w:rPr>
          <w:i/>
          <w:iCs/>
          <w:sz w:val="24"/>
          <w:szCs w:val="24"/>
        </w:rPr>
        <w:t>PLoS ONE</w:t>
      </w:r>
      <w:r w:rsidRPr="002C6701">
        <w:rPr>
          <w:sz w:val="24"/>
          <w:szCs w:val="24"/>
        </w:rPr>
        <w:t xml:space="preserve"> 10, no. 6 (June 17, 2015): e0128339, doi:10.1371/journal.pone.0128339.</w:t>
      </w:r>
      <w:r w:rsidRPr="00CC627F">
        <w:rPr>
          <w:sz w:val="24"/>
          <w:szCs w:val="24"/>
        </w:rPr>
        <w:fldChar w:fldCharType="end"/>
      </w:r>
    </w:p>
  </w:footnote>
  <w:footnote w:id="17">
    <w:p w14:paraId="034766F1"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{"citationID":"12evqsg1gv","properties":{"formattedCitation":"{\\rtf Linwood Pendleton, \\uc0\\u8220{}Measuring and Monitoring the Economic Effects of Habitat restoration\\uc0\\u8212{}A Summary of a NOAA Blue Ribbon Panel\\uc0\\u8221{} (Duke University, Nicholas Institute for Environmental Policy Solutions, 2010), http://www.era.noaa.gov/pdfs/NOAA%20RAE%20BRP%20Estuary%20Economics_FINAL.pdf.}","plainCitation":"Linwood Pendleton, “Measuring and Monitoring the Economic Effects of Habitat restoration—A Summary of a NOAA Blue Ribbon Panel” (Duke University, Nicholas Institute for Environmental Policy Solutions, 2010), http://www.era.noaa.gov/pdfs/NOAA%20RAE%20BRP%20Estuary%20Economics_FINAL.pdf."},"citationItems":[{"id":636,"uris":["http://zotero.org/users/2345041/items/PZV4TNUU"],"uri":["http://zotero.org/users/2345041/items/PZV4TNUU"],"itemData":{"id":636,"type":"report","title":"Measuring and monitoring the economic effects of habitat restoration—A summary of a NOAA Blue Ribbon Panel","publisher":"Duke University, Nicholas Institute for Environmental Policy Solutions","page":"60","URL":"http://www.era.noaa.gov/pdfs/NOAA%20RAE%20BRP%20Estuary%20Economics_FINAL.pdf.","author":[{"family":"Pendleton","given":"Linwood"}],"issued":{"date-parts":[["2010"]]}}}],"schema":"https://github.com/citation-style-language/schema/raw/master/csl-citation.json"} </w:instrText>
      </w:r>
      <w:r w:rsidRPr="00CC627F">
        <w:rPr>
          <w:sz w:val="24"/>
          <w:szCs w:val="24"/>
        </w:rPr>
        <w:fldChar w:fldCharType="separate"/>
      </w:r>
      <w:r w:rsidRPr="002C6701">
        <w:rPr>
          <w:sz w:val="24"/>
          <w:szCs w:val="24"/>
        </w:rPr>
        <w:t>Linwood Pendleton, “Measuring and Monitoring the Economic Effects of Habitat restoration—A Summary of a NOAA Blue Ribbon Panel” (Duke University, Nicholas Institute for Environmental Policy Solutions, 2010), http://www.era.noaa.gov/pdfs/NOAA%20RAE%20BRP%20Estuary%20Economics_FINAL.pdf.</w:t>
      </w:r>
      <w:r w:rsidRPr="00CC627F">
        <w:rPr>
          <w:sz w:val="24"/>
          <w:szCs w:val="24"/>
        </w:rPr>
        <w:fldChar w:fldCharType="end"/>
      </w:r>
    </w:p>
  </w:footnote>
  <w:footnote w:id="18">
    <w:p w14:paraId="6544E65E" w14:textId="77777777" w:rsidR="009D2272" w:rsidRPr="00390D04" w:rsidRDefault="009D2272" w:rsidP="009D2272">
      <w:pPr>
        <w:pStyle w:val="FootnoteText"/>
        <w:rPr>
          <w:sz w:val="24"/>
          <w:szCs w:val="24"/>
        </w:rPr>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{"citationID":"smivn6grq","properties":{"formattedCitation":"{\\rtf Bureau of Labor Statistics, \\uc0\\u8220{}Employer Costs for Employee Compensation - June 2016,\\uc0\\u8221{} News Release USDL-16-1808, 2016.}","plainCitation":"Bureau of Labor Statistics, “Employer Costs for Employee Compensation - June 2016,” News Release USDL-16-1808, 2016."},"citationItems":[{"id":638,"uris":["http://zotero.org/users/2345041/items/N8KBMIJF"],"uri":["http://zotero.org/users/2345041/items/N8KBMIJF"],"itemData":{"id":638,"type":"report","title":"Employer Costs for Employee Compensation - June 2016","collection-title":"News release USDL-16-1808","author":[{"literal":"Bureau of Labor Statistics"}],"issued":{"date-parts":[["2016"]]}}}],"schema":"https://github.com/citation-style-language/schema/raw/master/csl-citation.json"} </w:instrText>
      </w:r>
      <w:r w:rsidRPr="00CC627F">
        <w:rPr>
          <w:sz w:val="24"/>
          <w:szCs w:val="24"/>
        </w:rPr>
        <w:fldChar w:fldCharType="separate"/>
      </w:r>
      <w:r w:rsidRPr="002C6701">
        <w:rPr>
          <w:sz w:val="24"/>
          <w:szCs w:val="24"/>
        </w:rPr>
        <w:t xml:space="preserve">Bureau of Labor Statistics, “Employer Costs for Employee Compensation - June </w:t>
      </w:r>
      <w:r w:rsidR="00C936CE">
        <w:rPr>
          <w:sz w:val="24"/>
          <w:szCs w:val="24"/>
        </w:rPr>
        <w:t>2019</w:t>
      </w:r>
      <w:r w:rsidRPr="002C6701">
        <w:rPr>
          <w:sz w:val="24"/>
          <w:szCs w:val="24"/>
        </w:rPr>
        <w:t>,” News Release</w:t>
      </w:r>
      <w:r w:rsidR="008B54E9">
        <w:rPr>
          <w:sz w:val="24"/>
          <w:szCs w:val="24"/>
        </w:rPr>
        <w:t xml:space="preserve"> </w:t>
      </w:r>
      <w:r w:rsidR="008B54E9" w:rsidRPr="008B54E9">
        <w:rPr>
          <w:sz w:val="24"/>
          <w:szCs w:val="24"/>
        </w:rPr>
        <w:t>USDL-19-1002</w:t>
      </w:r>
      <w:r w:rsidRPr="002C6701">
        <w:rPr>
          <w:sz w:val="24"/>
          <w:szCs w:val="24"/>
        </w:rPr>
        <w:t xml:space="preserve">, </w:t>
      </w:r>
      <w:r w:rsidR="00C936CE" w:rsidRPr="002C6701">
        <w:rPr>
          <w:sz w:val="24"/>
          <w:szCs w:val="24"/>
        </w:rPr>
        <w:t>201</w:t>
      </w:r>
      <w:r w:rsidR="00C936CE">
        <w:rPr>
          <w:sz w:val="24"/>
          <w:szCs w:val="24"/>
        </w:rPr>
        <w:t>9</w:t>
      </w:r>
      <w:r w:rsidRPr="002C6701">
        <w:rPr>
          <w:sz w:val="24"/>
          <w:szCs w:val="24"/>
        </w:rPr>
        <w:t>.</w:t>
      </w:r>
      <w:r w:rsidRPr="00CC627F">
        <w:rPr>
          <w:sz w:val="24"/>
          <w:szCs w:val="24"/>
        </w:rPr>
        <w:fldChar w:fldCharType="end"/>
      </w:r>
    </w:p>
  </w:footnote>
  <w:footnote w:id="19">
    <w:p w14:paraId="1F46948C" w14:textId="77777777" w:rsidR="009D2272" w:rsidRDefault="009D2272" w:rsidP="009D2272">
      <w:pPr>
        <w:pStyle w:val="FootnoteText"/>
      </w:pPr>
      <w:r>
        <w:rPr>
          <w:rStyle w:val="FootnoteReference"/>
        </w:rPr>
        <w:footnoteRef/>
      </w:r>
      <w:r>
        <w:t xml:space="preserve"> </w:t>
      </w:r>
      <w:r w:rsidRPr="00CC627F">
        <w:rPr>
          <w:sz w:val="24"/>
          <w:szCs w:val="24"/>
        </w:rPr>
        <w:fldChar w:fldCharType="begin"/>
      </w:r>
      <w:r>
        <w:rPr>
          <w:sz w:val="24"/>
          <w:szCs w:val="24"/>
        </w:rPr>
        <w:instrText xml:space="preserve"> ADDIN ZOTERO_ITEM CSL_CITATION {"citationID":"2o5g2kvkb6","properties":{"formattedCitation":"{\\rtf Office of Personnel Management, \\uc0\\u8220{}Salary Table 2016-DEN,\\uc0\\u8221{} 2016, https://www.opm.gov/policy-data-oversight/pay-leave/salaries-wages/salary-tables/pdf/2016/DEN_h.pdf.}","plainCitation":"Office of Personnel Management, “Salary Table 2016-DEN,” 2016, https://www.opm.gov/policy-data-oversight/pay-leave/salaries-wages/salary-tables/pdf/2016/DEN_h.pdf."},"citationItems":[{"id":637,"uris":["http://zotero.org/users/2345041/items/PGXFM7RD"],"uri":["http://zotero.org/users/2345041/items/PGXFM7RD"],"itemData":{"id":637,"type":"article","title":"Salary Table 2016-DEN","URL":"https://www.opm.gov/policy-data-oversight/pay-leave/salaries-wages/salary-tables/pdf/2016/DEN_h.pdf","author":[{"literal":"Office of Personnel Management"}],"issued":{"date-parts":[["2016"]]}}}],"schema":"https://github.com/citation-style-language/schema/raw/master/csl-citation.json"} </w:instrText>
      </w:r>
      <w:r w:rsidRPr="00CC627F">
        <w:rPr>
          <w:sz w:val="24"/>
          <w:szCs w:val="24"/>
        </w:rPr>
        <w:fldChar w:fldCharType="separate"/>
      </w:r>
      <w:r w:rsidRPr="002C6701">
        <w:rPr>
          <w:sz w:val="24"/>
          <w:szCs w:val="24"/>
        </w:rPr>
        <w:t xml:space="preserve">Office of Personnel Management, “Salary Table </w:t>
      </w:r>
      <w:r w:rsidR="0018006A" w:rsidRPr="002C6701">
        <w:rPr>
          <w:sz w:val="24"/>
          <w:szCs w:val="24"/>
        </w:rPr>
        <w:t>201</w:t>
      </w:r>
      <w:r w:rsidR="0018006A">
        <w:rPr>
          <w:sz w:val="24"/>
          <w:szCs w:val="24"/>
        </w:rPr>
        <w:t>9</w:t>
      </w:r>
      <w:r w:rsidRPr="002C6701">
        <w:rPr>
          <w:sz w:val="24"/>
          <w:szCs w:val="24"/>
        </w:rPr>
        <w:t xml:space="preserve">-DEN,” </w:t>
      </w:r>
      <w:r w:rsidR="0018006A" w:rsidRPr="002C6701">
        <w:rPr>
          <w:sz w:val="24"/>
          <w:szCs w:val="24"/>
        </w:rPr>
        <w:t>201</w:t>
      </w:r>
      <w:r w:rsidR="0018006A">
        <w:rPr>
          <w:sz w:val="24"/>
          <w:szCs w:val="24"/>
        </w:rPr>
        <w:t>9</w:t>
      </w:r>
      <w:r w:rsidRPr="002C6701">
        <w:rPr>
          <w:sz w:val="24"/>
          <w:szCs w:val="24"/>
        </w:rPr>
        <w:t xml:space="preserve">, </w:t>
      </w:r>
      <w:hyperlink r:id="rId1" w:history="1">
        <w:r w:rsidR="0018006A" w:rsidRPr="0018006A">
          <w:rPr>
            <w:rStyle w:val="Hyperlink"/>
            <w:sz w:val="24"/>
            <w:szCs w:val="24"/>
          </w:rPr>
          <w:t>https://www.opm.gov/policy-data-oversight/pay-leave/salaries-wages/salary-tables/pdf/2019/DEN_h.pdf</w:t>
        </w:r>
      </w:hyperlink>
      <w:r w:rsidRPr="002C6701">
        <w:rPr>
          <w:sz w:val="24"/>
          <w:szCs w:val="24"/>
        </w:rPr>
        <w:t>.</w:t>
      </w:r>
      <w:r w:rsidRPr="00CC627F">
        <w:rPr>
          <w:sz w:val="24"/>
          <w:szCs w:val="24"/>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65442"/>
    <w:multiLevelType w:val="hybridMultilevel"/>
    <w:tmpl w:val="3F8A0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46F3"/>
    <w:rsid w:val="000169F1"/>
    <w:rsid w:val="000257C8"/>
    <w:rsid w:val="00026233"/>
    <w:rsid w:val="00041027"/>
    <w:rsid w:val="00050518"/>
    <w:rsid w:val="00094092"/>
    <w:rsid w:val="000A1A62"/>
    <w:rsid w:val="000A3CD7"/>
    <w:rsid w:val="000F1C17"/>
    <w:rsid w:val="000F3AF1"/>
    <w:rsid w:val="00106AD6"/>
    <w:rsid w:val="00111A85"/>
    <w:rsid w:val="00162B02"/>
    <w:rsid w:val="0016340E"/>
    <w:rsid w:val="0018006A"/>
    <w:rsid w:val="001E7900"/>
    <w:rsid w:val="001F249A"/>
    <w:rsid w:val="001F3F04"/>
    <w:rsid w:val="002151CE"/>
    <w:rsid w:val="00236280"/>
    <w:rsid w:val="002753DA"/>
    <w:rsid w:val="00295103"/>
    <w:rsid w:val="0029604C"/>
    <w:rsid w:val="002A3BAD"/>
    <w:rsid w:val="00352210"/>
    <w:rsid w:val="003755A0"/>
    <w:rsid w:val="00390D04"/>
    <w:rsid w:val="003C3292"/>
    <w:rsid w:val="003C5BE7"/>
    <w:rsid w:val="003E3587"/>
    <w:rsid w:val="004407A9"/>
    <w:rsid w:val="00487036"/>
    <w:rsid w:val="004A6DFA"/>
    <w:rsid w:val="004D4A05"/>
    <w:rsid w:val="00525467"/>
    <w:rsid w:val="005535F5"/>
    <w:rsid w:val="00561C93"/>
    <w:rsid w:val="0057745A"/>
    <w:rsid w:val="005D39A7"/>
    <w:rsid w:val="005E0031"/>
    <w:rsid w:val="0060758B"/>
    <w:rsid w:val="00682CA7"/>
    <w:rsid w:val="00694D6C"/>
    <w:rsid w:val="006A6C32"/>
    <w:rsid w:val="006E15D1"/>
    <w:rsid w:val="006E1B54"/>
    <w:rsid w:val="006E339F"/>
    <w:rsid w:val="006F1BE2"/>
    <w:rsid w:val="006F6832"/>
    <w:rsid w:val="00701C0C"/>
    <w:rsid w:val="007024E4"/>
    <w:rsid w:val="00753D99"/>
    <w:rsid w:val="00757CBA"/>
    <w:rsid w:val="007851E9"/>
    <w:rsid w:val="007E21B5"/>
    <w:rsid w:val="008077F1"/>
    <w:rsid w:val="0081259F"/>
    <w:rsid w:val="00833393"/>
    <w:rsid w:val="008519B5"/>
    <w:rsid w:val="008B2E45"/>
    <w:rsid w:val="008B54E9"/>
    <w:rsid w:val="008D21F2"/>
    <w:rsid w:val="00933837"/>
    <w:rsid w:val="00944C21"/>
    <w:rsid w:val="009B359F"/>
    <w:rsid w:val="009D2272"/>
    <w:rsid w:val="009E6FE0"/>
    <w:rsid w:val="009F0178"/>
    <w:rsid w:val="009F5D58"/>
    <w:rsid w:val="00A168FC"/>
    <w:rsid w:val="00AC08A8"/>
    <w:rsid w:val="00AD77DB"/>
    <w:rsid w:val="00AE213F"/>
    <w:rsid w:val="00B10672"/>
    <w:rsid w:val="00B308BF"/>
    <w:rsid w:val="00B6353A"/>
    <w:rsid w:val="00B659A5"/>
    <w:rsid w:val="00B6770E"/>
    <w:rsid w:val="00B9189E"/>
    <w:rsid w:val="00C21984"/>
    <w:rsid w:val="00C5117D"/>
    <w:rsid w:val="00C60FCF"/>
    <w:rsid w:val="00C61567"/>
    <w:rsid w:val="00C6394F"/>
    <w:rsid w:val="00C71B2D"/>
    <w:rsid w:val="00C813A3"/>
    <w:rsid w:val="00C936CE"/>
    <w:rsid w:val="00CC3F62"/>
    <w:rsid w:val="00CE0A04"/>
    <w:rsid w:val="00D11BBC"/>
    <w:rsid w:val="00D201F2"/>
    <w:rsid w:val="00D3155A"/>
    <w:rsid w:val="00D5228F"/>
    <w:rsid w:val="00D55355"/>
    <w:rsid w:val="00DD7DAD"/>
    <w:rsid w:val="00DE1FFE"/>
    <w:rsid w:val="00DE7630"/>
    <w:rsid w:val="00E6013B"/>
    <w:rsid w:val="00E66722"/>
    <w:rsid w:val="00E736D5"/>
    <w:rsid w:val="00E77082"/>
    <w:rsid w:val="00EB37B3"/>
    <w:rsid w:val="00EC4FCD"/>
    <w:rsid w:val="00EC527E"/>
    <w:rsid w:val="00F0273E"/>
    <w:rsid w:val="00F0369A"/>
    <w:rsid w:val="00F172D8"/>
    <w:rsid w:val="00F4481E"/>
    <w:rsid w:val="00F61096"/>
    <w:rsid w:val="00F67E72"/>
    <w:rsid w:val="00F73931"/>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F13F0"/>
  <w15:docId w15:val="{A4CDBF23-7676-4DF8-A956-54CF0D98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noteText">
    <w:name w:val="footnote text"/>
    <w:basedOn w:val="Normal"/>
    <w:link w:val="FootnoteTextChar"/>
    <w:uiPriority w:val="99"/>
    <w:semiHidden/>
    <w:unhideWhenUsed/>
    <w:rsid w:val="00AE213F"/>
  </w:style>
  <w:style w:type="character" w:customStyle="1" w:styleId="FootnoteTextChar">
    <w:name w:val="Footnote Text Char"/>
    <w:link w:val="FootnoteText"/>
    <w:uiPriority w:val="99"/>
    <w:semiHidden/>
    <w:rsid w:val="00AE213F"/>
    <w:rPr>
      <w:rFonts w:ascii="Times New Roman" w:hAnsi="Times New Roman"/>
    </w:rPr>
  </w:style>
  <w:style w:type="character" w:styleId="FootnoteReference">
    <w:name w:val="footnote reference"/>
    <w:uiPriority w:val="99"/>
    <w:semiHidden/>
    <w:unhideWhenUsed/>
    <w:rsid w:val="00AE213F"/>
    <w:rPr>
      <w:vertAlign w:val="superscript"/>
    </w:rPr>
  </w:style>
  <w:style w:type="character" w:styleId="Hyperlink">
    <w:name w:val="Hyperlink"/>
    <w:rsid w:val="009D2272"/>
    <w:rPr>
      <w:color w:val="0000FF"/>
      <w:u w:val="single"/>
    </w:rPr>
  </w:style>
  <w:style w:type="paragraph" w:styleId="Bibliography">
    <w:name w:val="Bibliography"/>
    <w:basedOn w:val="Normal"/>
    <w:next w:val="Normal"/>
    <w:uiPriority w:val="37"/>
    <w:semiHidden/>
    <w:unhideWhenUsed/>
    <w:rsid w:val="009D2272"/>
  </w:style>
  <w:style w:type="character" w:styleId="CommentReference">
    <w:name w:val="annotation reference"/>
    <w:uiPriority w:val="99"/>
    <w:semiHidden/>
    <w:unhideWhenUsed/>
    <w:rsid w:val="003755A0"/>
    <w:rPr>
      <w:sz w:val="16"/>
      <w:szCs w:val="16"/>
    </w:rPr>
  </w:style>
  <w:style w:type="paragraph" w:styleId="CommentText">
    <w:name w:val="annotation text"/>
    <w:basedOn w:val="Normal"/>
    <w:link w:val="CommentTextChar"/>
    <w:uiPriority w:val="99"/>
    <w:semiHidden/>
    <w:unhideWhenUsed/>
    <w:rsid w:val="004D4A05"/>
    <w:rPr>
      <w:sz w:val="24"/>
    </w:rPr>
  </w:style>
  <w:style w:type="character" w:customStyle="1" w:styleId="CommentTextChar">
    <w:name w:val="Comment Text Char"/>
    <w:link w:val="CommentText"/>
    <w:uiPriority w:val="99"/>
    <w:semiHidden/>
    <w:rsid w:val="004D4A05"/>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3755A0"/>
    <w:rPr>
      <w:b/>
      <w:bCs/>
    </w:rPr>
  </w:style>
  <w:style w:type="character" w:customStyle="1" w:styleId="CommentSubjectChar">
    <w:name w:val="Comment Subject Char"/>
    <w:link w:val="CommentSubject"/>
    <w:uiPriority w:val="99"/>
    <w:semiHidden/>
    <w:rsid w:val="003755A0"/>
    <w:rPr>
      <w:rFonts w:ascii="Times New Roman" w:hAnsi="Times New Roman"/>
      <w:b/>
      <w:bCs/>
    </w:rPr>
  </w:style>
  <w:style w:type="paragraph" w:styleId="HTMLPreformatted">
    <w:name w:val="HTML Preformatted"/>
    <w:basedOn w:val="Normal"/>
    <w:link w:val="HTMLPreformattedChar"/>
    <w:uiPriority w:val="99"/>
    <w:semiHidden/>
    <w:unhideWhenUsed/>
    <w:rsid w:val="008B54E9"/>
    <w:rPr>
      <w:rFonts w:ascii="Courier New" w:hAnsi="Courier New" w:cs="Courier New"/>
    </w:rPr>
  </w:style>
  <w:style w:type="character" w:customStyle="1" w:styleId="HTMLPreformattedChar">
    <w:name w:val="HTML Preformatted Char"/>
    <w:link w:val="HTMLPreformatted"/>
    <w:uiPriority w:val="99"/>
    <w:semiHidden/>
    <w:rsid w:val="008B54E9"/>
    <w:rPr>
      <w:rFonts w:ascii="Courier New" w:hAnsi="Courier New" w:cs="Courier New"/>
    </w:rPr>
  </w:style>
  <w:style w:type="character" w:customStyle="1" w:styleId="UnresolvedMention1">
    <w:name w:val="Unresolved Mention1"/>
    <w:uiPriority w:val="99"/>
    <w:semiHidden/>
    <w:unhideWhenUsed/>
    <w:rsid w:val="0018006A"/>
    <w:rPr>
      <w:color w:val="605E5C"/>
      <w:shd w:val="clear" w:color="auto" w:fill="E1DFDD"/>
    </w:rPr>
  </w:style>
  <w:style w:type="character" w:styleId="FollowedHyperlink">
    <w:name w:val="FollowedHyperlink"/>
    <w:basedOn w:val="DefaultParagraphFont"/>
    <w:uiPriority w:val="99"/>
    <w:semiHidden/>
    <w:unhideWhenUsed/>
    <w:rsid w:val="00487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9046">
      <w:bodyDiv w:val="1"/>
      <w:marLeft w:val="0"/>
      <w:marRight w:val="0"/>
      <w:marTop w:val="0"/>
      <w:marBottom w:val="0"/>
      <w:divBdr>
        <w:top w:val="none" w:sz="0" w:space="0" w:color="auto"/>
        <w:left w:val="none" w:sz="0" w:space="0" w:color="auto"/>
        <w:bottom w:val="none" w:sz="0" w:space="0" w:color="auto"/>
        <w:right w:val="none" w:sz="0" w:space="0" w:color="auto"/>
      </w:divBdr>
    </w:div>
    <w:div w:id="2048946724">
      <w:bodyDiv w:val="1"/>
      <w:marLeft w:val="0"/>
      <w:marRight w:val="0"/>
      <w:marTop w:val="0"/>
      <w:marBottom w:val="0"/>
      <w:divBdr>
        <w:top w:val="none" w:sz="0" w:space="0" w:color="auto"/>
        <w:left w:val="none" w:sz="0" w:space="0" w:color="auto"/>
        <w:bottom w:val="none" w:sz="0" w:space="0" w:color="auto"/>
        <w:right w:val="none" w:sz="0" w:space="0" w:color="auto"/>
      </w:divBdr>
    </w:div>
    <w:div w:id="21340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EN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8" ma:contentTypeDescription="Create a new document." ma:contentTypeScope="" ma:versionID="1726b7067e643e76bcd7a8c381d0d3e3">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86e9447c0c794e41ca3fd565286be81a"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B993-12CC-40FE-9961-FA081FD31D1B}">
  <ds:schemaRefs>
    <ds:schemaRef ds:uri="http://schemas.microsoft.com/sharepoint/v3/contenttype/forms"/>
  </ds:schemaRefs>
</ds:datastoreItem>
</file>

<file path=customXml/itemProps2.xml><?xml version="1.0" encoding="utf-8"?>
<ds:datastoreItem xmlns:ds="http://schemas.openxmlformats.org/officeDocument/2006/customXml" ds:itemID="{62BDC373-8D1C-4D9F-B843-33030950557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C610429-151D-44DC-BFDC-0734986F8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9E262-36C7-4A18-8C46-C6FAB61F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3933</Words>
  <Characters>23074</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26954</CharactersWithSpaces>
  <SharedDoc>false</SharedDoc>
  <HLinks>
    <vt:vector size="6" baseType="variant">
      <vt:variant>
        <vt:i4>4391025</vt:i4>
      </vt:variant>
      <vt:variant>
        <vt:i4>47</vt:i4>
      </vt:variant>
      <vt:variant>
        <vt:i4>0</vt:i4>
      </vt:variant>
      <vt:variant>
        <vt:i4>5</vt:i4>
      </vt:variant>
      <vt:variant>
        <vt:lpwstr>https://www.opm.gov/policy-data-oversight/pay-leave/salaries-wages/salary-tables/pdf/2019/DEN_h.pdf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Sayer, James W.</cp:lastModifiedBy>
  <cp:revision>4</cp:revision>
  <cp:lastPrinted>2019-07-08T20:46:00Z</cp:lastPrinted>
  <dcterms:created xsi:type="dcterms:W3CDTF">2020-12-11T18:09:00Z</dcterms:created>
  <dcterms:modified xsi:type="dcterms:W3CDTF">2020-12-11T19:11:00Z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