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59758" w14:textId="301A8DDF" w:rsidR="003C0A01" w:rsidRDefault="003C0A01" w:rsidP="003C0A01">
      <w:pPr>
        <w:pStyle w:val="Heading1"/>
        <w:rPr>
          <w:rFonts w:ascii="Calibri" w:hAnsi="Calibri" w:cs="Calibri"/>
          <w:sz w:val="22"/>
        </w:rPr>
      </w:pPr>
      <w:bookmarkStart w:id="0" w:name="_Toc354131250"/>
      <w:bookmarkStart w:id="1" w:name="_Toc445214036"/>
      <w:bookmarkStart w:id="2" w:name="_Toc451763637"/>
      <w:bookmarkStart w:id="3" w:name="_Toc508364231"/>
      <w:bookmarkStart w:id="4" w:name="_GoBack"/>
      <w:bookmarkEnd w:id="4"/>
      <w:r>
        <w:t>Part B:  Collection of Information Employing Statistical Methods</w:t>
      </w:r>
      <w:bookmarkEnd w:id="0"/>
      <w:bookmarkEnd w:id="1"/>
      <w:bookmarkEnd w:id="2"/>
      <w:bookmarkEnd w:id="3"/>
    </w:p>
    <w:p w14:paraId="1BBBF5F8" w14:textId="582D235F" w:rsidR="00B63CB4" w:rsidRDefault="00B63CB4" w:rsidP="00B63CB4">
      <w:pPr>
        <w:pStyle w:val="BodyText"/>
      </w:pPr>
      <w:bookmarkStart w:id="5" w:name="_Toc322083615"/>
      <w:bookmarkStart w:id="6" w:name="_Toc354131251"/>
      <w:bookmarkStart w:id="7" w:name="_Toc445214037"/>
      <w:r w:rsidRPr="00AB7A6D">
        <w:t xml:space="preserve">The </w:t>
      </w:r>
      <w:r>
        <w:t xml:space="preserve">U. S. </w:t>
      </w:r>
      <w:r w:rsidRPr="00AB7A6D">
        <w:t xml:space="preserve">Department of Labor (DOL) contracted with Abt Associates (in partnership with </w:t>
      </w:r>
      <w:r>
        <w:t>MDRC</w:t>
      </w:r>
      <w:r w:rsidRPr="00AB7A6D">
        <w:t xml:space="preserve">) to conduct an evaluation of the </w:t>
      </w:r>
      <w:r w:rsidRPr="003610EC">
        <w:t>Cascades Job Corps College and Career Academy Pilot</w:t>
      </w:r>
      <w:r w:rsidRPr="00AB7A6D">
        <w:t xml:space="preserve"> program</w:t>
      </w:r>
      <w:r>
        <w:t>. As required under the Paperwork Reduction Act, DOL is seeking approval from the Office of Management and Budget (OMB) for data collection instruments associated with the evaluation</w:t>
      </w:r>
      <w:r w:rsidRPr="00AB7A6D">
        <w:t xml:space="preserve">. </w:t>
      </w:r>
      <w:r>
        <w:t xml:space="preserve">The Job Corps program is the Federal government’s largest investment in residential job training for disadvantaged youth. </w:t>
      </w:r>
      <w:r w:rsidRPr="00AB7A6D">
        <w:t xml:space="preserve">The </w:t>
      </w:r>
      <w:r>
        <w:t>pilot program will test innovative and promising models that could improve outcomes for students; particularly youth, ages 16</w:t>
      </w:r>
      <w:r w:rsidR="00E162E9">
        <w:t xml:space="preserve"> to </w:t>
      </w:r>
      <w:r>
        <w:t xml:space="preserve">21. The evaluation, funded by DOL, will use multiple approaches including an impact study and implementation analysis of the Cascades Job Corps College and Career Academy (CCCA) pilot program.  </w:t>
      </w:r>
    </w:p>
    <w:p w14:paraId="14D7ED42" w14:textId="305C3199" w:rsidR="00B63CB4" w:rsidRDefault="00B63CB4" w:rsidP="00B63CB4">
      <w:pPr>
        <w:pStyle w:val="BodyText"/>
      </w:pPr>
      <w:r>
        <w:t xml:space="preserve">OMB approved initial data collection activities for the CCCA Evaluation under OMB control number 1290-0012 (approved on February 6, 2017). Those approved data collection activities included the </w:t>
      </w:r>
      <w:r w:rsidR="00AB1A8C">
        <w:t>Baseline Information F</w:t>
      </w:r>
      <w:r>
        <w:t>orm to support the impact study, tracking data to support the planned 18-month follow-up survey, and stakeholder interview and student focus groups to support the implementation study.</w:t>
      </w:r>
    </w:p>
    <w:p w14:paraId="3AB5BF5D" w14:textId="43FC804C" w:rsidR="003C0A01" w:rsidRPr="00C224BA" w:rsidRDefault="00B63CB4" w:rsidP="00B63CB4">
      <w:pPr>
        <w:pStyle w:val="BodyText"/>
      </w:pPr>
      <w:r>
        <w:t>This supporting statement is</w:t>
      </w:r>
      <w:r w:rsidRPr="00220515">
        <w:t xml:space="preserve"> the </w:t>
      </w:r>
      <w:r>
        <w:t>second</w:t>
      </w:r>
      <w:r w:rsidRPr="00220515">
        <w:t xml:space="preserve"> </w:t>
      </w:r>
      <w:r>
        <w:t xml:space="preserve">OMB submission regarding </w:t>
      </w:r>
      <w:r w:rsidRPr="00220515">
        <w:t xml:space="preserve">data collection activities for </w:t>
      </w:r>
      <w:r>
        <w:t xml:space="preserve">the evaluation of the CCCA pilot. </w:t>
      </w:r>
      <w:r w:rsidR="009175F5">
        <w:t>DOL</w:t>
      </w:r>
      <w:r>
        <w:t xml:space="preserve"> is seeking clearance in this submission for the 18-month follow-up survey</w:t>
      </w:r>
      <w:r w:rsidRPr="006E3D4B">
        <w:t>. The survey will provide critical information on the experiences and educational and economic outcomes of study for both treatment and control members. Specific outcomes to be considered include the receipt of training and related supports, receipt of credentials, employment, socio-emotional skills, engagement in risky behaviors, receipt of public benefits, and opinions on the education and training services received.</w:t>
      </w:r>
      <w:r w:rsidRPr="00EC3BA2">
        <w:t xml:space="preserve"> </w:t>
      </w:r>
    </w:p>
    <w:p w14:paraId="697B2A13" w14:textId="77777777" w:rsidR="003C0A01" w:rsidRDefault="003C0A01" w:rsidP="003C0A01">
      <w:pPr>
        <w:pStyle w:val="Heading2"/>
      </w:pPr>
      <w:bookmarkStart w:id="8" w:name="_Toc451763638"/>
      <w:bookmarkStart w:id="9" w:name="_Toc508364232"/>
      <w:r>
        <w:t xml:space="preserve">B.1 </w:t>
      </w:r>
      <w:r>
        <w:tab/>
        <w:t>Respondent Universe and Sampl</w:t>
      </w:r>
      <w:bookmarkEnd w:id="5"/>
      <w:r>
        <w:t>ing Methods</w:t>
      </w:r>
      <w:bookmarkEnd w:id="6"/>
      <w:bookmarkEnd w:id="7"/>
      <w:bookmarkEnd w:id="8"/>
      <w:bookmarkEnd w:id="9"/>
      <w:r>
        <w:t xml:space="preserve"> </w:t>
      </w:r>
    </w:p>
    <w:p w14:paraId="350A0C32" w14:textId="2C06481D" w:rsidR="00B63CB4" w:rsidRDefault="003C0A01" w:rsidP="003C0A01">
      <w:pPr>
        <w:pStyle w:val="BodyText"/>
      </w:pPr>
      <w:bookmarkStart w:id="10" w:name="_Toc354131252"/>
      <w:r>
        <w:t>The respondent universe for this study</w:t>
      </w:r>
      <w:r w:rsidR="00B63CB4">
        <w:t xml:space="preserve"> consists of</w:t>
      </w:r>
      <w:r w:rsidR="00B63CB4" w:rsidRPr="004F1FB4">
        <w:t xml:space="preserve"> </w:t>
      </w:r>
      <w:r w:rsidR="00B63CB4">
        <w:t>all</w:t>
      </w:r>
      <w:r w:rsidR="00B63CB4" w:rsidRPr="004F1FB4">
        <w:t xml:space="preserve"> individuals who apply to </w:t>
      </w:r>
      <w:r w:rsidR="00B63CB4">
        <w:t>the CCCA Job Corps</w:t>
      </w:r>
      <w:r w:rsidR="00B63CB4" w:rsidRPr="004F1FB4">
        <w:t xml:space="preserve"> program</w:t>
      </w:r>
      <w:r w:rsidR="00B63CB4">
        <w:t>, are deemed eligible for the program,</w:t>
      </w:r>
      <w:r w:rsidR="00B63CB4" w:rsidRPr="004F1FB4">
        <w:t xml:space="preserve"> and </w:t>
      </w:r>
      <w:r w:rsidR="00B63CB4">
        <w:t>consent</w:t>
      </w:r>
      <w:r w:rsidR="00B63CB4" w:rsidRPr="004F1FB4">
        <w:t xml:space="preserve"> to participate in the study. </w:t>
      </w:r>
      <w:r w:rsidR="00B63CB4">
        <w:t xml:space="preserve">There is no sampling for inclusion in the study. </w:t>
      </w:r>
      <w:r w:rsidR="00E162E9">
        <w:t xml:space="preserve">After an initial pilot period with a </w:t>
      </w:r>
      <w:r w:rsidR="00122301">
        <w:t>3</w:t>
      </w:r>
      <w:r w:rsidR="00E162E9">
        <w:t>:1 treatment:control</w:t>
      </w:r>
      <w:r w:rsidR="00252627">
        <w:t xml:space="preserve"> (from May 5, 2017 – September 5, 2017)</w:t>
      </w:r>
      <w:r w:rsidR="00E162E9">
        <w:t xml:space="preserve"> randomization</w:t>
      </w:r>
      <w:r w:rsidR="000F184F">
        <w:t>,</w:t>
      </w:r>
      <w:r w:rsidR="00252627">
        <w:rPr>
          <w:rStyle w:val="FootnoteReference"/>
        </w:rPr>
        <w:footnoteReference w:id="1"/>
      </w:r>
      <w:r w:rsidR="00E162E9">
        <w:t xml:space="preserve"> </w:t>
      </w:r>
      <w:r w:rsidR="00B63CB4">
        <w:t>eligible applicants</w:t>
      </w:r>
      <w:r>
        <w:t xml:space="preserve"> </w:t>
      </w:r>
      <w:r w:rsidR="00F542A8">
        <w:t>who consent to participate are randomized into the treatment or control group at a 1:1 ratio. There is thus no formal probability sampling or subsampling. The evaluators</w:t>
      </w:r>
      <w:r w:rsidR="00F542A8" w:rsidRPr="004F1FB4">
        <w:t xml:space="preserve"> estimate that </w:t>
      </w:r>
      <w:r w:rsidR="00F542A8" w:rsidRPr="001B18EB">
        <w:t>2,200</w:t>
      </w:r>
      <w:r w:rsidR="00F542A8" w:rsidRPr="004F1FB4">
        <w:t xml:space="preserve"> individuals will participate in the study.</w:t>
      </w:r>
    </w:p>
    <w:p w14:paraId="5D82A637" w14:textId="2E3B0B56" w:rsidR="003C0A01" w:rsidRDefault="00F542A8" w:rsidP="003C0A01">
      <w:pPr>
        <w:pStyle w:val="BodyText"/>
      </w:pPr>
      <w:r>
        <w:t xml:space="preserve">The follow-up survey will be conducted approximately 18 months after random assignment and </w:t>
      </w:r>
      <w:r w:rsidRPr="00DD2948">
        <w:t>will be administered to up to 1,000 sample members.</w:t>
      </w:r>
      <w:r>
        <w:t xml:space="preserve"> </w:t>
      </w:r>
      <w:r w:rsidRPr="00F542A8">
        <w:t xml:space="preserve">Recruitment and random assignment for the CCCA Evaluation began </w:t>
      </w:r>
      <w:r w:rsidR="00252627">
        <w:t>on February 7, 2017 when the CCCA program launched and after receipt of OMB approval for the baseline data collection activities</w:t>
      </w:r>
      <w:r w:rsidRPr="00F542A8">
        <w:t>. Because this is a pilot program, the evaluation team</w:t>
      </w:r>
      <w:r>
        <w:t xml:space="preserve"> and DOL</w:t>
      </w:r>
      <w:r w:rsidRPr="00F542A8">
        <w:t xml:space="preserve"> </w:t>
      </w:r>
      <w:r>
        <w:t>built in a pilot period to allow the program to become fully operat</w:t>
      </w:r>
      <w:r w:rsidR="002D26B6">
        <w:t xml:space="preserve">ional and thus the evaluator is </w:t>
      </w:r>
      <w:r>
        <w:t xml:space="preserve">not planning to administer the follow-up survey to early-enrolled individuals. </w:t>
      </w:r>
      <w:r w:rsidR="002D26B6">
        <w:t>(The evaluator</w:t>
      </w:r>
      <w:r w:rsidR="00122301">
        <w:t xml:space="preserve"> will </w:t>
      </w:r>
      <w:r w:rsidR="002D26B6">
        <w:t>obtain</w:t>
      </w:r>
      <w:r w:rsidR="00122301">
        <w:t xml:space="preserve"> and analyze administrative data on </w:t>
      </w:r>
      <w:r w:rsidR="002D26B6">
        <w:t xml:space="preserve">employment and </w:t>
      </w:r>
      <w:r w:rsidR="00122301">
        <w:t>earnings</w:t>
      </w:r>
      <w:r w:rsidR="002D26B6">
        <w:t xml:space="preserve"> (via NDNH data) and program participation (via program data)</w:t>
      </w:r>
      <w:r w:rsidR="00122301">
        <w:t xml:space="preserve"> for </w:t>
      </w:r>
      <w:r w:rsidR="002D26B6">
        <w:t>all individuals</w:t>
      </w:r>
      <w:r w:rsidR="00122301">
        <w:t xml:space="preserve"> randomized; this will allow comparisons—albeit with low power—</w:t>
      </w:r>
      <w:r w:rsidR="00122301">
        <w:lastRenderedPageBreak/>
        <w:t xml:space="preserve">of pilot/post-pilot differences in outcomes.) </w:t>
      </w:r>
      <w:r w:rsidRPr="00F542A8">
        <w:t>All individuals enrolled during the survey cohort phase will be asked to complete the 18-month follow-up survey.</w:t>
      </w:r>
      <w:r w:rsidR="003C0A01">
        <w:t xml:space="preserve"> If </w:t>
      </w:r>
      <w:r>
        <w:t>the site</w:t>
      </w:r>
      <w:r w:rsidR="003C0A01">
        <w:t xml:space="preserve"> enroll</w:t>
      </w:r>
      <w:r>
        <w:t>s</w:t>
      </w:r>
      <w:r w:rsidR="003C0A01">
        <w:t xml:space="preserve"> more individuals than projected, those randomly assigned after the </w:t>
      </w:r>
      <w:r>
        <w:t>1,000 participant</w:t>
      </w:r>
      <w:r w:rsidR="003C0A01">
        <w:t xml:space="preserve"> target is met will</w:t>
      </w:r>
      <w:r>
        <w:t xml:space="preserve"> not be included in the survey</w:t>
      </w:r>
      <w:r w:rsidR="005A2F67">
        <w:t xml:space="preserve">. </w:t>
      </w:r>
      <w:r w:rsidR="003C0A01">
        <w:t>Exhibit B</w:t>
      </w:r>
      <w:r w:rsidR="000267FE">
        <w:t>.</w:t>
      </w:r>
      <w:r w:rsidR="003C0A01">
        <w:t xml:space="preserve">1 shows expected sample sizes and predicted response rates for each of the </w:t>
      </w:r>
      <w:r>
        <w:t>study groups</w:t>
      </w:r>
      <w:r w:rsidR="005A2F67">
        <w:t xml:space="preserve">. </w:t>
      </w:r>
    </w:p>
    <w:p w14:paraId="782F73D4" w14:textId="77777777" w:rsidR="003C0A01" w:rsidRPr="001B5197" w:rsidRDefault="00354170" w:rsidP="001B5197">
      <w:pPr>
        <w:pStyle w:val="Caption"/>
        <w:tabs>
          <w:tab w:val="clear" w:pos="1440"/>
          <w:tab w:val="left" w:pos="1260"/>
        </w:tabs>
        <w:ind w:left="1350" w:hanging="1350"/>
        <w:rPr>
          <w:sz w:val="18"/>
          <w:szCs w:val="18"/>
        </w:rPr>
      </w:pPr>
      <w:bookmarkStart w:id="11" w:name="_Toc447015465"/>
      <w:r>
        <w:t>Exhibit B.</w:t>
      </w:r>
      <w:r w:rsidR="00AA1F13">
        <w:fldChar w:fldCharType="begin"/>
      </w:r>
      <w:r w:rsidR="00AA1F13">
        <w:instrText xml:space="preserve"> SEQ Exhibit_B. \* ARABIC </w:instrText>
      </w:r>
      <w:r w:rsidR="00AA1F13">
        <w:fldChar w:fldCharType="separate"/>
      </w:r>
      <w:r w:rsidR="007D1323">
        <w:rPr>
          <w:noProof/>
        </w:rPr>
        <w:t>1</w:t>
      </w:r>
      <w:r w:rsidR="00AA1F13">
        <w:rPr>
          <w:noProof/>
        </w:rPr>
        <w:fldChar w:fldCharType="end"/>
      </w:r>
      <w:r>
        <w:t xml:space="preserve"> </w:t>
      </w:r>
      <w:r>
        <w:rPr>
          <w:sz w:val="18"/>
          <w:szCs w:val="18"/>
        </w:rPr>
        <w:t xml:space="preserve">Projected </w:t>
      </w:r>
      <w:r w:rsidRPr="006620F6">
        <w:rPr>
          <w:sz w:val="18"/>
          <w:szCs w:val="18"/>
        </w:rPr>
        <w:t xml:space="preserve">Sample Sizes and Response Rates </w:t>
      </w:r>
      <w:r>
        <w:rPr>
          <w:sz w:val="18"/>
          <w:szCs w:val="18"/>
        </w:rPr>
        <w:t>for 18-month Follow-up Survey</w:t>
      </w:r>
      <w:bookmarkEnd w:id="11"/>
    </w:p>
    <w:tbl>
      <w:tblPr>
        <w:tblStyle w:val="AbtFinal"/>
        <w:tblW w:w="5000" w:type="pct"/>
        <w:tblLook w:val="04A0" w:firstRow="1" w:lastRow="0" w:firstColumn="1" w:lastColumn="0" w:noHBand="0" w:noVBand="1"/>
      </w:tblPr>
      <w:tblGrid>
        <w:gridCol w:w="2457"/>
        <w:gridCol w:w="2490"/>
        <w:gridCol w:w="2637"/>
        <w:gridCol w:w="1992"/>
      </w:tblGrid>
      <w:tr w:rsidR="00F542A8" w14:paraId="5CBEA020" w14:textId="77777777" w:rsidTr="00AA4753">
        <w:trPr>
          <w:cnfStyle w:val="100000000000" w:firstRow="1" w:lastRow="0" w:firstColumn="0" w:lastColumn="0" w:oddVBand="0" w:evenVBand="0" w:oddHBand="0" w:evenHBand="0" w:firstRowFirstColumn="0" w:firstRowLastColumn="0" w:lastRowFirstColumn="0" w:lastRowLastColumn="0"/>
          <w:trHeight w:val="485"/>
        </w:trPr>
        <w:tc>
          <w:tcPr>
            <w:tcW w:w="1283" w:type="pct"/>
            <w:vAlign w:val="center"/>
          </w:tcPr>
          <w:p w14:paraId="4F7B82C7" w14:textId="77777777" w:rsidR="00F542A8" w:rsidRPr="00AA4753" w:rsidRDefault="001B5197" w:rsidP="00AA4753">
            <w:pPr>
              <w:pStyle w:val="ExhibitColumnHeader"/>
              <w:rPr>
                <w:b/>
              </w:rPr>
            </w:pPr>
            <w:r w:rsidRPr="00AA4753">
              <w:rPr>
                <w:b/>
              </w:rPr>
              <w:t>Study Group</w:t>
            </w:r>
          </w:p>
        </w:tc>
        <w:tc>
          <w:tcPr>
            <w:tcW w:w="1300" w:type="pct"/>
            <w:vAlign w:val="center"/>
          </w:tcPr>
          <w:p w14:paraId="5054E263" w14:textId="77777777" w:rsidR="00F542A8" w:rsidRPr="00AA4753" w:rsidRDefault="00F542A8" w:rsidP="00AA4753">
            <w:pPr>
              <w:pStyle w:val="ExhibitColumnHeader"/>
              <w:rPr>
                <w:b/>
              </w:rPr>
            </w:pPr>
            <w:r w:rsidRPr="00AA4753">
              <w:rPr>
                <w:b/>
              </w:rPr>
              <w:t>In Study</w:t>
            </w:r>
          </w:p>
        </w:tc>
        <w:tc>
          <w:tcPr>
            <w:tcW w:w="1377" w:type="pct"/>
            <w:vAlign w:val="center"/>
          </w:tcPr>
          <w:p w14:paraId="637DBE7D" w14:textId="77777777" w:rsidR="00F542A8" w:rsidRPr="00AA4753" w:rsidRDefault="00F542A8" w:rsidP="00AA4753">
            <w:pPr>
              <w:pStyle w:val="ExhibitColumnHeader"/>
              <w:rPr>
                <w:b/>
              </w:rPr>
            </w:pPr>
            <w:r w:rsidRPr="00AA4753">
              <w:rPr>
                <w:b/>
              </w:rPr>
              <w:t>Follow-Up Survey</w:t>
            </w:r>
            <w:r w:rsidR="001B5197" w:rsidRPr="00AA4753">
              <w:rPr>
                <w:b/>
              </w:rPr>
              <w:t xml:space="preserve"> Cohort</w:t>
            </w:r>
          </w:p>
        </w:tc>
        <w:tc>
          <w:tcPr>
            <w:tcW w:w="1040" w:type="pct"/>
            <w:vAlign w:val="center"/>
          </w:tcPr>
          <w:p w14:paraId="6A01A909" w14:textId="77777777" w:rsidR="00F542A8" w:rsidRPr="00AA4753" w:rsidRDefault="00F542A8" w:rsidP="00AA4753">
            <w:pPr>
              <w:pStyle w:val="ExhibitColumnHeader"/>
              <w:rPr>
                <w:b/>
              </w:rPr>
            </w:pPr>
            <w:r w:rsidRPr="00AA4753">
              <w:rPr>
                <w:b/>
              </w:rPr>
              <w:t>Expected Response Rate</w:t>
            </w:r>
          </w:p>
        </w:tc>
      </w:tr>
      <w:tr w:rsidR="00F542A8" w14:paraId="734C2DC9" w14:textId="77777777" w:rsidTr="00AA4753">
        <w:trPr>
          <w:cnfStyle w:val="000000100000" w:firstRow="0" w:lastRow="0" w:firstColumn="0" w:lastColumn="0" w:oddVBand="0" w:evenVBand="0" w:oddHBand="1" w:evenHBand="0" w:firstRowFirstColumn="0" w:firstRowLastColumn="0" w:lastRowFirstColumn="0" w:lastRowLastColumn="0"/>
          <w:trHeight w:val="350"/>
        </w:trPr>
        <w:tc>
          <w:tcPr>
            <w:tcW w:w="1283" w:type="pct"/>
          </w:tcPr>
          <w:p w14:paraId="1811CE02" w14:textId="77777777" w:rsidR="00F542A8" w:rsidRPr="001054C6" w:rsidRDefault="00F542A8" w:rsidP="001B5197">
            <w:pPr>
              <w:pStyle w:val="ExhibitText"/>
            </w:pPr>
            <w:r w:rsidRPr="001054C6">
              <w:t>Treatment</w:t>
            </w:r>
            <w:r>
              <w:t xml:space="preserve"> </w:t>
            </w:r>
            <w:r w:rsidRPr="001054C6">
              <w:t>(offered CCCA)</w:t>
            </w:r>
          </w:p>
        </w:tc>
        <w:tc>
          <w:tcPr>
            <w:tcW w:w="1300" w:type="pct"/>
          </w:tcPr>
          <w:p w14:paraId="7E18E928" w14:textId="77777777" w:rsidR="00F542A8" w:rsidRPr="001B18EB" w:rsidRDefault="00F542A8" w:rsidP="001B5197">
            <w:pPr>
              <w:pStyle w:val="ExhibitText"/>
              <w:jc w:val="center"/>
            </w:pPr>
            <w:r w:rsidRPr="001B18EB">
              <w:t>1,100</w:t>
            </w:r>
          </w:p>
        </w:tc>
        <w:tc>
          <w:tcPr>
            <w:tcW w:w="1377" w:type="pct"/>
          </w:tcPr>
          <w:p w14:paraId="1CB599D8" w14:textId="77777777" w:rsidR="00F542A8" w:rsidRPr="001054C6" w:rsidRDefault="001B5197" w:rsidP="001B5197">
            <w:pPr>
              <w:pStyle w:val="ExhibitText"/>
              <w:jc w:val="center"/>
            </w:pPr>
            <w:r>
              <w:t>500</w:t>
            </w:r>
          </w:p>
        </w:tc>
        <w:tc>
          <w:tcPr>
            <w:tcW w:w="1040" w:type="pct"/>
          </w:tcPr>
          <w:p w14:paraId="7DDBC61C" w14:textId="77777777" w:rsidR="00F542A8" w:rsidRPr="001054C6" w:rsidRDefault="00F542A8" w:rsidP="001B5197">
            <w:pPr>
              <w:pStyle w:val="ExhibitText"/>
              <w:jc w:val="center"/>
            </w:pPr>
            <w:r>
              <w:t>80</w:t>
            </w:r>
            <w:r w:rsidRPr="001054C6">
              <w:t>%</w:t>
            </w:r>
          </w:p>
        </w:tc>
      </w:tr>
      <w:tr w:rsidR="00F542A8" w14:paraId="13EB3514" w14:textId="77777777" w:rsidTr="00AA4753">
        <w:trPr>
          <w:cnfStyle w:val="000000010000" w:firstRow="0" w:lastRow="0" w:firstColumn="0" w:lastColumn="0" w:oddVBand="0" w:evenVBand="0" w:oddHBand="0" w:evenHBand="1" w:firstRowFirstColumn="0" w:firstRowLastColumn="0" w:lastRowFirstColumn="0" w:lastRowLastColumn="0"/>
          <w:trHeight w:val="350"/>
        </w:trPr>
        <w:tc>
          <w:tcPr>
            <w:tcW w:w="1283" w:type="pct"/>
          </w:tcPr>
          <w:p w14:paraId="4C855D8C" w14:textId="77777777" w:rsidR="00F542A8" w:rsidRPr="001054C6" w:rsidRDefault="00F542A8" w:rsidP="001B5197">
            <w:pPr>
              <w:pStyle w:val="ExhibitText"/>
            </w:pPr>
            <w:r w:rsidRPr="001054C6">
              <w:t>Control</w:t>
            </w:r>
            <w:r>
              <w:t xml:space="preserve"> </w:t>
            </w:r>
            <w:r w:rsidRPr="001054C6">
              <w:t>(not offered CCCA)</w:t>
            </w:r>
          </w:p>
        </w:tc>
        <w:tc>
          <w:tcPr>
            <w:tcW w:w="1300" w:type="pct"/>
          </w:tcPr>
          <w:p w14:paraId="3362A27F" w14:textId="77777777" w:rsidR="00F542A8" w:rsidRPr="001B18EB" w:rsidRDefault="00F542A8" w:rsidP="001B5197">
            <w:pPr>
              <w:pStyle w:val="ExhibitText"/>
              <w:jc w:val="center"/>
            </w:pPr>
            <w:r w:rsidRPr="001B18EB">
              <w:t>1,100</w:t>
            </w:r>
          </w:p>
        </w:tc>
        <w:tc>
          <w:tcPr>
            <w:tcW w:w="1377" w:type="pct"/>
          </w:tcPr>
          <w:p w14:paraId="6A00A56C" w14:textId="77777777" w:rsidR="00F542A8" w:rsidRPr="001054C6" w:rsidRDefault="001B5197" w:rsidP="001B5197">
            <w:pPr>
              <w:pStyle w:val="ExhibitText"/>
              <w:jc w:val="center"/>
            </w:pPr>
            <w:r>
              <w:t>500</w:t>
            </w:r>
          </w:p>
        </w:tc>
        <w:tc>
          <w:tcPr>
            <w:tcW w:w="1040" w:type="pct"/>
          </w:tcPr>
          <w:p w14:paraId="35D6FE6C" w14:textId="77777777" w:rsidR="00F542A8" w:rsidRPr="001054C6" w:rsidRDefault="00F542A8" w:rsidP="001B5197">
            <w:pPr>
              <w:pStyle w:val="ExhibitText"/>
              <w:jc w:val="center"/>
            </w:pPr>
            <w:r>
              <w:t>80</w:t>
            </w:r>
            <w:r w:rsidRPr="001054C6">
              <w:t>%</w:t>
            </w:r>
          </w:p>
        </w:tc>
      </w:tr>
      <w:tr w:rsidR="00F542A8" w:rsidRPr="006641E7" w14:paraId="0B936D10" w14:textId="77777777" w:rsidTr="00AA4753">
        <w:trPr>
          <w:cnfStyle w:val="000000100000" w:firstRow="0" w:lastRow="0" w:firstColumn="0" w:lastColumn="0" w:oddVBand="0" w:evenVBand="0" w:oddHBand="1" w:evenHBand="0" w:firstRowFirstColumn="0" w:firstRowLastColumn="0" w:lastRowFirstColumn="0" w:lastRowLastColumn="0"/>
          <w:trHeight w:val="350"/>
        </w:trPr>
        <w:tc>
          <w:tcPr>
            <w:tcW w:w="1283" w:type="pct"/>
          </w:tcPr>
          <w:p w14:paraId="415FEA73" w14:textId="77777777" w:rsidR="00F542A8" w:rsidRPr="006641E7" w:rsidRDefault="00F542A8" w:rsidP="001B5197">
            <w:pPr>
              <w:pStyle w:val="ExhibitText"/>
              <w:rPr>
                <w:b/>
              </w:rPr>
            </w:pPr>
            <w:r w:rsidRPr="006641E7">
              <w:rPr>
                <w:b/>
              </w:rPr>
              <w:t>Total</w:t>
            </w:r>
          </w:p>
        </w:tc>
        <w:tc>
          <w:tcPr>
            <w:tcW w:w="1300" w:type="pct"/>
          </w:tcPr>
          <w:p w14:paraId="17B221BC" w14:textId="77777777" w:rsidR="00F542A8" w:rsidRPr="001B18EB" w:rsidRDefault="00F542A8" w:rsidP="001B5197">
            <w:pPr>
              <w:pStyle w:val="ExhibitText"/>
              <w:jc w:val="center"/>
              <w:rPr>
                <w:b/>
              </w:rPr>
            </w:pPr>
            <w:r w:rsidRPr="001B18EB">
              <w:rPr>
                <w:b/>
              </w:rPr>
              <w:t>2,200</w:t>
            </w:r>
          </w:p>
        </w:tc>
        <w:tc>
          <w:tcPr>
            <w:tcW w:w="1377" w:type="pct"/>
          </w:tcPr>
          <w:p w14:paraId="27C4E89D" w14:textId="77777777" w:rsidR="00F542A8" w:rsidRPr="006641E7" w:rsidRDefault="001B5197" w:rsidP="001B5197">
            <w:pPr>
              <w:pStyle w:val="ExhibitText"/>
              <w:jc w:val="center"/>
              <w:rPr>
                <w:b/>
              </w:rPr>
            </w:pPr>
            <w:r>
              <w:rPr>
                <w:b/>
              </w:rPr>
              <w:t>1,000</w:t>
            </w:r>
          </w:p>
        </w:tc>
        <w:tc>
          <w:tcPr>
            <w:tcW w:w="1040" w:type="pct"/>
          </w:tcPr>
          <w:p w14:paraId="481C952B" w14:textId="77777777" w:rsidR="00F542A8" w:rsidRPr="006641E7" w:rsidRDefault="00F542A8" w:rsidP="001B5197">
            <w:pPr>
              <w:pStyle w:val="ExhibitText"/>
              <w:jc w:val="center"/>
              <w:rPr>
                <w:b/>
              </w:rPr>
            </w:pPr>
            <w:r>
              <w:rPr>
                <w:b/>
              </w:rPr>
              <w:t>80</w:t>
            </w:r>
            <w:r w:rsidRPr="006641E7">
              <w:rPr>
                <w:b/>
              </w:rPr>
              <w:t>%</w:t>
            </w:r>
          </w:p>
        </w:tc>
      </w:tr>
    </w:tbl>
    <w:p w14:paraId="27A7E909" w14:textId="77777777" w:rsidR="00800368" w:rsidRDefault="00800368" w:rsidP="003C0A01">
      <w:pPr>
        <w:pStyle w:val="BodyText"/>
      </w:pPr>
    </w:p>
    <w:p w14:paraId="31CBBB81" w14:textId="5B0556C9" w:rsidR="00F542A8" w:rsidRDefault="00800368" w:rsidP="003C0A01">
      <w:pPr>
        <w:pStyle w:val="BodyText"/>
        <w:rPr>
          <w:iCs/>
        </w:rPr>
      </w:pPr>
      <w:r w:rsidRPr="00EF6CAF">
        <w:t>The evaluation projects an 80% response rate for the follow-up survey.</w:t>
      </w:r>
      <w:r>
        <w:t xml:space="preserve"> Several recent in-person data collection efforts have achieved simila</w:t>
      </w:r>
      <w:r w:rsidR="00AB44CA">
        <w:t xml:space="preserve">r response rates, including the </w:t>
      </w:r>
      <w:r w:rsidR="00791834" w:rsidRPr="00791834">
        <w:t>Family Opt</w:t>
      </w:r>
      <w:r w:rsidR="00791834">
        <w:t>ions Study: Long Term Tracking (</w:t>
      </w:r>
      <w:r w:rsidR="00791834" w:rsidRPr="00791834">
        <w:t>OMB Control Number 2528-0259</w:t>
      </w:r>
      <w:r w:rsidR="00791834">
        <w:t xml:space="preserve">), which achieved a response rate </w:t>
      </w:r>
      <w:r w:rsidR="00791834" w:rsidRPr="00AB44CA">
        <w:t xml:space="preserve">of 81.4 </w:t>
      </w:r>
      <w:r w:rsidR="00791834">
        <w:t xml:space="preserve">at 18 months follow-up. Similarly, the </w:t>
      </w:r>
      <w:r>
        <w:t>National and Tribal Evaluation of the Second Generation of Health</w:t>
      </w:r>
      <w:r w:rsidR="00791834">
        <w:t xml:space="preserve"> Profession Opportunity Grants</w:t>
      </w:r>
      <w:r>
        <w:t xml:space="preserve"> </w:t>
      </w:r>
      <w:r w:rsidR="00791834">
        <w:t>(</w:t>
      </w:r>
      <w:r>
        <w:t xml:space="preserve">OMB </w:t>
      </w:r>
      <w:r w:rsidR="00791834">
        <w:t xml:space="preserve">Control Number </w:t>
      </w:r>
      <w:r>
        <w:t>0970-0394</w:t>
      </w:r>
      <w:r w:rsidR="00791834">
        <w:t>)</w:t>
      </w:r>
      <w:r>
        <w:t>, and the Pathways for Advancing</w:t>
      </w:r>
      <w:r w:rsidR="00791834">
        <w:t xml:space="preserve"> Careers and Education project (</w:t>
      </w:r>
      <w:r>
        <w:t xml:space="preserve">OMB </w:t>
      </w:r>
      <w:r w:rsidR="00791834">
        <w:t xml:space="preserve">Control Number </w:t>
      </w:r>
      <w:r>
        <w:t>0970-03970</w:t>
      </w:r>
      <w:r w:rsidR="00791834">
        <w:t>) achieved response rates of 76.2</w:t>
      </w:r>
      <w:r>
        <w:t xml:space="preserve"> percent and </w:t>
      </w:r>
      <w:r w:rsidR="00791834">
        <w:t>77.2</w:t>
      </w:r>
      <w:r>
        <w:t xml:space="preserve"> percent, respectively, at 15-month</w:t>
      </w:r>
      <w:r w:rsidR="00791834">
        <w:t>s</w:t>
      </w:r>
      <w:r>
        <w:t xml:space="preserve"> follow up.</w:t>
      </w:r>
    </w:p>
    <w:p w14:paraId="6FE522A5" w14:textId="77777777" w:rsidR="003C0A01" w:rsidRDefault="003C0A01" w:rsidP="003C0A01">
      <w:pPr>
        <w:pStyle w:val="Heading2"/>
      </w:pPr>
      <w:bookmarkStart w:id="12" w:name="_Toc354131255"/>
      <w:bookmarkStart w:id="13" w:name="_Toc322083616"/>
      <w:bookmarkStart w:id="14" w:name="_Toc445214038"/>
      <w:bookmarkStart w:id="15" w:name="_Toc451763639"/>
      <w:bookmarkStart w:id="16" w:name="_Toc508364233"/>
      <w:bookmarkEnd w:id="10"/>
      <w:r>
        <w:t>B.2</w:t>
      </w:r>
      <w:r>
        <w:tab/>
        <w:t>Procedures for Collection of Information</w:t>
      </w:r>
      <w:bookmarkEnd w:id="12"/>
      <w:bookmarkEnd w:id="13"/>
      <w:bookmarkEnd w:id="14"/>
      <w:bookmarkEnd w:id="15"/>
      <w:bookmarkEnd w:id="16"/>
    </w:p>
    <w:p w14:paraId="446F0B87" w14:textId="77777777" w:rsidR="003C0A01" w:rsidRDefault="003C0A01" w:rsidP="003C0A01">
      <w:pPr>
        <w:pStyle w:val="Heading3"/>
      </w:pPr>
      <w:bookmarkStart w:id="17" w:name="_Toc354131256"/>
      <w:r>
        <w:t xml:space="preserve">B.2.1 </w:t>
      </w:r>
      <w:r>
        <w:tab/>
      </w:r>
      <w:r w:rsidR="001B5197" w:rsidRPr="001B5197">
        <w:t>Statistical methodology for stratification and sample selection</w:t>
      </w:r>
      <w:bookmarkEnd w:id="17"/>
    </w:p>
    <w:p w14:paraId="731A0FFC" w14:textId="2A2F3AF6" w:rsidR="003C0A01" w:rsidRDefault="003C0A01" w:rsidP="003C0A01">
      <w:pPr>
        <w:pStyle w:val="BodyText"/>
        <w:rPr>
          <w:iCs/>
        </w:rPr>
      </w:pPr>
      <w:r>
        <w:rPr>
          <w:iCs/>
        </w:rPr>
        <w:t xml:space="preserve">No sampling will be required for the </w:t>
      </w:r>
      <w:r w:rsidR="001B5197">
        <w:rPr>
          <w:iCs/>
        </w:rPr>
        <w:t>CCCA</w:t>
      </w:r>
      <w:r>
        <w:rPr>
          <w:iCs/>
        </w:rPr>
        <w:t xml:space="preserve"> 18-month follow-up survey.</w:t>
      </w:r>
      <w:r w:rsidR="00DB6BF1">
        <w:rPr>
          <w:iCs/>
        </w:rPr>
        <w:t xml:space="preserve"> </w:t>
      </w:r>
      <w:r w:rsidR="00122301">
        <w:rPr>
          <w:iCs/>
        </w:rPr>
        <w:t xml:space="preserve">(Weighting for survey non-response is discussed below; see </w:t>
      </w:r>
      <w:r w:rsidR="00DB6BF1" w:rsidRPr="00DB6BF1">
        <w:rPr>
          <w:iCs/>
        </w:rPr>
        <w:t>Section B.3.4</w:t>
      </w:r>
      <w:r w:rsidR="00122301">
        <w:rPr>
          <w:iCs/>
        </w:rPr>
        <w:t>.)</w:t>
      </w:r>
    </w:p>
    <w:p w14:paraId="49E41D80" w14:textId="77777777" w:rsidR="003C0A01" w:rsidRDefault="003C0A01" w:rsidP="003C0A01">
      <w:pPr>
        <w:pStyle w:val="Heading3"/>
      </w:pPr>
      <w:bookmarkStart w:id="18" w:name="_Toc354131257"/>
      <w:r>
        <w:t>B.2.2</w:t>
      </w:r>
      <w:r>
        <w:tab/>
      </w:r>
      <w:r w:rsidRPr="003122CE">
        <w:t>Estimation Procedures</w:t>
      </w:r>
      <w:bookmarkEnd w:id="18"/>
    </w:p>
    <w:p w14:paraId="4F4C8127" w14:textId="77777777" w:rsidR="00893E43" w:rsidRDefault="003C0A01" w:rsidP="00893E43">
      <w:pPr>
        <w:pStyle w:val="BodyText"/>
      </w:pPr>
      <w:bookmarkStart w:id="19" w:name="_Toc354131260"/>
      <w:r>
        <w:t xml:space="preserve">We start this section with a restatement of the </w:t>
      </w:r>
      <w:r w:rsidR="00893E43">
        <w:t>CCCA</w:t>
      </w:r>
      <w:r>
        <w:t xml:space="preserve"> Evaluation </w:t>
      </w:r>
      <w:r w:rsidR="00893E43">
        <w:t xml:space="preserve">Service Contrast and Impact </w:t>
      </w:r>
      <w:r>
        <w:t>research questions outlined in Section A.1.1 of Support</w:t>
      </w:r>
      <w:r w:rsidR="00893E43">
        <w:t>ing</w:t>
      </w:r>
      <w:r>
        <w:t xml:space="preserve"> Statement A.</w:t>
      </w:r>
      <w:r w:rsidR="00893E43" w:rsidRPr="00893E43">
        <w:t xml:space="preserve"> </w:t>
      </w:r>
    </w:p>
    <w:p w14:paraId="4503A436" w14:textId="753E04B2" w:rsidR="00893E43" w:rsidRDefault="00893E43" w:rsidP="00893E43">
      <w:pPr>
        <w:pStyle w:val="Bullets"/>
      </w:pPr>
      <w:r w:rsidRPr="000F18A0">
        <w:rPr>
          <w:b/>
        </w:rPr>
        <w:t xml:space="preserve">Service Contrast Analysis: How did program group members’ experiences differ from what their experiences would have been in the absence of CCCA (i.e., </w:t>
      </w:r>
      <w:r w:rsidRPr="000F18A0">
        <w:rPr>
          <w:b/>
          <w:i/>
        </w:rPr>
        <w:t>what are the impacts on services received</w:t>
      </w:r>
      <w:r w:rsidRPr="000F18A0">
        <w:rPr>
          <w:b/>
        </w:rPr>
        <w:t>)?</w:t>
      </w:r>
      <w:r>
        <w:t xml:space="preserve"> Specifically: </w:t>
      </w:r>
      <w:r w:rsidRPr="00A84BD1">
        <w:t>What impact did CCCA have on the dosage of education and training services received?</w:t>
      </w:r>
      <w:r>
        <w:t xml:space="preserve"> W</w:t>
      </w:r>
      <w:r w:rsidRPr="00A84BD1">
        <w:t>hat impact did CCCA have on total months of full-time equivalent enrollment in education or training</w:t>
      </w:r>
      <w:r>
        <w:t xml:space="preserve"> [</w:t>
      </w:r>
      <w:r>
        <w:rPr>
          <w:b/>
          <w:i/>
        </w:rPr>
        <w:t>t</w:t>
      </w:r>
      <w:r w:rsidRPr="000F18A0">
        <w:rPr>
          <w:b/>
          <w:i/>
        </w:rPr>
        <w:t xml:space="preserve">his is the </w:t>
      </w:r>
      <w:r>
        <w:rPr>
          <w:b/>
          <w:i/>
        </w:rPr>
        <w:t>confirmatory research q</w:t>
      </w:r>
      <w:r w:rsidRPr="000F18A0">
        <w:rPr>
          <w:b/>
          <w:i/>
        </w:rPr>
        <w:t>uestion</w:t>
      </w:r>
      <w:r w:rsidR="00FA11C3">
        <w:rPr>
          <w:b/>
          <w:i/>
        </w:rPr>
        <w:t xml:space="preserve"> for the 1</w:t>
      </w:r>
      <w:r w:rsidR="00DD2948">
        <w:rPr>
          <w:b/>
          <w:i/>
        </w:rPr>
        <w:t>8</w:t>
      </w:r>
      <w:r w:rsidR="00FA11C3">
        <w:rPr>
          <w:b/>
          <w:i/>
        </w:rPr>
        <w:t>-months survey</w:t>
      </w:r>
      <w:r>
        <w:t xml:space="preserve">]? </w:t>
      </w:r>
      <w:r w:rsidRPr="00A84BD1">
        <w:t xml:space="preserve">What impact did CCCA have on total months of education, training, or </w:t>
      </w:r>
      <w:r w:rsidRPr="005C25F7">
        <w:t>employment</w:t>
      </w:r>
      <w:r w:rsidRPr="00A84BD1">
        <w:t xml:space="preserve"> (including military service)?</w:t>
      </w:r>
      <w:r>
        <w:t xml:space="preserve"> </w:t>
      </w:r>
      <w:r w:rsidRPr="009D342B">
        <w:t>What impact did CCCA have on receipt of instruction on non-cognitive skills (e.g., social/emotional intelligence)?</w:t>
      </w:r>
      <w:r w:rsidRPr="00307050">
        <w:t xml:space="preserve"> </w:t>
      </w:r>
      <w:r w:rsidRPr="00A84BD1">
        <w:t xml:space="preserve">How </w:t>
      </w:r>
      <w:r>
        <w:t>do</w:t>
      </w:r>
      <w:r w:rsidRPr="00A84BD1">
        <w:t xml:space="preserve"> these impacts vary </w:t>
      </w:r>
      <w:r>
        <w:t>by</w:t>
      </w:r>
      <w:r w:rsidRPr="00A84BD1">
        <w:t xml:space="preserve"> student characteristics?</w:t>
      </w:r>
    </w:p>
    <w:p w14:paraId="37BF8CCD" w14:textId="67472669" w:rsidR="00893E43" w:rsidRDefault="00893E43" w:rsidP="00893E43">
      <w:pPr>
        <w:pStyle w:val="Bullets"/>
      </w:pPr>
      <w:r w:rsidRPr="000F18A0">
        <w:rPr>
          <w:b/>
        </w:rPr>
        <w:t xml:space="preserve">Impact Analysis: How do program group members’ outcomes differ from control group members’ outcomes (i.e., what are the impacts of the program)? </w:t>
      </w:r>
      <w:r>
        <w:t>Specifically: What impact did CCCA have on education, employment, and earnings</w:t>
      </w:r>
      <w:r w:rsidR="00DD2948">
        <w:rPr>
          <w:rStyle w:val="FootnoteReference"/>
        </w:rPr>
        <w:footnoteReference w:id="2"/>
      </w:r>
      <w:r>
        <w:t xml:space="preserve"> outcomes? </w:t>
      </w:r>
      <w:r w:rsidRPr="00C040C6">
        <w:t>Does CCCA improve critical social-emotional skills, such as self-efficacy</w:t>
      </w:r>
      <w:r w:rsidR="00776890">
        <w:t xml:space="preserve"> and engagement in risky behaviors</w:t>
      </w:r>
      <w:r w:rsidRPr="00C040C6">
        <w:t>?</w:t>
      </w:r>
      <w:r w:rsidRPr="00E91EBD">
        <w:t xml:space="preserve"> </w:t>
      </w:r>
      <w:r w:rsidRPr="00A84BD1">
        <w:t xml:space="preserve">How </w:t>
      </w:r>
      <w:r>
        <w:t>do</w:t>
      </w:r>
      <w:r w:rsidRPr="00A84BD1">
        <w:t xml:space="preserve"> these impacts vary </w:t>
      </w:r>
      <w:r>
        <w:t>by</w:t>
      </w:r>
      <w:r w:rsidRPr="00A84BD1">
        <w:t xml:space="preserve"> student characteristics?</w:t>
      </w:r>
    </w:p>
    <w:p w14:paraId="12FB4006" w14:textId="77777777" w:rsidR="003C0A01" w:rsidRDefault="003C0A01" w:rsidP="00893E43">
      <w:pPr>
        <w:pStyle w:val="BodyText"/>
      </w:pPr>
      <w:r>
        <w:t xml:space="preserve">The aim of the </w:t>
      </w:r>
      <w:r w:rsidR="00893E43">
        <w:t>study is to estimate net impact on</w:t>
      </w:r>
      <w:r>
        <w:t xml:space="preserve"> outcomes </w:t>
      </w:r>
      <w:r w:rsidR="00C738DC">
        <w:t xml:space="preserve">for individuals </w:t>
      </w:r>
      <w:r>
        <w:t xml:space="preserve">with access to the </w:t>
      </w:r>
      <w:r w:rsidR="00893E43">
        <w:t>CCCA</w:t>
      </w:r>
      <w:r>
        <w:t xml:space="preserve"> program, relative to what outcomes would have been without the program, holding all else equal. </w:t>
      </w:r>
    </w:p>
    <w:p w14:paraId="4BD3F2C2" w14:textId="77777777" w:rsidR="003C0A01" w:rsidRDefault="003C0A01" w:rsidP="003C0A01">
      <w:pPr>
        <w:pStyle w:val="BodyText"/>
      </w:pPr>
      <w:r>
        <w:t xml:space="preserve">Our approach builds on the random assignment design of the evaluation. With random assignment, outcomes for the control group—those randomly chosen </w:t>
      </w:r>
      <w:r w:rsidRPr="00D84D49">
        <w:rPr>
          <w:i/>
        </w:rPr>
        <w:t>not</w:t>
      </w:r>
      <w:r>
        <w:t xml:space="preserve"> to be offered program services—are a valid proxy for what the outcomes </w:t>
      </w:r>
      <w:r w:rsidRPr="00D84D49">
        <w:rPr>
          <w:i/>
        </w:rPr>
        <w:t>would have been</w:t>
      </w:r>
      <w:r>
        <w:t xml:space="preserve"> for the treatment group, if they likewise had </w:t>
      </w:r>
      <w:r w:rsidRPr="00D84D49">
        <w:rPr>
          <w:i/>
        </w:rPr>
        <w:t>not</w:t>
      </w:r>
      <w:r>
        <w:t xml:space="preserve"> been offered the program. It follows that comparing observed outcomes for the treatment and control groups provides an unbiased estimate of the causal effect of being offered the </w:t>
      </w:r>
      <w:r w:rsidR="00893E43">
        <w:t>CCCA</w:t>
      </w:r>
      <w:r>
        <w:t xml:space="preserve"> training program. </w:t>
      </w:r>
    </w:p>
    <w:p w14:paraId="1D14C862" w14:textId="77777777" w:rsidR="003C0A01" w:rsidRPr="00CE29A8" w:rsidRDefault="003C0A01" w:rsidP="003C0A01">
      <w:pPr>
        <w:pStyle w:val="BodyText"/>
      </w:pPr>
      <w:r>
        <w:t xml:space="preserve">This evaluation will estimate program impacts for each of the areas specified in the research questions. </w:t>
      </w:r>
      <w:r w:rsidRPr="00CE29A8">
        <w:t xml:space="preserve">Because this is a random assignment study, a simple comparison of mean outcomes for </w:t>
      </w:r>
      <w:r>
        <w:t xml:space="preserve">treatment </w:t>
      </w:r>
      <w:r w:rsidRPr="00CE29A8">
        <w:t>and control participants will yield valid estimates of the causal impact of being offered the</w:t>
      </w:r>
      <w:r>
        <w:t xml:space="preserve"> </w:t>
      </w:r>
      <w:r w:rsidR="00893E43">
        <w:t>CCCA</w:t>
      </w:r>
      <w:r>
        <w:t xml:space="preserve"> </w:t>
      </w:r>
      <w:r w:rsidR="00893E43">
        <w:t>program</w:t>
      </w:r>
      <w:r>
        <w:t xml:space="preserve">. Nevertheless, estimating impacts via linear regression on baseline characteristics among the sample participants will yield </w:t>
      </w:r>
      <w:r w:rsidRPr="00CE29A8">
        <w:t xml:space="preserve">more precise estimates of </w:t>
      </w:r>
      <w:r w:rsidR="00893E43">
        <w:t>impacts</w:t>
      </w:r>
      <w:r w:rsidRPr="00CE29A8">
        <w:t xml:space="preserve">: </w:t>
      </w:r>
    </w:p>
    <w:p w14:paraId="41580B27" w14:textId="77777777" w:rsidR="00893E43" w:rsidRPr="00A84BD1" w:rsidRDefault="00893E43" w:rsidP="00893E43">
      <w:pPr>
        <w:pStyle w:val="BodyText"/>
        <w:tabs>
          <w:tab w:val="left" w:pos="720"/>
          <w:tab w:val="right" w:pos="9360"/>
        </w:tabs>
      </w:pPr>
      <w:r w:rsidRPr="00A84BD1">
        <w:tab/>
      </w:r>
      <w:r w:rsidR="005040A3" w:rsidRPr="005040A3">
        <w:rPr>
          <w:position w:val="-12"/>
          <w:szCs w:val="22"/>
        </w:rPr>
        <w:object w:dxaOrig="2299" w:dyaOrig="360" w14:anchorId="32F42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18.45pt" o:ole="">
            <v:imagedata r:id="rId9" o:title=""/>
          </v:shape>
          <o:OLEObject Type="Embed" ProgID="Equation.3" ShapeID="_x0000_i1025" DrawAspect="Content" ObjectID="_1616405989" r:id="rId10"/>
        </w:object>
      </w:r>
      <w:r w:rsidRPr="00A84BD1">
        <w:tab/>
        <w:t>[</w:t>
      </w:r>
      <w:r>
        <w:t>B</w:t>
      </w:r>
      <w:r w:rsidRPr="00A84BD1">
        <w:t>.1]</w:t>
      </w:r>
    </w:p>
    <w:p w14:paraId="69B0AFCE" w14:textId="125095E9" w:rsidR="00893E43" w:rsidRDefault="00893E43" w:rsidP="00893E43">
      <w:pPr>
        <w:pStyle w:val="BodyText"/>
      </w:pPr>
      <w:r w:rsidRPr="00A84BD1">
        <w:t xml:space="preserve">where </w:t>
      </w:r>
      <w:r w:rsidRPr="00A84BD1">
        <w:rPr>
          <w:i/>
        </w:rPr>
        <w:t>y</w:t>
      </w:r>
      <w:r w:rsidRPr="00A84BD1">
        <w:rPr>
          <w:i/>
          <w:vertAlign w:val="subscript"/>
        </w:rPr>
        <w:t>i</w:t>
      </w:r>
      <w:r w:rsidRPr="00A84BD1">
        <w:t xml:space="preserve"> reflects the outcome variable for an individual </w:t>
      </w:r>
      <w:r w:rsidRPr="005040A3">
        <w:t xml:space="preserve">randomized </w:t>
      </w:r>
      <w:r w:rsidRPr="005040A3">
        <w:rPr>
          <w:i/>
        </w:rPr>
        <w:t>i</w:t>
      </w:r>
      <w:r w:rsidRPr="005040A3">
        <w:t xml:space="preserve">, which is modelled as potentially varying with whether she is offered the program </w:t>
      </w:r>
      <w:r w:rsidRPr="005040A3">
        <w:rPr>
          <w:i/>
        </w:rPr>
        <w:t>D</w:t>
      </w:r>
      <w:r w:rsidRPr="005040A3">
        <w:rPr>
          <w:i/>
          <w:vertAlign w:val="subscript"/>
        </w:rPr>
        <w:t>i</w:t>
      </w:r>
      <w:r w:rsidRPr="005040A3">
        <w:t xml:space="preserve"> (equal to 1 if </w:t>
      </w:r>
      <w:r w:rsidRPr="005040A3">
        <w:rPr>
          <w:i/>
        </w:rPr>
        <w:t xml:space="preserve">i </w:t>
      </w:r>
      <w:r w:rsidRPr="005040A3">
        <w:t xml:space="preserve">is offered the program, or 0 if she is a control), her background characteristics </w:t>
      </w:r>
      <w:r w:rsidRPr="005040A3">
        <w:rPr>
          <w:i/>
        </w:rPr>
        <w:t>X</w:t>
      </w:r>
      <w:r w:rsidRPr="005040A3">
        <w:rPr>
          <w:i/>
          <w:vertAlign w:val="subscript"/>
        </w:rPr>
        <w:t>i</w:t>
      </w:r>
      <w:r w:rsidRPr="005040A3">
        <w:t xml:space="preserve"> (measured at randomization), and an idiosyncratic</w:t>
      </w:r>
      <w:r w:rsidRPr="00A84BD1">
        <w:t xml:space="preserve"> time-specific error </w:t>
      </w:r>
      <w:r w:rsidRPr="00A84BD1">
        <w:rPr>
          <w:rFonts w:ascii="Symbol" w:hAnsi="Symbol"/>
          <w:i/>
        </w:rPr>
        <w:t></w:t>
      </w:r>
      <w:r w:rsidRPr="00A84BD1">
        <w:rPr>
          <w:i/>
          <w:vertAlign w:val="subscript"/>
        </w:rPr>
        <w:t>i</w:t>
      </w:r>
      <w:r w:rsidRPr="00A84BD1">
        <w:t xml:space="preserve"> (assumed to be on average equal to 0). The parameter of interest is </w:t>
      </w:r>
      <w:r w:rsidRPr="00A84BD1">
        <w:rPr>
          <w:rFonts w:ascii="Symbol" w:hAnsi="Symbol"/>
          <w:i/>
        </w:rPr>
        <w:t></w:t>
      </w:r>
      <w:r w:rsidRPr="00A84BD1">
        <w:t xml:space="preserve">, the level difference in outcome </w:t>
      </w:r>
      <w:r w:rsidRPr="00A84BD1">
        <w:rPr>
          <w:i/>
        </w:rPr>
        <w:t>y</w:t>
      </w:r>
      <w:r w:rsidRPr="00A84BD1">
        <w:t xml:space="preserve"> for those offered the program (</w:t>
      </w:r>
      <w:r w:rsidRPr="00A84BD1">
        <w:rPr>
          <w:i/>
        </w:rPr>
        <w:t xml:space="preserve">D </w:t>
      </w:r>
      <w:r w:rsidRPr="00A84BD1">
        <w:t>= 1), relative to those who are not (</w:t>
      </w:r>
      <w:r w:rsidRPr="00A84BD1">
        <w:rPr>
          <w:i/>
        </w:rPr>
        <w:t>D</w:t>
      </w:r>
      <w:r w:rsidRPr="00A84BD1">
        <w:t xml:space="preserve"> = 0). </w:t>
      </w:r>
    </w:p>
    <w:p w14:paraId="03315809" w14:textId="1F7B4EA6" w:rsidR="007C542E" w:rsidRPr="00A84BD1" w:rsidRDefault="007C542E" w:rsidP="007C542E">
      <w:pPr>
        <w:pStyle w:val="BodyText"/>
      </w:pPr>
      <w:r>
        <w:t>The final set</w:t>
      </w:r>
      <w:r w:rsidRPr="00A84BD1">
        <w:t xml:space="preserve"> of </w:t>
      </w:r>
      <w:r w:rsidR="001535C6">
        <w:t xml:space="preserve">background characteristics </w:t>
      </w:r>
      <w:r>
        <w:t>included in the model will be determined based upon assessment of the variation of each item as well as</w:t>
      </w:r>
      <w:r w:rsidRPr="007C542E">
        <w:t xml:space="preserve"> </w:t>
      </w:r>
      <w:r>
        <w:t xml:space="preserve">the resultant </w:t>
      </w:r>
      <w:r w:rsidRPr="00A84BD1">
        <w:t>increase</w:t>
      </w:r>
      <w:r>
        <w:t xml:space="preserve"> in</w:t>
      </w:r>
      <w:r w:rsidRPr="00A84BD1">
        <w:t xml:space="preserve"> </w:t>
      </w:r>
      <w:r>
        <w:t xml:space="preserve">the </w:t>
      </w:r>
      <w:r w:rsidRPr="00A84BD1">
        <w:t>precision of</w:t>
      </w:r>
      <w:r>
        <w:t xml:space="preserve"> the</w:t>
      </w:r>
      <w:r w:rsidRPr="00A84BD1">
        <w:t xml:space="preserve"> impact estimates</w:t>
      </w:r>
      <w:r>
        <w:t xml:space="preserve"> inclusion of the item will provide (relative to the reduction in </w:t>
      </w:r>
      <w:r w:rsidRPr="00A84BD1">
        <w:t>degrees of freedom</w:t>
      </w:r>
      <w:r>
        <w:t>)</w:t>
      </w:r>
      <w:r w:rsidRPr="00A84BD1">
        <w:t xml:space="preserve">. Exhibit </w:t>
      </w:r>
      <w:r w:rsidR="001535C6">
        <w:t>B.2</w:t>
      </w:r>
      <w:r w:rsidRPr="00A84BD1">
        <w:t xml:space="preserve"> lists the independent variables the evaluation team tentatively plans to include as background characteristics </w:t>
      </w:r>
      <w:r w:rsidRPr="00A84BD1">
        <w:rPr>
          <w:i/>
        </w:rPr>
        <w:t>X</w:t>
      </w:r>
      <w:r w:rsidRPr="00A84BD1">
        <w:t xml:space="preserve">, primarily demographics collected in the </w:t>
      </w:r>
      <w:r>
        <w:t>Baseline Information Form (OMB approval #</w:t>
      </w:r>
      <w:r w:rsidR="001535C6">
        <w:t>1290-0012</w:t>
      </w:r>
      <w:r>
        <w:t xml:space="preserve">) </w:t>
      </w:r>
      <w:r w:rsidRPr="00A84BD1">
        <w:t xml:space="preserve">and from </w:t>
      </w:r>
      <w:r>
        <w:t>the Job Corps’ national MIS</w:t>
      </w:r>
      <w:r w:rsidRPr="00A84BD1">
        <w:t xml:space="preserve">. </w:t>
      </w:r>
    </w:p>
    <w:p w14:paraId="170B10E3" w14:textId="3875E525" w:rsidR="007C542E" w:rsidRPr="00A84BD1" w:rsidRDefault="007C542E" w:rsidP="007C542E">
      <w:pPr>
        <w:pStyle w:val="Caption"/>
        <w:rPr>
          <w:strike/>
        </w:rPr>
      </w:pPr>
      <w:bookmarkStart w:id="20" w:name="_Toc488744156"/>
      <w:r w:rsidRPr="00A84BD1">
        <w:t xml:space="preserve">Exhibit </w:t>
      </w:r>
      <w:r w:rsidR="001535C6">
        <w:t xml:space="preserve">B.2 </w:t>
      </w:r>
      <w:r w:rsidRPr="00A84BD1">
        <w:t xml:space="preserve">Tentative List of </w:t>
      </w:r>
      <w:bookmarkEnd w:id="20"/>
      <w:r w:rsidR="001535C6">
        <w:t xml:space="preserve">Background Characteristics </w:t>
      </w:r>
      <w:r w:rsidRPr="00A84BD1">
        <w:t xml:space="preserve"> </w:t>
      </w:r>
    </w:p>
    <w:tbl>
      <w:tblPr>
        <w:tblStyle w:val="AbtFinal"/>
        <w:tblW w:w="0" w:type="auto"/>
        <w:tblLook w:val="04A0" w:firstRow="1" w:lastRow="0" w:firstColumn="1" w:lastColumn="0" w:noHBand="0" w:noVBand="1"/>
      </w:tblPr>
      <w:tblGrid>
        <w:gridCol w:w="9576"/>
      </w:tblGrid>
      <w:tr w:rsidR="001535C6" w:rsidRPr="00A84BD1" w14:paraId="2ED54DD8" w14:textId="77777777" w:rsidTr="00AA4753">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1E93901D" w14:textId="15794BF8" w:rsidR="001535C6" w:rsidRPr="00A84BD1" w:rsidRDefault="001535C6" w:rsidP="00AA4753">
            <w:pPr>
              <w:pStyle w:val="ExhibitColumnHeader"/>
              <w:rPr>
                <w:b/>
              </w:rPr>
            </w:pPr>
            <w:r>
              <w:rPr>
                <w:b/>
              </w:rPr>
              <w:t xml:space="preserve">Background Characteristic </w:t>
            </w:r>
            <w:r w:rsidRPr="00A84BD1">
              <w:rPr>
                <w:b/>
              </w:rPr>
              <w:t>(Measured at Baseline)</w:t>
            </w:r>
          </w:p>
        </w:tc>
      </w:tr>
      <w:tr w:rsidR="001535C6" w:rsidRPr="00AA4753" w14:paraId="040CC337"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481822EC" w14:textId="77777777" w:rsidR="001535C6" w:rsidRPr="00AA4753" w:rsidRDefault="001535C6" w:rsidP="00945EBE">
            <w:pPr>
              <w:pStyle w:val="ExhibitText"/>
              <w:rPr>
                <w:szCs w:val="18"/>
              </w:rPr>
            </w:pPr>
            <w:r w:rsidRPr="00AA4753">
              <w:rPr>
                <w:szCs w:val="18"/>
              </w:rPr>
              <w:t>Gender</w:t>
            </w:r>
          </w:p>
        </w:tc>
      </w:tr>
      <w:tr w:rsidR="001535C6" w:rsidRPr="00AA4753" w14:paraId="3DE1E8A7"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78A9D258" w14:textId="77777777" w:rsidR="001535C6" w:rsidRPr="00AA4753" w:rsidRDefault="001535C6" w:rsidP="00945EBE">
            <w:pPr>
              <w:pStyle w:val="ExhibitText"/>
              <w:rPr>
                <w:szCs w:val="18"/>
              </w:rPr>
            </w:pPr>
            <w:r w:rsidRPr="00AA4753">
              <w:rPr>
                <w:szCs w:val="18"/>
              </w:rPr>
              <w:t>Black / Non-Black</w:t>
            </w:r>
          </w:p>
        </w:tc>
      </w:tr>
      <w:tr w:rsidR="001535C6" w:rsidRPr="00AA4753" w14:paraId="504EE3DA"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1EA715ED" w14:textId="77777777" w:rsidR="001535C6" w:rsidRPr="00AA4753" w:rsidRDefault="001535C6" w:rsidP="00945EBE">
            <w:pPr>
              <w:pStyle w:val="ExhibitText"/>
              <w:rPr>
                <w:szCs w:val="18"/>
              </w:rPr>
            </w:pPr>
            <w:r w:rsidRPr="00AA4753">
              <w:rPr>
                <w:szCs w:val="18"/>
              </w:rPr>
              <w:t>Hispanic / Non-Hispanic</w:t>
            </w:r>
          </w:p>
        </w:tc>
      </w:tr>
      <w:tr w:rsidR="001535C6" w:rsidRPr="00AA4753" w14:paraId="4EF71924"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7D880B51" w14:textId="77777777" w:rsidR="001535C6" w:rsidRPr="00AA4753" w:rsidRDefault="001535C6" w:rsidP="00945EBE">
            <w:pPr>
              <w:pStyle w:val="ExhibitText"/>
              <w:rPr>
                <w:szCs w:val="18"/>
              </w:rPr>
            </w:pPr>
            <w:r w:rsidRPr="00AA4753">
              <w:rPr>
                <w:szCs w:val="18"/>
              </w:rPr>
              <w:t>Age</w:t>
            </w:r>
          </w:p>
        </w:tc>
      </w:tr>
      <w:tr w:rsidR="001535C6" w:rsidRPr="00AA4753" w14:paraId="62DC6D75"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788C5051" w14:textId="77777777" w:rsidR="001535C6" w:rsidRPr="00AA4753" w:rsidRDefault="001535C6" w:rsidP="00945EBE">
            <w:pPr>
              <w:pStyle w:val="ExhibitText"/>
              <w:rPr>
                <w:szCs w:val="18"/>
              </w:rPr>
            </w:pPr>
            <w:r w:rsidRPr="00AA4753">
              <w:rPr>
                <w:szCs w:val="18"/>
              </w:rPr>
              <w:t>Education (dummy variables for grades 6-12, GED, HS diploma, some college, occupational degree or higher; excluded category is less than high school)</w:t>
            </w:r>
          </w:p>
        </w:tc>
      </w:tr>
      <w:tr w:rsidR="001535C6" w:rsidRPr="00AA4753" w14:paraId="10E82861"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3D5FFCD8" w14:textId="77777777" w:rsidR="001535C6" w:rsidRPr="00AA4753" w:rsidRDefault="001535C6" w:rsidP="00945EBE">
            <w:pPr>
              <w:pStyle w:val="ExhibitText"/>
              <w:rPr>
                <w:szCs w:val="18"/>
              </w:rPr>
            </w:pPr>
            <w:r w:rsidRPr="00AA4753">
              <w:rPr>
                <w:szCs w:val="18"/>
              </w:rPr>
              <w:t>Currently employed (from BIF)</w:t>
            </w:r>
          </w:p>
        </w:tc>
      </w:tr>
      <w:tr w:rsidR="001535C6" w:rsidRPr="00AA4753" w14:paraId="22997617"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3561BCEC" w14:textId="77777777" w:rsidR="001535C6" w:rsidRPr="00AA4753" w:rsidRDefault="001535C6" w:rsidP="00945EBE">
            <w:pPr>
              <w:pStyle w:val="ExhibitText"/>
              <w:rPr>
                <w:szCs w:val="18"/>
              </w:rPr>
            </w:pPr>
            <w:r w:rsidRPr="00AA4753">
              <w:rPr>
                <w:szCs w:val="18"/>
              </w:rPr>
              <w:t>Track (healthcare/IT)</w:t>
            </w:r>
          </w:p>
        </w:tc>
      </w:tr>
      <w:tr w:rsidR="001535C6" w:rsidRPr="00AA4753" w14:paraId="0EB3C8A5"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74541643" w14:textId="77777777" w:rsidR="001535C6" w:rsidRPr="00AA4753" w:rsidRDefault="001535C6" w:rsidP="00945EBE">
            <w:pPr>
              <w:pStyle w:val="ExhibitText"/>
              <w:rPr>
                <w:szCs w:val="18"/>
              </w:rPr>
            </w:pPr>
            <w:r w:rsidRPr="00AA4753">
              <w:rPr>
                <w:szCs w:val="18"/>
              </w:rPr>
              <w:t xml:space="preserve">Marital status </w:t>
            </w:r>
          </w:p>
        </w:tc>
      </w:tr>
      <w:tr w:rsidR="001535C6" w:rsidRPr="00AA4753" w14:paraId="7A9363F5"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2225175E" w14:textId="77777777" w:rsidR="001535C6" w:rsidRPr="00AA4753" w:rsidRDefault="001535C6" w:rsidP="00945EBE">
            <w:pPr>
              <w:pStyle w:val="ExhibitText"/>
              <w:rPr>
                <w:szCs w:val="18"/>
              </w:rPr>
            </w:pPr>
            <w:r w:rsidRPr="00AA4753">
              <w:rPr>
                <w:szCs w:val="18"/>
              </w:rPr>
              <w:t>Lagged employment and earnings (from NDNH)</w:t>
            </w:r>
          </w:p>
        </w:tc>
      </w:tr>
      <w:tr w:rsidR="001535C6" w:rsidRPr="00AA4753" w14:paraId="7EF4EE12"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036EB7A7" w14:textId="77777777" w:rsidR="001535C6" w:rsidRPr="00AA4753" w:rsidRDefault="001535C6" w:rsidP="00945EBE">
            <w:pPr>
              <w:pStyle w:val="ExhibitText"/>
              <w:rPr>
                <w:szCs w:val="18"/>
              </w:rPr>
            </w:pPr>
            <w:r w:rsidRPr="00AA4753">
              <w:rPr>
                <w:szCs w:val="18"/>
              </w:rPr>
              <w:t>Number of dependent children</w:t>
            </w:r>
          </w:p>
        </w:tc>
      </w:tr>
      <w:tr w:rsidR="001535C6" w:rsidRPr="00AA4753" w14:paraId="4E12AF38"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155E2BAB" w14:textId="77777777" w:rsidR="001535C6" w:rsidRPr="00AA4753" w:rsidRDefault="001535C6" w:rsidP="00945EBE">
            <w:pPr>
              <w:pStyle w:val="ExhibitText"/>
              <w:rPr>
                <w:szCs w:val="18"/>
              </w:rPr>
            </w:pPr>
            <w:r w:rsidRPr="00AA4753">
              <w:rPr>
                <w:szCs w:val="18"/>
              </w:rPr>
              <w:t>Speaks language other than English at home</w:t>
            </w:r>
          </w:p>
        </w:tc>
      </w:tr>
      <w:tr w:rsidR="001535C6" w:rsidRPr="00AA4753" w14:paraId="659F7EFE"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3DD8D335" w14:textId="77777777" w:rsidR="001535C6" w:rsidRPr="00AA4753" w:rsidRDefault="001535C6" w:rsidP="00945EBE">
            <w:pPr>
              <w:pStyle w:val="ExhibitText"/>
              <w:rPr>
                <w:szCs w:val="18"/>
              </w:rPr>
            </w:pPr>
            <w:r w:rsidRPr="00AA4753">
              <w:rPr>
                <w:szCs w:val="18"/>
              </w:rPr>
              <w:t xml:space="preserve">Mother’s highest education </w:t>
            </w:r>
          </w:p>
        </w:tc>
      </w:tr>
      <w:tr w:rsidR="001535C6" w:rsidRPr="00AA4753" w14:paraId="5E6E142F"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32D7B608" w14:textId="77777777" w:rsidR="001535C6" w:rsidRPr="00AA4753" w:rsidRDefault="001535C6" w:rsidP="00945EBE">
            <w:pPr>
              <w:pStyle w:val="ExhibitText"/>
              <w:rPr>
                <w:szCs w:val="18"/>
              </w:rPr>
            </w:pPr>
            <w:r w:rsidRPr="00AA4753">
              <w:rPr>
                <w:szCs w:val="18"/>
              </w:rPr>
              <w:t xml:space="preserve">Father’s highest education </w:t>
            </w:r>
          </w:p>
        </w:tc>
      </w:tr>
      <w:tr w:rsidR="001535C6" w:rsidRPr="00AA4753" w14:paraId="759D3FE9"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40093799" w14:textId="77777777" w:rsidR="001535C6" w:rsidRPr="00AA4753" w:rsidRDefault="001535C6" w:rsidP="00945EBE">
            <w:pPr>
              <w:pStyle w:val="ExhibitText"/>
              <w:rPr>
                <w:szCs w:val="18"/>
              </w:rPr>
            </w:pPr>
            <w:r w:rsidRPr="00AA4753">
              <w:rPr>
                <w:szCs w:val="18"/>
              </w:rPr>
              <w:t>Mother currently employed</w:t>
            </w:r>
          </w:p>
        </w:tc>
      </w:tr>
      <w:tr w:rsidR="001535C6" w:rsidRPr="00AA4753" w14:paraId="43978D6C"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2CA9C010" w14:textId="77777777" w:rsidR="001535C6" w:rsidRPr="00AA4753" w:rsidRDefault="001535C6" w:rsidP="00945EBE">
            <w:pPr>
              <w:pStyle w:val="ExhibitText"/>
              <w:rPr>
                <w:szCs w:val="18"/>
              </w:rPr>
            </w:pPr>
            <w:r w:rsidRPr="00AA4753">
              <w:rPr>
                <w:szCs w:val="18"/>
              </w:rPr>
              <w:t xml:space="preserve">Father currently employed </w:t>
            </w:r>
          </w:p>
        </w:tc>
      </w:tr>
      <w:tr w:rsidR="001535C6" w:rsidRPr="00AA4753" w14:paraId="1FB47D83"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2819302B" w14:textId="77777777" w:rsidR="001535C6" w:rsidRPr="00AA4753" w:rsidRDefault="001535C6" w:rsidP="00945EBE">
            <w:pPr>
              <w:pStyle w:val="ExhibitText"/>
              <w:rPr>
                <w:szCs w:val="18"/>
              </w:rPr>
            </w:pPr>
            <w:r w:rsidRPr="00AA4753">
              <w:rPr>
                <w:szCs w:val="18"/>
              </w:rPr>
              <w:t xml:space="preserve">Current SNAP recipient </w:t>
            </w:r>
          </w:p>
        </w:tc>
      </w:tr>
      <w:tr w:rsidR="001535C6" w:rsidRPr="00AA4753" w14:paraId="70440557"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6A3FD404" w14:textId="77777777" w:rsidR="001535C6" w:rsidRPr="00AA4753" w:rsidRDefault="001535C6" w:rsidP="00945EBE">
            <w:pPr>
              <w:pStyle w:val="ExhibitText"/>
              <w:rPr>
                <w:szCs w:val="18"/>
              </w:rPr>
            </w:pPr>
            <w:r w:rsidRPr="00AA4753">
              <w:rPr>
                <w:szCs w:val="18"/>
              </w:rPr>
              <w:t xml:space="preserve">Ever a TANF recipient </w:t>
            </w:r>
          </w:p>
        </w:tc>
      </w:tr>
      <w:tr w:rsidR="001535C6" w:rsidRPr="00AA4753" w14:paraId="6745CE23"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7C8DD0B0" w14:textId="77777777" w:rsidR="001535C6" w:rsidRPr="00AA4753" w:rsidRDefault="001535C6" w:rsidP="00945EBE">
            <w:pPr>
              <w:pStyle w:val="ExhibitText"/>
              <w:rPr>
                <w:szCs w:val="18"/>
              </w:rPr>
            </w:pPr>
            <w:r w:rsidRPr="00AA4753">
              <w:rPr>
                <w:szCs w:val="18"/>
              </w:rPr>
              <w:t>Ever arrested</w:t>
            </w:r>
          </w:p>
        </w:tc>
      </w:tr>
      <w:tr w:rsidR="001535C6" w:rsidRPr="00AA4753" w14:paraId="7FCA5BD9"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7C0211C5" w14:textId="77777777" w:rsidR="001535C6" w:rsidRPr="00AA4753" w:rsidRDefault="001535C6" w:rsidP="00945EBE">
            <w:pPr>
              <w:pStyle w:val="ExhibitText"/>
              <w:rPr>
                <w:szCs w:val="18"/>
              </w:rPr>
            </w:pPr>
            <w:r w:rsidRPr="00AA4753">
              <w:rPr>
                <w:szCs w:val="18"/>
              </w:rPr>
              <w:t xml:space="preserve">Ever convicted of a crime </w:t>
            </w:r>
          </w:p>
        </w:tc>
      </w:tr>
      <w:tr w:rsidR="001535C6" w:rsidRPr="00AA4753" w14:paraId="79DF7E64"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11327ED5" w14:textId="77777777" w:rsidR="001535C6" w:rsidRPr="00AA4753" w:rsidRDefault="001535C6" w:rsidP="00945EBE">
            <w:pPr>
              <w:pStyle w:val="ExhibitText"/>
              <w:rPr>
                <w:szCs w:val="18"/>
              </w:rPr>
            </w:pPr>
            <w:r w:rsidRPr="00AA4753">
              <w:rPr>
                <w:szCs w:val="18"/>
              </w:rPr>
              <w:t>Ever worked full-time</w:t>
            </w:r>
          </w:p>
        </w:tc>
      </w:tr>
      <w:tr w:rsidR="001535C6" w:rsidRPr="00AA4753" w14:paraId="59F0EFE8"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0E00B3A0" w14:textId="77777777" w:rsidR="001535C6" w:rsidRPr="00AA4753" w:rsidRDefault="001535C6" w:rsidP="00945EBE">
            <w:pPr>
              <w:pStyle w:val="ExhibitText"/>
              <w:rPr>
                <w:szCs w:val="18"/>
              </w:rPr>
            </w:pPr>
            <w:r w:rsidRPr="00AA4753">
              <w:rPr>
                <w:szCs w:val="18"/>
              </w:rPr>
              <w:t>Earnings at baseline</w:t>
            </w:r>
          </w:p>
        </w:tc>
      </w:tr>
      <w:tr w:rsidR="001535C6" w:rsidRPr="00AA4753" w14:paraId="7224FF11"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0B306D61" w14:textId="77777777" w:rsidR="001535C6" w:rsidRPr="00AA4753" w:rsidRDefault="001535C6" w:rsidP="00945EBE">
            <w:pPr>
              <w:pStyle w:val="ExhibitText"/>
              <w:rPr>
                <w:szCs w:val="18"/>
              </w:rPr>
            </w:pPr>
            <w:r w:rsidRPr="00AA4753">
              <w:rPr>
                <w:szCs w:val="18"/>
              </w:rPr>
              <w:t xml:space="preserve">Months out of school </w:t>
            </w:r>
          </w:p>
        </w:tc>
      </w:tr>
      <w:tr w:rsidR="001535C6" w:rsidRPr="00AA4753" w14:paraId="0388A9B0"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105A118F" w14:textId="77777777" w:rsidR="001535C6" w:rsidRPr="00AA4753" w:rsidRDefault="001535C6" w:rsidP="00945EBE">
            <w:pPr>
              <w:pStyle w:val="ExhibitText"/>
              <w:rPr>
                <w:szCs w:val="18"/>
              </w:rPr>
            </w:pPr>
            <w:r w:rsidRPr="00AA4753">
              <w:rPr>
                <w:szCs w:val="18"/>
              </w:rPr>
              <w:t xml:space="preserve">Ever had an Individualized Learning Plan </w:t>
            </w:r>
          </w:p>
        </w:tc>
      </w:tr>
      <w:tr w:rsidR="001535C6" w:rsidRPr="00AA4753" w14:paraId="082AE820"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2CE27F3C" w14:textId="77777777" w:rsidR="001535C6" w:rsidRPr="00AA4753" w:rsidRDefault="001535C6" w:rsidP="00945EBE">
            <w:pPr>
              <w:pStyle w:val="ExhibitText"/>
              <w:rPr>
                <w:szCs w:val="18"/>
              </w:rPr>
            </w:pPr>
            <w:r w:rsidRPr="00AA4753">
              <w:rPr>
                <w:szCs w:val="18"/>
              </w:rPr>
              <w:t>Ever suspended</w:t>
            </w:r>
          </w:p>
        </w:tc>
      </w:tr>
      <w:tr w:rsidR="001535C6" w:rsidRPr="00AA4753" w14:paraId="49421BF9"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7117D1D0" w14:textId="77777777" w:rsidR="001535C6" w:rsidRPr="00AA4753" w:rsidDel="008A4D63" w:rsidRDefault="001535C6" w:rsidP="00945EBE">
            <w:pPr>
              <w:pStyle w:val="ExhibitText"/>
              <w:rPr>
                <w:szCs w:val="18"/>
              </w:rPr>
            </w:pPr>
            <w:r w:rsidRPr="00AA4753">
              <w:rPr>
                <w:szCs w:val="18"/>
              </w:rPr>
              <w:t xml:space="preserve">Ever repeated a grade </w:t>
            </w:r>
          </w:p>
        </w:tc>
      </w:tr>
      <w:tr w:rsidR="001535C6" w:rsidRPr="00AA4753" w14:paraId="647C6372"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08380896" w14:textId="77777777" w:rsidR="001535C6" w:rsidRPr="00AA4753" w:rsidRDefault="001535C6" w:rsidP="00945EBE">
            <w:pPr>
              <w:pStyle w:val="ExhibitText"/>
              <w:rPr>
                <w:szCs w:val="18"/>
              </w:rPr>
            </w:pPr>
            <w:r w:rsidRPr="00AA4753">
              <w:rPr>
                <w:szCs w:val="18"/>
              </w:rPr>
              <w:t>Overall health</w:t>
            </w:r>
          </w:p>
        </w:tc>
      </w:tr>
      <w:tr w:rsidR="001535C6" w:rsidRPr="00AA4753" w14:paraId="6EF3E0F3" w14:textId="77777777" w:rsidTr="00AA4753">
        <w:trPr>
          <w:cnfStyle w:val="000000100000" w:firstRow="0" w:lastRow="0" w:firstColumn="0" w:lastColumn="0" w:oddVBand="0" w:evenVBand="0" w:oddHBand="1" w:evenHBand="0" w:firstRowFirstColumn="0" w:firstRowLastColumn="0" w:lastRowFirstColumn="0" w:lastRowLastColumn="0"/>
        </w:trPr>
        <w:tc>
          <w:tcPr>
            <w:tcW w:w="0" w:type="auto"/>
          </w:tcPr>
          <w:p w14:paraId="13000906" w14:textId="77777777" w:rsidR="001535C6" w:rsidRPr="00AA4753" w:rsidRDefault="001535C6" w:rsidP="00945EBE">
            <w:pPr>
              <w:pStyle w:val="ExhibitText"/>
              <w:rPr>
                <w:szCs w:val="18"/>
              </w:rPr>
            </w:pPr>
            <w:r w:rsidRPr="00AA4753">
              <w:rPr>
                <w:szCs w:val="18"/>
              </w:rPr>
              <w:t xml:space="preserve">Self-efficacy </w:t>
            </w:r>
          </w:p>
        </w:tc>
      </w:tr>
      <w:tr w:rsidR="001535C6" w:rsidRPr="00AA4753" w14:paraId="652BF5F2" w14:textId="77777777" w:rsidTr="00AA4753">
        <w:trPr>
          <w:cnfStyle w:val="000000010000" w:firstRow="0" w:lastRow="0" w:firstColumn="0" w:lastColumn="0" w:oddVBand="0" w:evenVBand="0" w:oddHBand="0" w:evenHBand="1" w:firstRowFirstColumn="0" w:firstRowLastColumn="0" w:lastRowFirstColumn="0" w:lastRowLastColumn="0"/>
        </w:trPr>
        <w:tc>
          <w:tcPr>
            <w:tcW w:w="0" w:type="auto"/>
          </w:tcPr>
          <w:p w14:paraId="1D09CBFB" w14:textId="77777777" w:rsidR="001535C6" w:rsidRPr="00AA4753" w:rsidRDefault="001535C6" w:rsidP="00945EBE">
            <w:pPr>
              <w:pStyle w:val="ExhibitText"/>
              <w:rPr>
                <w:szCs w:val="18"/>
              </w:rPr>
            </w:pPr>
            <w:r w:rsidRPr="00AA4753">
              <w:rPr>
                <w:szCs w:val="18"/>
              </w:rPr>
              <w:t>Highest education expected to complete</w:t>
            </w:r>
          </w:p>
        </w:tc>
      </w:tr>
    </w:tbl>
    <w:p w14:paraId="62873DC6" w14:textId="77777777" w:rsidR="007C542E" w:rsidRPr="00A84BD1" w:rsidRDefault="007C542E" w:rsidP="007C542E">
      <w:pPr>
        <w:pStyle w:val="BodyText"/>
        <w:rPr>
          <w:b/>
        </w:rPr>
      </w:pPr>
    </w:p>
    <w:p w14:paraId="7959AE3E" w14:textId="014C3922" w:rsidR="007C542E" w:rsidRPr="00A84BD1" w:rsidRDefault="007C542E" w:rsidP="007C542E">
      <w:pPr>
        <w:pStyle w:val="BodyText"/>
      </w:pPr>
      <w:r w:rsidRPr="00A84BD1">
        <w:t>For missing baseline covariate data, the evaluation will use the dummy variable adjustment procedure described in Puma et al.</w:t>
      </w:r>
      <w:r w:rsidR="001535C6">
        <w:rPr>
          <w:rStyle w:val="FootnoteReference"/>
        </w:rPr>
        <w:footnoteReference w:id="3"/>
      </w:r>
      <w:r w:rsidRPr="00A84BD1">
        <w:t xml:space="preserve"> This strategy sets missing cases to a constant and adds “missing data flags” to the regression model. The approach is easy to implement, and Puma et al. show that it works well for random assignment studies.</w:t>
      </w:r>
    </w:p>
    <w:p w14:paraId="3A556D78" w14:textId="2BF0BCF6" w:rsidR="00E91A78" w:rsidRDefault="003C0A01" w:rsidP="00E91A78">
      <w:pPr>
        <w:pStyle w:val="BodyText"/>
      </w:pPr>
      <w:r>
        <w:t xml:space="preserve">The evaluator </w:t>
      </w:r>
      <w:r w:rsidRPr="00F71AC3">
        <w:t>plan</w:t>
      </w:r>
      <w:r>
        <w:t>s</w:t>
      </w:r>
      <w:r w:rsidRPr="00F71AC3">
        <w:t xml:space="preserve"> to report estimates of impact relative to </w:t>
      </w:r>
      <w:r>
        <w:t>the control group</w:t>
      </w:r>
      <w:r w:rsidRPr="00F71AC3">
        <w:t>. As is standard practice in the analys</w:t>
      </w:r>
      <w:r>
        <w:t>is of random assignment data, the team</w:t>
      </w:r>
      <w:r w:rsidRPr="00F71AC3">
        <w:t xml:space="preserve"> will use linear regression as </w:t>
      </w:r>
      <w:r>
        <w:t>the</w:t>
      </w:r>
      <w:r w:rsidRPr="00F71AC3">
        <w:t xml:space="preserve"> main estimation approach both for continuous outcomes (e.g., earnings or hours worked) and for binary outcomes (e.g., any employment).</w:t>
      </w:r>
      <w:r w:rsidR="001D7E3E" w:rsidRPr="001D7E3E">
        <w:rPr>
          <w:rStyle w:val="FootnoteReference"/>
        </w:rPr>
        <w:t xml:space="preserve"> </w:t>
      </w:r>
      <w:r w:rsidR="001D7E3E">
        <w:rPr>
          <w:rStyle w:val="FootnoteReference"/>
        </w:rPr>
        <w:footnoteReference w:id="4"/>
      </w:r>
      <w:r w:rsidR="001D7E3E" w:rsidRPr="001D7E3E">
        <w:rPr>
          <w:vertAlign w:val="superscript"/>
        </w:rPr>
        <w:t>,</w:t>
      </w:r>
      <w:r w:rsidR="001D7E3E">
        <w:rPr>
          <w:vertAlign w:val="superscript"/>
        </w:rPr>
        <w:t xml:space="preserve"> </w:t>
      </w:r>
      <w:r w:rsidRPr="00F71AC3">
        <w:rPr>
          <w:vertAlign w:val="superscript"/>
        </w:rPr>
        <w:footnoteReference w:id="5"/>
      </w:r>
      <w:r>
        <w:t xml:space="preserve"> In particular, the evaluation team</w:t>
      </w:r>
      <w:r w:rsidRPr="00F71AC3">
        <w:t xml:space="preserve"> will use </w:t>
      </w:r>
      <w:r w:rsidRPr="00E91A78">
        <w:t>weighted least squares for outcomes</w:t>
      </w:r>
      <w:r w:rsidRPr="00F71AC3">
        <w:t xml:space="preserve"> measured in the follow-up survey</w:t>
      </w:r>
      <w:r>
        <w:t xml:space="preserve">, </w:t>
      </w:r>
      <w:r w:rsidRPr="00F71AC3">
        <w:t xml:space="preserve">using weights </w:t>
      </w:r>
      <w:r w:rsidR="00FA11C3">
        <w:t>that</w:t>
      </w:r>
      <w:r w:rsidR="00FA11C3" w:rsidRPr="00F71AC3">
        <w:t xml:space="preserve"> </w:t>
      </w:r>
      <w:r w:rsidRPr="00F71AC3">
        <w:t xml:space="preserve">adjust for survey non-response. In addition, </w:t>
      </w:r>
      <w:r w:rsidR="00E91A78">
        <w:t>robust standard errors will be used to adjust for heteroscedasticity (including the heteroscedasticity induced by applying linear regression to binary outcomes).</w:t>
      </w:r>
      <w:r w:rsidR="00E91A78" w:rsidRPr="00711200">
        <w:t xml:space="preserve"> In the event of missing baseline covariate data, the dummy variable adjustment procedure described in Puma et al.</w:t>
      </w:r>
      <w:r w:rsidR="001B18EB">
        <w:rPr>
          <w:rStyle w:val="FootnoteReference"/>
        </w:rPr>
        <w:footnoteReference w:id="6"/>
      </w:r>
      <w:r w:rsidR="00E91A78" w:rsidRPr="00711200">
        <w:t xml:space="preserve"> </w:t>
      </w:r>
      <w:r w:rsidR="00E91A78">
        <w:t>will be implemented</w:t>
      </w:r>
      <w:r w:rsidR="000F184F">
        <w:t xml:space="preserve"> (see discussion at the end of Section B.3.4).</w:t>
      </w:r>
    </w:p>
    <w:p w14:paraId="7A556331" w14:textId="3CFAAB9B" w:rsidR="00E91A78" w:rsidRDefault="00E91A78" w:rsidP="00E91A78">
      <w:pPr>
        <w:pStyle w:val="BodyText"/>
      </w:pPr>
      <w:r>
        <w:t xml:space="preserve">The evaluator will estimate subgroup impacts by including an interaction between treatment and subgroup membership (defined at baseline) in the regression models. This </w:t>
      </w:r>
      <w:r w:rsidR="00FA11C3">
        <w:t>approach allows</w:t>
      </w:r>
      <w:r>
        <w:t xml:space="preserve"> tests for homogeneity of impacts across the subgroup. Standard procedure is only to discuss subgroup impacts when homogeneity of impacts can be rejected.</w:t>
      </w:r>
    </w:p>
    <w:p w14:paraId="38CB3D65" w14:textId="77777777" w:rsidR="003C0A01" w:rsidRDefault="003C0A01" w:rsidP="003C0A01">
      <w:pPr>
        <w:pStyle w:val="Heading3"/>
      </w:pPr>
      <w:r>
        <w:t>B.2.3</w:t>
      </w:r>
      <w:r>
        <w:tab/>
        <w:t>Degree of Accuracy Required</w:t>
      </w:r>
    </w:p>
    <w:p w14:paraId="67FF296D" w14:textId="590AB5E5" w:rsidR="003C0A01" w:rsidRDefault="00A1681D" w:rsidP="00A1681D">
      <w:pPr>
        <w:pStyle w:val="BodyText"/>
      </w:pPr>
      <w:r w:rsidRPr="0003077A">
        <w:t>Exhibit B.2 r</w:t>
      </w:r>
      <w:r w:rsidRPr="006B757D">
        <w:t>eports minimum detectable impacts (MDIs) for binary outcomes (with various baseline rates) from administrative data outcomes (N=2,</w:t>
      </w:r>
      <w:r>
        <w:t>2</w:t>
      </w:r>
      <w:r w:rsidRPr="006B757D">
        <w:t>00), survey outcomes (N=800, with a design factor for survey non-response)</w:t>
      </w:r>
      <w:r>
        <w:t xml:space="preserve"> and</w:t>
      </w:r>
      <w:r w:rsidRPr="006B757D">
        <w:t xml:space="preserve"> for subgroup impacts</w:t>
      </w:r>
      <w:r>
        <w:t xml:space="preserve">. </w:t>
      </w:r>
      <w:r w:rsidR="003C0A01" w:rsidRPr="0039343A">
        <w:t>Specifically, it reports minimum detectable impacts (MDIs</w:t>
      </w:r>
      <w:r w:rsidR="003C0A01" w:rsidRPr="00A1681D">
        <w:t xml:space="preserve">) for binary outcomes, such as receipt of a degree, certificate, or credential, for various potential sample sizes and baseline rates </w:t>
      </w:r>
      <w:r w:rsidR="002E1BA3" w:rsidRPr="00A1681D">
        <w:t>(i.e., observed average outcomes among control group participants)</w:t>
      </w:r>
      <w:r w:rsidR="003C0A01" w:rsidRPr="00A1681D">
        <w:t>. MDIs are the</w:t>
      </w:r>
      <w:r w:rsidR="003C0A01" w:rsidRPr="005F05FB">
        <w:t xml:space="preserve"> smallest true impacts that the study has at least an 80-percent probability of detecting as statistically significant</w:t>
      </w:r>
      <w:r w:rsidR="003C0A01">
        <w:t>ly different from zero</w:t>
      </w:r>
      <w:r w:rsidR="003C0A01" w:rsidRPr="005F05FB">
        <w:t xml:space="preserve">. </w:t>
      </w:r>
    </w:p>
    <w:p w14:paraId="6AA3EEF8" w14:textId="77777777" w:rsidR="00354170" w:rsidRDefault="00354170" w:rsidP="00354170">
      <w:pPr>
        <w:pStyle w:val="Caption"/>
      </w:pPr>
      <w:bookmarkStart w:id="21" w:name="_Toc447015466"/>
      <w:r>
        <w:t>Exhibit B.</w:t>
      </w:r>
      <w:r w:rsidR="00AA1F13">
        <w:fldChar w:fldCharType="begin"/>
      </w:r>
      <w:r w:rsidR="00AA1F13">
        <w:instrText xml:space="preserve"> SEQ Exhibit_B. \* ARABIC </w:instrText>
      </w:r>
      <w:r w:rsidR="00AA1F13">
        <w:fldChar w:fldCharType="separate"/>
      </w:r>
      <w:r w:rsidR="007D1323">
        <w:rPr>
          <w:noProof/>
        </w:rPr>
        <w:t>2</w:t>
      </w:r>
      <w:r w:rsidR="00AA1F13">
        <w:rPr>
          <w:noProof/>
        </w:rPr>
        <w:fldChar w:fldCharType="end"/>
      </w:r>
      <w:r>
        <w:t xml:space="preserve">  </w:t>
      </w:r>
      <w:r w:rsidRPr="00EE0883">
        <w:t xml:space="preserve">Minimum Detectable Impacts (MDIs) for </w:t>
      </w:r>
      <w:r>
        <w:t xml:space="preserve">Binary </w:t>
      </w:r>
      <w:r w:rsidRPr="00EE0883">
        <w:t>Outcomes</w:t>
      </w:r>
      <w:bookmarkEnd w:id="21"/>
    </w:p>
    <w:tbl>
      <w:tblPr>
        <w:tblStyle w:val="AbtFinal"/>
        <w:tblW w:w="8022" w:type="dxa"/>
        <w:jc w:val="center"/>
        <w:tblLook w:val="04A0" w:firstRow="1" w:lastRow="0" w:firstColumn="1" w:lastColumn="0" w:noHBand="0" w:noVBand="1"/>
      </w:tblPr>
      <w:tblGrid>
        <w:gridCol w:w="1337"/>
        <w:gridCol w:w="1337"/>
        <w:gridCol w:w="1337"/>
        <w:gridCol w:w="1337"/>
        <w:gridCol w:w="1337"/>
        <w:gridCol w:w="1325"/>
        <w:gridCol w:w="12"/>
      </w:tblGrid>
      <w:tr w:rsidR="00A1681D" w:rsidRPr="00D91FCB" w14:paraId="2EC557A4" w14:textId="77777777" w:rsidTr="00761A74">
        <w:trPr>
          <w:cnfStyle w:val="100000000000" w:firstRow="1" w:lastRow="0" w:firstColumn="0" w:lastColumn="0" w:oddVBand="0" w:evenVBand="0" w:oddHBand="0" w:evenHBand="0" w:firstRowFirstColumn="0" w:firstRowLastColumn="0" w:lastRowFirstColumn="0" w:lastRowLastColumn="0"/>
          <w:trHeight w:val="300"/>
          <w:jc w:val="center"/>
        </w:trPr>
        <w:tc>
          <w:tcPr>
            <w:tcW w:w="1337" w:type="dxa"/>
            <w:noWrap/>
            <w:hideMark/>
          </w:tcPr>
          <w:p w14:paraId="19044B71" w14:textId="77777777" w:rsidR="00A1681D" w:rsidRPr="00D91FCB" w:rsidRDefault="00A1681D" w:rsidP="00761A74">
            <w:pPr>
              <w:spacing w:after="0"/>
              <w:rPr>
                <w:rFonts w:cs="Arial"/>
                <w:b w:val="0"/>
                <w:bCs/>
                <w:color w:val="000000"/>
                <w:sz w:val="20"/>
              </w:rPr>
            </w:pPr>
          </w:p>
        </w:tc>
        <w:tc>
          <w:tcPr>
            <w:tcW w:w="5348" w:type="dxa"/>
            <w:gridSpan w:val="4"/>
            <w:noWrap/>
            <w:hideMark/>
          </w:tcPr>
          <w:p w14:paraId="54CEEA98" w14:textId="77777777" w:rsidR="00A1681D" w:rsidRPr="00D91FCB" w:rsidRDefault="00A1681D" w:rsidP="00761A74">
            <w:pPr>
              <w:spacing w:after="0"/>
              <w:jc w:val="center"/>
              <w:rPr>
                <w:rFonts w:cs="Arial"/>
                <w:b w:val="0"/>
                <w:bCs/>
                <w:color w:val="000000"/>
                <w:sz w:val="20"/>
              </w:rPr>
            </w:pPr>
            <w:r w:rsidRPr="00D91FCB">
              <w:rPr>
                <w:rFonts w:cs="Arial"/>
                <w:bCs/>
                <w:color w:val="000000"/>
                <w:sz w:val="20"/>
              </w:rPr>
              <w:t>Baseline Probabili</w:t>
            </w:r>
            <w:r>
              <w:rPr>
                <w:rFonts w:cs="Arial"/>
                <w:bCs/>
                <w:color w:val="000000"/>
                <w:sz w:val="20"/>
              </w:rPr>
              <w:t>t</w:t>
            </w:r>
            <w:r w:rsidRPr="00D91FCB">
              <w:rPr>
                <w:rFonts w:cs="Arial"/>
                <w:bCs/>
                <w:color w:val="000000"/>
                <w:sz w:val="20"/>
              </w:rPr>
              <w:t>y</w:t>
            </w:r>
          </w:p>
        </w:tc>
        <w:tc>
          <w:tcPr>
            <w:tcW w:w="1337" w:type="dxa"/>
            <w:gridSpan w:val="2"/>
            <w:noWrap/>
            <w:hideMark/>
          </w:tcPr>
          <w:p w14:paraId="210A9A12" w14:textId="77777777" w:rsidR="00A1681D" w:rsidRPr="00D91FCB" w:rsidRDefault="00A1681D" w:rsidP="00761A74">
            <w:pPr>
              <w:spacing w:after="0"/>
              <w:jc w:val="center"/>
              <w:rPr>
                <w:rFonts w:cs="Arial"/>
                <w:b w:val="0"/>
                <w:bCs/>
                <w:color w:val="000000"/>
                <w:sz w:val="20"/>
              </w:rPr>
            </w:pPr>
            <w:r w:rsidRPr="00D91FCB">
              <w:rPr>
                <w:rFonts w:cs="Arial"/>
                <w:bCs/>
                <w:color w:val="000000"/>
                <w:sz w:val="20"/>
              </w:rPr>
              <w:t>SubGroup</w:t>
            </w:r>
          </w:p>
        </w:tc>
      </w:tr>
      <w:tr w:rsidR="00A1681D" w:rsidRPr="00D91FCB" w14:paraId="44FE20FD" w14:textId="77777777" w:rsidTr="00761A74">
        <w:trPr>
          <w:cnfStyle w:val="000000100000" w:firstRow="0" w:lastRow="0" w:firstColumn="0" w:lastColumn="0" w:oddVBand="0" w:evenVBand="0" w:oddHBand="1" w:evenHBand="0" w:firstRowFirstColumn="0" w:firstRowLastColumn="0" w:lastRowFirstColumn="0" w:lastRowLastColumn="0"/>
          <w:trHeight w:val="300"/>
          <w:jc w:val="center"/>
        </w:trPr>
        <w:tc>
          <w:tcPr>
            <w:tcW w:w="1337" w:type="dxa"/>
            <w:noWrap/>
            <w:hideMark/>
          </w:tcPr>
          <w:p w14:paraId="63C003C5" w14:textId="77777777" w:rsidR="00A1681D" w:rsidRPr="00D91FCB" w:rsidRDefault="00A1681D" w:rsidP="00761A74">
            <w:pPr>
              <w:spacing w:after="0"/>
              <w:jc w:val="center"/>
              <w:rPr>
                <w:rFonts w:cs="Arial"/>
                <w:b/>
                <w:bCs/>
                <w:color w:val="000000"/>
                <w:sz w:val="20"/>
              </w:rPr>
            </w:pPr>
            <w:r w:rsidRPr="00D91FCB">
              <w:rPr>
                <w:rFonts w:cs="Arial"/>
                <w:b/>
                <w:bCs/>
                <w:color w:val="000000"/>
                <w:sz w:val="20"/>
              </w:rPr>
              <w:t>N=T+C</w:t>
            </w:r>
          </w:p>
        </w:tc>
        <w:tc>
          <w:tcPr>
            <w:tcW w:w="1337" w:type="dxa"/>
            <w:noWrap/>
            <w:hideMark/>
          </w:tcPr>
          <w:p w14:paraId="585D8A8F" w14:textId="77777777" w:rsidR="00A1681D" w:rsidRPr="00D91FCB" w:rsidRDefault="00A1681D" w:rsidP="00761A74">
            <w:pPr>
              <w:spacing w:after="0"/>
              <w:jc w:val="center"/>
              <w:rPr>
                <w:rFonts w:cs="Arial"/>
                <w:b/>
                <w:bCs/>
                <w:color w:val="000000"/>
                <w:sz w:val="20"/>
              </w:rPr>
            </w:pPr>
            <w:r w:rsidRPr="00D91FCB">
              <w:rPr>
                <w:rFonts w:cs="Arial"/>
                <w:b/>
                <w:bCs/>
                <w:color w:val="000000"/>
                <w:sz w:val="20"/>
              </w:rPr>
              <w:t>10%/90%</w:t>
            </w:r>
          </w:p>
        </w:tc>
        <w:tc>
          <w:tcPr>
            <w:tcW w:w="1337" w:type="dxa"/>
            <w:noWrap/>
            <w:hideMark/>
          </w:tcPr>
          <w:p w14:paraId="179982AB" w14:textId="77777777" w:rsidR="00A1681D" w:rsidRPr="00D91FCB" w:rsidRDefault="00A1681D" w:rsidP="00761A74">
            <w:pPr>
              <w:spacing w:after="0"/>
              <w:jc w:val="center"/>
              <w:rPr>
                <w:rFonts w:cs="Arial"/>
                <w:b/>
                <w:bCs/>
                <w:color w:val="000000"/>
                <w:sz w:val="20"/>
              </w:rPr>
            </w:pPr>
            <w:r w:rsidRPr="00D91FCB">
              <w:rPr>
                <w:rFonts w:cs="Arial"/>
                <w:b/>
                <w:bCs/>
                <w:color w:val="000000"/>
                <w:sz w:val="20"/>
              </w:rPr>
              <w:t>25%/75%</w:t>
            </w:r>
          </w:p>
        </w:tc>
        <w:tc>
          <w:tcPr>
            <w:tcW w:w="1337" w:type="dxa"/>
            <w:noWrap/>
            <w:hideMark/>
          </w:tcPr>
          <w:p w14:paraId="7736911E" w14:textId="77777777" w:rsidR="00A1681D" w:rsidRPr="00D91FCB" w:rsidRDefault="00A1681D" w:rsidP="00761A74">
            <w:pPr>
              <w:spacing w:after="0"/>
              <w:jc w:val="center"/>
              <w:rPr>
                <w:rFonts w:cs="Arial"/>
                <w:b/>
                <w:bCs/>
                <w:color w:val="000000"/>
                <w:sz w:val="20"/>
              </w:rPr>
            </w:pPr>
            <w:r w:rsidRPr="00D91FCB">
              <w:rPr>
                <w:rFonts w:cs="Arial"/>
                <w:b/>
                <w:bCs/>
                <w:color w:val="000000"/>
                <w:sz w:val="20"/>
              </w:rPr>
              <w:t>33%/67%</w:t>
            </w:r>
          </w:p>
        </w:tc>
        <w:tc>
          <w:tcPr>
            <w:tcW w:w="1337" w:type="dxa"/>
            <w:noWrap/>
            <w:hideMark/>
          </w:tcPr>
          <w:p w14:paraId="036A122E" w14:textId="77777777" w:rsidR="00A1681D" w:rsidRPr="00D91FCB" w:rsidRDefault="00A1681D" w:rsidP="00761A74">
            <w:pPr>
              <w:spacing w:after="0"/>
              <w:jc w:val="center"/>
              <w:rPr>
                <w:rFonts w:cs="Arial"/>
                <w:b/>
                <w:bCs/>
                <w:color w:val="000000"/>
                <w:sz w:val="20"/>
              </w:rPr>
            </w:pPr>
            <w:r w:rsidRPr="00D91FCB">
              <w:rPr>
                <w:rFonts w:cs="Arial"/>
                <w:b/>
                <w:bCs/>
                <w:color w:val="000000"/>
                <w:sz w:val="20"/>
              </w:rPr>
              <w:t>50%</w:t>
            </w:r>
          </w:p>
        </w:tc>
        <w:tc>
          <w:tcPr>
            <w:tcW w:w="1337" w:type="dxa"/>
            <w:gridSpan w:val="2"/>
            <w:noWrap/>
            <w:hideMark/>
          </w:tcPr>
          <w:p w14:paraId="17481FF1" w14:textId="77777777" w:rsidR="00A1681D" w:rsidRPr="00D91FCB" w:rsidRDefault="00A1681D" w:rsidP="00761A74">
            <w:pPr>
              <w:spacing w:after="0"/>
              <w:jc w:val="center"/>
              <w:rPr>
                <w:rFonts w:cs="Arial"/>
                <w:b/>
                <w:bCs/>
                <w:color w:val="000000"/>
                <w:sz w:val="20"/>
              </w:rPr>
            </w:pPr>
            <w:r w:rsidRPr="00D91FCB">
              <w:rPr>
                <w:rFonts w:cs="Arial"/>
                <w:b/>
                <w:bCs/>
                <w:color w:val="000000"/>
                <w:sz w:val="20"/>
              </w:rPr>
              <w:t>33%/67%</w:t>
            </w:r>
          </w:p>
        </w:tc>
      </w:tr>
      <w:tr w:rsidR="00A1681D" w:rsidRPr="00D91FCB" w14:paraId="470DD6AD" w14:textId="77777777" w:rsidTr="00761A74">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noWrap/>
            <w:hideMark/>
          </w:tcPr>
          <w:p w14:paraId="64446BD7" w14:textId="77777777" w:rsidR="00A1681D" w:rsidRPr="00D91FCB" w:rsidRDefault="00A1681D" w:rsidP="00761A74">
            <w:pPr>
              <w:spacing w:after="0"/>
              <w:ind w:right="301"/>
              <w:jc w:val="right"/>
              <w:rPr>
                <w:rFonts w:cs="Arial"/>
                <w:color w:val="000000"/>
                <w:sz w:val="20"/>
              </w:rPr>
            </w:pPr>
            <w:r w:rsidRPr="00D91FCB">
              <w:rPr>
                <w:rFonts w:cs="Arial"/>
                <w:color w:val="000000"/>
                <w:sz w:val="20"/>
              </w:rPr>
              <w:t>200</w:t>
            </w:r>
          </w:p>
        </w:tc>
        <w:tc>
          <w:tcPr>
            <w:tcW w:w="1337" w:type="dxa"/>
            <w:noWrap/>
            <w:hideMark/>
          </w:tcPr>
          <w:p w14:paraId="2FEA0075" w14:textId="77777777" w:rsidR="00A1681D" w:rsidRPr="00D91FCB" w:rsidRDefault="00A1681D" w:rsidP="00761A74">
            <w:pPr>
              <w:spacing w:after="0"/>
              <w:ind w:right="301"/>
              <w:jc w:val="right"/>
              <w:rPr>
                <w:rFonts w:cs="Arial"/>
                <w:color w:val="000000"/>
                <w:sz w:val="20"/>
              </w:rPr>
            </w:pPr>
            <w:r w:rsidRPr="00D91FCB">
              <w:rPr>
                <w:rFonts w:cs="Arial"/>
                <w:color w:val="000000"/>
                <w:sz w:val="20"/>
              </w:rPr>
              <w:t>10.2</w:t>
            </w:r>
            <w:r>
              <w:rPr>
                <w:rFonts w:cs="Arial"/>
                <w:color w:val="000000"/>
                <w:sz w:val="20"/>
              </w:rPr>
              <w:t xml:space="preserve"> p.p.</w:t>
            </w:r>
          </w:p>
        </w:tc>
        <w:tc>
          <w:tcPr>
            <w:tcW w:w="1337" w:type="dxa"/>
            <w:noWrap/>
            <w:hideMark/>
          </w:tcPr>
          <w:p w14:paraId="3F204AD1" w14:textId="77777777" w:rsidR="00A1681D" w:rsidRPr="00D91FCB" w:rsidRDefault="00A1681D" w:rsidP="00761A74">
            <w:pPr>
              <w:spacing w:after="0"/>
              <w:ind w:right="301"/>
              <w:jc w:val="right"/>
              <w:rPr>
                <w:rFonts w:cs="Arial"/>
                <w:color w:val="000000"/>
                <w:sz w:val="20"/>
              </w:rPr>
            </w:pPr>
            <w:r w:rsidRPr="00D91FCB">
              <w:rPr>
                <w:rFonts w:cs="Arial"/>
                <w:color w:val="000000"/>
                <w:sz w:val="20"/>
              </w:rPr>
              <w:t>14.7</w:t>
            </w:r>
            <w:r>
              <w:rPr>
                <w:rFonts w:cs="Arial"/>
                <w:color w:val="000000"/>
                <w:sz w:val="20"/>
              </w:rPr>
              <w:t xml:space="preserve"> p.p.</w:t>
            </w:r>
          </w:p>
        </w:tc>
        <w:tc>
          <w:tcPr>
            <w:tcW w:w="1337" w:type="dxa"/>
            <w:noWrap/>
            <w:hideMark/>
          </w:tcPr>
          <w:p w14:paraId="54E3043F" w14:textId="77777777" w:rsidR="00A1681D" w:rsidRPr="00D91FCB" w:rsidRDefault="00A1681D" w:rsidP="00761A74">
            <w:pPr>
              <w:spacing w:after="0"/>
              <w:ind w:right="301"/>
              <w:jc w:val="right"/>
              <w:rPr>
                <w:rFonts w:cs="Arial"/>
                <w:color w:val="000000"/>
                <w:sz w:val="20"/>
              </w:rPr>
            </w:pPr>
            <w:r w:rsidRPr="00D91FCB">
              <w:rPr>
                <w:rFonts w:cs="Arial"/>
                <w:color w:val="000000"/>
                <w:sz w:val="20"/>
              </w:rPr>
              <w:t>16.0</w:t>
            </w:r>
            <w:r>
              <w:rPr>
                <w:rFonts w:cs="Arial"/>
                <w:color w:val="000000"/>
                <w:sz w:val="20"/>
              </w:rPr>
              <w:t xml:space="preserve"> p.p.</w:t>
            </w:r>
          </w:p>
        </w:tc>
        <w:tc>
          <w:tcPr>
            <w:tcW w:w="1337" w:type="dxa"/>
            <w:noWrap/>
            <w:hideMark/>
          </w:tcPr>
          <w:p w14:paraId="2426DA4D" w14:textId="77777777" w:rsidR="00A1681D" w:rsidRPr="00D91FCB" w:rsidRDefault="00A1681D" w:rsidP="00761A74">
            <w:pPr>
              <w:spacing w:after="0"/>
              <w:ind w:right="301"/>
              <w:jc w:val="right"/>
              <w:rPr>
                <w:rFonts w:cs="Arial"/>
                <w:color w:val="000000"/>
                <w:sz w:val="20"/>
              </w:rPr>
            </w:pPr>
            <w:r w:rsidRPr="00D91FCB">
              <w:rPr>
                <w:rFonts w:cs="Arial"/>
                <w:color w:val="000000"/>
                <w:sz w:val="20"/>
              </w:rPr>
              <w:t>17.0</w:t>
            </w:r>
            <w:r>
              <w:rPr>
                <w:rFonts w:cs="Arial"/>
                <w:color w:val="000000"/>
                <w:sz w:val="20"/>
              </w:rPr>
              <w:t xml:space="preserve"> p.p.</w:t>
            </w:r>
          </w:p>
        </w:tc>
        <w:tc>
          <w:tcPr>
            <w:tcW w:w="1337" w:type="dxa"/>
            <w:gridSpan w:val="2"/>
            <w:noWrap/>
            <w:hideMark/>
          </w:tcPr>
          <w:p w14:paraId="019187A8" w14:textId="77777777" w:rsidR="00A1681D" w:rsidRPr="00D91FCB" w:rsidRDefault="00A1681D" w:rsidP="00761A74">
            <w:pPr>
              <w:spacing w:after="0"/>
              <w:ind w:right="301"/>
              <w:jc w:val="right"/>
              <w:rPr>
                <w:rFonts w:cs="Arial"/>
                <w:color w:val="000000"/>
                <w:sz w:val="20"/>
              </w:rPr>
            </w:pPr>
            <w:r w:rsidRPr="00D91FCB">
              <w:rPr>
                <w:rFonts w:cs="Arial"/>
                <w:color w:val="000000"/>
                <w:sz w:val="20"/>
              </w:rPr>
              <w:t>31.9</w:t>
            </w:r>
            <w:r>
              <w:rPr>
                <w:rFonts w:cs="Arial"/>
                <w:color w:val="000000"/>
                <w:sz w:val="20"/>
              </w:rPr>
              <w:t xml:space="preserve"> p.p.</w:t>
            </w:r>
          </w:p>
        </w:tc>
      </w:tr>
      <w:tr w:rsidR="00A1681D" w:rsidRPr="00D91FCB" w14:paraId="4ED9D122" w14:textId="77777777" w:rsidTr="00761A74">
        <w:trPr>
          <w:cnfStyle w:val="000000100000" w:firstRow="0" w:lastRow="0" w:firstColumn="0" w:lastColumn="0" w:oddVBand="0" w:evenVBand="0" w:oddHBand="1" w:evenHBand="0" w:firstRowFirstColumn="0" w:firstRowLastColumn="0" w:lastRowFirstColumn="0" w:lastRowLastColumn="0"/>
          <w:trHeight w:val="259"/>
          <w:jc w:val="center"/>
        </w:trPr>
        <w:tc>
          <w:tcPr>
            <w:tcW w:w="1337" w:type="dxa"/>
            <w:noWrap/>
            <w:hideMark/>
          </w:tcPr>
          <w:p w14:paraId="78F18FD9" w14:textId="77777777" w:rsidR="00A1681D" w:rsidRPr="00D91FCB" w:rsidRDefault="00A1681D" w:rsidP="00761A74">
            <w:pPr>
              <w:spacing w:after="0"/>
              <w:ind w:right="301"/>
              <w:jc w:val="right"/>
              <w:rPr>
                <w:rFonts w:cs="Arial"/>
                <w:color w:val="000000"/>
                <w:sz w:val="20"/>
              </w:rPr>
            </w:pPr>
            <w:r w:rsidRPr="00D91FCB">
              <w:rPr>
                <w:rFonts w:cs="Arial"/>
                <w:color w:val="000000"/>
                <w:sz w:val="20"/>
              </w:rPr>
              <w:t>400</w:t>
            </w:r>
          </w:p>
        </w:tc>
        <w:tc>
          <w:tcPr>
            <w:tcW w:w="1337" w:type="dxa"/>
            <w:noWrap/>
            <w:hideMark/>
          </w:tcPr>
          <w:p w14:paraId="66287DCD" w14:textId="77777777" w:rsidR="00A1681D" w:rsidRPr="00D91FCB" w:rsidRDefault="00A1681D" w:rsidP="00761A74">
            <w:pPr>
              <w:spacing w:after="0"/>
              <w:ind w:right="301"/>
              <w:jc w:val="right"/>
              <w:rPr>
                <w:rFonts w:cs="Arial"/>
                <w:color w:val="000000"/>
                <w:sz w:val="20"/>
              </w:rPr>
            </w:pPr>
            <w:r w:rsidRPr="00D91FCB">
              <w:rPr>
                <w:rFonts w:cs="Arial"/>
                <w:color w:val="000000"/>
                <w:sz w:val="20"/>
              </w:rPr>
              <w:t>7.2</w:t>
            </w:r>
            <w:r>
              <w:rPr>
                <w:rFonts w:cs="Arial"/>
                <w:color w:val="000000"/>
                <w:sz w:val="20"/>
              </w:rPr>
              <w:t xml:space="preserve"> p.p.</w:t>
            </w:r>
          </w:p>
        </w:tc>
        <w:tc>
          <w:tcPr>
            <w:tcW w:w="1337" w:type="dxa"/>
            <w:noWrap/>
            <w:hideMark/>
          </w:tcPr>
          <w:p w14:paraId="3A6F18FC" w14:textId="77777777" w:rsidR="00A1681D" w:rsidRPr="00D91FCB" w:rsidRDefault="00A1681D" w:rsidP="00761A74">
            <w:pPr>
              <w:spacing w:after="0"/>
              <w:ind w:right="301"/>
              <w:jc w:val="right"/>
              <w:rPr>
                <w:rFonts w:cs="Arial"/>
                <w:color w:val="000000"/>
                <w:sz w:val="20"/>
              </w:rPr>
            </w:pPr>
            <w:r w:rsidRPr="00D91FCB">
              <w:rPr>
                <w:rFonts w:cs="Arial"/>
                <w:color w:val="000000"/>
                <w:sz w:val="20"/>
              </w:rPr>
              <w:t>10.4</w:t>
            </w:r>
            <w:r>
              <w:rPr>
                <w:rFonts w:cs="Arial"/>
                <w:color w:val="000000"/>
                <w:sz w:val="20"/>
              </w:rPr>
              <w:t xml:space="preserve"> p.p.</w:t>
            </w:r>
          </w:p>
        </w:tc>
        <w:tc>
          <w:tcPr>
            <w:tcW w:w="1337" w:type="dxa"/>
            <w:noWrap/>
            <w:hideMark/>
          </w:tcPr>
          <w:p w14:paraId="531E4A85" w14:textId="77777777" w:rsidR="00A1681D" w:rsidRPr="00D91FCB" w:rsidRDefault="00A1681D" w:rsidP="00761A74">
            <w:pPr>
              <w:spacing w:after="0"/>
              <w:ind w:right="301"/>
              <w:jc w:val="right"/>
              <w:rPr>
                <w:rFonts w:cs="Arial"/>
                <w:color w:val="000000"/>
                <w:sz w:val="20"/>
              </w:rPr>
            </w:pPr>
            <w:r w:rsidRPr="00D91FCB">
              <w:rPr>
                <w:rFonts w:cs="Arial"/>
                <w:color w:val="000000"/>
                <w:sz w:val="20"/>
              </w:rPr>
              <w:t>11.3</w:t>
            </w:r>
            <w:r>
              <w:rPr>
                <w:rFonts w:cs="Arial"/>
                <w:color w:val="000000"/>
                <w:sz w:val="20"/>
              </w:rPr>
              <w:t xml:space="preserve"> p.p.</w:t>
            </w:r>
          </w:p>
        </w:tc>
        <w:tc>
          <w:tcPr>
            <w:tcW w:w="1337" w:type="dxa"/>
            <w:noWrap/>
            <w:hideMark/>
          </w:tcPr>
          <w:p w14:paraId="4C1DBB63" w14:textId="77777777" w:rsidR="00A1681D" w:rsidRPr="00D91FCB" w:rsidRDefault="00A1681D" w:rsidP="00761A74">
            <w:pPr>
              <w:spacing w:after="0"/>
              <w:ind w:right="301"/>
              <w:jc w:val="right"/>
              <w:rPr>
                <w:rFonts w:cs="Arial"/>
                <w:color w:val="000000"/>
                <w:sz w:val="20"/>
              </w:rPr>
            </w:pPr>
            <w:r w:rsidRPr="00D91FCB">
              <w:rPr>
                <w:rFonts w:cs="Arial"/>
                <w:color w:val="000000"/>
                <w:sz w:val="20"/>
              </w:rPr>
              <w:t>12.0</w:t>
            </w:r>
            <w:r>
              <w:rPr>
                <w:rFonts w:cs="Arial"/>
                <w:color w:val="000000"/>
                <w:sz w:val="20"/>
              </w:rPr>
              <w:t xml:space="preserve"> p.p.</w:t>
            </w:r>
          </w:p>
        </w:tc>
        <w:tc>
          <w:tcPr>
            <w:tcW w:w="1337" w:type="dxa"/>
            <w:gridSpan w:val="2"/>
            <w:noWrap/>
            <w:hideMark/>
          </w:tcPr>
          <w:p w14:paraId="2BAAB476" w14:textId="77777777" w:rsidR="00A1681D" w:rsidRPr="00D91FCB" w:rsidRDefault="00A1681D" w:rsidP="00761A74">
            <w:pPr>
              <w:spacing w:after="0"/>
              <w:ind w:right="301"/>
              <w:jc w:val="right"/>
              <w:rPr>
                <w:rFonts w:cs="Arial"/>
                <w:color w:val="000000"/>
                <w:sz w:val="20"/>
              </w:rPr>
            </w:pPr>
            <w:r w:rsidRPr="00D91FCB">
              <w:rPr>
                <w:rFonts w:cs="Arial"/>
                <w:color w:val="000000"/>
                <w:sz w:val="20"/>
              </w:rPr>
              <w:t>22.6</w:t>
            </w:r>
            <w:r>
              <w:rPr>
                <w:rFonts w:cs="Arial"/>
                <w:color w:val="000000"/>
                <w:sz w:val="20"/>
              </w:rPr>
              <w:t xml:space="preserve"> p.p.</w:t>
            </w:r>
          </w:p>
        </w:tc>
      </w:tr>
      <w:tr w:rsidR="00A1681D" w:rsidRPr="00D91FCB" w14:paraId="711A4971" w14:textId="77777777" w:rsidTr="00761A74">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noWrap/>
            <w:hideMark/>
          </w:tcPr>
          <w:p w14:paraId="1538DD05" w14:textId="77777777" w:rsidR="00A1681D" w:rsidRPr="00D91FCB" w:rsidRDefault="00A1681D" w:rsidP="00761A74">
            <w:pPr>
              <w:spacing w:after="0"/>
              <w:ind w:right="301"/>
              <w:jc w:val="right"/>
              <w:rPr>
                <w:rFonts w:cs="Arial"/>
                <w:color w:val="000000"/>
                <w:sz w:val="20"/>
              </w:rPr>
            </w:pPr>
            <w:r w:rsidRPr="00D91FCB">
              <w:rPr>
                <w:rFonts w:cs="Arial"/>
                <w:color w:val="000000"/>
                <w:sz w:val="20"/>
              </w:rPr>
              <w:t>600</w:t>
            </w:r>
          </w:p>
        </w:tc>
        <w:tc>
          <w:tcPr>
            <w:tcW w:w="1337" w:type="dxa"/>
            <w:noWrap/>
            <w:hideMark/>
          </w:tcPr>
          <w:p w14:paraId="4183D039" w14:textId="77777777" w:rsidR="00A1681D" w:rsidRPr="00D91FCB" w:rsidRDefault="00A1681D" w:rsidP="00761A74">
            <w:pPr>
              <w:spacing w:after="0"/>
              <w:ind w:right="301"/>
              <w:jc w:val="right"/>
              <w:rPr>
                <w:rFonts w:cs="Arial"/>
                <w:color w:val="000000"/>
                <w:sz w:val="20"/>
              </w:rPr>
            </w:pPr>
            <w:r w:rsidRPr="00D91FCB">
              <w:rPr>
                <w:rFonts w:cs="Arial"/>
                <w:color w:val="000000"/>
                <w:sz w:val="20"/>
              </w:rPr>
              <w:t>5.9</w:t>
            </w:r>
            <w:r>
              <w:rPr>
                <w:rFonts w:cs="Arial"/>
                <w:color w:val="000000"/>
                <w:sz w:val="20"/>
              </w:rPr>
              <w:t xml:space="preserve"> p.p.</w:t>
            </w:r>
          </w:p>
        </w:tc>
        <w:tc>
          <w:tcPr>
            <w:tcW w:w="1337" w:type="dxa"/>
            <w:noWrap/>
            <w:hideMark/>
          </w:tcPr>
          <w:p w14:paraId="78D7F884" w14:textId="77777777" w:rsidR="00A1681D" w:rsidRPr="00D91FCB" w:rsidRDefault="00A1681D" w:rsidP="00761A74">
            <w:pPr>
              <w:spacing w:after="0"/>
              <w:ind w:right="301"/>
              <w:jc w:val="right"/>
              <w:rPr>
                <w:rFonts w:cs="Arial"/>
                <w:color w:val="000000"/>
                <w:sz w:val="20"/>
              </w:rPr>
            </w:pPr>
            <w:r w:rsidRPr="00D91FCB">
              <w:rPr>
                <w:rFonts w:cs="Arial"/>
                <w:color w:val="000000"/>
                <w:sz w:val="20"/>
              </w:rPr>
              <w:t>8.5</w:t>
            </w:r>
            <w:r>
              <w:rPr>
                <w:rFonts w:cs="Arial"/>
                <w:color w:val="000000"/>
                <w:sz w:val="20"/>
              </w:rPr>
              <w:t xml:space="preserve"> p.p.</w:t>
            </w:r>
          </w:p>
        </w:tc>
        <w:tc>
          <w:tcPr>
            <w:tcW w:w="1337" w:type="dxa"/>
            <w:noWrap/>
            <w:hideMark/>
          </w:tcPr>
          <w:p w14:paraId="1065C9AE" w14:textId="77777777" w:rsidR="00A1681D" w:rsidRPr="00D91FCB" w:rsidRDefault="00A1681D" w:rsidP="00761A74">
            <w:pPr>
              <w:spacing w:after="0"/>
              <w:ind w:right="301"/>
              <w:jc w:val="right"/>
              <w:rPr>
                <w:rFonts w:cs="Arial"/>
                <w:color w:val="000000"/>
                <w:sz w:val="20"/>
              </w:rPr>
            </w:pPr>
            <w:r w:rsidRPr="00D91FCB">
              <w:rPr>
                <w:rFonts w:cs="Arial"/>
                <w:color w:val="000000"/>
                <w:sz w:val="20"/>
              </w:rPr>
              <w:t>9.2</w:t>
            </w:r>
            <w:r>
              <w:rPr>
                <w:rFonts w:cs="Arial"/>
                <w:color w:val="000000"/>
                <w:sz w:val="20"/>
              </w:rPr>
              <w:t xml:space="preserve"> p.p.</w:t>
            </w:r>
          </w:p>
        </w:tc>
        <w:tc>
          <w:tcPr>
            <w:tcW w:w="1337" w:type="dxa"/>
            <w:noWrap/>
            <w:hideMark/>
          </w:tcPr>
          <w:p w14:paraId="2BF6D714" w14:textId="77777777" w:rsidR="00A1681D" w:rsidRPr="00D91FCB" w:rsidRDefault="00A1681D" w:rsidP="00761A74">
            <w:pPr>
              <w:spacing w:after="0"/>
              <w:ind w:right="301"/>
              <w:jc w:val="right"/>
              <w:rPr>
                <w:rFonts w:cs="Arial"/>
                <w:color w:val="000000"/>
                <w:sz w:val="20"/>
              </w:rPr>
            </w:pPr>
            <w:r w:rsidRPr="00D91FCB">
              <w:rPr>
                <w:rFonts w:cs="Arial"/>
                <w:color w:val="000000"/>
                <w:sz w:val="20"/>
              </w:rPr>
              <w:t>9.8</w:t>
            </w:r>
            <w:r>
              <w:rPr>
                <w:rFonts w:cs="Arial"/>
                <w:color w:val="000000"/>
                <w:sz w:val="20"/>
              </w:rPr>
              <w:t xml:space="preserve"> p.p.</w:t>
            </w:r>
          </w:p>
        </w:tc>
        <w:tc>
          <w:tcPr>
            <w:tcW w:w="1337" w:type="dxa"/>
            <w:gridSpan w:val="2"/>
            <w:noWrap/>
            <w:hideMark/>
          </w:tcPr>
          <w:p w14:paraId="37A5DCF4" w14:textId="77777777" w:rsidR="00A1681D" w:rsidRPr="00D91FCB" w:rsidRDefault="00A1681D" w:rsidP="00761A74">
            <w:pPr>
              <w:spacing w:after="0"/>
              <w:ind w:right="301"/>
              <w:jc w:val="right"/>
              <w:rPr>
                <w:rFonts w:cs="Arial"/>
                <w:color w:val="000000"/>
                <w:sz w:val="20"/>
              </w:rPr>
            </w:pPr>
            <w:r w:rsidRPr="00D91FCB">
              <w:rPr>
                <w:rFonts w:cs="Arial"/>
                <w:color w:val="000000"/>
                <w:sz w:val="20"/>
              </w:rPr>
              <w:t>18.4</w:t>
            </w:r>
            <w:r>
              <w:rPr>
                <w:rFonts w:cs="Arial"/>
                <w:color w:val="000000"/>
                <w:sz w:val="20"/>
              </w:rPr>
              <w:t xml:space="preserve"> p.p.</w:t>
            </w:r>
          </w:p>
        </w:tc>
      </w:tr>
      <w:tr w:rsidR="00A1681D" w:rsidRPr="00D91FCB" w14:paraId="1BE81BC5" w14:textId="77777777" w:rsidTr="00761A74">
        <w:trPr>
          <w:cnfStyle w:val="000000100000" w:firstRow="0" w:lastRow="0" w:firstColumn="0" w:lastColumn="0" w:oddVBand="0" w:evenVBand="0" w:oddHBand="1" w:evenHBand="0" w:firstRowFirstColumn="0" w:firstRowLastColumn="0" w:lastRowFirstColumn="0" w:lastRowLastColumn="0"/>
          <w:trHeight w:val="300"/>
          <w:jc w:val="center"/>
        </w:trPr>
        <w:tc>
          <w:tcPr>
            <w:tcW w:w="1337" w:type="dxa"/>
            <w:noWrap/>
            <w:hideMark/>
          </w:tcPr>
          <w:p w14:paraId="188054DC" w14:textId="77777777" w:rsidR="00A1681D" w:rsidRPr="00D91FCB" w:rsidRDefault="00A1681D" w:rsidP="00761A74">
            <w:pPr>
              <w:spacing w:after="0"/>
              <w:ind w:right="301"/>
              <w:jc w:val="right"/>
              <w:rPr>
                <w:rFonts w:cs="Arial"/>
                <w:color w:val="000000"/>
                <w:sz w:val="20"/>
              </w:rPr>
            </w:pPr>
            <w:r w:rsidRPr="00D91FCB">
              <w:rPr>
                <w:rFonts w:cs="Arial"/>
                <w:color w:val="000000"/>
                <w:sz w:val="20"/>
              </w:rPr>
              <w:t>800</w:t>
            </w:r>
          </w:p>
        </w:tc>
        <w:tc>
          <w:tcPr>
            <w:tcW w:w="1337" w:type="dxa"/>
            <w:noWrap/>
            <w:hideMark/>
          </w:tcPr>
          <w:p w14:paraId="0E44497A" w14:textId="77777777" w:rsidR="00A1681D" w:rsidRPr="00D91FCB" w:rsidRDefault="00A1681D" w:rsidP="00761A74">
            <w:pPr>
              <w:spacing w:after="0"/>
              <w:ind w:right="301"/>
              <w:jc w:val="right"/>
              <w:rPr>
                <w:rFonts w:cs="Arial"/>
                <w:color w:val="000000"/>
                <w:sz w:val="20"/>
              </w:rPr>
            </w:pPr>
            <w:r w:rsidRPr="00D91FCB">
              <w:rPr>
                <w:rFonts w:cs="Arial"/>
                <w:color w:val="000000"/>
                <w:sz w:val="20"/>
              </w:rPr>
              <w:t>5.1</w:t>
            </w:r>
            <w:r>
              <w:rPr>
                <w:rFonts w:cs="Arial"/>
                <w:color w:val="000000"/>
                <w:sz w:val="20"/>
              </w:rPr>
              <w:t xml:space="preserve"> p.p.</w:t>
            </w:r>
          </w:p>
        </w:tc>
        <w:tc>
          <w:tcPr>
            <w:tcW w:w="1337" w:type="dxa"/>
            <w:noWrap/>
            <w:hideMark/>
          </w:tcPr>
          <w:p w14:paraId="6CC380B8" w14:textId="77777777" w:rsidR="00A1681D" w:rsidRPr="00D91FCB" w:rsidRDefault="00A1681D" w:rsidP="00761A74">
            <w:pPr>
              <w:spacing w:after="0"/>
              <w:ind w:right="301"/>
              <w:jc w:val="right"/>
              <w:rPr>
                <w:rFonts w:cs="Arial"/>
                <w:color w:val="000000"/>
                <w:sz w:val="20"/>
              </w:rPr>
            </w:pPr>
            <w:r w:rsidRPr="00D91FCB">
              <w:rPr>
                <w:rFonts w:cs="Arial"/>
                <w:color w:val="000000"/>
                <w:sz w:val="20"/>
              </w:rPr>
              <w:t>7.4</w:t>
            </w:r>
            <w:r>
              <w:rPr>
                <w:rFonts w:cs="Arial"/>
                <w:color w:val="000000"/>
                <w:sz w:val="20"/>
              </w:rPr>
              <w:t xml:space="preserve"> p.p.</w:t>
            </w:r>
          </w:p>
        </w:tc>
        <w:tc>
          <w:tcPr>
            <w:tcW w:w="1337" w:type="dxa"/>
            <w:noWrap/>
            <w:hideMark/>
          </w:tcPr>
          <w:p w14:paraId="232E03EA" w14:textId="77777777" w:rsidR="00A1681D" w:rsidRPr="00D91FCB" w:rsidRDefault="00A1681D" w:rsidP="00761A74">
            <w:pPr>
              <w:spacing w:after="0"/>
              <w:ind w:right="301"/>
              <w:jc w:val="right"/>
              <w:rPr>
                <w:rFonts w:cs="Arial"/>
                <w:color w:val="000000"/>
                <w:sz w:val="20"/>
              </w:rPr>
            </w:pPr>
            <w:r w:rsidRPr="00D91FCB">
              <w:rPr>
                <w:rFonts w:cs="Arial"/>
                <w:color w:val="000000"/>
                <w:sz w:val="20"/>
              </w:rPr>
              <w:t>8.0</w:t>
            </w:r>
            <w:r>
              <w:rPr>
                <w:rFonts w:cs="Arial"/>
                <w:color w:val="000000"/>
                <w:sz w:val="20"/>
              </w:rPr>
              <w:t xml:space="preserve"> p.p.</w:t>
            </w:r>
          </w:p>
        </w:tc>
        <w:tc>
          <w:tcPr>
            <w:tcW w:w="1337" w:type="dxa"/>
            <w:noWrap/>
            <w:hideMark/>
          </w:tcPr>
          <w:p w14:paraId="3758DF3B" w14:textId="77777777" w:rsidR="00A1681D" w:rsidRPr="00D91FCB" w:rsidRDefault="00A1681D" w:rsidP="00761A74">
            <w:pPr>
              <w:spacing w:after="0"/>
              <w:ind w:right="301"/>
              <w:jc w:val="right"/>
              <w:rPr>
                <w:rFonts w:cs="Arial"/>
                <w:color w:val="000000"/>
                <w:sz w:val="20"/>
              </w:rPr>
            </w:pPr>
            <w:r w:rsidRPr="00D91FCB">
              <w:rPr>
                <w:rFonts w:cs="Arial"/>
                <w:color w:val="000000"/>
                <w:sz w:val="20"/>
              </w:rPr>
              <w:t>8.5</w:t>
            </w:r>
            <w:r>
              <w:rPr>
                <w:rFonts w:cs="Arial"/>
                <w:color w:val="000000"/>
                <w:sz w:val="20"/>
              </w:rPr>
              <w:t xml:space="preserve"> p.p.</w:t>
            </w:r>
          </w:p>
        </w:tc>
        <w:tc>
          <w:tcPr>
            <w:tcW w:w="1337" w:type="dxa"/>
            <w:gridSpan w:val="2"/>
            <w:noWrap/>
            <w:hideMark/>
          </w:tcPr>
          <w:p w14:paraId="6778AF40" w14:textId="77777777" w:rsidR="00A1681D" w:rsidRPr="00D91FCB" w:rsidRDefault="00A1681D" w:rsidP="00761A74">
            <w:pPr>
              <w:spacing w:after="0"/>
              <w:ind w:right="301"/>
              <w:jc w:val="right"/>
              <w:rPr>
                <w:rFonts w:cs="Arial"/>
                <w:color w:val="000000"/>
                <w:sz w:val="20"/>
              </w:rPr>
            </w:pPr>
            <w:r w:rsidRPr="00D91FCB">
              <w:rPr>
                <w:rFonts w:cs="Arial"/>
                <w:color w:val="000000"/>
                <w:sz w:val="20"/>
              </w:rPr>
              <w:t>16.0</w:t>
            </w:r>
            <w:r>
              <w:rPr>
                <w:rFonts w:cs="Arial"/>
                <w:color w:val="000000"/>
                <w:sz w:val="20"/>
              </w:rPr>
              <w:t xml:space="preserve"> p.p.</w:t>
            </w:r>
          </w:p>
        </w:tc>
      </w:tr>
      <w:tr w:rsidR="00A1681D" w:rsidRPr="00D91FCB" w14:paraId="1F150FFF" w14:textId="77777777" w:rsidTr="00761A74">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noWrap/>
            <w:hideMark/>
          </w:tcPr>
          <w:p w14:paraId="327E0F29" w14:textId="77777777" w:rsidR="00A1681D" w:rsidRPr="00D91FCB" w:rsidRDefault="00A1681D" w:rsidP="00761A74">
            <w:pPr>
              <w:spacing w:after="0"/>
              <w:ind w:right="301"/>
              <w:jc w:val="right"/>
              <w:rPr>
                <w:rFonts w:cs="Arial"/>
                <w:color w:val="000000"/>
                <w:sz w:val="20"/>
              </w:rPr>
            </w:pPr>
            <w:r w:rsidRPr="00D91FCB">
              <w:rPr>
                <w:rFonts w:cs="Arial"/>
                <w:color w:val="000000"/>
                <w:sz w:val="20"/>
              </w:rPr>
              <w:t>1000</w:t>
            </w:r>
          </w:p>
        </w:tc>
        <w:tc>
          <w:tcPr>
            <w:tcW w:w="1337" w:type="dxa"/>
            <w:noWrap/>
            <w:hideMark/>
          </w:tcPr>
          <w:p w14:paraId="29187362" w14:textId="77777777" w:rsidR="00A1681D" w:rsidRPr="00D91FCB" w:rsidRDefault="00A1681D" w:rsidP="00761A74">
            <w:pPr>
              <w:spacing w:after="0"/>
              <w:ind w:right="301"/>
              <w:jc w:val="right"/>
              <w:rPr>
                <w:rFonts w:cs="Arial"/>
                <w:color w:val="000000"/>
                <w:sz w:val="20"/>
              </w:rPr>
            </w:pPr>
            <w:r w:rsidRPr="00D91FCB">
              <w:rPr>
                <w:rFonts w:cs="Arial"/>
                <w:color w:val="000000"/>
                <w:sz w:val="20"/>
              </w:rPr>
              <w:t>4.6</w:t>
            </w:r>
            <w:r>
              <w:rPr>
                <w:rFonts w:cs="Arial"/>
                <w:color w:val="000000"/>
                <w:sz w:val="20"/>
              </w:rPr>
              <w:t xml:space="preserve"> p.p.</w:t>
            </w:r>
          </w:p>
        </w:tc>
        <w:tc>
          <w:tcPr>
            <w:tcW w:w="1337" w:type="dxa"/>
            <w:noWrap/>
            <w:hideMark/>
          </w:tcPr>
          <w:p w14:paraId="2A0F4820" w14:textId="77777777" w:rsidR="00A1681D" w:rsidRPr="00D91FCB" w:rsidRDefault="00A1681D" w:rsidP="00761A74">
            <w:pPr>
              <w:spacing w:after="0"/>
              <w:ind w:right="301"/>
              <w:jc w:val="right"/>
              <w:rPr>
                <w:rFonts w:cs="Arial"/>
                <w:color w:val="000000"/>
                <w:sz w:val="20"/>
              </w:rPr>
            </w:pPr>
            <w:r w:rsidRPr="00D91FCB">
              <w:rPr>
                <w:rFonts w:cs="Arial"/>
                <w:color w:val="000000"/>
                <w:sz w:val="20"/>
              </w:rPr>
              <w:t>6.6</w:t>
            </w:r>
            <w:r>
              <w:rPr>
                <w:rFonts w:cs="Arial"/>
                <w:color w:val="000000"/>
                <w:sz w:val="20"/>
              </w:rPr>
              <w:t xml:space="preserve"> p.p.</w:t>
            </w:r>
          </w:p>
        </w:tc>
        <w:tc>
          <w:tcPr>
            <w:tcW w:w="1337" w:type="dxa"/>
            <w:noWrap/>
            <w:hideMark/>
          </w:tcPr>
          <w:p w14:paraId="274EBF14" w14:textId="77777777" w:rsidR="00A1681D" w:rsidRPr="00D91FCB" w:rsidRDefault="00A1681D" w:rsidP="00761A74">
            <w:pPr>
              <w:spacing w:after="0"/>
              <w:ind w:right="301"/>
              <w:jc w:val="right"/>
              <w:rPr>
                <w:rFonts w:cs="Arial"/>
                <w:color w:val="000000"/>
                <w:sz w:val="20"/>
              </w:rPr>
            </w:pPr>
            <w:r w:rsidRPr="00D91FCB">
              <w:rPr>
                <w:rFonts w:cs="Arial"/>
                <w:color w:val="000000"/>
                <w:sz w:val="20"/>
              </w:rPr>
              <w:t>7.1</w:t>
            </w:r>
            <w:r>
              <w:rPr>
                <w:rFonts w:cs="Arial"/>
                <w:color w:val="000000"/>
                <w:sz w:val="20"/>
              </w:rPr>
              <w:t xml:space="preserve"> p.p.</w:t>
            </w:r>
          </w:p>
        </w:tc>
        <w:tc>
          <w:tcPr>
            <w:tcW w:w="1337" w:type="dxa"/>
            <w:noWrap/>
            <w:hideMark/>
          </w:tcPr>
          <w:p w14:paraId="130538BC" w14:textId="77777777" w:rsidR="00A1681D" w:rsidRPr="00D91FCB" w:rsidRDefault="00A1681D" w:rsidP="00761A74">
            <w:pPr>
              <w:spacing w:after="0"/>
              <w:ind w:right="301"/>
              <w:jc w:val="right"/>
              <w:rPr>
                <w:rFonts w:cs="Arial"/>
                <w:color w:val="000000"/>
                <w:sz w:val="20"/>
              </w:rPr>
            </w:pPr>
            <w:r w:rsidRPr="00D91FCB">
              <w:rPr>
                <w:rFonts w:cs="Arial"/>
                <w:color w:val="000000"/>
                <w:sz w:val="20"/>
              </w:rPr>
              <w:t>7.6</w:t>
            </w:r>
            <w:r>
              <w:rPr>
                <w:rFonts w:cs="Arial"/>
                <w:color w:val="000000"/>
                <w:sz w:val="20"/>
              </w:rPr>
              <w:t xml:space="preserve"> p.p.</w:t>
            </w:r>
          </w:p>
        </w:tc>
        <w:tc>
          <w:tcPr>
            <w:tcW w:w="1337" w:type="dxa"/>
            <w:gridSpan w:val="2"/>
            <w:noWrap/>
            <w:hideMark/>
          </w:tcPr>
          <w:p w14:paraId="4A5E4F4D" w14:textId="77777777" w:rsidR="00A1681D" w:rsidRPr="00D91FCB" w:rsidRDefault="00A1681D" w:rsidP="00761A74">
            <w:pPr>
              <w:spacing w:after="0"/>
              <w:ind w:right="301"/>
              <w:jc w:val="right"/>
              <w:rPr>
                <w:rFonts w:cs="Arial"/>
                <w:color w:val="000000"/>
                <w:sz w:val="20"/>
              </w:rPr>
            </w:pPr>
            <w:r w:rsidRPr="00D91FCB">
              <w:rPr>
                <w:rFonts w:cs="Arial"/>
                <w:color w:val="000000"/>
                <w:sz w:val="20"/>
              </w:rPr>
              <w:t>14.3</w:t>
            </w:r>
            <w:r>
              <w:rPr>
                <w:rFonts w:cs="Arial"/>
                <w:color w:val="000000"/>
                <w:sz w:val="20"/>
              </w:rPr>
              <w:t xml:space="preserve"> p.p.</w:t>
            </w:r>
          </w:p>
        </w:tc>
      </w:tr>
      <w:tr w:rsidR="00A1681D" w:rsidRPr="00D91FCB" w14:paraId="7222C477" w14:textId="77777777" w:rsidTr="00761A74">
        <w:trPr>
          <w:cnfStyle w:val="000000100000" w:firstRow="0" w:lastRow="0" w:firstColumn="0" w:lastColumn="0" w:oddVBand="0" w:evenVBand="0" w:oddHBand="1" w:evenHBand="0" w:firstRowFirstColumn="0" w:firstRowLastColumn="0" w:lastRowFirstColumn="0" w:lastRowLastColumn="0"/>
          <w:trHeight w:val="300"/>
          <w:jc w:val="center"/>
        </w:trPr>
        <w:tc>
          <w:tcPr>
            <w:tcW w:w="1337" w:type="dxa"/>
            <w:noWrap/>
            <w:hideMark/>
          </w:tcPr>
          <w:p w14:paraId="06136702" w14:textId="77777777" w:rsidR="00A1681D" w:rsidRPr="00D91FCB" w:rsidRDefault="00A1681D" w:rsidP="00761A74">
            <w:pPr>
              <w:spacing w:after="0"/>
              <w:ind w:right="301"/>
              <w:jc w:val="right"/>
              <w:rPr>
                <w:rFonts w:cs="Arial"/>
                <w:color w:val="000000"/>
                <w:sz w:val="20"/>
              </w:rPr>
            </w:pPr>
            <w:r w:rsidRPr="00D91FCB">
              <w:rPr>
                <w:rFonts w:cs="Arial"/>
                <w:color w:val="000000"/>
                <w:sz w:val="20"/>
              </w:rPr>
              <w:t>1200</w:t>
            </w:r>
          </w:p>
        </w:tc>
        <w:tc>
          <w:tcPr>
            <w:tcW w:w="1337" w:type="dxa"/>
            <w:noWrap/>
            <w:hideMark/>
          </w:tcPr>
          <w:p w14:paraId="31636223" w14:textId="77777777" w:rsidR="00A1681D" w:rsidRPr="00D91FCB" w:rsidRDefault="00A1681D" w:rsidP="00761A74">
            <w:pPr>
              <w:spacing w:after="0"/>
              <w:ind w:right="301"/>
              <w:jc w:val="right"/>
              <w:rPr>
                <w:rFonts w:cs="Arial"/>
                <w:color w:val="000000"/>
                <w:sz w:val="20"/>
              </w:rPr>
            </w:pPr>
            <w:r w:rsidRPr="00D91FCB">
              <w:rPr>
                <w:rFonts w:cs="Arial"/>
                <w:color w:val="000000"/>
                <w:sz w:val="20"/>
              </w:rPr>
              <w:t>4.2</w:t>
            </w:r>
            <w:r>
              <w:rPr>
                <w:rFonts w:cs="Arial"/>
                <w:color w:val="000000"/>
                <w:sz w:val="20"/>
              </w:rPr>
              <w:t xml:space="preserve"> p.p.</w:t>
            </w:r>
          </w:p>
        </w:tc>
        <w:tc>
          <w:tcPr>
            <w:tcW w:w="1337" w:type="dxa"/>
            <w:noWrap/>
            <w:hideMark/>
          </w:tcPr>
          <w:p w14:paraId="4CB8AB36" w14:textId="77777777" w:rsidR="00A1681D" w:rsidRPr="00D91FCB" w:rsidRDefault="00A1681D" w:rsidP="00761A74">
            <w:pPr>
              <w:spacing w:after="0"/>
              <w:ind w:right="301"/>
              <w:jc w:val="right"/>
              <w:rPr>
                <w:rFonts w:cs="Arial"/>
                <w:color w:val="000000"/>
                <w:sz w:val="20"/>
              </w:rPr>
            </w:pPr>
            <w:r w:rsidRPr="00D91FCB">
              <w:rPr>
                <w:rFonts w:cs="Arial"/>
                <w:color w:val="000000"/>
                <w:sz w:val="20"/>
              </w:rPr>
              <w:t>6.0</w:t>
            </w:r>
            <w:r>
              <w:rPr>
                <w:rFonts w:cs="Arial"/>
                <w:color w:val="000000"/>
                <w:sz w:val="20"/>
              </w:rPr>
              <w:t xml:space="preserve"> p.p.</w:t>
            </w:r>
          </w:p>
        </w:tc>
        <w:tc>
          <w:tcPr>
            <w:tcW w:w="1337" w:type="dxa"/>
            <w:noWrap/>
            <w:hideMark/>
          </w:tcPr>
          <w:p w14:paraId="638D0FEE" w14:textId="77777777" w:rsidR="00A1681D" w:rsidRPr="00D91FCB" w:rsidRDefault="00A1681D" w:rsidP="00761A74">
            <w:pPr>
              <w:spacing w:after="0"/>
              <w:ind w:right="301"/>
              <w:jc w:val="right"/>
              <w:rPr>
                <w:rFonts w:cs="Arial"/>
                <w:color w:val="000000"/>
                <w:sz w:val="20"/>
              </w:rPr>
            </w:pPr>
            <w:r w:rsidRPr="00D91FCB">
              <w:rPr>
                <w:rFonts w:cs="Arial"/>
                <w:color w:val="000000"/>
                <w:sz w:val="20"/>
              </w:rPr>
              <w:t>6.5</w:t>
            </w:r>
            <w:r>
              <w:rPr>
                <w:rFonts w:cs="Arial"/>
                <w:color w:val="000000"/>
                <w:sz w:val="20"/>
              </w:rPr>
              <w:t xml:space="preserve"> p.p.</w:t>
            </w:r>
          </w:p>
        </w:tc>
        <w:tc>
          <w:tcPr>
            <w:tcW w:w="1337" w:type="dxa"/>
            <w:noWrap/>
            <w:hideMark/>
          </w:tcPr>
          <w:p w14:paraId="35A90B15" w14:textId="77777777" w:rsidR="00A1681D" w:rsidRPr="00D91FCB" w:rsidRDefault="00A1681D" w:rsidP="00761A74">
            <w:pPr>
              <w:spacing w:after="0"/>
              <w:ind w:right="301"/>
              <w:jc w:val="right"/>
              <w:rPr>
                <w:rFonts w:cs="Arial"/>
                <w:color w:val="000000"/>
                <w:sz w:val="20"/>
              </w:rPr>
            </w:pPr>
            <w:r w:rsidRPr="00D91FCB">
              <w:rPr>
                <w:rFonts w:cs="Arial"/>
                <w:color w:val="000000"/>
                <w:sz w:val="20"/>
              </w:rPr>
              <w:t>6.9</w:t>
            </w:r>
            <w:r>
              <w:rPr>
                <w:rFonts w:cs="Arial"/>
                <w:color w:val="000000"/>
                <w:sz w:val="20"/>
              </w:rPr>
              <w:t xml:space="preserve"> p.p.</w:t>
            </w:r>
          </w:p>
        </w:tc>
        <w:tc>
          <w:tcPr>
            <w:tcW w:w="1337" w:type="dxa"/>
            <w:gridSpan w:val="2"/>
            <w:noWrap/>
            <w:hideMark/>
          </w:tcPr>
          <w:p w14:paraId="311AF481" w14:textId="77777777" w:rsidR="00A1681D" w:rsidRPr="00D91FCB" w:rsidRDefault="00A1681D" w:rsidP="00761A74">
            <w:pPr>
              <w:spacing w:after="0"/>
              <w:ind w:right="301"/>
              <w:jc w:val="right"/>
              <w:rPr>
                <w:rFonts w:cs="Arial"/>
                <w:color w:val="000000"/>
                <w:sz w:val="20"/>
              </w:rPr>
            </w:pPr>
            <w:r w:rsidRPr="00D91FCB">
              <w:rPr>
                <w:rFonts w:cs="Arial"/>
                <w:color w:val="000000"/>
                <w:sz w:val="20"/>
              </w:rPr>
              <w:t>13.0</w:t>
            </w:r>
            <w:r>
              <w:rPr>
                <w:rFonts w:cs="Arial"/>
                <w:color w:val="000000"/>
                <w:sz w:val="20"/>
              </w:rPr>
              <w:t xml:space="preserve"> p.p.</w:t>
            </w:r>
          </w:p>
        </w:tc>
      </w:tr>
      <w:tr w:rsidR="00A1681D" w:rsidRPr="00D91FCB" w14:paraId="5C77F48B" w14:textId="77777777" w:rsidTr="00761A74">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noWrap/>
            <w:hideMark/>
          </w:tcPr>
          <w:p w14:paraId="3AD7EDA3" w14:textId="77777777" w:rsidR="00A1681D" w:rsidRPr="00D91FCB" w:rsidRDefault="00A1681D" w:rsidP="00761A74">
            <w:pPr>
              <w:spacing w:after="0"/>
              <w:ind w:right="301"/>
              <w:jc w:val="right"/>
              <w:rPr>
                <w:rFonts w:cs="Arial"/>
                <w:color w:val="000000"/>
                <w:sz w:val="20"/>
              </w:rPr>
            </w:pPr>
            <w:r w:rsidRPr="00D91FCB">
              <w:rPr>
                <w:rFonts w:cs="Arial"/>
                <w:color w:val="000000"/>
                <w:sz w:val="20"/>
              </w:rPr>
              <w:t>1400</w:t>
            </w:r>
          </w:p>
        </w:tc>
        <w:tc>
          <w:tcPr>
            <w:tcW w:w="1337" w:type="dxa"/>
            <w:noWrap/>
            <w:hideMark/>
          </w:tcPr>
          <w:p w14:paraId="08C448FB" w14:textId="77777777" w:rsidR="00A1681D" w:rsidRPr="00D91FCB" w:rsidRDefault="00A1681D" w:rsidP="00761A74">
            <w:pPr>
              <w:spacing w:after="0"/>
              <w:ind w:right="301"/>
              <w:jc w:val="right"/>
              <w:rPr>
                <w:rFonts w:cs="Arial"/>
                <w:color w:val="000000"/>
                <w:sz w:val="20"/>
              </w:rPr>
            </w:pPr>
            <w:r w:rsidRPr="00D91FCB">
              <w:rPr>
                <w:rFonts w:cs="Arial"/>
                <w:color w:val="000000"/>
                <w:sz w:val="20"/>
              </w:rPr>
              <w:t>3.8</w:t>
            </w:r>
            <w:r>
              <w:rPr>
                <w:rFonts w:cs="Arial"/>
                <w:color w:val="000000"/>
                <w:sz w:val="20"/>
              </w:rPr>
              <w:t xml:space="preserve"> p.p.</w:t>
            </w:r>
          </w:p>
        </w:tc>
        <w:tc>
          <w:tcPr>
            <w:tcW w:w="1337" w:type="dxa"/>
            <w:noWrap/>
            <w:hideMark/>
          </w:tcPr>
          <w:p w14:paraId="6D307296" w14:textId="77777777" w:rsidR="00A1681D" w:rsidRPr="00D91FCB" w:rsidRDefault="00A1681D" w:rsidP="00761A74">
            <w:pPr>
              <w:spacing w:after="0"/>
              <w:ind w:right="301"/>
              <w:jc w:val="right"/>
              <w:rPr>
                <w:rFonts w:cs="Arial"/>
                <w:color w:val="000000"/>
                <w:sz w:val="20"/>
              </w:rPr>
            </w:pPr>
            <w:r w:rsidRPr="00D91FCB">
              <w:rPr>
                <w:rFonts w:cs="Arial"/>
                <w:color w:val="000000"/>
                <w:sz w:val="20"/>
              </w:rPr>
              <w:t>5.6</w:t>
            </w:r>
            <w:r>
              <w:rPr>
                <w:rFonts w:cs="Arial"/>
                <w:color w:val="000000"/>
                <w:sz w:val="20"/>
              </w:rPr>
              <w:t xml:space="preserve"> p.p.</w:t>
            </w:r>
          </w:p>
        </w:tc>
        <w:tc>
          <w:tcPr>
            <w:tcW w:w="1337" w:type="dxa"/>
            <w:noWrap/>
            <w:hideMark/>
          </w:tcPr>
          <w:p w14:paraId="76A8E78A" w14:textId="77777777" w:rsidR="00A1681D" w:rsidRPr="00D91FCB" w:rsidRDefault="00A1681D" w:rsidP="00761A74">
            <w:pPr>
              <w:spacing w:after="0"/>
              <w:ind w:right="301"/>
              <w:jc w:val="right"/>
              <w:rPr>
                <w:rFonts w:cs="Arial"/>
                <w:color w:val="000000"/>
                <w:sz w:val="20"/>
              </w:rPr>
            </w:pPr>
            <w:r w:rsidRPr="00D91FCB">
              <w:rPr>
                <w:rFonts w:cs="Arial"/>
                <w:color w:val="000000"/>
                <w:sz w:val="20"/>
              </w:rPr>
              <w:t>6.0</w:t>
            </w:r>
            <w:r>
              <w:rPr>
                <w:rFonts w:cs="Arial"/>
                <w:color w:val="000000"/>
                <w:sz w:val="20"/>
              </w:rPr>
              <w:t xml:space="preserve"> p.p.</w:t>
            </w:r>
          </w:p>
        </w:tc>
        <w:tc>
          <w:tcPr>
            <w:tcW w:w="1337" w:type="dxa"/>
            <w:noWrap/>
            <w:hideMark/>
          </w:tcPr>
          <w:p w14:paraId="48C78D7F" w14:textId="77777777" w:rsidR="00A1681D" w:rsidRPr="00D91FCB" w:rsidRDefault="00A1681D" w:rsidP="00761A74">
            <w:pPr>
              <w:spacing w:after="0"/>
              <w:ind w:right="301"/>
              <w:jc w:val="right"/>
              <w:rPr>
                <w:rFonts w:cs="Arial"/>
                <w:color w:val="000000"/>
                <w:sz w:val="20"/>
              </w:rPr>
            </w:pPr>
            <w:r w:rsidRPr="00D91FCB">
              <w:rPr>
                <w:rFonts w:cs="Arial"/>
                <w:color w:val="000000"/>
                <w:sz w:val="20"/>
              </w:rPr>
              <w:t>6.4</w:t>
            </w:r>
            <w:r>
              <w:rPr>
                <w:rFonts w:cs="Arial"/>
                <w:color w:val="000000"/>
                <w:sz w:val="20"/>
              </w:rPr>
              <w:t xml:space="preserve"> p.p.</w:t>
            </w:r>
          </w:p>
        </w:tc>
        <w:tc>
          <w:tcPr>
            <w:tcW w:w="1337" w:type="dxa"/>
            <w:gridSpan w:val="2"/>
            <w:noWrap/>
            <w:hideMark/>
          </w:tcPr>
          <w:p w14:paraId="2A8C1E6D" w14:textId="77777777" w:rsidR="00A1681D" w:rsidRPr="00D91FCB" w:rsidRDefault="00A1681D" w:rsidP="00761A74">
            <w:pPr>
              <w:spacing w:after="0"/>
              <w:ind w:right="301"/>
              <w:jc w:val="right"/>
              <w:rPr>
                <w:rFonts w:cs="Arial"/>
                <w:color w:val="000000"/>
                <w:sz w:val="20"/>
              </w:rPr>
            </w:pPr>
            <w:r w:rsidRPr="00D91FCB">
              <w:rPr>
                <w:rFonts w:cs="Arial"/>
                <w:color w:val="000000"/>
                <w:sz w:val="20"/>
              </w:rPr>
              <w:t>12.1</w:t>
            </w:r>
            <w:r>
              <w:rPr>
                <w:rFonts w:cs="Arial"/>
                <w:color w:val="000000"/>
                <w:sz w:val="20"/>
              </w:rPr>
              <w:t xml:space="preserve"> p.p.</w:t>
            </w:r>
          </w:p>
        </w:tc>
      </w:tr>
      <w:tr w:rsidR="00A1681D" w:rsidRPr="00D91FCB" w14:paraId="5FEE224A" w14:textId="77777777" w:rsidTr="00761A74">
        <w:trPr>
          <w:cnfStyle w:val="000000100000" w:firstRow="0" w:lastRow="0" w:firstColumn="0" w:lastColumn="0" w:oddVBand="0" w:evenVBand="0" w:oddHBand="1" w:evenHBand="0" w:firstRowFirstColumn="0" w:firstRowLastColumn="0" w:lastRowFirstColumn="0" w:lastRowLastColumn="0"/>
          <w:trHeight w:val="300"/>
          <w:jc w:val="center"/>
        </w:trPr>
        <w:tc>
          <w:tcPr>
            <w:tcW w:w="1337" w:type="dxa"/>
            <w:noWrap/>
            <w:hideMark/>
          </w:tcPr>
          <w:p w14:paraId="00ED5423" w14:textId="77777777" w:rsidR="00A1681D" w:rsidRPr="00D91FCB" w:rsidRDefault="00A1681D" w:rsidP="00761A74">
            <w:pPr>
              <w:spacing w:after="0"/>
              <w:ind w:right="301"/>
              <w:jc w:val="right"/>
              <w:rPr>
                <w:rFonts w:cs="Arial"/>
                <w:color w:val="000000"/>
                <w:sz w:val="20"/>
              </w:rPr>
            </w:pPr>
            <w:r w:rsidRPr="00D91FCB">
              <w:rPr>
                <w:rFonts w:cs="Arial"/>
                <w:color w:val="000000"/>
                <w:sz w:val="20"/>
              </w:rPr>
              <w:t>1600</w:t>
            </w:r>
          </w:p>
        </w:tc>
        <w:tc>
          <w:tcPr>
            <w:tcW w:w="1337" w:type="dxa"/>
            <w:noWrap/>
            <w:hideMark/>
          </w:tcPr>
          <w:p w14:paraId="2BC17BD0" w14:textId="77777777" w:rsidR="00A1681D" w:rsidRPr="00D91FCB" w:rsidRDefault="00A1681D" w:rsidP="00761A74">
            <w:pPr>
              <w:spacing w:after="0"/>
              <w:ind w:right="301"/>
              <w:jc w:val="right"/>
              <w:rPr>
                <w:rFonts w:cs="Arial"/>
                <w:color w:val="000000"/>
                <w:sz w:val="20"/>
              </w:rPr>
            </w:pPr>
            <w:r w:rsidRPr="00D91FCB">
              <w:rPr>
                <w:rFonts w:cs="Arial"/>
                <w:color w:val="000000"/>
                <w:sz w:val="20"/>
              </w:rPr>
              <w:t>3.6</w:t>
            </w:r>
            <w:r>
              <w:rPr>
                <w:rFonts w:cs="Arial"/>
                <w:color w:val="000000"/>
                <w:sz w:val="20"/>
              </w:rPr>
              <w:t xml:space="preserve"> p.p.</w:t>
            </w:r>
          </w:p>
        </w:tc>
        <w:tc>
          <w:tcPr>
            <w:tcW w:w="1337" w:type="dxa"/>
            <w:noWrap/>
            <w:hideMark/>
          </w:tcPr>
          <w:p w14:paraId="38B79DC6" w14:textId="77777777" w:rsidR="00A1681D" w:rsidRPr="00D91FCB" w:rsidRDefault="00A1681D" w:rsidP="00761A74">
            <w:pPr>
              <w:spacing w:after="0"/>
              <w:ind w:right="301"/>
              <w:jc w:val="right"/>
              <w:rPr>
                <w:rFonts w:cs="Arial"/>
                <w:color w:val="000000"/>
                <w:sz w:val="20"/>
              </w:rPr>
            </w:pPr>
            <w:r w:rsidRPr="00D91FCB">
              <w:rPr>
                <w:rFonts w:cs="Arial"/>
                <w:color w:val="000000"/>
                <w:sz w:val="20"/>
              </w:rPr>
              <w:t>5.2</w:t>
            </w:r>
            <w:r>
              <w:rPr>
                <w:rFonts w:cs="Arial"/>
                <w:color w:val="000000"/>
                <w:sz w:val="20"/>
              </w:rPr>
              <w:t xml:space="preserve"> p.p.</w:t>
            </w:r>
          </w:p>
        </w:tc>
        <w:tc>
          <w:tcPr>
            <w:tcW w:w="1337" w:type="dxa"/>
            <w:noWrap/>
            <w:hideMark/>
          </w:tcPr>
          <w:p w14:paraId="772C97A5" w14:textId="77777777" w:rsidR="00A1681D" w:rsidRPr="00D91FCB" w:rsidRDefault="00A1681D" w:rsidP="00761A74">
            <w:pPr>
              <w:spacing w:after="0"/>
              <w:ind w:right="301"/>
              <w:jc w:val="right"/>
              <w:rPr>
                <w:rFonts w:cs="Arial"/>
                <w:color w:val="000000"/>
                <w:sz w:val="20"/>
              </w:rPr>
            </w:pPr>
            <w:r w:rsidRPr="00D91FCB">
              <w:rPr>
                <w:rFonts w:cs="Arial"/>
                <w:color w:val="000000"/>
                <w:sz w:val="20"/>
              </w:rPr>
              <w:t>5.6</w:t>
            </w:r>
            <w:r>
              <w:rPr>
                <w:rFonts w:cs="Arial"/>
                <w:color w:val="000000"/>
                <w:sz w:val="20"/>
              </w:rPr>
              <w:t xml:space="preserve"> p.p.</w:t>
            </w:r>
          </w:p>
        </w:tc>
        <w:tc>
          <w:tcPr>
            <w:tcW w:w="1337" w:type="dxa"/>
            <w:noWrap/>
            <w:hideMark/>
          </w:tcPr>
          <w:p w14:paraId="04C28DF4" w14:textId="77777777" w:rsidR="00A1681D" w:rsidRPr="00D91FCB" w:rsidRDefault="00A1681D" w:rsidP="00761A74">
            <w:pPr>
              <w:spacing w:after="0"/>
              <w:ind w:right="301"/>
              <w:jc w:val="right"/>
              <w:rPr>
                <w:rFonts w:cs="Arial"/>
                <w:color w:val="000000"/>
                <w:sz w:val="20"/>
              </w:rPr>
            </w:pPr>
            <w:r w:rsidRPr="00D91FCB">
              <w:rPr>
                <w:rFonts w:cs="Arial"/>
                <w:color w:val="000000"/>
                <w:sz w:val="20"/>
              </w:rPr>
              <w:t>6.0</w:t>
            </w:r>
            <w:r>
              <w:rPr>
                <w:rFonts w:cs="Arial"/>
                <w:color w:val="000000"/>
                <w:sz w:val="20"/>
              </w:rPr>
              <w:t xml:space="preserve"> p.p.</w:t>
            </w:r>
          </w:p>
        </w:tc>
        <w:tc>
          <w:tcPr>
            <w:tcW w:w="1337" w:type="dxa"/>
            <w:gridSpan w:val="2"/>
            <w:noWrap/>
            <w:hideMark/>
          </w:tcPr>
          <w:p w14:paraId="36CC8A9B" w14:textId="77777777" w:rsidR="00A1681D" w:rsidRPr="00D91FCB" w:rsidRDefault="00A1681D" w:rsidP="00761A74">
            <w:pPr>
              <w:spacing w:after="0"/>
              <w:ind w:right="301"/>
              <w:jc w:val="right"/>
              <w:rPr>
                <w:rFonts w:cs="Arial"/>
                <w:color w:val="000000"/>
                <w:sz w:val="20"/>
              </w:rPr>
            </w:pPr>
            <w:r w:rsidRPr="00D91FCB">
              <w:rPr>
                <w:rFonts w:cs="Arial"/>
                <w:color w:val="000000"/>
                <w:sz w:val="20"/>
              </w:rPr>
              <w:t>11.3</w:t>
            </w:r>
            <w:r>
              <w:rPr>
                <w:rFonts w:cs="Arial"/>
                <w:color w:val="000000"/>
                <w:sz w:val="20"/>
              </w:rPr>
              <w:t xml:space="preserve"> p.p.</w:t>
            </w:r>
          </w:p>
        </w:tc>
      </w:tr>
      <w:tr w:rsidR="00A1681D" w:rsidRPr="00D91FCB" w14:paraId="6F675455" w14:textId="77777777" w:rsidTr="00761A74">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noWrap/>
            <w:hideMark/>
          </w:tcPr>
          <w:p w14:paraId="4DA663BF" w14:textId="77777777" w:rsidR="00A1681D" w:rsidRPr="00D91FCB" w:rsidRDefault="00A1681D" w:rsidP="00761A74">
            <w:pPr>
              <w:spacing w:after="0"/>
              <w:ind w:right="301"/>
              <w:jc w:val="right"/>
              <w:rPr>
                <w:rFonts w:cs="Arial"/>
                <w:color w:val="000000"/>
                <w:sz w:val="20"/>
              </w:rPr>
            </w:pPr>
            <w:r w:rsidRPr="00D91FCB">
              <w:rPr>
                <w:rFonts w:cs="Arial"/>
                <w:color w:val="000000"/>
                <w:sz w:val="20"/>
              </w:rPr>
              <w:t>1800</w:t>
            </w:r>
          </w:p>
        </w:tc>
        <w:tc>
          <w:tcPr>
            <w:tcW w:w="1337" w:type="dxa"/>
            <w:noWrap/>
            <w:hideMark/>
          </w:tcPr>
          <w:p w14:paraId="034D81B0" w14:textId="77777777" w:rsidR="00A1681D" w:rsidRPr="00D91FCB" w:rsidRDefault="00A1681D" w:rsidP="00761A74">
            <w:pPr>
              <w:spacing w:after="0"/>
              <w:ind w:right="301"/>
              <w:jc w:val="right"/>
              <w:rPr>
                <w:rFonts w:cs="Arial"/>
                <w:color w:val="000000"/>
                <w:sz w:val="20"/>
              </w:rPr>
            </w:pPr>
            <w:r w:rsidRPr="00D91FCB">
              <w:rPr>
                <w:rFonts w:cs="Arial"/>
                <w:color w:val="000000"/>
                <w:sz w:val="20"/>
              </w:rPr>
              <w:t>3.4</w:t>
            </w:r>
            <w:r>
              <w:rPr>
                <w:rFonts w:cs="Arial"/>
                <w:color w:val="000000"/>
                <w:sz w:val="20"/>
              </w:rPr>
              <w:t xml:space="preserve"> p.p.</w:t>
            </w:r>
          </w:p>
        </w:tc>
        <w:tc>
          <w:tcPr>
            <w:tcW w:w="1337" w:type="dxa"/>
            <w:noWrap/>
            <w:hideMark/>
          </w:tcPr>
          <w:p w14:paraId="4F74F49C" w14:textId="77777777" w:rsidR="00A1681D" w:rsidRPr="00D91FCB" w:rsidRDefault="00A1681D" w:rsidP="00761A74">
            <w:pPr>
              <w:spacing w:after="0"/>
              <w:ind w:right="301"/>
              <w:jc w:val="right"/>
              <w:rPr>
                <w:rFonts w:cs="Arial"/>
                <w:color w:val="000000"/>
                <w:sz w:val="20"/>
              </w:rPr>
            </w:pPr>
            <w:r w:rsidRPr="00D91FCB">
              <w:rPr>
                <w:rFonts w:cs="Arial"/>
                <w:color w:val="000000"/>
                <w:sz w:val="20"/>
              </w:rPr>
              <w:t>4.9</w:t>
            </w:r>
            <w:r>
              <w:rPr>
                <w:rFonts w:cs="Arial"/>
                <w:color w:val="000000"/>
                <w:sz w:val="20"/>
              </w:rPr>
              <w:t xml:space="preserve"> p.p.</w:t>
            </w:r>
          </w:p>
        </w:tc>
        <w:tc>
          <w:tcPr>
            <w:tcW w:w="1337" w:type="dxa"/>
            <w:noWrap/>
            <w:hideMark/>
          </w:tcPr>
          <w:p w14:paraId="54D8DCF0" w14:textId="77777777" w:rsidR="00A1681D" w:rsidRPr="00D91FCB" w:rsidRDefault="00A1681D" w:rsidP="00761A74">
            <w:pPr>
              <w:spacing w:after="0"/>
              <w:ind w:right="301"/>
              <w:jc w:val="right"/>
              <w:rPr>
                <w:rFonts w:cs="Arial"/>
                <w:color w:val="000000"/>
                <w:sz w:val="20"/>
              </w:rPr>
            </w:pPr>
            <w:r w:rsidRPr="00D91FCB">
              <w:rPr>
                <w:rFonts w:cs="Arial"/>
                <w:color w:val="000000"/>
                <w:sz w:val="20"/>
              </w:rPr>
              <w:t>5.3</w:t>
            </w:r>
            <w:r>
              <w:rPr>
                <w:rFonts w:cs="Arial"/>
                <w:color w:val="000000"/>
                <w:sz w:val="20"/>
              </w:rPr>
              <w:t xml:space="preserve"> p.p.</w:t>
            </w:r>
          </w:p>
        </w:tc>
        <w:tc>
          <w:tcPr>
            <w:tcW w:w="1337" w:type="dxa"/>
            <w:noWrap/>
            <w:hideMark/>
          </w:tcPr>
          <w:p w14:paraId="1EA0D2FC" w14:textId="77777777" w:rsidR="00A1681D" w:rsidRPr="00D91FCB" w:rsidRDefault="00A1681D" w:rsidP="00761A74">
            <w:pPr>
              <w:spacing w:after="0"/>
              <w:ind w:right="301"/>
              <w:jc w:val="right"/>
              <w:rPr>
                <w:rFonts w:cs="Arial"/>
                <w:color w:val="000000"/>
                <w:sz w:val="20"/>
              </w:rPr>
            </w:pPr>
            <w:r w:rsidRPr="00D91FCB">
              <w:rPr>
                <w:rFonts w:cs="Arial"/>
                <w:color w:val="000000"/>
                <w:sz w:val="20"/>
              </w:rPr>
              <w:t>5.7</w:t>
            </w:r>
            <w:r>
              <w:rPr>
                <w:rFonts w:cs="Arial"/>
                <w:color w:val="000000"/>
                <w:sz w:val="20"/>
              </w:rPr>
              <w:t xml:space="preserve"> p.p.</w:t>
            </w:r>
          </w:p>
        </w:tc>
        <w:tc>
          <w:tcPr>
            <w:tcW w:w="1337" w:type="dxa"/>
            <w:gridSpan w:val="2"/>
            <w:noWrap/>
            <w:hideMark/>
          </w:tcPr>
          <w:p w14:paraId="1ACAC153" w14:textId="77777777" w:rsidR="00A1681D" w:rsidRPr="00D91FCB" w:rsidRDefault="00A1681D" w:rsidP="00761A74">
            <w:pPr>
              <w:spacing w:after="0"/>
              <w:ind w:right="301"/>
              <w:jc w:val="right"/>
              <w:rPr>
                <w:rFonts w:cs="Arial"/>
                <w:color w:val="000000"/>
                <w:sz w:val="20"/>
              </w:rPr>
            </w:pPr>
            <w:r w:rsidRPr="00D91FCB">
              <w:rPr>
                <w:rFonts w:cs="Arial"/>
                <w:color w:val="000000"/>
                <w:sz w:val="20"/>
              </w:rPr>
              <w:t>10.6</w:t>
            </w:r>
            <w:r>
              <w:rPr>
                <w:rFonts w:cs="Arial"/>
                <w:color w:val="000000"/>
                <w:sz w:val="20"/>
              </w:rPr>
              <w:t xml:space="preserve"> p.p.</w:t>
            </w:r>
          </w:p>
        </w:tc>
      </w:tr>
      <w:tr w:rsidR="00A1681D" w:rsidRPr="00D91FCB" w14:paraId="595B134B" w14:textId="77777777" w:rsidTr="00761A74">
        <w:trPr>
          <w:cnfStyle w:val="000000100000" w:firstRow="0" w:lastRow="0" w:firstColumn="0" w:lastColumn="0" w:oddVBand="0" w:evenVBand="0" w:oddHBand="1" w:evenHBand="0" w:firstRowFirstColumn="0" w:firstRowLastColumn="0" w:lastRowFirstColumn="0" w:lastRowLastColumn="0"/>
          <w:trHeight w:val="300"/>
          <w:jc w:val="center"/>
        </w:trPr>
        <w:tc>
          <w:tcPr>
            <w:tcW w:w="1337" w:type="dxa"/>
            <w:noWrap/>
            <w:hideMark/>
          </w:tcPr>
          <w:p w14:paraId="6A1B3025" w14:textId="77777777" w:rsidR="00A1681D" w:rsidRPr="00D91FCB" w:rsidRDefault="00A1681D" w:rsidP="00761A74">
            <w:pPr>
              <w:spacing w:after="0"/>
              <w:ind w:right="301"/>
              <w:jc w:val="right"/>
              <w:rPr>
                <w:rFonts w:cs="Arial"/>
                <w:color w:val="000000"/>
                <w:sz w:val="20"/>
              </w:rPr>
            </w:pPr>
            <w:r w:rsidRPr="00D91FCB">
              <w:rPr>
                <w:rFonts w:cs="Arial"/>
                <w:color w:val="000000"/>
                <w:sz w:val="20"/>
              </w:rPr>
              <w:t>2000</w:t>
            </w:r>
          </w:p>
        </w:tc>
        <w:tc>
          <w:tcPr>
            <w:tcW w:w="1337" w:type="dxa"/>
            <w:noWrap/>
            <w:hideMark/>
          </w:tcPr>
          <w:p w14:paraId="3012F19B" w14:textId="77777777" w:rsidR="00A1681D" w:rsidRPr="00D91FCB" w:rsidRDefault="00A1681D" w:rsidP="00761A74">
            <w:pPr>
              <w:spacing w:after="0"/>
              <w:ind w:right="301"/>
              <w:jc w:val="right"/>
              <w:rPr>
                <w:rFonts w:cs="Arial"/>
                <w:color w:val="000000"/>
                <w:sz w:val="20"/>
              </w:rPr>
            </w:pPr>
            <w:r w:rsidRPr="00D91FCB">
              <w:rPr>
                <w:rFonts w:cs="Arial"/>
                <w:color w:val="000000"/>
                <w:sz w:val="20"/>
              </w:rPr>
              <w:t>3.2</w:t>
            </w:r>
            <w:r>
              <w:rPr>
                <w:rFonts w:cs="Arial"/>
                <w:color w:val="000000"/>
                <w:sz w:val="20"/>
              </w:rPr>
              <w:t xml:space="preserve"> p.p.</w:t>
            </w:r>
          </w:p>
        </w:tc>
        <w:tc>
          <w:tcPr>
            <w:tcW w:w="1337" w:type="dxa"/>
            <w:noWrap/>
            <w:hideMark/>
          </w:tcPr>
          <w:p w14:paraId="61CB8BF1" w14:textId="77777777" w:rsidR="00A1681D" w:rsidRPr="00D91FCB" w:rsidRDefault="00A1681D" w:rsidP="00761A74">
            <w:pPr>
              <w:spacing w:after="0"/>
              <w:ind w:right="301"/>
              <w:jc w:val="right"/>
              <w:rPr>
                <w:rFonts w:cs="Arial"/>
                <w:color w:val="000000"/>
                <w:sz w:val="20"/>
              </w:rPr>
            </w:pPr>
            <w:r w:rsidRPr="00D91FCB">
              <w:rPr>
                <w:rFonts w:cs="Arial"/>
                <w:color w:val="000000"/>
                <w:sz w:val="20"/>
              </w:rPr>
              <w:t>4.6</w:t>
            </w:r>
            <w:r>
              <w:rPr>
                <w:rFonts w:cs="Arial"/>
                <w:color w:val="000000"/>
                <w:sz w:val="20"/>
              </w:rPr>
              <w:t xml:space="preserve"> p.p.</w:t>
            </w:r>
          </w:p>
        </w:tc>
        <w:tc>
          <w:tcPr>
            <w:tcW w:w="1337" w:type="dxa"/>
            <w:noWrap/>
            <w:hideMark/>
          </w:tcPr>
          <w:p w14:paraId="58C48513" w14:textId="77777777" w:rsidR="00A1681D" w:rsidRPr="00D91FCB" w:rsidRDefault="00A1681D" w:rsidP="00761A74">
            <w:pPr>
              <w:spacing w:after="0"/>
              <w:ind w:right="301"/>
              <w:jc w:val="right"/>
              <w:rPr>
                <w:rFonts w:cs="Arial"/>
                <w:color w:val="000000"/>
                <w:sz w:val="20"/>
              </w:rPr>
            </w:pPr>
            <w:r w:rsidRPr="00D91FCB">
              <w:rPr>
                <w:rFonts w:cs="Arial"/>
                <w:color w:val="000000"/>
                <w:sz w:val="20"/>
              </w:rPr>
              <w:t>5.0</w:t>
            </w:r>
            <w:r>
              <w:rPr>
                <w:rFonts w:cs="Arial"/>
                <w:color w:val="000000"/>
                <w:sz w:val="20"/>
              </w:rPr>
              <w:t xml:space="preserve"> p.p.</w:t>
            </w:r>
          </w:p>
        </w:tc>
        <w:tc>
          <w:tcPr>
            <w:tcW w:w="1337" w:type="dxa"/>
            <w:noWrap/>
            <w:hideMark/>
          </w:tcPr>
          <w:p w14:paraId="063212A8" w14:textId="77777777" w:rsidR="00A1681D" w:rsidRPr="00D91FCB" w:rsidRDefault="00A1681D" w:rsidP="00761A74">
            <w:pPr>
              <w:spacing w:after="0"/>
              <w:ind w:right="301"/>
              <w:jc w:val="right"/>
              <w:rPr>
                <w:rFonts w:cs="Arial"/>
                <w:color w:val="000000"/>
                <w:sz w:val="20"/>
              </w:rPr>
            </w:pPr>
            <w:r w:rsidRPr="00D91FCB">
              <w:rPr>
                <w:rFonts w:cs="Arial"/>
                <w:color w:val="000000"/>
                <w:sz w:val="20"/>
              </w:rPr>
              <w:t>5.4</w:t>
            </w:r>
            <w:r>
              <w:rPr>
                <w:rFonts w:cs="Arial"/>
                <w:color w:val="000000"/>
                <w:sz w:val="20"/>
              </w:rPr>
              <w:t xml:space="preserve"> p.p.</w:t>
            </w:r>
          </w:p>
        </w:tc>
        <w:tc>
          <w:tcPr>
            <w:tcW w:w="1337" w:type="dxa"/>
            <w:gridSpan w:val="2"/>
            <w:noWrap/>
            <w:hideMark/>
          </w:tcPr>
          <w:p w14:paraId="4A0267F6" w14:textId="77777777" w:rsidR="00A1681D" w:rsidRPr="00D91FCB" w:rsidRDefault="00A1681D" w:rsidP="00761A74">
            <w:pPr>
              <w:spacing w:after="0"/>
              <w:ind w:right="301"/>
              <w:jc w:val="right"/>
              <w:rPr>
                <w:rFonts w:cs="Arial"/>
                <w:color w:val="000000"/>
                <w:sz w:val="20"/>
              </w:rPr>
            </w:pPr>
            <w:r w:rsidRPr="00D91FCB">
              <w:rPr>
                <w:rFonts w:cs="Arial"/>
                <w:color w:val="000000"/>
                <w:sz w:val="20"/>
              </w:rPr>
              <w:t>10.1</w:t>
            </w:r>
            <w:r>
              <w:rPr>
                <w:rFonts w:cs="Arial"/>
                <w:color w:val="000000"/>
                <w:sz w:val="20"/>
              </w:rPr>
              <w:t xml:space="preserve"> p.p.</w:t>
            </w:r>
          </w:p>
        </w:tc>
      </w:tr>
      <w:tr w:rsidR="00A1681D" w:rsidRPr="00D91FCB" w14:paraId="0C4BCB01" w14:textId="77777777" w:rsidTr="00761A74">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shd w:val="clear" w:color="auto" w:fill="auto"/>
            <w:noWrap/>
          </w:tcPr>
          <w:p w14:paraId="160016AA" w14:textId="77777777" w:rsidR="00A1681D" w:rsidRPr="00D91FCB" w:rsidRDefault="00A1681D" w:rsidP="00761A74">
            <w:pPr>
              <w:spacing w:after="0"/>
              <w:ind w:right="301"/>
              <w:jc w:val="right"/>
              <w:rPr>
                <w:rFonts w:cs="Arial"/>
                <w:color w:val="000000"/>
                <w:sz w:val="20"/>
              </w:rPr>
            </w:pPr>
            <w:r>
              <w:rPr>
                <w:rFonts w:cs="Arial"/>
                <w:color w:val="000000"/>
                <w:sz w:val="20"/>
              </w:rPr>
              <w:t>2200</w:t>
            </w:r>
          </w:p>
        </w:tc>
        <w:tc>
          <w:tcPr>
            <w:tcW w:w="1337" w:type="dxa"/>
            <w:shd w:val="clear" w:color="auto" w:fill="auto"/>
            <w:noWrap/>
          </w:tcPr>
          <w:p w14:paraId="1C72393F" w14:textId="77777777" w:rsidR="00A1681D" w:rsidRPr="00D91FCB" w:rsidRDefault="00A1681D" w:rsidP="00761A74">
            <w:pPr>
              <w:spacing w:after="0"/>
              <w:ind w:right="301"/>
              <w:jc w:val="right"/>
              <w:rPr>
                <w:rFonts w:cs="Arial"/>
                <w:color w:val="000000"/>
                <w:sz w:val="20"/>
              </w:rPr>
            </w:pPr>
            <w:r>
              <w:rPr>
                <w:rFonts w:cs="Arial"/>
                <w:color w:val="000000"/>
                <w:sz w:val="20"/>
              </w:rPr>
              <w:t>3.0 p.p.</w:t>
            </w:r>
          </w:p>
        </w:tc>
        <w:tc>
          <w:tcPr>
            <w:tcW w:w="1337" w:type="dxa"/>
            <w:shd w:val="clear" w:color="auto" w:fill="auto"/>
            <w:noWrap/>
          </w:tcPr>
          <w:p w14:paraId="650AF648" w14:textId="77777777" w:rsidR="00A1681D" w:rsidRPr="00D91FCB" w:rsidRDefault="00A1681D" w:rsidP="00761A74">
            <w:pPr>
              <w:spacing w:after="0"/>
              <w:ind w:right="301"/>
              <w:jc w:val="right"/>
              <w:rPr>
                <w:rFonts w:cs="Arial"/>
                <w:color w:val="000000"/>
                <w:sz w:val="20"/>
              </w:rPr>
            </w:pPr>
            <w:r>
              <w:rPr>
                <w:rFonts w:cs="Arial"/>
                <w:color w:val="000000"/>
                <w:sz w:val="20"/>
              </w:rPr>
              <w:t>4.3 p.p.</w:t>
            </w:r>
          </w:p>
        </w:tc>
        <w:tc>
          <w:tcPr>
            <w:tcW w:w="1337" w:type="dxa"/>
            <w:shd w:val="clear" w:color="auto" w:fill="auto"/>
            <w:noWrap/>
          </w:tcPr>
          <w:p w14:paraId="70972489" w14:textId="77777777" w:rsidR="00A1681D" w:rsidRPr="00D91FCB" w:rsidRDefault="00A1681D" w:rsidP="00761A74">
            <w:pPr>
              <w:spacing w:after="0"/>
              <w:ind w:right="301"/>
              <w:jc w:val="right"/>
              <w:rPr>
                <w:rFonts w:cs="Arial"/>
                <w:color w:val="000000"/>
                <w:sz w:val="20"/>
              </w:rPr>
            </w:pPr>
            <w:r>
              <w:rPr>
                <w:rFonts w:cs="Arial"/>
                <w:color w:val="000000"/>
                <w:sz w:val="20"/>
              </w:rPr>
              <w:t>4.7 p.p.</w:t>
            </w:r>
          </w:p>
        </w:tc>
        <w:tc>
          <w:tcPr>
            <w:tcW w:w="1337" w:type="dxa"/>
            <w:shd w:val="clear" w:color="auto" w:fill="auto"/>
            <w:noWrap/>
          </w:tcPr>
          <w:p w14:paraId="716189B0" w14:textId="77777777" w:rsidR="00A1681D" w:rsidRPr="00D91FCB" w:rsidRDefault="00A1681D" w:rsidP="00761A74">
            <w:pPr>
              <w:spacing w:after="0"/>
              <w:ind w:right="301"/>
              <w:jc w:val="right"/>
              <w:rPr>
                <w:rFonts w:cs="Arial"/>
                <w:color w:val="000000"/>
                <w:sz w:val="20"/>
              </w:rPr>
            </w:pPr>
            <w:r>
              <w:rPr>
                <w:rFonts w:cs="Arial"/>
                <w:color w:val="000000"/>
                <w:sz w:val="20"/>
              </w:rPr>
              <w:t>5.1 p.p.</w:t>
            </w:r>
          </w:p>
        </w:tc>
        <w:tc>
          <w:tcPr>
            <w:tcW w:w="1337" w:type="dxa"/>
            <w:gridSpan w:val="2"/>
            <w:shd w:val="clear" w:color="auto" w:fill="auto"/>
            <w:noWrap/>
          </w:tcPr>
          <w:p w14:paraId="45EC10C2" w14:textId="77777777" w:rsidR="00A1681D" w:rsidRPr="00D91FCB" w:rsidRDefault="00A1681D" w:rsidP="00761A74">
            <w:pPr>
              <w:spacing w:after="0"/>
              <w:ind w:right="301"/>
              <w:jc w:val="right"/>
              <w:rPr>
                <w:rFonts w:cs="Arial"/>
                <w:color w:val="000000"/>
                <w:sz w:val="20"/>
              </w:rPr>
            </w:pPr>
            <w:r>
              <w:rPr>
                <w:rFonts w:cs="Arial"/>
                <w:color w:val="000000"/>
                <w:sz w:val="20"/>
              </w:rPr>
              <w:t>9.8 p.p.</w:t>
            </w:r>
          </w:p>
        </w:tc>
      </w:tr>
      <w:tr w:rsidR="00A1681D" w:rsidRPr="00D91FCB" w14:paraId="5C1E01A7" w14:textId="77777777" w:rsidTr="00761A74">
        <w:trPr>
          <w:gridAfter w:val="1"/>
          <w:cnfStyle w:val="000000100000" w:firstRow="0" w:lastRow="0" w:firstColumn="0" w:lastColumn="0" w:oddVBand="0" w:evenVBand="0" w:oddHBand="1" w:evenHBand="0" w:firstRowFirstColumn="0" w:firstRowLastColumn="0" w:lastRowFirstColumn="0" w:lastRowLastColumn="0"/>
          <w:wAfter w:w="12" w:type="dxa"/>
          <w:trHeight w:val="620"/>
          <w:jc w:val="center"/>
        </w:trPr>
        <w:tc>
          <w:tcPr>
            <w:tcW w:w="8010" w:type="dxa"/>
            <w:gridSpan w:val="6"/>
            <w:tcBorders>
              <w:left w:val="nil"/>
              <w:bottom w:val="nil"/>
              <w:right w:val="nil"/>
            </w:tcBorders>
            <w:noWrap/>
            <w:hideMark/>
          </w:tcPr>
          <w:p w14:paraId="52B7A7C0" w14:textId="77777777" w:rsidR="00A1681D" w:rsidRPr="001A4F17" w:rsidRDefault="00A1681D" w:rsidP="00761A74">
            <w:pPr>
              <w:spacing w:after="0"/>
              <w:rPr>
                <w:rFonts w:cs="Arial"/>
                <w:b/>
                <w:color w:val="000000"/>
                <w:sz w:val="20"/>
              </w:rPr>
            </w:pPr>
            <w:r w:rsidRPr="001A4F17">
              <w:rPr>
                <w:rFonts w:cs="Arial"/>
                <w:b/>
                <w:color w:val="000000"/>
                <w:sz w:val="20"/>
              </w:rPr>
              <w:t>Notes:</w:t>
            </w:r>
          </w:p>
          <w:p w14:paraId="6AAB480A" w14:textId="77777777" w:rsidR="00A1681D" w:rsidRDefault="00A1681D" w:rsidP="00761A74">
            <w:pPr>
              <w:spacing w:after="0"/>
              <w:rPr>
                <w:rFonts w:cs="Arial"/>
                <w:color w:val="000000"/>
                <w:sz w:val="20"/>
              </w:rPr>
            </w:pPr>
            <w:r>
              <w:rPr>
                <w:rFonts w:cs="Arial"/>
                <w:color w:val="000000"/>
                <w:sz w:val="20"/>
              </w:rPr>
              <w:t>p.p.—percentage points.</w:t>
            </w:r>
          </w:p>
          <w:p w14:paraId="47F798ED" w14:textId="77777777" w:rsidR="00A1681D" w:rsidRPr="00D91FCB" w:rsidRDefault="00A1681D" w:rsidP="00761A74">
            <w:pPr>
              <w:spacing w:after="0"/>
              <w:rPr>
                <w:rFonts w:cs="Arial"/>
                <w:color w:val="000000"/>
                <w:sz w:val="20"/>
              </w:rPr>
            </w:pPr>
            <w:r w:rsidRPr="00D91FCB">
              <w:rPr>
                <w:rFonts w:cs="Arial"/>
                <w:color w:val="000000"/>
                <w:sz w:val="20"/>
              </w:rPr>
              <w:t>alpha=0.05, 1-beta=80%, 2-sided test; R-square=30%</w:t>
            </w:r>
          </w:p>
          <w:p w14:paraId="00B28827" w14:textId="77777777" w:rsidR="00A1681D" w:rsidRPr="00D91FCB" w:rsidRDefault="00A1681D" w:rsidP="00761A74">
            <w:pPr>
              <w:spacing w:after="0"/>
              <w:rPr>
                <w:rFonts w:cs="Arial"/>
                <w:color w:val="000000"/>
                <w:sz w:val="20"/>
              </w:rPr>
            </w:pPr>
            <w:r w:rsidRPr="00D91FCB">
              <w:rPr>
                <w:rFonts w:cs="Arial"/>
                <w:color w:val="000000"/>
                <w:sz w:val="20"/>
              </w:rPr>
              <w:t>Design effect (DEFF, for survey non-response)=1.05.</w:t>
            </w:r>
          </w:p>
        </w:tc>
      </w:tr>
    </w:tbl>
    <w:p w14:paraId="54A7004B" w14:textId="77777777" w:rsidR="00DB6BF1" w:rsidRDefault="00DB6BF1" w:rsidP="00DB6BF1">
      <w:pPr>
        <w:pStyle w:val="BodyText"/>
      </w:pPr>
    </w:p>
    <w:p w14:paraId="65F185CB" w14:textId="77777777" w:rsidR="00DB6BF1" w:rsidRDefault="00DB6BF1" w:rsidP="00DB6BF1">
      <w:pPr>
        <w:pStyle w:val="BodyText"/>
      </w:pPr>
      <w:r>
        <w:t>The MDIs are computed using the formula:</w:t>
      </w:r>
    </w:p>
    <w:p w14:paraId="7DA69742" w14:textId="77777777" w:rsidR="00DB6BF1" w:rsidRPr="00ED3B19" w:rsidRDefault="00DB6BF1" w:rsidP="00DB6BF1">
      <w:pPr>
        <w:pStyle w:val="TableSourceCaption"/>
        <w:ind w:left="0" w:firstLine="0"/>
        <w:rPr>
          <w:rFonts w:ascii="Garamond" w:hAnsi="Garamond"/>
          <w:sz w:val="24"/>
        </w:rPr>
      </w:pPr>
      <m:oMathPara>
        <m:oMathParaPr>
          <m:jc m:val="left"/>
        </m:oMathParaPr>
        <m:oMath>
          <m:r>
            <w:rPr>
              <w:rFonts w:ascii="Cambria Math" w:hAnsi="Cambria Math"/>
              <w:sz w:val="24"/>
            </w:rPr>
            <m:t>MDI=factor*σ</m:t>
          </m:r>
          <m:rad>
            <m:radPr>
              <m:degHide m:val="1"/>
              <m:ctrlPr>
                <w:rPr>
                  <w:rFonts w:ascii="Cambria Math" w:hAnsi="Cambria Math"/>
                  <w:i/>
                  <w:sz w:val="24"/>
                </w:rPr>
              </m:ctrlPr>
            </m:radPr>
            <m:deg/>
            <m:e>
              <m:r>
                <w:rPr>
                  <w:rFonts w:ascii="Cambria Math" w:hAnsi="Cambria Math"/>
                  <w:sz w:val="24"/>
                </w:rPr>
                <m:t>(1-</m:t>
              </m:r>
              <m:sSup>
                <m:sSupPr>
                  <m:ctrlPr>
                    <w:rPr>
                      <w:rFonts w:ascii="Cambria Math" w:hAnsi="Cambria Math"/>
                      <w:i/>
                      <w:sz w:val="24"/>
                    </w:rPr>
                  </m:ctrlPr>
                </m:sSupPr>
                <m:e>
                  <m:r>
                    <w:rPr>
                      <w:rFonts w:ascii="Cambria Math" w:hAnsi="Cambria Math"/>
                      <w:sz w:val="24"/>
                    </w:rPr>
                    <m:t>R</m:t>
                  </m:r>
                </m:e>
                <m:sup>
                  <m:r>
                    <w:rPr>
                      <w:rFonts w:ascii="Cambria Math" w:hAnsi="Cambria Math"/>
                      <w:sz w:val="24"/>
                    </w:rPr>
                    <m:t>2</m:t>
                  </m:r>
                </m:sup>
              </m:sSup>
              <m:r>
                <w:rPr>
                  <w:rFonts w:ascii="Cambria Math" w:hAnsi="Cambria Math"/>
                  <w:sz w:val="24"/>
                </w:rPr>
                <m:t>)*</m:t>
              </m:r>
              <m:f>
                <m:fPr>
                  <m:ctrlPr>
                    <w:rPr>
                      <w:rFonts w:ascii="Cambria Math" w:hAnsi="Cambria Math"/>
                      <w:i/>
                      <w:sz w:val="24"/>
                    </w:rPr>
                  </m:ctrlPr>
                </m:fPr>
                <m:num>
                  <m:r>
                    <w:rPr>
                      <w:rFonts w:ascii="Cambria Math" w:hAnsi="Cambria Math"/>
                      <w:sz w:val="24"/>
                    </w:rPr>
                    <m:t>1</m:t>
                  </m:r>
                </m:num>
                <m:den>
                  <m:r>
                    <w:rPr>
                      <w:rFonts w:ascii="Cambria Math" w:hAnsi="Cambria Math"/>
                      <w:sz w:val="24"/>
                    </w:rPr>
                    <m:t>nP(1-P)</m:t>
                  </m:r>
                </m:den>
              </m:f>
            </m:e>
          </m:rad>
        </m:oMath>
      </m:oMathPara>
    </w:p>
    <w:p w14:paraId="7B05A8FF" w14:textId="77777777" w:rsidR="00DB6BF1" w:rsidRDefault="00DB6BF1" w:rsidP="00DB6BF1">
      <w:pPr>
        <w:pStyle w:val="BodyText"/>
      </w:pPr>
      <w:r>
        <w:t xml:space="preserve">All the MDI calculations are based on a number of assumptions, some of which vary by the outcome measure involved.  These assumptions are as follows: </w:t>
      </w:r>
    </w:p>
    <w:p w14:paraId="23313FBE" w14:textId="77777777" w:rsidR="00DB6BF1" w:rsidRDefault="00DB6BF1" w:rsidP="00DB6BF1">
      <w:pPr>
        <w:pStyle w:val="BodyText"/>
        <w:ind w:left="360"/>
      </w:pPr>
      <w:r>
        <w:t>•</w:t>
      </w:r>
      <w:r>
        <w:tab/>
        <w:t xml:space="preserve">A 1:1 treatment-control ratio, implying a value of </w:t>
      </w:r>
      <w:r w:rsidRPr="001F1F40">
        <w:rPr>
          <w:i/>
        </w:rPr>
        <w:t>P</w:t>
      </w:r>
      <w:r>
        <w:t xml:space="preserve"> of 0.5.  </w:t>
      </w:r>
    </w:p>
    <w:p w14:paraId="33670E4D" w14:textId="77777777" w:rsidR="00DB6BF1" w:rsidRDefault="00DB6BF1" w:rsidP="00DB6BF1">
      <w:pPr>
        <w:pStyle w:val="BodyText"/>
        <w:ind w:left="360"/>
      </w:pPr>
      <w:r>
        <w:t>•</w:t>
      </w:r>
      <w:r>
        <w:tab/>
        <w:t>An 80 percent follow-up survey response rate.</w:t>
      </w:r>
    </w:p>
    <w:p w14:paraId="139C753E" w14:textId="77777777" w:rsidR="00DB6BF1" w:rsidRDefault="00DB6BF1" w:rsidP="00DB6BF1">
      <w:pPr>
        <w:pStyle w:val="BodyText"/>
        <w:ind w:left="360"/>
      </w:pPr>
      <w:r>
        <w:t>•</w:t>
      </w:r>
      <w:r>
        <w:tab/>
        <w:t>Two-tailed statistical tests.</w:t>
      </w:r>
    </w:p>
    <w:p w14:paraId="744A9A1F" w14:textId="77777777" w:rsidR="00DB6BF1" w:rsidRDefault="00DB6BF1" w:rsidP="00DB6BF1">
      <w:pPr>
        <w:pStyle w:val="BodyText"/>
        <w:ind w:left="360"/>
      </w:pPr>
      <w:r>
        <w:t>•</w:t>
      </w:r>
      <w:r>
        <w:tab/>
        <w:t xml:space="preserve">Conventional power parameters (alpha=0.05; beta=0.80), implying a value of </w:t>
      </w:r>
      <w:r w:rsidRPr="001F1F40">
        <w:rPr>
          <w:i/>
        </w:rPr>
        <w:t>factor</w:t>
      </w:r>
      <w:r>
        <w:t xml:space="preserve"> of 2.80.</w:t>
      </w:r>
    </w:p>
    <w:p w14:paraId="6D0785DA" w14:textId="77777777" w:rsidR="00DB6BF1" w:rsidRPr="00DB6BF1" w:rsidRDefault="00DB6BF1" w:rsidP="00DB6BF1">
      <w:pPr>
        <w:pStyle w:val="BodyText"/>
      </w:pPr>
      <w:r w:rsidRPr="00DB6BF1">
        <w:t>See the footnotes to the table for assumed baseline rates, variances, and R</w:t>
      </w:r>
      <w:r w:rsidRPr="00DB6BF1">
        <w:rPr>
          <w:vertAlign w:val="superscript"/>
        </w:rPr>
        <w:t>2</w:t>
      </w:r>
      <w:r w:rsidRPr="00DB6BF1">
        <w:t xml:space="preserve">s.  </w:t>
      </w:r>
    </w:p>
    <w:p w14:paraId="3876403A" w14:textId="582A0773" w:rsidR="00EF6CAF" w:rsidRPr="00DB6BF1" w:rsidRDefault="00EF6CAF" w:rsidP="00DB6BF1">
      <w:pPr>
        <w:pStyle w:val="BodyText"/>
      </w:pPr>
      <w:r w:rsidRPr="00DB6BF1">
        <w:t>Suppose that two-thirds of the control group is working two years after randomization. Then</w:t>
      </w:r>
      <w:r w:rsidR="00DB6BF1" w:rsidRPr="00DB6BF1">
        <w:t>, using administrative data (i.e</w:t>
      </w:r>
      <w:r w:rsidRPr="00DB6BF1">
        <w:t>., the NDNH) and a sample size of 2,200, we could detect an impact of 4.7 percentage points. If CCCA is successful, impact on employment should be considerably larger than 4.7 percentage points (i.e., 71.4=66.7+4.7 percent). This MDI of 4.7 percentage points is one-third of the size of the 15.0 percentage point impact detected on receipt of a GED in the National Job Corps Study.</w:t>
      </w:r>
      <w:r w:rsidR="001B18EB">
        <w:rPr>
          <w:rStyle w:val="FootnoteReference"/>
        </w:rPr>
        <w:footnoteReference w:id="7"/>
      </w:r>
      <w:r w:rsidR="00832322" w:rsidRPr="00DB6BF1">
        <w:t xml:space="preserve"> </w:t>
      </w:r>
      <w:r w:rsidRPr="00DB6BF1">
        <w:t>Similarly, suppose that half of the control group gets some certificate by</w:t>
      </w:r>
      <w:r w:rsidR="00DB6BF1" w:rsidRPr="00DB6BF1">
        <w:t xml:space="preserve"> 18 months after randomization.</w:t>
      </w:r>
      <w:r w:rsidRPr="00DB6BF1">
        <w:t xml:space="preserve"> Then, using the survey data (i.e., a sample size of 800), we would detect an impact of 8.5 perc</w:t>
      </w:r>
      <w:r w:rsidR="00DB6BF1" w:rsidRPr="00DB6BF1">
        <w:t>entage points.</w:t>
      </w:r>
      <w:r w:rsidRPr="00DB6BF1">
        <w:t xml:space="preserve"> Again, if CCCA is successful, impact on certificate receipt should be considerably larger than 8.5 percentage points (i.e., 58.5=50.0+8.5 percent). This MDI of 8.5 percentage points is less than half the size of the impact of 22.3 percentage points detected for receipt of vocational, technical, or trade certificates in the National Job Corps Study</w:t>
      </w:r>
      <w:r w:rsidR="001B18EB">
        <w:t>.</w:t>
      </w:r>
      <w:r w:rsidR="001B18EB">
        <w:rPr>
          <w:rStyle w:val="FootnoteReference"/>
        </w:rPr>
        <w:footnoteReference w:id="8"/>
      </w:r>
    </w:p>
    <w:p w14:paraId="2B8AB748" w14:textId="77777777" w:rsidR="003C0A01" w:rsidRDefault="003C0A01" w:rsidP="003C0A01">
      <w:pPr>
        <w:pStyle w:val="Heading3"/>
      </w:pPr>
      <w:r>
        <w:t>B.2.4</w:t>
      </w:r>
      <w:r>
        <w:tab/>
        <w:t>Who Will Collect the Data and How Will It Be Done</w:t>
      </w:r>
    </w:p>
    <w:p w14:paraId="03A60034" w14:textId="36573A67" w:rsidR="00EF6CAF" w:rsidRDefault="00EF6CAF" w:rsidP="003C0A01">
      <w:pPr>
        <w:pStyle w:val="BodyText"/>
      </w:pPr>
      <w:r w:rsidRPr="00EF6CAF">
        <w:t>The follow-up survey wil</w:t>
      </w:r>
      <w:r>
        <w:t>l be administered by Abt</w:t>
      </w:r>
      <w:r w:rsidR="00832322">
        <w:t>’s in house survey group</w:t>
      </w:r>
      <w:r>
        <w:t xml:space="preserve"> </w:t>
      </w:r>
      <w:r w:rsidRPr="00EF6CAF">
        <w:t xml:space="preserve">through a combination of phone calls, field locating and interviewing (for those who could not be reached on the phone), and on-site interviews (for those still at the Cascades Job Corps Center) with the use of CAPI (Computer-Assisted Personal Interviewing). Survey respondents will not see a paper or electronic copy of the questionnaire. </w:t>
      </w:r>
      <w:r>
        <w:t>Abt</w:t>
      </w:r>
      <w:r w:rsidRPr="00EF6CAF">
        <w:t xml:space="preserve"> will use trained interviewers to contact study participants to complete the survey. All interviewers will be well trained and appropriately monitored, with corrective actions by supervisors where necessary.</w:t>
      </w:r>
    </w:p>
    <w:p w14:paraId="12628377" w14:textId="77777777" w:rsidR="003C0A01" w:rsidRDefault="003C0A01" w:rsidP="003C0A01">
      <w:pPr>
        <w:pStyle w:val="Heading3"/>
      </w:pPr>
      <w:r>
        <w:t>B.2.5</w:t>
      </w:r>
      <w:r>
        <w:tab/>
      </w:r>
      <w:bookmarkEnd w:id="19"/>
      <w:r>
        <w:t>Unusual Problems Requiring Specialized Sampling Procedures</w:t>
      </w:r>
    </w:p>
    <w:p w14:paraId="685A2506" w14:textId="77777777" w:rsidR="003C0A01" w:rsidRDefault="003C0A01" w:rsidP="003C0A01">
      <w:pPr>
        <w:pStyle w:val="BodyText"/>
      </w:pPr>
      <w:r>
        <w:t xml:space="preserve">Not applicable. </w:t>
      </w:r>
    </w:p>
    <w:p w14:paraId="654B4B3E" w14:textId="77777777" w:rsidR="003C0A01" w:rsidRDefault="003C0A01" w:rsidP="003C0A01">
      <w:pPr>
        <w:pStyle w:val="Heading3"/>
      </w:pPr>
      <w:r>
        <w:t>B.2.6</w:t>
      </w:r>
      <w:r>
        <w:tab/>
        <w:t>Periodic Data Collection Cycles</w:t>
      </w:r>
    </w:p>
    <w:p w14:paraId="1492713A" w14:textId="77777777" w:rsidR="003C0A01" w:rsidRDefault="003C0A01" w:rsidP="003C0A01">
      <w:pPr>
        <w:pStyle w:val="BodyText"/>
      </w:pPr>
      <w:r>
        <w:t>The 18-month follow-up surveys will be administered once.</w:t>
      </w:r>
      <w:r w:rsidRPr="005A5135">
        <w:t xml:space="preserve"> </w:t>
      </w:r>
      <w:r>
        <w:t>Building on experience conducting follow-up surveys with similar populations, the evaluator is implementing pro-active tracking of study participants between the time they are randomly assigned and the follow-up survey. These efforts are intended to update study participant contact information. Abt wi</w:t>
      </w:r>
      <w:r w:rsidR="002E77AE">
        <w:t xml:space="preserve">ll send participants an email, </w:t>
      </w:r>
      <w:r>
        <w:t>text</w:t>
      </w:r>
      <w:r w:rsidR="002E77AE">
        <w:t>, or U.S. mail</w:t>
      </w:r>
      <w:r>
        <w:t xml:space="preserve"> reminder for this purpose approximately every three months between sample enrollment and survey administration. Doing so will ensure that the researchers can effectively and efficiently contact study participants for the 18-month follow-up survey.</w:t>
      </w:r>
      <w:r w:rsidR="002E77AE">
        <w:t xml:space="preserve"> Tracking efforts were approved for the CCCA Evaluation under OMB control number 1290-0012 (approved on February 6, 2017).</w:t>
      </w:r>
    </w:p>
    <w:p w14:paraId="510E8088" w14:textId="77777777" w:rsidR="003C0A01" w:rsidRDefault="003C0A01" w:rsidP="003C0A01">
      <w:pPr>
        <w:pStyle w:val="Heading2"/>
      </w:pPr>
      <w:bookmarkStart w:id="22" w:name="_Toc322083617"/>
      <w:bookmarkStart w:id="23" w:name="_Toc354131261"/>
      <w:bookmarkStart w:id="24" w:name="_Toc445214039"/>
      <w:bookmarkStart w:id="25" w:name="_Toc451763640"/>
      <w:bookmarkStart w:id="26" w:name="_Toc508364234"/>
      <w:r>
        <w:t>B.3</w:t>
      </w:r>
      <w:r>
        <w:tab/>
        <w:t>Methods to Maximize Response Rates</w:t>
      </w:r>
      <w:bookmarkEnd w:id="22"/>
      <w:r>
        <w:t xml:space="preserve"> and Address Non-response</w:t>
      </w:r>
      <w:bookmarkEnd w:id="23"/>
      <w:bookmarkEnd w:id="24"/>
      <w:bookmarkEnd w:id="25"/>
      <w:bookmarkEnd w:id="26"/>
    </w:p>
    <w:p w14:paraId="3465BFAB" w14:textId="77777777" w:rsidR="003C0A01" w:rsidRDefault="003C0A01" w:rsidP="003C0A01">
      <w:pPr>
        <w:pStyle w:val="BodyText"/>
      </w:pPr>
      <w:bookmarkStart w:id="27" w:name="_Toc354131262"/>
      <w:r w:rsidRPr="001C0FB6">
        <w:t xml:space="preserve">The methods to maximize response rates </w:t>
      </w:r>
      <w:r>
        <w:t>are discussed with regard first to participant tracking and locating, and then regarding the use of monetary tokens of appreciation</w:t>
      </w:r>
      <w:r w:rsidR="005A2F67">
        <w:t xml:space="preserve">. </w:t>
      </w:r>
    </w:p>
    <w:p w14:paraId="3E76C9EE" w14:textId="77777777" w:rsidR="003C0A01" w:rsidRPr="002E48E4" w:rsidRDefault="003C0A01" w:rsidP="003C0A01">
      <w:pPr>
        <w:pStyle w:val="Heading3"/>
      </w:pPr>
      <w:bookmarkStart w:id="28" w:name="_Toc329063944"/>
      <w:bookmarkStart w:id="29" w:name="_Toc403652253"/>
      <w:bookmarkStart w:id="30" w:name="_Toc354131263"/>
      <w:r w:rsidRPr="002E48E4">
        <w:t>B.</w:t>
      </w:r>
      <w:r>
        <w:t>3</w:t>
      </w:r>
      <w:r w:rsidRPr="002E48E4">
        <w:t>.1</w:t>
      </w:r>
      <w:r w:rsidRPr="002E48E4">
        <w:tab/>
      </w:r>
      <w:r>
        <w:t>Participant Tracking and Locating</w:t>
      </w:r>
      <w:bookmarkEnd w:id="28"/>
      <w:bookmarkEnd w:id="29"/>
    </w:p>
    <w:bookmarkEnd w:id="30"/>
    <w:p w14:paraId="6E2D7BE3" w14:textId="77777777" w:rsidR="003C0A01" w:rsidRDefault="003C0A01" w:rsidP="003C0A01">
      <w:r>
        <w:t xml:space="preserve">The </w:t>
      </w:r>
      <w:r w:rsidR="002E77AE">
        <w:t>CCCA</w:t>
      </w:r>
      <w:r>
        <w:t xml:space="preserve"> Evaluation team developed a participant tracking system in order to maximize response to the 18-month follow-up survey</w:t>
      </w:r>
      <w:r w:rsidR="002E77AE">
        <w:t xml:space="preserve"> (tracking approved under OMB control number 1290-0012)</w:t>
      </w:r>
      <w:r w:rsidR="005A2F67">
        <w:t xml:space="preserve">. </w:t>
      </w:r>
      <w:r>
        <w:t xml:space="preserve">The tracking planned for the </w:t>
      </w:r>
      <w:r w:rsidR="002E77AE">
        <w:t>CCCA</w:t>
      </w:r>
      <w:r>
        <w:t xml:space="preserve"> Evaluation begins with a welcome </w:t>
      </w:r>
      <w:r w:rsidR="002E77AE">
        <w:t>letter</w:t>
      </w:r>
      <w:r>
        <w:t>, sent to all sample members approximately one month after enrollment. The welcome letter provide</w:t>
      </w:r>
      <w:r w:rsidR="002E77AE">
        <w:t>s</w:t>
      </w:r>
      <w:r>
        <w:t xml:space="preserve"> information about the tracking and survey data collection activities, and </w:t>
      </w:r>
      <w:r w:rsidR="005A2F67">
        <w:t>provides respondents with the option of updating their contact information, as appropriate.</w:t>
      </w:r>
      <w:r w:rsidRPr="003159A8">
        <w:t xml:space="preserve"> </w:t>
      </w:r>
      <w:r w:rsidR="005A2F67">
        <w:t xml:space="preserve">Additionally, </w:t>
      </w:r>
      <w:r>
        <w:t xml:space="preserve">Abt </w:t>
      </w:r>
      <w:r w:rsidR="002E77AE">
        <w:t>will send a text,</w:t>
      </w:r>
      <w:r>
        <w:t xml:space="preserve"> email</w:t>
      </w:r>
      <w:r w:rsidR="002E77AE">
        <w:t>, or letter via mail</w:t>
      </w:r>
      <w:r>
        <w:t xml:space="preserve"> approximately once every three months following random assignment</w:t>
      </w:r>
      <w:r w:rsidR="005A2F67">
        <w:t xml:space="preserve"> to remind sample members of their participation in the study</w:t>
      </w:r>
      <w:r w:rsidR="002E77AE">
        <w:t xml:space="preserve"> and ask for a contact update</w:t>
      </w:r>
      <w:r w:rsidR="005A2F67">
        <w:t>.</w:t>
      </w:r>
      <w:r>
        <w:t xml:space="preserve"> </w:t>
      </w:r>
      <w:r w:rsidR="002E77AE" w:rsidRPr="002E77AE">
        <w:t xml:space="preserve">Participants will receive $2 for their time completing </w:t>
      </w:r>
      <w:r w:rsidR="002E77AE">
        <w:t>each quarterly</w:t>
      </w:r>
      <w:r w:rsidR="002E77AE" w:rsidRPr="002E77AE">
        <w:t xml:space="preserve"> contact update, thus participants could</w:t>
      </w:r>
      <w:r w:rsidR="002E77AE">
        <w:t xml:space="preserve"> receive a maximum payment of $</w:t>
      </w:r>
      <w:r w:rsidR="002E77AE" w:rsidRPr="002E77AE">
        <w:t>12 for their time completing the contact updates</w:t>
      </w:r>
      <w:r w:rsidR="002E77AE">
        <w:t>.</w:t>
      </w:r>
    </w:p>
    <w:p w14:paraId="61F697CB" w14:textId="77777777" w:rsidR="003C0A01" w:rsidRPr="002E48E4" w:rsidRDefault="003C0A01" w:rsidP="003C0A01">
      <w:pPr>
        <w:pStyle w:val="Heading3"/>
      </w:pPr>
      <w:bookmarkStart w:id="31" w:name="_Toc329063945"/>
      <w:bookmarkStart w:id="32" w:name="_Toc403652254"/>
      <w:bookmarkEnd w:id="27"/>
      <w:r w:rsidRPr="002E48E4">
        <w:t>B.</w:t>
      </w:r>
      <w:r>
        <w:t>3.2</w:t>
      </w:r>
      <w:r w:rsidRPr="002E48E4">
        <w:tab/>
      </w:r>
      <w:bookmarkEnd w:id="31"/>
      <w:r>
        <w:t>Tokens of Appreciation</w:t>
      </w:r>
      <w:bookmarkEnd w:id="32"/>
    </w:p>
    <w:p w14:paraId="4C2A28FA" w14:textId="66163B20" w:rsidR="003C0A01" w:rsidRDefault="003C0A01" w:rsidP="003C0A01">
      <w:r>
        <w:t xml:space="preserve">Offering appropriate monetary gifts to study participants in appreciation for their time can help ensure a high response rate, which is necessary to ensure unbiased impact analysis. Those who complete the 18-month follow-up survey will receive a </w:t>
      </w:r>
      <w:r w:rsidRPr="00833A16">
        <w:t>gift card</w:t>
      </w:r>
      <w:r>
        <w:t xml:space="preserve"> for $25 as a token of appreciation for their time spent participating in the survey</w:t>
      </w:r>
      <w:r w:rsidR="005A2F67">
        <w:t xml:space="preserve">. </w:t>
      </w:r>
      <w:r w:rsidR="00FF3FB5">
        <w:t>Section A.9 of Supporting Statement Part A discusses this incentive payment in detail.</w:t>
      </w:r>
    </w:p>
    <w:p w14:paraId="0872DDAF" w14:textId="77777777" w:rsidR="003C0A01" w:rsidRPr="002E48E4" w:rsidRDefault="003C0A01" w:rsidP="003C0A01">
      <w:pPr>
        <w:pStyle w:val="Heading3"/>
      </w:pPr>
      <w:bookmarkStart w:id="33" w:name="_Toc329063946"/>
      <w:bookmarkStart w:id="34" w:name="_Toc403652255"/>
      <w:r w:rsidRPr="002E48E4">
        <w:t>B.</w:t>
      </w:r>
      <w:r>
        <w:t>3.3</w:t>
      </w:r>
      <w:r w:rsidRPr="002E48E4">
        <w:tab/>
      </w:r>
      <w:r>
        <w:t>Sample Control during the Data Collection Period</w:t>
      </w:r>
      <w:bookmarkEnd w:id="33"/>
      <w:bookmarkEnd w:id="34"/>
    </w:p>
    <w:p w14:paraId="39AF3467" w14:textId="77777777" w:rsidR="003C0A01" w:rsidRDefault="003C0A01" w:rsidP="003C0A01">
      <w:r>
        <w:t xml:space="preserve">During the data collection period, the research team will </w:t>
      </w:r>
      <w:r w:rsidRPr="00185072">
        <w:t>minimize</w:t>
      </w:r>
      <w:r>
        <w:t xml:space="preserve"> non-response levels and the risk of non-response bias in the following ways:</w:t>
      </w:r>
    </w:p>
    <w:p w14:paraId="117A253E" w14:textId="51107D53" w:rsidR="003C0A01" w:rsidRPr="00FF3FB5" w:rsidRDefault="003C0A01" w:rsidP="003C0A01">
      <w:pPr>
        <w:pStyle w:val="Bullets"/>
      </w:pPr>
      <w:r w:rsidRPr="0069074F">
        <w:t xml:space="preserve">Using trained </w:t>
      </w:r>
      <w:r w:rsidR="00FF3FB5">
        <w:t xml:space="preserve">in-person </w:t>
      </w:r>
      <w:r w:rsidRPr="0069074F">
        <w:t xml:space="preserve">interviewers who are skilled at working with </w:t>
      </w:r>
      <w:r>
        <w:t>the sample population</w:t>
      </w:r>
      <w:r w:rsidRPr="0069074F">
        <w:t xml:space="preserve"> and skilled in maintaining rapport with respondents, to minimize the number of break-offs</w:t>
      </w:r>
      <w:r>
        <w:t xml:space="preserve">, and thus the </w:t>
      </w:r>
      <w:r w:rsidRPr="00FF3FB5">
        <w:t xml:space="preserve">incidence of non-response bias. </w:t>
      </w:r>
    </w:p>
    <w:p w14:paraId="15F37C7D" w14:textId="77777777" w:rsidR="003C0A01" w:rsidRPr="00FF3FB5" w:rsidRDefault="003C0A01" w:rsidP="003C0A01">
      <w:pPr>
        <w:pStyle w:val="Bullets"/>
      </w:pPr>
      <w:r w:rsidRPr="00FF3FB5">
        <w:t xml:space="preserve">Using an advance letter that clearly conveys the purpose of the survey to study participants, the incentive structure, and reassurances about privacy, so that they will perceive that cooperating is worthwhile. </w:t>
      </w:r>
    </w:p>
    <w:p w14:paraId="38FB8D65" w14:textId="55F44647" w:rsidR="003C0A01" w:rsidRPr="00FF3FB5" w:rsidRDefault="003C0A01" w:rsidP="003C0A01">
      <w:pPr>
        <w:pStyle w:val="Bullets"/>
      </w:pPr>
      <w:r w:rsidRPr="00FF3FB5">
        <w:t>Using updated contact information captured through the tracking communications</w:t>
      </w:r>
      <w:r w:rsidR="00FF3FB5" w:rsidRPr="00FF3FB5">
        <w:t xml:space="preserve"> (approved under OMB control number 1290-0012 on February 6, 2017)</w:t>
      </w:r>
      <w:r w:rsidRPr="00FF3FB5">
        <w:t xml:space="preserve"> conducted quarterly to keep the sample member engaged in the study and to enable the research team to locate him or her for the follow-up data collection.</w:t>
      </w:r>
    </w:p>
    <w:p w14:paraId="256C2832" w14:textId="39B67C3B" w:rsidR="003C0A01" w:rsidRPr="00FF3FB5" w:rsidRDefault="003C0A01" w:rsidP="00FF3FB5">
      <w:pPr>
        <w:pStyle w:val="Bullets"/>
      </w:pPr>
      <w:r w:rsidRPr="00FF3FB5">
        <w:t>Taking additional tracking and locating steps, as needed, when the research team does not find sample members at the phone numbers or addresses previously collected.</w:t>
      </w:r>
      <w:r w:rsidR="00FF3FB5" w:rsidRPr="00FF3FB5">
        <w:t xml:space="preserve"> Additional tracking and locating steps can include following up in person with the respondent, reaching out to alternate contacts that have been provided by the respondent (either at the time of enrollment into the study or during one of several requests for contact updates), as well as Accurint searches to find updated contact information (phone number and address) for the respondent.</w:t>
      </w:r>
    </w:p>
    <w:p w14:paraId="414ECB19" w14:textId="77777777" w:rsidR="003C0A01" w:rsidRPr="00FF3FB5" w:rsidRDefault="003C0A01" w:rsidP="003C0A01">
      <w:pPr>
        <w:pStyle w:val="Bullets"/>
      </w:pPr>
      <w:r w:rsidRPr="00FF3FB5">
        <w:t>Employing a rigorous telephone process to ensure that all available contact information is utilized to make contact with participants</w:t>
      </w:r>
      <w:r w:rsidR="005A2F67" w:rsidRPr="00FF3FB5">
        <w:t xml:space="preserve">. </w:t>
      </w:r>
    </w:p>
    <w:p w14:paraId="06D25C1F" w14:textId="77777777" w:rsidR="003C0A01" w:rsidRPr="00FF3FB5" w:rsidRDefault="003C0A01" w:rsidP="003C0A01">
      <w:pPr>
        <w:pStyle w:val="Bullets"/>
      </w:pPr>
      <w:r w:rsidRPr="00FF3FB5">
        <w:t>Administering the survey in person in instances where the participant cannot be surveyed by phone</w:t>
      </w:r>
      <w:r w:rsidR="002E77AE" w:rsidRPr="00FF3FB5">
        <w:t xml:space="preserve"> or where the participant is on-ce</w:t>
      </w:r>
      <w:r w:rsidR="00E26BB5" w:rsidRPr="00FF3FB5">
        <w:t>nter at the Cascades Job Corps C</w:t>
      </w:r>
      <w:r w:rsidR="002E77AE" w:rsidRPr="00FF3FB5">
        <w:t>enter</w:t>
      </w:r>
      <w:r w:rsidRPr="00FF3FB5">
        <w:t>.</w:t>
      </w:r>
      <w:r w:rsidR="00E26BB5" w:rsidRPr="00FF3FB5">
        <w:t xml:space="preserve"> </w:t>
      </w:r>
    </w:p>
    <w:p w14:paraId="4F24C32A" w14:textId="0AB89419" w:rsidR="00E26BB5" w:rsidRPr="00FF3FB5" w:rsidRDefault="00E26BB5" w:rsidP="003C0A01">
      <w:pPr>
        <w:pStyle w:val="Bullets"/>
      </w:pPr>
      <w:r w:rsidRPr="00FF3FB5">
        <w:t>Adm</w:t>
      </w:r>
      <w:r w:rsidR="00FF3FB5" w:rsidRPr="00FF3FB5">
        <w:t>inistering</w:t>
      </w:r>
      <w:r w:rsidRPr="00FF3FB5">
        <w:t xml:space="preserve"> the survey in-person at additional Job Corps Centers where the concentration of control group members currently in attendance is high enough to warrant an in-person visit.</w:t>
      </w:r>
    </w:p>
    <w:p w14:paraId="505FFB0C" w14:textId="77777777" w:rsidR="003C0A01" w:rsidRDefault="003C0A01" w:rsidP="003C0A01">
      <w:pPr>
        <w:pStyle w:val="BulletsLast"/>
      </w:pPr>
      <w:r w:rsidRPr="0069074F">
        <w:t>Requiring the survey supervisors to m</w:t>
      </w:r>
      <w:r>
        <w:t xml:space="preserve">anage the sample in a manner that helps to ensure that response rates achieved are </w:t>
      </w:r>
      <w:r w:rsidRPr="0069074F">
        <w:t>relatively equal</w:t>
      </w:r>
      <w:r>
        <w:t xml:space="preserve"> across treatment and control groups and sites.</w:t>
      </w:r>
      <w:r w:rsidRPr="0069074F">
        <w:t xml:space="preserve"> </w:t>
      </w:r>
    </w:p>
    <w:p w14:paraId="0D2EDE91" w14:textId="77777777" w:rsidR="003C0A01" w:rsidRDefault="003C0A01" w:rsidP="003C0A01">
      <w:pPr>
        <w:pStyle w:val="BodyText"/>
      </w:pPr>
      <w:r>
        <w:t>The researchers will link data from various sources through a unique study identification number. This will ensure that survey responses are stored separately from personal identifying information</w:t>
      </w:r>
      <w:r w:rsidR="002C1B1E">
        <w:t>,</w:t>
      </w:r>
      <w:r>
        <w:t xml:space="preserve"> thus ensuring respondent privacy.</w:t>
      </w:r>
    </w:p>
    <w:p w14:paraId="5A1D2708" w14:textId="77777777" w:rsidR="003C0A01" w:rsidRPr="002E48E4" w:rsidRDefault="003C0A01" w:rsidP="003C0A01">
      <w:pPr>
        <w:pStyle w:val="Heading3"/>
      </w:pPr>
      <w:r>
        <w:t>B.3.4</w:t>
      </w:r>
      <w:r>
        <w:tab/>
        <w:t>Nonresponse Bias Analysis and Nonresponse Weighting Adjustment</w:t>
      </w:r>
    </w:p>
    <w:p w14:paraId="09CF95A2" w14:textId="6238A0B8" w:rsidR="009D4A42" w:rsidRDefault="003C0A01" w:rsidP="003C0A01">
      <w:pPr>
        <w:pStyle w:val="BodyText"/>
      </w:pPr>
      <w:r>
        <w:t>If, despite our best efforts, the response rate is below 80 percent</w:t>
      </w:r>
      <w:r w:rsidRPr="00D63B66">
        <w:t>, the evaluator will</w:t>
      </w:r>
      <w:r>
        <w:t xml:space="preserve"> conduct a nonresponse bias analysis. </w:t>
      </w:r>
      <w:r w:rsidR="009D4A42" w:rsidRPr="009D4A42">
        <w:t>The framework of nonresponse analysis and its application in one of Abt</w:t>
      </w:r>
      <w:r w:rsidR="009D4A42">
        <w:t>’s</w:t>
      </w:r>
      <w:r w:rsidR="009D4A42" w:rsidRPr="009D4A42">
        <w:t xml:space="preserve"> studies is given in Dursa</w:t>
      </w:r>
      <w:r w:rsidR="009D4A42">
        <w:t>,</w:t>
      </w:r>
      <w:r w:rsidR="009D4A42" w:rsidRPr="009D4A42">
        <w:t xml:space="preserve"> et al</w:t>
      </w:r>
      <w:r w:rsidR="009D4A42">
        <w:t>.</w:t>
      </w:r>
      <w:r w:rsidR="001B18EB">
        <w:rPr>
          <w:rStyle w:val="FootnoteReference"/>
        </w:rPr>
        <w:footnoteReference w:id="9"/>
      </w:r>
      <w:r w:rsidR="009D4A42" w:rsidRPr="009D4A42">
        <w:t xml:space="preserve"> (2015). We will compare distribution of the original and responding sample on the available administrative data, and then also compare the distributional summaries of these variables with nonresponse adjustment (NRA) weights, calculated as discussed next. </w:t>
      </w:r>
    </w:p>
    <w:p w14:paraId="2B6F4D40" w14:textId="7BAC26DD" w:rsidR="003C0A01" w:rsidRDefault="003C0A01" w:rsidP="003C0A01">
      <w:pPr>
        <w:pStyle w:val="BodyText"/>
      </w:pPr>
      <w:r>
        <w:t xml:space="preserve">Regardless of the final response rate, </w:t>
      </w:r>
      <w:r w:rsidR="005A2F67">
        <w:t>the evaluator</w:t>
      </w:r>
      <w:r>
        <w:t xml:space="preserve"> will construct nonresponse adjustment (NRA) weights. </w:t>
      </w:r>
      <w:r w:rsidRPr="00E26BB5">
        <w:t>Using both baseline data collected just prior to random assignment and post-random assignment administrative data from the NDNH, the evaluator will estimate response propensity by a logistic regression model. Within the experimental arm, study participants will be allocated to nonresponse adjustment cells defined</w:t>
      </w:r>
      <w:r>
        <w:t xml:space="preserve"> by the intervals of response propensity. Each cell will contain approximately the same number of study participants. Within each nonresponse adjustment cell, the empirical response rate will be calculated. Respondents will then be given NRA weights equal to the inverse empirical response rate for their respective cell.</w:t>
      </w:r>
      <w:r>
        <w:rPr>
          <w:rStyle w:val="FootnoteReference"/>
        </w:rPr>
        <w:footnoteReference w:id="10"/>
      </w:r>
      <w:r>
        <w:t xml:space="preserve"> The use of nonresponse adjustment cells typically results in smaller design effects. The number of cells will be set as a function of model quality (five is a conventional value). The empirical response rates for a cell should be monotonically related to the average predicted response propensity. The evaluator will start with a large number of cells and reduce that number until it obtains the desired monotonic relationship</w:t>
      </w:r>
      <w:r w:rsidR="005A2F67">
        <w:t xml:space="preserve">. </w:t>
      </w:r>
    </w:p>
    <w:p w14:paraId="67F366F1" w14:textId="64356C42" w:rsidR="00C426EF" w:rsidRDefault="003C0A01" w:rsidP="00C426EF">
      <w:pPr>
        <w:rPr>
          <w:color w:val="1F497D"/>
        </w:rPr>
      </w:pPr>
      <w:r>
        <w:t xml:space="preserve">Once provisional weights have been developed, the evaluator will look for residual nonresponse bias by comparing the estimates of the effects of the </w:t>
      </w:r>
      <w:r w:rsidR="00E26BB5">
        <w:t>CCCA</w:t>
      </w:r>
      <w:r>
        <w:t>-funded services on outcomes measured in the NDNH administrative data (which should be available for all study participants),</w:t>
      </w:r>
      <w:r w:rsidR="00B87300">
        <w:t xml:space="preserve"> </w:t>
      </w:r>
      <w:r>
        <w:t xml:space="preserve">estimated with the NRA weights in the sample of survey respondents vs. the estimates of the same effects estimated on the entire randomized sample (including survey nonrespondents) without weights. If they are similar (e.g., within each other’s confidence intervals), then Abt will be reasonably confident that it has ameliorated nonresponse bias. If, on the other hand, there are important differences, then Abt will search for ways to improve our models and recalculate the </w:t>
      </w:r>
      <w:r w:rsidRPr="006620F6">
        <w:t>weights as in Judkins, et al.</w:t>
      </w:r>
      <w:r w:rsidR="00C426EF">
        <w:rPr>
          <w:rStyle w:val="FootnoteReference"/>
        </w:rPr>
        <w:footnoteReference w:id="11"/>
      </w:r>
      <w:r w:rsidR="009D4A42">
        <w:t xml:space="preserve"> and Kolenikov</w:t>
      </w:r>
      <w:r w:rsidR="001B18EB">
        <w:rPr>
          <w:rStyle w:val="FootnoteReference"/>
        </w:rPr>
        <w:footnoteReference w:id="12"/>
      </w:r>
      <w:r w:rsidR="009D4A42">
        <w:t>.</w:t>
      </w:r>
    </w:p>
    <w:p w14:paraId="7FC10B75" w14:textId="70871E14" w:rsidR="00C10EA9" w:rsidRDefault="00832322" w:rsidP="00C10EA9">
      <w:pPr>
        <w:pStyle w:val="BodyText"/>
      </w:pPr>
      <w:r>
        <w:rPr>
          <w:color w:val="000000"/>
        </w:rPr>
        <w:t xml:space="preserve">Finally, </w:t>
      </w:r>
      <w:r w:rsidR="00DD2948">
        <w:rPr>
          <w:color w:val="000000"/>
        </w:rPr>
        <w:t xml:space="preserve">the evaluation will utilize a </w:t>
      </w:r>
      <w:r w:rsidR="00C10EA9">
        <w:t>dummy variable adjustment approach will be used to address item-non-response in the baseline covariate data. This strategy sets missing cases to a constant and adds “missing data flags” to the impact analysis model. This approach is easy to implement, and Puma et al.</w:t>
      </w:r>
      <w:r w:rsidR="001B18EB">
        <w:rPr>
          <w:rStyle w:val="FootnoteReference"/>
        </w:rPr>
        <w:footnoteReference w:id="13"/>
      </w:r>
      <w:r w:rsidR="00C10EA9">
        <w:t xml:space="preserve"> show that it works well for experimentally-designed evaluations. As detailed by Puma et al., the dummy variable adjustment approach involves the following three steps:</w:t>
      </w:r>
    </w:p>
    <w:p w14:paraId="2BE17487" w14:textId="77777777" w:rsidR="00C10EA9" w:rsidRPr="00DB64BA" w:rsidRDefault="00C10EA9" w:rsidP="00C10EA9">
      <w:pPr>
        <w:pStyle w:val="Bullets"/>
        <w:numPr>
          <w:ilvl w:val="0"/>
          <w:numId w:val="10"/>
        </w:numPr>
        <w:rPr>
          <w:bCs/>
          <w:iCs/>
        </w:rPr>
      </w:pPr>
      <w:r w:rsidRPr="00DB64BA">
        <w:t xml:space="preserve">For each baseline covariate </w:t>
      </w:r>
      <w:r w:rsidRPr="00DB64BA">
        <w:rPr>
          <w:i/>
          <w:iCs/>
        </w:rPr>
        <w:t>X</w:t>
      </w:r>
      <w:r w:rsidRPr="00DB64BA">
        <w:t xml:space="preserve"> with missing data, create a new variable </w:t>
      </w:r>
      <w:r w:rsidRPr="00DB64BA">
        <w:rPr>
          <w:i/>
          <w:iCs/>
        </w:rPr>
        <w:t>Z</w:t>
      </w:r>
      <w:r w:rsidRPr="00DB64BA">
        <w:t xml:space="preserve"> that is set equal to </w:t>
      </w:r>
      <w:r w:rsidRPr="00DB64BA">
        <w:rPr>
          <w:i/>
          <w:iCs/>
        </w:rPr>
        <w:t>X</w:t>
      </w:r>
      <w:r w:rsidRPr="00DB64BA">
        <w:t xml:space="preserve"> for all cases where </w:t>
      </w:r>
      <w:r w:rsidRPr="00DB64BA">
        <w:rPr>
          <w:i/>
          <w:iCs/>
        </w:rPr>
        <w:t>X</w:t>
      </w:r>
      <w:r w:rsidRPr="00DB64BA">
        <w:t xml:space="preserve"> is non-missing</w:t>
      </w:r>
      <w:r>
        <w:t>,</w:t>
      </w:r>
      <w:r w:rsidRPr="00DB64BA">
        <w:t xml:space="preserve"> and set to a constant value for those cases where </w:t>
      </w:r>
      <w:r w:rsidRPr="00DB64BA">
        <w:rPr>
          <w:i/>
        </w:rPr>
        <w:t>X</w:t>
      </w:r>
      <w:r w:rsidRPr="00DB64BA">
        <w:t xml:space="preserve"> is missing.</w:t>
      </w:r>
    </w:p>
    <w:p w14:paraId="03401D9D" w14:textId="77777777" w:rsidR="00C10EA9" w:rsidRPr="00DB64BA" w:rsidRDefault="00C10EA9" w:rsidP="00C10EA9">
      <w:pPr>
        <w:pStyle w:val="Bullets"/>
        <w:numPr>
          <w:ilvl w:val="0"/>
          <w:numId w:val="10"/>
        </w:numPr>
      </w:pPr>
      <w:r w:rsidRPr="00DB64BA">
        <w:t xml:space="preserve">Create a new </w:t>
      </w:r>
      <w:r>
        <w:t xml:space="preserve">“missing data flag” </w:t>
      </w:r>
      <w:r w:rsidRPr="00DB64BA">
        <w:t xml:space="preserve">variable </w:t>
      </w:r>
      <w:r w:rsidRPr="00DB64BA">
        <w:rPr>
          <w:i/>
          <w:iCs/>
        </w:rPr>
        <w:t>D</w:t>
      </w:r>
      <w:r w:rsidRPr="00DB64BA">
        <w:rPr>
          <w:iCs/>
        </w:rPr>
        <w:t>,</w:t>
      </w:r>
      <w:r w:rsidRPr="00DB64BA">
        <w:t xml:space="preserve"> which is set equal to one for cases where </w:t>
      </w:r>
      <w:r w:rsidRPr="00DB64BA">
        <w:rPr>
          <w:i/>
          <w:iCs/>
        </w:rPr>
        <w:t>X</w:t>
      </w:r>
      <w:r w:rsidRPr="00DB64BA">
        <w:t xml:space="preserve"> is missing and set equal to zero for cases where </w:t>
      </w:r>
      <w:r w:rsidRPr="00DB64BA">
        <w:rPr>
          <w:i/>
          <w:iCs/>
        </w:rPr>
        <w:t>X</w:t>
      </w:r>
      <w:r w:rsidRPr="00DB64BA">
        <w:t xml:space="preserve"> is not missing. </w:t>
      </w:r>
    </w:p>
    <w:p w14:paraId="4DBCB6D9" w14:textId="77777777" w:rsidR="00C10EA9" w:rsidRDefault="00C10EA9" w:rsidP="00C10EA9">
      <w:pPr>
        <w:pStyle w:val="Bullets"/>
        <w:numPr>
          <w:ilvl w:val="0"/>
          <w:numId w:val="10"/>
        </w:numPr>
      </w:pPr>
      <w:r w:rsidRPr="00DB64BA">
        <w:t xml:space="preserve">In the impact analysis model use </w:t>
      </w:r>
      <w:r w:rsidRPr="00C10EA9">
        <w:rPr>
          <w:i/>
        </w:rPr>
        <w:t>Z</w:t>
      </w:r>
      <w:r w:rsidRPr="00DB64BA">
        <w:t xml:space="preserve"> and </w:t>
      </w:r>
      <w:r w:rsidRPr="00C10EA9">
        <w:rPr>
          <w:i/>
        </w:rPr>
        <w:t>D</w:t>
      </w:r>
      <w:r w:rsidRPr="00DB64BA">
        <w:t xml:space="preserve"> (not </w:t>
      </w:r>
      <w:r w:rsidRPr="00C10EA9">
        <w:rPr>
          <w:i/>
        </w:rPr>
        <w:t>X</w:t>
      </w:r>
      <w:r w:rsidRPr="00DB64BA">
        <w:t>)</w:t>
      </w:r>
      <w:r>
        <w:t xml:space="preserve"> as baseline covariates</w:t>
      </w:r>
      <w:r w:rsidRPr="00DB64BA">
        <w:t xml:space="preserve">. This allows for the impact model to estimate the relationship between </w:t>
      </w:r>
      <w:r w:rsidRPr="00C10EA9">
        <w:rPr>
          <w:i/>
        </w:rPr>
        <w:t>Y</w:t>
      </w:r>
      <w:r w:rsidRPr="00DB64BA">
        <w:t xml:space="preserve"> and </w:t>
      </w:r>
      <w:r w:rsidRPr="00C10EA9">
        <w:rPr>
          <w:i/>
        </w:rPr>
        <w:t>X</w:t>
      </w:r>
      <w:r w:rsidRPr="00DB64BA">
        <w:t xml:space="preserve"> </w:t>
      </w:r>
      <w:r>
        <w:t xml:space="preserve">(via </w:t>
      </w:r>
      <w:r w:rsidRPr="00C10EA9">
        <w:rPr>
          <w:i/>
        </w:rPr>
        <w:t>Z</w:t>
      </w:r>
      <w:r>
        <w:t xml:space="preserve">) </w:t>
      </w:r>
      <w:r w:rsidRPr="00DB64BA">
        <w:t xml:space="preserve">when </w:t>
      </w:r>
      <w:r w:rsidRPr="00C10EA9">
        <w:rPr>
          <w:i/>
        </w:rPr>
        <w:t>X</w:t>
      </w:r>
      <w:r w:rsidRPr="00DB64BA">
        <w:t xml:space="preserve"> is not missing</w:t>
      </w:r>
      <w:r>
        <w:t xml:space="preserve">, </w:t>
      </w:r>
      <w:r w:rsidRPr="00DB64BA">
        <w:t xml:space="preserve">and to estimate the relationship between </w:t>
      </w:r>
      <w:r w:rsidRPr="00C10EA9">
        <w:rPr>
          <w:i/>
        </w:rPr>
        <w:t>Y</w:t>
      </w:r>
      <w:r w:rsidRPr="00DB64BA">
        <w:t xml:space="preserve"> and </w:t>
      </w:r>
      <w:r w:rsidRPr="00C10EA9">
        <w:rPr>
          <w:i/>
        </w:rPr>
        <w:t>D</w:t>
      </w:r>
      <w:r w:rsidRPr="00DB64BA">
        <w:t xml:space="preserve"> when </w:t>
      </w:r>
      <w:r w:rsidRPr="00C10EA9">
        <w:rPr>
          <w:i/>
        </w:rPr>
        <w:t>X</w:t>
      </w:r>
      <w:r w:rsidRPr="00DB64BA">
        <w:t xml:space="preserve"> is missing. </w:t>
      </w:r>
    </w:p>
    <w:p w14:paraId="5BBF801E" w14:textId="77777777" w:rsidR="003C0A01" w:rsidRPr="00DD2948" w:rsidRDefault="003C0A01" w:rsidP="003C0A01">
      <w:pPr>
        <w:pStyle w:val="Heading2"/>
      </w:pPr>
      <w:bookmarkStart w:id="35" w:name="_Toc354131264"/>
      <w:bookmarkStart w:id="36" w:name="_Toc322083618"/>
      <w:bookmarkStart w:id="37" w:name="_Toc445214040"/>
      <w:bookmarkStart w:id="38" w:name="_Toc451763641"/>
      <w:bookmarkStart w:id="39" w:name="_Toc508364235"/>
      <w:r w:rsidRPr="00DD2948">
        <w:t>B.4</w:t>
      </w:r>
      <w:r w:rsidRPr="00DD2948">
        <w:tab/>
        <w:t>Tests of Procedures</w:t>
      </w:r>
      <w:bookmarkEnd w:id="35"/>
      <w:bookmarkEnd w:id="36"/>
      <w:r w:rsidRPr="00DD2948">
        <w:t xml:space="preserve"> or Methods to be Undertaken</w:t>
      </w:r>
      <w:bookmarkEnd w:id="37"/>
      <w:bookmarkEnd w:id="38"/>
      <w:bookmarkEnd w:id="39"/>
    </w:p>
    <w:p w14:paraId="5CA2F535" w14:textId="77777777" w:rsidR="00840EC9" w:rsidRPr="00DD2948" w:rsidRDefault="003C0A01" w:rsidP="007D1323">
      <w:pPr>
        <w:pStyle w:val="BodyText"/>
        <w:tabs>
          <w:tab w:val="left" w:pos="450"/>
        </w:tabs>
      </w:pPr>
      <w:bookmarkStart w:id="40" w:name="_Toc354131265"/>
      <w:bookmarkStart w:id="41" w:name="_Toc322083619"/>
      <w:r w:rsidRPr="00DD2948">
        <w:t>The 18-month follow-up survey questions have been drawn from</w:t>
      </w:r>
      <w:r w:rsidR="00CB08C3" w:rsidRPr="00DD2948">
        <w:t>:</w:t>
      </w:r>
      <w:r w:rsidRPr="00DD2948">
        <w:t xml:space="preserve"> </w:t>
      </w:r>
    </w:p>
    <w:p w14:paraId="72A5EB2F" w14:textId="239967FB" w:rsidR="00840EC9" w:rsidRPr="00DD2948" w:rsidRDefault="00840EC9" w:rsidP="00DD2948">
      <w:pPr>
        <w:pStyle w:val="BodyText"/>
        <w:numPr>
          <w:ilvl w:val="0"/>
          <w:numId w:val="12"/>
        </w:numPr>
        <w:tabs>
          <w:tab w:val="left" w:pos="450"/>
        </w:tabs>
      </w:pPr>
      <w:r w:rsidRPr="00DD2948">
        <w:t xml:space="preserve">The </w:t>
      </w:r>
      <w:r w:rsidR="002A5EBF" w:rsidRPr="00DD2948">
        <w:t>18-month follow-up survey for the Ready to Work (RTW) Partnership Grants Evaluation, conducted by Abt Associates for the Department of Labor (DOL) (OMB No. 1291-0010)</w:t>
      </w:r>
      <w:r w:rsidR="009630C8" w:rsidRPr="00DD2948">
        <w:t xml:space="preserve">; </w:t>
      </w:r>
    </w:p>
    <w:p w14:paraId="623C70B8" w14:textId="24CE2394" w:rsidR="00840EC9" w:rsidRPr="00DD2948" w:rsidRDefault="00840EC9" w:rsidP="00DD2948">
      <w:pPr>
        <w:pStyle w:val="BodyText"/>
        <w:numPr>
          <w:ilvl w:val="0"/>
          <w:numId w:val="12"/>
        </w:numPr>
        <w:tabs>
          <w:tab w:val="left" w:pos="450"/>
        </w:tabs>
      </w:pPr>
      <w:r w:rsidRPr="00DD2948">
        <w:t>T</w:t>
      </w:r>
      <w:r w:rsidR="002A5EBF" w:rsidRPr="00DD2948">
        <w:t xml:space="preserve">he 15-month combined follow-up survey for the Pathways for Advancing Careers and Education (PACE) Evaluation and the Health Profession Opportunity Grants (HPOG) Evaluation, conducted by Abt Associates for the Administration for Children and Families (ACF) at the Department of Health and Human Services (OMB No. 0970-0397); </w:t>
      </w:r>
    </w:p>
    <w:p w14:paraId="43BD2C6B" w14:textId="197EB395" w:rsidR="00840EC9" w:rsidRPr="00DD2948" w:rsidRDefault="00840EC9" w:rsidP="00DD2948">
      <w:pPr>
        <w:pStyle w:val="BodyText"/>
        <w:numPr>
          <w:ilvl w:val="0"/>
          <w:numId w:val="12"/>
        </w:numPr>
        <w:tabs>
          <w:tab w:val="left" w:pos="450"/>
        </w:tabs>
      </w:pPr>
      <w:r w:rsidRPr="00DD2948">
        <w:t>T</w:t>
      </w:r>
      <w:r w:rsidR="009630C8" w:rsidRPr="00DD2948">
        <w:t xml:space="preserve">he </w:t>
      </w:r>
      <w:r w:rsidR="002A5EBF" w:rsidRPr="00DD2948">
        <w:t>12-month follow up survey for the YouthBuild Impact Evaluation, conducted by Mathematica Policy Research for the DOL (OMB No. 1205-0503)</w:t>
      </w:r>
      <w:r w:rsidR="007D1323" w:rsidRPr="00DD2948">
        <w:t xml:space="preserve">; </w:t>
      </w:r>
    </w:p>
    <w:p w14:paraId="4B5DDC16" w14:textId="49579624" w:rsidR="00840EC9" w:rsidRPr="00DD2948" w:rsidRDefault="00840EC9" w:rsidP="00DD2948">
      <w:pPr>
        <w:pStyle w:val="BodyText"/>
        <w:numPr>
          <w:ilvl w:val="0"/>
          <w:numId w:val="12"/>
        </w:numPr>
        <w:tabs>
          <w:tab w:val="left" w:pos="450"/>
        </w:tabs>
      </w:pPr>
      <w:r w:rsidRPr="00DD2948">
        <w:t>T</w:t>
      </w:r>
      <w:r w:rsidR="003C0A01" w:rsidRPr="00DD2948">
        <w:t xml:space="preserve">he </w:t>
      </w:r>
      <w:r w:rsidR="002A5EBF" w:rsidRPr="00DD2948">
        <w:t>Baseline Information Form (BIF) for the Cascades Job Corps College and Career Academy (CCCA) Research Study, conducted by Abt Associates for DOL (OMB No. 1290-0012)</w:t>
      </w:r>
      <w:r w:rsidR="003C0A01" w:rsidRPr="00DD2948">
        <w:t>;</w:t>
      </w:r>
      <w:r w:rsidR="007D1323" w:rsidRPr="00DD2948">
        <w:t xml:space="preserve"> </w:t>
      </w:r>
    </w:p>
    <w:p w14:paraId="6AD12250" w14:textId="4027AC82" w:rsidR="00840EC9" w:rsidRPr="00DD2948" w:rsidRDefault="002A5EBF" w:rsidP="00DD2948">
      <w:pPr>
        <w:pStyle w:val="BodyText"/>
        <w:numPr>
          <w:ilvl w:val="0"/>
          <w:numId w:val="12"/>
        </w:numPr>
        <w:tabs>
          <w:tab w:val="left" w:pos="450"/>
        </w:tabs>
      </w:pPr>
      <w:r w:rsidRPr="00DD2948">
        <w:t xml:space="preserve">The 36-month follow-up survey for the Health Profession Opportunity Grants (HPOG) Evaluation, conducted by Abt Associates for ACF (OMB No. 0970-0394); and </w:t>
      </w:r>
    </w:p>
    <w:p w14:paraId="741E4D99" w14:textId="75838338" w:rsidR="003C0A01" w:rsidRPr="00DD2948" w:rsidRDefault="003C0A01" w:rsidP="00776890">
      <w:pPr>
        <w:pStyle w:val="BodyText"/>
        <w:tabs>
          <w:tab w:val="left" w:pos="450"/>
        </w:tabs>
      </w:pPr>
      <w:r w:rsidRPr="00DD2948">
        <w:t xml:space="preserve">There are also several questions that were newly-developed for this survey. It should be noted that some of the items used in the </w:t>
      </w:r>
      <w:r w:rsidR="007D1323" w:rsidRPr="00DD2948">
        <w:t xml:space="preserve">combined PACE/HPOG </w:t>
      </w:r>
      <w:r w:rsidRPr="00DD2948">
        <w:t>survey–questions on attitudes toward work and self–are drawn from questions and scales used in even earlier studies.</w:t>
      </w:r>
    </w:p>
    <w:p w14:paraId="4993CE35" w14:textId="0D52A00F" w:rsidR="003C0A01" w:rsidRPr="00AE0C1D" w:rsidRDefault="003C0A01" w:rsidP="00293933">
      <w:pPr>
        <w:pStyle w:val="BodyText"/>
        <w:rPr>
          <w:noProof/>
        </w:rPr>
      </w:pPr>
      <w:r w:rsidRPr="00FC654E">
        <w:rPr>
          <w:noProof/>
        </w:rPr>
        <w:t>The estimate</w:t>
      </w:r>
      <w:r>
        <w:rPr>
          <w:noProof/>
        </w:rPr>
        <w:t>d</w:t>
      </w:r>
      <w:r w:rsidRPr="00FC654E">
        <w:rPr>
          <w:noProof/>
        </w:rPr>
        <w:t xml:space="preserve"> length</w:t>
      </w:r>
      <w:r w:rsidR="005A2F67">
        <w:rPr>
          <w:noProof/>
        </w:rPr>
        <w:t xml:space="preserve"> of the survey is</w:t>
      </w:r>
      <w:r w:rsidRPr="00FC654E">
        <w:rPr>
          <w:noProof/>
        </w:rPr>
        <w:t xml:space="preserve"> approximately </w:t>
      </w:r>
      <w:r w:rsidR="009A4640">
        <w:rPr>
          <w:noProof/>
        </w:rPr>
        <w:t>35</w:t>
      </w:r>
      <w:r w:rsidR="009A4640" w:rsidRPr="00FC654E">
        <w:rPr>
          <w:noProof/>
        </w:rPr>
        <w:t xml:space="preserve"> </w:t>
      </w:r>
      <w:r w:rsidRPr="00FC654E">
        <w:rPr>
          <w:noProof/>
        </w:rPr>
        <w:t>minutes. Th</w:t>
      </w:r>
      <w:r w:rsidR="005A2F67">
        <w:rPr>
          <w:noProof/>
        </w:rPr>
        <w:t>is estimate</w:t>
      </w:r>
      <w:r w:rsidRPr="00FC654E">
        <w:rPr>
          <w:noProof/>
        </w:rPr>
        <w:t xml:space="preserve"> </w:t>
      </w:r>
      <w:r w:rsidR="005A2F67">
        <w:rPr>
          <w:noProof/>
        </w:rPr>
        <w:t>is</w:t>
      </w:r>
      <w:r w:rsidRPr="00FC654E">
        <w:rPr>
          <w:noProof/>
        </w:rPr>
        <w:t xml:space="preserve"> drawn from </w:t>
      </w:r>
      <w:r>
        <w:rPr>
          <w:noProof/>
        </w:rPr>
        <w:t xml:space="preserve">the time required to </w:t>
      </w:r>
      <w:r w:rsidRPr="00FC654E">
        <w:rPr>
          <w:noProof/>
        </w:rPr>
        <w:t xml:space="preserve">field </w:t>
      </w:r>
      <w:r w:rsidR="005A2F67">
        <w:rPr>
          <w:noProof/>
        </w:rPr>
        <w:t xml:space="preserve">the relevant portions of </w:t>
      </w:r>
      <w:r w:rsidRPr="00FC654E">
        <w:rPr>
          <w:noProof/>
        </w:rPr>
        <w:t xml:space="preserve">the other surveys </w:t>
      </w:r>
      <w:r>
        <w:rPr>
          <w:noProof/>
        </w:rPr>
        <w:t>listed in the previous paragraph</w:t>
      </w:r>
      <w:r w:rsidRPr="00FC654E">
        <w:rPr>
          <w:noProof/>
        </w:rPr>
        <w:t xml:space="preserve">. </w:t>
      </w:r>
      <w:r w:rsidR="00DD2948">
        <w:rPr>
          <w:noProof/>
        </w:rPr>
        <w:t xml:space="preserve">Additionally, </w:t>
      </w:r>
      <w:r w:rsidR="00A64150">
        <w:rPr>
          <w:noProof/>
        </w:rPr>
        <w:t xml:space="preserve">Abt conducted </w:t>
      </w:r>
      <w:r w:rsidRPr="009A4640">
        <w:rPr>
          <w:noProof/>
        </w:rPr>
        <w:t xml:space="preserve">a formal pretest of the follow-up survey, with a convenience sample of </w:t>
      </w:r>
      <w:r w:rsidR="005A2F67" w:rsidRPr="009A4640">
        <w:rPr>
          <w:noProof/>
        </w:rPr>
        <w:t xml:space="preserve">no more than </w:t>
      </w:r>
      <w:r w:rsidRPr="009A4640">
        <w:rPr>
          <w:noProof/>
        </w:rPr>
        <w:t>nine respondents</w:t>
      </w:r>
      <w:r w:rsidR="009A4640" w:rsidRPr="009A4640">
        <w:rPr>
          <w:noProof/>
        </w:rPr>
        <w:t xml:space="preserve">. </w:t>
      </w:r>
      <w:r w:rsidRPr="009A4640">
        <w:rPr>
          <w:noProof/>
        </w:rPr>
        <w:t>These pretests provide</w:t>
      </w:r>
      <w:r w:rsidR="00A64150" w:rsidRPr="009A4640">
        <w:rPr>
          <w:noProof/>
        </w:rPr>
        <w:t>d</w:t>
      </w:r>
      <w:r w:rsidRPr="009A4640">
        <w:rPr>
          <w:noProof/>
        </w:rPr>
        <w:t xml:space="preserve"> more definit</w:t>
      </w:r>
      <w:r w:rsidRPr="00AE0C1D">
        <w:rPr>
          <w:noProof/>
        </w:rPr>
        <w:t>ive estimates about the length of the survey and their various components</w:t>
      </w:r>
      <w:r w:rsidR="00A64150">
        <w:rPr>
          <w:noProof/>
        </w:rPr>
        <w:t xml:space="preserve">. The pretest also showed that the questions, </w:t>
      </w:r>
      <w:r w:rsidRPr="00AE0C1D">
        <w:rPr>
          <w:noProof/>
        </w:rPr>
        <w:t xml:space="preserve"> introduction scripts, </w:t>
      </w:r>
      <w:r w:rsidR="00A64150">
        <w:rPr>
          <w:noProof/>
        </w:rPr>
        <w:t xml:space="preserve">and </w:t>
      </w:r>
      <w:r w:rsidRPr="00AE0C1D">
        <w:rPr>
          <w:noProof/>
        </w:rPr>
        <w:t>wording</w:t>
      </w:r>
      <w:r w:rsidR="00A64150">
        <w:rPr>
          <w:noProof/>
        </w:rPr>
        <w:t xml:space="preserve"> worked well</w:t>
      </w:r>
      <w:r w:rsidRPr="00AE0C1D">
        <w:rPr>
          <w:noProof/>
        </w:rPr>
        <w:t xml:space="preserve">. </w:t>
      </w:r>
    </w:p>
    <w:p w14:paraId="465AA92F" w14:textId="77777777" w:rsidR="003C0A01" w:rsidRDefault="003C0A01" w:rsidP="003C0A01">
      <w:pPr>
        <w:pStyle w:val="Heading2"/>
      </w:pPr>
      <w:bookmarkStart w:id="42" w:name="_Toc354131267"/>
      <w:bookmarkStart w:id="43" w:name="_Toc445214041"/>
      <w:bookmarkStart w:id="44" w:name="_Toc451763642"/>
      <w:bookmarkStart w:id="45" w:name="_Toc508364236"/>
      <w:bookmarkEnd w:id="40"/>
      <w:r>
        <w:t>B.5</w:t>
      </w:r>
      <w:r>
        <w:tab/>
        <w:t>Individuals Consulted on Statistical Aspects of the Design</w:t>
      </w:r>
      <w:bookmarkEnd w:id="41"/>
      <w:bookmarkEnd w:id="42"/>
      <w:bookmarkEnd w:id="43"/>
      <w:bookmarkEnd w:id="44"/>
      <w:bookmarkEnd w:id="45"/>
    </w:p>
    <w:p w14:paraId="1F19596D" w14:textId="77777777" w:rsidR="003C0A01" w:rsidRDefault="003C0A01" w:rsidP="003C0A01">
      <w:pPr>
        <w:pStyle w:val="BodyText"/>
      </w:pPr>
      <w:r w:rsidRPr="0093658C">
        <w:t xml:space="preserve">Consultations on the statistical methods used in this study have been </w:t>
      </w:r>
      <w:r>
        <w:t>undertaken</w:t>
      </w:r>
      <w:r w:rsidRPr="0093658C">
        <w:t xml:space="preserve"> to ensure the technical soundness of the </w:t>
      </w:r>
      <w:r>
        <w:t>research</w:t>
      </w:r>
      <w:r w:rsidRPr="0093658C">
        <w:t xml:space="preserve">. The following </w:t>
      </w:r>
      <w:r>
        <w:t xml:space="preserve">individuals </w:t>
      </w:r>
      <w:r w:rsidRPr="0093658C">
        <w:t xml:space="preserve">were consulted in </w:t>
      </w:r>
      <w:r>
        <w:t xml:space="preserve">preparing </w:t>
      </w:r>
      <w:r w:rsidRPr="0093658C">
        <w:t>this submission to OMB:</w:t>
      </w:r>
    </w:p>
    <w:p w14:paraId="2A886CE9" w14:textId="77777777" w:rsidR="00E26BB5" w:rsidRPr="00FC4E2F" w:rsidRDefault="00E26BB5" w:rsidP="00E26BB5">
      <w:pPr>
        <w:pStyle w:val="Heading4"/>
        <w:rPr>
          <w:rFonts w:ascii="Times New Roman" w:hAnsi="Times New Roman"/>
          <w:sz w:val="22"/>
          <w:szCs w:val="22"/>
        </w:rPr>
      </w:pPr>
      <w:r w:rsidRPr="00FC4E2F">
        <w:rPr>
          <w:rFonts w:ascii="Times New Roman" w:hAnsi="Times New Roman"/>
          <w:sz w:val="22"/>
          <w:szCs w:val="22"/>
        </w:rPr>
        <w:t>DOL</w:t>
      </w:r>
    </w:p>
    <w:p w14:paraId="4EC6F6F8" w14:textId="77777777" w:rsidR="00E26BB5" w:rsidRPr="00FC4E2F" w:rsidRDefault="00E26BB5" w:rsidP="00E26BB5">
      <w:pPr>
        <w:pStyle w:val="BodyText"/>
        <w:spacing w:after="0"/>
      </w:pPr>
      <w:r w:rsidRPr="00FC4E2F">
        <w:t>Gloria Salas-Kos</w:t>
      </w:r>
      <w:r w:rsidRPr="00FC4E2F">
        <w:tab/>
      </w:r>
      <w:r w:rsidRPr="00FC4E2F">
        <w:tab/>
        <w:t>Contracting Officer’s Representative, Employment and Training Administration</w:t>
      </w:r>
    </w:p>
    <w:p w14:paraId="41FD5725" w14:textId="77777777" w:rsidR="00E26BB5" w:rsidRPr="00FC4E2F" w:rsidRDefault="00E26BB5" w:rsidP="00E26BB5">
      <w:pPr>
        <w:pStyle w:val="BodyText"/>
        <w:spacing w:after="0"/>
      </w:pPr>
      <w:r w:rsidRPr="00FC4E2F">
        <w:t>Jessica Lohmann</w:t>
      </w:r>
      <w:r w:rsidRPr="00FC4E2F">
        <w:tab/>
      </w:r>
      <w:r w:rsidRPr="00FC4E2F">
        <w:tab/>
        <w:t>Chief Evaluation Office</w:t>
      </w:r>
    </w:p>
    <w:p w14:paraId="2F04F21F" w14:textId="77777777" w:rsidR="00E26BB5" w:rsidRPr="00FC4E2F" w:rsidRDefault="00E26BB5" w:rsidP="00E26BB5">
      <w:pPr>
        <w:pStyle w:val="Heading4"/>
        <w:spacing w:before="0" w:after="0"/>
        <w:rPr>
          <w:rFonts w:ascii="Times New Roman" w:hAnsi="Times New Roman"/>
        </w:rPr>
      </w:pPr>
    </w:p>
    <w:p w14:paraId="6BC95445" w14:textId="77777777" w:rsidR="00E26BB5" w:rsidRPr="00FC4E2F" w:rsidRDefault="00E26BB5" w:rsidP="00E26BB5">
      <w:pPr>
        <w:pStyle w:val="Heading4"/>
        <w:spacing w:before="0"/>
        <w:rPr>
          <w:rFonts w:ascii="Times New Roman" w:hAnsi="Times New Roman"/>
          <w:sz w:val="22"/>
          <w:szCs w:val="22"/>
        </w:rPr>
      </w:pPr>
      <w:r w:rsidRPr="00FC4E2F">
        <w:rPr>
          <w:rFonts w:ascii="Times New Roman" w:hAnsi="Times New Roman"/>
          <w:sz w:val="22"/>
          <w:szCs w:val="22"/>
        </w:rPr>
        <w:t>Abt Associates</w:t>
      </w:r>
    </w:p>
    <w:p w14:paraId="25B2C012" w14:textId="77777777" w:rsidR="00E26BB5" w:rsidRPr="00FC4E2F" w:rsidRDefault="00E26BB5" w:rsidP="00E26BB5">
      <w:pPr>
        <w:pStyle w:val="BodyText"/>
        <w:spacing w:after="0" w:line="240" w:lineRule="auto"/>
      </w:pPr>
      <w:r w:rsidRPr="00FC4E2F">
        <w:t>Julie Williams</w:t>
      </w:r>
      <w:r w:rsidRPr="00FC4E2F">
        <w:tab/>
        <w:t xml:space="preserve"> </w:t>
      </w:r>
      <w:r w:rsidRPr="00FC4E2F">
        <w:tab/>
      </w:r>
      <w:r w:rsidRPr="00FC4E2F">
        <w:tab/>
        <w:t xml:space="preserve">Project Director </w:t>
      </w:r>
      <w:r w:rsidRPr="00FC4E2F">
        <w:tab/>
      </w:r>
      <w:r w:rsidRPr="00FC4E2F">
        <w:tab/>
      </w:r>
      <w:r w:rsidRPr="00FC4E2F">
        <w:tab/>
      </w:r>
      <w:r w:rsidRPr="00FC4E2F">
        <w:tab/>
      </w:r>
      <w:r w:rsidRPr="00FC4E2F">
        <w:tab/>
        <w:t>(301) 634-1782</w:t>
      </w:r>
    </w:p>
    <w:p w14:paraId="557F46AF" w14:textId="77777777" w:rsidR="00E26BB5" w:rsidRPr="00FC4E2F" w:rsidRDefault="00E26BB5" w:rsidP="00E26BB5">
      <w:pPr>
        <w:pStyle w:val="BodyText"/>
        <w:spacing w:after="0" w:line="240" w:lineRule="auto"/>
      </w:pPr>
      <w:r w:rsidRPr="00FC4E2F">
        <w:t>Jacob Klerman</w:t>
      </w:r>
      <w:r w:rsidRPr="00FC4E2F">
        <w:tab/>
      </w:r>
      <w:r w:rsidRPr="00FC4E2F">
        <w:tab/>
      </w:r>
      <w:r w:rsidRPr="00FC4E2F">
        <w:tab/>
        <w:t>Co-Principal Investigator</w:t>
      </w:r>
      <w:r w:rsidRPr="00FC4E2F">
        <w:tab/>
      </w:r>
      <w:r w:rsidRPr="00FC4E2F">
        <w:tab/>
      </w:r>
      <w:r w:rsidRPr="00FC4E2F">
        <w:tab/>
        <w:t>(617) 520-2613</w:t>
      </w:r>
    </w:p>
    <w:p w14:paraId="0EC780BE" w14:textId="77777777" w:rsidR="00E26BB5" w:rsidRPr="00FC4E2F" w:rsidRDefault="00E26BB5" w:rsidP="00E26BB5">
      <w:pPr>
        <w:pStyle w:val="BodyText"/>
        <w:spacing w:after="0" w:line="240" w:lineRule="auto"/>
      </w:pPr>
      <w:r w:rsidRPr="00FC4E2F">
        <w:t>David Judkins</w:t>
      </w:r>
      <w:r w:rsidRPr="00FC4E2F">
        <w:tab/>
      </w:r>
      <w:r w:rsidRPr="00FC4E2F">
        <w:tab/>
      </w:r>
      <w:r w:rsidRPr="00FC4E2F">
        <w:tab/>
        <w:t>Statistician</w:t>
      </w:r>
      <w:r w:rsidRPr="00FC4E2F">
        <w:tab/>
      </w:r>
      <w:r w:rsidRPr="00FC4E2F">
        <w:tab/>
      </w:r>
      <w:r w:rsidRPr="00FC4E2F">
        <w:tab/>
      </w:r>
      <w:r w:rsidRPr="00FC4E2F">
        <w:tab/>
      </w:r>
      <w:r w:rsidRPr="00FC4E2F">
        <w:tab/>
      </w:r>
      <w:r w:rsidRPr="00FC4E2F">
        <w:tab/>
      </w:r>
      <w:r w:rsidRPr="00FC4E2F">
        <w:tab/>
        <w:t>(301) 347-5952</w:t>
      </w:r>
    </w:p>
    <w:p w14:paraId="16A2B259" w14:textId="77777777" w:rsidR="00E26BB5" w:rsidRPr="00FC4E2F" w:rsidRDefault="00E26BB5" w:rsidP="00E26BB5">
      <w:pPr>
        <w:pStyle w:val="BodyText"/>
        <w:spacing w:after="0" w:line="240" w:lineRule="auto"/>
      </w:pPr>
      <w:r w:rsidRPr="00FC4E2F">
        <w:t xml:space="preserve">Daniel Litwok </w:t>
      </w:r>
      <w:r w:rsidRPr="00FC4E2F">
        <w:tab/>
      </w:r>
      <w:r w:rsidRPr="00FC4E2F">
        <w:tab/>
        <w:t xml:space="preserve"> </w:t>
      </w:r>
      <w:r w:rsidRPr="00FC4E2F">
        <w:tab/>
        <w:t xml:space="preserve">Analyst </w:t>
      </w:r>
      <w:r w:rsidRPr="00FC4E2F">
        <w:tab/>
      </w:r>
      <w:r w:rsidRPr="00FC4E2F">
        <w:tab/>
      </w:r>
      <w:r w:rsidRPr="00FC4E2F">
        <w:tab/>
      </w:r>
      <w:r w:rsidRPr="00FC4E2F">
        <w:tab/>
      </w:r>
      <w:r w:rsidRPr="00FC4E2F">
        <w:tab/>
      </w:r>
      <w:r w:rsidRPr="00FC4E2F">
        <w:tab/>
      </w:r>
      <w:r w:rsidRPr="00FC4E2F">
        <w:tab/>
      </w:r>
      <w:r w:rsidR="002A5EBF" w:rsidRPr="00EC7D33">
        <w:t>(301) 347-5770</w:t>
      </w:r>
    </w:p>
    <w:p w14:paraId="7AA0B215" w14:textId="1D0B3B7C" w:rsidR="00E26BB5" w:rsidRPr="00FC4E2F" w:rsidRDefault="00776890" w:rsidP="00E26BB5">
      <w:pPr>
        <w:pStyle w:val="BodyText"/>
        <w:spacing w:after="0" w:line="240" w:lineRule="auto"/>
      </w:pPr>
      <w:r>
        <w:t>Cass Meagher</w:t>
      </w:r>
      <w:r w:rsidR="00E26BB5" w:rsidRPr="00FC4E2F">
        <w:tab/>
      </w:r>
      <w:r w:rsidR="00E26BB5" w:rsidRPr="00FC4E2F">
        <w:tab/>
      </w:r>
      <w:r w:rsidR="00E26BB5" w:rsidRPr="00FC4E2F">
        <w:tab/>
        <w:t>Survey Operations</w:t>
      </w:r>
      <w:r w:rsidR="00E26BB5" w:rsidRPr="00FC4E2F">
        <w:tab/>
      </w:r>
      <w:r w:rsidR="00E26BB5" w:rsidRPr="00FC4E2F">
        <w:tab/>
      </w:r>
      <w:r w:rsidR="00E26BB5" w:rsidRPr="00FC4E2F">
        <w:tab/>
      </w:r>
      <w:r w:rsidR="00E26BB5" w:rsidRPr="00FC4E2F">
        <w:tab/>
      </w:r>
      <w:r w:rsidR="00E26BB5" w:rsidRPr="00FC4E2F">
        <w:tab/>
      </w:r>
      <w:r w:rsidR="002A5EBF" w:rsidRPr="00EC7D33">
        <w:t>(</w:t>
      </w:r>
      <w:r w:rsidRPr="00EC7D33">
        <w:t>3</w:t>
      </w:r>
      <w:r>
        <w:t>01</w:t>
      </w:r>
      <w:r w:rsidR="002A5EBF" w:rsidRPr="00EC7D33">
        <w:t xml:space="preserve">) </w:t>
      </w:r>
      <w:r>
        <w:t>347-5134</w:t>
      </w:r>
    </w:p>
    <w:p w14:paraId="01DCC0DA" w14:textId="77777777" w:rsidR="00E26BB5" w:rsidRPr="00FC4E2F" w:rsidRDefault="00E26BB5" w:rsidP="00E26BB5">
      <w:pPr>
        <w:pStyle w:val="BodyText"/>
        <w:spacing w:after="0"/>
        <w:rPr>
          <w:b/>
          <w:i/>
        </w:rPr>
      </w:pPr>
    </w:p>
    <w:p w14:paraId="0CDF09FF" w14:textId="77777777" w:rsidR="00E26BB5" w:rsidRPr="00FC4E2F" w:rsidRDefault="00E26BB5" w:rsidP="00E26BB5">
      <w:pPr>
        <w:pStyle w:val="BodyText"/>
        <w:spacing w:after="0"/>
        <w:rPr>
          <w:b/>
          <w:i/>
        </w:rPr>
      </w:pPr>
      <w:r w:rsidRPr="00FC4E2F">
        <w:rPr>
          <w:b/>
          <w:i/>
        </w:rPr>
        <w:t>MDRC</w:t>
      </w:r>
    </w:p>
    <w:p w14:paraId="638F21DA" w14:textId="77777777" w:rsidR="00E26BB5" w:rsidRPr="00FC4E2F" w:rsidRDefault="00E26BB5" w:rsidP="00E26BB5">
      <w:pPr>
        <w:pStyle w:val="BodyText"/>
      </w:pPr>
      <w:r w:rsidRPr="00FC4E2F">
        <w:t>Jean Grossman</w:t>
      </w:r>
      <w:r w:rsidRPr="00FC4E2F">
        <w:tab/>
      </w:r>
      <w:r w:rsidRPr="00FC4E2F">
        <w:tab/>
      </w:r>
      <w:r w:rsidRPr="00FC4E2F">
        <w:tab/>
        <w:t xml:space="preserve">Co-Principal Investigator </w:t>
      </w:r>
      <w:r w:rsidRPr="00FC4E2F">
        <w:tab/>
      </w:r>
      <w:r w:rsidRPr="00FC4E2F">
        <w:tab/>
      </w:r>
      <w:r w:rsidRPr="00FC4E2F">
        <w:tab/>
        <w:t>(609) 258-6974</w:t>
      </w:r>
    </w:p>
    <w:p w14:paraId="0FCF751F" w14:textId="77777777" w:rsidR="006F2BCA" w:rsidRPr="00FC4E2F" w:rsidRDefault="006F2BCA" w:rsidP="006F2BCA">
      <w:pPr>
        <w:pStyle w:val="BodyText"/>
      </w:pPr>
      <w:r w:rsidRPr="00FC4E2F">
        <w:t>The evaluation team also assembled a technical working group consisting of three experts in the following areas: (1) experience with Job Corps and/or disconnected youth; (2) experience with workforce development and job training; (3) random assignment evaluation; and (4) survey methods. These experts, listed below, reviewed and commented on the evaluation study design and data collection procedures.</w:t>
      </w:r>
    </w:p>
    <w:p w14:paraId="24CCEDAC" w14:textId="77777777" w:rsidR="006F2BCA" w:rsidRDefault="006F2BCA" w:rsidP="006F2BCA">
      <w:pPr>
        <w:pStyle w:val="BodyText"/>
        <w:rPr>
          <w:b/>
          <w:i/>
        </w:rPr>
      </w:pPr>
      <w:r>
        <w:rPr>
          <w:b/>
          <w:i/>
        </w:rPr>
        <w:t>Technical Working Group</w:t>
      </w:r>
    </w:p>
    <w:p w14:paraId="64C696EE" w14:textId="77777777" w:rsidR="006F2BCA" w:rsidRPr="002074E4" w:rsidRDefault="006F2BCA" w:rsidP="006F2BCA">
      <w:pPr>
        <w:pStyle w:val="BodyText"/>
        <w:numPr>
          <w:ilvl w:val="0"/>
          <w:numId w:val="13"/>
        </w:numPr>
        <w:rPr>
          <w:b/>
          <w:i/>
        </w:rPr>
      </w:pPr>
      <w:r>
        <w:t>Peter Schochet, Mathematica Policy Research</w:t>
      </w:r>
      <w:r>
        <w:tab/>
      </w:r>
    </w:p>
    <w:p w14:paraId="31991230" w14:textId="77777777" w:rsidR="006F2BCA" w:rsidRPr="002074E4" w:rsidRDefault="006F2BCA" w:rsidP="006F2BCA">
      <w:pPr>
        <w:pStyle w:val="BodyText"/>
        <w:numPr>
          <w:ilvl w:val="0"/>
          <w:numId w:val="13"/>
        </w:numPr>
        <w:rPr>
          <w:b/>
          <w:i/>
        </w:rPr>
      </w:pPr>
      <w:r>
        <w:t>Grace Kilbane, Executive Director Cleveland/Cuyahoga County Workforce Investment Board (former National Director of Job Corps )</w:t>
      </w:r>
    </w:p>
    <w:p w14:paraId="585B7A3A" w14:textId="77777777" w:rsidR="006F2BCA" w:rsidRPr="002074E4" w:rsidRDefault="006F2BCA" w:rsidP="006F2BCA">
      <w:pPr>
        <w:pStyle w:val="BodyText"/>
        <w:numPr>
          <w:ilvl w:val="0"/>
          <w:numId w:val="13"/>
        </w:numPr>
        <w:rPr>
          <w:b/>
          <w:i/>
        </w:rPr>
      </w:pPr>
      <w:r>
        <w:t>Carlos Flores, Cal Poly San Luis Obispo</w:t>
      </w:r>
    </w:p>
    <w:p w14:paraId="05128B18" w14:textId="77777777" w:rsidR="003C0A01" w:rsidRDefault="003C0A01" w:rsidP="003C0A01">
      <w:pPr>
        <w:pStyle w:val="BodyText"/>
        <w:spacing w:after="0"/>
      </w:pPr>
    </w:p>
    <w:p w14:paraId="336ED948" w14:textId="77777777" w:rsidR="00630738" w:rsidRDefault="00630738" w:rsidP="00630738">
      <w:pPr>
        <w:pStyle w:val="Heading2"/>
      </w:pPr>
      <w:bookmarkStart w:id="46" w:name="_Toc451763643"/>
      <w:bookmarkStart w:id="47" w:name="_Toc508364237"/>
      <w:r>
        <w:t>B.6</w:t>
      </w:r>
      <w:r>
        <w:tab/>
        <w:t>Individuals Responsible for Data Collection and Analysis</w:t>
      </w:r>
      <w:bookmarkEnd w:id="46"/>
      <w:bookmarkEnd w:id="47"/>
    </w:p>
    <w:p w14:paraId="3E927686" w14:textId="77777777" w:rsidR="00630738" w:rsidRDefault="00630738" w:rsidP="00630738">
      <w:pPr>
        <w:pStyle w:val="BodyText"/>
      </w:pPr>
      <w:r w:rsidRPr="0093658C">
        <w:t xml:space="preserve">The following </w:t>
      </w:r>
      <w:r>
        <w:t>individuals are responsible for data collection and analysis for this study:</w:t>
      </w:r>
    </w:p>
    <w:p w14:paraId="13D9C494" w14:textId="77777777" w:rsidR="00630738" w:rsidRPr="00062F3A" w:rsidRDefault="00630738" w:rsidP="00630738">
      <w:pPr>
        <w:spacing w:after="0"/>
        <w:rPr>
          <w:b/>
        </w:rPr>
      </w:pPr>
      <w:r w:rsidRPr="00062F3A">
        <w:rPr>
          <w:b/>
        </w:rPr>
        <w:t>Abt Associates</w:t>
      </w:r>
    </w:p>
    <w:p w14:paraId="245729B3" w14:textId="77777777" w:rsidR="00E26BB5" w:rsidRDefault="00630738" w:rsidP="00630738">
      <w:pPr>
        <w:pStyle w:val="BodyText"/>
        <w:spacing w:after="0" w:line="240" w:lineRule="auto"/>
      </w:pPr>
      <w:r>
        <w:t>Jacob Klerman</w:t>
      </w:r>
      <w:r>
        <w:tab/>
      </w:r>
      <w:r>
        <w:tab/>
      </w:r>
      <w:r w:rsidR="00E26BB5" w:rsidRPr="00FC4E2F">
        <w:t>Co-Principal Investigator</w:t>
      </w:r>
    </w:p>
    <w:p w14:paraId="3EE779E4" w14:textId="77777777" w:rsidR="00630738" w:rsidRDefault="00E26BB5" w:rsidP="00630738">
      <w:pPr>
        <w:pStyle w:val="BodyText"/>
        <w:spacing w:after="0" w:line="240" w:lineRule="auto"/>
      </w:pPr>
      <w:r>
        <w:t>Jean Grossman</w:t>
      </w:r>
      <w:r>
        <w:tab/>
      </w:r>
      <w:r>
        <w:tab/>
      </w:r>
      <w:r w:rsidRPr="00FC4E2F">
        <w:t>Co-Principal Investigator</w:t>
      </w:r>
      <w:r w:rsidR="00630738">
        <w:tab/>
        <w:t xml:space="preserve">      </w:t>
      </w:r>
      <w:r w:rsidR="00630738">
        <w:tab/>
      </w:r>
      <w:r w:rsidR="00630738">
        <w:tab/>
      </w:r>
    </w:p>
    <w:p w14:paraId="513BECB4" w14:textId="77777777" w:rsidR="00630738" w:rsidRDefault="00E26BB5" w:rsidP="00630738">
      <w:pPr>
        <w:pStyle w:val="BodyText"/>
        <w:spacing w:after="0" w:line="240" w:lineRule="auto"/>
      </w:pPr>
      <w:r>
        <w:t>Daniel Litwok</w:t>
      </w:r>
      <w:r w:rsidR="00630738">
        <w:tab/>
      </w:r>
      <w:r w:rsidR="00630738">
        <w:tab/>
        <w:t xml:space="preserve">Analyst </w:t>
      </w:r>
      <w:r w:rsidR="00630738">
        <w:tab/>
      </w:r>
      <w:r w:rsidR="00630738">
        <w:tab/>
      </w:r>
      <w:r w:rsidR="00630738">
        <w:tab/>
      </w:r>
      <w:r w:rsidR="00630738">
        <w:tab/>
      </w:r>
      <w:r w:rsidR="00630738">
        <w:tab/>
      </w:r>
      <w:r w:rsidR="00630738">
        <w:tab/>
      </w:r>
      <w:r w:rsidR="00630738">
        <w:tab/>
      </w:r>
    </w:p>
    <w:p w14:paraId="02F49D2C" w14:textId="52F5CE73" w:rsidR="00630738" w:rsidRDefault="001B18EB" w:rsidP="00630738">
      <w:pPr>
        <w:pStyle w:val="BodyText"/>
        <w:spacing w:after="0" w:line="240" w:lineRule="auto"/>
      </w:pPr>
      <w:r>
        <w:t>Cass Meagher</w:t>
      </w:r>
      <w:r w:rsidR="00E26BB5">
        <w:tab/>
      </w:r>
      <w:r w:rsidR="00E26BB5">
        <w:tab/>
        <w:t xml:space="preserve">Survey Operations </w:t>
      </w:r>
    </w:p>
    <w:p w14:paraId="1956D348" w14:textId="26B2D2B3" w:rsidR="003C0A01" w:rsidRDefault="003C0A01" w:rsidP="001B18EB">
      <w:pPr>
        <w:pStyle w:val="BodyText"/>
        <w:ind w:left="360" w:hanging="360"/>
      </w:pPr>
    </w:p>
    <w:sectPr w:rsidR="003C0A01" w:rsidSect="00106918">
      <w:footerReference w:type="default" r:id="rId11"/>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3D015" w14:textId="77777777" w:rsidR="00466C1F" w:rsidRDefault="00466C1F" w:rsidP="00D979EA">
      <w:r>
        <w:separator/>
      </w:r>
    </w:p>
  </w:endnote>
  <w:endnote w:type="continuationSeparator" w:id="0">
    <w:p w14:paraId="08628A78" w14:textId="77777777" w:rsidR="00466C1F" w:rsidRDefault="00466C1F"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C48AD" w14:textId="4027984A" w:rsidR="00223E86" w:rsidRPr="0066134E" w:rsidRDefault="009175F5" w:rsidP="0025388F">
    <w:pPr>
      <w:pStyle w:val="Footer"/>
      <w:tabs>
        <w:tab w:val="clear" w:pos="4507"/>
        <w:tab w:val="clear" w:pos="9000"/>
        <w:tab w:val="right" w:pos="9360"/>
      </w:tabs>
    </w:pPr>
    <w:r>
      <w:rPr>
        <w:color w:val="DA291C"/>
      </w:rPr>
      <w:t>CCCA Pilot Evaluation</w:t>
    </w:r>
    <w:r w:rsidR="00106918" w:rsidRPr="0066134E">
      <w:rPr>
        <w:rStyle w:val="PageNumber"/>
        <w:b/>
      </w:rPr>
      <w:tab/>
    </w:r>
    <w:r w:rsidR="00106918" w:rsidRPr="003F6E89">
      <w:rPr>
        <w:rStyle w:val="PageNumber"/>
        <w:b/>
      </w:rPr>
      <w:t xml:space="preserve">Supporting Statement for OMB Clearance Request </w:t>
    </w:r>
    <w:r w:rsidR="00106918">
      <w:rPr>
        <w:rStyle w:val="PageNumber"/>
        <w:b/>
      </w:rPr>
      <w:t>Part B</w:t>
    </w:r>
    <w:r w:rsidR="00106918">
      <w:rPr>
        <w:rStyle w:val="PageNumber"/>
        <w:b/>
      </w:rPr>
      <w:t> </w:t>
    </w:r>
    <w:r w:rsidR="00106918">
      <w:rPr>
        <w:rStyle w:val="PageNumber"/>
        <w:rFonts w:cs="Arial"/>
        <w:b/>
      </w:rPr>
      <w:t>▌</w:t>
    </w:r>
    <w:r w:rsidR="00106918">
      <w:rPr>
        <w:rStyle w:val="PageNumber"/>
        <w:b/>
      </w:rPr>
      <w:t xml:space="preserve">pg. </w:t>
    </w:r>
    <w:r w:rsidR="00106918">
      <w:fldChar w:fldCharType="begin"/>
    </w:r>
    <w:r w:rsidR="00106918">
      <w:instrText xml:space="preserve"> PAGE   \* MERGEFORMAT </w:instrText>
    </w:r>
    <w:r w:rsidR="00106918">
      <w:fldChar w:fldCharType="separate"/>
    </w:r>
    <w:r w:rsidR="00AA1F13" w:rsidRPr="00AA1F13">
      <w:rPr>
        <w:rStyle w:val="PageNumber"/>
        <w:b/>
        <w:noProof/>
        <w:color w:val="DA291C"/>
      </w:rPr>
      <w:t>1</w:t>
    </w:r>
    <w:r w:rsidR="00106918">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E2A90" w14:textId="77777777" w:rsidR="00466C1F" w:rsidRDefault="00466C1F" w:rsidP="00D979EA">
      <w:r>
        <w:separator/>
      </w:r>
    </w:p>
  </w:footnote>
  <w:footnote w:type="continuationSeparator" w:id="0">
    <w:p w14:paraId="111A26C7" w14:textId="77777777" w:rsidR="00466C1F" w:rsidRDefault="00466C1F" w:rsidP="00D979EA">
      <w:r>
        <w:continuationSeparator/>
      </w:r>
    </w:p>
  </w:footnote>
  <w:footnote w:id="1">
    <w:p w14:paraId="2DFA4D34" w14:textId="4E939484" w:rsidR="00252627" w:rsidRDefault="00252627">
      <w:pPr>
        <w:pStyle w:val="FootnoteText"/>
      </w:pPr>
      <w:r>
        <w:rPr>
          <w:rStyle w:val="FootnoteReference"/>
        </w:rPr>
        <w:footnoteRef/>
      </w:r>
      <w:r>
        <w:t xml:space="preserve"> </w:t>
      </w:r>
      <w:r w:rsidR="001B18EB">
        <w:tab/>
      </w:r>
      <w:r>
        <w:t>Randomization began on February 22, 2017 at a 1:1 treatment:control ratio. On May 5, 2017, this ratio was adjusted to increase the number of students arriving on-center during the pilot period. On September 5, 2017, the ratio reverted to 1:1 treatment:control.</w:t>
      </w:r>
    </w:p>
  </w:footnote>
  <w:footnote w:id="2">
    <w:p w14:paraId="567D5E75" w14:textId="0EB56CC4" w:rsidR="00DD2948" w:rsidRDefault="00DD2948">
      <w:pPr>
        <w:pStyle w:val="FootnoteText"/>
      </w:pPr>
      <w:r>
        <w:rPr>
          <w:rStyle w:val="FootnoteReference"/>
        </w:rPr>
        <w:footnoteRef/>
      </w:r>
      <w:r>
        <w:t xml:space="preserve"> </w:t>
      </w:r>
      <w:r w:rsidR="001B18EB">
        <w:tab/>
      </w:r>
      <w:r w:rsidRPr="00DD2948">
        <w:t>Earnings are a key long-term outcome for a job training program.  However, with target times on campus of at least two years, an 18-month post-randomization survey is too early to detect impacts on earnings.</w:t>
      </w:r>
    </w:p>
  </w:footnote>
  <w:footnote w:id="3">
    <w:p w14:paraId="130A4031" w14:textId="7B958670" w:rsidR="001535C6" w:rsidRDefault="001535C6">
      <w:pPr>
        <w:pStyle w:val="FootnoteText"/>
      </w:pPr>
      <w:r>
        <w:rPr>
          <w:rStyle w:val="FootnoteReference"/>
        </w:rPr>
        <w:footnoteRef/>
      </w:r>
      <w:r>
        <w:t xml:space="preserve"> </w:t>
      </w:r>
      <w:r>
        <w:tab/>
      </w:r>
      <w:r w:rsidRPr="001B18EB">
        <w:t xml:space="preserve">Puma, Michael J., Robert B. Olsen, Stephen H. Bell, and Cristofer Price. 2009. What to Do When Data Are Missing in Group Randomized Controlled Trials (NCEE 2009-0049). Washington, DC: National Center for Education Evaluation and Regional Assistance, Institute of Education Sciences, U.S. Department of Education. </w:t>
      </w:r>
      <w:hyperlink r:id="rId1" w:history="1">
        <w:r w:rsidRPr="007C65ED">
          <w:rPr>
            <w:rStyle w:val="Hyperlink"/>
          </w:rPr>
          <w:t>http://ies.ed.gov/ncee/pdf/20090049.pdf</w:t>
        </w:r>
      </w:hyperlink>
      <w:r w:rsidRPr="001B18EB">
        <w:t>.</w:t>
      </w:r>
    </w:p>
  </w:footnote>
  <w:footnote w:id="4">
    <w:p w14:paraId="616E219D" w14:textId="77777777" w:rsidR="001D7E3E" w:rsidRDefault="001D7E3E" w:rsidP="001D7E3E">
      <w:pPr>
        <w:pStyle w:val="FootnoteText"/>
      </w:pPr>
      <w:r>
        <w:rPr>
          <w:rStyle w:val="FootnoteReference"/>
        </w:rPr>
        <w:footnoteRef/>
      </w:r>
      <w:r>
        <w:t xml:space="preserve"> </w:t>
      </w:r>
      <w:r>
        <w:tab/>
      </w:r>
      <w:r w:rsidRPr="00447C84">
        <w:t xml:space="preserve">As a </w:t>
      </w:r>
      <w:r>
        <w:t>robustness</w:t>
      </w:r>
      <w:r w:rsidRPr="00447C84">
        <w:t xml:space="preserve"> test, we also propose to use logistic models for binary outcomes </w:t>
      </w:r>
      <w:r>
        <w:t>to ensure that the signs and significance of the estimates from the linear and logistic models are the same.</w:t>
      </w:r>
    </w:p>
  </w:footnote>
  <w:footnote w:id="5">
    <w:p w14:paraId="590C7EEB" w14:textId="77777777" w:rsidR="003C0A01" w:rsidRDefault="003C0A01" w:rsidP="003C0A01">
      <w:pPr>
        <w:pStyle w:val="FootnoteText"/>
      </w:pPr>
      <w:r>
        <w:rPr>
          <w:rStyle w:val="FootnoteReference"/>
        </w:rPr>
        <w:footnoteRef/>
      </w:r>
      <w:r>
        <w:t xml:space="preserve"> </w:t>
      </w:r>
      <w:r>
        <w:tab/>
        <w:t>As is standard practice, we use ordinary least squares (the linear probability model) even for dependent variables that are bounded, such as hours and earnings (bounded below at 0).</w:t>
      </w:r>
    </w:p>
  </w:footnote>
  <w:footnote w:id="6">
    <w:p w14:paraId="0D135468" w14:textId="317AA184" w:rsidR="001B18EB" w:rsidRDefault="001B18EB">
      <w:pPr>
        <w:pStyle w:val="FootnoteText"/>
      </w:pPr>
      <w:r>
        <w:rPr>
          <w:rStyle w:val="FootnoteReference"/>
        </w:rPr>
        <w:footnoteRef/>
      </w:r>
      <w:r>
        <w:t xml:space="preserve"> </w:t>
      </w:r>
      <w:r>
        <w:tab/>
      </w:r>
      <w:r w:rsidR="001535C6" w:rsidRPr="001B18EB">
        <w:t>Puma</w:t>
      </w:r>
      <w:r w:rsidR="001535C6">
        <w:t xml:space="preserve"> et. al.</w:t>
      </w:r>
      <w:r w:rsidR="001535C6" w:rsidRPr="001B18EB">
        <w:t xml:space="preserve">, What to Do When Data Are Missing in Group Randomized Controlled Trials </w:t>
      </w:r>
      <w:r w:rsidR="001535C6">
        <w:t>(see footnote 3).</w:t>
      </w:r>
    </w:p>
  </w:footnote>
  <w:footnote w:id="7">
    <w:p w14:paraId="7DF152D5" w14:textId="6D65E896" w:rsidR="001B18EB" w:rsidRDefault="001B18EB">
      <w:pPr>
        <w:pStyle w:val="FootnoteText"/>
      </w:pPr>
      <w:r>
        <w:rPr>
          <w:rStyle w:val="FootnoteReference"/>
        </w:rPr>
        <w:footnoteRef/>
      </w:r>
      <w:r>
        <w:t xml:space="preserve"> </w:t>
      </w:r>
      <w:r>
        <w:tab/>
      </w:r>
      <w:r w:rsidRPr="001B18EB">
        <w:t>Schochet, Peter Z., J. Burghardt, and S. McConnell. 2008. "Does Job Corps Work? Impact Findings from the National Job Corps Study." The American Economic Review 98.5: 1864-1886.</w:t>
      </w:r>
    </w:p>
  </w:footnote>
  <w:footnote w:id="8">
    <w:p w14:paraId="0329220A" w14:textId="225D3867" w:rsidR="001B18EB" w:rsidRDefault="001B18EB">
      <w:pPr>
        <w:pStyle w:val="FootnoteText"/>
      </w:pPr>
      <w:r>
        <w:rPr>
          <w:rStyle w:val="FootnoteReference"/>
        </w:rPr>
        <w:footnoteRef/>
      </w:r>
      <w:r>
        <w:t xml:space="preserve"> </w:t>
      </w:r>
      <w:r>
        <w:tab/>
        <w:t>Ibid.</w:t>
      </w:r>
    </w:p>
  </w:footnote>
  <w:footnote w:id="9">
    <w:p w14:paraId="375ADD73" w14:textId="46C3AF2D" w:rsidR="001B18EB" w:rsidRDefault="001B18EB">
      <w:pPr>
        <w:pStyle w:val="FootnoteText"/>
      </w:pPr>
      <w:r>
        <w:rPr>
          <w:rStyle w:val="FootnoteReference"/>
        </w:rPr>
        <w:footnoteRef/>
      </w:r>
      <w:r>
        <w:t xml:space="preserve"> </w:t>
      </w:r>
      <w:r>
        <w:tab/>
      </w:r>
      <w:r w:rsidRPr="001B18EB">
        <w:t xml:space="preserve">Dursa, Erin K., Aaron Schneiderman, Heather Hammer, Stanislav Kolenikov. 2015. Nonresponse Bias Measurement and Adjustment in the Follow up Study of a National Cohort of Gulf War and Gulf War Era Veterans (Wave 3). Proceedings of the Survey Research Methods Section of the American Statistical Association, Alexandria, VA. </w:t>
      </w:r>
      <w:hyperlink r:id="rId2" w:history="1">
        <w:r w:rsidR="00352CF0">
          <w:rPr>
            <w:rStyle w:val="Hyperlink"/>
          </w:rPr>
          <w:t>http://www.asasrms.org/Proceedings/y2015/files/234231.pdf</w:t>
        </w:r>
      </w:hyperlink>
    </w:p>
  </w:footnote>
  <w:footnote w:id="10">
    <w:p w14:paraId="4AD83A65" w14:textId="77777777" w:rsidR="003C0A01" w:rsidRDefault="003C0A01" w:rsidP="003C0A01">
      <w:pPr>
        <w:pStyle w:val="FootnoteText"/>
      </w:pPr>
      <w:r>
        <w:rPr>
          <w:rStyle w:val="FootnoteReference"/>
        </w:rPr>
        <w:footnoteRef/>
      </w:r>
      <w:r>
        <w:t xml:space="preserve"> </w:t>
      </w:r>
      <w:r w:rsidR="00293933">
        <w:tab/>
      </w:r>
      <w:r>
        <w:t>An alternative propensity adjustment method could use the directly modeled estimates of response propensity</w:t>
      </w:r>
      <w:r w:rsidR="005A2F67">
        <w:t xml:space="preserve">. </w:t>
      </w:r>
      <w:r>
        <w:t>However, these estimates can sometimes be close to zero, creating very large weights, which in turn lead to large survey design effects.</w:t>
      </w:r>
    </w:p>
  </w:footnote>
  <w:footnote w:id="11">
    <w:p w14:paraId="6445144C" w14:textId="3549DDEB" w:rsidR="00C426EF" w:rsidRDefault="00C426EF">
      <w:pPr>
        <w:pStyle w:val="FootnoteText"/>
      </w:pPr>
      <w:r w:rsidRPr="00E83A08">
        <w:rPr>
          <w:rStyle w:val="FootnoteReference"/>
        </w:rPr>
        <w:footnoteRef/>
      </w:r>
      <w:r w:rsidRPr="00E83A08">
        <w:t xml:space="preserve"> </w:t>
      </w:r>
      <w:r w:rsidR="001B18EB">
        <w:tab/>
      </w:r>
      <w:r w:rsidRPr="00E83A08">
        <w:t>Judkins, et al. (</w:t>
      </w:r>
      <w:r w:rsidR="001B18EB" w:rsidRPr="001B18EB">
        <w:t>Judkins, David, D. Morganstein,  P. Zador, A. Piesse, B. Barrett, and P. Mukhopadhyay. 2007. Variable Selection and Raking in Propensity Scoring. Statistics in Medicine, 26, 1022–1033.</w:t>
      </w:r>
      <w:r w:rsidRPr="00E83A08">
        <w:t>) showed how to perfectly balance respondents and nonrespondents in a limited number of dimensions using a procedure that is call “weight raking.” Using these weights, tabulations of respondents agree perfectly with tabulations based on the entire sample. This has been demonstrated to work on as many as about a dozen categorical variables at a time. </w:t>
      </w:r>
    </w:p>
  </w:footnote>
  <w:footnote w:id="12">
    <w:p w14:paraId="5D70FAF6" w14:textId="4963ED99" w:rsidR="001B18EB" w:rsidRDefault="001B18EB">
      <w:pPr>
        <w:pStyle w:val="FootnoteText"/>
      </w:pPr>
      <w:r>
        <w:rPr>
          <w:rStyle w:val="FootnoteReference"/>
        </w:rPr>
        <w:footnoteRef/>
      </w:r>
      <w:r>
        <w:t xml:space="preserve"> </w:t>
      </w:r>
      <w:r>
        <w:tab/>
      </w:r>
      <w:r w:rsidRPr="001B18EB">
        <w:t>Kolenikov, Stanislav. 2014. Calibrating survey data using iterative proportional fitting (raking), Stata Journal, 14, (1), 22-59.</w:t>
      </w:r>
    </w:p>
  </w:footnote>
  <w:footnote w:id="13">
    <w:p w14:paraId="644AAEF6" w14:textId="4893034B" w:rsidR="001B18EB" w:rsidRDefault="001B18EB">
      <w:pPr>
        <w:pStyle w:val="FootnoteText"/>
      </w:pPr>
      <w:r>
        <w:rPr>
          <w:rStyle w:val="FootnoteReference"/>
        </w:rPr>
        <w:footnoteRef/>
      </w:r>
      <w:r>
        <w:t xml:space="preserve"> </w:t>
      </w:r>
      <w:r>
        <w:tab/>
      </w:r>
      <w:r w:rsidRPr="001B18EB">
        <w:t>Puma</w:t>
      </w:r>
      <w:r>
        <w:t xml:space="preserve"> et. al.</w:t>
      </w:r>
      <w:r w:rsidRPr="001B18EB">
        <w:t xml:space="preserve">, What to Do When Data Are Missing in Group Randomized Controlled Trials </w:t>
      </w:r>
      <w:r>
        <w:t xml:space="preserve">(see footnote </w:t>
      </w:r>
      <w:r w:rsidR="001535C6">
        <w:t>3</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25D77067"/>
    <w:multiLevelType w:val="hybridMultilevel"/>
    <w:tmpl w:val="CB1C7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4C35E4"/>
    <w:multiLevelType w:val="hybridMultilevel"/>
    <w:tmpl w:val="5142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C84E38"/>
    <w:multiLevelType w:val="hybridMultilevel"/>
    <w:tmpl w:val="040EC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5F4B0825"/>
    <w:multiLevelType w:val="multilevel"/>
    <w:tmpl w:val="5D0C27F2"/>
    <w:lvl w:ilvl="0">
      <w:start w:val="1"/>
      <w:numFmt w:val="bullet"/>
      <w:pStyle w:val="Exhibitbullets"/>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F9811C5"/>
    <w:multiLevelType w:val="hybridMultilevel"/>
    <w:tmpl w:val="D03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C37FEF"/>
    <w:multiLevelType w:val="multilevel"/>
    <w:tmpl w:val="FD7E8F74"/>
    <w:lvl w:ilvl="0">
      <w:start w:val="1"/>
      <w:numFmt w:val="bullet"/>
      <w:lvlText w:val=""/>
      <w:lvlJc w:val="left"/>
      <w:pPr>
        <w:ind w:left="360" w:hanging="360"/>
      </w:pPr>
      <w:rPr>
        <w:rFonts w:ascii="Symbol" w:hAnsi="Symbol" w:hint="default"/>
        <w:color w:val="4F81BD"/>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FE0280C"/>
    <w:multiLevelType w:val="hybridMultilevel"/>
    <w:tmpl w:val="2A6C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
    <w:nsid w:val="79701FD0"/>
    <w:multiLevelType w:val="hybridMultilevel"/>
    <w:tmpl w:val="3990B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1"/>
  </w:num>
  <w:num w:numId="4">
    <w:abstractNumId w:val="4"/>
  </w:num>
  <w:num w:numId="5">
    <w:abstractNumId w:val="12"/>
  </w:num>
  <w:num w:numId="6">
    <w:abstractNumId w:val="1"/>
  </w:num>
  <w:num w:numId="7">
    <w:abstractNumId w:val="5"/>
  </w:num>
  <w:num w:numId="8">
    <w:abstractNumId w:val="3"/>
  </w:num>
  <w:num w:numId="9">
    <w:abstractNumId w:val="7"/>
  </w:num>
  <w:num w:numId="10">
    <w:abstractNumId w:val="8"/>
  </w:num>
  <w:num w:numId="11">
    <w:abstractNumId w:val="2"/>
  </w:num>
  <w:num w:numId="12">
    <w:abstractNumId w:val="10"/>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0C90"/>
    <w:rsid w:val="000136F3"/>
    <w:rsid w:val="00016E17"/>
    <w:rsid w:val="0002216E"/>
    <w:rsid w:val="000228F5"/>
    <w:rsid w:val="000267FE"/>
    <w:rsid w:val="00040E00"/>
    <w:rsid w:val="00046728"/>
    <w:rsid w:val="000525E0"/>
    <w:rsid w:val="00053EEF"/>
    <w:rsid w:val="000543DC"/>
    <w:rsid w:val="00055022"/>
    <w:rsid w:val="0005750B"/>
    <w:rsid w:val="0006045E"/>
    <w:rsid w:val="00062F3A"/>
    <w:rsid w:val="0006587B"/>
    <w:rsid w:val="00070322"/>
    <w:rsid w:val="00070A7A"/>
    <w:rsid w:val="00082D01"/>
    <w:rsid w:val="00087856"/>
    <w:rsid w:val="000902AA"/>
    <w:rsid w:val="00091C6A"/>
    <w:rsid w:val="00095D40"/>
    <w:rsid w:val="000A00A2"/>
    <w:rsid w:val="000A1C6D"/>
    <w:rsid w:val="000A7D69"/>
    <w:rsid w:val="000B33D1"/>
    <w:rsid w:val="000C0A39"/>
    <w:rsid w:val="000C3040"/>
    <w:rsid w:val="000D0FBF"/>
    <w:rsid w:val="000D53F1"/>
    <w:rsid w:val="000D5777"/>
    <w:rsid w:val="000E0E10"/>
    <w:rsid w:val="000E6B75"/>
    <w:rsid w:val="000F184F"/>
    <w:rsid w:val="000F53F4"/>
    <w:rsid w:val="001033D7"/>
    <w:rsid w:val="001034D7"/>
    <w:rsid w:val="00104F2A"/>
    <w:rsid w:val="00106918"/>
    <w:rsid w:val="0010761D"/>
    <w:rsid w:val="00107A04"/>
    <w:rsid w:val="0011170B"/>
    <w:rsid w:val="001178CA"/>
    <w:rsid w:val="00122301"/>
    <w:rsid w:val="00123CA7"/>
    <w:rsid w:val="0012461A"/>
    <w:rsid w:val="001307A5"/>
    <w:rsid w:val="00133465"/>
    <w:rsid w:val="00152153"/>
    <w:rsid w:val="001535C6"/>
    <w:rsid w:val="00157E04"/>
    <w:rsid w:val="00160657"/>
    <w:rsid w:val="00160B87"/>
    <w:rsid w:val="001677DC"/>
    <w:rsid w:val="00172119"/>
    <w:rsid w:val="0017276A"/>
    <w:rsid w:val="00177804"/>
    <w:rsid w:val="00181334"/>
    <w:rsid w:val="001A04CE"/>
    <w:rsid w:val="001A0E0A"/>
    <w:rsid w:val="001A23B5"/>
    <w:rsid w:val="001A403F"/>
    <w:rsid w:val="001A4633"/>
    <w:rsid w:val="001A58CC"/>
    <w:rsid w:val="001B18EB"/>
    <w:rsid w:val="001B4509"/>
    <w:rsid w:val="001B5197"/>
    <w:rsid w:val="001C0891"/>
    <w:rsid w:val="001C10AF"/>
    <w:rsid w:val="001D4FDD"/>
    <w:rsid w:val="001D7E3E"/>
    <w:rsid w:val="001E2CF1"/>
    <w:rsid w:val="00200E58"/>
    <w:rsid w:val="002064D3"/>
    <w:rsid w:val="002106BF"/>
    <w:rsid w:val="002166A4"/>
    <w:rsid w:val="002176B8"/>
    <w:rsid w:val="002216AD"/>
    <w:rsid w:val="00221D99"/>
    <w:rsid w:val="00223A9F"/>
    <w:rsid w:val="002259F1"/>
    <w:rsid w:val="002259FF"/>
    <w:rsid w:val="0022674D"/>
    <w:rsid w:val="00227977"/>
    <w:rsid w:val="0023449A"/>
    <w:rsid w:val="00235F88"/>
    <w:rsid w:val="00243C80"/>
    <w:rsid w:val="00246A46"/>
    <w:rsid w:val="00252627"/>
    <w:rsid w:val="00255975"/>
    <w:rsid w:val="002702F7"/>
    <w:rsid w:val="00273EAA"/>
    <w:rsid w:val="00276702"/>
    <w:rsid w:val="0028328D"/>
    <w:rsid w:val="002838F5"/>
    <w:rsid w:val="00285BB6"/>
    <w:rsid w:val="00293933"/>
    <w:rsid w:val="0029491C"/>
    <w:rsid w:val="002A4078"/>
    <w:rsid w:val="002A5CE0"/>
    <w:rsid w:val="002A5EBF"/>
    <w:rsid w:val="002B2F3C"/>
    <w:rsid w:val="002C1B1E"/>
    <w:rsid w:val="002C32AB"/>
    <w:rsid w:val="002C41F9"/>
    <w:rsid w:val="002C4495"/>
    <w:rsid w:val="002C5AC8"/>
    <w:rsid w:val="002C76AB"/>
    <w:rsid w:val="002D26B6"/>
    <w:rsid w:val="002D4536"/>
    <w:rsid w:val="002D5525"/>
    <w:rsid w:val="002E1BA3"/>
    <w:rsid w:val="002E77AE"/>
    <w:rsid w:val="002F48C8"/>
    <w:rsid w:val="002F55CE"/>
    <w:rsid w:val="002F76F5"/>
    <w:rsid w:val="00314A8A"/>
    <w:rsid w:val="00324EC2"/>
    <w:rsid w:val="003279F2"/>
    <w:rsid w:val="0033337C"/>
    <w:rsid w:val="00342BA9"/>
    <w:rsid w:val="003455BC"/>
    <w:rsid w:val="00347DB5"/>
    <w:rsid w:val="00352CF0"/>
    <w:rsid w:val="00354170"/>
    <w:rsid w:val="00354503"/>
    <w:rsid w:val="003623F0"/>
    <w:rsid w:val="003643C7"/>
    <w:rsid w:val="00366D5C"/>
    <w:rsid w:val="00370164"/>
    <w:rsid w:val="003711CD"/>
    <w:rsid w:val="00380DB1"/>
    <w:rsid w:val="00383BFC"/>
    <w:rsid w:val="00384611"/>
    <w:rsid w:val="00384CA0"/>
    <w:rsid w:val="003870BA"/>
    <w:rsid w:val="003925A9"/>
    <w:rsid w:val="00395736"/>
    <w:rsid w:val="00395A89"/>
    <w:rsid w:val="003A29D1"/>
    <w:rsid w:val="003A2FA8"/>
    <w:rsid w:val="003A3403"/>
    <w:rsid w:val="003B15E8"/>
    <w:rsid w:val="003B4770"/>
    <w:rsid w:val="003C0A01"/>
    <w:rsid w:val="003C20BF"/>
    <w:rsid w:val="003D5616"/>
    <w:rsid w:val="003E666B"/>
    <w:rsid w:val="003F3E19"/>
    <w:rsid w:val="0041143F"/>
    <w:rsid w:val="00423092"/>
    <w:rsid w:val="004253E8"/>
    <w:rsid w:val="00427EA9"/>
    <w:rsid w:val="004319BC"/>
    <w:rsid w:val="004350B0"/>
    <w:rsid w:val="00436CE5"/>
    <w:rsid w:val="00447C84"/>
    <w:rsid w:val="004513E0"/>
    <w:rsid w:val="00453FE3"/>
    <w:rsid w:val="004565F1"/>
    <w:rsid w:val="00466C1F"/>
    <w:rsid w:val="00470AB4"/>
    <w:rsid w:val="00472E16"/>
    <w:rsid w:val="004734DF"/>
    <w:rsid w:val="0048413D"/>
    <w:rsid w:val="00486943"/>
    <w:rsid w:val="00495B91"/>
    <w:rsid w:val="004A2DB9"/>
    <w:rsid w:val="004A5408"/>
    <w:rsid w:val="004C18DF"/>
    <w:rsid w:val="004C29E5"/>
    <w:rsid w:val="004C2B46"/>
    <w:rsid w:val="004C6AC9"/>
    <w:rsid w:val="004D4C6D"/>
    <w:rsid w:val="004E01A4"/>
    <w:rsid w:val="004F6742"/>
    <w:rsid w:val="004F709B"/>
    <w:rsid w:val="00503049"/>
    <w:rsid w:val="005040A3"/>
    <w:rsid w:val="00511CE9"/>
    <w:rsid w:val="00534514"/>
    <w:rsid w:val="00534B03"/>
    <w:rsid w:val="00534C33"/>
    <w:rsid w:val="00536DB4"/>
    <w:rsid w:val="0054025D"/>
    <w:rsid w:val="0055123E"/>
    <w:rsid w:val="00574572"/>
    <w:rsid w:val="00585CA4"/>
    <w:rsid w:val="00597948"/>
    <w:rsid w:val="005A2F67"/>
    <w:rsid w:val="005B1AC5"/>
    <w:rsid w:val="005B6A25"/>
    <w:rsid w:val="005B7D4C"/>
    <w:rsid w:val="005C4647"/>
    <w:rsid w:val="005E0CF2"/>
    <w:rsid w:val="005E2AEA"/>
    <w:rsid w:val="005E6B70"/>
    <w:rsid w:val="005F73C8"/>
    <w:rsid w:val="006122D8"/>
    <w:rsid w:val="0061247A"/>
    <w:rsid w:val="00615938"/>
    <w:rsid w:val="00621C7F"/>
    <w:rsid w:val="0063014E"/>
    <w:rsid w:val="00630738"/>
    <w:rsid w:val="00630A53"/>
    <w:rsid w:val="0065112D"/>
    <w:rsid w:val="0066134E"/>
    <w:rsid w:val="006814BB"/>
    <w:rsid w:val="006840EB"/>
    <w:rsid w:val="0069342C"/>
    <w:rsid w:val="006A541C"/>
    <w:rsid w:val="006A5B3B"/>
    <w:rsid w:val="006B1DA6"/>
    <w:rsid w:val="006C7A4C"/>
    <w:rsid w:val="006D2F8A"/>
    <w:rsid w:val="006D406B"/>
    <w:rsid w:val="006E0A45"/>
    <w:rsid w:val="006E2B32"/>
    <w:rsid w:val="006F2B34"/>
    <w:rsid w:val="006F2BCA"/>
    <w:rsid w:val="007057ED"/>
    <w:rsid w:val="0070672F"/>
    <w:rsid w:val="007105A6"/>
    <w:rsid w:val="00715417"/>
    <w:rsid w:val="00726DD4"/>
    <w:rsid w:val="00730F56"/>
    <w:rsid w:val="00744E2C"/>
    <w:rsid w:val="00752119"/>
    <w:rsid w:val="00754408"/>
    <w:rsid w:val="0076060F"/>
    <w:rsid w:val="007631C7"/>
    <w:rsid w:val="00763CCC"/>
    <w:rsid w:val="007717ED"/>
    <w:rsid w:val="00776890"/>
    <w:rsid w:val="00776C72"/>
    <w:rsid w:val="0078258F"/>
    <w:rsid w:val="007846BC"/>
    <w:rsid w:val="00791834"/>
    <w:rsid w:val="00794B6E"/>
    <w:rsid w:val="00795728"/>
    <w:rsid w:val="007969A4"/>
    <w:rsid w:val="007A0114"/>
    <w:rsid w:val="007B1321"/>
    <w:rsid w:val="007B1904"/>
    <w:rsid w:val="007C542E"/>
    <w:rsid w:val="007C65ED"/>
    <w:rsid w:val="007D1323"/>
    <w:rsid w:val="007D6370"/>
    <w:rsid w:val="007E092F"/>
    <w:rsid w:val="007E332C"/>
    <w:rsid w:val="007E5EC0"/>
    <w:rsid w:val="007E78C1"/>
    <w:rsid w:val="00800368"/>
    <w:rsid w:val="0080098A"/>
    <w:rsid w:val="00801761"/>
    <w:rsid w:val="008111EB"/>
    <w:rsid w:val="008130C9"/>
    <w:rsid w:val="00813D02"/>
    <w:rsid w:val="00814833"/>
    <w:rsid w:val="0082033D"/>
    <w:rsid w:val="008222AD"/>
    <w:rsid w:val="0083104D"/>
    <w:rsid w:val="00832322"/>
    <w:rsid w:val="00833A16"/>
    <w:rsid w:val="008349AE"/>
    <w:rsid w:val="00840EC9"/>
    <w:rsid w:val="00843857"/>
    <w:rsid w:val="00846D77"/>
    <w:rsid w:val="00852480"/>
    <w:rsid w:val="00856632"/>
    <w:rsid w:val="008604C6"/>
    <w:rsid w:val="00867308"/>
    <w:rsid w:val="0089158C"/>
    <w:rsid w:val="00893E43"/>
    <w:rsid w:val="008B0543"/>
    <w:rsid w:val="008C0888"/>
    <w:rsid w:val="008C3505"/>
    <w:rsid w:val="008D30EA"/>
    <w:rsid w:val="008D55C8"/>
    <w:rsid w:val="008E20DE"/>
    <w:rsid w:val="008F1770"/>
    <w:rsid w:val="009013C5"/>
    <w:rsid w:val="0090519F"/>
    <w:rsid w:val="009061A4"/>
    <w:rsid w:val="00912E02"/>
    <w:rsid w:val="009175F5"/>
    <w:rsid w:val="00942024"/>
    <w:rsid w:val="00942C7C"/>
    <w:rsid w:val="00944550"/>
    <w:rsid w:val="009550AD"/>
    <w:rsid w:val="009565D4"/>
    <w:rsid w:val="009630C8"/>
    <w:rsid w:val="00967D7C"/>
    <w:rsid w:val="00977D73"/>
    <w:rsid w:val="0099262A"/>
    <w:rsid w:val="009A05F3"/>
    <w:rsid w:val="009A4640"/>
    <w:rsid w:val="009B3D0C"/>
    <w:rsid w:val="009B56DA"/>
    <w:rsid w:val="009D13BB"/>
    <w:rsid w:val="009D4A42"/>
    <w:rsid w:val="009D50EB"/>
    <w:rsid w:val="009E32F5"/>
    <w:rsid w:val="009E6279"/>
    <w:rsid w:val="009F2649"/>
    <w:rsid w:val="009F618B"/>
    <w:rsid w:val="009F704C"/>
    <w:rsid w:val="00A0215D"/>
    <w:rsid w:val="00A06666"/>
    <w:rsid w:val="00A105E0"/>
    <w:rsid w:val="00A1681D"/>
    <w:rsid w:val="00A3018B"/>
    <w:rsid w:val="00A3128D"/>
    <w:rsid w:val="00A324EA"/>
    <w:rsid w:val="00A33A46"/>
    <w:rsid w:val="00A45B43"/>
    <w:rsid w:val="00A4794A"/>
    <w:rsid w:val="00A533DE"/>
    <w:rsid w:val="00A53E2B"/>
    <w:rsid w:val="00A64150"/>
    <w:rsid w:val="00A817CE"/>
    <w:rsid w:val="00A928FA"/>
    <w:rsid w:val="00AA1F13"/>
    <w:rsid w:val="00AA4753"/>
    <w:rsid w:val="00AA7B0B"/>
    <w:rsid w:val="00AB1A8C"/>
    <w:rsid w:val="00AB32CF"/>
    <w:rsid w:val="00AB44CA"/>
    <w:rsid w:val="00AC59EB"/>
    <w:rsid w:val="00AD2235"/>
    <w:rsid w:val="00AD7094"/>
    <w:rsid w:val="00AE5530"/>
    <w:rsid w:val="00AF7F46"/>
    <w:rsid w:val="00B02599"/>
    <w:rsid w:val="00B14060"/>
    <w:rsid w:val="00B16B3C"/>
    <w:rsid w:val="00B25EE3"/>
    <w:rsid w:val="00B269D4"/>
    <w:rsid w:val="00B272D5"/>
    <w:rsid w:val="00B3357C"/>
    <w:rsid w:val="00B43E6C"/>
    <w:rsid w:val="00B46AFE"/>
    <w:rsid w:val="00B518F2"/>
    <w:rsid w:val="00B61C4A"/>
    <w:rsid w:val="00B61EC9"/>
    <w:rsid w:val="00B63CB4"/>
    <w:rsid w:val="00B679AD"/>
    <w:rsid w:val="00B7744A"/>
    <w:rsid w:val="00B82D4D"/>
    <w:rsid w:val="00B83AAE"/>
    <w:rsid w:val="00B87300"/>
    <w:rsid w:val="00B87EE6"/>
    <w:rsid w:val="00B9260A"/>
    <w:rsid w:val="00B96ABD"/>
    <w:rsid w:val="00BA4337"/>
    <w:rsid w:val="00BB040D"/>
    <w:rsid w:val="00BD4DF2"/>
    <w:rsid w:val="00BF18DC"/>
    <w:rsid w:val="00C04B4F"/>
    <w:rsid w:val="00C10EA9"/>
    <w:rsid w:val="00C13DE2"/>
    <w:rsid w:val="00C14408"/>
    <w:rsid w:val="00C14776"/>
    <w:rsid w:val="00C17F58"/>
    <w:rsid w:val="00C307E7"/>
    <w:rsid w:val="00C34A92"/>
    <w:rsid w:val="00C35829"/>
    <w:rsid w:val="00C36245"/>
    <w:rsid w:val="00C370A7"/>
    <w:rsid w:val="00C426EF"/>
    <w:rsid w:val="00C45B27"/>
    <w:rsid w:val="00C57E90"/>
    <w:rsid w:val="00C62F1C"/>
    <w:rsid w:val="00C6380F"/>
    <w:rsid w:val="00C6387F"/>
    <w:rsid w:val="00C65BBF"/>
    <w:rsid w:val="00C65C36"/>
    <w:rsid w:val="00C738DC"/>
    <w:rsid w:val="00C744A3"/>
    <w:rsid w:val="00C80E9E"/>
    <w:rsid w:val="00C81DB5"/>
    <w:rsid w:val="00C83E91"/>
    <w:rsid w:val="00C900FF"/>
    <w:rsid w:val="00CB08C3"/>
    <w:rsid w:val="00CB3FC8"/>
    <w:rsid w:val="00CB442A"/>
    <w:rsid w:val="00CD2213"/>
    <w:rsid w:val="00CD4B2E"/>
    <w:rsid w:val="00CD4DE4"/>
    <w:rsid w:val="00CD596A"/>
    <w:rsid w:val="00CD6527"/>
    <w:rsid w:val="00CD6B3F"/>
    <w:rsid w:val="00CF3E63"/>
    <w:rsid w:val="00CF561E"/>
    <w:rsid w:val="00D143BA"/>
    <w:rsid w:val="00D20DD2"/>
    <w:rsid w:val="00D2418E"/>
    <w:rsid w:val="00D34EEE"/>
    <w:rsid w:val="00D37BAF"/>
    <w:rsid w:val="00D51B1E"/>
    <w:rsid w:val="00D64FA7"/>
    <w:rsid w:val="00D96598"/>
    <w:rsid w:val="00D979EA"/>
    <w:rsid w:val="00DA02B9"/>
    <w:rsid w:val="00DA42EA"/>
    <w:rsid w:val="00DA7FEA"/>
    <w:rsid w:val="00DB0315"/>
    <w:rsid w:val="00DB0C1C"/>
    <w:rsid w:val="00DB269B"/>
    <w:rsid w:val="00DB6BF1"/>
    <w:rsid w:val="00DC02B5"/>
    <w:rsid w:val="00DD27D1"/>
    <w:rsid w:val="00DD2948"/>
    <w:rsid w:val="00DE221A"/>
    <w:rsid w:val="00DE2334"/>
    <w:rsid w:val="00DE5C1E"/>
    <w:rsid w:val="00DF2506"/>
    <w:rsid w:val="00DF68F0"/>
    <w:rsid w:val="00DF6CDE"/>
    <w:rsid w:val="00E0113D"/>
    <w:rsid w:val="00E039CB"/>
    <w:rsid w:val="00E1423B"/>
    <w:rsid w:val="00E162E9"/>
    <w:rsid w:val="00E26A68"/>
    <w:rsid w:val="00E26BB5"/>
    <w:rsid w:val="00E317E1"/>
    <w:rsid w:val="00E33231"/>
    <w:rsid w:val="00E47F72"/>
    <w:rsid w:val="00E535F7"/>
    <w:rsid w:val="00E56FEE"/>
    <w:rsid w:val="00E6186E"/>
    <w:rsid w:val="00E71A9C"/>
    <w:rsid w:val="00E72F03"/>
    <w:rsid w:val="00E7429A"/>
    <w:rsid w:val="00E75D89"/>
    <w:rsid w:val="00E83A08"/>
    <w:rsid w:val="00E84434"/>
    <w:rsid w:val="00E8651A"/>
    <w:rsid w:val="00E91A78"/>
    <w:rsid w:val="00E93643"/>
    <w:rsid w:val="00EA0512"/>
    <w:rsid w:val="00EB30F5"/>
    <w:rsid w:val="00EB5C8B"/>
    <w:rsid w:val="00EC3CC1"/>
    <w:rsid w:val="00EC47CA"/>
    <w:rsid w:val="00ED1BD9"/>
    <w:rsid w:val="00ED263C"/>
    <w:rsid w:val="00ED2A92"/>
    <w:rsid w:val="00ED503D"/>
    <w:rsid w:val="00EE11FD"/>
    <w:rsid w:val="00EE1D07"/>
    <w:rsid w:val="00EF6CAF"/>
    <w:rsid w:val="00F07F2C"/>
    <w:rsid w:val="00F13235"/>
    <w:rsid w:val="00F1494E"/>
    <w:rsid w:val="00F23798"/>
    <w:rsid w:val="00F260AC"/>
    <w:rsid w:val="00F26DFB"/>
    <w:rsid w:val="00F27043"/>
    <w:rsid w:val="00F32C54"/>
    <w:rsid w:val="00F32E6E"/>
    <w:rsid w:val="00F4263A"/>
    <w:rsid w:val="00F47E96"/>
    <w:rsid w:val="00F50A3A"/>
    <w:rsid w:val="00F542A8"/>
    <w:rsid w:val="00F570FA"/>
    <w:rsid w:val="00F62A1E"/>
    <w:rsid w:val="00F64DB9"/>
    <w:rsid w:val="00F65513"/>
    <w:rsid w:val="00F85399"/>
    <w:rsid w:val="00F93183"/>
    <w:rsid w:val="00F952CD"/>
    <w:rsid w:val="00FA035F"/>
    <w:rsid w:val="00FA11C3"/>
    <w:rsid w:val="00FA686C"/>
    <w:rsid w:val="00FA6932"/>
    <w:rsid w:val="00FB3972"/>
    <w:rsid w:val="00FB70DE"/>
    <w:rsid w:val="00FC2BD1"/>
    <w:rsid w:val="00FD17C2"/>
    <w:rsid w:val="00FD634F"/>
    <w:rsid w:val="00FE0A7C"/>
    <w:rsid w:val="00FE2611"/>
    <w:rsid w:val="00FF2067"/>
    <w:rsid w:val="00FF3FB5"/>
    <w:rsid w:val="00FF3FFA"/>
    <w:rsid w:val="00FF5A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1728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84385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2166A4"/>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166A4"/>
    <w:pPr>
      <w:keepNext/>
      <w:spacing w:before="60" w:after="120"/>
      <w:outlineLvl w:val="2"/>
    </w:pPr>
    <w:rPr>
      <w:rFonts w:ascii="Arial" w:hAnsi="Arial"/>
      <w:b/>
      <w:color w:val="DA291C"/>
      <w:sz w:val="20"/>
    </w:rPr>
  </w:style>
  <w:style w:type="paragraph" w:styleId="Heading4">
    <w:name w:val="heading 4"/>
    <w:basedOn w:val="Normal"/>
    <w:next w:val="BodyText"/>
    <w:uiPriority w:val="99"/>
    <w:qFormat/>
    <w:rsid w:val="00453FE3"/>
    <w:pPr>
      <w:keepNext/>
      <w:numPr>
        <w:ilvl w:val="3"/>
        <w:numId w:val="4"/>
      </w:numPr>
      <w:spacing w:before="60" w:after="60"/>
      <w:outlineLvl w:val="3"/>
    </w:pPr>
    <w:rPr>
      <w:rFonts w:ascii="Arial" w:hAnsi="Arial"/>
      <w:b/>
      <w:sz w:val="20"/>
    </w:rPr>
  </w:style>
  <w:style w:type="paragraph" w:styleId="Heading5">
    <w:name w:val="heading 5"/>
    <w:aliases w:val="Heading 5 (business proposal only)"/>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aliases w:val="Heading 6 (business proposal only)"/>
    <w:basedOn w:val="Normal"/>
    <w:next w:val="Normal"/>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843857"/>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843857"/>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uiPriority w:val="35"/>
    <w:qFormat/>
    <w:rsid w:val="002166A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34514"/>
    <w:pPr>
      <w:spacing w:before="0" w:after="0"/>
    </w:pPr>
    <w:rPr>
      <w:sz w:val="18"/>
    </w:rPr>
  </w:style>
  <w:style w:type="paragraph" w:customStyle="1" w:styleId="ExhibitColumnHeader">
    <w:name w:val="Exhibit Column Header"/>
    <w:basedOn w:val="ExhibitRowHeader"/>
    <w:qFormat/>
    <w:rsid w:val="00534514"/>
    <w:pPr>
      <w:keepNext/>
      <w:spacing w:before="0" w:after="0" w:line="264" w:lineRule="auto"/>
    </w:pPr>
    <w:rPr>
      <w:rFonts w:eastAsia="Calibri"/>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character" w:customStyle="1" w:styleId="CommentTextChar">
    <w:name w:val="Comment Text Char"/>
    <w:link w:val="CommentText"/>
    <w:uiPriority w:val="99"/>
    <w:rsid w:val="002166A4"/>
  </w:style>
  <w:style w:type="paragraph" w:styleId="ListParagraph">
    <w:name w:val="List Paragraph"/>
    <w:basedOn w:val="Normal"/>
    <w:uiPriority w:val="99"/>
    <w:qFormat/>
    <w:rsid w:val="002166A4"/>
    <w:pPr>
      <w:spacing w:after="200" w:line="276" w:lineRule="auto"/>
      <w:ind w:left="720"/>
      <w:contextualSpacing/>
    </w:pPr>
    <w:rPr>
      <w:rFonts w:ascii="Calibri" w:hAnsi="Calibri"/>
      <w:szCs w:val="22"/>
    </w:rPr>
  </w:style>
  <w:style w:type="character" w:customStyle="1" w:styleId="BulletsChar">
    <w:name w:val="Bullets Char"/>
    <w:link w:val="Bullets"/>
    <w:locked/>
    <w:rsid w:val="002166A4"/>
    <w:rPr>
      <w:sz w:val="22"/>
    </w:rPr>
  </w:style>
  <w:style w:type="paragraph" w:customStyle="1" w:styleId="NormalSS">
    <w:name w:val="NormalSS"/>
    <w:basedOn w:val="Normal"/>
    <w:link w:val="NormalSSChar"/>
    <w:qFormat/>
    <w:rsid w:val="002166A4"/>
    <w:pPr>
      <w:tabs>
        <w:tab w:val="left" w:pos="432"/>
      </w:tabs>
      <w:spacing w:after="240" w:line="240" w:lineRule="auto"/>
      <w:ind w:firstLine="432"/>
      <w:jc w:val="both"/>
    </w:pPr>
    <w:rPr>
      <w:rFonts w:ascii="Garamond" w:hAnsi="Garamond"/>
      <w:sz w:val="24"/>
      <w:szCs w:val="24"/>
    </w:rPr>
  </w:style>
  <w:style w:type="character" w:customStyle="1" w:styleId="NormalSSChar">
    <w:name w:val="NormalSS Char"/>
    <w:basedOn w:val="DefaultParagraphFont"/>
    <w:link w:val="NormalSS"/>
    <w:rsid w:val="002166A4"/>
    <w:rPr>
      <w:rFonts w:ascii="Garamond" w:hAnsi="Garamond"/>
      <w:sz w:val="24"/>
      <w:szCs w:val="24"/>
    </w:rPr>
  </w:style>
  <w:style w:type="paragraph" w:styleId="Revision">
    <w:name w:val="Revision"/>
    <w:hidden/>
    <w:uiPriority w:val="99"/>
    <w:semiHidden/>
    <w:rsid w:val="002166A4"/>
    <w:rPr>
      <w:sz w:val="22"/>
    </w:rPr>
  </w:style>
  <w:style w:type="paragraph" w:customStyle="1" w:styleId="Exhibitbullets">
    <w:name w:val="Exhibit bullets"/>
    <w:basedOn w:val="ExhibitText"/>
    <w:qFormat/>
    <w:rsid w:val="00534514"/>
    <w:pPr>
      <w:numPr>
        <w:numId w:val="7"/>
      </w:numPr>
    </w:pPr>
  </w:style>
  <w:style w:type="character" w:customStyle="1" w:styleId="Heading1Char">
    <w:name w:val="Heading 1 Char"/>
    <w:link w:val="Heading1"/>
    <w:uiPriority w:val="9"/>
    <w:rsid w:val="003C0A01"/>
    <w:rPr>
      <w:rFonts w:ascii="Arial" w:hAnsi="Arial"/>
      <w:b/>
      <w:color w:val="FFFFFF"/>
      <w:kern w:val="28"/>
      <w:sz w:val="28"/>
      <w:shd w:val="clear" w:color="auto" w:fill="DA291C"/>
    </w:rPr>
  </w:style>
  <w:style w:type="character" w:customStyle="1" w:styleId="Heading2Char">
    <w:name w:val="Heading 2 Char"/>
    <w:link w:val="Heading2"/>
    <w:uiPriority w:val="9"/>
    <w:rsid w:val="003C0A01"/>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3C0A01"/>
    <w:rPr>
      <w:rFonts w:ascii="Arial" w:hAnsi="Arial"/>
      <w:b/>
      <w:color w:val="DA291C"/>
    </w:rPr>
  </w:style>
  <w:style w:type="paragraph" w:styleId="TableofFigures">
    <w:name w:val="table of figures"/>
    <w:basedOn w:val="Normal"/>
    <w:next w:val="Normal"/>
    <w:uiPriority w:val="99"/>
    <w:rsid w:val="00354170"/>
    <w:pPr>
      <w:spacing w:after="0"/>
    </w:pPr>
  </w:style>
  <w:style w:type="paragraph" w:customStyle="1" w:styleId="R2-ResBullet">
    <w:name w:val="R2-Res Bullet"/>
    <w:rsid w:val="009F618B"/>
    <w:pPr>
      <w:tabs>
        <w:tab w:val="left" w:pos="720"/>
      </w:tabs>
      <w:spacing w:line="240" w:lineRule="exact"/>
      <w:ind w:left="720" w:hanging="432"/>
      <w:jc w:val="both"/>
    </w:pPr>
    <w:rPr>
      <w:sz w:val="22"/>
    </w:rPr>
  </w:style>
  <w:style w:type="table" w:customStyle="1" w:styleId="AbtFinal">
    <w:name w:val="Abt Final"/>
    <w:basedOn w:val="TableNormal"/>
    <w:uiPriority w:val="99"/>
    <w:rsid w:val="00A1681D"/>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customStyle="1" w:styleId="TableSourceCaption">
    <w:name w:val="Table Source_Caption"/>
    <w:basedOn w:val="NormalSS"/>
    <w:uiPriority w:val="99"/>
    <w:rsid w:val="00DB6BF1"/>
    <w:pPr>
      <w:tabs>
        <w:tab w:val="clear" w:pos="432"/>
      </w:tabs>
      <w:spacing w:after="120"/>
      <w:ind w:left="1080" w:hanging="1080"/>
    </w:pPr>
    <w:rPr>
      <w:rFonts w:ascii="Lucida Sans" w:hAnsi="Lucida Sans"/>
      <w:sz w:val="18"/>
    </w:rPr>
  </w:style>
  <w:style w:type="character" w:customStyle="1" w:styleId="HeaderChar">
    <w:name w:val="Header Char"/>
    <w:basedOn w:val="DefaultParagraphFont"/>
    <w:link w:val="Header"/>
    <w:uiPriority w:val="99"/>
    <w:rsid w:val="00070A7A"/>
    <w:rPr>
      <w:rFonts w:ascii="Arial" w:hAnsi="Arial"/>
      <w:b/>
      <w:color w:val="595959" w:themeColor="text1" w:themeTint="A6"/>
      <w:sz w:val="24"/>
    </w:rPr>
  </w:style>
  <w:style w:type="character" w:styleId="FollowedHyperlink">
    <w:name w:val="FollowedHyperlink"/>
    <w:basedOn w:val="DefaultParagraphFont"/>
    <w:semiHidden/>
    <w:unhideWhenUsed/>
    <w:rsid w:val="007C65ED"/>
    <w:rPr>
      <w:color w:val="0070C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84385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2166A4"/>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166A4"/>
    <w:pPr>
      <w:keepNext/>
      <w:spacing w:before="60" w:after="120"/>
      <w:outlineLvl w:val="2"/>
    </w:pPr>
    <w:rPr>
      <w:rFonts w:ascii="Arial" w:hAnsi="Arial"/>
      <w:b/>
      <w:color w:val="DA291C"/>
      <w:sz w:val="20"/>
    </w:rPr>
  </w:style>
  <w:style w:type="paragraph" w:styleId="Heading4">
    <w:name w:val="heading 4"/>
    <w:basedOn w:val="Normal"/>
    <w:next w:val="BodyText"/>
    <w:uiPriority w:val="99"/>
    <w:qFormat/>
    <w:rsid w:val="00453FE3"/>
    <w:pPr>
      <w:keepNext/>
      <w:numPr>
        <w:ilvl w:val="3"/>
        <w:numId w:val="4"/>
      </w:numPr>
      <w:spacing w:before="60" w:after="60"/>
      <w:outlineLvl w:val="3"/>
    </w:pPr>
    <w:rPr>
      <w:rFonts w:ascii="Arial" w:hAnsi="Arial"/>
      <w:b/>
      <w:sz w:val="20"/>
    </w:rPr>
  </w:style>
  <w:style w:type="paragraph" w:styleId="Heading5">
    <w:name w:val="heading 5"/>
    <w:aliases w:val="Heading 5 (business proposal only)"/>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aliases w:val="Heading 6 (business proposal only)"/>
    <w:basedOn w:val="Normal"/>
    <w:next w:val="Normal"/>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843857"/>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843857"/>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uiPriority w:val="35"/>
    <w:qFormat/>
    <w:rsid w:val="002166A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34514"/>
    <w:pPr>
      <w:spacing w:before="0" w:after="0"/>
    </w:pPr>
    <w:rPr>
      <w:sz w:val="18"/>
    </w:rPr>
  </w:style>
  <w:style w:type="paragraph" w:customStyle="1" w:styleId="ExhibitColumnHeader">
    <w:name w:val="Exhibit Column Header"/>
    <w:basedOn w:val="ExhibitRowHeader"/>
    <w:qFormat/>
    <w:rsid w:val="00534514"/>
    <w:pPr>
      <w:keepNext/>
      <w:spacing w:before="0" w:after="0" w:line="264" w:lineRule="auto"/>
    </w:pPr>
    <w:rPr>
      <w:rFonts w:eastAsia="Calibri"/>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character" w:customStyle="1" w:styleId="CommentTextChar">
    <w:name w:val="Comment Text Char"/>
    <w:link w:val="CommentText"/>
    <w:uiPriority w:val="99"/>
    <w:rsid w:val="002166A4"/>
  </w:style>
  <w:style w:type="paragraph" w:styleId="ListParagraph">
    <w:name w:val="List Paragraph"/>
    <w:basedOn w:val="Normal"/>
    <w:uiPriority w:val="99"/>
    <w:qFormat/>
    <w:rsid w:val="002166A4"/>
    <w:pPr>
      <w:spacing w:after="200" w:line="276" w:lineRule="auto"/>
      <w:ind w:left="720"/>
      <w:contextualSpacing/>
    </w:pPr>
    <w:rPr>
      <w:rFonts w:ascii="Calibri" w:hAnsi="Calibri"/>
      <w:szCs w:val="22"/>
    </w:rPr>
  </w:style>
  <w:style w:type="character" w:customStyle="1" w:styleId="BulletsChar">
    <w:name w:val="Bullets Char"/>
    <w:link w:val="Bullets"/>
    <w:locked/>
    <w:rsid w:val="002166A4"/>
    <w:rPr>
      <w:sz w:val="22"/>
    </w:rPr>
  </w:style>
  <w:style w:type="paragraph" w:customStyle="1" w:styleId="NormalSS">
    <w:name w:val="NormalSS"/>
    <w:basedOn w:val="Normal"/>
    <w:link w:val="NormalSSChar"/>
    <w:qFormat/>
    <w:rsid w:val="002166A4"/>
    <w:pPr>
      <w:tabs>
        <w:tab w:val="left" w:pos="432"/>
      </w:tabs>
      <w:spacing w:after="240" w:line="240" w:lineRule="auto"/>
      <w:ind w:firstLine="432"/>
      <w:jc w:val="both"/>
    </w:pPr>
    <w:rPr>
      <w:rFonts w:ascii="Garamond" w:hAnsi="Garamond"/>
      <w:sz w:val="24"/>
      <w:szCs w:val="24"/>
    </w:rPr>
  </w:style>
  <w:style w:type="character" w:customStyle="1" w:styleId="NormalSSChar">
    <w:name w:val="NormalSS Char"/>
    <w:basedOn w:val="DefaultParagraphFont"/>
    <w:link w:val="NormalSS"/>
    <w:rsid w:val="002166A4"/>
    <w:rPr>
      <w:rFonts w:ascii="Garamond" w:hAnsi="Garamond"/>
      <w:sz w:val="24"/>
      <w:szCs w:val="24"/>
    </w:rPr>
  </w:style>
  <w:style w:type="paragraph" w:styleId="Revision">
    <w:name w:val="Revision"/>
    <w:hidden/>
    <w:uiPriority w:val="99"/>
    <w:semiHidden/>
    <w:rsid w:val="002166A4"/>
    <w:rPr>
      <w:sz w:val="22"/>
    </w:rPr>
  </w:style>
  <w:style w:type="paragraph" w:customStyle="1" w:styleId="Exhibitbullets">
    <w:name w:val="Exhibit bullets"/>
    <w:basedOn w:val="ExhibitText"/>
    <w:qFormat/>
    <w:rsid w:val="00534514"/>
    <w:pPr>
      <w:numPr>
        <w:numId w:val="7"/>
      </w:numPr>
    </w:pPr>
  </w:style>
  <w:style w:type="character" w:customStyle="1" w:styleId="Heading1Char">
    <w:name w:val="Heading 1 Char"/>
    <w:link w:val="Heading1"/>
    <w:uiPriority w:val="9"/>
    <w:rsid w:val="003C0A01"/>
    <w:rPr>
      <w:rFonts w:ascii="Arial" w:hAnsi="Arial"/>
      <w:b/>
      <w:color w:val="FFFFFF"/>
      <w:kern w:val="28"/>
      <w:sz w:val="28"/>
      <w:shd w:val="clear" w:color="auto" w:fill="DA291C"/>
    </w:rPr>
  </w:style>
  <w:style w:type="character" w:customStyle="1" w:styleId="Heading2Char">
    <w:name w:val="Heading 2 Char"/>
    <w:link w:val="Heading2"/>
    <w:uiPriority w:val="9"/>
    <w:rsid w:val="003C0A01"/>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3C0A01"/>
    <w:rPr>
      <w:rFonts w:ascii="Arial" w:hAnsi="Arial"/>
      <w:b/>
      <w:color w:val="DA291C"/>
    </w:rPr>
  </w:style>
  <w:style w:type="paragraph" w:styleId="TableofFigures">
    <w:name w:val="table of figures"/>
    <w:basedOn w:val="Normal"/>
    <w:next w:val="Normal"/>
    <w:uiPriority w:val="99"/>
    <w:rsid w:val="00354170"/>
    <w:pPr>
      <w:spacing w:after="0"/>
    </w:pPr>
  </w:style>
  <w:style w:type="paragraph" w:customStyle="1" w:styleId="R2-ResBullet">
    <w:name w:val="R2-Res Bullet"/>
    <w:rsid w:val="009F618B"/>
    <w:pPr>
      <w:tabs>
        <w:tab w:val="left" w:pos="720"/>
      </w:tabs>
      <w:spacing w:line="240" w:lineRule="exact"/>
      <w:ind w:left="720" w:hanging="432"/>
      <w:jc w:val="both"/>
    </w:pPr>
    <w:rPr>
      <w:sz w:val="22"/>
    </w:rPr>
  </w:style>
  <w:style w:type="table" w:customStyle="1" w:styleId="AbtFinal">
    <w:name w:val="Abt Final"/>
    <w:basedOn w:val="TableNormal"/>
    <w:uiPriority w:val="99"/>
    <w:rsid w:val="00A1681D"/>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customStyle="1" w:styleId="TableSourceCaption">
    <w:name w:val="Table Source_Caption"/>
    <w:basedOn w:val="NormalSS"/>
    <w:uiPriority w:val="99"/>
    <w:rsid w:val="00DB6BF1"/>
    <w:pPr>
      <w:tabs>
        <w:tab w:val="clear" w:pos="432"/>
      </w:tabs>
      <w:spacing w:after="120"/>
      <w:ind w:left="1080" w:hanging="1080"/>
    </w:pPr>
    <w:rPr>
      <w:rFonts w:ascii="Lucida Sans" w:hAnsi="Lucida Sans"/>
      <w:sz w:val="18"/>
    </w:rPr>
  </w:style>
  <w:style w:type="character" w:customStyle="1" w:styleId="HeaderChar">
    <w:name w:val="Header Char"/>
    <w:basedOn w:val="DefaultParagraphFont"/>
    <w:link w:val="Header"/>
    <w:uiPriority w:val="99"/>
    <w:rsid w:val="00070A7A"/>
    <w:rPr>
      <w:rFonts w:ascii="Arial" w:hAnsi="Arial"/>
      <w:b/>
      <w:color w:val="595959" w:themeColor="text1" w:themeTint="A6"/>
      <w:sz w:val="24"/>
    </w:rPr>
  </w:style>
  <w:style w:type="character" w:styleId="FollowedHyperlink">
    <w:name w:val="FollowedHyperlink"/>
    <w:basedOn w:val="DefaultParagraphFont"/>
    <w:semiHidden/>
    <w:unhideWhenUsed/>
    <w:rsid w:val="007C65ED"/>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1173">
      <w:bodyDiv w:val="1"/>
      <w:marLeft w:val="0"/>
      <w:marRight w:val="0"/>
      <w:marTop w:val="0"/>
      <w:marBottom w:val="0"/>
      <w:divBdr>
        <w:top w:val="none" w:sz="0" w:space="0" w:color="auto"/>
        <w:left w:val="none" w:sz="0" w:space="0" w:color="auto"/>
        <w:bottom w:val="none" w:sz="0" w:space="0" w:color="auto"/>
        <w:right w:val="none" w:sz="0" w:space="0" w:color="auto"/>
      </w:divBdr>
    </w:div>
    <w:div w:id="58361367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2" Type="http://schemas.openxmlformats.org/officeDocument/2006/relationships/hyperlink" Target="http://www.asasrms.org/Proceedings/y2015/files/234231.pdf" TargetMode="External"/><Relationship Id="rId1" Type="http://schemas.openxmlformats.org/officeDocument/2006/relationships/hyperlink" Target="http://ies.ed.gov/ncee/pdf/20090049.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C2A61-AEF8-4DCA-AE7B-915066BD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4044</Words>
  <Characters>23056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27046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SYSTEM</cp:lastModifiedBy>
  <cp:revision>2</cp:revision>
  <cp:lastPrinted>2016-03-29T17:27:00Z</cp:lastPrinted>
  <dcterms:created xsi:type="dcterms:W3CDTF">2019-04-10T16:53:00Z</dcterms:created>
  <dcterms:modified xsi:type="dcterms:W3CDTF">2019-04-10T16:53:00Z</dcterms:modified>
  <cp:category>Templates</cp:category>
</cp:coreProperties>
</file>