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3026B" w14:textId="341A31E5" w:rsidR="005B6ACF" w:rsidRDefault="00BF4EBF" w:rsidP="005B6ACF">
      <w:pPr>
        <w:pStyle w:val="Heading1"/>
        <w:numPr>
          <w:ilvl w:val="0"/>
          <w:numId w:val="0"/>
        </w:numPr>
        <w:spacing w:after="200"/>
      </w:pPr>
      <w:bookmarkStart w:id="0" w:name="_Toc508364254"/>
      <w:bookmarkStart w:id="1" w:name="_GoBack"/>
      <w:bookmarkEnd w:id="1"/>
      <w:r w:rsidRPr="00BF4EBF">
        <w:t>Cascades Job Corps College and Career Academy (CCCA) Pilot program Evaluation</w:t>
      </w:r>
      <w:r>
        <w:t xml:space="preserve">.  </w:t>
      </w:r>
      <w:r w:rsidR="005B6ACF" w:rsidRPr="001034D3">
        <w:t xml:space="preserve">Part A: </w:t>
      </w:r>
      <w:r w:rsidR="00C8728A">
        <w:t xml:space="preserve">Supporting Statement for Paperwork Reduction Act Submission: </w:t>
      </w:r>
      <w:r w:rsidR="00BE0770">
        <w:rPr>
          <w:szCs w:val="22"/>
        </w:rPr>
        <w:t>18-Month Follow-Up S</w:t>
      </w:r>
      <w:r w:rsidR="00BE0770" w:rsidRPr="00551B24">
        <w:rPr>
          <w:szCs w:val="22"/>
        </w:rPr>
        <w:t>urvey</w:t>
      </w:r>
      <w:bookmarkEnd w:id="0"/>
    </w:p>
    <w:p w14:paraId="42C08CD3" w14:textId="77777777" w:rsidR="00BB5141" w:rsidRPr="00236B01" w:rsidRDefault="00BB5141" w:rsidP="00236B01">
      <w:pPr>
        <w:pStyle w:val="Heading2"/>
      </w:pPr>
      <w:bookmarkStart w:id="2" w:name="_Toc508364255"/>
      <w:r>
        <w:t>Overview</w:t>
      </w:r>
      <w:bookmarkEnd w:id="2"/>
    </w:p>
    <w:p w14:paraId="6FE75F34" w14:textId="77777777" w:rsidR="007F3520" w:rsidRDefault="00AB7A6D" w:rsidP="00236B01">
      <w:pPr>
        <w:pStyle w:val="BodyText"/>
      </w:pPr>
      <w:r w:rsidRPr="00AB7A6D">
        <w:t xml:space="preserve">The </w:t>
      </w:r>
      <w:r w:rsidR="00451CCE">
        <w:t xml:space="preserve">U. S. </w:t>
      </w:r>
      <w:r w:rsidRPr="00AB7A6D">
        <w:t xml:space="preserve">Department of Labor (DOL) contracted with Abt Associates (in partnership with </w:t>
      </w:r>
      <w:r w:rsidR="003610EC">
        <w:t>MDRC</w:t>
      </w:r>
      <w:r w:rsidRPr="00AB7A6D">
        <w:t xml:space="preserve">) to conduct an evaluation of the </w:t>
      </w:r>
      <w:r w:rsidR="003610EC" w:rsidRPr="003610EC">
        <w:t>Cascades Job Corps College and Career Academy Pilot</w:t>
      </w:r>
      <w:r w:rsidRPr="00AB7A6D">
        <w:t xml:space="preserve"> program</w:t>
      </w:r>
      <w:r w:rsidR="00B9307B">
        <w:t>. As required</w:t>
      </w:r>
      <w:r>
        <w:t xml:space="preserve"> under the Paperwork Reduction Act</w:t>
      </w:r>
      <w:r w:rsidR="00696796">
        <w:t>,</w:t>
      </w:r>
      <w:r w:rsidR="00B9307B">
        <w:t xml:space="preserve"> DOL is seeking approval from </w:t>
      </w:r>
      <w:r w:rsidR="00451CCE">
        <w:t>the Office of Management and Budget (</w:t>
      </w:r>
      <w:r w:rsidR="00B9307B">
        <w:t>OMB</w:t>
      </w:r>
      <w:r w:rsidR="00451CCE">
        <w:t>)</w:t>
      </w:r>
      <w:r>
        <w:t xml:space="preserve"> for data collection instruments associated with the evaluation</w:t>
      </w:r>
      <w:r w:rsidRPr="00AB7A6D">
        <w:t xml:space="preserve">. </w:t>
      </w:r>
      <w:r w:rsidR="001242E8">
        <w:t xml:space="preserve">The Job Corps program is the </w:t>
      </w:r>
      <w:r w:rsidR="00451CCE">
        <w:t>F</w:t>
      </w:r>
      <w:r w:rsidR="001242E8">
        <w:t xml:space="preserve">ederal government’s largest investment in residential job training for disadvantaged youth. </w:t>
      </w:r>
      <w:r w:rsidR="00ED2B55" w:rsidRPr="00AB7A6D">
        <w:t xml:space="preserve">The </w:t>
      </w:r>
      <w:r w:rsidR="003610EC">
        <w:t>pilot</w:t>
      </w:r>
      <w:r w:rsidR="00ED2B55">
        <w:t xml:space="preserve"> program </w:t>
      </w:r>
      <w:r w:rsidR="003610EC">
        <w:t xml:space="preserve">will test innovative and promising models that could improve outcomes for </w:t>
      </w:r>
      <w:r w:rsidR="00451CCE">
        <w:t>students;</w:t>
      </w:r>
      <w:r w:rsidR="003610EC">
        <w:t xml:space="preserve"> particularly youth</w:t>
      </w:r>
      <w:r w:rsidR="00451CCE">
        <w:t>,</w:t>
      </w:r>
      <w:r w:rsidR="003610EC">
        <w:t xml:space="preserve"> ages 16-2</w:t>
      </w:r>
      <w:r w:rsidR="001242E8">
        <w:t>1</w:t>
      </w:r>
      <w:r w:rsidR="00ED2B55">
        <w:t>.</w:t>
      </w:r>
      <w:r w:rsidR="00F74136">
        <w:t xml:space="preserve"> </w:t>
      </w:r>
      <w:r w:rsidR="007F3520">
        <w:t xml:space="preserve">The evaluation, funded by </w:t>
      </w:r>
      <w:r w:rsidR="006103E6">
        <w:t>DOL</w:t>
      </w:r>
      <w:r w:rsidR="007F3520">
        <w:t xml:space="preserve">, </w:t>
      </w:r>
      <w:r>
        <w:t>will use</w:t>
      </w:r>
      <w:r w:rsidR="007F3520">
        <w:t xml:space="preserve"> </w:t>
      </w:r>
      <w:r w:rsidR="00091A28">
        <w:t>multiple</w:t>
      </w:r>
      <w:r w:rsidR="007F3520">
        <w:t xml:space="preserve"> approach</w:t>
      </w:r>
      <w:r w:rsidR="00091A28">
        <w:t>es</w:t>
      </w:r>
      <w:r w:rsidR="007F3520">
        <w:t xml:space="preserve"> including </w:t>
      </w:r>
      <w:r w:rsidR="00ED2B55">
        <w:t xml:space="preserve">an </w:t>
      </w:r>
      <w:r w:rsidR="007F3520">
        <w:t>im</w:t>
      </w:r>
      <w:r w:rsidR="00ED2B55">
        <w:t>pact study</w:t>
      </w:r>
      <w:r w:rsidR="00F74136">
        <w:t xml:space="preserve"> and implementation analysis</w:t>
      </w:r>
      <w:r w:rsidR="00ED2B55">
        <w:t xml:space="preserve"> of </w:t>
      </w:r>
      <w:r w:rsidR="00F74136">
        <w:t>the Cascades Job Corps College and Career Academy (CCCA) pilot program.</w:t>
      </w:r>
      <w:r w:rsidR="007F3520">
        <w:t xml:space="preserve">  </w:t>
      </w:r>
    </w:p>
    <w:p w14:paraId="1A3C44F4" w14:textId="77777777" w:rsidR="005A4A24" w:rsidRDefault="005A4A24" w:rsidP="005A4A24">
      <w:pPr>
        <w:pStyle w:val="BodyText"/>
      </w:pPr>
      <w:r>
        <w:t xml:space="preserve">OMB approved initial data collection activities for the CCCA Evaluation under OMB control number </w:t>
      </w:r>
      <w:r w:rsidR="006E3D4B">
        <w:t xml:space="preserve">1290-0012 </w:t>
      </w:r>
      <w:r>
        <w:t xml:space="preserve">(approved on </w:t>
      </w:r>
      <w:r w:rsidR="006E3D4B">
        <w:t>February 6, 2017</w:t>
      </w:r>
      <w:r>
        <w:t>). Those approved data collection activities included the baseline information form to support the impact study, tracking data to support the planned 18-month follow-up survey, and stakeholder interview and student focus groups to support the implementation study.</w:t>
      </w:r>
    </w:p>
    <w:p w14:paraId="152E103F" w14:textId="77777777" w:rsidR="005A4A24" w:rsidRPr="00C224BA" w:rsidRDefault="005A4A24" w:rsidP="005A4A24">
      <w:pPr>
        <w:pStyle w:val="BodyText"/>
      </w:pPr>
      <w:r>
        <w:t>This supporting statement is</w:t>
      </w:r>
      <w:r w:rsidRPr="00220515">
        <w:t xml:space="preserve"> the </w:t>
      </w:r>
      <w:r>
        <w:t>second</w:t>
      </w:r>
      <w:r w:rsidRPr="00220515">
        <w:t xml:space="preserve"> </w:t>
      </w:r>
      <w:r>
        <w:t xml:space="preserve">OMB submission regarding </w:t>
      </w:r>
      <w:r w:rsidRPr="00220515">
        <w:t xml:space="preserve">data collection activities for </w:t>
      </w:r>
      <w:r>
        <w:t xml:space="preserve">the evaluation of the CCCA pilot. </w:t>
      </w:r>
      <w:r w:rsidR="00237A0F">
        <w:t>DOL</w:t>
      </w:r>
      <w:r>
        <w:t xml:space="preserve"> is seeking clearance in this submission for the 18-month follow-up survey</w:t>
      </w:r>
      <w:r w:rsidRPr="006E3D4B">
        <w:t xml:space="preserve">. The survey will provide critical information on the experiences and educational and economic outcomes for both treatment and control members. Specific outcomes to be considered include the receipt of training and related supports, receipt of credentials, </w:t>
      </w:r>
      <w:r w:rsidR="006E3D4B" w:rsidRPr="006E3D4B">
        <w:t>employment</w:t>
      </w:r>
      <w:r w:rsidRPr="006E3D4B">
        <w:t xml:space="preserve">, </w:t>
      </w:r>
      <w:r w:rsidR="006E3D4B" w:rsidRPr="006E3D4B">
        <w:t xml:space="preserve">socio-emotional skills, engagement in risky behaviors, </w:t>
      </w:r>
      <w:r w:rsidRPr="006E3D4B">
        <w:t>receipt of public benefits,</w:t>
      </w:r>
      <w:r w:rsidR="006E3D4B" w:rsidRPr="006E3D4B">
        <w:t xml:space="preserve"> and </w:t>
      </w:r>
      <w:r w:rsidRPr="006E3D4B">
        <w:t xml:space="preserve">opinions on the </w:t>
      </w:r>
      <w:r w:rsidR="006E3D4B" w:rsidRPr="006E3D4B">
        <w:t xml:space="preserve">education and training </w:t>
      </w:r>
      <w:r w:rsidRPr="006E3D4B">
        <w:t xml:space="preserve">services </w:t>
      </w:r>
      <w:r w:rsidR="006E3D4B" w:rsidRPr="006E3D4B">
        <w:t>received</w:t>
      </w:r>
      <w:r w:rsidRPr="006E3D4B">
        <w:t>.</w:t>
      </w:r>
      <w:r w:rsidRPr="00EC3BA2">
        <w:t xml:space="preserve"> </w:t>
      </w:r>
    </w:p>
    <w:p w14:paraId="2331FEEE" w14:textId="77777777" w:rsidR="006F299B" w:rsidRDefault="006F299B" w:rsidP="006F299B">
      <w:pPr>
        <w:pStyle w:val="Heading2"/>
      </w:pPr>
      <w:bookmarkStart w:id="3" w:name="_Toc508364256"/>
      <w:r w:rsidRPr="00220515">
        <w:t>A</w:t>
      </w:r>
      <w:r w:rsidR="00626051">
        <w:t>.</w:t>
      </w:r>
      <w:r w:rsidRPr="00220515">
        <w:t xml:space="preserve">1: Necessity for the </w:t>
      </w:r>
      <w:r w:rsidR="00222854">
        <w:t>D</w:t>
      </w:r>
      <w:r w:rsidRPr="00220515">
        <w:t xml:space="preserve">ata </w:t>
      </w:r>
      <w:r w:rsidR="00222854">
        <w:t>C</w:t>
      </w:r>
      <w:r w:rsidRPr="00220515">
        <w:t>ollection</w:t>
      </w:r>
      <w:bookmarkEnd w:id="3"/>
    </w:p>
    <w:p w14:paraId="500DB339" w14:textId="77777777" w:rsidR="00E770A4" w:rsidRDefault="005B127F" w:rsidP="00236B01">
      <w:pPr>
        <w:pStyle w:val="BodyText"/>
      </w:pPr>
      <w:r w:rsidRPr="00A01FE0">
        <w:t xml:space="preserve">The </w:t>
      </w:r>
      <w:r w:rsidR="007D5ACF" w:rsidRPr="00A01FE0">
        <w:t>Workforce Innovation and Opportunity Act (WIOA) of 2014 authorize</w:t>
      </w:r>
      <w:r w:rsidR="007D5ACF">
        <w:t>s</w:t>
      </w:r>
      <w:r w:rsidR="007D5ACF" w:rsidRPr="00A01FE0">
        <w:t xml:space="preserve"> the Job Corps program</w:t>
      </w:r>
      <w:r w:rsidR="004A54F1">
        <w:t xml:space="preserve"> (P.L. 113-128)</w:t>
      </w:r>
      <w:r w:rsidR="00551B24">
        <w:t>. T</w:t>
      </w:r>
      <w:r w:rsidRPr="00A01FE0">
        <w:t xml:space="preserve">he </w:t>
      </w:r>
      <w:r w:rsidR="00287C26">
        <w:t>Consolidated Appropriations Act</w:t>
      </w:r>
      <w:r w:rsidR="004A54F1">
        <w:t xml:space="preserve"> in</w:t>
      </w:r>
      <w:r w:rsidR="00DC2510">
        <w:t xml:space="preserve"> </w:t>
      </w:r>
      <w:r w:rsidR="00287C26">
        <w:t>201</w:t>
      </w:r>
      <w:r w:rsidR="00BA14E5">
        <w:t>7</w:t>
      </w:r>
      <w:r w:rsidRPr="00A01FE0">
        <w:t xml:space="preserve"> </w:t>
      </w:r>
      <w:r w:rsidR="00287C26">
        <w:t>(P.L. 11</w:t>
      </w:r>
      <w:r w:rsidR="00BA14E5">
        <w:t>5-31</w:t>
      </w:r>
      <w:r w:rsidR="00287C26">
        <w:t xml:space="preserve">) </w:t>
      </w:r>
      <w:r w:rsidRPr="00A01FE0">
        <w:t xml:space="preserve">appropriated </w:t>
      </w:r>
      <w:r w:rsidR="00287C26">
        <w:t xml:space="preserve">about </w:t>
      </w:r>
      <w:r w:rsidRPr="00A01FE0">
        <w:t>$</w:t>
      </w:r>
      <w:r w:rsidR="00287C26">
        <w:t>1.7 billion</w:t>
      </w:r>
      <w:r w:rsidRPr="00A01FE0">
        <w:t xml:space="preserve"> </w:t>
      </w:r>
      <w:r w:rsidR="00551B24">
        <w:t xml:space="preserve">to fund </w:t>
      </w:r>
      <w:r w:rsidR="004A54F1">
        <w:t>Job Corps</w:t>
      </w:r>
      <w:r w:rsidR="00551B24">
        <w:t xml:space="preserve"> </w:t>
      </w:r>
      <w:r w:rsidR="00E770A4">
        <w:t xml:space="preserve">for </w:t>
      </w:r>
      <w:r w:rsidR="00287C26">
        <w:t>Program</w:t>
      </w:r>
      <w:r w:rsidRPr="00A01FE0">
        <w:t xml:space="preserve"> Year </w:t>
      </w:r>
      <w:r w:rsidR="00237A0F">
        <w:t>2017</w:t>
      </w:r>
      <w:r w:rsidRPr="00A01FE0">
        <w:t xml:space="preserve">. The program aims to </w:t>
      </w:r>
      <w:r>
        <w:t xml:space="preserve">address the multiple barriers to employment faced by low-income youth </w:t>
      </w:r>
      <w:r w:rsidR="00E770A4">
        <w:t xml:space="preserve">ages 16-24 </w:t>
      </w:r>
      <w:r>
        <w:t>throughout the United States.</w:t>
      </w:r>
      <w:r w:rsidR="00E770A4">
        <w:t xml:space="preserve"> Research has shown that while the program increases education and earnings of </w:t>
      </w:r>
      <w:r w:rsidR="005D1063">
        <w:t>students</w:t>
      </w:r>
      <w:r w:rsidR="00E770A4">
        <w:t xml:space="preserve">, it is more beneficial for </w:t>
      </w:r>
      <w:r w:rsidR="00174AC3">
        <w:t>older students (i.e., age 20 and older)</w:t>
      </w:r>
      <w:r w:rsidR="00E770A4">
        <w:t xml:space="preserve"> than for younger </w:t>
      </w:r>
      <w:r w:rsidR="005D1063">
        <w:t>students</w:t>
      </w:r>
      <w:r w:rsidR="00E770A4">
        <w:t>.</w:t>
      </w:r>
      <w:r w:rsidR="00714178">
        <w:rPr>
          <w:rStyle w:val="FootnoteReference"/>
        </w:rPr>
        <w:footnoteReference w:id="1"/>
      </w:r>
      <w:r w:rsidR="00E770A4">
        <w:t xml:space="preserve"> </w:t>
      </w:r>
    </w:p>
    <w:p w14:paraId="38A1657A" w14:textId="77777777" w:rsidR="005B127F" w:rsidRPr="00A01FE0" w:rsidRDefault="00E770A4" w:rsidP="00236B01">
      <w:pPr>
        <w:pStyle w:val="BodyText"/>
      </w:pPr>
      <w:r>
        <w:t>To strengthen program</w:t>
      </w:r>
      <w:r w:rsidR="00830B9A">
        <w:t xml:space="preserve"> outcomes</w:t>
      </w:r>
      <w:r>
        <w:t>, DOL committed to using Job Corps’ demonstration authority to test and evaluat</w:t>
      </w:r>
      <w:r w:rsidR="00830B9A">
        <w:t>e</w:t>
      </w:r>
      <w:r>
        <w:t xml:space="preserve"> innovative and promising models</w:t>
      </w:r>
      <w:r w:rsidR="00830B9A">
        <w:t>, and measure impacts on</w:t>
      </w:r>
      <w:r>
        <w:t xml:space="preserve"> outcomes for these youth.</w:t>
      </w:r>
      <w:r w:rsidR="005B127F">
        <w:t xml:space="preserve"> </w:t>
      </w:r>
      <w:r>
        <w:t>As such, t</w:t>
      </w:r>
      <w:r w:rsidR="005B127F">
        <w:t xml:space="preserve">he </w:t>
      </w:r>
      <w:r w:rsidR="00830B9A">
        <w:t xml:space="preserve">program </w:t>
      </w:r>
      <w:r>
        <w:t>contract</w:t>
      </w:r>
      <w:r w:rsidR="005B127F">
        <w:t xml:space="preserve"> (DOL-ETA-16-H-0010) </w:t>
      </w:r>
      <w:r w:rsidR="00830B9A">
        <w:t xml:space="preserve">to operate the CCCA pilot </w:t>
      </w:r>
      <w:r w:rsidR="005B127F">
        <w:t xml:space="preserve">required </w:t>
      </w:r>
      <w:r w:rsidR="00CA0681">
        <w:t>participation</w:t>
      </w:r>
      <w:r w:rsidR="005B127F">
        <w:t xml:space="preserve"> in an </w:t>
      </w:r>
      <w:r w:rsidR="005B127F">
        <w:lastRenderedPageBreak/>
        <w:t xml:space="preserve">independent, third-party evaluation. </w:t>
      </w:r>
      <w:r w:rsidR="00830B9A">
        <w:t>Participation in third-party</w:t>
      </w:r>
      <w:r w:rsidR="00830B9A" w:rsidRPr="00A01FE0">
        <w:t xml:space="preserve"> </w:t>
      </w:r>
      <w:r w:rsidR="005B127F" w:rsidRPr="00A01FE0">
        <w:t>evaluation activities will assist DOL in identifying</w:t>
      </w:r>
      <w:r w:rsidR="00830B9A">
        <w:t xml:space="preserve"> and studying promising</w:t>
      </w:r>
      <w:r w:rsidR="005B127F" w:rsidRPr="00A01FE0">
        <w:t xml:space="preserve"> evidence-based </w:t>
      </w:r>
      <w:r w:rsidR="005B127F">
        <w:t xml:space="preserve">strategies </w:t>
      </w:r>
      <w:r w:rsidR="005B127F" w:rsidRPr="00A01FE0">
        <w:t xml:space="preserve">for </w:t>
      </w:r>
      <w:r w:rsidR="00051267">
        <w:t xml:space="preserve">younger (ages 16-21) </w:t>
      </w:r>
      <w:r w:rsidR="005B127F">
        <w:t xml:space="preserve">Job Corps </w:t>
      </w:r>
      <w:r w:rsidR="005D1063">
        <w:t>students</w:t>
      </w:r>
      <w:r w:rsidR="005B127F" w:rsidRPr="00A01FE0">
        <w:t>.</w:t>
      </w:r>
      <w:r w:rsidR="005F239C">
        <w:t xml:space="preserve"> The strategies tested by this evaluation will be those implemented by the CCCA contractor </w:t>
      </w:r>
      <w:r w:rsidR="005F239C" w:rsidRPr="008C3069">
        <w:t>and incl</w:t>
      </w:r>
      <w:r w:rsidR="00051267" w:rsidRPr="008C3069">
        <w:t xml:space="preserve">ude career pathways </w:t>
      </w:r>
      <w:r w:rsidR="00830B9A">
        <w:t>models for the IT and Healthcare sectors</w:t>
      </w:r>
      <w:r w:rsidR="00237A0F">
        <w:t>, sector-</w:t>
      </w:r>
      <w:r w:rsidR="00830B9A">
        <w:t xml:space="preserve">specific </w:t>
      </w:r>
      <w:r w:rsidR="005F239C" w:rsidRPr="008C3069">
        <w:t>training</w:t>
      </w:r>
      <w:r w:rsidR="00051267" w:rsidRPr="008C3069">
        <w:t>, partnerships with local community colleges, instruction in life skills, and a Student-Centered Design</w:t>
      </w:r>
      <w:r w:rsidR="00830B9A">
        <w:t>. These new and innovative strategies</w:t>
      </w:r>
      <w:r w:rsidR="00051267" w:rsidRPr="008C3069">
        <w:t xml:space="preserve"> intend to improve student engagement and </w:t>
      </w:r>
      <w:r w:rsidR="00974090" w:rsidRPr="008C3069">
        <w:t xml:space="preserve">retention </w:t>
      </w:r>
      <w:r w:rsidR="00051267" w:rsidRPr="008C3069">
        <w:t xml:space="preserve">through </w:t>
      </w:r>
      <w:r w:rsidR="0011398A">
        <w:t>efforts to build</w:t>
      </w:r>
      <w:r w:rsidR="0011398A" w:rsidRPr="008C3069">
        <w:t xml:space="preserve"> </w:t>
      </w:r>
      <w:r w:rsidR="0011398A">
        <w:t xml:space="preserve">student centered </w:t>
      </w:r>
      <w:r w:rsidR="00051267" w:rsidRPr="008C3069">
        <w:t xml:space="preserve">ownership, instill a </w:t>
      </w:r>
      <w:r w:rsidR="0011398A">
        <w:t xml:space="preserve">student-led </w:t>
      </w:r>
      <w:r w:rsidR="00051267" w:rsidRPr="008C3069">
        <w:t xml:space="preserve">community, and </w:t>
      </w:r>
      <w:r w:rsidR="0011398A">
        <w:t xml:space="preserve">move students into </w:t>
      </w:r>
      <w:r w:rsidR="00051267" w:rsidRPr="008C3069">
        <w:t>successful</w:t>
      </w:r>
      <w:r w:rsidR="0011398A">
        <w:t xml:space="preserve"> career pathways</w:t>
      </w:r>
      <w:r w:rsidR="005F239C" w:rsidRPr="008C3069">
        <w:t>.</w:t>
      </w:r>
      <w:r w:rsidR="005F239C">
        <w:t xml:space="preserve"> </w:t>
      </w:r>
      <w:r w:rsidR="005B127F" w:rsidRPr="00A01FE0">
        <w:t xml:space="preserve"> </w:t>
      </w:r>
    </w:p>
    <w:p w14:paraId="22BED602" w14:textId="77777777" w:rsidR="005B127F" w:rsidRDefault="005B127F" w:rsidP="00236B01">
      <w:pPr>
        <w:pStyle w:val="BodyText"/>
      </w:pPr>
      <w:r>
        <w:t>This evaluation is designed to answer research questions</w:t>
      </w:r>
      <w:r w:rsidR="00E91EBD">
        <w:t xml:space="preserve"> related to an implementation analysis, a process and client flow analysis, a service contrast analysis, and an impact analysis. Research questions include (but are not limited to) the following</w:t>
      </w:r>
      <w:r>
        <w:t xml:space="preserve">: </w:t>
      </w:r>
    </w:p>
    <w:p w14:paraId="0E24D8A8" w14:textId="77777777" w:rsidR="0069204D" w:rsidRDefault="000F18A0" w:rsidP="000F18A0">
      <w:pPr>
        <w:pStyle w:val="Bullets"/>
      </w:pPr>
      <w:r w:rsidRPr="000F18A0">
        <w:rPr>
          <w:b/>
        </w:rPr>
        <w:t xml:space="preserve">Implementation Analysis: How </w:t>
      </w:r>
      <w:r w:rsidR="005316B2">
        <w:rPr>
          <w:b/>
        </w:rPr>
        <w:t>i</w:t>
      </w:r>
      <w:r w:rsidR="005316B2" w:rsidRPr="000F18A0">
        <w:rPr>
          <w:b/>
        </w:rPr>
        <w:t xml:space="preserve">s </w:t>
      </w:r>
      <w:r w:rsidRPr="000F18A0">
        <w:rPr>
          <w:b/>
        </w:rPr>
        <w:t xml:space="preserve">the CCCA model </w:t>
      </w:r>
      <w:r w:rsidR="005316B2">
        <w:rPr>
          <w:b/>
        </w:rPr>
        <w:t xml:space="preserve">being </w:t>
      </w:r>
      <w:r w:rsidRPr="000F18A0">
        <w:rPr>
          <w:b/>
        </w:rPr>
        <w:t xml:space="preserve">implemented? </w:t>
      </w:r>
      <w:r>
        <w:t>Specifically</w:t>
      </w:r>
      <w:r w:rsidR="005316B2">
        <w:t>, h</w:t>
      </w:r>
      <w:r w:rsidR="005B127F" w:rsidRPr="00BA5729">
        <w:t xml:space="preserve">ow were the components </w:t>
      </w:r>
      <w:r w:rsidR="00697292">
        <w:t xml:space="preserve">of the pilot program </w:t>
      </w:r>
      <w:r w:rsidR="005B127F" w:rsidRPr="00BA5729">
        <w:t>operationalized and the program implemented?</w:t>
      </w:r>
      <w:r w:rsidR="005B127F" w:rsidRPr="006B1969">
        <w:t xml:space="preserve"> </w:t>
      </w:r>
      <w:r w:rsidR="00A00CA8">
        <w:t xml:space="preserve">(e.g. </w:t>
      </w:r>
      <w:r w:rsidR="005B137C">
        <w:t>H</w:t>
      </w:r>
      <w:r w:rsidR="0069204D" w:rsidRPr="0069204D">
        <w:t>ow were youth recruited and screened for the program?</w:t>
      </w:r>
      <w:r w:rsidR="00A00CA8">
        <w:t xml:space="preserve"> </w:t>
      </w:r>
      <w:r w:rsidR="0069204D" w:rsidRPr="0069204D">
        <w:t xml:space="preserve">How did staff interact with </w:t>
      </w:r>
      <w:r w:rsidR="009F3E6A">
        <w:t>students</w:t>
      </w:r>
      <w:r w:rsidR="0069204D">
        <w:t xml:space="preserve">, </w:t>
      </w:r>
      <w:r w:rsidR="0069204D" w:rsidRPr="0069204D">
        <w:t xml:space="preserve">and how were </w:t>
      </w:r>
      <w:r w:rsidR="005D1063">
        <w:t xml:space="preserve">students </w:t>
      </w:r>
      <w:r w:rsidR="0069204D" w:rsidRPr="0069204D">
        <w:t xml:space="preserve">involved in the operations of the </w:t>
      </w:r>
      <w:r w:rsidR="0069204D">
        <w:t>C</w:t>
      </w:r>
      <w:r w:rsidR="00431ABE">
        <w:t>CCA pilot</w:t>
      </w:r>
      <w:r w:rsidR="0069204D">
        <w:t xml:space="preserve"> program</w:t>
      </w:r>
      <w:r w:rsidR="0069204D" w:rsidRPr="0069204D">
        <w:t>?</w:t>
      </w:r>
      <w:r w:rsidR="00A00CA8">
        <w:t xml:space="preserve"> </w:t>
      </w:r>
      <w:r w:rsidR="0069204D" w:rsidRPr="0069204D">
        <w:t xml:space="preserve">What factors influenced </w:t>
      </w:r>
      <w:r w:rsidR="0069204D">
        <w:t xml:space="preserve">program </w:t>
      </w:r>
      <w:r w:rsidR="0069204D" w:rsidRPr="0069204D">
        <w:t>implementation?</w:t>
      </w:r>
      <w:r w:rsidR="00A00CA8">
        <w:t xml:space="preserve"> </w:t>
      </w:r>
      <w:r w:rsidR="0069204D" w:rsidRPr="0069204D">
        <w:t>What challenges did the program face in implementation and how were those challenges overcome?</w:t>
      </w:r>
      <w:r w:rsidR="00A00CA8" w:rsidRPr="00A00CA8">
        <w:t xml:space="preserve"> What implementation practices appear promising for replication</w:t>
      </w:r>
      <w:r w:rsidR="00E91EBD">
        <w:t xml:space="preserve">? </w:t>
      </w:r>
    </w:p>
    <w:p w14:paraId="369854E9" w14:textId="77777777" w:rsidR="00E91EBD" w:rsidRPr="00A84BD1" w:rsidRDefault="000F18A0" w:rsidP="000F18A0">
      <w:pPr>
        <w:pStyle w:val="Bullets"/>
      </w:pPr>
      <w:r w:rsidRPr="000F18A0">
        <w:rPr>
          <w:b/>
        </w:rPr>
        <w:t xml:space="preserve">Process/Client Flow Analysis: How do program students flow through and experience the CCCA model? </w:t>
      </w:r>
      <w:r>
        <w:t>Specifically</w:t>
      </w:r>
      <w:r w:rsidR="005316B2">
        <w:t>, w</w:t>
      </w:r>
      <w:r w:rsidR="00E91EBD" w:rsidRPr="00A84BD1">
        <w:t>hile at CCCA, did students gain literacy and math skills? While at CCCA, what percentage and which types of students achi</w:t>
      </w:r>
      <w:r w:rsidR="00E91EBD">
        <w:t xml:space="preserve">eved various program milestones, including GED attainment, attendance at a community college, </w:t>
      </w:r>
      <w:r w:rsidR="00E91EBD" w:rsidRPr="00A84BD1">
        <w:t>industry-recognized credential</w:t>
      </w:r>
      <w:r w:rsidR="00E91EBD">
        <w:t xml:space="preserve"> atta</w:t>
      </w:r>
      <w:r>
        <w:t>inment, and degree attainment?</w:t>
      </w:r>
      <w:r w:rsidRPr="000F18A0">
        <w:t xml:space="preserve"> What percentage and which types of students used job placement and post-placement services?</w:t>
      </w:r>
    </w:p>
    <w:p w14:paraId="0CFE4B1C" w14:textId="77777777" w:rsidR="00E91EBD" w:rsidRDefault="000F18A0" w:rsidP="00E91EBD">
      <w:pPr>
        <w:pStyle w:val="Bullets"/>
      </w:pPr>
      <w:r w:rsidRPr="000F18A0">
        <w:rPr>
          <w:b/>
        </w:rPr>
        <w:t xml:space="preserve">Service Contrast Analysis: How did program group members’ experiences differ from what their experiences would have been in the absence of CCCA (i.e., </w:t>
      </w:r>
      <w:r w:rsidRPr="000F18A0">
        <w:rPr>
          <w:b/>
          <w:i/>
        </w:rPr>
        <w:t>what are the impacts on services received</w:t>
      </w:r>
      <w:r w:rsidRPr="000F18A0">
        <w:rPr>
          <w:b/>
        </w:rPr>
        <w:t>)?</w:t>
      </w:r>
      <w:r>
        <w:t xml:space="preserve"> Specifically</w:t>
      </w:r>
      <w:r w:rsidR="005316B2">
        <w:t>, w</w:t>
      </w:r>
      <w:r w:rsidR="00E91EBD" w:rsidRPr="00A84BD1">
        <w:t>hat impact did CCCA have on the dosage of education and training services received?</w:t>
      </w:r>
      <w:r>
        <w:t xml:space="preserve"> W</w:t>
      </w:r>
      <w:r w:rsidR="00E91EBD" w:rsidRPr="00A84BD1">
        <w:t>hat impact did CCCA have on total months of full-time equivalent enrollment in education or training</w:t>
      </w:r>
      <w:r>
        <w:t xml:space="preserve"> [</w:t>
      </w:r>
      <w:r>
        <w:rPr>
          <w:b/>
          <w:i/>
        </w:rPr>
        <w:t>t</w:t>
      </w:r>
      <w:r w:rsidRPr="000F18A0">
        <w:rPr>
          <w:b/>
          <w:i/>
        </w:rPr>
        <w:t xml:space="preserve">his is the </w:t>
      </w:r>
      <w:r>
        <w:rPr>
          <w:b/>
          <w:i/>
        </w:rPr>
        <w:t>confirmatory research q</w:t>
      </w:r>
      <w:r w:rsidRPr="000F18A0">
        <w:rPr>
          <w:b/>
          <w:i/>
        </w:rPr>
        <w:t>uestion</w:t>
      </w:r>
      <w:r w:rsidR="00FD5223">
        <w:rPr>
          <w:b/>
          <w:i/>
        </w:rPr>
        <w:t xml:space="preserve"> for the 1</w:t>
      </w:r>
      <w:r w:rsidR="005417E8">
        <w:rPr>
          <w:b/>
          <w:i/>
        </w:rPr>
        <w:t>8</w:t>
      </w:r>
      <w:r w:rsidR="00FD5223">
        <w:rPr>
          <w:b/>
          <w:i/>
        </w:rPr>
        <w:t>-month</w:t>
      </w:r>
      <w:r w:rsidR="005417E8">
        <w:rPr>
          <w:b/>
          <w:i/>
        </w:rPr>
        <w:t xml:space="preserve"> follow-up</w:t>
      </w:r>
      <w:r w:rsidR="00FD5223">
        <w:rPr>
          <w:b/>
          <w:i/>
        </w:rPr>
        <w:t xml:space="preserve"> survey</w:t>
      </w:r>
      <w:r>
        <w:t xml:space="preserve">]? </w:t>
      </w:r>
      <w:r w:rsidRPr="00A84BD1">
        <w:t xml:space="preserve">What impact did CCCA have on total months of education, training, or </w:t>
      </w:r>
      <w:r w:rsidRPr="005C25F7">
        <w:t>employment</w:t>
      </w:r>
      <w:r w:rsidRPr="00A84BD1">
        <w:t xml:space="preserve"> (including military service)?</w:t>
      </w:r>
      <w:r>
        <w:t xml:space="preserve"> </w:t>
      </w:r>
      <w:r w:rsidRPr="009D342B">
        <w:t>What impact did CCCA have on receipt of instruction on non-cognitive skills (e.g., social/emotional intelligence)?</w:t>
      </w:r>
      <w:r w:rsidR="00307050" w:rsidRPr="00307050">
        <w:t xml:space="preserve"> </w:t>
      </w:r>
      <w:r w:rsidR="00307050" w:rsidRPr="00A84BD1">
        <w:t xml:space="preserve">How </w:t>
      </w:r>
      <w:r w:rsidR="00307050">
        <w:t>do</w:t>
      </w:r>
      <w:r w:rsidR="00307050" w:rsidRPr="00A84BD1">
        <w:t xml:space="preserve"> these impacts vary </w:t>
      </w:r>
      <w:r w:rsidR="00307050">
        <w:t>by</w:t>
      </w:r>
      <w:r w:rsidR="00307050" w:rsidRPr="00A84BD1">
        <w:t xml:space="preserve"> student characteristics?</w:t>
      </w:r>
    </w:p>
    <w:p w14:paraId="12942A32" w14:textId="77777777" w:rsidR="00C040C6" w:rsidRDefault="000F18A0" w:rsidP="00E91EBD">
      <w:pPr>
        <w:pStyle w:val="Bullets"/>
      </w:pPr>
      <w:r w:rsidRPr="000F18A0">
        <w:rPr>
          <w:b/>
        </w:rPr>
        <w:t xml:space="preserve">Impact Analysis: How do program group members’ outcomes differ from control group members’ outcomes (i.e., what are the impacts of the program)? </w:t>
      </w:r>
      <w:r>
        <w:t>Specifically</w:t>
      </w:r>
      <w:r w:rsidR="005316B2">
        <w:t>, w</w:t>
      </w:r>
      <w:r w:rsidR="00C040C6">
        <w:t>hat impact did CCCA have on education, employment, and earnings outcomes?</w:t>
      </w:r>
      <w:r w:rsidR="00E91EBD">
        <w:t xml:space="preserve"> </w:t>
      </w:r>
      <w:r w:rsidR="00C040C6" w:rsidRPr="00C040C6">
        <w:t>Does CCCA improve critical social-emotional skills, such as self-efficacy</w:t>
      </w:r>
      <w:r w:rsidR="00A846D0">
        <w:t xml:space="preserve"> and engagement in risky behaviors</w:t>
      </w:r>
      <w:r w:rsidR="00C040C6" w:rsidRPr="00C040C6">
        <w:t>?</w:t>
      </w:r>
      <w:r w:rsidR="00E91EBD" w:rsidRPr="00E91EBD">
        <w:t xml:space="preserve"> </w:t>
      </w:r>
      <w:r w:rsidR="00307050" w:rsidRPr="00A84BD1">
        <w:t xml:space="preserve">How </w:t>
      </w:r>
      <w:r w:rsidR="00307050">
        <w:t>do</w:t>
      </w:r>
      <w:r w:rsidR="00307050" w:rsidRPr="00A84BD1">
        <w:t xml:space="preserve"> these impacts vary </w:t>
      </w:r>
      <w:r w:rsidR="00307050">
        <w:t>by</w:t>
      </w:r>
      <w:r w:rsidR="00307050" w:rsidRPr="00A84BD1">
        <w:t xml:space="preserve"> student characteristics?</w:t>
      </w:r>
      <w:r w:rsidR="005417E8">
        <w:rPr>
          <w:rStyle w:val="FootnoteReference"/>
        </w:rPr>
        <w:footnoteReference w:id="2"/>
      </w:r>
    </w:p>
    <w:p w14:paraId="59237C68" w14:textId="77777777" w:rsidR="005B127F" w:rsidRDefault="00B418F5" w:rsidP="005B137C">
      <w:pPr>
        <w:pStyle w:val="BulletsLast"/>
        <w:numPr>
          <w:ilvl w:val="0"/>
          <w:numId w:val="0"/>
        </w:numPr>
      </w:pPr>
      <w:r>
        <w:t>The research design is</w:t>
      </w:r>
      <w:r w:rsidR="00CA0681">
        <w:t xml:space="preserve"> a randomized control</w:t>
      </w:r>
      <w:r w:rsidR="006A4502">
        <w:t>led</w:t>
      </w:r>
      <w:r w:rsidR="00CA0681">
        <w:t xml:space="preserve"> trial with assignment to either a treatment or control group.</w:t>
      </w:r>
      <w:r>
        <w:t xml:space="preserve"> Treatment group members </w:t>
      </w:r>
      <w:r w:rsidR="00307050">
        <w:t>are</w:t>
      </w:r>
      <w:r>
        <w:t xml:space="preserve"> offered a slot at </w:t>
      </w:r>
      <w:r w:rsidR="00DC2510">
        <w:t xml:space="preserve">the </w:t>
      </w:r>
      <w:r>
        <w:t>CCCA</w:t>
      </w:r>
      <w:r w:rsidR="00DC2510">
        <w:t xml:space="preserve"> Job Corps center</w:t>
      </w:r>
      <w:r>
        <w:t>. Control</w:t>
      </w:r>
      <w:r w:rsidR="00E770A4">
        <w:t xml:space="preserve"> group </w:t>
      </w:r>
      <w:r w:rsidR="00E770A4">
        <w:lastRenderedPageBreak/>
        <w:t xml:space="preserve">members </w:t>
      </w:r>
      <w:r w:rsidR="00307050">
        <w:t>are</w:t>
      </w:r>
      <w:r w:rsidR="00E770A4">
        <w:t xml:space="preserve"> not </w:t>
      </w:r>
      <w:r w:rsidR="00E03038">
        <w:t xml:space="preserve">offered a slot at CCCA, but </w:t>
      </w:r>
      <w:r w:rsidR="00307050">
        <w:t>are also not</w:t>
      </w:r>
      <w:r w:rsidR="00E03038">
        <w:t xml:space="preserve"> </w:t>
      </w:r>
      <w:r w:rsidR="00E770A4">
        <w:t>prevented from enrolling in other available training programs</w:t>
      </w:r>
      <w:r w:rsidR="00DC2510">
        <w:t>, including at other Job Corps centers</w:t>
      </w:r>
      <w:r w:rsidR="00E770A4">
        <w:t>.</w:t>
      </w:r>
    </w:p>
    <w:p w14:paraId="41687D1E" w14:textId="77777777" w:rsidR="00815C8F" w:rsidRDefault="00815C8F" w:rsidP="00236B01">
      <w:pPr>
        <w:pStyle w:val="BodyText"/>
      </w:pPr>
      <w:r>
        <w:t xml:space="preserve">This configuration – a comparison of access to the focal program’s services to </w:t>
      </w:r>
      <w:r w:rsidR="0026367F">
        <w:t xml:space="preserve">access to </w:t>
      </w:r>
      <w:r>
        <w:t>other services – is a common design for random assignment studies of training programs. I</w:t>
      </w:r>
      <w:r w:rsidR="00536D47">
        <w:t>t</w:t>
      </w:r>
      <w:r>
        <w:t xml:space="preserve"> i</w:t>
      </w:r>
      <w:r w:rsidR="00536D47">
        <w:t>s</w:t>
      </w:r>
      <w:r>
        <w:t xml:space="preserve"> also one that answers the relevant policy question: </w:t>
      </w:r>
      <w:r w:rsidRPr="00815C8F">
        <w:rPr>
          <w:i/>
        </w:rPr>
        <w:t xml:space="preserve">Do the services delivered in the CCCA pilot program improve </w:t>
      </w:r>
      <w:r w:rsidR="009F3E6A">
        <w:rPr>
          <w:i/>
        </w:rPr>
        <w:t>student</w:t>
      </w:r>
      <w:r w:rsidR="009F3E6A" w:rsidRPr="00815C8F">
        <w:rPr>
          <w:i/>
        </w:rPr>
        <w:t xml:space="preserve"> </w:t>
      </w:r>
      <w:r w:rsidRPr="00815C8F">
        <w:rPr>
          <w:i/>
        </w:rPr>
        <w:t xml:space="preserve">outcomes relative to existing Job Corps </w:t>
      </w:r>
      <w:r w:rsidR="00697292">
        <w:rPr>
          <w:i/>
        </w:rPr>
        <w:t xml:space="preserve">and non-Job Corps </w:t>
      </w:r>
      <w:r w:rsidRPr="00815C8F">
        <w:rPr>
          <w:i/>
        </w:rPr>
        <w:t>program services available in the area?</w:t>
      </w:r>
      <w:r>
        <w:t xml:space="preserve"> </w:t>
      </w:r>
    </w:p>
    <w:p w14:paraId="6094D1D8" w14:textId="77777777" w:rsidR="005B127F" w:rsidRDefault="005B127F" w:rsidP="00236B01">
      <w:pPr>
        <w:pStyle w:val="BodyText"/>
      </w:pPr>
      <w:r>
        <w:t>Through the Job Corps application and admission process</w:t>
      </w:r>
      <w:r w:rsidR="0005500B">
        <w:t xml:space="preserve"> </w:t>
      </w:r>
      <w:r w:rsidR="00431ABE">
        <w:t>to the CCCA center</w:t>
      </w:r>
      <w:r>
        <w:t xml:space="preserve">, </w:t>
      </w:r>
      <w:r w:rsidR="00237A0F">
        <w:t xml:space="preserve">individuals are </w:t>
      </w:r>
      <w:r w:rsidR="00DC2510">
        <w:t>random</w:t>
      </w:r>
      <w:r w:rsidR="00237A0F">
        <w:t>ly</w:t>
      </w:r>
      <w:r w:rsidR="00DC2510">
        <w:t xml:space="preserve"> assign</w:t>
      </w:r>
      <w:r w:rsidR="00237A0F">
        <w:t>ed</w:t>
      </w:r>
      <w:r w:rsidR="00DC2510">
        <w:t xml:space="preserve"> </w:t>
      </w:r>
      <w:r>
        <w:t xml:space="preserve">to </w:t>
      </w:r>
      <w:r w:rsidR="00DC2510">
        <w:t>the</w:t>
      </w:r>
      <w:r>
        <w:t xml:space="preserve"> treatment or control group</w:t>
      </w:r>
      <w:r w:rsidR="00497BAA">
        <w:t>.</w:t>
      </w:r>
      <w:r>
        <w:t xml:space="preserve"> </w:t>
      </w:r>
      <w:r w:rsidR="004E2617" w:rsidRPr="007225F9">
        <w:t>R</w:t>
      </w:r>
      <w:r w:rsidRPr="007225F9">
        <w:t xml:space="preserve">oughly </w:t>
      </w:r>
      <w:r w:rsidR="00230D33" w:rsidRPr="007225F9">
        <w:t>1</w:t>
      </w:r>
      <w:r w:rsidR="00B418F5" w:rsidRPr="007225F9">
        <w:t>,</w:t>
      </w:r>
      <w:r w:rsidR="00230D33" w:rsidRPr="007225F9">
        <w:t>1</w:t>
      </w:r>
      <w:r w:rsidR="004E2617" w:rsidRPr="007225F9">
        <w:t xml:space="preserve">00 </w:t>
      </w:r>
      <w:r w:rsidR="005D1063" w:rsidRPr="007225F9">
        <w:t xml:space="preserve">students </w:t>
      </w:r>
      <w:r w:rsidR="004E2617" w:rsidRPr="007225F9">
        <w:t>will be assigned to</w:t>
      </w:r>
      <w:r w:rsidRPr="007225F9">
        <w:t xml:space="preserve"> each group, for a total of</w:t>
      </w:r>
      <w:r w:rsidR="00942E75" w:rsidRPr="007225F9">
        <w:t xml:space="preserve"> approximately</w:t>
      </w:r>
      <w:r w:rsidRPr="007225F9">
        <w:t xml:space="preserve"> </w:t>
      </w:r>
      <w:r w:rsidR="00230D33" w:rsidRPr="007225F9">
        <w:t>2</w:t>
      </w:r>
      <w:r w:rsidR="004E2617" w:rsidRPr="007225F9">
        <w:t>,</w:t>
      </w:r>
      <w:r w:rsidR="00230D33" w:rsidRPr="007225F9">
        <w:t>2</w:t>
      </w:r>
      <w:r w:rsidR="004E2617" w:rsidRPr="007225F9">
        <w:t>00</w:t>
      </w:r>
      <w:r w:rsidRPr="007225F9">
        <w:t xml:space="preserve"> </w:t>
      </w:r>
      <w:r w:rsidR="00DC2510" w:rsidRPr="007225F9">
        <w:t xml:space="preserve">study </w:t>
      </w:r>
      <w:r w:rsidRPr="007225F9">
        <w:t>members overall (</w:t>
      </w:r>
      <w:r w:rsidR="00551B24" w:rsidRPr="007225F9">
        <w:t xml:space="preserve">Exhibit </w:t>
      </w:r>
      <w:r w:rsidRPr="007225F9">
        <w:t>A</w:t>
      </w:r>
      <w:r w:rsidR="00C65634" w:rsidRPr="007225F9">
        <w:t>.</w:t>
      </w:r>
      <w:r w:rsidRPr="007225F9">
        <w:t>1).</w:t>
      </w:r>
      <w:r w:rsidR="00714178">
        <w:t xml:space="preserve"> Of these 2,200 total study members, </w:t>
      </w:r>
      <w:r w:rsidR="00CE55F7">
        <w:t>approximately</w:t>
      </w:r>
      <w:r w:rsidR="00714178">
        <w:t xml:space="preserve"> 1,000 will be administered an 18-month follow-up survey; administrative data will be collected on the remainder of the study sample. </w:t>
      </w:r>
    </w:p>
    <w:p w14:paraId="48434587" w14:textId="77777777" w:rsidR="005B127F" w:rsidRPr="00236B01" w:rsidRDefault="00551B24" w:rsidP="00236B01">
      <w:pPr>
        <w:pStyle w:val="Caption"/>
      </w:pPr>
      <w:r w:rsidRPr="005417E8">
        <w:t xml:space="preserve">Exhibit </w:t>
      </w:r>
      <w:r w:rsidR="005B127F" w:rsidRPr="005417E8">
        <w:t>A</w:t>
      </w:r>
      <w:r w:rsidR="00C65634" w:rsidRPr="005417E8">
        <w:t>.</w:t>
      </w:r>
      <w:r w:rsidR="005B127F" w:rsidRPr="005417E8">
        <w:t>1: Size</w:t>
      </w:r>
      <w:r w:rsidR="004E2617" w:rsidRPr="005417E8">
        <w:t xml:space="preserve"> of Study Groups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3" w:type="dxa"/>
          <w:right w:w="43" w:type="dxa"/>
        </w:tblCellMar>
        <w:tblLook w:val="01E0" w:firstRow="1" w:lastRow="1" w:firstColumn="1" w:lastColumn="1" w:noHBand="0" w:noVBand="0"/>
      </w:tblPr>
      <w:tblGrid>
        <w:gridCol w:w="3721"/>
        <w:gridCol w:w="2863"/>
        <w:gridCol w:w="2862"/>
      </w:tblGrid>
      <w:tr w:rsidR="005B127F" w:rsidRPr="00236B01" w14:paraId="7EB24DDC" w14:textId="77777777" w:rsidTr="00236B01">
        <w:trPr>
          <w:cantSplit/>
          <w:tblHeader/>
        </w:trPr>
        <w:tc>
          <w:tcPr>
            <w:tcW w:w="1969" w:type="pct"/>
            <w:shd w:val="clear" w:color="auto" w:fill="C3C6A8"/>
            <w:vAlign w:val="bottom"/>
            <w:hideMark/>
          </w:tcPr>
          <w:p w14:paraId="57CF21C3" w14:textId="77777777" w:rsidR="005B127F" w:rsidRPr="00236B01" w:rsidRDefault="0005500B" w:rsidP="00236B01">
            <w:pPr>
              <w:pStyle w:val="ExhibitColumnHeader"/>
            </w:pPr>
            <w:r w:rsidRPr="00236B01">
              <w:t>Services</w:t>
            </w:r>
            <w:r w:rsidR="004E2617" w:rsidRPr="00236B01">
              <w:t xml:space="preserve"> </w:t>
            </w:r>
            <w:r w:rsidR="00236B01" w:rsidRPr="00236B01">
              <w:t xml:space="preserve">Offered </w:t>
            </w:r>
            <w:r w:rsidRPr="00236B01">
              <w:t xml:space="preserve">to </w:t>
            </w:r>
            <w:r w:rsidR="00236B01" w:rsidRPr="00236B01">
              <w:t>Participants</w:t>
            </w:r>
          </w:p>
        </w:tc>
        <w:tc>
          <w:tcPr>
            <w:tcW w:w="1515" w:type="pct"/>
            <w:shd w:val="clear" w:color="auto" w:fill="C3C6A8"/>
            <w:vAlign w:val="bottom"/>
            <w:hideMark/>
          </w:tcPr>
          <w:p w14:paraId="404F07E3" w14:textId="77777777" w:rsidR="005B127F" w:rsidRPr="00236B01" w:rsidRDefault="005B127F" w:rsidP="00236B01">
            <w:pPr>
              <w:pStyle w:val="ExhibitColumnHeader"/>
            </w:pPr>
            <w:r w:rsidRPr="00236B01">
              <w:t>Treatment Group Members</w:t>
            </w:r>
          </w:p>
        </w:tc>
        <w:tc>
          <w:tcPr>
            <w:tcW w:w="1515" w:type="pct"/>
            <w:shd w:val="clear" w:color="auto" w:fill="C3C6A8"/>
            <w:vAlign w:val="bottom"/>
            <w:hideMark/>
          </w:tcPr>
          <w:p w14:paraId="32EE6555" w14:textId="77777777" w:rsidR="005B127F" w:rsidRPr="00236B01" w:rsidRDefault="005B127F" w:rsidP="00236B01">
            <w:pPr>
              <w:pStyle w:val="ExhibitColumnHeader"/>
            </w:pPr>
            <w:r w:rsidRPr="00236B01">
              <w:t>Control Group Members</w:t>
            </w:r>
          </w:p>
        </w:tc>
      </w:tr>
      <w:tr w:rsidR="005B127F" w:rsidRPr="006679A9" w14:paraId="7D40E02C" w14:textId="77777777" w:rsidTr="00236B01">
        <w:trPr>
          <w:cantSplit/>
        </w:trPr>
        <w:tc>
          <w:tcPr>
            <w:tcW w:w="196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61E4EA" w14:textId="77777777" w:rsidR="005B127F" w:rsidRPr="00B61677" w:rsidRDefault="005B127F" w:rsidP="00236B01">
            <w:pPr>
              <w:pStyle w:val="ExhibitText"/>
              <w:jc w:val="center"/>
            </w:pPr>
            <w:r>
              <w:t>CCCA</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979F60" w14:textId="77777777" w:rsidR="005B127F" w:rsidRDefault="00B418F5" w:rsidP="00230D33">
            <w:pPr>
              <w:pStyle w:val="ExhibitText"/>
              <w:jc w:val="center"/>
            </w:pPr>
            <w:r>
              <w:t>1,</w:t>
            </w:r>
            <w:r w:rsidR="00230D33">
              <w:t>1</w:t>
            </w:r>
            <w:r w:rsidR="004E2617">
              <w:t>00</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CA12D2" w14:textId="77777777" w:rsidR="005B127F" w:rsidRDefault="005B127F" w:rsidP="00236B01">
            <w:pPr>
              <w:pStyle w:val="ExhibitText"/>
              <w:jc w:val="center"/>
            </w:pPr>
            <w:r>
              <w:t>0</w:t>
            </w:r>
          </w:p>
        </w:tc>
      </w:tr>
      <w:tr w:rsidR="005B127F" w:rsidRPr="006679A9" w14:paraId="0D66BA92" w14:textId="77777777" w:rsidTr="00236B01">
        <w:trPr>
          <w:cantSplit/>
        </w:trPr>
        <w:tc>
          <w:tcPr>
            <w:tcW w:w="196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14:paraId="3CE4E8AD" w14:textId="77777777" w:rsidR="005B127F" w:rsidRDefault="0005500B" w:rsidP="00236B01">
            <w:pPr>
              <w:pStyle w:val="ExhibitText"/>
              <w:jc w:val="center"/>
            </w:pPr>
            <w:r>
              <w:t>Not CCCA</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14:paraId="34BF15E1" w14:textId="77777777" w:rsidR="005B127F" w:rsidRDefault="005B127F" w:rsidP="00236B01">
            <w:pPr>
              <w:pStyle w:val="ExhibitText"/>
              <w:jc w:val="center"/>
            </w:pPr>
            <w:r>
              <w:t>0</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14:paraId="21B73B32" w14:textId="77777777" w:rsidR="005B127F" w:rsidRDefault="00B418F5" w:rsidP="00230D33">
            <w:pPr>
              <w:pStyle w:val="ExhibitText"/>
              <w:jc w:val="center"/>
            </w:pPr>
            <w:r>
              <w:t>1,</w:t>
            </w:r>
            <w:r w:rsidR="00230D33">
              <w:t>1</w:t>
            </w:r>
            <w:r w:rsidR="004E2617">
              <w:t>00</w:t>
            </w:r>
          </w:p>
        </w:tc>
      </w:tr>
      <w:tr w:rsidR="005B127F" w:rsidRPr="006679A9" w14:paraId="17A28644" w14:textId="77777777" w:rsidTr="00236B01">
        <w:trPr>
          <w:cantSplit/>
        </w:trPr>
        <w:tc>
          <w:tcPr>
            <w:tcW w:w="196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101881" w14:textId="77777777" w:rsidR="005B127F" w:rsidRPr="00551B24" w:rsidRDefault="005B127F" w:rsidP="00236B01">
            <w:pPr>
              <w:pStyle w:val="ExhibitText"/>
              <w:jc w:val="center"/>
              <w:rPr>
                <w:b/>
              </w:rPr>
            </w:pPr>
            <w:r w:rsidRPr="00551B24">
              <w:rPr>
                <w:b/>
              </w:rPr>
              <w:t>Total</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88DFCF" w14:textId="77777777" w:rsidR="005B127F" w:rsidRPr="00551B24" w:rsidRDefault="00B418F5" w:rsidP="00230D33">
            <w:pPr>
              <w:pStyle w:val="ExhibitText"/>
              <w:jc w:val="center"/>
              <w:rPr>
                <w:b/>
              </w:rPr>
            </w:pPr>
            <w:r>
              <w:rPr>
                <w:b/>
              </w:rPr>
              <w:t>1,</w:t>
            </w:r>
            <w:r w:rsidR="00230D33">
              <w:rPr>
                <w:b/>
              </w:rPr>
              <w:t>1</w:t>
            </w:r>
            <w:r w:rsidR="004E2617" w:rsidRPr="00551B24">
              <w:rPr>
                <w:b/>
              </w:rPr>
              <w:t>00</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2FEE4F6" w14:textId="77777777" w:rsidR="005B127F" w:rsidRPr="00551B24" w:rsidRDefault="00B418F5" w:rsidP="00230D33">
            <w:pPr>
              <w:pStyle w:val="ExhibitText"/>
              <w:jc w:val="center"/>
              <w:rPr>
                <w:b/>
              </w:rPr>
            </w:pPr>
            <w:r>
              <w:rPr>
                <w:b/>
              </w:rPr>
              <w:t>1,</w:t>
            </w:r>
            <w:r w:rsidR="00230D33">
              <w:rPr>
                <w:b/>
              </w:rPr>
              <w:t>1</w:t>
            </w:r>
            <w:r w:rsidR="004E2617" w:rsidRPr="00551B24">
              <w:rPr>
                <w:b/>
              </w:rPr>
              <w:t>00</w:t>
            </w:r>
          </w:p>
        </w:tc>
      </w:tr>
    </w:tbl>
    <w:p w14:paraId="51058A76" w14:textId="77777777" w:rsidR="005B127F" w:rsidRDefault="005B127F" w:rsidP="00236B01">
      <w:pPr>
        <w:pStyle w:val="BodyTextSS"/>
      </w:pPr>
    </w:p>
    <w:p w14:paraId="5C9DADB4" w14:textId="77777777" w:rsidR="00307050" w:rsidRDefault="005B127F" w:rsidP="00236B01">
      <w:pPr>
        <w:pStyle w:val="BodyText"/>
      </w:pPr>
      <w:r>
        <w:t xml:space="preserve">During the evaluation intake </w:t>
      </w:r>
      <w:r w:rsidR="00A53EB9">
        <w:t xml:space="preserve">and enrollment </w:t>
      </w:r>
      <w:r>
        <w:t xml:space="preserve">period, </w:t>
      </w:r>
      <w:r w:rsidR="00307050">
        <w:t>p</w:t>
      </w:r>
      <w:r w:rsidR="00307050" w:rsidRPr="00307050">
        <w:t xml:space="preserve">rogram staff recruit potential participants and determine their eligibility. As part of the intake process, program staff administer the informed consent form, which describes the study, the data collected, and the rights and responsibilities of the participant. </w:t>
      </w:r>
      <w:r w:rsidR="00FD5223">
        <w:t xml:space="preserve">For </w:t>
      </w:r>
      <w:r w:rsidR="00307050" w:rsidRPr="00BC006D">
        <w:t xml:space="preserve">(prospective) students </w:t>
      </w:r>
      <w:r w:rsidR="00FD5223">
        <w:t xml:space="preserve">who </w:t>
      </w:r>
      <w:r w:rsidR="00307050" w:rsidRPr="00BC006D">
        <w:t xml:space="preserve">are minors, both parental consent and youth assent are administered. </w:t>
      </w:r>
      <w:r w:rsidR="00307050" w:rsidRPr="00307050">
        <w:t>Those who consent to participate in the study complete the B</w:t>
      </w:r>
      <w:r w:rsidR="00BC006D">
        <w:t xml:space="preserve">aseline Information Form (BIF) that </w:t>
      </w:r>
      <w:r w:rsidR="00307050" w:rsidRPr="00307050">
        <w:t>collects demographic information, employment and education h</w:t>
      </w:r>
      <w:r w:rsidR="00BC006D">
        <w:t>istory, and contact information, which is accessible on-line through the Participant Data System (PDS) – the web-based system that was custom-built for the study.</w:t>
      </w:r>
      <w:r w:rsidR="00307050" w:rsidRPr="00307050">
        <w:t xml:space="preserve"> Applicants choosing not to sign the informed consent form are excluded from the study and from participating in </w:t>
      </w:r>
      <w:r w:rsidR="00307050">
        <w:t>the CCCA Job Corps</w:t>
      </w:r>
      <w:r w:rsidR="00307050" w:rsidRPr="00307050">
        <w:t xml:space="preserve"> program for the duration of the study enrollment period. </w:t>
      </w:r>
      <w:r w:rsidR="00FD5223">
        <w:t>For consenting prospective students who have completed the baseline survey, p</w:t>
      </w:r>
      <w:r w:rsidR="00307050" w:rsidRPr="00307050">
        <w:t xml:space="preserve">rogram staff conduct random assignment using </w:t>
      </w:r>
      <w:r w:rsidR="00BC006D">
        <w:t>the PDS</w:t>
      </w:r>
      <w:r w:rsidR="00307050" w:rsidRPr="00307050">
        <w:t>. Individuals assigned to the treatment group are offered the program while those assigned to the control group receive information about other services in the community</w:t>
      </w:r>
      <w:r w:rsidR="00307050">
        <w:t>, including other Job Corps centers</w:t>
      </w:r>
      <w:r w:rsidR="00307050" w:rsidRPr="00307050">
        <w:t xml:space="preserve">. OMB (Control No. </w:t>
      </w:r>
      <w:r w:rsidR="006E3D4B">
        <w:t>1290-0012</w:t>
      </w:r>
      <w:r w:rsidR="00307050" w:rsidRPr="00307050">
        <w:t>) previously approved data collection for these initial phases.</w:t>
      </w:r>
    </w:p>
    <w:p w14:paraId="281DAE41" w14:textId="77777777" w:rsidR="005B127F" w:rsidRPr="00551B24" w:rsidRDefault="005B127F" w:rsidP="00236B01">
      <w:pPr>
        <w:pStyle w:val="BodyText"/>
        <w:rPr>
          <w:szCs w:val="22"/>
        </w:rPr>
      </w:pPr>
      <w:r>
        <w:t xml:space="preserve">To address </w:t>
      </w:r>
      <w:r w:rsidR="00011838">
        <w:t xml:space="preserve">the </w:t>
      </w:r>
      <w:r w:rsidRPr="00551B24">
        <w:rPr>
          <w:szCs w:val="22"/>
        </w:rPr>
        <w:t>research questions</w:t>
      </w:r>
      <w:r w:rsidR="00011838" w:rsidRPr="00551B24">
        <w:rPr>
          <w:szCs w:val="22"/>
        </w:rPr>
        <w:t xml:space="preserve"> listed above</w:t>
      </w:r>
      <w:r w:rsidRPr="00551B24">
        <w:rPr>
          <w:szCs w:val="22"/>
        </w:rPr>
        <w:t>, the evaluation of the CCCA pilot will include the following</w:t>
      </w:r>
      <w:r w:rsidR="00551B24" w:rsidRPr="00551B24">
        <w:rPr>
          <w:szCs w:val="22"/>
        </w:rPr>
        <w:t xml:space="preserve"> data collection activities</w:t>
      </w:r>
      <w:r w:rsidRPr="00551B24">
        <w:rPr>
          <w:szCs w:val="22"/>
        </w:rPr>
        <w:t>:</w:t>
      </w:r>
    </w:p>
    <w:p w14:paraId="15B2C19E" w14:textId="77777777" w:rsidR="005B127F" w:rsidRPr="00551B24" w:rsidRDefault="005B127F" w:rsidP="00C94BDE">
      <w:pPr>
        <w:pStyle w:val="BodyText"/>
        <w:numPr>
          <w:ilvl w:val="0"/>
          <w:numId w:val="36"/>
        </w:numPr>
        <w:rPr>
          <w:szCs w:val="22"/>
        </w:rPr>
      </w:pPr>
      <w:r w:rsidRPr="00551B24">
        <w:rPr>
          <w:szCs w:val="22"/>
        </w:rPr>
        <w:t>Baseline data (for treatment and control group members)</w:t>
      </w:r>
      <w:r w:rsidR="00C94BDE">
        <w:rPr>
          <w:szCs w:val="22"/>
        </w:rPr>
        <w:t xml:space="preserve"> </w:t>
      </w:r>
      <w:r w:rsidR="00C94BDE" w:rsidRPr="00BC006D">
        <w:rPr>
          <w:szCs w:val="22"/>
        </w:rPr>
        <w:t>(</w:t>
      </w:r>
      <w:r w:rsidR="008130CB">
        <w:rPr>
          <w:szCs w:val="22"/>
        </w:rPr>
        <w:t>Control No. 1290-0012</w:t>
      </w:r>
      <w:r w:rsidR="00C94BDE" w:rsidRPr="00BC006D">
        <w:rPr>
          <w:szCs w:val="22"/>
        </w:rPr>
        <w:t>)</w:t>
      </w:r>
    </w:p>
    <w:p w14:paraId="05BA8140" w14:textId="77777777" w:rsidR="005B127F" w:rsidRPr="00551B24" w:rsidRDefault="00C65634" w:rsidP="001D0620">
      <w:pPr>
        <w:pStyle w:val="BodyText"/>
        <w:numPr>
          <w:ilvl w:val="0"/>
          <w:numId w:val="36"/>
        </w:numPr>
        <w:rPr>
          <w:szCs w:val="22"/>
        </w:rPr>
      </w:pPr>
      <w:r>
        <w:rPr>
          <w:szCs w:val="22"/>
        </w:rPr>
        <w:t>I</w:t>
      </w:r>
      <w:r w:rsidR="005B127F" w:rsidRPr="00551B24">
        <w:rPr>
          <w:szCs w:val="22"/>
        </w:rPr>
        <w:t>mplementation site visits (</w:t>
      </w:r>
      <w:r w:rsidR="00FC7B3B">
        <w:rPr>
          <w:szCs w:val="22"/>
        </w:rPr>
        <w:t>two</w:t>
      </w:r>
      <w:r w:rsidR="00FC7B3B" w:rsidRPr="00551B24">
        <w:rPr>
          <w:szCs w:val="22"/>
        </w:rPr>
        <w:t xml:space="preserve"> </w:t>
      </w:r>
      <w:r w:rsidR="005B127F" w:rsidRPr="00551B24">
        <w:rPr>
          <w:szCs w:val="22"/>
        </w:rPr>
        <w:t>rounds of site visits)</w:t>
      </w:r>
      <w:r w:rsidR="00C94BDE">
        <w:rPr>
          <w:szCs w:val="22"/>
        </w:rPr>
        <w:t xml:space="preserve"> </w:t>
      </w:r>
      <w:r w:rsidR="00BC006D" w:rsidRPr="00BC006D">
        <w:rPr>
          <w:szCs w:val="22"/>
        </w:rPr>
        <w:t>(</w:t>
      </w:r>
      <w:r w:rsidR="008130CB">
        <w:rPr>
          <w:szCs w:val="22"/>
        </w:rPr>
        <w:t>Control No. 1290-0012</w:t>
      </w:r>
      <w:r w:rsidR="00BC006D" w:rsidRPr="00BC006D">
        <w:rPr>
          <w:szCs w:val="22"/>
        </w:rPr>
        <w:t>)</w:t>
      </w:r>
    </w:p>
    <w:p w14:paraId="5EFD263A" w14:textId="77777777" w:rsidR="00AC52A5" w:rsidRDefault="00AC52A5" w:rsidP="001D0620">
      <w:pPr>
        <w:pStyle w:val="BodyText"/>
        <w:numPr>
          <w:ilvl w:val="0"/>
          <w:numId w:val="36"/>
        </w:numPr>
        <w:rPr>
          <w:szCs w:val="22"/>
        </w:rPr>
      </w:pPr>
      <w:r w:rsidRPr="00D8054B">
        <w:rPr>
          <w:szCs w:val="22"/>
        </w:rPr>
        <w:t xml:space="preserve">Follow-up </w:t>
      </w:r>
      <w:r w:rsidR="000B7643" w:rsidRPr="00D8054B">
        <w:rPr>
          <w:szCs w:val="22"/>
        </w:rPr>
        <w:t>tracking forms</w:t>
      </w:r>
      <w:r w:rsidR="008D3E33">
        <w:rPr>
          <w:szCs w:val="22"/>
        </w:rPr>
        <w:t xml:space="preserve"> </w:t>
      </w:r>
      <w:r w:rsidRPr="00D8054B">
        <w:rPr>
          <w:szCs w:val="22"/>
        </w:rPr>
        <w:t>to collect</w:t>
      </w:r>
      <w:r>
        <w:rPr>
          <w:szCs w:val="22"/>
        </w:rPr>
        <w:t xml:space="preserve"> updated contact information (for treatment and control group member</w:t>
      </w:r>
      <w:r w:rsidR="00D24A91">
        <w:rPr>
          <w:szCs w:val="22"/>
        </w:rPr>
        <w:t>s</w:t>
      </w:r>
      <w:r>
        <w:rPr>
          <w:szCs w:val="22"/>
        </w:rPr>
        <w:t>)</w:t>
      </w:r>
      <w:r w:rsidR="00C94BDE">
        <w:rPr>
          <w:szCs w:val="22"/>
        </w:rPr>
        <w:t xml:space="preserve"> </w:t>
      </w:r>
      <w:r w:rsidR="00BC006D" w:rsidRPr="00BC006D">
        <w:rPr>
          <w:szCs w:val="22"/>
        </w:rPr>
        <w:t>(</w:t>
      </w:r>
      <w:r w:rsidR="008130CB">
        <w:rPr>
          <w:szCs w:val="22"/>
        </w:rPr>
        <w:t>Control No. 1290-0012</w:t>
      </w:r>
      <w:r w:rsidR="00BC006D" w:rsidRPr="00BC006D">
        <w:rPr>
          <w:szCs w:val="22"/>
        </w:rPr>
        <w:t>)</w:t>
      </w:r>
    </w:p>
    <w:p w14:paraId="30B05ED4" w14:textId="77777777" w:rsidR="005B127F" w:rsidRPr="00551B24" w:rsidRDefault="005B127F" w:rsidP="001D0620">
      <w:pPr>
        <w:pStyle w:val="BodyText"/>
        <w:numPr>
          <w:ilvl w:val="0"/>
          <w:numId w:val="36"/>
        </w:numPr>
        <w:rPr>
          <w:szCs w:val="22"/>
        </w:rPr>
      </w:pPr>
      <w:r w:rsidRPr="00551B24">
        <w:rPr>
          <w:szCs w:val="22"/>
        </w:rPr>
        <w:t>A</w:t>
      </w:r>
      <w:r w:rsidR="00551B24">
        <w:rPr>
          <w:szCs w:val="22"/>
        </w:rPr>
        <w:t>n</w:t>
      </w:r>
      <w:r w:rsidRPr="00551B24">
        <w:rPr>
          <w:szCs w:val="22"/>
        </w:rPr>
        <w:t xml:space="preserve"> 18-month follow-up survey (for treatment and control group members)</w:t>
      </w:r>
      <w:r w:rsidR="00BC006D">
        <w:rPr>
          <w:szCs w:val="22"/>
        </w:rPr>
        <w:t xml:space="preserve"> </w:t>
      </w:r>
      <w:r w:rsidR="00BC006D" w:rsidRPr="00C94BDE">
        <w:rPr>
          <w:b/>
          <w:szCs w:val="22"/>
        </w:rPr>
        <w:t>(clearance</w:t>
      </w:r>
      <w:r w:rsidR="00BC006D">
        <w:rPr>
          <w:b/>
          <w:szCs w:val="22"/>
        </w:rPr>
        <w:t xml:space="preserve"> requested in this package</w:t>
      </w:r>
      <w:r w:rsidR="00BC006D" w:rsidRPr="00C94BDE">
        <w:rPr>
          <w:b/>
          <w:szCs w:val="22"/>
        </w:rPr>
        <w:t>)</w:t>
      </w:r>
    </w:p>
    <w:p w14:paraId="7932CA19" w14:textId="77777777" w:rsidR="00DC2510" w:rsidRPr="00C040C6" w:rsidRDefault="00DC2510" w:rsidP="00DC2510">
      <w:pPr>
        <w:pStyle w:val="BodyText"/>
        <w:numPr>
          <w:ilvl w:val="0"/>
          <w:numId w:val="36"/>
        </w:numPr>
        <w:rPr>
          <w:szCs w:val="22"/>
        </w:rPr>
      </w:pPr>
      <w:r>
        <w:rPr>
          <w:szCs w:val="22"/>
        </w:rPr>
        <w:t>Existing a</w:t>
      </w:r>
      <w:r w:rsidRPr="00551B24">
        <w:rPr>
          <w:szCs w:val="22"/>
        </w:rPr>
        <w:t>dministrative data from the Job Corps Management Information System</w:t>
      </w:r>
      <w:r>
        <w:rPr>
          <w:szCs w:val="22"/>
        </w:rPr>
        <w:t>(s), including the Administrative data from CCCA</w:t>
      </w:r>
      <w:r w:rsidRPr="00C040C6">
        <w:rPr>
          <w:szCs w:val="22"/>
        </w:rPr>
        <w:t xml:space="preserve"> </w:t>
      </w:r>
      <w:r w:rsidR="00FD5223">
        <w:rPr>
          <w:szCs w:val="22"/>
        </w:rPr>
        <w:t xml:space="preserve"> </w:t>
      </w:r>
    </w:p>
    <w:p w14:paraId="2C800E2E" w14:textId="77777777" w:rsidR="005B127F" w:rsidRDefault="005B127F" w:rsidP="001D0620">
      <w:pPr>
        <w:pStyle w:val="BodyText"/>
        <w:numPr>
          <w:ilvl w:val="0"/>
          <w:numId w:val="36"/>
        </w:numPr>
      </w:pPr>
      <w:r w:rsidRPr="00551B24">
        <w:rPr>
          <w:szCs w:val="22"/>
        </w:rPr>
        <w:t>Other administrat</w:t>
      </w:r>
      <w:r>
        <w:t xml:space="preserve">ive data from the National Student Clearinghouse </w:t>
      </w:r>
      <w:r w:rsidR="00F24675">
        <w:t xml:space="preserve">(NSC) </w:t>
      </w:r>
      <w:r>
        <w:t>and the National Directory of New Hires</w:t>
      </w:r>
      <w:r w:rsidR="00F24675">
        <w:t xml:space="preserve"> (NDNH)</w:t>
      </w:r>
      <w:r w:rsidR="00397F70">
        <w:rPr>
          <w:rStyle w:val="FootnoteReference"/>
        </w:rPr>
        <w:footnoteReference w:id="3"/>
      </w:r>
      <w:r w:rsidR="00C94BDE">
        <w:t xml:space="preserve"> </w:t>
      </w:r>
      <w:r w:rsidR="00C94BDE" w:rsidRPr="00551B24">
        <w:rPr>
          <w:szCs w:val="22"/>
        </w:rPr>
        <w:t>(for treatment and control group members)</w:t>
      </w:r>
      <w:r w:rsidR="00FD5223">
        <w:rPr>
          <w:szCs w:val="22"/>
        </w:rPr>
        <w:t xml:space="preserve"> (no clearance required)</w:t>
      </w:r>
    </w:p>
    <w:p w14:paraId="47ACC02B" w14:textId="77777777" w:rsidR="0071542F" w:rsidRDefault="00AC52A5" w:rsidP="00236B01">
      <w:pPr>
        <w:pStyle w:val="BodyText"/>
        <w:rPr>
          <w:rFonts w:cstheme="minorHAnsi"/>
        </w:rPr>
      </w:pPr>
      <w:r>
        <w:t>With the submissi</w:t>
      </w:r>
      <w:r w:rsidR="00237A0F">
        <w:t xml:space="preserve">on of this justification, DOL </w:t>
      </w:r>
      <w:r w:rsidR="005B127F">
        <w:t>request</w:t>
      </w:r>
      <w:r>
        <w:t>s</w:t>
      </w:r>
      <w:r w:rsidR="005B127F">
        <w:t xml:space="preserve"> clearance for the </w:t>
      </w:r>
      <w:r w:rsidR="00BC006D">
        <w:t xml:space="preserve">fourth </w:t>
      </w:r>
      <w:r w:rsidR="005B127F" w:rsidRPr="000210C1">
        <w:t>collection component</w:t>
      </w:r>
      <w:r w:rsidR="00E64A15" w:rsidRPr="000210C1">
        <w:t>s</w:t>
      </w:r>
      <w:r w:rsidR="005B127F" w:rsidRPr="000210C1">
        <w:t xml:space="preserve"> listed above</w:t>
      </w:r>
      <w:r w:rsidR="00DC2510">
        <w:t xml:space="preserve"> (i.e., </w:t>
      </w:r>
      <w:r w:rsidR="00BC006D">
        <w:t>the 18-month follow-up survey</w:t>
      </w:r>
      <w:r w:rsidR="00DC2510">
        <w:t>)</w:t>
      </w:r>
      <w:r w:rsidR="00CF7625">
        <w:t xml:space="preserve">. </w:t>
      </w:r>
      <w:r w:rsidR="00BC006D">
        <w:t xml:space="preserve">OMB approved the first, second, and third components on February 6, 2017. </w:t>
      </w:r>
      <w:r w:rsidR="005B127F" w:rsidRPr="000210C1">
        <w:rPr>
          <w:rFonts w:cstheme="minorHAnsi"/>
        </w:rPr>
        <w:t xml:space="preserve">The </w:t>
      </w:r>
      <w:r w:rsidR="00DC2510">
        <w:rPr>
          <w:rFonts w:cstheme="minorHAnsi"/>
        </w:rPr>
        <w:t>fifth</w:t>
      </w:r>
      <w:r w:rsidR="005B127F" w:rsidRPr="000210C1">
        <w:rPr>
          <w:rFonts w:cstheme="minorHAnsi"/>
        </w:rPr>
        <w:t xml:space="preserve"> and </w:t>
      </w:r>
      <w:r w:rsidR="00DC2510">
        <w:rPr>
          <w:rFonts w:cstheme="minorHAnsi"/>
        </w:rPr>
        <w:t>sixth components</w:t>
      </w:r>
      <w:r w:rsidR="00DC2510" w:rsidRPr="000210C1">
        <w:rPr>
          <w:rFonts w:cstheme="minorHAnsi"/>
        </w:rPr>
        <w:t xml:space="preserve"> </w:t>
      </w:r>
      <w:r w:rsidR="00942E75" w:rsidRPr="000210C1">
        <w:rPr>
          <w:rFonts w:cstheme="minorHAnsi"/>
        </w:rPr>
        <w:t>are</w:t>
      </w:r>
      <w:r w:rsidR="00942E75">
        <w:rPr>
          <w:rFonts w:cstheme="minorHAnsi"/>
        </w:rPr>
        <w:t xml:space="preserve"> all existing administrative data</w:t>
      </w:r>
      <w:r w:rsidR="005B127F">
        <w:rPr>
          <w:rFonts w:cstheme="minorHAnsi"/>
        </w:rPr>
        <w:t xml:space="preserve"> </w:t>
      </w:r>
      <w:r w:rsidR="00FD5223">
        <w:rPr>
          <w:rFonts w:cstheme="minorHAnsi"/>
        </w:rPr>
        <w:t xml:space="preserve">for which no clearance is required. We note that </w:t>
      </w:r>
      <w:r w:rsidR="00942E75">
        <w:rPr>
          <w:rFonts w:cstheme="minorHAnsi"/>
        </w:rPr>
        <w:t>use</w:t>
      </w:r>
      <w:r w:rsidR="005B127F">
        <w:rPr>
          <w:rFonts w:cstheme="minorHAnsi"/>
        </w:rPr>
        <w:t xml:space="preserve"> </w:t>
      </w:r>
      <w:r w:rsidR="0068144C">
        <w:rPr>
          <w:rFonts w:cstheme="minorHAnsi"/>
        </w:rPr>
        <w:t xml:space="preserve">of administrative data </w:t>
      </w:r>
      <w:r w:rsidR="005B127F">
        <w:rPr>
          <w:rFonts w:cstheme="minorHAnsi"/>
        </w:rPr>
        <w:t>greatly reduces the response burden on study participants by decreasing the length of the baseline and 18-month follow-up surveys</w:t>
      </w:r>
      <w:r w:rsidR="002F2C61">
        <w:rPr>
          <w:rFonts w:cstheme="minorHAnsi"/>
        </w:rPr>
        <w:t xml:space="preserve">. </w:t>
      </w:r>
    </w:p>
    <w:p w14:paraId="49551A12" w14:textId="77777777" w:rsidR="00BC006D" w:rsidRDefault="00BC006D" w:rsidP="00BC006D">
      <w:pPr>
        <w:pStyle w:val="BodyText"/>
      </w:pPr>
      <w:r>
        <w:t>Many of the employment outcomes for the study will be measured using quarterly Unemployment Insurance (UI) records maintained by the National Directory of New Hires (NDNH). The NDNH, which is compiled and maintained by the Office of Child Support Enforcement (OCSE) in the Department of Health and Human Services (HHS), is a national database of new hire data, quarterly wages, and unemployment insurance data that State Directors of New Hires, employees, and state workforce agencies submit to OCSE on a quarterly basis. NDNH captures information for all jobs covered by unemployment insurance, and thus will provide quarterly employment and earnings data for the vast majority of study participants and of jobs (these records will not, however, include information for jobs that are “off the books”). The evaluation will use NDNH quarterly data to determine sample members’ earnings, employment status (i.e., non-zero earnings), and job tenure.</w:t>
      </w:r>
    </w:p>
    <w:p w14:paraId="60D60652" w14:textId="77777777" w:rsidR="00BC006D" w:rsidRPr="00C224BA" w:rsidRDefault="00BC006D" w:rsidP="00BC006D">
      <w:pPr>
        <w:pStyle w:val="BodyText"/>
      </w:pPr>
      <w:r>
        <w:t xml:space="preserve">For the service contrast and impact analyses, these employment and earnings data from the NDNH data are complemented by the 18-month follow-up survey. The 18-month follow-up survey, which is the subject of this PRA request, will provide critical information to measure the impact of the CCCA Job Corps program on training and related service receipt, receipt of credentials, employment details, socio-emotional skills, engagement in risky behaviors, public benefits receipt, </w:t>
      </w:r>
      <w:r w:rsidR="006E3D4B" w:rsidRPr="006E3D4B">
        <w:t>and opinions on the education and training services received</w:t>
      </w:r>
      <w:r w:rsidR="006E3D4B">
        <w:t>.</w:t>
      </w:r>
      <w:r>
        <w:t xml:space="preserve"> </w:t>
      </w:r>
    </w:p>
    <w:p w14:paraId="0DBD5334" w14:textId="77777777" w:rsidR="006F299B" w:rsidRDefault="006F299B" w:rsidP="008615B4">
      <w:pPr>
        <w:pStyle w:val="Heading2"/>
      </w:pPr>
      <w:bookmarkStart w:id="4" w:name="_Toc508364257"/>
      <w:r w:rsidRPr="001034D3">
        <w:t>A</w:t>
      </w:r>
      <w:r w:rsidR="00626051">
        <w:t>.</w:t>
      </w:r>
      <w:r w:rsidRPr="001034D3">
        <w:t xml:space="preserve">2: </w:t>
      </w:r>
      <w:r w:rsidR="00790C7A">
        <w:t>Purpose and Users of Information</w:t>
      </w:r>
      <w:bookmarkEnd w:id="4"/>
    </w:p>
    <w:p w14:paraId="332DBC72" w14:textId="77777777" w:rsidR="00804799" w:rsidRDefault="00E77AC8" w:rsidP="00804799">
      <w:pPr>
        <w:pStyle w:val="BodyText"/>
      </w:pPr>
      <w:r>
        <w:t xml:space="preserve">The purpose of the 18-month follow-up survey is to understand critical information in terms of service receipt, employment, and other outcomes. The survey is an important source for documenting the type and duration of training and other services received; receipt of credentials; socio-emotional skills; engagement in risky behaviors; information on employment that is not available from other sources; and information on public benefit receipt. In addition, </w:t>
      </w:r>
      <w:r w:rsidRPr="000821CA">
        <w:t xml:space="preserve">the survey will collect opinions </w:t>
      </w:r>
      <w:r>
        <w:t>on and experiences with training</w:t>
      </w:r>
      <w:r w:rsidRPr="000821CA">
        <w:t xml:space="preserve"> services </w:t>
      </w:r>
      <w:r>
        <w:t xml:space="preserve">received, both at CCCA and at other providers. </w:t>
      </w:r>
    </w:p>
    <w:p w14:paraId="7CA330FC" w14:textId="77777777" w:rsidR="00E77AC8" w:rsidRDefault="00142F1C" w:rsidP="00544C51">
      <w:r>
        <w:t xml:space="preserve">The evaluator will use the survey results to </w:t>
      </w:r>
      <w:r w:rsidR="007A60AC">
        <w:t>describe outcomes for those at CCCA and to estimate</w:t>
      </w:r>
      <w:r>
        <w:t xml:space="preserve"> the impact of the CCCA Job Corps services on participants’ education, economic, and other related outcomes. The primary beneficiaries of the evaluation results and planned data collection effort will be DOL, the National Office of Job Corps, Job Corps and other training program administrators</w:t>
      </w:r>
      <w:r w:rsidR="00C46094">
        <w:t>, future Job Corps students</w:t>
      </w:r>
      <w:r>
        <w:t>, other state and local policymakers</w:t>
      </w:r>
      <w:r w:rsidR="00C46094">
        <w:t xml:space="preserve">, </w:t>
      </w:r>
      <w:r>
        <w:t>and other federal agencies and policy makers. DOL will use the information to understand what Job Corps strategies and supports are effective in helping younger students en</w:t>
      </w:r>
      <w:r w:rsidR="00D14350">
        <w:t>gage in services, complete the</w:t>
      </w:r>
      <w:r>
        <w:t xml:space="preserve"> program, attain credentials and/or degrees, and improve their economic prospects. This will be important information in guiding future Job Corps initiatives, including those utilizing sectoral training career pathways strateg</w:t>
      </w:r>
      <w:r w:rsidR="00D14350">
        <w:t>ies</w:t>
      </w:r>
      <w:r>
        <w:t>, as well as t</w:t>
      </w:r>
      <w:r w:rsidR="00C46094">
        <w:t xml:space="preserve">hose serving youth ages 16-21. </w:t>
      </w:r>
      <w:r>
        <w:t>Secondary beneficiaries of this data collection will be those in public policy and program administration who are interested in understanding effective youth-focused education and training strategies</w:t>
      </w:r>
      <w:bookmarkStart w:id="5" w:name="_Toc255223808"/>
      <w:bookmarkStart w:id="6" w:name="_Toc271096937"/>
      <w:bookmarkStart w:id="7" w:name="_Toc290302427"/>
      <w:bookmarkStart w:id="8" w:name="_Toc329344430"/>
      <w:bookmarkStart w:id="9" w:name="_Toc343683306"/>
      <w:r>
        <w:t xml:space="preserve"> more broadly. </w:t>
      </w:r>
      <w:bookmarkEnd w:id="5"/>
      <w:bookmarkEnd w:id="6"/>
      <w:bookmarkEnd w:id="7"/>
      <w:bookmarkEnd w:id="8"/>
      <w:bookmarkEnd w:id="9"/>
    </w:p>
    <w:p w14:paraId="1B9B3001" w14:textId="77777777" w:rsidR="006F299B" w:rsidRDefault="006F299B" w:rsidP="008615B4">
      <w:pPr>
        <w:pStyle w:val="Heading2"/>
      </w:pPr>
      <w:bookmarkStart w:id="10" w:name="_Toc508364258"/>
      <w:r w:rsidRPr="001034D3">
        <w:t>A</w:t>
      </w:r>
      <w:r w:rsidR="00626051">
        <w:t>.</w:t>
      </w:r>
      <w:r w:rsidRPr="001034D3">
        <w:t xml:space="preserve">3: Improved </w:t>
      </w:r>
      <w:r w:rsidR="00222854">
        <w:t>I</w:t>
      </w:r>
      <w:r w:rsidR="00222854" w:rsidRPr="001034D3">
        <w:t xml:space="preserve">nformation </w:t>
      </w:r>
      <w:r w:rsidR="00222854">
        <w:t>Tech</w:t>
      </w:r>
      <w:r w:rsidR="00222854" w:rsidRPr="001034D3">
        <w:t xml:space="preserve">nology </w:t>
      </w:r>
      <w:r w:rsidR="00222854">
        <w:t>t</w:t>
      </w:r>
      <w:r w:rsidR="00222854" w:rsidRPr="001034D3">
        <w:t xml:space="preserve">o </w:t>
      </w:r>
      <w:r w:rsidR="00222854">
        <w:t>R</w:t>
      </w:r>
      <w:r w:rsidR="00222854" w:rsidRPr="001034D3">
        <w:t xml:space="preserve">educe </w:t>
      </w:r>
      <w:r w:rsidR="00222854">
        <w:t>B</w:t>
      </w:r>
      <w:r w:rsidR="00222854" w:rsidRPr="001034D3">
        <w:t>urden</w:t>
      </w:r>
      <w:bookmarkEnd w:id="10"/>
    </w:p>
    <w:p w14:paraId="2B8D64F7" w14:textId="77777777" w:rsidR="00051267" w:rsidRDefault="005B6998" w:rsidP="005B6998">
      <w:r>
        <w:t xml:space="preserve">The follow-up survey </w:t>
      </w:r>
      <w:r w:rsidR="007A60AC">
        <w:t>will be administered using</w:t>
      </w:r>
      <w:r>
        <w:t xml:space="preserve"> Computer-Assisted Personal Interviewing (CAPI) technology. CAPI technology reduces </w:t>
      </w:r>
      <w:r w:rsidRPr="000C6A8D">
        <w:t>respondent</w:t>
      </w:r>
      <w:r>
        <w:t xml:space="preserve"> burden, as interviewers can proceed more quickly and accurately through the survey instruments, minimizing the interview length. Computerized questionnaires ensure that the skip patterns work properly, minimizing respondent burden by not asking inappropriate or non-applicable questions. For example, respondents who have held no job since randomization will skip out of the questions about occupation, employment dates, and hours. Computer-assisted interviewing can build in checkpoints, which allow the interviewer or respondent to confirm responses, thereby minimizing data entry errors. Finally, automated </w:t>
      </w:r>
      <w:r w:rsidRPr="000C6A8D">
        <w:t>survey</w:t>
      </w:r>
      <w:r>
        <w:t xml:space="preserve"> administration can incorporate hard edits to check for allowable ranges for quantity and range value questions, minimizing out of range or unallowable values.</w:t>
      </w:r>
    </w:p>
    <w:p w14:paraId="6A671FF6" w14:textId="77777777" w:rsidR="006F299B" w:rsidRDefault="006F299B" w:rsidP="008615B4">
      <w:pPr>
        <w:pStyle w:val="Heading2"/>
      </w:pPr>
      <w:bookmarkStart w:id="11" w:name="_Toc508364259"/>
      <w:r w:rsidRPr="006236E7">
        <w:t>A</w:t>
      </w:r>
      <w:r w:rsidR="00626051">
        <w:t>.</w:t>
      </w:r>
      <w:r w:rsidRPr="006236E7">
        <w:t xml:space="preserve">4: Efforts to </w:t>
      </w:r>
      <w:r w:rsidR="00222854" w:rsidRPr="006236E7">
        <w:t>Identify Duplication</w:t>
      </w:r>
      <w:bookmarkEnd w:id="11"/>
    </w:p>
    <w:p w14:paraId="1141FE1B" w14:textId="77777777" w:rsidR="005B6998" w:rsidRDefault="005B6998" w:rsidP="005B6998">
      <w:pPr>
        <w:pStyle w:val="BodyText"/>
      </w:pPr>
      <w:r>
        <w:t xml:space="preserve">There is minimal duplication of data collection in the evaluation. The follow-up survey will ask </w:t>
      </w:r>
      <w:r w:rsidR="002074E4">
        <w:t xml:space="preserve">a limited set of questions about </w:t>
      </w:r>
      <w:r>
        <w:t>employment status despite the availability of some employment information in the NDNH data. This survey question is necessary as a screener to asking about specific dates of employment and average hours worked, information not available through NDNH. Additionally</w:t>
      </w:r>
      <w:r w:rsidR="00804799">
        <w:t>,</w:t>
      </w:r>
      <w:r>
        <w:t xml:space="preserve"> the follow-up survey will ask about participation in training and credential receipt. For the treatment group, some data on service receipt are available in Job Corps’ administrative data. However, these data are not available for control group members who do not attend another Job Corps center, which is estimated </w:t>
      </w:r>
      <w:r w:rsidRPr="006A7FB8">
        <w:t xml:space="preserve">to be about </w:t>
      </w:r>
      <w:r w:rsidR="00297ED5" w:rsidRPr="006A7FB8">
        <w:t>80</w:t>
      </w:r>
      <w:r w:rsidRPr="006A7FB8">
        <w:t xml:space="preserve"> percent of the control group.</w:t>
      </w:r>
      <w:r w:rsidR="00297ED5" w:rsidRPr="006A7FB8">
        <w:t xml:space="preserve"> (Based on Job Corps administrative reports gathered through the time of this submission, 80 percent of control group members are not attending any other Job Corps center</w:t>
      </w:r>
      <w:r w:rsidR="00297ED5">
        <w:t>.)</w:t>
      </w:r>
      <w:r>
        <w:t xml:space="preserve"> </w:t>
      </w:r>
      <w:r w:rsidR="002074E4">
        <w:t xml:space="preserve">Additionally, there </w:t>
      </w:r>
      <w:r w:rsidR="006A7FB8">
        <w:t>are</w:t>
      </w:r>
      <w:r w:rsidR="002074E4">
        <w:t xml:space="preserve"> some data about attendance and credentials in the </w:t>
      </w:r>
      <w:r w:rsidR="00804799" w:rsidRPr="00804799">
        <w:t xml:space="preserve">National Student Clearinghouse </w:t>
      </w:r>
      <w:r w:rsidR="00804799">
        <w:t>(</w:t>
      </w:r>
      <w:r w:rsidR="002074E4">
        <w:t>NSC</w:t>
      </w:r>
      <w:r w:rsidR="00804799">
        <w:t>)</w:t>
      </w:r>
      <w:r w:rsidR="002074E4">
        <w:t xml:space="preserve"> data, but coverage is well known to be incomplete for the sub-BA programs that are likely to be most relevant for CCCA students.  Finally</w:t>
      </w:r>
      <w:r w:rsidR="00051267">
        <w:t xml:space="preserve">, the Job Corps administrative data and the </w:t>
      </w:r>
      <w:r w:rsidR="00804799">
        <w:t xml:space="preserve">NSC </w:t>
      </w:r>
      <w:r w:rsidR="00051267">
        <w:t>data do not provide critical information on socio-emotional skills, student options, the effects of the Student-Centered Design, nor on participation in risky behaviors or receipt of public benefits.</w:t>
      </w:r>
    </w:p>
    <w:p w14:paraId="2BBE0E34" w14:textId="77777777" w:rsidR="006F299B" w:rsidRDefault="006F299B" w:rsidP="008615B4">
      <w:pPr>
        <w:pStyle w:val="Heading2"/>
      </w:pPr>
      <w:bookmarkStart w:id="12" w:name="_Toc508364260"/>
      <w:r w:rsidRPr="004E0069">
        <w:t>A</w:t>
      </w:r>
      <w:r w:rsidR="00626051">
        <w:t>.</w:t>
      </w:r>
      <w:r w:rsidRPr="004E0069">
        <w:t xml:space="preserve">5: Involvement of </w:t>
      </w:r>
      <w:r w:rsidR="00222854" w:rsidRPr="004E0069">
        <w:t>Small Organizations</w:t>
      </w:r>
      <w:bookmarkEnd w:id="12"/>
    </w:p>
    <w:p w14:paraId="3533A3CD" w14:textId="77777777" w:rsidR="001C036E" w:rsidRDefault="00216B09" w:rsidP="00236B01">
      <w:pPr>
        <w:pStyle w:val="BodyText"/>
      </w:pPr>
      <w:r>
        <w:t xml:space="preserve">The evaluation of </w:t>
      </w:r>
      <w:r w:rsidR="00F12CFA">
        <w:t>the pilot</w:t>
      </w:r>
      <w:r>
        <w:t xml:space="preserve"> program will impose no burden on this sector of the economy.  </w:t>
      </w:r>
    </w:p>
    <w:p w14:paraId="191FD12F" w14:textId="77777777" w:rsidR="006F299B" w:rsidRPr="0087138F" w:rsidRDefault="006F299B" w:rsidP="008615B4">
      <w:pPr>
        <w:pStyle w:val="Heading2"/>
      </w:pPr>
      <w:bookmarkStart w:id="13" w:name="_Toc508364261"/>
      <w:r w:rsidRPr="0087138F">
        <w:t>A</w:t>
      </w:r>
      <w:r w:rsidR="00626051">
        <w:t>.</w:t>
      </w:r>
      <w:r w:rsidRPr="0087138F">
        <w:t>6: Consequences of</w:t>
      </w:r>
      <w:r w:rsidR="005B6998">
        <w:t xml:space="preserve"> Less Frequent Data Collection and of</w:t>
      </w:r>
      <w:r w:rsidRPr="0087138F">
        <w:t xml:space="preserve"> </w:t>
      </w:r>
      <w:r w:rsidR="00223968">
        <w:t>Not Collecting the Data</w:t>
      </w:r>
      <w:bookmarkEnd w:id="13"/>
    </w:p>
    <w:p w14:paraId="74A8A627" w14:textId="77777777" w:rsidR="0083313B" w:rsidRDefault="00804799" w:rsidP="0083313B">
      <w:pPr>
        <w:pStyle w:val="BodyText"/>
      </w:pPr>
      <w:r>
        <w:t>DOL</w:t>
      </w:r>
      <w:r w:rsidR="0083313B">
        <w:t xml:space="preserve"> will contact participants approximately 18 months after the participants are randomly assigned. Currently, this is the only follow-up survey that the evaluation team will administer to sample members. It is a one-time data collection activity, so it would not be possible to collect these data less frequently. The timing of the survey will provide enough time for sample members to participate in </w:t>
      </w:r>
      <w:r w:rsidR="0083313B" w:rsidRPr="00280915">
        <w:t>training programs</w:t>
      </w:r>
      <w:r w:rsidR="0083313B">
        <w:t xml:space="preserve"> and services. While the evaluation</w:t>
      </w:r>
      <w:r w:rsidR="0083313B" w:rsidRPr="00280915">
        <w:t xml:space="preserve"> could report on the </w:t>
      </w:r>
      <w:r w:rsidR="0083313B">
        <w:t>employment outcomes</w:t>
      </w:r>
      <w:r w:rsidR="0083313B" w:rsidRPr="00280915">
        <w:t xml:space="preserve"> of </w:t>
      </w:r>
      <w:r w:rsidR="0083313B">
        <w:t>CCCA Job Corps</w:t>
      </w:r>
      <w:r w:rsidR="0083313B" w:rsidRPr="00280915">
        <w:t xml:space="preserve"> funding using NDNH data</w:t>
      </w:r>
      <w:r w:rsidR="0083313B">
        <w:t xml:space="preserve"> without the survey, the </w:t>
      </w:r>
      <w:r w:rsidR="00297ED5">
        <w:t>survey is vital to</w:t>
      </w:r>
      <w:r w:rsidR="0083313B">
        <w:t xml:space="preserve"> determine the service and credential receipt differential between the treatment and control groups; these short-term impacts are the primary impacts of concern for the 18-month follow-up period</w:t>
      </w:r>
      <w:r w:rsidR="0083313B" w:rsidRPr="00280915">
        <w:t>.</w:t>
      </w:r>
      <w:r w:rsidR="0083313B">
        <w:t xml:space="preserve"> Moreover, the survey allows for assessment of additional outcomes, including the effects of the Student-Centered Design aspect of CCCA, program effects on students’ socio-emotional skills and engagement in risky behaviors, and public benefit receipt. </w:t>
      </w:r>
    </w:p>
    <w:p w14:paraId="04FB1B36" w14:textId="77777777" w:rsidR="0083313B" w:rsidRDefault="0083313B" w:rsidP="0083313B">
      <w:pPr>
        <w:pStyle w:val="BodyText"/>
      </w:pPr>
      <w:r>
        <w:t xml:space="preserve">Not collecting data through the 18-month follow-up survey would prevent the estimation of program impacts on training participation and service receipt, credential receipt, receipt of supportive </w:t>
      </w:r>
      <w:r w:rsidR="00297ED5">
        <w:t>services</w:t>
      </w:r>
      <w:r>
        <w:t>, participation in on-the-job training or internships, socio-emotional skills development,</w:t>
      </w:r>
      <w:r w:rsidR="00297ED5">
        <w:t xml:space="preserve"> and</w:t>
      </w:r>
      <w:r>
        <w:t xml:space="preserve"> engagement in risky behaviors. The CCCA Job Corps program was designed to produce impacts in these domains, which can only be measured for both the treatment and control group via a follow-up survey. Administrative data, including the Job Corps administrative data, will not provide information on service receipt for the majority of the control group, nor will administrative data provide information on socio-emotional skills, risky behaviors, and/or student opinions and perceptions. </w:t>
      </w:r>
      <w:r w:rsidR="00051267">
        <w:t xml:space="preserve">NDNH </w:t>
      </w:r>
      <w:r>
        <w:t xml:space="preserve">will only provide quarterly employment information. </w:t>
      </w:r>
      <w:r w:rsidR="00051267">
        <w:t>The National Student Clearinghouse</w:t>
      </w:r>
      <w:r w:rsidR="00297ED5">
        <w:t xml:space="preserve"> (NSC)</w:t>
      </w:r>
      <w:r w:rsidR="00051267">
        <w:t xml:space="preserve"> will not provide data on training or service receipt outside of </w:t>
      </w:r>
      <w:r w:rsidR="00297ED5">
        <w:t>the</w:t>
      </w:r>
      <w:r w:rsidR="00051267">
        <w:t xml:space="preserve"> colleges</w:t>
      </w:r>
      <w:r w:rsidR="00297ED5">
        <w:t xml:space="preserve"> that report to NSC</w:t>
      </w:r>
      <w:r w:rsidR="00051267">
        <w:t xml:space="preserve">, nor will it provide data on on-the-job training, socio-emotional skills, or risky behaviors. </w:t>
      </w:r>
    </w:p>
    <w:p w14:paraId="304F8F9B" w14:textId="77777777" w:rsidR="006F299B" w:rsidRDefault="006F299B" w:rsidP="008615B4">
      <w:pPr>
        <w:pStyle w:val="Heading2"/>
      </w:pPr>
      <w:bookmarkStart w:id="14" w:name="_Toc508364262"/>
      <w:r w:rsidRPr="001034D3">
        <w:t>A</w:t>
      </w:r>
      <w:r w:rsidR="00626051">
        <w:t>.</w:t>
      </w:r>
      <w:r w:rsidRPr="001034D3">
        <w:t xml:space="preserve">7: Special </w:t>
      </w:r>
      <w:r w:rsidR="00911BD5">
        <w:t>C</w:t>
      </w:r>
      <w:r w:rsidRPr="001034D3">
        <w:t>ircumstances</w:t>
      </w:r>
      <w:bookmarkEnd w:id="14"/>
    </w:p>
    <w:p w14:paraId="7744EE7E" w14:textId="77777777" w:rsidR="006F299B" w:rsidRPr="00E001CD" w:rsidRDefault="006F299B" w:rsidP="00236B01">
      <w:pPr>
        <w:pStyle w:val="BodyText"/>
      </w:pPr>
      <w:r>
        <w:t xml:space="preserve">There are no special circumstances for the proposed data collection. </w:t>
      </w:r>
    </w:p>
    <w:p w14:paraId="2A7E5907" w14:textId="77777777" w:rsidR="006F299B" w:rsidRDefault="006F299B" w:rsidP="008615B4">
      <w:pPr>
        <w:pStyle w:val="Heading2"/>
      </w:pPr>
      <w:bookmarkStart w:id="15" w:name="_Toc508364263"/>
      <w:r w:rsidRPr="001034D3">
        <w:t>A</w:t>
      </w:r>
      <w:r w:rsidR="00626051">
        <w:t>.</w:t>
      </w:r>
      <w:r w:rsidRPr="001034D3">
        <w:t xml:space="preserve">8: FRN and </w:t>
      </w:r>
      <w:r w:rsidR="00911BD5">
        <w:t>C</w:t>
      </w:r>
      <w:r w:rsidRPr="001034D3">
        <w:t>onsultation</w:t>
      </w:r>
      <w:bookmarkEnd w:id="15"/>
    </w:p>
    <w:p w14:paraId="4C2A21C2" w14:textId="77777777" w:rsidR="00297ED5" w:rsidRDefault="00297ED5" w:rsidP="00297ED5">
      <w:pPr>
        <w:pStyle w:val="Heading3"/>
      </w:pPr>
      <w:r>
        <w:t>A.8.1</w:t>
      </w:r>
      <w:r>
        <w:tab/>
      </w:r>
      <w:r w:rsidR="00762DD6">
        <w:t>Federal Register Notice and Comments</w:t>
      </w:r>
    </w:p>
    <w:p w14:paraId="075DDC82" w14:textId="77777777" w:rsidR="00BA690F" w:rsidRDefault="006F299B" w:rsidP="00C520A3">
      <w:pPr>
        <w:pStyle w:val="BodyText"/>
      </w:pPr>
      <w:r>
        <w:t>In accordance with the Paperwork Reduction Act of 1995 (P.L. 104-13</w:t>
      </w:r>
      <w:r w:rsidR="00254462">
        <w:t>)</w:t>
      </w:r>
      <w:r>
        <w:t xml:space="preserve"> and Office of Management and Budget (OMB) regulations at 5 CFR </w:t>
      </w:r>
      <w:r w:rsidRPr="00CE55F7">
        <w:t xml:space="preserve">Part 1320 (60 FR 44978, August 29, 1995), </w:t>
      </w:r>
      <w:r w:rsidR="00FB1945" w:rsidRPr="00CE55F7">
        <w:t>DOL</w:t>
      </w:r>
      <w:r w:rsidRPr="00CE55F7">
        <w:t xml:space="preserve"> published a </w:t>
      </w:r>
      <w:r w:rsidR="00297ED5" w:rsidRPr="00CE55F7">
        <w:t>60-Day Federal Register N</w:t>
      </w:r>
      <w:r w:rsidRPr="00CE55F7">
        <w:t xml:space="preserve">otice on </w:t>
      </w:r>
      <w:r w:rsidR="00CE55F7" w:rsidRPr="00CE55F7">
        <w:t xml:space="preserve">May 31, 2018, (83 FR 25055) </w:t>
      </w:r>
      <w:r w:rsidR="002074E4" w:rsidRPr="00CE55F7">
        <w:t xml:space="preserve">announcing the agency’s intention to request an OMB review of this </w:t>
      </w:r>
      <w:r w:rsidR="006A7FB8" w:rsidRPr="00CE55F7">
        <w:t>information collection activity.</w:t>
      </w:r>
      <w:r w:rsidRPr="00CE55F7">
        <w:t xml:space="preserve"> During the notice and comment period, the government </w:t>
      </w:r>
      <w:r w:rsidR="00C520A3" w:rsidRPr="00CE55F7">
        <w:t xml:space="preserve">did not </w:t>
      </w:r>
      <w:r w:rsidRPr="00CE55F7">
        <w:t xml:space="preserve">receive </w:t>
      </w:r>
      <w:r w:rsidR="00C520A3" w:rsidRPr="00CE55F7">
        <w:t>any comment or r</w:t>
      </w:r>
      <w:r w:rsidR="00FB1945" w:rsidRPr="00CE55F7">
        <w:t>equest</w:t>
      </w:r>
      <w:r w:rsidRPr="00CE55F7">
        <w:t xml:space="preserve"> for copies of the instrument.</w:t>
      </w:r>
      <w:r w:rsidRPr="00762DD6">
        <w:t xml:space="preserve"> </w:t>
      </w:r>
    </w:p>
    <w:p w14:paraId="36E11037" w14:textId="77777777" w:rsidR="00762DD6" w:rsidRPr="00762DD6" w:rsidRDefault="00297ED5" w:rsidP="00236B01">
      <w:pPr>
        <w:pStyle w:val="Heading3"/>
      </w:pPr>
      <w:r>
        <w:t>A.8.2</w:t>
      </w:r>
      <w:r>
        <w:tab/>
      </w:r>
      <w:r w:rsidR="00762DD6" w:rsidRPr="00762DD6">
        <w:t xml:space="preserve">Consultation with Experts </w:t>
      </w:r>
    </w:p>
    <w:p w14:paraId="7337CF2A" w14:textId="39712E62" w:rsidR="00297ED5" w:rsidRDefault="00660673" w:rsidP="00660673">
      <w:pPr>
        <w:pStyle w:val="BodyText"/>
      </w:pPr>
      <w:r>
        <w:t>Many of the</w:t>
      </w:r>
      <w:r w:rsidRPr="00762DD6">
        <w:t xml:space="preserve"> items in the </w:t>
      </w:r>
      <w:r>
        <w:t>survey</w:t>
      </w:r>
      <w:r w:rsidRPr="00762DD6">
        <w:t xml:space="preserve"> are</w:t>
      </w:r>
      <w:r>
        <w:t xml:space="preserve"> adapted from previously approved </w:t>
      </w:r>
      <w:r w:rsidRPr="00762DD6">
        <w:t>data collection instruments</w:t>
      </w:r>
      <w:r>
        <w:t>, including those from the following studies</w:t>
      </w:r>
      <w:r w:rsidRPr="00D93FF0">
        <w:t xml:space="preserve">: </w:t>
      </w:r>
      <w:r w:rsidR="00EC7D33" w:rsidRPr="00EC7D33">
        <w:t xml:space="preserve">the Ready to Work (RTW) </w:t>
      </w:r>
      <w:r w:rsidR="00F5636E">
        <w:t xml:space="preserve">Partnership Grants </w:t>
      </w:r>
      <w:r w:rsidR="00EC7D33" w:rsidRPr="00EC7D33">
        <w:t>Evaluation</w:t>
      </w:r>
      <w:r w:rsidR="00EC7D33" w:rsidRPr="00EC7D33" w:rsidDel="00EC7D33">
        <w:t xml:space="preserve"> </w:t>
      </w:r>
      <w:r w:rsidRPr="00EC7D33">
        <w:t xml:space="preserve">(OMB No. </w:t>
      </w:r>
      <w:r w:rsidR="00974090" w:rsidRPr="00EC7D33">
        <w:t>1291-0010</w:t>
      </w:r>
      <w:r w:rsidRPr="00EC7D33">
        <w:t xml:space="preserve">), </w:t>
      </w:r>
      <w:r w:rsidR="00EC7D33" w:rsidRPr="00EC7D33">
        <w:t xml:space="preserve">the Pathways for Advancing Careers and Education (PACE) Evaluation and the Health Profession Opportunity Grants (HPOG) Evaluation (OMB No. 0970-0397), the YouthBuild Impact Evaluation (OMB No. 1205-0503), the Cascades Job Corps College and Career Academy (CCCA) </w:t>
      </w:r>
      <w:r w:rsidR="00234A2A">
        <w:t>Pilot</w:t>
      </w:r>
      <w:r w:rsidR="00EC7D33" w:rsidRPr="00EC7D33">
        <w:t xml:space="preserve"> Study (OMB No. 1290-0012), the Health Profession Opportunity Grants (HPOG) Evaluation (OMB No. 0970-0394), and the </w:t>
      </w:r>
      <w:r w:rsidR="00D85C55">
        <w:t xml:space="preserve">Pathways for Advancing Careers and Education (PACE) </w:t>
      </w:r>
      <w:r w:rsidR="00EC7D33" w:rsidRPr="00EC7D33">
        <w:t>Evaluation (OMB No. 0970-0397)</w:t>
      </w:r>
      <w:r w:rsidR="00234A2A">
        <w:t>.</w:t>
      </w:r>
      <w:r w:rsidR="00EC7D33" w:rsidRPr="00EC7D33">
        <w:t xml:space="preserve"> </w:t>
      </w:r>
      <w:r w:rsidR="00297ED5">
        <w:t xml:space="preserve">Experts in their respective disciplines (statistics, policy analysis, economics, and survey operations) were consulted in developing the survey instrument. </w:t>
      </w:r>
    </w:p>
    <w:p w14:paraId="00DDBC83" w14:textId="5E634E74" w:rsidR="00F657E0" w:rsidRDefault="00F657E0" w:rsidP="00660673">
      <w:pPr>
        <w:pStyle w:val="BodyText"/>
      </w:pPr>
      <w:r>
        <w:t>Additionally,</w:t>
      </w:r>
      <w:r w:rsidRPr="00F657E0">
        <w:t xml:space="preserve"> </w:t>
      </w:r>
      <w:r>
        <w:t>while developing the survey instrument, the evaluation team consulted with representatives from the National Office of Job Corps, the Department of Labor’s Employment and Training Administration, and the</w:t>
      </w:r>
      <w:r w:rsidRPr="00F657E0">
        <w:t xml:space="preserve"> </w:t>
      </w:r>
      <w:r>
        <w:t>Department of Labor’s Chief Evaluation Office on theorized outcomes of the CCCA Pilot. The evaluation team also pre-tested the survey instrument on a group of nine study members who will not be part of the follow-up survey sample (i.e., randomized during the pilot period</w:t>
      </w:r>
      <w:r w:rsidR="00A20F56">
        <w:t xml:space="preserve">; see Part B, page 1). This group of study members consisted of five treatment group members who enrolled at CCCA, and four control group members who </w:t>
      </w:r>
      <w:r w:rsidR="001A0D11">
        <w:t>did not enroll</w:t>
      </w:r>
      <w:r w:rsidR="00A20F56">
        <w:t xml:space="preserve"> at CCCA. Following the pre-test results, the evaluation team revised que</w:t>
      </w:r>
      <w:r w:rsidR="00381D5F">
        <w:t>stions and interviewer directions</w:t>
      </w:r>
      <w:r w:rsidR="00A20F56">
        <w:t xml:space="preserve"> based on respondent feedback, and removed questions and restructured the instrument to fit in the time allotted. </w:t>
      </w:r>
    </w:p>
    <w:p w14:paraId="79B6102C" w14:textId="41CA68B9" w:rsidR="006F299B" w:rsidRDefault="006F299B" w:rsidP="008615B4">
      <w:pPr>
        <w:pStyle w:val="Heading2"/>
      </w:pPr>
      <w:bookmarkStart w:id="16" w:name="_Toc508364264"/>
      <w:r>
        <w:t>A</w:t>
      </w:r>
      <w:r w:rsidR="00626051">
        <w:t>.</w:t>
      </w:r>
      <w:r w:rsidRPr="001034D3">
        <w:t xml:space="preserve">9: </w:t>
      </w:r>
      <w:bookmarkEnd w:id="16"/>
      <w:r w:rsidR="00D77CDF">
        <w:t>Incentives</w:t>
      </w:r>
    </w:p>
    <w:p w14:paraId="49AD918F" w14:textId="19BF17A9" w:rsidR="00D77CDF" w:rsidRDefault="00D77CDF" w:rsidP="009A7B52">
      <w:r>
        <w:t xml:space="preserve">Respondents will receive $25 as a token of appreciation. </w:t>
      </w:r>
      <w:r w:rsidRPr="006A7FB8">
        <w:t>The CCCA 18-month</w:t>
      </w:r>
      <w:r>
        <w:t xml:space="preserve"> follow-up survey incentive payment amount is based on comparable other surveys of similar populations. </w:t>
      </w:r>
      <w:r w:rsidRPr="000A5A5A">
        <w:t xml:space="preserve">ACF’s evaluation of Building Strong Families, conducted by Mathematica, found $25 incentives for low-income youth (and a $25 incentive for parents) effective in attaching the dyads to the study over time and achieving the required completion rates. In multiple studies for the Corporation for National Service, </w:t>
      </w:r>
      <w:r>
        <w:t xml:space="preserve"> Abt used </w:t>
      </w:r>
      <w:r w:rsidRPr="000A5A5A">
        <w:t xml:space="preserve">a $25 incentive </w:t>
      </w:r>
      <w:r>
        <w:t>as</w:t>
      </w:r>
      <w:r w:rsidRPr="000A5A5A">
        <w:t xml:space="preserve"> the standard incentive used over the last two decades to achieve the desired</w:t>
      </w:r>
      <w:r>
        <w:t xml:space="preserve"> survey</w:t>
      </w:r>
      <w:r w:rsidRPr="000A5A5A">
        <w:t xml:space="preserve"> completion rates with youth populations at all socio-economic levels, although the incentive </w:t>
      </w:r>
      <w:r>
        <w:t>i</w:t>
      </w:r>
      <w:r w:rsidRPr="000A5A5A">
        <w:t>s sometimes raised to reach the hardest-to-reach youth.</w:t>
      </w:r>
      <w:r>
        <w:t xml:space="preserve"> The </w:t>
      </w:r>
      <w:r w:rsidRPr="001605B1">
        <w:t>Teen Pregnancy Prevention Replication Study</w:t>
      </w:r>
      <w:r>
        <w:t xml:space="preserve">, conducted for the </w:t>
      </w:r>
      <w:r w:rsidRPr="001605B1">
        <w:t>Office of Adolescent Health (OAH) and Office of Assistant Secretary for Planning and Evaluation (ASPE)</w:t>
      </w:r>
      <w:r>
        <w:t xml:space="preserve"> at HHS, utilized an incentive payment of $25. OMB approved t</w:t>
      </w:r>
      <w:r w:rsidRPr="000A5A5A">
        <w:t xml:space="preserve">hese incentive payments </w:t>
      </w:r>
      <w:r>
        <w:t>as elements of prior information collection requests</w:t>
      </w:r>
      <w:r w:rsidRPr="000A5A5A">
        <w:t>.</w:t>
      </w:r>
    </w:p>
    <w:p w14:paraId="589770E1" w14:textId="3B551258" w:rsidR="009A7B52" w:rsidRDefault="009A7B52" w:rsidP="009A7B52">
      <w:r w:rsidRPr="0043080C">
        <w:t>Incentive payments are a powerful tool for maintaining low attrition rates in longitudinal studies</w:t>
      </w:r>
      <w:r>
        <w:t xml:space="preserve">. </w:t>
      </w:r>
      <w:r w:rsidRPr="00B9658D">
        <w:t>The use</w:t>
      </w:r>
      <w:r w:rsidRPr="00632344">
        <w:t xml:space="preserve"> of incentive payments for the </w:t>
      </w:r>
      <w:r>
        <w:t xml:space="preserve">CCCA Job Corps Evaluation </w:t>
      </w:r>
      <w:r w:rsidRPr="00632344">
        <w:t xml:space="preserve">can help </w:t>
      </w:r>
      <w:r>
        <w:t xml:space="preserve">maximize </w:t>
      </w:r>
      <w:r w:rsidRPr="00632344">
        <w:rPr>
          <w:bCs/>
          <w:iCs/>
        </w:rPr>
        <w:t>response rate</w:t>
      </w:r>
      <w:r>
        <w:rPr>
          <w:bCs/>
          <w:iCs/>
        </w:rPr>
        <w:t>s</w:t>
      </w:r>
      <w:r w:rsidRPr="00632344">
        <w:rPr>
          <w:bCs/>
          <w:iCs/>
        </w:rPr>
        <w:t>, which is necessary to ensure unbiased impact estimates</w:t>
      </w:r>
      <w:r>
        <w:rPr>
          <w:bCs/>
          <w:iCs/>
        </w:rPr>
        <w:t xml:space="preserve">. </w:t>
      </w:r>
      <w:r w:rsidRPr="00632344">
        <w:t>Three factors helped to determine the incentive amounts for each survey:</w:t>
      </w:r>
    </w:p>
    <w:p w14:paraId="44D23C2F" w14:textId="77777777" w:rsidR="009A7B52" w:rsidRPr="005F36F7" w:rsidRDefault="009A7B52" w:rsidP="009A7B52">
      <w:pPr>
        <w:pStyle w:val="Bullets"/>
      </w:pPr>
      <w:r w:rsidRPr="005F36F7">
        <w:t xml:space="preserve">Respondent burden, both at the time of the interview and over the life of the </w:t>
      </w:r>
      <w:r>
        <w:t>study</w:t>
      </w:r>
    </w:p>
    <w:p w14:paraId="505BA5C0" w14:textId="77777777" w:rsidR="009A7B52" w:rsidRPr="005F36F7" w:rsidRDefault="009A7B52" w:rsidP="009A7B52">
      <w:pPr>
        <w:pStyle w:val="Bullets"/>
      </w:pPr>
      <w:r w:rsidRPr="005F36F7">
        <w:t xml:space="preserve">Costs associated with participating in the interview at that time </w:t>
      </w:r>
    </w:p>
    <w:p w14:paraId="66F285F2" w14:textId="77777777" w:rsidR="009A7B52" w:rsidRDefault="009A7B52" w:rsidP="009A7B52">
      <w:pPr>
        <w:pStyle w:val="BulletsLast"/>
      </w:pPr>
      <w:r w:rsidRPr="005F36F7">
        <w:t>Other studies of comparable populations and burden</w:t>
      </w:r>
    </w:p>
    <w:p w14:paraId="010994E5" w14:textId="77777777" w:rsidR="004A5DC9" w:rsidRDefault="004A5DC9" w:rsidP="004A5DC9">
      <w:r>
        <w:t>Given the importance of this evaluation, the data collection must maintain the highest standards. Providing a modest payment to study subjects who complete a given follow-up interview can contribute to the achievement of that goal by significantly increasing response rates, thereby ensuring data collection from a sample that is truly representative. Because response to telephone surveys has been declining in recent years and costs associated with achieving high response have been increasing, the use of respondent payments has become common practice for survey studies.</w:t>
      </w:r>
      <w:r w:rsidR="00714178">
        <w:rPr>
          <w:rStyle w:val="FootnoteReference"/>
        </w:rPr>
        <w:footnoteReference w:id="4"/>
      </w:r>
      <w:r>
        <w:t xml:space="preserve"> These payments can help achieve high response rates by increasing the sample members’ propensity to respond.</w:t>
      </w:r>
      <w:r w:rsidR="00714178">
        <w:rPr>
          <w:rStyle w:val="FootnoteReference"/>
        </w:rPr>
        <w:footnoteReference w:id="5"/>
      </w:r>
      <w:r>
        <w:t xml:space="preserve"> Studies offering respondent payments show decreased refusal rates and increased contact and cooperation rates. Among sample members who initially refuse to participate, the availability of payments increases refusal-conversion rates. These payments also can help contain costs by increasing sample members’ propensity to respond, thus significantly reducing the effort and funds expended to resolve a case and the number of interim refusals. These operational cost savings and direct participant benefits provide justification for offering payments to survey respondents.   </w:t>
      </w:r>
    </w:p>
    <w:p w14:paraId="67A1D1F5" w14:textId="77777777" w:rsidR="004A5DC9" w:rsidRDefault="004A5DC9" w:rsidP="004A5DC9">
      <w:r>
        <w:t xml:space="preserve">In addition to helping gain cooperation to increase the overall response rate, respondent payments also increase the likelihood of participation from subgroups with a lower propensity to cooperate with the survey request. </w:t>
      </w:r>
      <w:r w:rsidR="002C10DA">
        <w:t>Increased response rates from subgroups with a lower propensity to cooperate are</w:t>
      </w:r>
      <w:r>
        <w:t xml:space="preserve"> another important factor in helping to ensure the representative nature of the outcome data and the quality of the data being collected. For example, Jäckle and Lynn</w:t>
      </w:r>
      <w:r w:rsidR="00714178">
        <w:rPr>
          <w:rStyle w:val="FootnoteReference"/>
        </w:rPr>
        <w:footnoteReference w:id="6"/>
      </w:r>
      <w:r>
        <w:t xml:space="preserve"> find that respondent payments increase the participation of sample members who are more likely to be unemployed.  </w:t>
      </w:r>
      <w:r w:rsidR="004D4851">
        <w:t>E</w:t>
      </w:r>
      <w:r>
        <w:t>vidence</w:t>
      </w:r>
      <w:r w:rsidR="004D4851">
        <w:t xml:space="preserve"> also shows </w:t>
      </w:r>
      <w:r>
        <w:t>that respondent payments bolster participation among those with lower interest in the survey topic</w:t>
      </w:r>
      <w:r w:rsidR="00714178">
        <w:t>,</w:t>
      </w:r>
      <w:r w:rsidR="00714178">
        <w:rPr>
          <w:rStyle w:val="FootnoteReference"/>
        </w:rPr>
        <w:footnoteReference w:id="7"/>
      </w:r>
      <w:r w:rsidR="00B00588" w:rsidRPr="00B00588">
        <w:rPr>
          <w:vertAlign w:val="superscript"/>
        </w:rPr>
        <w:t>,</w:t>
      </w:r>
      <w:r w:rsidR="00B00588">
        <w:rPr>
          <w:rStyle w:val="FootnoteReference"/>
        </w:rPr>
        <w:footnoteReference w:id="8"/>
      </w:r>
      <w:r w:rsidR="00B00588">
        <w:rPr>
          <w:vertAlign w:val="superscript"/>
        </w:rPr>
        <w:t>,</w:t>
      </w:r>
      <w:r w:rsidR="00B00588">
        <w:rPr>
          <w:rStyle w:val="FootnoteReference"/>
        </w:rPr>
        <w:footnoteReference w:id="9"/>
      </w:r>
      <w:r>
        <w:t xml:space="preserve"> resulting in data that are more nearly complete. </w:t>
      </w:r>
      <w:r w:rsidR="004D4851">
        <w:t>Prior research</w:t>
      </w:r>
      <w:r>
        <w:t xml:space="preserve"> establishe</w:t>
      </w:r>
      <w:r w:rsidR="004D4851">
        <w:t>s</w:t>
      </w:r>
      <w:r>
        <w:t xml:space="preserve"> that payments do not impair the quality of the data obtained (for example, by increasing item nonresponse or the distribution of responses) from groups who </w:t>
      </w:r>
      <w:r w:rsidR="004D4851">
        <w:t xml:space="preserve">may </w:t>
      </w:r>
      <w:r>
        <w:t>otherwise be underrepresented in a survey.</w:t>
      </w:r>
      <w:r w:rsidR="00B00588">
        <w:rPr>
          <w:rStyle w:val="FootnoteReference"/>
        </w:rPr>
        <w:footnoteReference w:id="10"/>
      </w:r>
    </w:p>
    <w:p w14:paraId="460089C2" w14:textId="77777777" w:rsidR="004A5DC9" w:rsidRDefault="004A5DC9" w:rsidP="009A7B52">
      <w:r w:rsidRPr="004A5DC9">
        <w:t xml:space="preserve">Offering respondent payments is </w:t>
      </w:r>
      <w:r w:rsidR="004D4851">
        <w:t>a</w:t>
      </w:r>
      <w:r w:rsidR="004D4851" w:rsidRPr="004A5DC9">
        <w:t xml:space="preserve"> </w:t>
      </w:r>
      <w:r w:rsidRPr="004A5DC9">
        <w:t xml:space="preserve">final critical addition to intensive efforts to establish contact with prospective respondents, and gain their cooperation with the planned data collection. A $25 payment will be offered to respondents as a </w:t>
      </w:r>
      <w:r w:rsidRPr="006A7FB8">
        <w:t>token of appreciation for their time spent participating in the survey</w:t>
      </w:r>
      <w:r w:rsidRPr="004A5DC9">
        <w:t>. Such a sign of appreciation motivates sample members to participate in the survey, and may influence their decision to provide updated contact information</w:t>
      </w:r>
      <w:r>
        <w:t xml:space="preserve"> during the tracking period. </w:t>
      </w:r>
      <w:r w:rsidRPr="004A5DC9">
        <w:t xml:space="preserve">To leverage fully the benefits of </w:t>
      </w:r>
      <w:r>
        <w:t>the incentive payments, the payments</w:t>
      </w:r>
      <w:r w:rsidRPr="004A5DC9">
        <w:t xml:space="preserve"> will be mentioned when contact is established with the participants and attempts are made to gain their cooperation.</w:t>
      </w:r>
      <w:r>
        <w:t xml:space="preserve"> </w:t>
      </w:r>
    </w:p>
    <w:p w14:paraId="1DB1B00B" w14:textId="668C7DC0" w:rsidR="000A5A5A" w:rsidRDefault="000A5A5A" w:rsidP="009A7B52"/>
    <w:p w14:paraId="44BB644C" w14:textId="77777777" w:rsidR="006F299B" w:rsidRDefault="006F299B" w:rsidP="000F2E8A">
      <w:pPr>
        <w:pStyle w:val="Heading2"/>
        <w:pBdr>
          <w:bottom w:val="single" w:sz="6" w:space="0" w:color="D0D3D4"/>
        </w:pBdr>
      </w:pPr>
      <w:bookmarkStart w:id="17" w:name="_Toc508364265"/>
      <w:r w:rsidRPr="00D534E2">
        <w:t>A</w:t>
      </w:r>
      <w:r w:rsidR="00626051">
        <w:t>.</w:t>
      </w:r>
      <w:r w:rsidRPr="00D534E2">
        <w:t xml:space="preserve">10: </w:t>
      </w:r>
      <w:r w:rsidR="004130A4">
        <w:t>Privacy</w:t>
      </w:r>
      <w:r w:rsidR="004130A4" w:rsidRPr="00D534E2">
        <w:t xml:space="preserve"> </w:t>
      </w:r>
      <w:r w:rsidRPr="00D534E2">
        <w:t xml:space="preserve">of </w:t>
      </w:r>
      <w:r w:rsidR="00911BD5">
        <w:t>R</w:t>
      </w:r>
      <w:r w:rsidRPr="00D534E2">
        <w:t>espondents</w:t>
      </w:r>
      <w:bookmarkEnd w:id="17"/>
    </w:p>
    <w:p w14:paraId="64038A54" w14:textId="77777777" w:rsidR="008C3069" w:rsidRDefault="008C3069" w:rsidP="008C3069">
      <w:pPr>
        <w:pStyle w:val="BodyText"/>
      </w:pPr>
      <w:r>
        <w:t xml:space="preserve">Respondent privacy will be protected to the extent allowed by law. </w:t>
      </w:r>
      <w:r w:rsidR="00804799">
        <w:t>The study team</w:t>
      </w:r>
      <w:r>
        <w:t xml:space="preserve"> </w:t>
      </w:r>
      <w:r w:rsidR="00804799">
        <w:t>is</w:t>
      </w:r>
      <w:r w:rsidRPr="00264162">
        <w:t xml:space="preserve"> very cognizant of </w:t>
      </w:r>
      <w:r>
        <w:t xml:space="preserve">and committed to maintaining </w:t>
      </w:r>
      <w:r w:rsidRPr="00264162">
        <w:t xml:space="preserve">federal, state, and </w:t>
      </w:r>
      <w:r>
        <w:t>DOL</w:t>
      </w:r>
      <w:r w:rsidRPr="00264162">
        <w:t xml:space="preserve"> data security requirements. </w:t>
      </w:r>
      <w:r w:rsidR="004D4851">
        <w:t>Every</w:t>
      </w:r>
      <w:r w:rsidR="004D4851" w:rsidRPr="00264162">
        <w:t xml:space="preserve"> </w:t>
      </w:r>
      <w:r>
        <w:t xml:space="preserve">study </w:t>
      </w:r>
      <w:r w:rsidRPr="00264162">
        <w:t>staff will comply with relevant policies related to secure data collection, data storage</w:t>
      </w:r>
      <w:r>
        <w:t>, transport</w:t>
      </w:r>
      <w:r w:rsidRPr="00264162">
        <w:t xml:space="preserve"> and access, and data dissemination and analysis. </w:t>
      </w:r>
      <w:r>
        <w:t xml:space="preserve">DOL recognizes that the Job Corps serves vulnerable populations, and that centers must protect study participants from any risks of harm from evaluation activities. Accordingly, all evaluation staff </w:t>
      </w:r>
      <w:r w:rsidR="004D4851">
        <w:t xml:space="preserve">also </w:t>
      </w:r>
      <w:r>
        <w:t xml:space="preserve">sign a privacy/non-disclosure agreement. </w:t>
      </w:r>
    </w:p>
    <w:p w14:paraId="76DEA6BB" w14:textId="77777777" w:rsidR="008C3069" w:rsidRPr="008E061D" w:rsidRDefault="008C3069" w:rsidP="008C3069">
      <w:pPr>
        <w:pStyle w:val="BodyText"/>
      </w:pPr>
      <w:r>
        <w:t>The research team developed strong protocols to help</w:t>
      </w:r>
      <w:r w:rsidRPr="00E11EEB">
        <w:t xml:space="preserve"> maintain the privacy of respondents to the</w:t>
      </w:r>
      <w:r>
        <w:t xml:space="preserve"> extent permitted by law. </w:t>
      </w:r>
      <w:r w:rsidRPr="00E11EEB">
        <w:t xml:space="preserve">All research staff working </w:t>
      </w:r>
      <w:r>
        <w:t>with personally identifiable information (PII) will follow strict procedures</w:t>
      </w:r>
      <w:r w:rsidRPr="00E11EEB">
        <w:t xml:space="preserve"> to protect private information </w:t>
      </w:r>
      <w:r>
        <w:t>and they will</w:t>
      </w:r>
      <w:r w:rsidRPr="00E11EEB">
        <w:t xml:space="preserve"> sign a pledge stating that they will keep all information gathered private to the extent permissible by law. All papers that contain participant names or other identifying information will </w:t>
      </w:r>
      <w:r>
        <w:t>reside</w:t>
      </w:r>
      <w:r w:rsidRPr="00E11EEB">
        <w:t xml:space="preserve"> in locked areas and</w:t>
      </w:r>
      <w:r>
        <w:t xml:space="preserve"> workstations will be password protected to safeguard access to electronic data. </w:t>
      </w:r>
    </w:p>
    <w:p w14:paraId="56AF5B8E" w14:textId="77777777" w:rsidR="008C3069" w:rsidRPr="004612DE" w:rsidRDefault="008C3069" w:rsidP="008C3069">
      <w:pPr>
        <w:pStyle w:val="BodyText"/>
      </w:pPr>
      <w:r w:rsidRPr="008E061D">
        <w:t xml:space="preserve">The </w:t>
      </w:r>
      <w:r w:rsidRPr="006A7FB8">
        <w:t>18-month follow</w:t>
      </w:r>
      <w:r>
        <w:t>-up survey is voluntary. Prior to the start of each survey, researchers will inform sample members that all of their</w:t>
      </w:r>
      <w:r w:rsidRPr="003A1AAE">
        <w:t xml:space="preserve"> responses </w:t>
      </w:r>
      <w:r>
        <w:t>will be kept private,</w:t>
      </w:r>
      <w:r w:rsidRPr="003A1AAE">
        <w:t xml:space="preserve"> </w:t>
      </w:r>
      <w:r>
        <w:t>their names</w:t>
      </w:r>
      <w:r w:rsidRPr="003A1AAE">
        <w:t xml:space="preserve"> will not appear i</w:t>
      </w:r>
      <w:r>
        <w:t xml:space="preserve">n any written reports, that </w:t>
      </w:r>
      <w:r w:rsidRPr="003A1AAE">
        <w:t xml:space="preserve">responses </w:t>
      </w:r>
      <w:r>
        <w:t>to the</w:t>
      </w:r>
      <w:r w:rsidRPr="003A1AAE">
        <w:t xml:space="preserve"> questions are </w:t>
      </w:r>
      <w:r>
        <w:t>voluntary, and that the study has a Certificate of Confidentiality</w:t>
      </w:r>
      <w:r w:rsidR="00185FCC">
        <w:t xml:space="preserve"> from </w:t>
      </w:r>
      <w:r w:rsidR="00185FCC" w:rsidRPr="004612DE">
        <w:t>the National Institutes of Health</w:t>
      </w:r>
      <w:r w:rsidR="00185FCC">
        <w:t xml:space="preserve"> (number </w:t>
      </w:r>
      <w:r w:rsidR="00185FCC" w:rsidRPr="00185FCC">
        <w:t>CC-HD-17-008</w:t>
      </w:r>
      <w:r w:rsidR="00185FCC">
        <w:t>)</w:t>
      </w:r>
      <w:r>
        <w:t xml:space="preserve"> to protect their data from subpoena. All consent and survey protocols have been submitted </w:t>
      </w:r>
      <w:r w:rsidRPr="005234EA">
        <w:t>to and approved by A</w:t>
      </w:r>
      <w:r>
        <w:t xml:space="preserve">bt Associates’ Institutional Review Board (IRB). </w:t>
      </w:r>
    </w:p>
    <w:p w14:paraId="205827BC" w14:textId="77777777" w:rsidR="006A0712" w:rsidRPr="0017620D" w:rsidRDefault="003B6D44" w:rsidP="00236B01">
      <w:pPr>
        <w:pStyle w:val="BodyText"/>
      </w:pPr>
      <w:r>
        <w:t xml:space="preserve">DOL </w:t>
      </w:r>
      <w:r w:rsidR="001D14B9">
        <w:t>plans</w:t>
      </w:r>
      <w:r>
        <w:t xml:space="preserve"> </w:t>
      </w:r>
      <w:r w:rsidR="004A6D4D">
        <w:t xml:space="preserve">to </w:t>
      </w:r>
      <w:r>
        <w:t>produc</w:t>
      </w:r>
      <w:r w:rsidR="004A6D4D">
        <w:t xml:space="preserve">e </w:t>
      </w:r>
      <w:r>
        <w:t xml:space="preserve">a Public Use File (PUF) at the end of the evaluation contract that will include data </w:t>
      </w:r>
      <w:r w:rsidR="002E34D3">
        <w:t xml:space="preserve">collected from the </w:t>
      </w:r>
      <w:r w:rsidR="00F24F82">
        <w:t>baseline information form</w:t>
      </w:r>
      <w:r w:rsidR="002E34D3">
        <w:t xml:space="preserve"> and 18-month survey</w:t>
      </w:r>
      <w:r>
        <w:t xml:space="preserve">. </w:t>
      </w:r>
      <w:r w:rsidR="00331CEB">
        <w:t xml:space="preserve">The contractor will remove </w:t>
      </w:r>
      <w:r>
        <w:t xml:space="preserve">PII </w:t>
      </w:r>
      <w:r w:rsidR="00331CEB">
        <w:t xml:space="preserve">from the file and will undertake other steps </w:t>
      </w:r>
      <w:r>
        <w:t>to reduce the risk of re-identification</w:t>
      </w:r>
      <w:r w:rsidR="00331CEB">
        <w:t xml:space="preserve"> (e.g., collapsing small cells, not reporting exact dates)</w:t>
      </w:r>
      <w:r>
        <w:t>. The PUF will</w:t>
      </w:r>
      <w:r w:rsidR="005C7C1F">
        <w:t xml:space="preserve"> contain administrative data from the Job Corps MIS and the CCCA MIS but will </w:t>
      </w:r>
      <w:r>
        <w:t xml:space="preserve">not contain any administrative data from </w:t>
      </w:r>
      <w:r w:rsidR="005C7C1F">
        <w:t xml:space="preserve">other </w:t>
      </w:r>
      <w:r>
        <w:t>source</w:t>
      </w:r>
      <w:r w:rsidR="005C7C1F">
        <w:t>s</w:t>
      </w:r>
      <w:r>
        <w:t xml:space="preserve">.  </w:t>
      </w:r>
      <w:r w:rsidR="006A0712">
        <w:t xml:space="preserve">  </w:t>
      </w:r>
    </w:p>
    <w:p w14:paraId="70F92645" w14:textId="77777777" w:rsidR="006F299B" w:rsidRPr="004205E1" w:rsidRDefault="006F299B" w:rsidP="008615B4">
      <w:pPr>
        <w:pStyle w:val="Heading2"/>
      </w:pPr>
      <w:bookmarkStart w:id="18" w:name="_Toc508364266"/>
      <w:r w:rsidRPr="004205E1">
        <w:t>A</w:t>
      </w:r>
      <w:r w:rsidR="00626051">
        <w:t>.</w:t>
      </w:r>
      <w:r w:rsidRPr="004205E1">
        <w:t xml:space="preserve">11: Sensitive </w:t>
      </w:r>
      <w:r w:rsidR="008615B4">
        <w:t>Q</w:t>
      </w:r>
      <w:r w:rsidRPr="004205E1">
        <w:t>uestions</w:t>
      </w:r>
      <w:bookmarkEnd w:id="18"/>
    </w:p>
    <w:p w14:paraId="213E1024" w14:textId="77777777" w:rsidR="005234EA" w:rsidRPr="005530C1" w:rsidRDefault="005234EA" w:rsidP="005234EA">
      <w:pPr>
        <w:pStyle w:val="BodyText"/>
      </w:pPr>
      <w:r>
        <w:t xml:space="preserve">The </w:t>
      </w:r>
      <w:r w:rsidRPr="000906FE">
        <w:t>18-month survey</w:t>
      </w:r>
      <w:r>
        <w:t xml:space="preserve"> will collect information from participants who have consented </w:t>
      </w:r>
      <w:r w:rsidR="00397F70">
        <w:t>–</w:t>
      </w:r>
      <w:r w:rsidR="002E439A">
        <w:t xml:space="preserve"> or</w:t>
      </w:r>
      <w:r w:rsidR="00331CEB">
        <w:t>, as appropriate,</w:t>
      </w:r>
      <w:r w:rsidR="002E439A">
        <w:t xml:space="preserve"> have been given parental consent – to participate in this evaluation. </w:t>
      </w:r>
      <w:r w:rsidR="001D14B9">
        <w:t>I</w:t>
      </w:r>
      <w:r w:rsidR="00331CEB">
        <w:t>nformation</w:t>
      </w:r>
      <w:r w:rsidR="001D14B9">
        <w:t xml:space="preserve"> to be collected includes:</w:t>
      </w:r>
      <w:r>
        <w:t xml:space="preserve"> services received through the program or through other programs in areas such </w:t>
      </w:r>
      <w:r w:rsidRPr="00E712B2">
        <w:t>as</w:t>
      </w:r>
      <w:r w:rsidR="00FE41F1" w:rsidRPr="00E712B2">
        <w:t xml:space="preserve"> training or educational courses</w:t>
      </w:r>
      <w:r w:rsidRPr="00E712B2">
        <w:t xml:space="preserve"> and supportive services; any credentials earned; employment </w:t>
      </w:r>
      <w:r w:rsidR="00FE41F1" w:rsidRPr="00E712B2">
        <w:t xml:space="preserve">information since random assignment; military enlistment; </w:t>
      </w:r>
      <w:r w:rsidRPr="00E712B2">
        <w:t>experiences with</w:t>
      </w:r>
      <w:r w:rsidR="00FE41F1" w:rsidRPr="00E712B2">
        <w:t xml:space="preserve"> and opinions on</w:t>
      </w:r>
      <w:r w:rsidRPr="00E712B2">
        <w:t xml:space="preserve"> the services received through </w:t>
      </w:r>
      <w:r w:rsidR="00FE41F1" w:rsidRPr="00E712B2">
        <w:t>a program;</w:t>
      </w:r>
      <w:r w:rsidRPr="00E712B2">
        <w:t xml:space="preserve"> </w:t>
      </w:r>
      <w:r w:rsidR="00FE41F1" w:rsidRPr="00E712B2">
        <w:t xml:space="preserve">socio-emotional skills; </w:t>
      </w:r>
      <w:r w:rsidRPr="00E712B2">
        <w:t>criminal activity</w:t>
      </w:r>
      <w:r w:rsidR="00FE41F1" w:rsidRPr="00E712B2">
        <w:t xml:space="preserve">; </w:t>
      </w:r>
      <w:r w:rsidR="006955F3">
        <w:t xml:space="preserve">and </w:t>
      </w:r>
      <w:r w:rsidR="00FE41F1" w:rsidRPr="00E712B2">
        <w:t>public</w:t>
      </w:r>
      <w:r w:rsidR="00FE41F1">
        <w:t xml:space="preserve"> benefit receipt.</w:t>
      </w:r>
      <w:r>
        <w:t xml:space="preserve"> </w:t>
      </w:r>
      <w:r w:rsidR="00FE41F1">
        <w:t>Most of these</w:t>
      </w:r>
      <w:r>
        <w:t xml:space="preserve"> type</w:t>
      </w:r>
      <w:r w:rsidR="00FE41F1">
        <w:t>s</w:t>
      </w:r>
      <w:r>
        <w:t xml:space="preserve"> of information </w:t>
      </w:r>
      <w:r w:rsidR="00FE41F1">
        <w:t>are</w:t>
      </w:r>
      <w:r>
        <w:t xml:space="preserve"> generally collected as part of enrollment in government-funded training programs and </w:t>
      </w:r>
      <w:r w:rsidR="00FE41F1">
        <w:t>are</w:t>
      </w:r>
      <w:r>
        <w:t xml:space="preserve"> ther</w:t>
      </w:r>
      <w:r w:rsidR="00FE41F1">
        <w:t>efore not considered sensitive.</w:t>
      </w:r>
      <w:r>
        <w:t xml:space="preserve"> However, depending on an individual’s particular circumstances, any question could be perceived as sensitive.</w:t>
      </w:r>
      <w:r w:rsidR="00FE41F1">
        <w:t xml:space="preserve"> In addition, many of the applicants are minors at the time of enrollment</w:t>
      </w:r>
      <w:r w:rsidR="00E712B2">
        <w:t xml:space="preserve">, and some may still be minors at the time of the follow-up interview. </w:t>
      </w:r>
      <w:r w:rsidR="00E712B2" w:rsidRPr="005530C1">
        <w:t>T</w:t>
      </w:r>
      <w:r w:rsidR="00FE41F1" w:rsidRPr="005530C1">
        <w:t xml:space="preserve">he evaluation team considers questions of a sensitive nature to include those related to criminal </w:t>
      </w:r>
      <w:r w:rsidR="00E712B2" w:rsidRPr="005530C1">
        <w:t>activity</w:t>
      </w:r>
      <w:r w:rsidR="00FE41F1" w:rsidRPr="005530C1">
        <w:t xml:space="preserve">, </w:t>
      </w:r>
      <w:r w:rsidR="005530C1" w:rsidRPr="005530C1">
        <w:t xml:space="preserve">use of alcohol and controlled substances, </w:t>
      </w:r>
      <w:r w:rsidR="00FE41F1" w:rsidRPr="005530C1">
        <w:t xml:space="preserve">and </w:t>
      </w:r>
      <w:r w:rsidR="00E712B2" w:rsidRPr="005530C1">
        <w:t>socio-emotional</w:t>
      </w:r>
      <w:r w:rsidR="00FE41F1" w:rsidRPr="005530C1">
        <w:t xml:space="preserve"> measures. </w:t>
      </w:r>
      <w:r w:rsidRPr="005530C1">
        <w:t>Evaluation team interviewers are well trained to show sensitivity while remaining impartial.  Also, respondents have the right to refuse to answer any question. Finally, to encourage reporting, reluctant respondents are reminded that their answers will be kept private, to the extent allowable under law, and that the study has obtained a Certificate of Confidentiality to protect their data from subpoena.</w:t>
      </w:r>
    </w:p>
    <w:p w14:paraId="64FDFE48" w14:textId="77777777" w:rsidR="00FE41F1" w:rsidRDefault="00FE41F1" w:rsidP="00FE41F1">
      <w:pPr>
        <w:pStyle w:val="BodyText"/>
      </w:pPr>
      <w:r w:rsidRPr="005530C1">
        <w:t xml:space="preserve">Listed below are items that may be considered sensitive </w:t>
      </w:r>
      <w:r w:rsidR="00331CEB" w:rsidRPr="005530C1">
        <w:t xml:space="preserve">or identifying </w:t>
      </w:r>
      <w:r w:rsidRPr="005530C1">
        <w:t>and the justification for including them:</w:t>
      </w:r>
      <w:r>
        <w:t xml:space="preserve">  </w:t>
      </w:r>
    </w:p>
    <w:p w14:paraId="7F10FBC0" w14:textId="77777777" w:rsidR="00FE41F1" w:rsidRDefault="00FE41F1" w:rsidP="005530C1">
      <w:pPr>
        <w:pStyle w:val="BodyText"/>
        <w:numPr>
          <w:ilvl w:val="0"/>
          <w:numId w:val="40"/>
        </w:numPr>
      </w:pPr>
      <w:r>
        <w:t xml:space="preserve">Information about sample members’ </w:t>
      </w:r>
      <w:r w:rsidR="00594DA5">
        <w:t>criminal activity</w:t>
      </w:r>
      <w:r w:rsidR="006955F3">
        <w:t xml:space="preserve"> and</w:t>
      </w:r>
      <w:r w:rsidR="005530C1">
        <w:t xml:space="preserve"> </w:t>
      </w:r>
      <w:r w:rsidR="005530C1" w:rsidRPr="005530C1">
        <w:t>use of alcohol and controlled substances</w:t>
      </w:r>
      <w:r w:rsidR="006955F3">
        <w:t xml:space="preserve"> </w:t>
      </w:r>
      <w:r w:rsidR="001A1A1C">
        <w:t>during the follow-up period, and socio-emotional skills at the time of the follow-up interview.</w:t>
      </w:r>
      <w:r>
        <w:t xml:space="preserve"> </w:t>
      </w:r>
      <w:r w:rsidR="001A1A1C">
        <w:t>Many studies have shown that that these developmental outcomes affect education and employment outcomes.</w:t>
      </w:r>
      <w:r w:rsidR="00714178">
        <w:rPr>
          <w:rStyle w:val="FootnoteReference"/>
        </w:rPr>
        <w:footnoteReference w:id="11"/>
      </w:r>
      <w:r w:rsidR="001A1A1C">
        <w:t xml:space="preserve"> </w:t>
      </w:r>
      <w:r w:rsidR="001A1A1C" w:rsidRPr="001A1A1C">
        <w:t>CCCA explicitly is attempting to affect critical social-emotional factors</w:t>
      </w:r>
      <w:r w:rsidR="001A1A1C">
        <w:t xml:space="preserve"> and risky behaviors</w:t>
      </w:r>
      <w:r w:rsidR="001A1A1C" w:rsidRPr="001A1A1C">
        <w:t xml:space="preserve"> that impact a young person’s ability to succ</w:t>
      </w:r>
      <w:r w:rsidR="001A1A1C">
        <w:t>eed in education and employment, and thus measurement of these domains at follow-up are critical to determining the full impacts of CCCA</w:t>
      </w:r>
      <w:r w:rsidR="001A1A1C" w:rsidRPr="001A1A1C">
        <w:t>.</w:t>
      </w:r>
      <w:r w:rsidR="001A1A1C">
        <w:t xml:space="preserve"> </w:t>
      </w:r>
    </w:p>
    <w:p w14:paraId="4996EEA8" w14:textId="77777777" w:rsidR="00FE41F1" w:rsidRDefault="00FE41F1" w:rsidP="00FE41F1">
      <w:pPr>
        <w:pStyle w:val="BodyText"/>
        <w:numPr>
          <w:ilvl w:val="0"/>
          <w:numId w:val="39"/>
        </w:numPr>
      </w:pPr>
      <w:r>
        <w:t xml:space="preserve">Updated participant contact information is collected so </w:t>
      </w:r>
      <w:r w:rsidRPr="00CD24A1">
        <w:t xml:space="preserve">that the </w:t>
      </w:r>
      <w:r w:rsidR="00D75DDC" w:rsidRPr="00CD24A1">
        <w:t xml:space="preserve">gift card </w:t>
      </w:r>
      <w:r w:rsidRPr="00CD24A1">
        <w:t xml:space="preserve">can be sent to the respondent. Given that this is a mobile population, it will be necessary to collect this information to ensure that the </w:t>
      </w:r>
      <w:r w:rsidR="00D75DDC" w:rsidRPr="00CD24A1">
        <w:t xml:space="preserve">gift card </w:t>
      </w:r>
      <w:r w:rsidRPr="00CD24A1">
        <w:t>is sent</w:t>
      </w:r>
      <w:r>
        <w:t xml:space="preserve"> to the respondent’s current address.</w:t>
      </w:r>
    </w:p>
    <w:p w14:paraId="3E4E9140" w14:textId="77777777" w:rsidR="00FE41F1" w:rsidRDefault="00FE41F1" w:rsidP="00236B01">
      <w:pPr>
        <w:pStyle w:val="BodyText"/>
        <w:numPr>
          <w:ilvl w:val="0"/>
          <w:numId w:val="39"/>
        </w:numPr>
      </w:pPr>
      <w:r>
        <w:t xml:space="preserve">Information on date of birth, address, and telephone numbers is needed to identify and contact participants. This information was collected at baseline, and remains part of the respondent’s information. Except in instances in which errors are found, there will be no need to collect this information again.  However, during follow-up survey administration, respondents will be asked to confirm this information.  </w:t>
      </w:r>
    </w:p>
    <w:p w14:paraId="67272581" w14:textId="77777777" w:rsidR="006F299B" w:rsidRDefault="006F299B" w:rsidP="008615B4">
      <w:pPr>
        <w:pStyle w:val="Heading2"/>
      </w:pPr>
      <w:bookmarkStart w:id="19" w:name="_Toc508364267"/>
      <w:r w:rsidRPr="001034D3">
        <w:t>A</w:t>
      </w:r>
      <w:r w:rsidR="00626051">
        <w:t>.</w:t>
      </w:r>
      <w:r w:rsidRPr="001034D3">
        <w:t xml:space="preserve">12: Estimation of Information </w:t>
      </w:r>
      <w:r w:rsidR="008615B4">
        <w:t>C</w:t>
      </w:r>
      <w:r w:rsidRPr="001034D3">
        <w:t xml:space="preserve">ollection </w:t>
      </w:r>
      <w:r w:rsidR="008615B4">
        <w:t>B</w:t>
      </w:r>
      <w:r w:rsidRPr="001034D3">
        <w:t>urden</w:t>
      </w:r>
      <w:bookmarkEnd w:id="19"/>
    </w:p>
    <w:p w14:paraId="63D6BD39" w14:textId="49713EA6" w:rsidR="00551D07" w:rsidRDefault="00551D07" w:rsidP="00551D07">
      <w:pPr>
        <w:pStyle w:val="BodyText"/>
        <w:tabs>
          <w:tab w:val="left" w:pos="3780"/>
        </w:tabs>
      </w:pPr>
      <w:r>
        <w:t xml:space="preserve">The evaluator estimates that it will take respondents approximately </w:t>
      </w:r>
      <w:r w:rsidR="00F35B98">
        <w:t xml:space="preserve">35 </w:t>
      </w:r>
      <w:r>
        <w:t>minutes (0.5</w:t>
      </w:r>
      <w:r w:rsidR="00F35B98">
        <w:t>8</w:t>
      </w:r>
      <w:r w:rsidR="00D77CDF">
        <w:t>3</w:t>
      </w:r>
      <w:r>
        <w:t xml:space="preserve"> hours) on average to complete the CCCA 18-month follow-up survey. </w:t>
      </w:r>
      <w:r w:rsidR="00331CEB">
        <w:t xml:space="preserve">This estimate is based on </w:t>
      </w:r>
      <w:r w:rsidR="00331CEB" w:rsidRPr="00EB3BC1">
        <w:t>experience with</w:t>
      </w:r>
      <w:r w:rsidRPr="00EB3BC1">
        <w:t xml:space="preserve"> similar surveys, </w:t>
      </w:r>
      <w:r w:rsidR="00331CEB" w:rsidRPr="00EB3BC1">
        <w:t xml:space="preserve">including </w:t>
      </w:r>
      <w:r w:rsidRPr="00EB3BC1">
        <w:t xml:space="preserve">the RTW Evaluation 18-month follow-up survey and the GJ-HC Impact Evaluation 18-month survey, both conducted for DOL, and the PACE Evaluation 15-month follow-up survey and the HPOG Impact Evaluation 15-month follow-up survey, both conducted for HHS. The burden estimate is based on a total sample of 800 respondents (based on an 80 percent response rate for </w:t>
      </w:r>
      <w:r w:rsidR="00D0681B">
        <w:t xml:space="preserve">approximately </w:t>
      </w:r>
      <w:r w:rsidRPr="00EB3BC1">
        <w:t>1,000 fielded surveys). T</w:t>
      </w:r>
      <w:r>
        <w:t xml:space="preserve">he burden is annualized by </w:t>
      </w:r>
      <w:r w:rsidR="0070318E">
        <w:t>3 years</w:t>
      </w:r>
      <w:r>
        <w:t xml:space="preserve">, </w:t>
      </w:r>
      <w:r w:rsidR="0070318E">
        <w:t>the maximum period for which data collection will occur.</w:t>
      </w:r>
      <w:r>
        <w:t xml:space="preserve">  </w:t>
      </w:r>
    </w:p>
    <w:p w14:paraId="40261B1C" w14:textId="42A74EC3" w:rsidR="00551D07" w:rsidRDefault="00551D07" w:rsidP="00551D07">
      <w:pPr>
        <w:pStyle w:val="BodyText"/>
        <w:tabs>
          <w:tab w:val="left" w:pos="3780"/>
        </w:tabs>
      </w:pPr>
      <w:r>
        <w:t>To place a value on respondents’ time, the evaluation team calculated the average hourly wage for respondents based on the average state-level minimum wage rates in the CCCA Evaluation site (Washington State). We multiplied this minimum hourly wage ($</w:t>
      </w:r>
      <w:r w:rsidR="00C36951">
        <w:t>12.00</w:t>
      </w:r>
      <w:r>
        <w:t>) by 1.4 to account for the value of fringe benefits (estimated to equal 40 percent of the hourly wage), providing an hourly value of $16.</w:t>
      </w:r>
      <w:r w:rsidR="00C36951">
        <w:t>8</w:t>
      </w:r>
      <w:r>
        <w:t>0.</w:t>
      </w:r>
      <w:r>
        <w:rPr>
          <w:rStyle w:val="FootnoteReference"/>
        </w:rPr>
        <w:footnoteReference w:id="12"/>
      </w:r>
    </w:p>
    <w:p w14:paraId="10EACE20" w14:textId="77777777" w:rsidR="00551D07" w:rsidRDefault="00551D07" w:rsidP="00551D07">
      <w:pPr>
        <w:spacing w:after="0" w:line="240" w:lineRule="auto"/>
        <w:rPr>
          <w:rFonts w:ascii="Arial" w:hAnsi="Arial" w:cs="Arial"/>
          <w:b/>
          <w:sz w:val="18"/>
          <w:szCs w:val="18"/>
        </w:rPr>
      </w:pPr>
    </w:p>
    <w:p w14:paraId="1AF26A02" w14:textId="77777777" w:rsidR="00551D07" w:rsidRDefault="00551D07" w:rsidP="00551D07">
      <w:pPr>
        <w:pStyle w:val="BodyText"/>
        <w:tabs>
          <w:tab w:val="left" w:pos="3780"/>
        </w:tabs>
        <w:rPr>
          <w:rFonts w:ascii="Arial" w:hAnsi="Arial" w:cs="Arial"/>
          <w:b/>
          <w:sz w:val="18"/>
          <w:szCs w:val="18"/>
        </w:rPr>
      </w:pPr>
      <w:r>
        <w:rPr>
          <w:rFonts w:ascii="Arial" w:hAnsi="Arial" w:cs="Arial"/>
          <w:b/>
          <w:sz w:val="18"/>
          <w:szCs w:val="18"/>
        </w:rPr>
        <w:t>Exhibit A.2: Estimated Annual Burden for the 18-Month Participant Follow-Up Survey</w:t>
      </w:r>
    </w:p>
    <w:tbl>
      <w:tblPr>
        <w:tblStyle w:val="SMPRTableBlack"/>
        <w:tblW w:w="5000" w:type="pct"/>
        <w:tblInd w:w="0" w:type="dxa"/>
        <w:tblLook w:val="0000" w:firstRow="0" w:lastRow="0" w:firstColumn="0" w:lastColumn="0" w:noHBand="0" w:noVBand="0"/>
      </w:tblPr>
      <w:tblGrid>
        <w:gridCol w:w="1362"/>
        <w:gridCol w:w="1362"/>
        <w:gridCol w:w="1174"/>
        <w:gridCol w:w="1174"/>
        <w:gridCol w:w="1105"/>
        <w:gridCol w:w="1143"/>
        <w:gridCol w:w="896"/>
        <w:gridCol w:w="1360"/>
      </w:tblGrid>
      <w:tr w:rsidR="00A5662E" w:rsidRPr="00D051B8" w14:paraId="166F7B37" w14:textId="77777777" w:rsidTr="00A5662E">
        <w:trPr>
          <w:trHeight w:val="20"/>
        </w:trPr>
        <w:tc>
          <w:tcPr>
            <w:tcW w:w="711" w:type="pct"/>
            <w:tcBorders>
              <w:top w:val="nil"/>
              <w:bottom w:val="single" w:sz="4" w:space="0" w:color="auto"/>
            </w:tcBorders>
            <w:shd w:val="clear" w:color="auto" w:fill="6C6F70"/>
          </w:tcPr>
          <w:p w14:paraId="60D99409" w14:textId="77777777" w:rsidR="00A5662E" w:rsidRPr="00E3484B" w:rsidRDefault="00A5662E" w:rsidP="0085318D">
            <w:pPr>
              <w:pStyle w:val="TableHeaderCenter"/>
              <w:rPr>
                <w:color w:val="F0F4F6" w:themeColor="background1" w:themeTint="33"/>
                <w:sz w:val="16"/>
              </w:rPr>
            </w:pPr>
            <w:r>
              <w:rPr>
                <w:color w:val="F0F4F6" w:themeColor="background1" w:themeTint="33"/>
                <w:sz w:val="16"/>
              </w:rPr>
              <w:t>Type of Instrument</w:t>
            </w:r>
          </w:p>
        </w:tc>
        <w:tc>
          <w:tcPr>
            <w:tcW w:w="711" w:type="pct"/>
            <w:tcBorders>
              <w:top w:val="nil"/>
              <w:bottom w:val="single" w:sz="4" w:space="0" w:color="auto"/>
            </w:tcBorders>
            <w:shd w:val="clear" w:color="auto" w:fill="6C6F70"/>
          </w:tcPr>
          <w:p w14:paraId="1610F7C9" w14:textId="6C7CA65F" w:rsidR="00A5662E" w:rsidRPr="00E3484B" w:rsidRDefault="00A5662E" w:rsidP="00D0681B">
            <w:pPr>
              <w:pStyle w:val="TableHeaderCenter"/>
              <w:rPr>
                <w:color w:val="F0F4F6" w:themeColor="background1" w:themeTint="33"/>
                <w:sz w:val="16"/>
              </w:rPr>
            </w:pPr>
            <w:r>
              <w:rPr>
                <w:color w:val="F0F4F6" w:themeColor="background1" w:themeTint="33"/>
                <w:sz w:val="16"/>
              </w:rPr>
              <w:t>N</w:t>
            </w:r>
            <w:r w:rsidRPr="00E3484B">
              <w:rPr>
                <w:color w:val="F0F4F6" w:themeColor="background1" w:themeTint="33"/>
                <w:sz w:val="16"/>
              </w:rPr>
              <w:t xml:space="preserve">umber of respondents </w:t>
            </w:r>
          </w:p>
        </w:tc>
        <w:tc>
          <w:tcPr>
            <w:tcW w:w="613" w:type="pct"/>
            <w:tcBorders>
              <w:top w:val="nil"/>
              <w:bottom w:val="single" w:sz="4" w:space="0" w:color="auto"/>
            </w:tcBorders>
            <w:shd w:val="clear" w:color="auto" w:fill="6C6F70"/>
          </w:tcPr>
          <w:p w14:paraId="23FE9DAF" w14:textId="77777777" w:rsidR="00A5662E" w:rsidRPr="00E3484B" w:rsidRDefault="00A5662E" w:rsidP="0085318D">
            <w:pPr>
              <w:pStyle w:val="TableHeaderCenter"/>
              <w:rPr>
                <w:color w:val="F0F4F6" w:themeColor="background1" w:themeTint="33"/>
                <w:sz w:val="16"/>
              </w:rPr>
            </w:pPr>
            <w:r w:rsidRPr="00E3484B">
              <w:rPr>
                <w:color w:val="F0F4F6" w:themeColor="background1" w:themeTint="33"/>
                <w:sz w:val="16"/>
              </w:rPr>
              <w:t>Number of responses per respondent</w:t>
            </w:r>
          </w:p>
        </w:tc>
        <w:tc>
          <w:tcPr>
            <w:tcW w:w="613" w:type="pct"/>
            <w:tcBorders>
              <w:top w:val="nil"/>
              <w:bottom w:val="single" w:sz="4" w:space="0" w:color="auto"/>
            </w:tcBorders>
            <w:shd w:val="clear" w:color="auto" w:fill="6C6F70"/>
          </w:tcPr>
          <w:p w14:paraId="79F3F6DF" w14:textId="77777777" w:rsidR="00A5662E" w:rsidRPr="00E3484B" w:rsidRDefault="00A5662E" w:rsidP="0085318D">
            <w:pPr>
              <w:pStyle w:val="TableHeaderCenter"/>
              <w:rPr>
                <w:color w:val="F0F4F6" w:themeColor="background1" w:themeTint="33"/>
                <w:sz w:val="16"/>
              </w:rPr>
            </w:pPr>
            <w:r>
              <w:rPr>
                <w:color w:val="F0F4F6" w:themeColor="background1" w:themeTint="33"/>
                <w:sz w:val="16"/>
              </w:rPr>
              <w:t>Total</w:t>
            </w:r>
            <w:r w:rsidRPr="00E3484B">
              <w:rPr>
                <w:color w:val="F0F4F6" w:themeColor="background1" w:themeTint="33"/>
                <w:sz w:val="16"/>
              </w:rPr>
              <w:t xml:space="preserve"> number of responses</w:t>
            </w:r>
          </w:p>
        </w:tc>
        <w:tc>
          <w:tcPr>
            <w:tcW w:w="577" w:type="pct"/>
            <w:tcBorders>
              <w:top w:val="nil"/>
              <w:bottom w:val="single" w:sz="4" w:space="0" w:color="auto"/>
            </w:tcBorders>
            <w:shd w:val="clear" w:color="auto" w:fill="6C6F70"/>
          </w:tcPr>
          <w:p w14:paraId="1F52C0F9" w14:textId="77777777" w:rsidR="00A5662E" w:rsidRPr="00E3484B" w:rsidRDefault="00A5662E" w:rsidP="0085318D">
            <w:pPr>
              <w:pStyle w:val="TableHeaderCenter"/>
              <w:rPr>
                <w:color w:val="F0F4F6" w:themeColor="background1" w:themeTint="33"/>
                <w:sz w:val="16"/>
              </w:rPr>
            </w:pPr>
            <w:r w:rsidRPr="00E3484B">
              <w:rPr>
                <w:color w:val="F0F4F6" w:themeColor="background1" w:themeTint="33"/>
                <w:sz w:val="16"/>
              </w:rPr>
              <w:t>Average burden time per response</w:t>
            </w:r>
          </w:p>
        </w:tc>
        <w:tc>
          <w:tcPr>
            <w:tcW w:w="597" w:type="pct"/>
            <w:tcBorders>
              <w:top w:val="nil"/>
              <w:bottom w:val="single" w:sz="4" w:space="0" w:color="auto"/>
            </w:tcBorders>
            <w:shd w:val="clear" w:color="auto" w:fill="6C6F70"/>
          </w:tcPr>
          <w:p w14:paraId="44C1E2F4" w14:textId="77777777" w:rsidR="00A5662E" w:rsidRPr="00E3484B" w:rsidRDefault="00A5662E" w:rsidP="0085318D">
            <w:pPr>
              <w:pStyle w:val="TableHeaderCenter"/>
              <w:rPr>
                <w:color w:val="F0F4F6" w:themeColor="background1" w:themeTint="33"/>
                <w:sz w:val="16"/>
              </w:rPr>
            </w:pPr>
            <w:r>
              <w:rPr>
                <w:color w:val="F0F4F6" w:themeColor="background1" w:themeTint="33"/>
                <w:sz w:val="16"/>
              </w:rPr>
              <w:t>B</w:t>
            </w:r>
            <w:r w:rsidRPr="00E3484B">
              <w:rPr>
                <w:color w:val="F0F4F6" w:themeColor="background1" w:themeTint="33"/>
                <w:sz w:val="16"/>
              </w:rPr>
              <w:t xml:space="preserve">urden hours </w:t>
            </w:r>
          </w:p>
        </w:tc>
        <w:tc>
          <w:tcPr>
            <w:tcW w:w="468" w:type="pct"/>
            <w:tcBorders>
              <w:top w:val="nil"/>
              <w:bottom w:val="single" w:sz="4" w:space="0" w:color="auto"/>
            </w:tcBorders>
            <w:shd w:val="clear" w:color="auto" w:fill="6C6F70"/>
          </w:tcPr>
          <w:p w14:paraId="5D2C83F4" w14:textId="77777777" w:rsidR="00A5662E" w:rsidRPr="00E3484B" w:rsidRDefault="00A5662E" w:rsidP="0085318D">
            <w:pPr>
              <w:pStyle w:val="TableHeaderCenter"/>
              <w:rPr>
                <w:color w:val="F0F4F6" w:themeColor="background1" w:themeTint="33"/>
                <w:sz w:val="16"/>
              </w:rPr>
            </w:pPr>
            <w:r w:rsidRPr="00E3484B">
              <w:rPr>
                <w:color w:val="F0F4F6" w:themeColor="background1" w:themeTint="33"/>
                <w:sz w:val="16"/>
              </w:rPr>
              <w:t>Time value</w:t>
            </w:r>
          </w:p>
        </w:tc>
        <w:tc>
          <w:tcPr>
            <w:tcW w:w="710" w:type="pct"/>
            <w:tcBorders>
              <w:top w:val="nil"/>
              <w:bottom w:val="single" w:sz="4" w:space="0" w:color="auto"/>
            </w:tcBorders>
            <w:shd w:val="clear" w:color="auto" w:fill="6C6F70"/>
          </w:tcPr>
          <w:p w14:paraId="0FCF1544" w14:textId="77777777" w:rsidR="00A5662E" w:rsidRPr="00E3484B" w:rsidRDefault="00A5662E" w:rsidP="00A5662E">
            <w:pPr>
              <w:pStyle w:val="TableHeaderCenter"/>
              <w:rPr>
                <w:color w:val="F0F4F6" w:themeColor="background1" w:themeTint="33"/>
                <w:sz w:val="16"/>
              </w:rPr>
            </w:pPr>
            <w:r>
              <w:rPr>
                <w:color w:val="F0F4F6" w:themeColor="background1" w:themeTint="33"/>
                <w:sz w:val="16"/>
              </w:rPr>
              <w:t>M</w:t>
            </w:r>
            <w:r w:rsidRPr="00E3484B">
              <w:rPr>
                <w:color w:val="F0F4F6" w:themeColor="background1" w:themeTint="33"/>
                <w:sz w:val="16"/>
              </w:rPr>
              <w:t xml:space="preserve">onetized burden hours </w:t>
            </w:r>
          </w:p>
        </w:tc>
      </w:tr>
      <w:tr w:rsidR="00A5662E" w:rsidRPr="004C66C9" w14:paraId="153AC11D" w14:textId="77777777" w:rsidTr="00A5662E">
        <w:trPr>
          <w:trHeight w:val="20"/>
        </w:trPr>
        <w:tc>
          <w:tcPr>
            <w:tcW w:w="711"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4DD6B895" w14:textId="77777777" w:rsidR="00A5662E" w:rsidRDefault="00A5662E" w:rsidP="0085318D">
            <w:pPr>
              <w:pStyle w:val="TableHeaderCenter"/>
              <w:rPr>
                <w:b w:val="0"/>
                <w:color w:val="auto"/>
              </w:rPr>
            </w:pPr>
            <w:r>
              <w:rPr>
                <w:b w:val="0"/>
                <w:color w:val="auto"/>
              </w:rPr>
              <w:t>18-month Follow-up Survey</w:t>
            </w:r>
          </w:p>
        </w:tc>
        <w:tc>
          <w:tcPr>
            <w:tcW w:w="711"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41741088" w14:textId="77777777" w:rsidR="00A5662E" w:rsidRPr="00E3484B" w:rsidRDefault="00A5662E" w:rsidP="0085318D">
            <w:pPr>
              <w:pStyle w:val="TableHeaderCenter"/>
              <w:rPr>
                <w:b w:val="0"/>
                <w:color w:val="auto"/>
              </w:rPr>
            </w:pPr>
            <w:r>
              <w:rPr>
                <w:b w:val="0"/>
                <w:color w:val="auto"/>
              </w:rPr>
              <w:t>267</w:t>
            </w:r>
            <w:r>
              <w:rPr>
                <w:rStyle w:val="FootnoteReference"/>
                <w:b w:val="0"/>
                <w:color w:val="auto"/>
              </w:rPr>
              <w:footnoteReference w:id="13"/>
            </w:r>
          </w:p>
        </w:tc>
        <w:tc>
          <w:tcPr>
            <w:tcW w:w="613"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1CAB1A88" w14:textId="77777777" w:rsidR="00A5662E" w:rsidRDefault="00A5662E" w:rsidP="0085318D">
            <w:pPr>
              <w:pStyle w:val="TableHeaderCenter"/>
              <w:rPr>
                <w:b w:val="0"/>
                <w:color w:val="auto"/>
              </w:rPr>
            </w:pPr>
            <w:r>
              <w:rPr>
                <w:b w:val="0"/>
                <w:color w:val="auto"/>
              </w:rPr>
              <w:t>1</w:t>
            </w:r>
          </w:p>
        </w:tc>
        <w:tc>
          <w:tcPr>
            <w:tcW w:w="613"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6B25A72C" w14:textId="77777777" w:rsidR="00A5662E" w:rsidRPr="00E3484B" w:rsidRDefault="00A5662E" w:rsidP="00A5662E">
            <w:pPr>
              <w:pStyle w:val="TableHeaderCenter"/>
              <w:rPr>
                <w:b w:val="0"/>
                <w:color w:val="auto"/>
              </w:rPr>
            </w:pPr>
            <w:r>
              <w:rPr>
                <w:b w:val="0"/>
                <w:color w:val="auto"/>
              </w:rPr>
              <w:t>267</w:t>
            </w:r>
          </w:p>
        </w:tc>
        <w:tc>
          <w:tcPr>
            <w:tcW w:w="577"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1E8B4609" w14:textId="0A21803B" w:rsidR="00A5662E" w:rsidRPr="00E3484B" w:rsidRDefault="00A5662E" w:rsidP="0085318D">
            <w:pPr>
              <w:pStyle w:val="TableHeaderCenter"/>
              <w:rPr>
                <w:b w:val="0"/>
                <w:color w:val="auto"/>
              </w:rPr>
            </w:pPr>
            <w:r>
              <w:rPr>
                <w:b w:val="0"/>
                <w:color w:val="auto"/>
              </w:rPr>
              <w:t>0.58</w:t>
            </w:r>
            <w:r w:rsidR="00D77CDF">
              <w:rPr>
                <w:b w:val="0"/>
                <w:color w:val="auto"/>
              </w:rPr>
              <w:t>3</w:t>
            </w:r>
          </w:p>
        </w:tc>
        <w:tc>
          <w:tcPr>
            <w:tcW w:w="597"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600A9545" w14:textId="728EDBDF" w:rsidR="00A5662E" w:rsidRPr="00E3484B" w:rsidRDefault="00A5662E" w:rsidP="00D77CDF">
            <w:pPr>
              <w:pStyle w:val="TableHeaderCenter"/>
              <w:rPr>
                <w:b w:val="0"/>
                <w:color w:val="auto"/>
              </w:rPr>
            </w:pPr>
            <w:r>
              <w:rPr>
                <w:b w:val="0"/>
                <w:color w:val="auto"/>
              </w:rPr>
              <w:t>15</w:t>
            </w:r>
            <w:r w:rsidR="00D77CDF">
              <w:rPr>
                <w:b w:val="0"/>
                <w:color w:val="auto"/>
              </w:rPr>
              <w:t>6</w:t>
            </w:r>
          </w:p>
        </w:tc>
        <w:tc>
          <w:tcPr>
            <w:tcW w:w="468"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110D5548" w14:textId="6D95DDD0" w:rsidR="00A5662E" w:rsidRPr="00E3484B" w:rsidRDefault="00A5662E" w:rsidP="0085318D">
            <w:pPr>
              <w:pStyle w:val="TableHeaderCenter"/>
              <w:rPr>
                <w:b w:val="0"/>
                <w:color w:val="auto"/>
              </w:rPr>
            </w:pPr>
            <w:r>
              <w:rPr>
                <w:b w:val="0"/>
                <w:color w:val="auto"/>
              </w:rPr>
              <w:t>$16.</w:t>
            </w:r>
            <w:r w:rsidR="00C36951">
              <w:rPr>
                <w:b w:val="0"/>
                <w:color w:val="auto"/>
              </w:rPr>
              <w:t>8</w:t>
            </w:r>
            <w:r>
              <w:rPr>
                <w:b w:val="0"/>
                <w:color w:val="auto"/>
              </w:rPr>
              <w:t>0</w:t>
            </w:r>
          </w:p>
        </w:tc>
        <w:tc>
          <w:tcPr>
            <w:tcW w:w="710"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14:paraId="478D5D22" w14:textId="1A1AD893" w:rsidR="00A5662E" w:rsidRPr="00E3484B" w:rsidRDefault="00A5662E" w:rsidP="00C36951">
            <w:pPr>
              <w:pStyle w:val="TableHeaderCenter"/>
              <w:rPr>
                <w:b w:val="0"/>
                <w:color w:val="auto"/>
              </w:rPr>
            </w:pPr>
            <w:r>
              <w:rPr>
                <w:b w:val="0"/>
                <w:color w:val="auto"/>
              </w:rPr>
              <w:t>$2,</w:t>
            </w:r>
            <w:r w:rsidR="00C36951">
              <w:rPr>
                <w:b w:val="0"/>
                <w:color w:val="auto"/>
              </w:rPr>
              <w:t>621</w:t>
            </w:r>
            <w:r w:rsidRPr="00A5662E">
              <w:rPr>
                <w:b w:val="0"/>
                <w:color w:val="auto"/>
                <w:vertAlign w:val="superscript"/>
              </w:rPr>
              <w:t>14</w:t>
            </w:r>
          </w:p>
        </w:tc>
      </w:tr>
    </w:tbl>
    <w:p w14:paraId="0A0F2E42" w14:textId="77777777" w:rsidR="00551D07" w:rsidRDefault="00551D07" w:rsidP="00236B01">
      <w:pPr>
        <w:pStyle w:val="BodyText"/>
      </w:pPr>
    </w:p>
    <w:p w14:paraId="036E60B7" w14:textId="77777777" w:rsidR="006F299B" w:rsidRDefault="006F299B" w:rsidP="00137474">
      <w:pPr>
        <w:pStyle w:val="Heading2"/>
      </w:pPr>
      <w:bookmarkStart w:id="20" w:name="_Toc508364268"/>
      <w:r w:rsidRPr="001034D3">
        <w:t>A</w:t>
      </w:r>
      <w:r w:rsidR="00626051">
        <w:t>.</w:t>
      </w:r>
      <w:r w:rsidRPr="001034D3">
        <w:t xml:space="preserve">13: Cost </w:t>
      </w:r>
      <w:r w:rsidR="00911BD5" w:rsidRPr="001034D3">
        <w:t xml:space="preserve">Burden </w:t>
      </w:r>
      <w:r w:rsidR="00911BD5">
        <w:t>t</w:t>
      </w:r>
      <w:r w:rsidR="00911BD5" w:rsidRPr="001034D3">
        <w:t xml:space="preserve">o Respondents </w:t>
      </w:r>
      <w:r w:rsidR="00911BD5">
        <w:t>o</w:t>
      </w:r>
      <w:r w:rsidR="00911BD5" w:rsidRPr="001034D3">
        <w:t>r Record Keepers</w:t>
      </w:r>
      <w:bookmarkEnd w:id="20"/>
    </w:p>
    <w:p w14:paraId="3C80EB94" w14:textId="77777777" w:rsidR="0012650C" w:rsidRDefault="0012650C" w:rsidP="0012650C">
      <w:pPr>
        <w:pStyle w:val="BodyText"/>
      </w:pPr>
      <w:r w:rsidRPr="00164C38">
        <w:t xml:space="preserve">This data collection effort involves </w:t>
      </w:r>
      <w:r w:rsidRPr="000C6A8D">
        <w:t>no</w:t>
      </w:r>
      <w:r w:rsidRPr="00164C38">
        <w:t xml:space="preserve"> recordkeeping or reporting costs for respondents other than </w:t>
      </w:r>
      <w:r w:rsidR="00804799">
        <w:t>their time.</w:t>
      </w:r>
    </w:p>
    <w:p w14:paraId="38DA4EDA" w14:textId="77777777" w:rsidR="006F299B" w:rsidRPr="001034D3" w:rsidRDefault="006F299B" w:rsidP="00137474">
      <w:pPr>
        <w:pStyle w:val="Heading2"/>
      </w:pPr>
      <w:bookmarkStart w:id="21" w:name="_Toc508364269"/>
      <w:r w:rsidRPr="001034D3">
        <w:t>A</w:t>
      </w:r>
      <w:r w:rsidR="00626051">
        <w:t>.</w:t>
      </w:r>
      <w:r w:rsidRPr="001034D3">
        <w:t xml:space="preserve">14: Estimate of </w:t>
      </w:r>
      <w:r w:rsidR="00911BD5">
        <w:t>C</w:t>
      </w:r>
      <w:r w:rsidRPr="001034D3">
        <w:t xml:space="preserve">ost to the Federal </w:t>
      </w:r>
      <w:r w:rsidR="00911BD5">
        <w:t>G</w:t>
      </w:r>
      <w:r w:rsidRPr="001034D3">
        <w:t>overnment</w:t>
      </w:r>
      <w:bookmarkEnd w:id="21"/>
    </w:p>
    <w:p w14:paraId="2A0FE2FA" w14:textId="77777777" w:rsidR="0012650C" w:rsidRDefault="006F299B" w:rsidP="00236B01">
      <w:pPr>
        <w:pStyle w:val="BodyText"/>
      </w:pPr>
      <w:r>
        <w:t xml:space="preserve">The information collection activity and associated instruments have been developed by the evaluation contractor, Abt Associates, in performance of </w:t>
      </w:r>
      <w:r w:rsidRPr="00BC3984">
        <w:t xml:space="preserve">Contract Number: </w:t>
      </w:r>
      <w:r w:rsidR="00B76A61" w:rsidRPr="00B76A61">
        <w:t>DOLQ129633231</w:t>
      </w:r>
      <w:r w:rsidR="001D69EB">
        <w:t>.</w:t>
      </w:r>
      <w:r w:rsidR="00B05E82" w:rsidRPr="00B05E82">
        <w:t xml:space="preserve"> The Chief Evaluation Office is funding the costs of the study.  </w:t>
      </w:r>
    </w:p>
    <w:p w14:paraId="3E836C3C" w14:textId="77777777" w:rsidR="00EB5F40" w:rsidRDefault="00B05E82" w:rsidP="00236B01">
      <w:pPr>
        <w:pStyle w:val="BodyText"/>
      </w:pPr>
      <w:r w:rsidRPr="00B05E82">
        <w:t xml:space="preserve">The </w:t>
      </w:r>
      <w:r w:rsidR="00CB67F6">
        <w:t>estimated</w:t>
      </w:r>
      <w:r w:rsidRPr="00B05E82">
        <w:t xml:space="preserve"> annualized cost to the </w:t>
      </w:r>
      <w:r w:rsidR="00451CCE">
        <w:t>F</w:t>
      </w:r>
      <w:r w:rsidRPr="00B05E82">
        <w:t xml:space="preserve">ederal government is </w:t>
      </w:r>
      <w:r w:rsidRPr="00A14CAC">
        <w:t>$</w:t>
      </w:r>
      <w:r w:rsidR="00B31693">
        <w:t>349,367</w:t>
      </w:r>
      <w:r w:rsidRPr="00B05E82">
        <w:t xml:space="preserve">. </w:t>
      </w:r>
      <w:r w:rsidR="00CB67F6">
        <w:t xml:space="preserve">The estimated total cost to the </w:t>
      </w:r>
      <w:r w:rsidR="00451CCE">
        <w:t>F</w:t>
      </w:r>
      <w:r w:rsidR="00CB67F6">
        <w:t>ederal government is $</w:t>
      </w:r>
      <w:r w:rsidR="00B31693">
        <w:t>1,048,100</w:t>
      </w:r>
      <w:r w:rsidR="00CB67F6">
        <w:t>.</w:t>
      </w:r>
      <w:r w:rsidRPr="00B05E82">
        <w:t xml:space="preserve"> </w:t>
      </w:r>
      <w:r w:rsidR="00636FA9">
        <w:t>This cost estimate is comprised of two components:</w:t>
      </w:r>
      <w:r w:rsidR="00636FA9" w:rsidRPr="00B05E82" w:rsidDel="00636FA9">
        <w:t xml:space="preserve"> </w:t>
      </w:r>
    </w:p>
    <w:p w14:paraId="52DC045A" w14:textId="77777777" w:rsidR="0012732E" w:rsidRPr="00B05E82" w:rsidRDefault="00B05E82" w:rsidP="0012732E">
      <w:pPr>
        <w:pStyle w:val="BodyText"/>
        <w:ind w:left="360" w:hanging="360"/>
      </w:pPr>
      <w:r w:rsidRPr="00B05E82">
        <w:t>1.</w:t>
      </w:r>
      <w:r w:rsidRPr="00B05E82">
        <w:tab/>
      </w:r>
      <w:r w:rsidR="0012732E" w:rsidRPr="0012732E">
        <w:t>The estimated cost to the federal government for the contractor to carry out this study is $</w:t>
      </w:r>
      <w:r w:rsidR="0012732E">
        <w:t>990,116</w:t>
      </w:r>
      <w:r w:rsidR="0012732E" w:rsidRPr="0012732E">
        <w:t xml:space="preserve"> for survey data collection. Annualized over </w:t>
      </w:r>
      <w:r w:rsidR="00773682">
        <w:t>3 years</w:t>
      </w:r>
      <w:r w:rsidR="0012732E" w:rsidRPr="0012732E">
        <w:t xml:space="preserve"> of data collection, this comes to $</w:t>
      </w:r>
      <w:r w:rsidR="00B31693">
        <w:t>330,039</w:t>
      </w:r>
      <w:r w:rsidR="0012732E">
        <w:t>.</w:t>
      </w:r>
    </w:p>
    <w:p w14:paraId="5D9FC045" w14:textId="77777777" w:rsidR="00CB67F6" w:rsidRPr="00B05E82" w:rsidRDefault="00B05E82" w:rsidP="00236B01">
      <w:pPr>
        <w:pStyle w:val="BodyText"/>
        <w:ind w:left="360" w:hanging="360"/>
      </w:pPr>
      <w:r w:rsidRPr="00B05E82">
        <w:t>2.</w:t>
      </w:r>
      <w:r w:rsidRPr="00B05E82">
        <w:tab/>
      </w:r>
      <w:r w:rsidR="003D3131">
        <w:t>DOL</w:t>
      </w:r>
      <w:r w:rsidRPr="00B05E82">
        <w:t xml:space="preserve"> expect</w:t>
      </w:r>
      <w:r w:rsidR="003D3131">
        <w:t>s</w:t>
      </w:r>
      <w:r w:rsidRPr="00B05E82">
        <w:t xml:space="preserve"> the annual level of effort </w:t>
      </w:r>
      <w:r w:rsidR="00AC5EC9">
        <w:t xml:space="preserve">for </w:t>
      </w:r>
      <w:r w:rsidR="00451CCE">
        <w:t>F</w:t>
      </w:r>
      <w:r w:rsidR="00AC5EC9">
        <w:t>ederal</w:t>
      </w:r>
      <w:r w:rsidR="000269ED">
        <w:t xml:space="preserve"> government</w:t>
      </w:r>
      <w:r w:rsidR="00AC5EC9">
        <w:t xml:space="preserve"> technical staff to oversee the contract </w:t>
      </w:r>
      <w:r w:rsidRPr="00B05E82">
        <w:t>will require 200 hours for one Washington D.C</w:t>
      </w:r>
      <w:r w:rsidR="00AC5EC9" w:rsidRPr="00B05E82">
        <w:t>.</w:t>
      </w:r>
      <w:r w:rsidR="00AC5EC9">
        <w:t>-</w:t>
      </w:r>
      <w:r w:rsidR="0012732E">
        <w:t>based</w:t>
      </w:r>
      <w:r w:rsidRPr="00B05E82">
        <w:t xml:space="preserve"> GS</w:t>
      </w:r>
      <w:r w:rsidR="000269ED">
        <w:t>-</w:t>
      </w:r>
      <w:r w:rsidRPr="00B05E82">
        <w:t>14</w:t>
      </w:r>
      <w:r w:rsidR="000269ED">
        <w:t>,</w:t>
      </w:r>
      <w:r w:rsidRPr="00B05E82">
        <w:t xml:space="preserve"> </w:t>
      </w:r>
      <w:r w:rsidR="000269ED">
        <w:t>S</w:t>
      </w:r>
      <w:r w:rsidRPr="00B05E82">
        <w:t>tep 4 employee earning $</w:t>
      </w:r>
      <w:r w:rsidR="0012732E">
        <w:t>60.40</w:t>
      </w:r>
      <w:r w:rsidR="00AC5EC9" w:rsidRPr="00B05E82">
        <w:t xml:space="preserve"> </w:t>
      </w:r>
      <w:r w:rsidRPr="00B05E82">
        <w:t>per hour. To account for fringe benefits and other overhead costs the agency applie</w:t>
      </w:r>
      <w:r w:rsidR="00AC5EC9">
        <w:t>s a</w:t>
      </w:r>
      <w:r w:rsidRPr="00B05E82">
        <w:t xml:space="preserve"> multiplication factor of 1.6</w:t>
      </w:r>
      <w:r w:rsidR="00AC5EC9">
        <w:t xml:space="preserve">. </w:t>
      </w:r>
      <w:r w:rsidR="00AC5EC9" w:rsidRPr="00B05E82">
        <w:t>Th</w:t>
      </w:r>
      <w:r w:rsidR="00AC5EC9">
        <w:t>us,</w:t>
      </w:r>
      <w:r w:rsidR="00AC5EC9" w:rsidRPr="00B05E82">
        <w:t xml:space="preserve"> </w:t>
      </w:r>
      <w:r w:rsidR="00AC5EC9">
        <w:t xml:space="preserve">the </w:t>
      </w:r>
      <w:r w:rsidR="000F39E5">
        <w:t xml:space="preserve">estimated </w:t>
      </w:r>
      <w:r w:rsidR="00AC5EC9" w:rsidRPr="00B05E82">
        <w:t xml:space="preserve">annual cost borne by DOL for </w:t>
      </w:r>
      <w:r w:rsidR="00AC5EC9">
        <w:t>these duties</w:t>
      </w:r>
      <w:r w:rsidR="00AC5EC9" w:rsidRPr="00B05E82">
        <w:t xml:space="preserve"> is $</w:t>
      </w:r>
      <w:r w:rsidR="0012732E">
        <w:t>19,328</w:t>
      </w:r>
      <w:r w:rsidR="00AC5EC9" w:rsidRPr="00B05E82">
        <w:t xml:space="preserve">. </w:t>
      </w:r>
      <w:r w:rsidR="000F39E5">
        <w:t xml:space="preserve">The data collection period covered by this justification is </w:t>
      </w:r>
      <w:r w:rsidR="00B31693">
        <w:t xml:space="preserve">36 </w:t>
      </w:r>
      <w:r w:rsidR="0012732E">
        <w:t>months</w:t>
      </w:r>
      <w:r w:rsidR="000F39E5">
        <w:t>, so the estimated total cost for performance of these duties is $</w:t>
      </w:r>
      <w:r w:rsidR="00B31693">
        <w:t>57,984</w:t>
      </w:r>
      <w:r w:rsidRPr="00B05E82">
        <w:t>.</w:t>
      </w:r>
    </w:p>
    <w:p w14:paraId="549FED28" w14:textId="77777777" w:rsidR="006F299B" w:rsidRDefault="006F299B" w:rsidP="00137474">
      <w:pPr>
        <w:pStyle w:val="Heading2"/>
      </w:pPr>
      <w:bookmarkStart w:id="22" w:name="_Toc508364270"/>
      <w:r w:rsidRPr="00297B36">
        <w:t>A</w:t>
      </w:r>
      <w:r w:rsidR="00626051">
        <w:t>.</w:t>
      </w:r>
      <w:r w:rsidRPr="00297B36">
        <w:t xml:space="preserve">15: Change in </w:t>
      </w:r>
      <w:r w:rsidR="00911BD5">
        <w:t>B</w:t>
      </w:r>
      <w:r w:rsidRPr="001034D3">
        <w:t>urden</w:t>
      </w:r>
      <w:bookmarkEnd w:id="22"/>
    </w:p>
    <w:p w14:paraId="165A0C6C" w14:textId="77777777" w:rsidR="006F299B" w:rsidRPr="0076035F" w:rsidRDefault="006F299B" w:rsidP="001D0620">
      <w:pPr>
        <w:pStyle w:val="BodyText"/>
      </w:pPr>
      <w:r>
        <w:t xml:space="preserve">This is a new </w:t>
      </w:r>
      <w:r w:rsidR="00F5526E">
        <w:t>data collection</w:t>
      </w:r>
      <w:r>
        <w:t xml:space="preserve">. </w:t>
      </w:r>
    </w:p>
    <w:p w14:paraId="179B4C80" w14:textId="77777777" w:rsidR="006F299B" w:rsidRPr="00B34B48" w:rsidRDefault="006F299B" w:rsidP="00137474">
      <w:pPr>
        <w:pStyle w:val="Heading2"/>
      </w:pPr>
      <w:bookmarkStart w:id="23" w:name="_Toc508364271"/>
      <w:r w:rsidRPr="00B34B48">
        <w:t>A</w:t>
      </w:r>
      <w:r w:rsidR="00626051">
        <w:t>.</w:t>
      </w:r>
      <w:r w:rsidRPr="00B34B48">
        <w:t xml:space="preserve">16: Plan and </w:t>
      </w:r>
      <w:r w:rsidR="00911BD5" w:rsidRPr="00B34B48">
        <w:t xml:space="preserve">Time Schedule </w:t>
      </w:r>
      <w:r w:rsidR="00911BD5">
        <w:t>f</w:t>
      </w:r>
      <w:r w:rsidR="00911BD5" w:rsidRPr="00B34B48">
        <w:t xml:space="preserve">or Information Collection, Tabulation </w:t>
      </w:r>
      <w:r w:rsidR="00911BD5">
        <w:t>a</w:t>
      </w:r>
      <w:r w:rsidR="00911BD5" w:rsidRPr="00B34B48">
        <w:t>nd Publication</w:t>
      </w:r>
      <w:bookmarkEnd w:id="23"/>
    </w:p>
    <w:p w14:paraId="3BD285FE" w14:textId="77777777" w:rsidR="00522AD7" w:rsidRDefault="00522AD7">
      <w:pPr>
        <w:spacing w:after="0" w:line="240" w:lineRule="auto"/>
        <w:rPr>
          <w:rFonts w:ascii="Arial" w:hAnsi="Arial"/>
          <w:b/>
          <w:bCs/>
          <w:sz w:val="20"/>
        </w:rPr>
      </w:pPr>
    </w:p>
    <w:p w14:paraId="166B43A8" w14:textId="77777777" w:rsidR="00137474" w:rsidRPr="008F66C5" w:rsidRDefault="00DB43F6" w:rsidP="008F66C5">
      <w:pPr>
        <w:pStyle w:val="BodyText"/>
        <w:rPr>
          <w:szCs w:val="22"/>
        </w:rPr>
      </w:pPr>
      <w:r>
        <w:t>This data collection will contribute to the final report and a public use data set will be made available. The final report, which will cover all findings from the impact and implementation study portions of the evaluation, will be available</w:t>
      </w:r>
      <w:r w:rsidR="006606C8">
        <w:t xml:space="preserve"> to the public</w:t>
      </w:r>
      <w:r>
        <w:t>.</w:t>
      </w:r>
    </w:p>
    <w:p w14:paraId="2C0F4A77" w14:textId="77777777" w:rsidR="006F299B" w:rsidRPr="004F1FB4" w:rsidRDefault="006F299B" w:rsidP="00137474">
      <w:pPr>
        <w:pStyle w:val="Heading2"/>
      </w:pPr>
      <w:bookmarkStart w:id="24" w:name="_Toc508364272"/>
      <w:r w:rsidRPr="004F1FB4">
        <w:t xml:space="preserve">A17: Reasons not to </w:t>
      </w:r>
      <w:r w:rsidR="00911BD5">
        <w:t>D</w:t>
      </w:r>
      <w:r w:rsidRPr="004F1FB4">
        <w:t>isplay OMB Expiration Date</w:t>
      </w:r>
      <w:bookmarkEnd w:id="24"/>
    </w:p>
    <w:p w14:paraId="61A8872D" w14:textId="77777777" w:rsidR="006F299B" w:rsidRPr="004F1FB4" w:rsidRDefault="006F299B" w:rsidP="00137474">
      <w:pPr>
        <w:pStyle w:val="BodyText"/>
      </w:pPr>
      <w:r w:rsidRPr="004F1FB4">
        <w:t xml:space="preserve">All instruments created for </w:t>
      </w:r>
      <w:r w:rsidR="00127986">
        <w:t xml:space="preserve">the </w:t>
      </w:r>
      <w:r w:rsidR="00486037">
        <w:t xml:space="preserve">CCCA </w:t>
      </w:r>
      <w:r w:rsidR="00F569E1">
        <w:t>evaluation</w:t>
      </w:r>
      <w:r w:rsidRPr="004F1FB4">
        <w:t xml:space="preserve"> will display the OMB approval number</w:t>
      </w:r>
      <w:r w:rsidR="00F5526E">
        <w:t xml:space="preserve"> and the expiration date for OMB approval</w:t>
      </w:r>
      <w:r w:rsidRPr="004F1FB4">
        <w:t>.</w:t>
      </w:r>
    </w:p>
    <w:p w14:paraId="1956C249" w14:textId="77777777" w:rsidR="006F299B" w:rsidRPr="004F1FB4" w:rsidRDefault="006F299B" w:rsidP="00137474">
      <w:pPr>
        <w:pStyle w:val="Heading2"/>
      </w:pPr>
      <w:bookmarkStart w:id="25" w:name="_Toc508364273"/>
      <w:r w:rsidRPr="004F1FB4">
        <w:t>A18: Exceptions to Certification for Paperwork Reduction Act Submissions</w:t>
      </w:r>
      <w:bookmarkEnd w:id="25"/>
    </w:p>
    <w:p w14:paraId="30682471" w14:textId="77777777" w:rsidR="006F299B" w:rsidRPr="004F1FB4" w:rsidRDefault="006F299B" w:rsidP="00137474">
      <w:pPr>
        <w:pStyle w:val="BodyText"/>
      </w:pPr>
      <w:r w:rsidRPr="004F1FB4">
        <w:t>No exceptions are necessary for this information collection.</w:t>
      </w:r>
    </w:p>
    <w:p w14:paraId="264AC630" w14:textId="77777777" w:rsidR="00036ECE" w:rsidRPr="00177375" w:rsidRDefault="00036ECE" w:rsidP="0097600C">
      <w:pPr>
        <w:pStyle w:val="BodyText"/>
        <w:spacing w:after="0"/>
        <w:ind w:left="720" w:hanging="720"/>
        <w:rPr>
          <w:szCs w:val="22"/>
        </w:rPr>
      </w:pPr>
    </w:p>
    <w:sectPr w:rsidR="00036ECE" w:rsidRPr="00177375" w:rsidSect="00236B0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76690" w14:textId="77777777" w:rsidR="00CA494E" w:rsidRDefault="00CA494E" w:rsidP="00D979EA">
      <w:r>
        <w:separator/>
      </w:r>
    </w:p>
  </w:endnote>
  <w:endnote w:type="continuationSeparator" w:id="0">
    <w:p w14:paraId="71883A70" w14:textId="77777777" w:rsidR="00CA494E" w:rsidRDefault="00CA494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DFF7" w14:textId="77777777" w:rsidR="005679A1" w:rsidRDefault="00567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F606" w14:textId="5BD92B28" w:rsidR="0011398A" w:rsidRPr="0066134E" w:rsidRDefault="008D6870" w:rsidP="001D0620">
    <w:pPr>
      <w:pStyle w:val="Footer"/>
      <w:tabs>
        <w:tab w:val="clear" w:pos="4507"/>
        <w:tab w:val="clear" w:pos="9000"/>
        <w:tab w:val="right" w:pos="9360"/>
      </w:tabs>
    </w:pPr>
    <w:r>
      <w:rPr>
        <w:color w:val="DA291C"/>
      </w:rPr>
      <w:t>CCCA Pilot Evaluation</w:t>
    </w:r>
    <w:r w:rsidR="0011398A" w:rsidRPr="0066134E">
      <w:rPr>
        <w:rStyle w:val="PageNumber"/>
        <w:b/>
      </w:rPr>
      <w:tab/>
    </w:r>
    <w:r w:rsidR="0011398A" w:rsidRPr="003F6E89">
      <w:rPr>
        <w:rStyle w:val="PageNumber"/>
        <w:b/>
      </w:rPr>
      <w:t xml:space="preserve">Supporting Statement for OMB Clearance Request </w:t>
    </w:r>
    <w:r w:rsidR="0011398A">
      <w:rPr>
        <w:rStyle w:val="PageNumber"/>
        <w:b/>
      </w:rPr>
      <w:t> </w:t>
    </w:r>
    <w:r w:rsidR="0011398A">
      <w:rPr>
        <w:rStyle w:val="PageNumber"/>
        <w:rFonts w:cs="Arial"/>
        <w:b/>
      </w:rPr>
      <w:t>▌</w:t>
    </w:r>
    <w:r w:rsidR="0011398A">
      <w:rPr>
        <w:rStyle w:val="PageNumber"/>
        <w:b/>
      </w:rPr>
      <w:t xml:space="preserve">pg. </w:t>
    </w:r>
    <w:r w:rsidR="0011398A" w:rsidRPr="002064D3">
      <w:rPr>
        <w:rStyle w:val="PageNumber"/>
        <w:b/>
        <w:color w:val="DA291C"/>
      </w:rPr>
      <w:fldChar w:fldCharType="begin"/>
    </w:r>
    <w:r w:rsidR="0011398A" w:rsidRPr="002064D3">
      <w:rPr>
        <w:rStyle w:val="PageNumber"/>
        <w:b/>
        <w:color w:val="DA291C"/>
      </w:rPr>
      <w:instrText xml:space="preserve"> PAGE   \* MERGEFORMAT </w:instrText>
    </w:r>
    <w:r w:rsidR="0011398A" w:rsidRPr="002064D3">
      <w:rPr>
        <w:rStyle w:val="PageNumber"/>
        <w:b/>
        <w:color w:val="DA291C"/>
      </w:rPr>
      <w:fldChar w:fldCharType="separate"/>
    </w:r>
    <w:r w:rsidR="002B6666">
      <w:rPr>
        <w:rStyle w:val="PageNumber"/>
        <w:b/>
        <w:noProof/>
        <w:color w:val="DA291C"/>
      </w:rPr>
      <w:t>1</w:t>
    </w:r>
    <w:r w:rsidR="0011398A"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986C" w14:textId="77777777" w:rsidR="005679A1" w:rsidRDefault="00567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9DBC2" w14:textId="77777777" w:rsidR="00CA494E" w:rsidRDefault="00CA494E" w:rsidP="00D979EA">
      <w:r>
        <w:separator/>
      </w:r>
    </w:p>
  </w:footnote>
  <w:footnote w:type="continuationSeparator" w:id="0">
    <w:p w14:paraId="39806912" w14:textId="77777777" w:rsidR="00CA494E" w:rsidRDefault="00CA494E" w:rsidP="00D979EA">
      <w:r>
        <w:continuationSeparator/>
      </w:r>
    </w:p>
  </w:footnote>
  <w:footnote w:id="1">
    <w:p w14:paraId="4BB72703" w14:textId="77777777" w:rsidR="00714178" w:rsidRDefault="00714178">
      <w:pPr>
        <w:pStyle w:val="FootnoteText"/>
      </w:pPr>
      <w:r>
        <w:rPr>
          <w:rStyle w:val="FootnoteReference"/>
        </w:rPr>
        <w:footnoteRef/>
      </w:r>
      <w:r>
        <w:t xml:space="preserve"> </w:t>
      </w:r>
      <w:r w:rsidR="00B00588">
        <w:tab/>
      </w:r>
      <w:r w:rsidRPr="00714178">
        <w:t>Schochet, Peter Z., Burghardt, J. and McConnell, S. (2008). "Does Job Corps Work? Impact Findings from the National Job Corps Study." The American Economic Review 98.5: 1864-1886.</w:t>
      </w:r>
    </w:p>
  </w:footnote>
  <w:footnote w:id="2">
    <w:p w14:paraId="4C607B86" w14:textId="77777777" w:rsidR="0011398A" w:rsidRDefault="0011398A">
      <w:pPr>
        <w:pStyle w:val="FootnoteText"/>
      </w:pPr>
      <w:r>
        <w:rPr>
          <w:rStyle w:val="FootnoteReference"/>
        </w:rPr>
        <w:footnoteRef/>
      </w:r>
      <w:r>
        <w:t xml:space="preserve"> </w:t>
      </w:r>
      <w:r w:rsidR="00B00588">
        <w:tab/>
      </w:r>
      <w:r>
        <w:t xml:space="preserve">Given that the length of stay at CCCA is expect to be two to three years, 18 months </w:t>
      </w:r>
      <w:r w:rsidR="0068144C">
        <w:t xml:space="preserve">after enrollment </w:t>
      </w:r>
      <w:r>
        <w:t>is too early to expect a positive impact on earnings.</w:t>
      </w:r>
    </w:p>
  </w:footnote>
  <w:footnote w:id="3">
    <w:p w14:paraId="2C6FB0ED" w14:textId="77777777" w:rsidR="0011398A" w:rsidRDefault="0011398A">
      <w:pPr>
        <w:pStyle w:val="FootnoteText"/>
      </w:pPr>
      <w:r>
        <w:rPr>
          <w:rStyle w:val="FootnoteReference"/>
        </w:rPr>
        <w:footnoteRef/>
      </w:r>
      <w:r>
        <w:t xml:space="preserve"> </w:t>
      </w:r>
      <w:r>
        <w:tab/>
      </w:r>
      <w:r w:rsidRPr="00397F70">
        <w:t>The primary purpose of the NDNH</w:t>
      </w:r>
      <w:r>
        <w:t>, operated by the Office of Child Support Enforcement (OCSE),</w:t>
      </w:r>
      <w:r w:rsidRPr="00397F70">
        <w:t xml:space="preserve"> </w:t>
      </w:r>
      <w:r>
        <w:t xml:space="preserve">Agency for Children and Families, HHS </w:t>
      </w:r>
      <w:r w:rsidRPr="00397F70">
        <w:t xml:space="preserve">is to assist state child support agencies in locating parents and enforcing child support orders; however, Congress has authorized specific state and </w:t>
      </w:r>
      <w:r>
        <w:t>F</w:t>
      </w:r>
      <w:r w:rsidRPr="00397F70">
        <w:t>ederal agencies to receive information from the NDNH for authorized purposes.</w:t>
      </w:r>
      <w:r w:rsidRPr="00AD5C47">
        <w:t xml:space="preserve"> </w:t>
      </w:r>
      <w:hyperlink r:id="rId1" w:history="1">
        <w:r w:rsidR="0059017F" w:rsidRPr="0026705C">
          <w:rPr>
            <w:rStyle w:val="Hyperlink"/>
          </w:rPr>
          <w:t>http://www.acf.hhs.gov/programs/css/resource/a-guide-to-the-national-directory-of-new-hires</w:t>
        </w:r>
      </w:hyperlink>
      <w:r w:rsidR="0059017F">
        <w:t xml:space="preserve"> </w:t>
      </w:r>
      <w:r>
        <w:t xml:space="preserve"> </w:t>
      </w:r>
    </w:p>
  </w:footnote>
  <w:footnote w:id="4">
    <w:p w14:paraId="53E3477E" w14:textId="77777777" w:rsidR="00714178" w:rsidRDefault="00714178">
      <w:pPr>
        <w:pStyle w:val="FootnoteText"/>
      </w:pPr>
      <w:r>
        <w:rPr>
          <w:rStyle w:val="FootnoteReference"/>
        </w:rPr>
        <w:footnoteRef/>
      </w:r>
      <w:r>
        <w:t xml:space="preserve"> </w:t>
      </w:r>
      <w:r w:rsidR="00AA4B98">
        <w:tab/>
      </w:r>
      <w:r w:rsidRPr="00714178">
        <w:t>Curtin, R., Presser, S., and Singer, E. (2005). “Changes in Telephone Survey Nonresponse Over the Past Quarter Century.” Public Opinion Quarterly 69.1: 87–98.</w:t>
      </w:r>
    </w:p>
  </w:footnote>
  <w:footnote w:id="5">
    <w:p w14:paraId="513A8CFB" w14:textId="77777777" w:rsidR="00714178" w:rsidRDefault="00714178">
      <w:pPr>
        <w:pStyle w:val="FootnoteText"/>
      </w:pPr>
      <w:r>
        <w:rPr>
          <w:rStyle w:val="FootnoteReference"/>
        </w:rPr>
        <w:footnoteRef/>
      </w:r>
      <w:r>
        <w:t xml:space="preserve"> </w:t>
      </w:r>
      <w:r w:rsidR="00AA4B98">
        <w:tab/>
      </w:r>
      <w:r w:rsidRPr="00714178">
        <w:t>Singer, E., Van Hoewyk, J., and Maher, M.P. (2000). “Experiments with Incentives in Telephone Surveys.” Public Opinion Quarterly 64.2: 171–188.</w:t>
      </w:r>
    </w:p>
  </w:footnote>
  <w:footnote w:id="6">
    <w:p w14:paraId="4E3F5BB7" w14:textId="77777777" w:rsidR="00714178" w:rsidRDefault="00714178">
      <w:pPr>
        <w:pStyle w:val="FootnoteText"/>
      </w:pPr>
      <w:r>
        <w:rPr>
          <w:rStyle w:val="FootnoteReference"/>
        </w:rPr>
        <w:footnoteRef/>
      </w:r>
      <w:r>
        <w:t xml:space="preserve"> </w:t>
      </w:r>
      <w:r w:rsidR="00AA4B98">
        <w:tab/>
      </w:r>
      <w:r w:rsidRPr="00714178">
        <w:t>Jäckle, A. and Lynn, P. (2007). “Respondent Incentives in a Multi-Mode Panel Survey: Cumulative Effects on Nonresponse and Bias.” Working paper presented to the Institute for Social and Economic Research, University of Essex, Colchester, United Kingdom.</w:t>
      </w:r>
    </w:p>
  </w:footnote>
  <w:footnote w:id="7">
    <w:p w14:paraId="6FAE4FD9" w14:textId="77777777" w:rsidR="00714178" w:rsidRDefault="00714178">
      <w:pPr>
        <w:pStyle w:val="FootnoteText"/>
      </w:pPr>
      <w:r>
        <w:rPr>
          <w:rStyle w:val="FootnoteReference"/>
        </w:rPr>
        <w:footnoteRef/>
      </w:r>
      <w:r>
        <w:t xml:space="preserve"> </w:t>
      </w:r>
      <w:r w:rsidR="00AA4B98">
        <w:tab/>
      </w:r>
      <w:r w:rsidR="00B00588">
        <w:t>Ibid</w:t>
      </w:r>
      <w:r w:rsidRPr="00714178">
        <w:t>.</w:t>
      </w:r>
      <w:r>
        <w:t xml:space="preserve">  </w:t>
      </w:r>
    </w:p>
  </w:footnote>
  <w:footnote w:id="8">
    <w:p w14:paraId="0D3A25E8" w14:textId="77777777" w:rsidR="00B00588" w:rsidRDefault="00B00588">
      <w:pPr>
        <w:pStyle w:val="FootnoteText"/>
      </w:pPr>
      <w:r>
        <w:rPr>
          <w:rStyle w:val="FootnoteReference"/>
        </w:rPr>
        <w:footnoteRef/>
      </w:r>
      <w:r>
        <w:t xml:space="preserve"> </w:t>
      </w:r>
      <w:r w:rsidR="00AA4B98">
        <w:tab/>
      </w:r>
      <w:r w:rsidRPr="00714178">
        <w:t>Kay, W.R. (2001). “The Use of Targeted Incentives to Reluctant Respondents on Response Rates and Data Quality.” Proceedings of the American Association for Public Research. Montreal, Canada: American Association for Public Opinion Research.</w:t>
      </w:r>
    </w:p>
  </w:footnote>
  <w:footnote w:id="9">
    <w:p w14:paraId="0ACCE251" w14:textId="77777777" w:rsidR="00B00588" w:rsidRDefault="00B00588">
      <w:pPr>
        <w:pStyle w:val="FootnoteText"/>
      </w:pPr>
      <w:r>
        <w:rPr>
          <w:rStyle w:val="FootnoteReference"/>
        </w:rPr>
        <w:footnoteRef/>
      </w:r>
      <w:r>
        <w:t xml:space="preserve"> </w:t>
      </w:r>
      <w:r w:rsidR="00AA4B98">
        <w:tab/>
      </w:r>
      <w:r w:rsidRPr="00714178">
        <w:t>Schwartz, L.K., Goble, L., and English, E.M. (2006). “Counterbalancing Topic Interest with Cell Quotas and Incentives: Examining Leverage-Salience Theory in the Context of the Poetry in America Survey.” Proceedings of the American Association for Public Research. Montreal, Canada: American Association for Public Opinion Research.</w:t>
      </w:r>
    </w:p>
  </w:footnote>
  <w:footnote w:id="10">
    <w:p w14:paraId="7112F745" w14:textId="77777777" w:rsidR="00B00588" w:rsidRDefault="00B00588">
      <w:pPr>
        <w:pStyle w:val="FootnoteText"/>
      </w:pPr>
      <w:r>
        <w:rPr>
          <w:rStyle w:val="FootnoteReference"/>
        </w:rPr>
        <w:footnoteRef/>
      </w:r>
      <w:r>
        <w:t xml:space="preserve"> </w:t>
      </w:r>
      <w:r w:rsidR="00AA4B98">
        <w:tab/>
        <w:t>Singer et al</w:t>
      </w:r>
      <w:r w:rsidRPr="00B00588">
        <w:t>. (2000). “Experiments with Incentives in Telephone Surveys.”</w:t>
      </w:r>
      <w:r w:rsidR="00AA4B98">
        <w:t xml:space="preserve"> (see footnote 5).</w:t>
      </w:r>
    </w:p>
  </w:footnote>
  <w:footnote w:id="11">
    <w:p w14:paraId="7FA4F498" w14:textId="77777777" w:rsidR="00714178" w:rsidRDefault="00714178" w:rsidP="00AA4B98">
      <w:pPr>
        <w:pStyle w:val="FootnoteText"/>
      </w:pPr>
      <w:r>
        <w:rPr>
          <w:rStyle w:val="FootnoteReference"/>
        </w:rPr>
        <w:footnoteRef/>
      </w:r>
      <w:r>
        <w:t xml:space="preserve"> </w:t>
      </w:r>
      <w:r w:rsidR="00AA4B98">
        <w:tab/>
      </w:r>
      <w:r>
        <w:t xml:space="preserve">Eccles, J. and Gootman, J.A. (Eds.) (2002). Community Programs to Promote Youth Development. Or: </w:t>
      </w:r>
      <w:r w:rsidRPr="00714178">
        <w:t>Gambone, M.A., Klem, A.M. and Connell, J.P. (2002). Finding Out What Matters for Youth: Testing Key Links in a Community Action Framework for Youth Development. Philadelphia: Youth Development Strategies, Inc., and Institute for Research and Reform in Education.</w:t>
      </w:r>
      <w:r w:rsidR="00AA4B98">
        <w:t xml:space="preserve"> </w:t>
      </w:r>
      <w:r>
        <w:t>Washington, DC: National Academies Press.</w:t>
      </w:r>
    </w:p>
  </w:footnote>
  <w:footnote w:id="12">
    <w:p w14:paraId="76486606" w14:textId="49D614D7" w:rsidR="0011398A" w:rsidRDefault="0011398A" w:rsidP="00551D07">
      <w:pPr>
        <w:pStyle w:val="FootnoteText"/>
      </w:pPr>
      <w:r>
        <w:rPr>
          <w:rStyle w:val="FootnoteReference"/>
        </w:rPr>
        <w:footnoteRef/>
      </w:r>
      <w:r>
        <w:t xml:space="preserve"> </w:t>
      </w:r>
      <w:r w:rsidR="00AA4B98">
        <w:tab/>
      </w:r>
      <w:r>
        <w:t>Minimum wages for these states (</w:t>
      </w:r>
      <w:r w:rsidRPr="00850C93">
        <w:t xml:space="preserve">accessed </w:t>
      </w:r>
      <w:r>
        <w:t>in</w:t>
      </w:r>
      <w:r w:rsidR="00C36951">
        <w:t xml:space="preserve"> April 2019</w:t>
      </w:r>
      <w:r>
        <w:t xml:space="preserve">) are available from the U.S Department of Labor at </w:t>
      </w:r>
      <w:hyperlink r:id="rId2" w:anchor="stateDetails" w:history="1">
        <w:r w:rsidR="003C6257">
          <w:rPr>
            <w:rStyle w:val="Hyperlink"/>
          </w:rPr>
          <w:t>https://www.dol.gov/whd/minwage/america.htm#stateDetails</w:t>
        </w:r>
      </w:hyperlink>
      <w:r>
        <w:t>: Washington rate is $</w:t>
      </w:r>
      <w:r w:rsidR="00C36951">
        <w:t>12.00</w:t>
      </w:r>
      <w:r>
        <w:t>. This rate is then multiplied by 1.4 to account for fringe benefits.</w:t>
      </w:r>
      <w:r w:rsidR="00BD1771">
        <w:t xml:space="preserve"> Washington state minimum wage increased from $11.50 to $12.00/hour between the time of the publication of the 60-day notice and submission of this Supporting Statement. The time value and monetized burden hours have been updated to reflect the new $12.00/hour minimum wage. </w:t>
      </w:r>
    </w:p>
  </w:footnote>
  <w:footnote w:id="13">
    <w:p w14:paraId="527EE94B" w14:textId="2B244C13" w:rsidR="00A5662E" w:rsidRDefault="00A5662E" w:rsidP="00D0681B">
      <w:pPr>
        <w:pStyle w:val="FootnoteText"/>
        <w:spacing w:after="0"/>
      </w:pPr>
      <w:r>
        <w:rPr>
          <w:rStyle w:val="FootnoteReference"/>
        </w:rPr>
        <w:footnoteRef/>
      </w:r>
      <w:r>
        <w:t xml:space="preserve"> </w:t>
      </w:r>
      <w:r>
        <w:tab/>
        <w:t>Based on a sample of 1,000 with an 80 percent response rate. Data collection will take place over up to 36 months.</w:t>
      </w:r>
    </w:p>
    <w:p w14:paraId="69C8B87D" w14:textId="242C7D77" w:rsidR="00A5662E" w:rsidRDefault="00A5662E" w:rsidP="00A5662E">
      <w:pPr>
        <w:pStyle w:val="FootnoteText"/>
        <w:spacing w:after="0"/>
      </w:pPr>
      <w:r w:rsidRPr="00A5662E">
        <w:rPr>
          <w:vertAlign w:val="superscript"/>
        </w:rPr>
        <w:t>14</w:t>
      </w:r>
      <w:r>
        <w:t xml:space="preserve">    The monetized burden hours the product of the annual burden hours (15</w:t>
      </w:r>
      <w:r w:rsidR="00B64E5A">
        <w:t>6</w:t>
      </w:r>
      <w:r>
        <w:t>) and the time value ($16.</w:t>
      </w:r>
      <w:r w:rsidR="00C36951">
        <w:t>8</w:t>
      </w:r>
      <w:r>
        <w:t>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7ED3B" w14:textId="77777777" w:rsidR="005679A1" w:rsidRDefault="005679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E61D7" w14:textId="154FCBA1" w:rsidR="004E1925" w:rsidRPr="004E1925" w:rsidRDefault="004E1925" w:rsidP="004E1925">
    <w:pPr>
      <w:pStyle w:val="Header"/>
      <w:spacing w:after="0"/>
      <w:rPr>
        <w:b w:val="0"/>
        <w:szCs w:val="22"/>
      </w:rPr>
    </w:pPr>
    <w:r w:rsidRPr="004E1925">
      <w:rPr>
        <w:b w:val="0"/>
      </w:rPr>
      <w:t>Cascades Job Corps College and Career Academy (CCCA) Pilot program Evaluation</w:t>
    </w:r>
    <w:r w:rsidR="005679A1">
      <w:rPr>
        <w:b w:val="0"/>
      </w:rPr>
      <w:t>: 1</w:t>
    </w:r>
    <w:r w:rsidRPr="004E1925">
      <w:rPr>
        <w:b w:val="0"/>
        <w:szCs w:val="22"/>
      </w:rPr>
      <w:t>8-Month Follow-Up Survey</w:t>
    </w:r>
  </w:p>
  <w:p w14:paraId="16224494" w14:textId="3071EE0C" w:rsidR="004E1925" w:rsidRDefault="004E1925" w:rsidP="004E1925">
    <w:pPr>
      <w:pStyle w:val="Header"/>
      <w:spacing w:after="0"/>
      <w:rPr>
        <w:b w:val="0"/>
        <w:color w:val="000000"/>
      </w:rPr>
    </w:pPr>
    <w:r w:rsidRPr="004E1925">
      <w:rPr>
        <w:b w:val="0"/>
        <w:szCs w:val="22"/>
      </w:rPr>
      <w:t xml:space="preserve">ICR Reference Number </w:t>
    </w:r>
    <w:r w:rsidRPr="004E1925">
      <w:rPr>
        <w:b w:val="0"/>
        <w:color w:val="000000"/>
      </w:rPr>
      <w:t>201902-1290-001</w:t>
    </w:r>
  </w:p>
  <w:p w14:paraId="1DC6189B" w14:textId="1160A4EB" w:rsidR="004E1925" w:rsidRPr="004E1925" w:rsidRDefault="005679A1" w:rsidP="004E1925">
    <w:pPr>
      <w:pStyle w:val="Header"/>
      <w:spacing w:after="0"/>
      <w:rPr>
        <w:b w:val="0"/>
        <w:color w:val="000000"/>
      </w:rPr>
    </w:pPr>
    <w:r>
      <w:rPr>
        <w:b w:val="0"/>
        <w:color w:val="000000"/>
      </w:rPr>
      <w:t>April</w:t>
    </w:r>
    <w:r w:rsidR="004E1925">
      <w:rPr>
        <w:b w:val="0"/>
        <w:color w:val="000000"/>
      </w:rPr>
      <w:t xml:space="preserve"> 2019</w:t>
    </w:r>
  </w:p>
  <w:p w14:paraId="54137A32" w14:textId="77777777" w:rsidR="004E1925" w:rsidRDefault="004E1925" w:rsidP="004E1925">
    <w:pPr>
      <w:pStyle w:val="Heade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90833" w14:textId="77777777" w:rsidR="005679A1" w:rsidRDefault="00567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BB3004"/>
    <w:multiLevelType w:val="hybridMultilevel"/>
    <w:tmpl w:val="521C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63B0EC9"/>
    <w:multiLevelType w:val="hybridMultilevel"/>
    <w:tmpl w:val="D4D4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4B0825"/>
    <w:multiLevelType w:val="multilevel"/>
    <w:tmpl w:val="5D0C27F2"/>
    <w:lvl w:ilvl="0">
      <w:start w:val="1"/>
      <w:numFmt w:val="bullet"/>
      <w:pStyle w:val="Exhibitbullets"/>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9811C5"/>
    <w:multiLevelType w:val="hybridMultilevel"/>
    <w:tmpl w:val="D03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6">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A3806CD"/>
    <w:multiLevelType w:val="hybridMultilevel"/>
    <w:tmpl w:val="08F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29"/>
  </w:num>
  <w:num w:numId="4">
    <w:abstractNumId w:val="13"/>
  </w:num>
  <w:num w:numId="5">
    <w:abstractNumId w:val="30"/>
  </w:num>
  <w:num w:numId="6">
    <w:abstractNumId w:val="22"/>
  </w:num>
  <w:num w:numId="7">
    <w:abstractNumId w:val="9"/>
  </w:num>
  <w:num w:numId="8">
    <w:abstractNumId w:val="2"/>
  </w:num>
  <w:num w:numId="9">
    <w:abstractNumId w:val="17"/>
  </w:num>
  <w:num w:numId="10">
    <w:abstractNumId w:val="24"/>
  </w:num>
  <w:num w:numId="11">
    <w:abstractNumId w:val="6"/>
    <w:lvlOverride w:ilvl="0">
      <w:startOverride w:val="1"/>
    </w:lvlOverride>
  </w:num>
  <w:num w:numId="12">
    <w:abstractNumId w:val="6"/>
    <w:lvlOverride w:ilvl="0">
      <w:startOverride w:val="1"/>
    </w:lvlOverride>
  </w:num>
  <w:num w:numId="13">
    <w:abstractNumId w:val="21"/>
  </w:num>
  <w:num w:numId="14">
    <w:abstractNumId w:val="13"/>
  </w:num>
  <w:num w:numId="15">
    <w:abstractNumId w:val="5"/>
  </w:num>
  <w:num w:numId="16">
    <w:abstractNumId w:val="18"/>
  </w:num>
  <w:num w:numId="17">
    <w:abstractNumId w:val="0"/>
  </w:num>
  <w:num w:numId="18">
    <w:abstractNumId w:val="15"/>
  </w:num>
  <w:num w:numId="19">
    <w:abstractNumId w:val="14"/>
  </w:num>
  <w:num w:numId="20">
    <w:abstractNumId w:val="7"/>
  </w:num>
  <w:num w:numId="21">
    <w:abstractNumId w:val="1"/>
  </w:num>
  <w:num w:numId="22">
    <w:abstractNumId w:val="11"/>
  </w:num>
  <w:num w:numId="23">
    <w:abstractNumId w:val="8"/>
  </w:num>
  <w:num w:numId="24">
    <w:abstractNumId w:val="26"/>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13"/>
  </w:num>
  <w:num w:numId="32">
    <w:abstractNumId w:val="3"/>
  </w:num>
  <w:num w:numId="33">
    <w:abstractNumId w:val="10"/>
  </w:num>
  <w:num w:numId="34">
    <w:abstractNumId w:val="4"/>
  </w:num>
  <w:num w:numId="35">
    <w:abstractNumId w:val="23"/>
  </w:num>
  <w:num w:numId="36">
    <w:abstractNumId w:val="27"/>
  </w:num>
  <w:num w:numId="37">
    <w:abstractNumId w:val="16"/>
  </w:num>
  <w:num w:numId="38">
    <w:abstractNumId w:val="19"/>
  </w:num>
  <w:num w:numId="39">
    <w:abstractNumId w:val="28"/>
  </w:num>
  <w:num w:numId="40">
    <w:abstractNumId w:val="12"/>
  </w:num>
  <w:num w:numId="4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1358"/>
    <w:rsid w:val="00003A2C"/>
    <w:rsid w:val="00005932"/>
    <w:rsid w:val="00006B3A"/>
    <w:rsid w:val="00006B51"/>
    <w:rsid w:val="00011838"/>
    <w:rsid w:val="000136F3"/>
    <w:rsid w:val="00016E17"/>
    <w:rsid w:val="00016E29"/>
    <w:rsid w:val="00020584"/>
    <w:rsid w:val="000210C1"/>
    <w:rsid w:val="0002185C"/>
    <w:rsid w:val="0002216E"/>
    <w:rsid w:val="0002333D"/>
    <w:rsid w:val="0002532C"/>
    <w:rsid w:val="000269ED"/>
    <w:rsid w:val="000316BD"/>
    <w:rsid w:val="000344E5"/>
    <w:rsid w:val="00036ECE"/>
    <w:rsid w:val="00040E00"/>
    <w:rsid w:val="00044497"/>
    <w:rsid w:val="00046728"/>
    <w:rsid w:val="00051267"/>
    <w:rsid w:val="000525E0"/>
    <w:rsid w:val="00053EEF"/>
    <w:rsid w:val="000543DC"/>
    <w:rsid w:val="0005500B"/>
    <w:rsid w:val="00055022"/>
    <w:rsid w:val="0005523B"/>
    <w:rsid w:val="00055C33"/>
    <w:rsid w:val="00056C20"/>
    <w:rsid w:val="0005750B"/>
    <w:rsid w:val="0006045E"/>
    <w:rsid w:val="000623C6"/>
    <w:rsid w:val="000629F1"/>
    <w:rsid w:val="00064A55"/>
    <w:rsid w:val="0006587B"/>
    <w:rsid w:val="00070322"/>
    <w:rsid w:val="000713DF"/>
    <w:rsid w:val="00074103"/>
    <w:rsid w:val="00077082"/>
    <w:rsid w:val="0007783C"/>
    <w:rsid w:val="0008244A"/>
    <w:rsid w:val="00082D01"/>
    <w:rsid w:val="0008447D"/>
    <w:rsid w:val="00085DCA"/>
    <w:rsid w:val="00087856"/>
    <w:rsid w:val="000902AA"/>
    <w:rsid w:val="000906FE"/>
    <w:rsid w:val="00091A28"/>
    <w:rsid w:val="0009396F"/>
    <w:rsid w:val="00093C5B"/>
    <w:rsid w:val="000950AD"/>
    <w:rsid w:val="00095D40"/>
    <w:rsid w:val="000A00A2"/>
    <w:rsid w:val="000A175F"/>
    <w:rsid w:val="000A1C6D"/>
    <w:rsid w:val="000A5A5A"/>
    <w:rsid w:val="000A61EF"/>
    <w:rsid w:val="000A7D69"/>
    <w:rsid w:val="000B33D1"/>
    <w:rsid w:val="000B49FE"/>
    <w:rsid w:val="000B7643"/>
    <w:rsid w:val="000C0A39"/>
    <w:rsid w:val="000C2597"/>
    <w:rsid w:val="000C3040"/>
    <w:rsid w:val="000C484C"/>
    <w:rsid w:val="000C7A9F"/>
    <w:rsid w:val="000D0179"/>
    <w:rsid w:val="000D1122"/>
    <w:rsid w:val="000D53F1"/>
    <w:rsid w:val="000D5777"/>
    <w:rsid w:val="000D6FEB"/>
    <w:rsid w:val="000E0178"/>
    <w:rsid w:val="000E322C"/>
    <w:rsid w:val="000E3646"/>
    <w:rsid w:val="000E3B79"/>
    <w:rsid w:val="000E6B75"/>
    <w:rsid w:val="000F18A0"/>
    <w:rsid w:val="000F2E8A"/>
    <w:rsid w:val="000F39E5"/>
    <w:rsid w:val="000F47B7"/>
    <w:rsid w:val="000F53F4"/>
    <w:rsid w:val="00101B68"/>
    <w:rsid w:val="001034D7"/>
    <w:rsid w:val="00104F2A"/>
    <w:rsid w:val="00107A04"/>
    <w:rsid w:val="0011170B"/>
    <w:rsid w:val="00111CB5"/>
    <w:rsid w:val="0011398A"/>
    <w:rsid w:val="001178CA"/>
    <w:rsid w:val="001218EF"/>
    <w:rsid w:val="00121C4A"/>
    <w:rsid w:val="001242E8"/>
    <w:rsid w:val="0012650C"/>
    <w:rsid w:val="0012654A"/>
    <w:rsid w:val="0012732E"/>
    <w:rsid w:val="00127986"/>
    <w:rsid w:val="001307A5"/>
    <w:rsid w:val="00135451"/>
    <w:rsid w:val="00137474"/>
    <w:rsid w:val="00142F1C"/>
    <w:rsid w:val="001467ED"/>
    <w:rsid w:val="00151DA0"/>
    <w:rsid w:val="00152153"/>
    <w:rsid w:val="00157E04"/>
    <w:rsid w:val="001605B1"/>
    <w:rsid w:val="00160657"/>
    <w:rsid w:val="00160B87"/>
    <w:rsid w:val="00162E94"/>
    <w:rsid w:val="001677DC"/>
    <w:rsid w:val="00170CF9"/>
    <w:rsid w:val="00172119"/>
    <w:rsid w:val="001722BF"/>
    <w:rsid w:val="001746D2"/>
    <w:rsid w:val="00174AC3"/>
    <w:rsid w:val="00175F01"/>
    <w:rsid w:val="00177375"/>
    <w:rsid w:val="00177861"/>
    <w:rsid w:val="00181BDA"/>
    <w:rsid w:val="001845BD"/>
    <w:rsid w:val="00185C85"/>
    <w:rsid w:val="00185FCC"/>
    <w:rsid w:val="00195CD3"/>
    <w:rsid w:val="001960DE"/>
    <w:rsid w:val="001A04CE"/>
    <w:rsid w:val="001A0D11"/>
    <w:rsid w:val="001A0E0A"/>
    <w:rsid w:val="001A12C0"/>
    <w:rsid w:val="001A1A1C"/>
    <w:rsid w:val="001A23B5"/>
    <w:rsid w:val="001A3848"/>
    <w:rsid w:val="001A403F"/>
    <w:rsid w:val="001A4633"/>
    <w:rsid w:val="001A5B9A"/>
    <w:rsid w:val="001A789A"/>
    <w:rsid w:val="001A7D68"/>
    <w:rsid w:val="001B0C68"/>
    <w:rsid w:val="001B2AED"/>
    <w:rsid w:val="001B4509"/>
    <w:rsid w:val="001C036E"/>
    <w:rsid w:val="001C0891"/>
    <w:rsid w:val="001C10AF"/>
    <w:rsid w:val="001C18B8"/>
    <w:rsid w:val="001C4CE6"/>
    <w:rsid w:val="001D0620"/>
    <w:rsid w:val="001D14B9"/>
    <w:rsid w:val="001D4FDD"/>
    <w:rsid w:val="001D69EB"/>
    <w:rsid w:val="001E2C63"/>
    <w:rsid w:val="001E2CF1"/>
    <w:rsid w:val="001E2EFC"/>
    <w:rsid w:val="001E688C"/>
    <w:rsid w:val="001F02E3"/>
    <w:rsid w:val="001F49BF"/>
    <w:rsid w:val="001F7AEF"/>
    <w:rsid w:val="00200E58"/>
    <w:rsid w:val="0020336D"/>
    <w:rsid w:val="002064D3"/>
    <w:rsid w:val="002074E4"/>
    <w:rsid w:val="002103F4"/>
    <w:rsid w:val="002106BF"/>
    <w:rsid w:val="0021299D"/>
    <w:rsid w:val="00216B09"/>
    <w:rsid w:val="002176B8"/>
    <w:rsid w:val="00217DEE"/>
    <w:rsid w:val="00220867"/>
    <w:rsid w:val="00220A76"/>
    <w:rsid w:val="002216AD"/>
    <w:rsid w:val="00221D99"/>
    <w:rsid w:val="00222854"/>
    <w:rsid w:val="00223968"/>
    <w:rsid w:val="00223A9F"/>
    <w:rsid w:val="002251AA"/>
    <w:rsid w:val="0022674D"/>
    <w:rsid w:val="00227977"/>
    <w:rsid w:val="00230D33"/>
    <w:rsid w:val="00233311"/>
    <w:rsid w:val="0023449A"/>
    <w:rsid w:val="00234A2A"/>
    <w:rsid w:val="00235CB8"/>
    <w:rsid w:val="00235F88"/>
    <w:rsid w:val="0023616C"/>
    <w:rsid w:val="00236B01"/>
    <w:rsid w:val="00237A0F"/>
    <w:rsid w:val="00237B7C"/>
    <w:rsid w:val="00241545"/>
    <w:rsid w:val="00241772"/>
    <w:rsid w:val="00242025"/>
    <w:rsid w:val="00247E24"/>
    <w:rsid w:val="00251399"/>
    <w:rsid w:val="00251F31"/>
    <w:rsid w:val="0025208E"/>
    <w:rsid w:val="00254462"/>
    <w:rsid w:val="00254880"/>
    <w:rsid w:val="00255975"/>
    <w:rsid w:val="0026367F"/>
    <w:rsid w:val="00263E31"/>
    <w:rsid w:val="002646EE"/>
    <w:rsid w:val="002650F2"/>
    <w:rsid w:val="00265CA5"/>
    <w:rsid w:val="002702F7"/>
    <w:rsid w:val="002734B4"/>
    <w:rsid w:val="00273EAA"/>
    <w:rsid w:val="00273FC1"/>
    <w:rsid w:val="00275398"/>
    <w:rsid w:val="00275F63"/>
    <w:rsid w:val="00276702"/>
    <w:rsid w:val="0028059B"/>
    <w:rsid w:val="0028328D"/>
    <w:rsid w:val="002838F5"/>
    <w:rsid w:val="00285BB6"/>
    <w:rsid w:val="00287183"/>
    <w:rsid w:val="00287C26"/>
    <w:rsid w:val="002909CD"/>
    <w:rsid w:val="0029491C"/>
    <w:rsid w:val="00295A2B"/>
    <w:rsid w:val="00295C47"/>
    <w:rsid w:val="00295DB4"/>
    <w:rsid w:val="0029614F"/>
    <w:rsid w:val="00296F1B"/>
    <w:rsid w:val="00297ED5"/>
    <w:rsid w:val="002A331A"/>
    <w:rsid w:val="002A4078"/>
    <w:rsid w:val="002A54A4"/>
    <w:rsid w:val="002A5CE0"/>
    <w:rsid w:val="002A7402"/>
    <w:rsid w:val="002B2F3C"/>
    <w:rsid w:val="002B5EC4"/>
    <w:rsid w:val="002B6666"/>
    <w:rsid w:val="002B6A5B"/>
    <w:rsid w:val="002B6B66"/>
    <w:rsid w:val="002C0C6F"/>
    <w:rsid w:val="002C10DA"/>
    <w:rsid w:val="002C287B"/>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06984"/>
    <w:rsid w:val="00307050"/>
    <w:rsid w:val="00310C8D"/>
    <w:rsid w:val="0031273B"/>
    <w:rsid w:val="003139C5"/>
    <w:rsid w:val="00314A8A"/>
    <w:rsid w:val="00320DF6"/>
    <w:rsid w:val="00324EC2"/>
    <w:rsid w:val="003279F2"/>
    <w:rsid w:val="00331A40"/>
    <w:rsid w:val="00331CEB"/>
    <w:rsid w:val="0033439F"/>
    <w:rsid w:val="00337B57"/>
    <w:rsid w:val="00342BA9"/>
    <w:rsid w:val="003432B2"/>
    <w:rsid w:val="003455BC"/>
    <w:rsid w:val="003456D5"/>
    <w:rsid w:val="00346F17"/>
    <w:rsid w:val="003478A0"/>
    <w:rsid w:val="0035287D"/>
    <w:rsid w:val="00354503"/>
    <w:rsid w:val="003610EC"/>
    <w:rsid w:val="003613F5"/>
    <w:rsid w:val="003623F0"/>
    <w:rsid w:val="00363B0C"/>
    <w:rsid w:val="003676F5"/>
    <w:rsid w:val="00370164"/>
    <w:rsid w:val="003708BF"/>
    <w:rsid w:val="003711CD"/>
    <w:rsid w:val="0037781D"/>
    <w:rsid w:val="00380DB1"/>
    <w:rsid w:val="00381CB8"/>
    <w:rsid w:val="00381D5F"/>
    <w:rsid w:val="00383B62"/>
    <w:rsid w:val="00383BFC"/>
    <w:rsid w:val="00384611"/>
    <w:rsid w:val="00384CA0"/>
    <w:rsid w:val="00386F09"/>
    <w:rsid w:val="003870BA"/>
    <w:rsid w:val="003903DA"/>
    <w:rsid w:val="00391B84"/>
    <w:rsid w:val="00391F82"/>
    <w:rsid w:val="003939A9"/>
    <w:rsid w:val="00395A89"/>
    <w:rsid w:val="00397F70"/>
    <w:rsid w:val="003A0028"/>
    <w:rsid w:val="003A17F4"/>
    <w:rsid w:val="003A250A"/>
    <w:rsid w:val="003A2FA8"/>
    <w:rsid w:val="003A3403"/>
    <w:rsid w:val="003A3E78"/>
    <w:rsid w:val="003A5D3A"/>
    <w:rsid w:val="003B02D2"/>
    <w:rsid w:val="003B4770"/>
    <w:rsid w:val="003B6D44"/>
    <w:rsid w:val="003B7D8F"/>
    <w:rsid w:val="003C20BF"/>
    <w:rsid w:val="003C3A85"/>
    <w:rsid w:val="003C3DC4"/>
    <w:rsid w:val="003C6257"/>
    <w:rsid w:val="003C712F"/>
    <w:rsid w:val="003D3131"/>
    <w:rsid w:val="003D5616"/>
    <w:rsid w:val="003D5D09"/>
    <w:rsid w:val="003D7534"/>
    <w:rsid w:val="003E1894"/>
    <w:rsid w:val="003E3004"/>
    <w:rsid w:val="003E42C4"/>
    <w:rsid w:val="003E666B"/>
    <w:rsid w:val="003F36BE"/>
    <w:rsid w:val="003F3E19"/>
    <w:rsid w:val="003F42FD"/>
    <w:rsid w:val="003F6154"/>
    <w:rsid w:val="003F6E89"/>
    <w:rsid w:val="00400683"/>
    <w:rsid w:val="004006A3"/>
    <w:rsid w:val="00400DE8"/>
    <w:rsid w:val="00403697"/>
    <w:rsid w:val="00403F96"/>
    <w:rsid w:val="00412CB1"/>
    <w:rsid w:val="004130A4"/>
    <w:rsid w:val="004179F2"/>
    <w:rsid w:val="00423092"/>
    <w:rsid w:val="00423BF0"/>
    <w:rsid w:val="0042438A"/>
    <w:rsid w:val="004253E8"/>
    <w:rsid w:val="00426B73"/>
    <w:rsid w:val="00427EA9"/>
    <w:rsid w:val="00431693"/>
    <w:rsid w:val="004319BC"/>
    <w:rsid w:val="00431ABE"/>
    <w:rsid w:val="00431C7C"/>
    <w:rsid w:val="00433DA8"/>
    <w:rsid w:val="004350B0"/>
    <w:rsid w:val="00436608"/>
    <w:rsid w:val="00436CE5"/>
    <w:rsid w:val="00440C1E"/>
    <w:rsid w:val="00440E96"/>
    <w:rsid w:val="00451CCE"/>
    <w:rsid w:val="00451DB4"/>
    <w:rsid w:val="00451EB5"/>
    <w:rsid w:val="00452FDC"/>
    <w:rsid w:val="0045437A"/>
    <w:rsid w:val="00461737"/>
    <w:rsid w:val="004627AE"/>
    <w:rsid w:val="00466E28"/>
    <w:rsid w:val="00467274"/>
    <w:rsid w:val="00470AB4"/>
    <w:rsid w:val="00470D4B"/>
    <w:rsid w:val="00470E38"/>
    <w:rsid w:val="00472572"/>
    <w:rsid w:val="00472E16"/>
    <w:rsid w:val="0047345E"/>
    <w:rsid w:val="004734DF"/>
    <w:rsid w:val="004736EB"/>
    <w:rsid w:val="0047466C"/>
    <w:rsid w:val="00474B5A"/>
    <w:rsid w:val="00477670"/>
    <w:rsid w:val="00477CCE"/>
    <w:rsid w:val="00482BB4"/>
    <w:rsid w:val="00486037"/>
    <w:rsid w:val="00486943"/>
    <w:rsid w:val="0049064E"/>
    <w:rsid w:val="00490C5A"/>
    <w:rsid w:val="00495B91"/>
    <w:rsid w:val="00497BAA"/>
    <w:rsid w:val="00497D09"/>
    <w:rsid w:val="004A5408"/>
    <w:rsid w:val="004A54F1"/>
    <w:rsid w:val="004A5DC9"/>
    <w:rsid w:val="004A6D4D"/>
    <w:rsid w:val="004A7B8D"/>
    <w:rsid w:val="004B4AB1"/>
    <w:rsid w:val="004B630F"/>
    <w:rsid w:val="004C18DF"/>
    <w:rsid w:val="004C29E5"/>
    <w:rsid w:val="004C2B46"/>
    <w:rsid w:val="004C3413"/>
    <w:rsid w:val="004C5E23"/>
    <w:rsid w:val="004D2D9A"/>
    <w:rsid w:val="004D4133"/>
    <w:rsid w:val="004D4851"/>
    <w:rsid w:val="004D4C6D"/>
    <w:rsid w:val="004E0069"/>
    <w:rsid w:val="004E01A4"/>
    <w:rsid w:val="004E1925"/>
    <w:rsid w:val="004E2617"/>
    <w:rsid w:val="004E3FFF"/>
    <w:rsid w:val="004E506F"/>
    <w:rsid w:val="004E555A"/>
    <w:rsid w:val="004E5B08"/>
    <w:rsid w:val="004F2550"/>
    <w:rsid w:val="004F3250"/>
    <w:rsid w:val="004F3A0F"/>
    <w:rsid w:val="004F6742"/>
    <w:rsid w:val="004F709B"/>
    <w:rsid w:val="00500B5A"/>
    <w:rsid w:val="005023BD"/>
    <w:rsid w:val="005026B4"/>
    <w:rsid w:val="00502E9F"/>
    <w:rsid w:val="00503049"/>
    <w:rsid w:val="00507336"/>
    <w:rsid w:val="00507535"/>
    <w:rsid w:val="00516991"/>
    <w:rsid w:val="00516A95"/>
    <w:rsid w:val="00522A16"/>
    <w:rsid w:val="00522AD7"/>
    <w:rsid w:val="0052327F"/>
    <w:rsid w:val="005234EA"/>
    <w:rsid w:val="00525828"/>
    <w:rsid w:val="0052640E"/>
    <w:rsid w:val="00527366"/>
    <w:rsid w:val="00530B3E"/>
    <w:rsid w:val="00530F72"/>
    <w:rsid w:val="005316B2"/>
    <w:rsid w:val="00534B03"/>
    <w:rsid w:val="00534C33"/>
    <w:rsid w:val="00536D47"/>
    <w:rsid w:val="00536DB4"/>
    <w:rsid w:val="0054025D"/>
    <w:rsid w:val="005417E8"/>
    <w:rsid w:val="00544C51"/>
    <w:rsid w:val="00544F19"/>
    <w:rsid w:val="0055123E"/>
    <w:rsid w:val="0055151F"/>
    <w:rsid w:val="00551B24"/>
    <w:rsid w:val="00551D07"/>
    <w:rsid w:val="005530C1"/>
    <w:rsid w:val="00555E0E"/>
    <w:rsid w:val="00560798"/>
    <w:rsid w:val="00563383"/>
    <w:rsid w:val="005650C7"/>
    <w:rsid w:val="00565924"/>
    <w:rsid w:val="00565D20"/>
    <w:rsid w:val="005679A1"/>
    <w:rsid w:val="005722A4"/>
    <w:rsid w:val="00574240"/>
    <w:rsid w:val="00574572"/>
    <w:rsid w:val="00581C65"/>
    <w:rsid w:val="00581E37"/>
    <w:rsid w:val="00585CA4"/>
    <w:rsid w:val="0059017F"/>
    <w:rsid w:val="005906D5"/>
    <w:rsid w:val="00593AFC"/>
    <w:rsid w:val="00593E20"/>
    <w:rsid w:val="00594DA5"/>
    <w:rsid w:val="00597948"/>
    <w:rsid w:val="005A2ABC"/>
    <w:rsid w:val="005A4A24"/>
    <w:rsid w:val="005A4DBB"/>
    <w:rsid w:val="005A6B49"/>
    <w:rsid w:val="005B127F"/>
    <w:rsid w:val="005B137C"/>
    <w:rsid w:val="005B1AC5"/>
    <w:rsid w:val="005B6998"/>
    <w:rsid w:val="005B6A25"/>
    <w:rsid w:val="005B6ACF"/>
    <w:rsid w:val="005C4647"/>
    <w:rsid w:val="005C7C1F"/>
    <w:rsid w:val="005D0FF2"/>
    <w:rsid w:val="005D1063"/>
    <w:rsid w:val="005D11EF"/>
    <w:rsid w:val="005D162C"/>
    <w:rsid w:val="005D1979"/>
    <w:rsid w:val="005D44D2"/>
    <w:rsid w:val="005D508A"/>
    <w:rsid w:val="005E0CF2"/>
    <w:rsid w:val="005E2AEA"/>
    <w:rsid w:val="005E2CC2"/>
    <w:rsid w:val="005E6334"/>
    <w:rsid w:val="005E68DF"/>
    <w:rsid w:val="005E6B70"/>
    <w:rsid w:val="005F239C"/>
    <w:rsid w:val="005F5D79"/>
    <w:rsid w:val="00601239"/>
    <w:rsid w:val="006035AF"/>
    <w:rsid w:val="00607376"/>
    <w:rsid w:val="006103E6"/>
    <w:rsid w:val="00610E35"/>
    <w:rsid w:val="00611973"/>
    <w:rsid w:val="006122D8"/>
    <w:rsid w:val="0061247A"/>
    <w:rsid w:val="00612C52"/>
    <w:rsid w:val="006157E6"/>
    <w:rsid w:val="00615938"/>
    <w:rsid w:val="0062027C"/>
    <w:rsid w:val="00620AE6"/>
    <w:rsid w:val="00620FF4"/>
    <w:rsid w:val="00621863"/>
    <w:rsid w:val="00626051"/>
    <w:rsid w:val="0063014E"/>
    <w:rsid w:val="00631B9F"/>
    <w:rsid w:val="00633775"/>
    <w:rsid w:val="00635E36"/>
    <w:rsid w:val="00636BFC"/>
    <w:rsid w:val="00636FA9"/>
    <w:rsid w:val="006445D7"/>
    <w:rsid w:val="006477D9"/>
    <w:rsid w:val="00647889"/>
    <w:rsid w:val="0065112D"/>
    <w:rsid w:val="00651FA9"/>
    <w:rsid w:val="00652C02"/>
    <w:rsid w:val="00653E2F"/>
    <w:rsid w:val="00654890"/>
    <w:rsid w:val="00660673"/>
    <w:rsid w:val="006606C8"/>
    <w:rsid w:val="0066134E"/>
    <w:rsid w:val="0066667F"/>
    <w:rsid w:val="006679A9"/>
    <w:rsid w:val="00670E0D"/>
    <w:rsid w:val="00671667"/>
    <w:rsid w:val="00674194"/>
    <w:rsid w:val="0067468F"/>
    <w:rsid w:val="00674B1F"/>
    <w:rsid w:val="0068144C"/>
    <w:rsid w:val="006814BB"/>
    <w:rsid w:val="006827F2"/>
    <w:rsid w:val="006840EB"/>
    <w:rsid w:val="0069204D"/>
    <w:rsid w:val="0069342C"/>
    <w:rsid w:val="006951B9"/>
    <w:rsid w:val="006955F3"/>
    <w:rsid w:val="00695912"/>
    <w:rsid w:val="00696796"/>
    <w:rsid w:val="00697292"/>
    <w:rsid w:val="006A0712"/>
    <w:rsid w:val="006A4502"/>
    <w:rsid w:val="006A541C"/>
    <w:rsid w:val="006A5B3B"/>
    <w:rsid w:val="006A7FB8"/>
    <w:rsid w:val="006B1969"/>
    <w:rsid w:val="006B1DA6"/>
    <w:rsid w:val="006B377B"/>
    <w:rsid w:val="006B4F42"/>
    <w:rsid w:val="006B55DC"/>
    <w:rsid w:val="006B5EC2"/>
    <w:rsid w:val="006C1CD3"/>
    <w:rsid w:val="006C6103"/>
    <w:rsid w:val="006C7A4C"/>
    <w:rsid w:val="006D0CE1"/>
    <w:rsid w:val="006D406B"/>
    <w:rsid w:val="006D6832"/>
    <w:rsid w:val="006D6E50"/>
    <w:rsid w:val="006E29B7"/>
    <w:rsid w:val="006E2AD2"/>
    <w:rsid w:val="006E2B32"/>
    <w:rsid w:val="006E3D4B"/>
    <w:rsid w:val="006E57C4"/>
    <w:rsid w:val="006F299B"/>
    <w:rsid w:val="006F2B34"/>
    <w:rsid w:val="006F3F2D"/>
    <w:rsid w:val="0070318E"/>
    <w:rsid w:val="007057ED"/>
    <w:rsid w:val="0070672F"/>
    <w:rsid w:val="00707708"/>
    <w:rsid w:val="007105A6"/>
    <w:rsid w:val="00710A61"/>
    <w:rsid w:val="007119B7"/>
    <w:rsid w:val="00714178"/>
    <w:rsid w:val="00715417"/>
    <w:rsid w:val="0071542F"/>
    <w:rsid w:val="00720397"/>
    <w:rsid w:val="007216E3"/>
    <w:rsid w:val="007225F9"/>
    <w:rsid w:val="00722A2E"/>
    <w:rsid w:val="007233CB"/>
    <w:rsid w:val="0072431D"/>
    <w:rsid w:val="0072468B"/>
    <w:rsid w:val="00724F52"/>
    <w:rsid w:val="00726DD4"/>
    <w:rsid w:val="007304A8"/>
    <w:rsid w:val="00730F56"/>
    <w:rsid w:val="00733C58"/>
    <w:rsid w:val="0073677C"/>
    <w:rsid w:val="00744E2C"/>
    <w:rsid w:val="00752119"/>
    <w:rsid w:val="007539EC"/>
    <w:rsid w:val="00754408"/>
    <w:rsid w:val="0075565A"/>
    <w:rsid w:val="007560B0"/>
    <w:rsid w:val="007561E7"/>
    <w:rsid w:val="00757EE9"/>
    <w:rsid w:val="0076084B"/>
    <w:rsid w:val="00762DD6"/>
    <w:rsid w:val="007631C7"/>
    <w:rsid w:val="00763CCC"/>
    <w:rsid w:val="00764280"/>
    <w:rsid w:val="00765D49"/>
    <w:rsid w:val="007666D1"/>
    <w:rsid w:val="00766B8D"/>
    <w:rsid w:val="00766C1F"/>
    <w:rsid w:val="00773682"/>
    <w:rsid w:val="00774F44"/>
    <w:rsid w:val="007751E3"/>
    <w:rsid w:val="00776C72"/>
    <w:rsid w:val="007807DC"/>
    <w:rsid w:val="0078194F"/>
    <w:rsid w:val="00782103"/>
    <w:rsid w:val="0078258F"/>
    <w:rsid w:val="007846BC"/>
    <w:rsid w:val="00790B25"/>
    <w:rsid w:val="00790C7A"/>
    <w:rsid w:val="00792131"/>
    <w:rsid w:val="00794B6E"/>
    <w:rsid w:val="00795CC0"/>
    <w:rsid w:val="007969A4"/>
    <w:rsid w:val="007A0114"/>
    <w:rsid w:val="007A5484"/>
    <w:rsid w:val="007A60AC"/>
    <w:rsid w:val="007A6730"/>
    <w:rsid w:val="007B0B02"/>
    <w:rsid w:val="007B1321"/>
    <w:rsid w:val="007B1904"/>
    <w:rsid w:val="007B5553"/>
    <w:rsid w:val="007B5E91"/>
    <w:rsid w:val="007C2FA6"/>
    <w:rsid w:val="007C37CC"/>
    <w:rsid w:val="007D02FF"/>
    <w:rsid w:val="007D5ACF"/>
    <w:rsid w:val="007D6370"/>
    <w:rsid w:val="007D7AC6"/>
    <w:rsid w:val="007E092F"/>
    <w:rsid w:val="007E4943"/>
    <w:rsid w:val="007E5112"/>
    <w:rsid w:val="007E5EC0"/>
    <w:rsid w:val="007F2108"/>
    <w:rsid w:val="007F3520"/>
    <w:rsid w:val="007F3528"/>
    <w:rsid w:val="007F4D36"/>
    <w:rsid w:val="007F7C06"/>
    <w:rsid w:val="0080098A"/>
    <w:rsid w:val="00801761"/>
    <w:rsid w:val="0080291D"/>
    <w:rsid w:val="00804799"/>
    <w:rsid w:val="008111EB"/>
    <w:rsid w:val="008126F8"/>
    <w:rsid w:val="008130C9"/>
    <w:rsid w:val="008130CB"/>
    <w:rsid w:val="00813D02"/>
    <w:rsid w:val="00814833"/>
    <w:rsid w:val="00815C8F"/>
    <w:rsid w:val="0081715E"/>
    <w:rsid w:val="0082033D"/>
    <w:rsid w:val="008222AD"/>
    <w:rsid w:val="00823D04"/>
    <w:rsid w:val="00824B88"/>
    <w:rsid w:val="00824B92"/>
    <w:rsid w:val="00826631"/>
    <w:rsid w:val="00830B9A"/>
    <w:rsid w:val="0083104D"/>
    <w:rsid w:val="0083313B"/>
    <w:rsid w:val="008349AE"/>
    <w:rsid w:val="00834E0B"/>
    <w:rsid w:val="00836C5D"/>
    <w:rsid w:val="00842C2C"/>
    <w:rsid w:val="0084427B"/>
    <w:rsid w:val="00846D77"/>
    <w:rsid w:val="00847E3D"/>
    <w:rsid w:val="0085179D"/>
    <w:rsid w:val="00852480"/>
    <w:rsid w:val="0085318D"/>
    <w:rsid w:val="00853F4B"/>
    <w:rsid w:val="0085658B"/>
    <w:rsid w:val="00856632"/>
    <w:rsid w:val="00860316"/>
    <w:rsid w:val="0086106C"/>
    <w:rsid w:val="008615B4"/>
    <w:rsid w:val="00867308"/>
    <w:rsid w:val="00870337"/>
    <w:rsid w:val="008735F5"/>
    <w:rsid w:val="008813F0"/>
    <w:rsid w:val="0089099B"/>
    <w:rsid w:val="00891F62"/>
    <w:rsid w:val="00892403"/>
    <w:rsid w:val="008A3ECC"/>
    <w:rsid w:val="008A6A3B"/>
    <w:rsid w:val="008B0543"/>
    <w:rsid w:val="008B7629"/>
    <w:rsid w:val="008B7F61"/>
    <w:rsid w:val="008C0888"/>
    <w:rsid w:val="008C3069"/>
    <w:rsid w:val="008C3505"/>
    <w:rsid w:val="008D01F3"/>
    <w:rsid w:val="008D1C7A"/>
    <w:rsid w:val="008D30EA"/>
    <w:rsid w:val="008D3E33"/>
    <w:rsid w:val="008D4649"/>
    <w:rsid w:val="008D55C8"/>
    <w:rsid w:val="008D611E"/>
    <w:rsid w:val="008D6870"/>
    <w:rsid w:val="008E20DE"/>
    <w:rsid w:val="008E2A56"/>
    <w:rsid w:val="008F1770"/>
    <w:rsid w:val="008F2FB5"/>
    <w:rsid w:val="008F66C5"/>
    <w:rsid w:val="009013C5"/>
    <w:rsid w:val="00901BD5"/>
    <w:rsid w:val="0090336B"/>
    <w:rsid w:val="00903AA5"/>
    <w:rsid w:val="00904991"/>
    <w:rsid w:val="009061A4"/>
    <w:rsid w:val="00911BD5"/>
    <w:rsid w:val="00911EF0"/>
    <w:rsid w:val="00912E02"/>
    <w:rsid w:val="00923623"/>
    <w:rsid w:val="009245A1"/>
    <w:rsid w:val="009315EE"/>
    <w:rsid w:val="00932E88"/>
    <w:rsid w:val="0093440F"/>
    <w:rsid w:val="00942024"/>
    <w:rsid w:val="00942E75"/>
    <w:rsid w:val="00944550"/>
    <w:rsid w:val="00947410"/>
    <w:rsid w:val="0095004C"/>
    <w:rsid w:val="00950085"/>
    <w:rsid w:val="00950A23"/>
    <w:rsid w:val="009531CA"/>
    <w:rsid w:val="009550AD"/>
    <w:rsid w:val="009565D4"/>
    <w:rsid w:val="00956943"/>
    <w:rsid w:val="00961E10"/>
    <w:rsid w:val="009636CF"/>
    <w:rsid w:val="00964F6A"/>
    <w:rsid w:val="00964F81"/>
    <w:rsid w:val="00966C14"/>
    <w:rsid w:val="00967D7C"/>
    <w:rsid w:val="0097214E"/>
    <w:rsid w:val="00972AFF"/>
    <w:rsid w:val="0097331A"/>
    <w:rsid w:val="00974090"/>
    <w:rsid w:val="0097600C"/>
    <w:rsid w:val="00977D73"/>
    <w:rsid w:val="00977E63"/>
    <w:rsid w:val="009814B6"/>
    <w:rsid w:val="00985F4F"/>
    <w:rsid w:val="00990DA4"/>
    <w:rsid w:val="0099262A"/>
    <w:rsid w:val="0099739B"/>
    <w:rsid w:val="009A025A"/>
    <w:rsid w:val="009A05F3"/>
    <w:rsid w:val="009A1FD6"/>
    <w:rsid w:val="009A7B52"/>
    <w:rsid w:val="009B104E"/>
    <w:rsid w:val="009B493B"/>
    <w:rsid w:val="009B56DA"/>
    <w:rsid w:val="009B6B19"/>
    <w:rsid w:val="009C1CAF"/>
    <w:rsid w:val="009C223E"/>
    <w:rsid w:val="009C4071"/>
    <w:rsid w:val="009C42CD"/>
    <w:rsid w:val="009C5B59"/>
    <w:rsid w:val="009C5D46"/>
    <w:rsid w:val="009D1168"/>
    <w:rsid w:val="009D13BB"/>
    <w:rsid w:val="009D2D7A"/>
    <w:rsid w:val="009D50EB"/>
    <w:rsid w:val="009D6139"/>
    <w:rsid w:val="009D61F4"/>
    <w:rsid w:val="009D762A"/>
    <w:rsid w:val="009E20D0"/>
    <w:rsid w:val="009E32F5"/>
    <w:rsid w:val="009E34AC"/>
    <w:rsid w:val="009E4C83"/>
    <w:rsid w:val="009E5A33"/>
    <w:rsid w:val="009E6279"/>
    <w:rsid w:val="009F1F1A"/>
    <w:rsid w:val="009F2649"/>
    <w:rsid w:val="009F3E6A"/>
    <w:rsid w:val="009F4A67"/>
    <w:rsid w:val="009F704C"/>
    <w:rsid w:val="009F7A37"/>
    <w:rsid w:val="00A00CA8"/>
    <w:rsid w:val="00A01FE0"/>
    <w:rsid w:val="00A0215D"/>
    <w:rsid w:val="00A06666"/>
    <w:rsid w:val="00A079EF"/>
    <w:rsid w:val="00A105E0"/>
    <w:rsid w:val="00A10898"/>
    <w:rsid w:val="00A14CAC"/>
    <w:rsid w:val="00A20F56"/>
    <w:rsid w:val="00A22F3B"/>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53EB9"/>
    <w:rsid w:val="00A5662E"/>
    <w:rsid w:val="00A817CE"/>
    <w:rsid w:val="00A846D0"/>
    <w:rsid w:val="00A91E89"/>
    <w:rsid w:val="00A928FA"/>
    <w:rsid w:val="00A950B5"/>
    <w:rsid w:val="00AA08ED"/>
    <w:rsid w:val="00AA4B98"/>
    <w:rsid w:val="00AA6D62"/>
    <w:rsid w:val="00AA7B0B"/>
    <w:rsid w:val="00AB3167"/>
    <w:rsid w:val="00AB32CF"/>
    <w:rsid w:val="00AB4548"/>
    <w:rsid w:val="00AB484E"/>
    <w:rsid w:val="00AB4BAB"/>
    <w:rsid w:val="00AB5B05"/>
    <w:rsid w:val="00AB6564"/>
    <w:rsid w:val="00AB7637"/>
    <w:rsid w:val="00AB7A6D"/>
    <w:rsid w:val="00AC07A4"/>
    <w:rsid w:val="00AC0C31"/>
    <w:rsid w:val="00AC52A5"/>
    <w:rsid w:val="00AC59EB"/>
    <w:rsid w:val="00AC5A36"/>
    <w:rsid w:val="00AC5EC9"/>
    <w:rsid w:val="00AC627E"/>
    <w:rsid w:val="00AC76EF"/>
    <w:rsid w:val="00AC7D69"/>
    <w:rsid w:val="00AD2235"/>
    <w:rsid w:val="00AD25FB"/>
    <w:rsid w:val="00AD2A2A"/>
    <w:rsid w:val="00AD3095"/>
    <w:rsid w:val="00AD5C47"/>
    <w:rsid w:val="00AD6564"/>
    <w:rsid w:val="00AE093E"/>
    <w:rsid w:val="00AE0A04"/>
    <w:rsid w:val="00AE131D"/>
    <w:rsid w:val="00AE2F45"/>
    <w:rsid w:val="00AE57DB"/>
    <w:rsid w:val="00AE748D"/>
    <w:rsid w:val="00AF46DD"/>
    <w:rsid w:val="00B00588"/>
    <w:rsid w:val="00B01553"/>
    <w:rsid w:val="00B02599"/>
    <w:rsid w:val="00B058CF"/>
    <w:rsid w:val="00B058EE"/>
    <w:rsid w:val="00B05E82"/>
    <w:rsid w:val="00B116D9"/>
    <w:rsid w:val="00B11D0F"/>
    <w:rsid w:val="00B12725"/>
    <w:rsid w:val="00B14060"/>
    <w:rsid w:val="00B16B3C"/>
    <w:rsid w:val="00B24BAF"/>
    <w:rsid w:val="00B255B7"/>
    <w:rsid w:val="00B25EE3"/>
    <w:rsid w:val="00B269D4"/>
    <w:rsid w:val="00B26E47"/>
    <w:rsid w:val="00B31693"/>
    <w:rsid w:val="00B3357C"/>
    <w:rsid w:val="00B36809"/>
    <w:rsid w:val="00B418F5"/>
    <w:rsid w:val="00B45829"/>
    <w:rsid w:val="00B52AC8"/>
    <w:rsid w:val="00B53ADE"/>
    <w:rsid w:val="00B545BD"/>
    <w:rsid w:val="00B54B11"/>
    <w:rsid w:val="00B55F2F"/>
    <w:rsid w:val="00B574B1"/>
    <w:rsid w:val="00B61677"/>
    <w:rsid w:val="00B61C4A"/>
    <w:rsid w:val="00B61EC9"/>
    <w:rsid w:val="00B62090"/>
    <w:rsid w:val="00B6232C"/>
    <w:rsid w:val="00B632EE"/>
    <w:rsid w:val="00B63601"/>
    <w:rsid w:val="00B64E5A"/>
    <w:rsid w:val="00B679AD"/>
    <w:rsid w:val="00B703D5"/>
    <w:rsid w:val="00B7123F"/>
    <w:rsid w:val="00B74CFA"/>
    <w:rsid w:val="00B7523C"/>
    <w:rsid w:val="00B76A61"/>
    <w:rsid w:val="00B7744A"/>
    <w:rsid w:val="00B80CB9"/>
    <w:rsid w:val="00B8240F"/>
    <w:rsid w:val="00B82D4D"/>
    <w:rsid w:val="00B83CB3"/>
    <w:rsid w:val="00B86346"/>
    <w:rsid w:val="00B87278"/>
    <w:rsid w:val="00B87EE6"/>
    <w:rsid w:val="00B9049F"/>
    <w:rsid w:val="00B91EE7"/>
    <w:rsid w:val="00B9260A"/>
    <w:rsid w:val="00B9307B"/>
    <w:rsid w:val="00B93694"/>
    <w:rsid w:val="00B93FF4"/>
    <w:rsid w:val="00B96ABD"/>
    <w:rsid w:val="00BA14E5"/>
    <w:rsid w:val="00BA3407"/>
    <w:rsid w:val="00BA4440"/>
    <w:rsid w:val="00BA4485"/>
    <w:rsid w:val="00BA5729"/>
    <w:rsid w:val="00BA5983"/>
    <w:rsid w:val="00BA690F"/>
    <w:rsid w:val="00BA6E4C"/>
    <w:rsid w:val="00BA73C6"/>
    <w:rsid w:val="00BA7BA0"/>
    <w:rsid w:val="00BB1B8D"/>
    <w:rsid w:val="00BB2EE9"/>
    <w:rsid w:val="00BB40CF"/>
    <w:rsid w:val="00BB5141"/>
    <w:rsid w:val="00BB58B5"/>
    <w:rsid w:val="00BC006D"/>
    <w:rsid w:val="00BC0229"/>
    <w:rsid w:val="00BC0C3E"/>
    <w:rsid w:val="00BC1CD5"/>
    <w:rsid w:val="00BC56BD"/>
    <w:rsid w:val="00BD1771"/>
    <w:rsid w:val="00BD42E5"/>
    <w:rsid w:val="00BD5C2D"/>
    <w:rsid w:val="00BD6E8C"/>
    <w:rsid w:val="00BE02A5"/>
    <w:rsid w:val="00BE0770"/>
    <w:rsid w:val="00BE2D0F"/>
    <w:rsid w:val="00BE4EAB"/>
    <w:rsid w:val="00BE711C"/>
    <w:rsid w:val="00BF1237"/>
    <w:rsid w:val="00BF18DC"/>
    <w:rsid w:val="00BF403A"/>
    <w:rsid w:val="00BF4EBF"/>
    <w:rsid w:val="00BF6F64"/>
    <w:rsid w:val="00C027FF"/>
    <w:rsid w:val="00C03D52"/>
    <w:rsid w:val="00C040C6"/>
    <w:rsid w:val="00C04B4F"/>
    <w:rsid w:val="00C06FC6"/>
    <w:rsid w:val="00C13DE2"/>
    <w:rsid w:val="00C14408"/>
    <w:rsid w:val="00C14776"/>
    <w:rsid w:val="00C1538D"/>
    <w:rsid w:val="00C17F58"/>
    <w:rsid w:val="00C20904"/>
    <w:rsid w:val="00C20BE7"/>
    <w:rsid w:val="00C224C5"/>
    <w:rsid w:val="00C258E4"/>
    <w:rsid w:val="00C30506"/>
    <w:rsid w:val="00C307E7"/>
    <w:rsid w:val="00C32CBC"/>
    <w:rsid w:val="00C34A92"/>
    <w:rsid w:val="00C35829"/>
    <w:rsid w:val="00C36951"/>
    <w:rsid w:val="00C370A7"/>
    <w:rsid w:val="00C417C4"/>
    <w:rsid w:val="00C43356"/>
    <w:rsid w:val="00C45953"/>
    <w:rsid w:val="00C46094"/>
    <w:rsid w:val="00C47960"/>
    <w:rsid w:val="00C520A3"/>
    <w:rsid w:val="00C57E90"/>
    <w:rsid w:val="00C62114"/>
    <w:rsid w:val="00C62C46"/>
    <w:rsid w:val="00C62F1C"/>
    <w:rsid w:val="00C6380F"/>
    <w:rsid w:val="00C65634"/>
    <w:rsid w:val="00C6575D"/>
    <w:rsid w:val="00C65A80"/>
    <w:rsid w:val="00C736AD"/>
    <w:rsid w:val="00C744A3"/>
    <w:rsid w:val="00C754B8"/>
    <w:rsid w:val="00C81DB5"/>
    <w:rsid w:val="00C837F5"/>
    <w:rsid w:val="00C85F93"/>
    <w:rsid w:val="00C8728A"/>
    <w:rsid w:val="00C873D6"/>
    <w:rsid w:val="00C900FF"/>
    <w:rsid w:val="00C94154"/>
    <w:rsid w:val="00C94BDE"/>
    <w:rsid w:val="00C977A5"/>
    <w:rsid w:val="00CA0681"/>
    <w:rsid w:val="00CA2E0C"/>
    <w:rsid w:val="00CA494E"/>
    <w:rsid w:val="00CA7FB3"/>
    <w:rsid w:val="00CB24F4"/>
    <w:rsid w:val="00CB3FC8"/>
    <w:rsid w:val="00CB442A"/>
    <w:rsid w:val="00CB66A6"/>
    <w:rsid w:val="00CB67F6"/>
    <w:rsid w:val="00CB6C1C"/>
    <w:rsid w:val="00CC06A0"/>
    <w:rsid w:val="00CC12B2"/>
    <w:rsid w:val="00CC63C0"/>
    <w:rsid w:val="00CD24A1"/>
    <w:rsid w:val="00CD4956"/>
    <w:rsid w:val="00CD4B2E"/>
    <w:rsid w:val="00CD4DE4"/>
    <w:rsid w:val="00CD5478"/>
    <w:rsid w:val="00CD6527"/>
    <w:rsid w:val="00CD6665"/>
    <w:rsid w:val="00CD6B3F"/>
    <w:rsid w:val="00CE55F7"/>
    <w:rsid w:val="00CF3E63"/>
    <w:rsid w:val="00CF561E"/>
    <w:rsid w:val="00CF5BDB"/>
    <w:rsid w:val="00CF7625"/>
    <w:rsid w:val="00D0273C"/>
    <w:rsid w:val="00D0681B"/>
    <w:rsid w:val="00D1078B"/>
    <w:rsid w:val="00D10AAD"/>
    <w:rsid w:val="00D14350"/>
    <w:rsid w:val="00D143BA"/>
    <w:rsid w:val="00D1528B"/>
    <w:rsid w:val="00D20DD2"/>
    <w:rsid w:val="00D214BA"/>
    <w:rsid w:val="00D24A91"/>
    <w:rsid w:val="00D27624"/>
    <w:rsid w:val="00D34EEE"/>
    <w:rsid w:val="00D36E67"/>
    <w:rsid w:val="00D37BAF"/>
    <w:rsid w:val="00D40A64"/>
    <w:rsid w:val="00D44121"/>
    <w:rsid w:val="00D442D9"/>
    <w:rsid w:val="00D46C86"/>
    <w:rsid w:val="00D51337"/>
    <w:rsid w:val="00D5180D"/>
    <w:rsid w:val="00D51B1E"/>
    <w:rsid w:val="00D51BE3"/>
    <w:rsid w:val="00D52184"/>
    <w:rsid w:val="00D52C45"/>
    <w:rsid w:val="00D53515"/>
    <w:rsid w:val="00D54E6F"/>
    <w:rsid w:val="00D55B09"/>
    <w:rsid w:val="00D71743"/>
    <w:rsid w:val="00D73095"/>
    <w:rsid w:val="00D75DDC"/>
    <w:rsid w:val="00D77CDF"/>
    <w:rsid w:val="00D8054B"/>
    <w:rsid w:val="00D808EA"/>
    <w:rsid w:val="00D836D2"/>
    <w:rsid w:val="00D85C55"/>
    <w:rsid w:val="00D86713"/>
    <w:rsid w:val="00D9060A"/>
    <w:rsid w:val="00D918A7"/>
    <w:rsid w:val="00D91C3B"/>
    <w:rsid w:val="00D925F7"/>
    <w:rsid w:val="00D93FF0"/>
    <w:rsid w:val="00D960FF"/>
    <w:rsid w:val="00D96202"/>
    <w:rsid w:val="00D96598"/>
    <w:rsid w:val="00D96AC6"/>
    <w:rsid w:val="00D979EA"/>
    <w:rsid w:val="00DA014B"/>
    <w:rsid w:val="00DA02B9"/>
    <w:rsid w:val="00DA42EA"/>
    <w:rsid w:val="00DA61E6"/>
    <w:rsid w:val="00DA7FEA"/>
    <w:rsid w:val="00DB269B"/>
    <w:rsid w:val="00DB2E3E"/>
    <w:rsid w:val="00DB43F6"/>
    <w:rsid w:val="00DC02B5"/>
    <w:rsid w:val="00DC2510"/>
    <w:rsid w:val="00DC6213"/>
    <w:rsid w:val="00DC6377"/>
    <w:rsid w:val="00DC730B"/>
    <w:rsid w:val="00DD27D1"/>
    <w:rsid w:val="00DD2EDE"/>
    <w:rsid w:val="00DD4409"/>
    <w:rsid w:val="00DD5176"/>
    <w:rsid w:val="00DD6D1D"/>
    <w:rsid w:val="00DE143B"/>
    <w:rsid w:val="00DE221A"/>
    <w:rsid w:val="00DE2334"/>
    <w:rsid w:val="00DE2755"/>
    <w:rsid w:val="00DE5C1E"/>
    <w:rsid w:val="00DE66BE"/>
    <w:rsid w:val="00DF599C"/>
    <w:rsid w:val="00DF689B"/>
    <w:rsid w:val="00DF68F0"/>
    <w:rsid w:val="00DF6CDE"/>
    <w:rsid w:val="00E0113D"/>
    <w:rsid w:val="00E03038"/>
    <w:rsid w:val="00E039CB"/>
    <w:rsid w:val="00E065C4"/>
    <w:rsid w:val="00E06D1B"/>
    <w:rsid w:val="00E07F01"/>
    <w:rsid w:val="00E1243B"/>
    <w:rsid w:val="00E1423B"/>
    <w:rsid w:val="00E14CEE"/>
    <w:rsid w:val="00E15A93"/>
    <w:rsid w:val="00E16148"/>
    <w:rsid w:val="00E20AF1"/>
    <w:rsid w:val="00E25DFC"/>
    <w:rsid w:val="00E30F9F"/>
    <w:rsid w:val="00E316A8"/>
    <w:rsid w:val="00E317E1"/>
    <w:rsid w:val="00E33231"/>
    <w:rsid w:val="00E339B3"/>
    <w:rsid w:val="00E435B5"/>
    <w:rsid w:val="00E443F4"/>
    <w:rsid w:val="00E46BEF"/>
    <w:rsid w:val="00E544C1"/>
    <w:rsid w:val="00E569C9"/>
    <w:rsid w:val="00E6186E"/>
    <w:rsid w:val="00E64800"/>
    <w:rsid w:val="00E64A15"/>
    <w:rsid w:val="00E70701"/>
    <w:rsid w:val="00E712B2"/>
    <w:rsid w:val="00E72F03"/>
    <w:rsid w:val="00E73AC8"/>
    <w:rsid w:val="00E73F45"/>
    <w:rsid w:val="00E7420B"/>
    <w:rsid w:val="00E7429A"/>
    <w:rsid w:val="00E75D89"/>
    <w:rsid w:val="00E770A4"/>
    <w:rsid w:val="00E77AC8"/>
    <w:rsid w:val="00E81A71"/>
    <w:rsid w:val="00E84434"/>
    <w:rsid w:val="00E910C0"/>
    <w:rsid w:val="00E91EBD"/>
    <w:rsid w:val="00E9324B"/>
    <w:rsid w:val="00E9511F"/>
    <w:rsid w:val="00E96823"/>
    <w:rsid w:val="00EA0512"/>
    <w:rsid w:val="00EA3F10"/>
    <w:rsid w:val="00EB1D8B"/>
    <w:rsid w:val="00EB2CBD"/>
    <w:rsid w:val="00EB30F5"/>
    <w:rsid w:val="00EB3BC1"/>
    <w:rsid w:val="00EB4A14"/>
    <w:rsid w:val="00EB5299"/>
    <w:rsid w:val="00EB5C8B"/>
    <w:rsid w:val="00EB5F40"/>
    <w:rsid w:val="00EC1259"/>
    <w:rsid w:val="00EC29D5"/>
    <w:rsid w:val="00EC3CC1"/>
    <w:rsid w:val="00EC3D78"/>
    <w:rsid w:val="00EC47CA"/>
    <w:rsid w:val="00EC5F47"/>
    <w:rsid w:val="00EC6153"/>
    <w:rsid w:val="00EC7D33"/>
    <w:rsid w:val="00ED0430"/>
    <w:rsid w:val="00ED263C"/>
    <w:rsid w:val="00ED2A92"/>
    <w:rsid w:val="00ED2B55"/>
    <w:rsid w:val="00ED3BFF"/>
    <w:rsid w:val="00ED503D"/>
    <w:rsid w:val="00ED6872"/>
    <w:rsid w:val="00EE0109"/>
    <w:rsid w:val="00EE022D"/>
    <w:rsid w:val="00EE11FD"/>
    <w:rsid w:val="00EE1D07"/>
    <w:rsid w:val="00EE2DA2"/>
    <w:rsid w:val="00EE3CF4"/>
    <w:rsid w:val="00EE4B98"/>
    <w:rsid w:val="00EF5607"/>
    <w:rsid w:val="00F02DA1"/>
    <w:rsid w:val="00F030AA"/>
    <w:rsid w:val="00F050EB"/>
    <w:rsid w:val="00F12CFA"/>
    <w:rsid w:val="00F13235"/>
    <w:rsid w:val="00F145E8"/>
    <w:rsid w:val="00F1494E"/>
    <w:rsid w:val="00F152A4"/>
    <w:rsid w:val="00F23798"/>
    <w:rsid w:val="00F24675"/>
    <w:rsid w:val="00F24F82"/>
    <w:rsid w:val="00F25C44"/>
    <w:rsid w:val="00F260AC"/>
    <w:rsid w:val="00F26DFB"/>
    <w:rsid w:val="00F27043"/>
    <w:rsid w:val="00F313DA"/>
    <w:rsid w:val="00F32718"/>
    <w:rsid w:val="00F327B4"/>
    <w:rsid w:val="00F32C54"/>
    <w:rsid w:val="00F32E6E"/>
    <w:rsid w:val="00F35B98"/>
    <w:rsid w:val="00F41461"/>
    <w:rsid w:val="00F42092"/>
    <w:rsid w:val="00F4263A"/>
    <w:rsid w:val="00F42B60"/>
    <w:rsid w:val="00F453E6"/>
    <w:rsid w:val="00F47E96"/>
    <w:rsid w:val="00F50A3A"/>
    <w:rsid w:val="00F5198E"/>
    <w:rsid w:val="00F53A4C"/>
    <w:rsid w:val="00F5526E"/>
    <w:rsid w:val="00F5636E"/>
    <w:rsid w:val="00F568A5"/>
    <w:rsid w:val="00F569E1"/>
    <w:rsid w:val="00F570A3"/>
    <w:rsid w:val="00F62411"/>
    <w:rsid w:val="00F62A1E"/>
    <w:rsid w:val="00F64DB9"/>
    <w:rsid w:val="00F65513"/>
    <w:rsid w:val="00F657E0"/>
    <w:rsid w:val="00F7138F"/>
    <w:rsid w:val="00F74136"/>
    <w:rsid w:val="00F82350"/>
    <w:rsid w:val="00F825C3"/>
    <w:rsid w:val="00F85399"/>
    <w:rsid w:val="00F9248F"/>
    <w:rsid w:val="00F93183"/>
    <w:rsid w:val="00F96D00"/>
    <w:rsid w:val="00FA035F"/>
    <w:rsid w:val="00FA0E0C"/>
    <w:rsid w:val="00FA2276"/>
    <w:rsid w:val="00FA40D7"/>
    <w:rsid w:val="00FA512D"/>
    <w:rsid w:val="00FA686C"/>
    <w:rsid w:val="00FA6932"/>
    <w:rsid w:val="00FA6CEA"/>
    <w:rsid w:val="00FB1945"/>
    <w:rsid w:val="00FB3972"/>
    <w:rsid w:val="00FB70DE"/>
    <w:rsid w:val="00FC0EBA"/>
    <w:rsid w:val="00FC0EDD"/>
    <w:rsid w:val="00FC2BD1"/>
    <w:rsid w:val="00FC2FDE"/>
    <w:rsid w:val="00FC335E"/>
    <w:rsid w:val="00FC4E2F"/>
    <w:rsid w:val="00FC6D87"/>
    <w:rsid w:val="00FC7B3B"/>
    <w:rsid w:val="00FD17C2"/>
    <w:rsid w:val="00FD3B50"/>
    <w:rsid w:val="00FD5223"/>
    <w:rsid w:val="00FD634F"/>
    <w:rsid w:val="00FE0A7C"/>
    <w:rsid w:val="00FE2611"/>
    <w:rsid w:val="00FE41F1"/>
    <w:rsid w:val="00FF0DFC"/>
    <w:rsid w:val="00FF2067"/>
    <w:rsid w:val="00FF2AB0"/>
    <w:rsid w:val="00FF3FFA"/>
    <w:rsid w:val="00FF4B27"/>
    <w:rsid w:val="00FF5339"/>
    <w:rsid w:val="00FF573A"/>
    <w:rsid w:val="00FF76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14:docId w14:val="29DD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Char"/>
    <w:basedOn w:val="Normal"/>
    <w:link w:val="FootnoteTextChar"/>
    <w:qFormat/>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Char Char"/>
    <w:basedOn w:val="DefaultParagraphFont"/>
    <w:link w:val="FootnoteText"/>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BulletsChar">
    <w:name w:val="Bullets Char"/>
    <w:basedOn w:val="BodyTextChar"/>
    <w:link w:val="Bullets"/>
    <w:rsid w:val="00E91EBD"/>
    <w:rPr>
      <w:sz w:val="22"/>
    </w:rPr>
  </w:style>
  <w:style w:type="paragraph" w:customStyle="1" w:styleId="Bullet2Last">
    <w:name w:val="Bullet2Last"/>
    <w:basedOn w:val="Bullet2"/>
    <w:qFormat/>
    <w:rsid w:val="00E91EBD"/>
    <w:pPr>
      <w:numPr>
        <w:numId w:val="0"/>
      </w:numPr>
      <w:tabs>
        <w:tab w:val="num" w:pos="720"/>
        <w:tab w:val="num" w:pos="1080"/>
      </w:tabs>
      <w:spacing w:before="40" w:after="60"/>
      <w:ind w:left="1080" w:hanging="360"/>
    </w:pPr>
  </w:style>
  <w:style w:type="paragraph" w:customStyle="1" w:styleId="Exhibitbullets">
    <w:name w:val="Exhibit bullets"/>
    <w:basedOn w:val="ExhibitText"/>
    <w:qFormat/>
    <w:rsid w:val="00142F1C"/>
    <w:pPr>
      <w:numPr>
        <w:numId w:val="38"/>
      </w:numPr>
      <w:spacing w:before="0" w:after="0"/>
    </w:pPr>
    <w:rPr>
      <w:rFonts w:ascii="Arial" w:hAnsi="Arial"/>
    </w:rPr>
  </w:style>
  <w:style w:type="paragraph" w:customStyle="1" w:styleId="TableHeaderCenter">
    <w:name w:val="Table Header Center"/>
    <w:basedOn w:val="Normal"/>
    <w:qFormat/>
    <w:rsid w:val="00551D07"/>
    <w:pPr>
      <w:spacing w:before="120" w:after="60" w:line="240" w:lineRule="auto"/>
      <w:jc w:val="center"/>
    </w:pPr>
    <w:rPr>
      <w:rFonts w:ascii="Arial" w:hAnsi="Arial"/>
      <w:b/>
      <w:color w:val="B7C9D3" w:themeColor="background1"/>
      <w:sz w:val="18"/>
    </w:rPr>
  </w:style>
  <w:style w:type="table" w:customStyle="1" w:styleId="SMPRTableBlack">
    <w:name w:val="SMPR_Table_Black"/>
    <w:basedOn w:val="TableNormal"/>
    <w:uiPriority w:val="99"/>
    <w:rsid w:val="00551D07"/>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12">
    <w:name w:val="NormalSS 12"/>
    <w:basedOn w:val="Normal"/>
    <w:rsid w:val="00451DB4"/>
    <w:pPr>
      <w:tabs>
        <w:tab w:val="left" w:pos="432"/>
      </w:tabs>
      <w:spacing w:after="240" w:line="240" w:lineRule="auto"/>
      <w:ind w:firstLine="432"/>
      <w:jc w:val="both"/>
    </w:pPr>
    <w:rPr>
      <w:rFonts w:ascii="Garamond" w:hAnsi="Garamond"/>
      <w:sz w:val="24"/>
      <w:szCs w:val="24"/>
    </w:rPr>
  </w:style>
  <w:style w:type="character" w:styleId="Strong">
    <w:name w:val="Strong"/>
    <w:basedOn w:val="DefaultParagraphFont"/>
    <w:uiPriority w:val="22"/>
    <w:qFormat/>
    <w:rsid w:val="008C3069"/>
    <w:rPr>
      <w:b/>
      <w:bCs/>
    </w:rPr>
  </w:style>
  <w:style w:type="character" w:customStyle="1" w:styleId="Heading8Char">
    <w:name w:val="Heading 8 Char"/>
    <w:basedOn w:val="DefaultParagraphFont"/>
    <w:link w:val="Heading8"/>
    <w:rsid w:val="008D6870"/>
    <w:rPr>
      <w:i/>
      <w:iCs/>
      <w:sz w:val="24"/>
      <w:szCs w:val="24"/>
    </w:rPr>
  </w:style>
  <w:style w:type="paragraph" w:styleId="BodyTextFirstIndent">
    <w:name w:val="Body Text First Indent"/>
    <w:basedOn w:val="BodyText"/>
    <w:link w:val="BodyTextFirstIndentChar"/>
    <w:rsid w:val="006B5EC2"/>
    <w:pPr>
      <w:ind w:firstLine="360"/>
    </w:pPr>
  </w:style>
  <w:style w:type="character" w:customStyle="1" w:styleId="BodyTextFirstIndentChar">
    <w:name w:val="Body Text First Indent Char"/>
    <w:basedOn w:val="BodyTextChar"/>
    <w:link w:val="BodyTextFirstIndent"/>
    <w:rsid w:val="006B5EC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Char"/>
    <w:basedOn w:val="Normal"/>
    <w:link w:val="FootnoteTextChar"/>
    <w:qFormat/>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Char Char"/>
    <w:basedOn w:val="DefaultParagraphFont"/>
    <w:link w:val="FootnoteText"/>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BulletsChar">
    <w:name w:val="Bullets Char"/>
    <w:basedOn w:val="BodyTextChar"/>
    <w:link w:val="Bullets"/>
    <w:rsid w:val="00E91EBD"/>
    <w:rPr>
      <w:sz w:val="22"/>
    </w:rPr>
  </w:style>
  <w:style w:type="paragraph" w:customStyle="1" w:styleId="Bullet2Last">
    <w:name w:val="Bullet2Last"/>
    <w:basedOn w:val="Bullet2"/>
    <w:qFormat/>
    <w:rsid w:val="00E91EBD"/>
    <w:pPr>
      <w:numPr>
        <w:numId w:val="0"/>
      </w:numPr>
      <w:tabs>
        <w:tab w:val="num" w:pos="720"/>
        <w:tab w:val="num" w:pos="1080"/>
      </w:tabs>
      <w:spacing w:before="40" w:after="60"/>
      <w:ind w:left="1080" w:hanging="360"/>
    </w:pPr>
  </w:style>
  <w:style w:type="paragraph" w:customStyle="1" w:styleId="Exhibitbullets">
    <w:name w:val="Exhibit bullets"/>
    <w:basedOn w:val="ExhibitText"/>
    <w:qFormat/>
    <w:rsid w:val="00142F1C"/>
    <w:pPr>
      <w:numPr>
        <w:numId w:val="38"/>
      </w:numPr>
      <w:spacing w:before="0" w:after="0"/>
    </w:pPr>
    <w:rPr>
      <w:rFonts w:ascii="Arial" w:hAnsi="Arial"/>
    </w:rPr>
  </w:style>
  <w:style w:type="paragraph" w:customStyle="1" w:styleId="TableHeaderCenter">
    <w:name w:val="Table Header Center"/>
    <w:basedOn w:val="Normal"/>
    <w:qFormat/>
    <w:rsid w:val="00551D07"/>
    <w:pPr>
      <w:spacing w:before="120" w:after="60" w:line="240" w:lineRule="auto"/>
      <w:jc w:val="center"/>
    </w:pPr>
    <w:rPr>
      <w:rFonts w:ascii="Arial" w:hAnsi="Arial"/>
      <w:b/>
      <w:color w:val="B7C9D3" w:themeColor="background1"/>
      <w:sz w:val="18"/>
    </w:rPr>
  </w:style>
  <w:style w:type="table" w:customStyle="1" w:styleId="SMPRTableBlack">
    <w:name w:val="SMPR_Table_Black"/>
    <w:basedOn w:val="TableNormal"/>
    <w:uiPriority w:val="99"/>
    <w:rsid w:val="00551D07"/>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12">
    <w:name w:val="NormalSS 12"/>
    <w:basedOn w:val="Normal"/>
    <w:rsid w:val="00451DB4"/>
    <w:pPr>
      <w:tabs>
        <w:tab w:val="left" w:pos="432"/>
      </w:tabs>
      <w:spacing w:after="240" w:line="240" w:lineRule="auto"/>
      <w:ind w:firstLine="432"/>
      <w:jc w:val="both"/>
    </w:pPr>
    <w:rPr>
      <w:rFonts w:ascii="Garamond" w:hAnsi="Garamond"/>
      <w:sz w:val="24"/>
      <w:szCs w:val="24"/>
    </w:rPr>
  </w:style>
  <w:style w:type="character" w:styleId="Strong">
    <w:name w:val="Strong"/>
    <w:basedOn w:val="DefaultParagraphFont"/>
    <w:uiPriority w:val="22"/>
    <w:qFormat/>
    <w:rsid w:val="008C3069"/>
    <w:rPr>
      <w:b/>
      <w:bCs/>
    </w:rPr>
  </w:style>
  <w:style w:type="character" w:customStyle="1" w:styleId="Heading8Char">
    <w:name w:val="Heading 8 Char"/>
    <w:basedOn w:val="DefaultParagraphFont"/>
    <w:link w:val="Heading8"/>
    <w:rsid w:val="008D6870"/>
    <w:rPr>
      <w:i/>
      <w:iCs/>
      <w:sz w:val="24"/>
      <w:szCs w:val="24"/>
    </w:rPr>
  </w:style>
  <w:style w:type="paragraph" w:styleId="BodyTextFirstIndent">
    <w:name w:val="Body Text First Indent"/>
    <w:basedOn w:val="BodyText"/>
    <w:link w:val="BodyTextFirstIndentChar"/>
    <w:rsid w:val="006B5EC2"/>
    <w:pPr>
      <w:ind w:firstLine="360"/>
    </w:pPr>
  </w:style>
  <w:style w:type="character" w:customStyle="1" w:styleId="BodyTextFirstIndentChar">
    <w:name w:val="Body Text First Indent Char"/>
    <w:basedOn w:val="BodyTextChar"/>
    <w:link w:val="BodyTextFirstIndent"/>
    <w:rsid w:val="006B5EC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9835">
      <w:bodyDiv w:val="1"/>
      <w:marLeft w:val="0"/>
      <w:marRight w:val="0"/>
      <w:marTop w:val="0"/>
      <w:marBottom w:val="0"/>
      <w:divBdr>
        <w:top w:val="none" w:sz="0" w:space="0" w:color="auto"/>
        <w:left w:val="none" w:sz="0" w:space="0" w:color="auto"/>
        <w:bottom w:val="none" w:sz="0" w:space="0" w:color="auto"/>
        <w:right w:val="none" w:sz="0" w:space="0" w:color="auto"/>
      </w:divBdr>
    </w:div>
    <w:div w:id="315426501">
      <w:bodyDiv w:val="1"/>
      <w:marLeft w:val="0"/>
      <w:marRight w:val="0"/>
      <w:marTop w:val="0"/>
      <w:marBottom w:val="0"/>
      <w:divBdr>
        <w:top w:val="none" w:sz="0" w:space="0" w:color="auto"/>
        <w:left w:val="none" w:sz="0" w:space="0" w:color="auto"/>
        <w:bottom w:val="none" w:sz="0" w:space="0" w:color="auto"/>
        <w:right w:val="none" w:sz="0" w:space="0" w:color="auto"/>
      </w:divBdr>
    </w:div>
    <w:div w:id="548299127">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82826864">
      <w:bodyDiv w:val="1"/>
      <w:marLeft w:val="0"/>
      <w:marRight w:val="0"/>
      <w:marTop w:val="0"/>
      <w:marBottom w:val="0"/>
      <w:divBdr>
        <w:top w:val="none" w:sz="0" w:space="0" w:color="auto"/>
        <w:left w:val="none" w:sz="0" w:space="0" w:color="auto"/>
        <w:bottom w:val="none" w:sz="0" w:space="0" w:color="auto"/>
        <w:right w:val="none" w:sz="0" w:space="0" w:color="auto"/>
      </w:divBdr>
    </w:div>
    <w:div w:id="778186465">
      <w:bodyDiv w:val="1"/>
      <w:marLeft w:val="0"/>
      <w:marRight w:val="0"/>
      <w:marTop w:val="0"/>
      <w:marBottom w:val="0"/>
      <w:divBdr>
        <w:top w:val="none" w:sz="0" w:space="0" w:color="auto"/>
        <w:left w:val="none" w:sz="0" w:space="0" w:color="auto"/>
        <w:bottom w:val="none" w:sz="0" w:space="0" w:color="auto"/>
        <w:right w:val="none" w:sz="0" w:space="0" w:color="auto"/>
      </w:divBdr>
    </w:div>
    <w:div w:id="937834100">
      <w:bodyDiv w:val="1"/>
      <w:marLeft w:val="0"/>
      <w:marRight w:val="0"/>
      <w:marTop w:val="0"/>
      <w:marBottom w:val="0"/>
      <w:divBdr>
        <w:top w:val="none" w:sz="0" w:space="0" w:color="auto"/>
        <w:left w:val="none" w:sz="0" w:space="0" w:color="auto"/>
        <w:bottom w:val="none" w:sz="0" w:space="0" w:color="auto"/>
        <w:right w:val="none" w:sz="0" w:space="0" w:color="auto"/>
      </w:divBdr>
    </w:div>
    <w:div w:id="956958256">
      <w:bodyDiv w:val="1"/>
      <w:marLeft w:val="0"/>
      <w:marRight w:val="0"/>
      <w:marTop w:val="0"/>
      <w:marBottom w:val="0"/>
      <w:divBdr>
        <w:top w:val="none" w:sz="0" w:space="0" w:color="auto"/>
        <w:left w:val="none" w:sz="0" w:space="0" w:color="auto"/>
        <w:bottom w:val="none" w:sz="0" w:space="0" w:color="auto"/>
        <w:right w:val="none" w:sz="0" w:space="0" w:color="auto"/>
      </w:divBdr>
    </w:div>
    <w:div w:id="1174733782">
      <w:bodyDiv w:val="1"/>
      <w:marLeft w:val="0"/>
      <w:marRight w:val="0"/>
      <w:marTop w:val="0"/>
      <w:marBottom w:val="0"/>
      <w:divBdr>
        <w:top w:val="none" w:sz="0" w:space="0" w:color="auto"/>
        <w:left w:val="none" w:sz="0" w:space="0" w:color="auto"/>
        <w:bottom w:val="none" w:sz="0" w:space="0" w:color="auto"/>
        <w:right w:val="none" w:sz="0" w:space="0" w:color="auto"/>
      </w:divBdr>
    </w:div>
    <w:div w:id="1316883289">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23407481">
      <w:bodyDiv w:val="1"/>
      <w:marLeft w:val="0"/>
      <w:marRight w:val="0"/>
      <w:marTop w:val="0"/>
      <w:marBottom w:val="0"/>
      <w:divBdr>
        <w:top w:val="none" w:sz="0" w:space="0" w:color="auto"/>
        <w:left w:val="none" w:sz="0" w:space="0" w:color="auto"/>
        <w:bottom w:val="none" w:sz="0" w:space="0" w:color="auto"/>
        <w:right w:val="none" w:sz="0" w:space="0" w:color="auto"/>
      </w:divBdr>
    </w:div>
    <w:div w:id="1765033908">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877355550">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 w:id="1992445878">
      <w:bodyDiv w:val="1"/>
      <w:marLeft w:val="0"/>
      <w:marRight w:val="0"/>
      <w:marTop w:val="0"/>
      <w:marBottom w:val="0"/>
      <w:divBdr>
        <w:top w:val="none" w:sz="0" w:space="0" w:color="auto"/>
        <w:left w:val="none" w:sz="0" w:space="0" w:color="auto"/>
        <w:bottom w:val="none" w:sz="0" w:space="0" w:color="auto"/>
        <w:right w:val="none" w:sz="0" w:space="0" w:color="auto"/>
      </w:divBdr>
    </w:div>
    <w:div w:id="211008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whd/minwage/america.htm" TargetMode="External"/><Relationship Id="rId1" Type="http://schemas.openxmlformats.org/officeDocument/2006/relationships/hyperlink" Target="http://www.acf.hhs.gov/programs/css/resource/a-guide-to-the-national-directory-of-new-hi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C0631-AC8C-4F30-9B06-2953A1D0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3</Pages>
  <Words>5058</Words>
  <Characters>28834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33825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2019-04-15T14:32:00Z</cp:lastPrinted>
  <dcterms:created xsi:type="dcterms:W3CDTF">2019-04-15T15:13:00Z</dcterms:created>
  <dcterms:modified xsi:type="dcterms:W3CDTF">2019-04-15T15:13:00Z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