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E8DEB" w14:textId="4BEF68C5" w:rsidR="00BB0C77" w:rsidRPr="00801DD6" w:rsidRDefault="006D1A40" w:rsidP="006D1A40">
      <w:pPr>
        <w:pStyle w:val="CoverText12"/>
      </w:pPr>
      <w:bookmarkStart w:id="0" w:name="_Toc422465964"/>
      <w:bookmarkStart w:id="1" w:name="_Toc423100516"/>
      <w:bookmarkStart w:id="2" w:name="_GoBack"/>
      <w:bookmarkEnd w:id="2"/>
      <w:r w:rsidRPr="006D1A40">
        <w:t>OMB Control Number: XXXX-XXXX</w:t>
      </w:r>
    </w:p>
    <w:p w14:paraId="0E986F3D" w14:textId="08F0332E" w:rsidR="006C0B36" w:rsidRDefault="006D1A40" w:rsidP="00F5211E">
      <w:pPr>
        <w:pStyle w:val="Heading1"/>
      </w:pPr>
      <w:r w:rsidRPr="006D1A40">
        <w:t xml:space="preserve">The National Study of the Implementation of Adult Education Under </w:t>
      </w:r>
      <w:r w:rsidR="00206EF2">
        <w:t xml:space="preserve">the </w:t>
      </w:r>
      <w:r w:rsidRPr="006D1A40">
        <w:t>W</w:t>
      </w:r>
      <w:r w:rsidR="00206EF2">
        <w:t xml:space="preserve">orkforce </w:t>
      </w:r>
      <w:r w:rsidRPr="006D1A40">
        <w:t>I</w:t>
      </w:r>
      <w:r w:rsidR="00206EF2">
        <w:t xml:space="preserve">nnovation and </w:t>
      </w:r>
      <w:r w:rsidRPr="006D1A40">
        <w:t>O</w:t>
      </w:r>
      <w:r w:rsidR="00206EF2">
        <w:t xml:space="preserve">pportunity </w:t>
      </w:r>
      <w:r w:rsidRPr="006D1A40">
        <w:t>A</w:t>
      </w:r>
      <w:r w:rsidR="00206EF2">
        <w:t>ct</w:t>
      </w:r>
      <w:r w:rsidRPr="006D1A40">
        <w:t xml:space="preserve"> </w:t>
      </w:r>
    </w:p>
    <w:p w14:paraId="11775C32" w14:textId="42DC0AD5" w:rsidR="002C0A83" w:rsidRPr="006D1A40" w:rsidRDefault="006D1A40" w:rsidP="00F5211E">
      <w:pPr>
        <w:pStyle w:val="Heading1"/>
      </w:pPr>
      <w:r w:rsidRPr="006D1A40">
        <w:t>Request for Clearance</w:t>
      </w:r>
    </w:p>
    <w:p w14:paraId="2B18AC41" w14:textId="1B15BA39" w:rsidR="001B6CE8" w:rsidRDefault="001B6CE8" w:rsidP="00DB793F">
      <w:pPr>
        <w:pStyle w:val="CoverSubtitle"/>
      </w:pPr>
    </w:p>
    <w:p w14:paraId="5975F40E" w14:textId="07835AAB" w:rsidR="00C86A97" w:rsidRPr="00C86A97" w:rsidRDefault="00C86A97" w:rsidP="00C86A97">
      <w:pPr>
        <w:keepNext/>
        <w:keepLines/>
        <w:suppressAutoHyphens/>
        <w:spacing w:before="640"/>
        <w:outlineLvl w:val="0"/>
        <w:rPr>
          <w:rFonts w:ascii="Arial" w:eastAsia="Perpetua" w:hAnsi="Arial" w:cs="Arial"/>
          <w:sz w:val="40"/>
          <w:szCs w:val="40"/>
        </w:rPr>
      </w:pPr>
      <w:r w:rsidRPr="00C86A97">
        <w:rPr>
          <w:rFonts w:ascii="Arial" w:eastAsia="Perpetua" w:hAnsi="Arial" w:cs="Arial"/>
          <w:sz w:val="40"/>
          <w:szCs w:val="40"/>
        </w:rPr>
        <w:t>Part A: Justification</w:t>
      </w:r>
    </w:p>
    <w:p w14:paraId="29890F52" w14:textId="3EC40B46" w:rsidR="00BB0C77" w:rsidRDefault="00C27C65" w:rsidP="00C86A97">
      <w:pPr>
        <w:pStyle w:val="CoverDate"/>
        <w:spacing w:before="960"/>
        <w:rPr>
          <w:sz w:val="28"/>
          <w:szCs w:val="28"/>
        </w:rPr>
      </w:pPr>
      <w:r>
        <w:rPr>
          <w:sz w:val="28"/>
          <w:szCs w:val="28"/>
        </w:rPr>
        <w:t>May</w:t>
      </w:r>
      <w:r w:rsidRPr="00F5211E">
        <w:rPr>
          <w:sz w:val="28"/>
          <w:szCs w:val="28"/>
        </w:rPr>
        <w:t xml:space="preserve"> </w:t>
      </w:r>
      <w:r w:rsidR="006D1A40" w:rsidRPr="00F5211E">
        <w:rPr>
          <w:sz w:val="28"/>
          <w:szCs w:val="28"/>
        </w:rPr>
        <w:t>201</w:t>
      </w:r>
      <w:r w:rsidR="00424D86">
        <w:rPr>
          <w:sz w:val="28"/>
          <w:szCs w:val="28"/>
        </w:rPr>
        <w:t>9</w:t>
      </w:r>
    </w:p>
    <w:p w14:paraId="7D5F71CA" w14:textId="77777777" w:rsidR="00A91509" w:rsidRPr="00BB0C77" w:rsidRDefault="00A91509" w:rsidP="00C86A97">
      <w:pPr>
        <w:pStyle w:val="CoverDate"/>
        <w:spacing w:before="960"/>
      </w:pPr>
    </w:p>
    <w:p w14:paraId="0A1D8759" w14:textId="77777777" w:rsidR="00F5211E" w:rsidRPr="00791999" w:rsidRDefault="00F5211E" w:rsidP="00F5211E">
      <w:pPr>
        <w:pStyle w:val="TitlePageAddress"/>
      </w:pPr>
      <w:r w:rsidRPr="00856128">
        <w:drawing>
          <wp:inline distT="0" distB="0" distL="0" distR="0" wp14:anchorId="7E52D0CB" wp14:editId="4A20F222">
            <wp:extent cx="1788160" cy="698500"/>
            <wp:effectExtent l="0" t="0" r="2540" b="6350"/>
            <wp:docPr id="42"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br/>
      </w:r>
      <w:r w:rsidRPr="00791999">
        <w:br/>
      </w:r>
      <w:r w:rsidRPr="006D1A40">
        <w:t>1000 Thomas Jefferson Street NW</w:t>
      </w:r>
      <w:r w:rsidRPr="006D1A40">
        <w:br/>
        <w:t>Washington, DC 20007-3835</w:t>
      </w:r>
      <w:r w:rsidRPr="006D1A40">
        <w:br/>
        <w:t>202.403.5000</w:t>
      </w:r>
    </w:p>
    <w:p w14:paraId="2003E5EA" w14:textId="2D12D03D" w:rsidR="00CB49FA" w:rsidRPr="00E84A81" w:rsidRDefault="00F5211E" w:rsidP="00E84A81">
      <w:pPr>
        <w:pStyle w:val="TitlePageURL"/>
      </w:pPr>
      <w:r w:rsidRPr="00C41788">
        <w:t>www.air.org</w:t>
      </w:r>
      <w:r w:rsidR="00CB49FA">
        <w:br w:type="page"/>
      </w:r>
    </w:p>
    <w:p w14:paraId="38520B62" w14:textId="7D2F70B6" w:rsidR="00F36B85" w:rsidRDefault="00F36B85" w:rsidP="00F36B85">
      <w:pPr>
        <w:pStyle w:val="TOCHeading"/>
      </w:pPr>
      <w:r>
        <w:lastRenderedPageBreak/>
        <w:t>Contents</w:t>
      </w:r>
    </w:p>
    <w:p w14:paraId="3E8B6FDD" w14:textId="77777777" w:rsidR="00BB0C77" w:rsidRDefault="00BB0C77" w:rsidP="00BB0C77">
      <w:pPr>
        <w:jc w:val="right"/>
        <w:rPr>
          <w:b/>
        </w:rPr>
      </w:pPr>
      <w:r>
        <w:rPr>
          <w:b/>
        </w:rPr>
        <w:t>Page</w:t>
      </w:r>
    </w:p>
    <w:p w14:paraId="68CACED5" w14:textId="6FBFD5A3" w:rsidR="00D84685" w:rsidRDefault="00F36B85">
      <w:pPr>
        <w:pStyle w:val="TOC1"/>
        <w:rPr>
          <w:noProof/>
          <w:sz w:val="22"/>
          <w:szCs w:val="22"/>
        </w:rPr>
      </w:pPr>
      <w:r>
        <w:fldChar w:fldCharType="begin"/>
      </w:r>
      <w:r>
        <w:instrText xml:space="preserve"> TOC \h \z \t "Heading 2,1,Heading 3,2,P.App Title,1" </w:instrText>
      </w:r>
      <w:r>
        <w:fldChar w:fldCharType="separate"/>
      </w:r>
      <w:hyperlink w:anchor="_Toc8218538" w:history="1">
        <w:r w:rsidR="00D84685" w:rsidRPr="005642F2">
          <w:rPr>
            <w:rStyle w:val="Hyperlink"/>
            <w:noProof/>
          </w:rPr>
          <w:t>Abstract</w:t>
        </w:r>
        <w:r w:rsidR="00D84685">
          <w:rPr>
            <w:noProof/>
            <w:webHidden/>
          </w:rPr>
          <w:tab/>
        </w:r>
        <w:r w:rsidR="00D84685">
          <w:rPr>
            <w:noProof/>
            <w:webHidden/>
          </w:rPr>
          <w:fldChar w:fldCharType="begin"/>
        </w:r>
        <w:r w:rsidR="00D84685">
          <w:rPr>
            <w:noProof/>
            <w:webHidden/>
          </w:rPr>
          <w:instrText xml:space="preserve"> PAGEREF _Toc8218538 \h </w:instrText>
        </w:r>
        <w:r w:rsidR="00D84685">
          <w:rPr>
            <w:noProof/>
            <w:webHidden/>
          </w:rPr>
        </w:r>
        <w:r w:rsidR="00D84685">
          <w:rPr>
            <w:noProof/>
            <w:webHidden/>
          </w:rPr>
          <w:fldChar w:fldCharType="separate"/>
        </w:r>
        <w:r w:rsidR="00720B9F">
          <w:rPr>
            <w:noProof/>
            <w:webHidden/>
          </w:rPr>
          <w:t>1</w:t>
        </w:r>
        <w:r w:rsidR="00D84685">
          <w:rPr>
            <w:noProof/>
            <w:webHidden/>
          </w:rPr>
          <w:fldChar w:fldCharType="end"/>
        </w:r>
      </w:hyperlink>
    </w:p>
    <w:p w14:paraId="476DBF42" w14:textId="35EC145B" w:rsidR="00D84685" w:rsidRDefault="00F64D63">
      <w:pPr>
        <w:pStyle w:val="TOC1"/>
        <w:rPr>
          <w:noProof/>
          <w:sz w:val="22"/>
          <w:szCs w:val="22"/>
        </w:rPr>
      </w:pPr>
      <w:hyperlink w:anchor="_Toc8218539" w:history="1">
        <w:r w:rsidR="00D84685" w:rsidRPr="005642F2">
          <w:rPr>
            <w:rStyle w:val="Hyperlink"/>
            <w:noProof/>
          </w:rPr>
          <w:t>Part A. Justification</w:t>
        </w:r>
        <w:r w:rsidR="00D84685">
          <w:rPr>
            <w:noProof/>
            <w:webHidden/>
          </w:rPr>
          <w:tab/>
        </w:r>
        <w:r w:rsidR="00D84685">
          <w:rPr>
            <w:noProof/>
            <w:webHidden/>
          </w:rPr>
          <w:fldChar w:fldCharType="begin"/>
        </w:r>
        <w:r w:rsidR="00D84685">
          <w:rPr>
            <w:noProof/>
            <w:webHidden/>
          </w:rPr>
          <w:instrText xml:space="preserve"> PAGEREF _Toc8218539 \h </w:instrText>
        </w:r>
        <w:r w:rsidR="00D84685">
          <w:rPr>
            <w:noProof/>
            <w:webHidden/>
          </w:rPr>
        </w:r>
        <w:r w:rsidR="00D84685">
          <w:rPr>
            <w:noProof/>
            <w:webHidden/>
          </w:rPr>
          <w:fldChar w:fldCharType="separate"/>
        </w:r>
        <w:r w:rsidR="00720B9F">
          <w:rPr>
            <w:noProof/>
            <w:webHidden/>
          </w:rPr>
          <w:t>1</w:t>
        </w:r>
        <w:r w:rsidR="00D84685">
          <w:rPr>
            <w:noProof/>
            <w:webHidden/>
          </w:rPr>
          <w:fldChar w:fldCharType="end"/>
        </w:r>
      </w:hyperlink>
    </w:p>
    <w:p w14:paraId="584F26CF" w14:textId="3D06541E" w:rsidR="00D84685" w:rsidRDefault="00F64D63">
      <w:pPr>
        <w:pStyle w:val="TOC2"/>
        <w:rPr>
          <w:noProof/>
          <w:sz w:val="22"/>
          <w:szCs w:val="22"/>
        </w:rPr>
      </w:pPr>
      <w:hyperlink w:anchor="_Toc8218540" w:history="1">
        <w:r w:rsidR="00D84685" w:rsidRPr="005642F2">
          <w:rPr>
            <w:rStyle w:val="Hyperlink"/>
            <w:noProof/>
          </w:rPr>
          <w:t>A.1. Circumstances Necessitating Collection of Information</w:t>
        </w:r>
        <w:r w:rsidR="00D84685">
          <w:rPr>
            <w:noProof/>
            <w:webHidden/>
          </w:rPr>
          <w:tab/>
        </w:r>
        <w:r w:rsidR="00D84685">
          <w:rPr>
            <w:noProof/>
            <w:webHidden/>
          </w:rPr>
          <w:fldChar w:fldCharType="begin"/>
        </w:r>
        <w:r w:rsidR="00D84685">
          <w:rPr>
            <w:noProof/>
            <w:webHidden/>
          </w:rPr>
          <w:instrText xml:space="preserve"> PAGEREF _Toc8218540 \h </w:instrText>
        </w:r>
        <w:r w:rsidR="00D84685">
          <w:rPr>
            <w:noProof/>
            <w:webHidden/>
          </w:rPr>
        </w:r>
        <w:r w:rsidR="00D84685">
          <w:rPr>
            <w:noProof/>
            <w:webHidden/>
          </w:rPr>
          <w:fldChar w:fldCharType="separate"/>
        </w:r>
        <w:r w:rsidR="00720B9F">
          <w:rPr>
            <w:noProof/>
            <w:webHidden/>
          </w:rPr>
          <w:t>1</w:t>
        </w:r>
        <w:r w:rsidR="00D84685">
          <w:rPr>
            <w:noProof/>
            <w:webHidden/>
          </w:rPr>
          <w:fldChar w:fldCharType="end"/>
        </w:r>
      </w:hyperlink>
    </w:p>
    <w:p w14:paraId="6F90B940" w14:textId="671D4A62" w:rsidR="00D84685" w:rsidRDefault="00F64D63">
      <w:pPr>
        <w:pStyle w:val="TOC2"/>
        <w:rPr>
          <w:noProof/>
          <w:sz w:val="22"/>
          <w:szCs w:val="22"/>
        </w:rPr>
      </w:pPr>
      <w:hyperlink w:anchor="_Toc8218541" w:history="1">
        <w:r w:rsidR="00D84685" w:rsidRPr="005642F2">
          <w:rPr>
            <w:rStyle w:val="Hyperlink"/>
            <w:noProof/>
          </w:rPr>
          <w:t>A.2. Purposes and Uses of the Data</w:t>
        </w:r>
        <w:r w:rsidR="00D84685">
          <w:rPr>
            <w:noProof/>
            <w:webHidden/>
          </w:rPr>
          <w:tab/>
        </w:r>
        <w:r w:rsidR="00D84685">
          <w:rPr>
            <w:noProof/>
            <w:webHidden/>
          </w:rPr>
          <w:fldChar w:fldCharType="begin"/>
        </w:r>
        <w:r w:rsidR="00D84685">
          <w:rPr>
            <w:noProof/>
            <w:webHidden/>
          </w:rPr>
          <w:instrText xml:space="preserve"> PAGEREF _Toc8218541 \h </w:instrText>
        </w:r>
        <w:r w:rsidR="00D84685">
          <w:rPr>
            <w:noProof/>
            <w:webHidden/>
          </w:rPr>
        </w:r>
        <w:r w:rsidR="00D84685">
          <w:rPr>
            <w:noProof/>
            <w:webHidden/>
          </w:rPr>
          <w:fldChar w:fldCharType="separate"/>
        </w:r>
        <w:r w:rsidR="00720B9F">
          <w:rPr>
            <w:noProof/>
            <w:webHidden/>
          </w:rPr>
          <w:t>1</w:t>
        </w:r>
        <w:r w:rsidR="00D84685">
          <w:rPr>
            <w:noProof/>
            <w:webHidden/>
          </w:rPr>
          <w:fldChar w:fldCharType="end"/>
        </w:r>
      </w:hyperlink>
    </w:p>
    <w:p w14:paraId="1E1FB53A" w14:textId="2B6A0532" w:rsidR="00D84685" w:rsidRDefault="00F64D63">
      <w:pPr>
        <w:pStyle w:val="TOC2"/>
        <w:rPr>
          <w:noProof/>
          <w:sz w:val="22"/>
          <w:szCs w:val="22"/>
        </w:rPr>
      </w:pPr>
      <w:hyperlink w:anchor="_Toc8218542" w:history="1">
        <w:r w:rsidR="00D84685" w:rsidRPr="005642F2">
          <w:rPr>
            <w:rStyle w:val="Hyperlink"/>
            <w:noProof/>
          </w:rPr>
          <w:t>A.3. Use of Improved Information Technology</w:t>
        </w:r>
        <w:r w:rsidR="00D84685">
          <w:rPr>
            <w:noProof/>
            <w:webHidden/>
          </w:rPr>
          <w:tab/>
        </w:r>
        <w:r w:rsidR="00D84685">
          <w:rPr>
            <w:noProof/>
            <w:webHidden/>
          </w:rPr>
          <w:fldChar w:fldCharType="begin"/>
        </w:r>
        <w:r w:rsidR="00D84685">
          <w:rPr>
            <w:noProof/>
            <w:webHidden/>
          </w:rPr>
          <w:instrText xml:space="preserve"> PAGEREF _Toc8218542 \h </w:instrText>
        </w:r>
        <w:r w:rsidR="00D84685">
          <w:rPr>
            <w:noProof/>
            <w:webHidden/>
          </w:rPr>
        </w:r>
        <w:r w:rsidR="00D84685">
          <w:rPr>
            <w:noProof/>
            <w:webHidden/>
          </w:rPr>
          <w:fldChar w:fldCharType="separate"/>
        </w:r>
        <w:r w:rsidR="00720B9F">
          <w:rPr>
            <w:noProof/>
            <w:webHidden/>
          </w:rPr>
          <w:t>4</w:t>
        </w:r>
        <w:r w:rsidR="00D84685">
          <w:rPr>
            <w:noProof/>
            <w:webHidden/>
          </w:rPr>
          <w:fldChar w:fldCharType="end"/>
        </w:r>
      </w:hyperlink>
    </w:p>
    <w:p w14:paraId="417837FB" w14:textId="7AB9E47C" w:rsidR="00D84685" w:rsidRDefault="00F64D63">
      <w:pPr>
        <w:pStyle w:val="TOC2"/>
        <w:rPr>
          <w:noProof/>
          <w:sz w:val="22"/>
          <w:szCs w:val="22"/>
        </w:rPr>
      </w:pPr>
      <w:hyperlink w:anchor="_Toc8218543" w:history="1">
        <w:r w:rsidR="00D84685" w:rsidRPr="005642F2">
          <w:rPr>
            <w:rStyle w:val="Hyperlink"/>
            <w:noProof/>
          </w:rPr>
          <w:t>A.4. Efforts to Identify Duplication</w:t>
        </w:r>
        <w:r w:rsidR="00D84685">
          <w:rPr>
            <w:noProof/>
            <w:webHidden/>
          </w:rPr>
          <w:tab/>
        </w:r>
        <w:r w:rsidR="00D84685">
          <w:rPr>
            <w:noProof/>
            <w:webHidden/>
          </w:rPr>
          <w:fldChar w:fldCharType="begin"/>
        </w:r>
        <w:r w:rsidR="00D84685">
          <w:rPr>
            <w:noProof/>
            <w:webHidden/>
          </w:rPr>
          <w:instrText xml:space="preserve"> PAGEREF _Toc8218543 \h </w:instrText>
        </w:r>
        <w:r w:rsidR="00D84685">
          <w:rPr>
            <w:noProof/>
            <w:webHidden/>
          </w:rPr>
        </w:r>
        <w:r w:rsidR="00D84685">
          <w:rPr>
            <w:noProof/>
            <w:webHidden/>
          </w:rPr>
          <w:fldChar w:fldCharType="separate"/>
        </w:r>
        <w:r w:rsidR="00720B9F">
          <w:rPr>
            <w:noProof/>
            <w:webHidden/>
          </w:rPr>
          <w:t>4</w:t>
        </w:r>
        <w:r w:rsidR="00D84685">
          <w:rPr>
            <w:noProof/>
            <w:webHidden/>
          </w:rPr>
          <w:fldChar w:fldCharType="end"/>
        </w:r>
      </w:hyperlink>
    </w:p>
    <w:p w14:paraId="3C085DB8" w14:textId="78293F07" w:rsidR="00D84685" w:rsidRDefault="00F64D63">
      <w:pPr>
        <w:pStyle w:val="TOC2"/>
        <w:rPr>
          <w:noProof/>
          <w:sz w:val="22"/>
          <w:szCs w:val="22"/>
        </w:rPr>
      </w:pPr>
      <w:hyperlink w:anchor="_Toc8218544" w:history="1">
        <w:r w:rsidR="00D84685" w:rsidRPr="005642F2">
          <w:rPr>
            <w:rStyle w:val="Hyperlink"/>
            <w:noProof/>
          </w:rPr>
          <w:t>A.5. Collection of Data From Small Entities</w:t>
        </w:r>
        <w:r w:rsidR="00D84685">
          <w:rPr>
            <w:noProof/>
            <w:webHidden/>
          </w:rPr>
          <w:tab/>
        </w:r>
        <w:r w:rsidR="00D84685">
          <w:rPr>
            <w:noProof/>
            <w:webHidden/>
          </w:rPr>
          <w:fldChar w:fldCharType="begin"/>
        </w:r>
        <w:r w:rsidR="00D84685">
          <w:rPr>
            <w:noProof/>
            <w:webHidden/>
          </w:rPr>
          <w:instrText xml:space="preserve"> PAGEREF _Toc8218544 \h </w:instrText>
        </w:r>
        <w:r w:rsidR="00D84685">
          <w:rPr>
            <w:noProof/>
            <w:webHidden/>
          </w:rPr>
        </w:r>
        <w:r w:rsidR="00D84685">
          <w:rPr>
            <w:noProof/>
            <w:webHidden/>
          </w:rPr>
          <w:fldChar w:fldCharType="separate"/>
        </w:r>
        <w:r w:rsidR="00720B9F">
          <w:rPr>
            <w:noProof/>
            <w:webHidden/>
          </w:rPr>
          <w:t>4</w:t>
        </w:r>
        <w:r w:rsidR="00D84685">
          <w:rPr>
            <w:noProof/>
            <w:webHidden/>
          </w:rPr>
          <w:fldChar w:fldCharType="end"/>
        </w:r>
      </w:hyperlink>
    </w:p>
    <w:p w14:paraId="280024E7" w14:textId="7CA8EB8C" w:rsidR="00D84685" w:rsidRDefault="00F64D63">
      <w:pPr>
        <w:pStyle w:val="TOC2"/>
        <w:rPr>
          <w:noProof/>
          <w:sz w:val="22"/>
          <w:szCs w:val="22"/>
        </w:rPr>
      </w:pPr>
      <w:hyperlink w:anchor="_Toc8218545" w:history="1">
        <w:r w:rsidR="00D84685" w:rsidRPr="005642F2">
          <w:rPr>
            <w:rStyle w:val="Hyperlink"/>
            <w:noProof/>
          </w:rPr>
          <w:t>A.6. Consequences of Not Collecting the Data or Collecting Less Often</w:t>
        </w:r>
        <w:r w:rsidR="00D84685">
          <w:rPr>
            <w:noProof/>
            <w:webHidden/>
          </w:rPr>
          <w:tab/>
        </w:r>
        <w:r w:rsidR="00D84685">
          <w:rPr>
            <w:noProof/>
            <w:webHidden/>
          </w:rPr>
          <w:fldChar w:fldCharType="begin"/>
        </w:r>
        <w:r w:rsidR="00D84685">
          <w:rPr>
            <w:noProof/>
            <w:webHidden/>
          </w:rPr>
          <w:instrText xml:space="preserve"> PAGEREF _Toc8218545 \h </w:instrText>
        </w:r>
        <w:r w:rsidR="00D84685">
          <w:rPr>
            <w:noProof/>
            <w:webHidden/>
          </w:rPr>
        </w:r>
        <w:r w:rsidR="00D84685">
          <w:rPr>
            <w:noProof/>
            <w:webHidden/>
          </w:rPr>
          <w:fldChar w:fldCharType="separate"/>
        </w:r>
        <w:r w:rsidR="00720B9F">
          <w:rPr>
            <w:noProof/>
            <w:webHidden/>
          </w:rPr>
          <w:t>4</w:t>
        </w:r>
        <w:r w:rsidR="00D84685">
          <w:rPr>
            <w:noProof/>
            <w:webHidden/>
          </w:rPr>
          <w:fldChar w:fldCharType="end"/>
        </w:r>
      </w:hyperlink>
    </w:p>
    <w:p w14:paraId="28946938" w14:textId="0A041894" w:rsidR="00D84685" w:rsidRDefault="00F64D63">
      <w:pPr>
        <w:pStyle w:val="TOC2"/>
        <w:rPr>
          <w:noProof/>
          <w:sz w:val="22"/>
          <w:szCs w:val="22"/>
        </w:rPr>
      </w:pPr>
      <w:hyperlink w:anchor="_Toc8218546" w:history="1">
        <w:r w:rsidR="00D84685" w:rsidRPr="005642F2">
          <w:rPr>
            <w:rStyle w:val="Hyperlink"/>
            <w:noProof/>
          </w:rPr>
          <w:t>A.7. Special Circumstances of Data Collection</w:t>
        </w:r>
        <w:r w:rsidR="00D84685">
          <w:rPr>
            <w:noProof/>
            <w:webHidden/>
          </w:rPr>
          <w:tab/>
        </w:r>
        <w:r w:rsidR="00D84685">
          <w:rPr>
            <w:noProof/>
            <w:webHidden/>
          </w:rPr>
          <w:fldChar w:fldCharType="begin"/>
        </w:r>
        <w:r w:rsidR="00D84685">
          <w:rPr>
            <w:noProof/>
            <w:webHidden/>
          </w:rPr>
          <w:instrText xml:space="preserve"> PAGEREF _Toc8218546 \h </w:instrText>
        </w:r>
        <w:r w:rsidR="00D84685">
          <w:rPr>
            <w:noProof/>
            <w:webHidden/>
          </w:rPr>
        </w:r>
        <w:r w:rsidR="00D84685">
          <w:rPr>
            <w:noProof/>
            <w:webHidden/>
          </w:rPr>
          <w:fldChar w:fldCharType="separate"/>
        </w:r>
        <w:r w:rsidR="00720B9F">
          <w:rPr>
            <w:noProof/>
            <w:webHidden/>
          </w:rPr>
          <w:t>5</w:t>
        </w:r>
        <w:r w:rsidR="00D84685">
          <w:rPr>
            <w:noProof/>
            <w:webHidden/>
          </w:rPr>
          <w:fldChar w:fldCharType="end"/>
        </w:r>
      </w:hyperlink>
    </w:p>
    <w:p w14:paraId="60953EC4" w14:textId="44689B30" w:rsidR="00D84685" w:rsidRDefault="00F64D63">
      <w:pPr>
        <w:pStyle w:val="TOC2"/>
        <w:rPr>
          <w:noProof/>
          <w:sz w:val="22"/>
          <w:szCs w:val="22"/>
        </w:rPr>
      </w:pPr>
      <w:hyperlink w:anchor="_Toc8218547" w:history="1">
        <w:r w:rsidR="00D84685" w:rsidRPr="005642F2">
          <w:rPr>
            <w:rStyle w:val="Hyperlink"/>
            <w:noProof/>
          </w:rPr>
          <w:t>A.8. Consultations Outside the Agency</w:t>
        </w:r>
        <w:r w:rsidR="00D84685">
          <w:rPr>
            <w:noProof/>
            <w:webHidden/>
          </w:rPr>
          <w:tab/>
        </w:r>
        <w:r w:rsidR="00D84685">
          <w:rPr>
            <w:noProof/>
            <w:webHidden/>
          </w:rPr>
          <w:fldChar w:fldCharType="begin"/>
        </w:r>
        <w:r w:rsidR="00D84685">
          <w:rPr>
            <w:noProof/>
            <w:webHidden/>
          </w:rPr>
          <w:instrText xml:space="preserve"> PAGEREF _Toc8218547 \h </w:instrText>
        </w:r>
        <w:r w:rsidR="00D84685">
          <w:rPr>
            <w:noProof/>
            <w:webHidden/>
          </w:rPr>
        </w:r>
        <w:r w:rsidR="00D84685">
          <w:rPr>
            <w:noProof/>
            <w:webHidden/>
          </w:rPr>
          <w:fldChar w:fldCharType="separate"/>
        </w:r>
        <w:r w:rsidR="00720B9F">
          <w:rPr>
            <w:noProof/>
            <w:webHidden/>
          </w:rPr>
          <w:t>5</w:t>
        </w:r>
        <w:r w:rsidR="00D84685">
          <w:rPr>
            <w:noProof/>
            <w:webHidden/>
          </w:rPr>
          <w:fldChar w:fldCharType="end"/>
        </w:r>
      </w:hyperlink>
    </w:p>
    <w:p w14:paraId="5895D299" w14:textId="410D6797" w:rsidR="00D84685" w:rsidRDefault="00F64D63">
      <w:pPr>
        <w:pStyle w:val="TOC2"/>
        <w:rPr>
          <w:noProof/>
          <w:sz w:val="22"/>
          <w:szCs w:val="22"/>
        </w:rPr>
      </w:pPr>
      <w:hyperlink w:anchor="_Toc8218548" w:history="1">
        <w:r w:rsidR="00D84685" w:rsidRPr="005642F2">
          <w:rPr>
            <w:rStyle w:val="Hyperlink"/>
            <w:noProof/>
          </w:rPr>
          <w:t>A.9. Payments to Respondents</w:t>
        </w:r>
        <w:r w:rsidR="00D84685">
          <w:rPr>
            <w:noProof/>
            <w:webHidden/>
          </w:rPr>
          <w:tab/>
        </w:r>
        <w:r w:rsidR="00D84685">
          <w:rPr>
            <w:noProof/>
            <w:webHidden/>
          </w:rPr>
          <w:fldChar w:fldCharType="begin"/>
        </w:r>
        <w:r w:rsidR="00D84685">
          <w:rPr>
            <w:noProof/>
            <w:webHidden/>
          </w:rPr>
          <w:instrText xml:space="preserve"> PAGEREF _Toc8218548 \h </w:instrText>
        </w:r>
        <w:r w:rsidR="00D84685">
          <w:rPr>
            <w:noProof/>
            <w:webHidden/>
          </w:rPr>
        </w:r>
        <w:r w:rsidR="00D84685">
          <w:rPr>
            <w:noProof/>
            <w:webHidden/>
          </w:rPr>
          <w:fldChar w:fldCharType="separate"/>
        </w:r>
        <w:r w:rsidR="00720B9F">
          <w:rPr>
            <w:noProof/>
            <w:webHidden/>
          </w:rPr>
          <w:t>5</w:t>
        </w:r>
        <w:r w:rsidR="00D84685">
          <w:rPr>
            <w:noProof/>
            <w:webHidden/>
          </w:rPr>
          <w:fldChar w:fldCharType="end"/>
        </w:r>
      </w:hyperlink>
    </w:p>
    <w:p w14:paraId="06BD18EB" w14:textId="7692DF96" w:rsidR="00D84685" w:rsidRDefault="00F64D63">
      <w:pPr>
        <w:pStyle w:val="TOC2"/>
        <w:rPr>
          <w:noProof/>
          <w:sz w:val="22"/>
          <w:szCs w:val="22"/>
        </w:rPr>
      </w:pPr>
      <w:hyperlink w:anchor="_Toc8218549" w:history="1">
        <w:r w:rsidR="00D84685" w:rsidRPr="005642F2">
          <w:rPr>
            <w:rStyle w:val="Hyperlink"/>
            <w:noProof/>
          </w:rPr>
          <w:t>A.10. Assurance of Confidentiality</w:t>
        </w:r>
        <w:r w:rsidR="00D84685">
          <w:rPr>
            <w:noProof/>
            <w:webHidden/>
          </w:rPr>
          <w:tab/>
        </w:r>
        <w:r w:rsidR="00D84685">
          <w:rPr>
            <w:noProof/>
            <w:webHidden/>
          </w:rPr>
          <w:fldChar w:fldCharType="begin"/>
        </w:r>
        <w:r w:rsidR="00D84685">
          <w:rPr>
            <w:noProof/>
            <w:webHidden/>
          </w:rPr>
          <w:instrText xml:space="preserve"> PAGEREF _Toc8218549 \h </w:instrText>
        </w:r>
        <w:r w:rsidR="00D84685">
          <w:rPr>
            <w:noProof/>
            <w:webHidden/>
          </w:rPr>
        </w:r>
        <w:r w:rsidR="00D84685">
          <w:rPr>
            <w:noProof/>
            <w:webHidden/>
          </w:rPr>
          <w:fldChar w:fldCharType="separate"/>
        </w:r>
        <w:r w:rsidR="00720B9F">
          <w:rPr>
            <w:noProof/>
            <w:webHidden/>
          </w:rPr>
          <w:t>6</w:t>
        </w:r>
        <w:r w:rsidR="00D84685">
          <w:rPr>
            <w:noProof/>
            <w:webHidden/>
          </w:rPr>
          <w:fldChar w:fldCharType="end"/>
        </w:r>
      </w:hyperlink>
    </w:p>
    <w:p w14:paraId="1F71A0FA" w14:textId="1210B183" w:rsidR="00D84685" w:rsidRDefault="00F64D63">
      <w:pPr>
        <w:pStyle w:val="TOC2"/>
        <w:rPr>
          <w:noProof/>
          <w:sz w:val="22"/>
          <w:szCs w:val="22"/>
        </w:rPr>
      </w:pPr>
      <w:hyperlink w:anchor="_Toc8218550" w:history="1">
        <w:r w:rsidR="00D84685" w:rsidRPr="005642F2">
          <w:rPr>
            <w:rStyle w:val="Hyperlink"/>
            <w:noProof/>
          </w:rPr>
          <w:t>A.11. Sensitive Questions</w:t>
        </w:r>
        <w:r w:rsidR="00D84685">
          <w:rPr>
            <w:noProof/>
            <w:webHidden/>
          </w:rPr>
          <w:tab/>
        </w:r>
        <w:r w:rsidR="00D84685">
          <w:rPr>
            <w:noProof/>
            <w:webHidden/>
          </w:rPr>
          <w:fldChar w:fldCharType="begin"/>
        </w:r>
        <w:r w:rsidR="00D84685">
          <w:rPr>
            <w:noProof/>
            <w:webHidden/>
          </w:rPr>
          <w:instrText xml:space="preserve"> PAGEREF _Toc8218550 \h </w:instrText>
        </w:r>
        <w:r w:rsidR="00D84685">
          <w:rPr>
            <w:noProof/>
            <w:webHidden/>
          </w:rPr>
        </w:r>
        <w:r w:rsidR="00D84685">
          <w:rPr>
            <w:noProof/>
            <w:webHidden/>
          </w:rPr>
          <w:fldChar w:fldCharType="separate"/>
        </w:r>
        <w:r w:rsidR="00720B9F">
          <w:rPr>
            <w:noProof/>
            <w:webHidden/>
          </w:rPr>
          <w:t>7</w:t>
        </w:r>
        <w:r w:rsidR="00D84685">
          <w:rPr>
            <w:noProof/>
            <w:webHidden/>
          </w:rPr>
          <w:fldChar w:fldCharType="end"/>
        </w:r>
      </w:hyperlink>
    </w:p>
    <w:p w14:paraId="653953BC" w14:textId="0F3D55B6" w:rsidR="00D84685" w:rsidRDefault="00F64D63">
      <w:pPr>
        <w:pStyle w:val="TOC2"/>
        <w:rPr>
          <w:noProof/>
          <w:sz w:val="22"/>
          <w:szCs w:val="22"/>
        </w:rPr>
      </w:pPr>
      <w:hyperlink w:anchor="_Toc8218551" w:history="1">
        <w:r w:rsidR="00D84685" w:rsidRPr="005642F2">
          <w:rPr>
            <w:rStyle w:val="Hyperlink"/>
            <w:noProof/>
          </w:rPr>
          <w:t>A.12. Estimated Response Burden</w:t>
        </w:r>
        <w:r w:rsidR="00D84685">
          <w:rPr>
            <w:noProof/>
            <w:webHidden/>
          </w:rPr>
          <w:tab/>
        </w:r>
        <w:r w:rsidR="00D84685">
          <w:rPr>
            <w:noProof/>
            <w:webHidden/>
          </w:rPr>
          <w:fldChar w:fldCharType="begin"/>
        </w:r>
        <w:r w:rsidR="00D84685">
          <w:rPr>
            <w:noProof/>
            <w:webHidden/>
          </w:rPr>
          <w:instrText xml:space="preserve"> PAGEREF _Toc8218551 \h </w:instrText>
        </w:r>
        <w:r w:rsidR="00D84685">
          <w:rPr>
            <w:noProof/>
            <w:webHidden/>
          </w:rPr>
        </w:r>
        <w:r w:rsidR="00D84685">
          <w:rPr>
            <w:noProof/>
            <w:webHidden/>
          </w:rPr>
          <w:fldChar w:fldCharType="separate"/>
        </w:r>
        <w:r w:rsidR="00720B9F">
          <w:rPr>
            <w:noProof/>
            <w:webHidden/>
          </w:rPr>
          <w:t>7</w:t>
        </w:r>
        <w:r w:rsidR="00D84685">
          <w:rPr>
            <w:noProof/>
            <w:webHidden/>
          </w:rPr>
          <w:fldChar w:fldCharType="end"/>
        </w:r>
      </w:hyperlink>
    </w:p>
    <w:p w14:paraId="634E46FC" w14:textId="3E83379B" w:rsidR="00D84685" w:rsidRDefault="00F64D63">
      <w:pPr>
        <w:pStyle w:val="TOC2"/>
        <w:rPr>
          <w:noProof/>
          <w:sz w:val="22"/>
          <w:szCs w:val="22"/>
        </w:rPr>
      </w:pPr>
      <w:hyperlink w:anchor="_Toc8218552" w:history="1">
        <w:r w:rsidR="00D84685" w:rsidRPr="005642F2">
          <w:rPr>
            <w:rStyle w:val="Hyperlink"/>
            <w:noProof/>
          </w:rPr>
          <w:t>A.13. Cost to Respondents</w:t>
        </w:r>
        <w:r w:rsidR="00D84685">
          <w:rPr>
            <w:noProof/>
            <w:webHidden/>
          </w:rPr>
          <w:tab/>
        </w:r>
        <w:r w:rsidR="00D84685">
          <w:rPr>
            <w:noProof/>
            <w:webHidden/>
          </w:rPr>
          <w:fldChar w:fldCharType="begin"/>
        </w:r>
        <w:r w:rsidR="00D84685">
          <w:rPr>
            <w:noProof/>
            <w:webHidden/>
          </w:rPr>
          <w:instrText xml:space="preserve"> PAGEREF _Toc8218552 \h </w:instrText>
        </w:r>
        <w:r w:rsidR="00D84685">
          <w:rPr>
            <w:noProof/>
            <w:webHidden/>
          </w:rPr>
        </w:r>
        <w:r w:rsidR="00D84685">
          <w:rPr>
            <w:noProof/>
            <w:webHidden/>
          </w:rPr>
          <w:fldChar w:fldCharType="separate"/>
        </w:r>
        <w:r w:rsidR="00720B9F">
          <w:rPr>
            <w:noProof/>
            <w:webHidden/>
          </w:rPr>
          <w:t>8</w:t>
        </w:r>
        <w:r w:rsidR="00D84685">
          <w:rPr>
            <w:noProof/>
            <w:webHidden/>
          </w:rPr>
          <w:fldChar w:fldCharType="end"/>
        </w:r>
      </w:hyperlink>
    </w:p>
    <w:p w14:paraId="4D061CC5" w14:textId="44E02187" w:rsidR="00D84685" w:rsidRDefault="00F64D63">
      <w:pPr>
        <w:pStyle w:val="TOC2"/>
        <w:rPr>
          <w:noProof/>
          <w:sz w:val="22"/>
          <w:szCs w:val="22"/>
        </w:rPr>
      </w:pPr>
      <w:hyperlink w:anchor="_Toc8218553" w:history="1">
        <w:r w:rsidR="00D84685" w:rsidRPr="005642F2">
          <w:rPr>
            <w:rStyle w:val="Hyperlink"/>
            <w:noProof/>
          </w:rPr>
          <w:t>A.14. Estimate of Annualized Cost to the Federal Government</w:t>
        </w:r>
        <w:r w:rsidR="00D84685">
          <w:rPr>
            <w:noProof/>
            <w:webHidden/>
          </w:rPr>
          <w:tab/>
        </w:r>
        <w:r w:rsidR="00D84685">
          <w:rPr>
            <w:noProof/>
            <w:webHidden/>
          </w:rPr>
          <w:fldChar w:fldCharType="begin"/>
        </w:r>
        <w:r w:rsidR="00D84685">
          <w:rPr>
            <w:noProof/>
            <w:webHidden/>
          </w:rPr>
          <w:instrText xml:space="preserve"> PAGEREF _Toc8218553 \h </w:instrText>
        </w:r>
        <w:r w:rsidR="00D84685">
          <w:rPr>
            <w:noProof/>
            <w:webHidden/>
          </w:rPr>
        </w:r>
        <w:r w:rsidR="00D84685">
          <w:rPr>
            <w:noProof/>
            <w:webHidden/>
          </w:rPr>
          <w:fldChar w:fldCharType="separate"/>
        </w:r>
        <w:r w:rsidR="00720B9F">
          <w:rPr>
            <w:noProof/>
            <w:webHidden/>
          </w:rPr>
          <w:t>8</w:t>
        </w:r>
        <w:r w:rsidR="00D84685">
          <w:rPr>
            <w:noProof/>
            <w:webHidden/>
          </w:rPr>
          <w:fldChar w:fldCharType="end"/>
        </w:r>
      </w:hyperlink>
    </w:p>
    <w:p w14:paraId="7E8A88A1" w14:textId="52A4D569" w:rsidR="00D84685" w:rsidRDefault="00F64D63">
      <w:pPr>
        <w:pStyle w:val="TOC2"/>
        <w:rPr>
          <w:noProof/>
          <w:sz w:val="22"/>
          <w:szCs w:val="22"/>
        </w:rPr>
      </w:pPr>
      <w:hyperlink w:anchor="_Toc8218554" w:history="1">
        <w:r w:rsidR="00D84685" w:rsidRPr="005642F2">
          <w:rPr>
            <w:rStyle w:val="Hyperlink"/>
            <w:noProof/>
          </w:rPr>
          <w:t>A.15. Reasons for Changes in Estimated Burden</w:t>
        </w:r>
        <w:r w:rsidR="00D84685">
          <w:rPr>
            <w:noProof/>
            <w:webHidden/>
          </w:rPr>
          <w:tab/>
        </w:r>
        <w:r w:rsidR="00D84685">
          <w:rPr>
            <w:noProof/>
            <w:webHidden/>
          </w:rPr>
          <w:fldChar w:fldCharType="begin"/>
        </w:r>
        <w:r w:rsidR="00D84685">
          <w:rPr>
            <w:noProof/>
            <w:webHidden/>
          </w:rPr>
          <w:instrText xml:space="preserve"> PAGEREF _Toc8218554 \h </w:instrText>
        </w:r>
        <w:r w:rsidR="00D84685">
          <w:rPr>
            <w:noProof/>
            <w:webHidden/>
          </w:rPr>
        </w:r>
        <w:r w:rsidR="00D84685">
          <w:rPr>
            <w:noProof/>
            <w:webHidden/>
          </w:rPr>
          <w:fldChar w:fldCharType="separate"/>
        </w:r>
        <w:r w:rsidR="00720B9F">
          <w:rPr>
            <w:noProof/>
            <w:webHidden/>
          </w:rPr>
          <w:t>8</w:t>
        </w:r>
        <w:r w:rsidR="00D84685">
          <w:rPr>
            <w:noProof/>
            <w:webHidden/>
          </w:rPr>
          <w:fldChar w:fldCharType="end"/>
        </w:r>
      </w:hyperlink>
    </w:p>
    <w:p w14:paraId="23A88B3D" w14:textId="66122427" w:rsidR="00D84685" w:rsidRDefault="00F64D63">
      <w:pPr>
        <w:pStyle w:val="TOC2"/>
        <w:rPr>
          <w:noProof/>
          <w:sz w:val="22"/>
          <w:szCs w:val="22"/>
        </w:rPr>
      </w:pPr>
      <w:hyperlink w:anchor="_Toc8218555" w:history="1">
        <w:r w:rsidR="00D84685" w:rsidRPr="005642F2">
          <w:rPr>
            <w:rStyle w:val="Hyperlink"/>
            <w:noProof/>
          </w:rPr>
          <w:t>A.16. Publication Plans and Project Schedule</w:t>
        </w:r>
        <w:r w:rsidR="00D84685">
          <w:rPr>
            <w:noProof/>
            <w:webHidden/>
          </w:rPr>
          <w:tab/>
        </w:r>
        <w:r w:rsidR="00D84685">
          <w:rPr>
            <w:noProof/>
            <w:webHidden/>
          </w:rPr>
          <w:fldChar w:fldCharType="begin"/>
        </w:r>
        <w:r w:rsidR="00D84685">
          <w:rPr>
            <w:noProof/>
            <w:webHidden/>
          </w:rPr>
          <w:instrText xml:space="preserve"> PAGEREF _Toc8218555 \h </w:instrText>
        </w:r>
        <w:r w:rsidR="00D84685">
          <w:rPr>
            <w:noProof/>
            <w:webHidden/>
          </w:rPr>
        </w:r>
        <w:r w:rsidR="00D84685">
          <w:rPr>
            <w:noProof/>
            <w:webHidden/>
          </w:rPr>
          <w:fldChar w:fldCharType="separate"/>
        </w:r>
        <w:r w:rsidR="00720B9F">
          <w:rPr>
            <w:noProof/>
            <w:webHidden/>
          </w:rPr>
          <w:t>8</w:t>
        </w:r>
        <w:r w:rsidR="00D84685">
          <w:rPr>
            <w:noProof/>
            <w:webHidden/>
          </w:rPr>
          <w:fldChar w:fldCharType="end"/>
        </w:r>
      </w:hyperlink>
    </w:p>
    <w:p w14:paraId="13F27BA7" w14:textId="5D374684" w:rsidR="00D84685" w:rsidRDefault="00F64D63">
      <w:pPr>
        <w:pStyle w:val="TOC2"/>
        <w:rPr>
          <w:noProof/>
          <w:sz w:val="22"/>
          <w:szCs w:val="22"/>
        </w:rPr>
      </w:pPr>
      <w:hyperlink w:anchor="_Toc8218556" w:history="1">
        <w:r w:rsidR="00D84685" w:rsidRPr="005642F2">
          <w:rPr>
            <w:rStyle w:val="Hyperlink"/>
            <w:noProof/>
          </w:rPr>
          <w:t>A.17. Approval to Not Display the Expiration Date for OMB Approval</w:t>
        </w:r>
        <w:r w:rsidR="00D84685">
          <w:rPr>
            <w:noProof/>
            <w:webHidden/>
          </w:rPr>
          <w:tab/>
        </w:r>
        <w:r w:rsidR="00D84685">
          <w:rPr>
            <w:noProof/>
            <w:webHidden/>
          </w:rPr>
          <w:fldChar w:fldCharType="begin"/>
        </w:r>
        <w:r w:rsidR="00D84685">
          <w:rPr>
            <w:noProof/>
            <w:webHidden/>
          </w:rPr>
          <w:instrText xml:space="preserve"> PAGEREF _Toc8218556 \h </w:instrText>
        </w:r>
        <w:r w:rsidR="00D84685">
          <w:rPr>
            <w:noProof/>
            <w:webHidden/>
          </w:rPr>
        </w:r>
        <w:r w:rsidR="00D84685">
          <w:rPr>
            <w:noProof/>
            <w:webHidden/>
          </w:rPr>
          <w:fldChar w:fldCharType="separate"/>
        </w:r>
        <w:r w:rsidR="00720B9F">
          <w:rPr>
            <w:noProof/>
            <w:webHidden/>
          </w:rPr>
          <w:t>9</w:t>
        </w:r>
        <w:r w:rsidR="00D84685">
          <w:rPr>
            <w:noProof/>
            <w:webHidden/>
          </w:rPr>
          <w:fldChar w:fldCharType="end"/>
        </w:r>
      </w:hyperlink>
    </w:p>
    <w:p w14:paraId="587E7D00" w14:textId="256A0D8A" w:rsidR="00D84685" w:rsidRDefault="00F64D63">
      <w:pPr>
        <w:pStyle w:val="TOC2"/>
        <w:rPr>
          <w:noProof/>
          <w:sz w:val="22"/>
          <w:szCs w:val="22"/>
        </w:rPr>
      </w:pPr>
      <w:hyperlink w:anchor="_Toc8218557" w:history="1">
        <w:r w:rsidR="00D84685" w:rsidRPr="005642F2">
          <w:rPr>
            <w:rStyle w:val="Hyperlink"/>
            <w:noProof/>
          </w:rPr>
          <w:t>A.18. Exceptions to the Certification Statement</w:t>
        </w:r>
        <w:r w:rsidR="00D84685">
          <w:rPr>
            <w:noProof/>
            <w:webHidden/>
          </w:rPr>
          <w:tab/>
        </w:r>
        <w:r w:rsidR="00D84685">
          <w:rPr>
            <w:noProof/>
            <w:webHidden/>
          </w:rPr>
          <w:fldChar w:fldCharType="begin"/>
        </w:r>
        <w:r w:rsidR="00D84685">
          <w:rPr>
            <w:noProof/>
            <w:webHidden/>
          </w:rPr>
          <w:instrText xml:space="preserve"> PAGEREF _Toc8218557 \h </w:instrText>
        </w:r>
        <w:r w:rsidR="00D84685">
          <w:rPr>
            <w:noProof/>
            <w:webHidden/>
          </w:rPr>
        </w:r>
        <w:r w:rsidR="00D84685">
          <w:rPr>
            <w:noProof/>
            <w:webHidden/>
          </w:rPr>
          <w:fldChar w:fldCharType="separate"/>
        </w:r>
        <w:r w:rsidR="00720B9F">
          <w:rPr>
            <w:noProof/>
            <w:webHidden/>
          </w:rPr>
          <w:t>9</w:t>
        </w:r>
        <w:r w:rsidR="00D84685">
          <w:rPr>
            <w:noProof/>
            <w:webHidden/>
          </w:rPr>
          <w:fldChar w:fldCharType="end"/>
        </w:r>
      </w:hyperlink>
    </w:p>
    <w:p w14:paraId="75118569" w14:textId="678EDEA1" w:rsidR="00803C73" w:rsidRDefault="00F36B85" w:rsidP="00266D03">
      <w:pPr>
        <w:spacing w:before="180"/>
      </w:pPr>
      <w:r>
        <w:fldChar w:fldCharType="end"/>
      </w:r>
      <w:r w:rsidR="00803C73">
        <w:t xml:space="preserve">Appendix A. </w:t>
      </w:r>
      <w:r w:rsidR="00146C50">
        <w:t>State Director Survey</w:t>
      </w:r>
      <w:r w:rsidR="00146C50" w:rsidRPr="00803C73">
        <w:t xml:space="preserve"> </w:t>
      </w:r>
    </w:p>
    <w:p w14:paraId="77A2B610" w14:textId="248581D2" w:rsidR="00803C73" w:rsidRDefault="00803C73" w:rsidP="00266D03">
      <w:pPr>
        <w:spacing w:before="180"/>
      </w:pPr>
      <w:r>
        <w:t xml:space="preserve">Appendix B. </w:t>
      </w:r>
      <w:r w:rsidR="00146C50">
        <w:t xml:space="preserve">Provider Survey </w:t>
      </w:r>
    </w:p>
    <w:p w14:paraId="062168FB" w14:textId="491E708C" w:rsidR="00803C73" w:rsidRDefault="00803C73" w:rsidP="00266D03">
      <w:pPr>
        <w:spacing w:before="180"/>
      </w:pPr>
      <w:r>
        <w:t xml:space="preserve">Appendix C. </w:t>
      </w:r>
      <w:r w:rsidR="00270CF4">
        <w:t>Provider List</w:t>
      </w:r>
      <w:r w:rsidR="00DA381D">
        <w:t xml:space="preserve"> and Updated Provider List</w:t>
      </w:r>
    </w:p>
    <w:p w14:paraId="2D890ED5" w14:textId="2FD09017" w:rsidR="00803C73" w:rsidRDefault="00803C73" w:rsidP="00266D03">
      <w:pPr>
        <w:spacing w:before="180"/>
      </w:pPr>
      <w:r>
        <w:t xml:space="preserve">Appendix D. </w:t>
      </w:r>
      <w:r w:rsidR="00DA381D" w:rsidRPr="00803C73">
        <w:t>Contact</w:t>
      </w:r>
      <w:r w:rsidR="00DA381D">
        <w:t xml:space="preserve"> </w:t>
      </w:r>
      <w:r w:rsidR="00DA381D" w:rsidRPr="00803C73">
        <w:t>Materials</w:t>
      </w:r>
    </w:p>
    <w:p w14:paraId="53B91968" w14:textId="77777777" w:rsidR="00803C73" w:rsidRDefault="00803C73" w:rsidP="0053295D"/>
    <w:p w14:paraId="19C66277" w14:textId="4AD6DF98" w:rsidR="00F36B85" w:rsidRDefault="00BB0C77" w:rsidP="0053295D">
      <w:r>
        <w:br w:type="page"/>
      </w:r>
    </w:p>
    <w:p w14:paraId="6ABC2C4B" w14:textId="77777777" w:rsidR="00F36B85" w:rsidRDefault="00F36B85" w:rsidP="00F36B85">
      <w:pPr>
        <w:sectPr w:rsidR="00F36B85" w:rsidSect="00B62484">
          <w:pgSz w:w="12240" w:h="15840" w:code="1"/>
          <w:pgMar w:top="1440" w:right="1440" w:bottom="1440" w:left="1440" w:header="720" w:footer="720" w:gutter="0"/>
          <w:pgNumType w:fmt="lowerRoman"/>
          <w:cols w:space="720"/>
          <w:docGrid w:linePitch="360"/>
        </w:sectPr>
      </w:pPr>
    </w:p>
    <w:p w14:paraId="4FFC3ADF" w14:textId="01F157D9" w:rsidR="001A14F3" w:rsidRPr="004505DB" w:rsidRDefault="00EF2182" w:rsidP="00D4550A">
      <w:pPr>
        <w:pStyle w:val="Heading2"/>
        <w:spacing w:before="0"/>
      </w:pPr>
      <w:bookmarkStart w:id="3" w:name="_Toc8218538"/>
      <w:bookmarkEnd w:id="0"/>
      <w:bookmarkEnd w:id="1"/>
      <w:r>
        <w:lastRenderedPageBreak/>
        <w:t>Abstract</w:t>
      </w:r>
      <w:bookmarkEnd w:id="3"/>
    </w:p>
    <w:p w14:paraId="1A6B5FFF" w14:textId="41D5A313" w:rsidR="00432EE2" w:rsidRPr="00DB5121" w:rsidRDefault="00432EE2" w:rsidP="00B6560E">
      <w:pPr>
        <w:pStyle w:val="BodyTextPostHead"/>
      </w:pPr>
      <w:r>
        <w:t xml:space="preserve">Title II </w:t>
      </w:r>
      <w:r w:rsidRPr="00DB5121">
        <w:t>of the 2014 Workforce Innovation and Opportunity Act (WIOA</w:t>
      </w:r>
      <w:r>
        <w:t xml:space="preserve">; </w:t>
      </w:r>
      <w:r w:rsidRPr="007F53E1">
        <w:t>Pub</w:t>
      </w:r>
      <w:r>
        <w:t>.L.</w:t>
      </w:r>
      <w:r w:rsidRPr="007F53E1">
        <w:t xml:space="preserve"> 113-128</w:t>
      </w:r>
      <w:r w:rsidRPr="00DB5121">
        <w:t>)</w:t>
      </w:r>
      <w:r>
        <w:t xml:space="preserve"> </w:t>
      </w:r>
      <w:r w:rsidRPr="00DB5121">
        <w:t xml:space="preserve">provides funding to </w:t>
      </w:r>
      <w:r w:rsidR="00835F49">
        <w:t>s</w:t>
      </w:r>
      <w:r w:rsidR="00835F49" w:rsidRPr="00DB5121">
        <w:t xml:space="preserve">tates </w:t>
      </w:r>
      <w:r>
        <w:t>for</w:t>
      </w:r>
      <w:r w:rsidRPr="00DB5121">
        <w:t xml:space="preserve"> </w:t>
      </w:r>
      <w:r>
        <w:t xml:space="preserve">local </w:t>
      </w:r>
      <w:r w:rsidRPr="00DB5121">
        <w:t xml:space="preserve">programs </w:t>
      </w:r>
      <w:r w:rsidR="00FD4644">
        <w:t xml:space="preserve">that are </w:t>
      </w:r>
      <w:r w:rsidRPr="00DB5121">
        <w:t xml:space="preserve">designed to </w:t>
      </w:r>
      <w:r>
        <w:t>help adults</w:t>
      </w:r>
      <w:r w:rsidRPr="00DB5121">
        <w:t xml:space="preserve"> obtain the education credentials, knowledge, and skills necessary for employment and economic self-sufficiency</w:t>
      </w:r>
      <w:r>
        <w:t>.</w:t>
      </w:r>
      <w:bookmarkStart w:id="4" w:name="_Hlk6994513"/>
      <w:r>
        <w:rPr>
          <w:rStyle w:val="FootnoteReference"/>
        </w:rPr>
        <w:footnoteReference w:id="2"/>
      </w:r>
      <w:bookmarkEnd w:id="4"/>
      <w:r>
        <w:t xml:space="preserve"> </w:t>
      </w:r>
      <w:r w:rsidR="005311B1">
        <w:t>WIOA</w:t>
      </w:r>
      <w:r w:rsidRPr="00DB5121">
        <w:t xml:space="preserve"> mandates an independent national evaluation of adult education programs funded under Title II. </w:t>
      </w:r>
      <w:r w:rsidR="00060DBF">
        <w:t xml:space="preserve">The national evaluation is being conducted by </w:t>
      </w:r>
      <w:r w:rsidR="00060DBF" w:rsidRPr="00AF5885">
        <w:t>the U.S. Department of Education</w:t>
      </w:r>
      <w:r w:rsidR="00835F49">
        <w:t>’</w:t>
      </w:r>
      <w:r w:rsidR="00060DBF" w:rsidRPr="00AF5885">
        <w:t xml:space="preserve">s </w:t>
      </w:r>
      <w:r w:rsidR="00060DBF">
        <w:t>(ED’s) Institute of Education Sciences</w:t>
      </w:r>
      <w:r w:rsidR="00A421A8">
        <w:t xml:space="preserve"> (IES)</w:t>
      </w:r>
      <w:r w:rsidR="00060DBF">
        <w:t xml:space="preserve">. </w:t>
      </w:r>
      <w:r w:rsidR="007C4510">
        <w:t xml:space="preserve">This request for clearance is for </w:t>
      </w:r>
      <w:r>
        <w:t>the National Study of the Implementation of Adult Education Under WIOA</w:t>
      </w:r>
      <w:r w:rsidR="00724818">
        <w:t>, which is a part of the national e</w:t>
      </w:r>
      <w:r w:rsidR="003840FC">
        <w:t>valuation</w:t>
      </w:r>
      <w:r w:rsidR="00B81A0D">
        <w:t>. The study</w:t>
      </w:r>
      <w:r w:rsidRPr="00DB5121">
        <w:t xml:space="preserve"> </w:t>
      </w:r>
      <w:r w:rsidR="002E3A3C">
        <w:t>will</w:t>
      </w:r>
      <w:r w:rsidRPr="00DB5121">
        <w:t xml:space="preserve"> provide </w:t>
      </w:r>
      <w:r w:rsidR="00E1548C">
        <w:t xml:space="preserve">Congress, ED and the field </w:t>
      </w:r>
      <w:r w:rsidR="00091F1E">
        <w:t xml:space="preserve">with </w:t>
      </w:r>
      <w:r w:rsidRPr="00DB5121">
        <w:t xml:space="preserve">implementation information on </w:t>
      </w:r>
      <w:r w:rsidR="00485126">
        <w:t>adult education</w:t>
      </w:r>
      <w:r w:rsidR="00485126" w:rsidRPr="00DB5121">
        <w:t xml:space="preserve"> </w:t>
      </w:r>
      <w:r w:rsidRPr="00DB5121">
        <w:t>programs</w:t>
      </w:r>
      <w:r w:rsidR="0084380D">
        <w:t xml:space="preserve"> and practices</w:t>
      </w:r>
      <w:r w:rsidRPr="00DB5121">
        <w:t>.</w:t>
      </w:r>
    </w:p>
    <w:p w14:paraId="244E6B17" w14:textId="40A801AE" w:rsidR="001A14F3" w:rsidRDefault="00432EE2" w:rsidP="00432EE2">
      <w:pPr>
        <w:pStyle w:val="BodyText"/>
      </w:pPr>
      <w:r>
        <w:t xml:space="preserve">The study will be descriptive and </w:t>
      </w:r>
      <w:r w:rsidRPr="00DB5121">
        <w:t>primarily involve collecti</w:t>
      </w:r>
      <w:r w:rsidR="00835F49">
        <w:t>ng</w:t>
      </w:r>
      <w:r w:rsidRPr="00DB5121">
        <w:t xml:space="preserve"> and </w:t>
      </w:r>
      <w:r w:rsidR="00835F49" w:rsidRPr="00DB5121">
        <w:t>tabulati</w:t>
      </w:r>
      <w:r w:rsidR="00835F49">
        <w:t>ng</w:t>
      </w:r>
      <w:r w:rsidR="00835F49" w:rsidRPr="00DB5121">
        <w:t xml:space="preserve"> </w:t>
      </w:r>
      <w:r w:rsidRPr="00DB5121">
        <w:t xml:space="preserve">data from surveys of adult education </w:t>
      </w:r>
      <w:r w:rsidR="00835F49">
        <w:t>s</w:t>
      </w:r>
      <w:r w:rsidR="00835F49" w:rsidRPr="00DB5121">
        <w:t xml:space="preserve">tate </w:t>
      </w:r>
      <w:r w:rsidR="00835F49">
        <w:t>d</w:t>
      </w:r>
      <w:r w:rsidR="00835F49" w:rsidRPr="00DB5121">
        <w:t xml:space="preserve">irectors </w:t>
      </w:r>
      <w:r w:rsidRPr="00DB5121">
        <w:t xml:space="preserve">and </w:t>
      </w:r>
      <w:r w:rsidR="00385202">
        <w:t xml:space="preserve">local </w:t>
      </w:r>
      <w:r w:rsidRPr="00DB5121">
        <w:t>providers</w:t>
      </w:r>
      <w:r w:rsidR="00636550">
        <w:t xml:space="preserve"> funded under Title II</w:t>
      </w:r>
      <w:r w:rsidRPr="00DB5121">
        <w:t xml:space="preserve">. </w:t>
      </w:r>
      <w:r w:rsidRPr="00AF5885">
        <w:t xml:space="preserve">Some key findings from the provider survey will be compared with findings from </w:t>
      </w:r>
      <w:r>
        <w:t xml:space="preserve">the Adult Education Program Survey, </w:t>
      </w:r>
      <w:r w:rsidRPr="00AF5885">
        <w:t>an earlier national survey of providers</w:t>
      </w:r>
      <w:r>
        <w:t xml:space="preserve"> </w:t>
      </w:r>
      <w:r w:rsidRPr="00AF5885">
        <w:t xml:space="preserve">conducted in 2003. This </w:t>
      </w:r>
      <w:r>
        <w:t xml:space="preserve">comparison </w:t>
      </w:r>
      <w:r w:rsidRPr="00AF5885">
        <w:t xml:space="preserve">will allow for an assessment of the extent to which adult education programs have evolved since prior to the enactment of </w:t>
      </w:r>
      <w:r w:rsidR="005311B1">
        <w:t>WIOA</w:t>
      </w:r>
      <w:r w:rsidRPr="00AF5885">
        <w:t xml:space="preserve">. </w:t>
      </w:r>
      <w:r>
        <w:t>T</w:t>
      </w:r>
      <w:r w:rsidRPr="00AF5885">
        <w:t xml:space="preserve">he study </w:t>
      </w:r>
      <w:r w:rsidR="00835F49">
        <w:t xml:space="preserve">also </w:t>
      </w:r>
      <w:r w:rsidRPr="00AF5885">
        <w:t xml:space="preserve">will include </w:t>
      </w:r>
      <w:r w:rsidR="005311B1">
        <w:t>the use</w:t>
      </w:r>
      <w:r w:rsidR="005311B1" w:rsidRPr="00AF5885">
        <w:t xml:space="preserve"> </w:t>
      </w:r>
      <w:r w:rsidRPr="00AF5885">
        <w:t>of extant data</w:t>
      </w:r>
      <w:r w:rsidR="00D94EC7">
        <w:t>,</w:t>
      </w:r>
      <w:r w:rsidRPr="00AF5885">
        <w:t xml:space="preserve"> such as from </w:t>
      </w:r>
      <w:r>
        <w:t xml:space="preserve">ED’s </w:t>
      </w:r>
      <w:r w:rsidRPr="00AF5885">
        <w:t>N</w:t>
      </w:r>
      <w:r w:rsidR="00146C50">
        <w:t>ational Reporting System (N</w:t>
      </w:r>
      <w:r w:rsidRPr="00AF5885">
        <w:t>RS</w:t>
      </w:r>
      <w:r w:rsidR="00146C50">
        <w:t>)</w:t>
      </w:r>
      <w:r w:rsidRPr="00AF5885">
        <w:t xml:space="preserve">. The NRS </w:t>
      </w:r>
      <w:r w:rsidR="000E07CF">
        <w:t>collect</w:t>
      </w:r>
      <w:r w:rsidR="00980AD9">
        <w:t xml:space="preserve">s </w:t>
      </w:r>
      <w:r w:rsidRPr="00AF5885">
        <w:t xml:space="preserve">information on adult education programs funded, populations served, and participant outcomes achieved. </w:t>
      </w:r>
    </w:p>
    <w:p w14:paraId="08554123" w14:textId="341B2301" w:rsidR="00EF2182" w:rsidRPr="00D2694B" w:rsidRDefault="00EF2182" w:rsidP="00EF2182">
      <w:pPr>
        <w:pStyle w:val="Heading2"/>
      </w:pPr>
      <w:bookmarkStart w:id="5" w:name="_Toc8218539"/>
      <w:r>
        <w:t>Part A. Justification</w:t>
      </w:r>
      <w:bookmarkEnd w:id="5"/>
    </w:p>
    <w:p w14:paraId="6F6F26B2" w14:textId="77777777" w:rsidR="001A14F3" w:rsidRPr="00F93196" w:rsidRDefault="001A14F3" w:rsidP="0049087B">
      <w:pPr>
        <w:pStyle w:val="Heading3"/>
      </w:pPr>
      <w:bookmarkStart w:id="6" w:name="_Toc8218540"/>
      <w:r w:rsidRPr="00F93196">
        <w:t>A.1. Circumstances Necessitating Collection of Information</w:t>
      </w:r>
      <w:bookmarkEnd w:id="6"/>
    </w:p>
    <w:p w14:paraId="162C7699" w14:textId="1A783C1A" w:rsidR="001A14F3" w:rsidRPr="00595C1E" w:rsidRDefault="001A14F3" w:rsidP="001A14F3">
      <w:pPr>
        <w:pStyle w:val="BodyTextPostHead"/>
      </w:pPr>
      <w:r>
        <w:t xml:space="preserve">Sec. 242(b)(4) of </w:t>
      </w:r>
      <w:r w:rsidR="005311B1">
        <w:t>WIOA</w:t>
      </w:r>
      <w:r>
        <w:t xml:space="preserve"> requires </w:t>
      </w:r>
      <w:r w:rsidR="00B60182">
        <w:t xml:space="preserve">that </w:t>
      </w:r>
      <w:r>
        <w:t>ED carry out an independent evaluation of programs and activities funded under Title II. The implementation study</w:t>
      </w:r>
      <w:r w:rsidR="00432EE2">
        <w:rPr>
          <w:sz w:val="22"/>
          <w:szCs w:val="22"/>
        </w:rPr>
        <w:t xml:space="preserve"> </w:t>
      </w:r>
      <w:r w:rsidR="00432EE2" w:rsidRPr="00B60182">
        <w:t xml:space="preserve">described in this package </w:t>
      </w:r>
      <w:r w:rsidRPr="00B60182">
        <w:t xml:space="preserve">is part of a set of studies that will comprise the first national evaluation. </w:t>
      </w:r>
      <w:r>
        <w:t xml:space="preserve">The study is funded by ED’s Office of Career, Technical and Adult Education (OCTAE) under its </w:t>
      </w:r>
      <w:r w:rsidR="00A421A8">
        <w:t xml:space="preserve">national leadership </w:t>
      </w:r>
      <w:r>
        <w:t xml:space="preserve">activities and </w:t>
      </w:r>
      <w:r w:rsidR="00EC08C1">
        <w:t xml:space="preserve">is being </w:t>
      </w:r>
      <w:r>
        <w:t xml:space="preserve">conducted by IES. </w:t>
      </w:r>
    </w:p>
    <w:p w14:paraId="42CE8FD8" w14:textId="77777777" w:rsidR="001A14F3" w:rsidRPr="00F93196" w:rsidRDefault="001A14F3" w:rsidP="0049087B">
      <w:pPr>
        <w:pStyle w:val="Heading3"/>
      </w:pPr>
      <w:bookmarkStart w:id="7" w:name="_Toc8218541"/>
      <w:r w:rsidRPr="00F93196">
        <w:t>A.2. Purposes and Uses of the Data</w:t>
      </w:r>
      <w:bookmarkEnd w:id="7"/>
    </w:p>
    <w:p w14:paraId="09711728" w14:textId="3BDDF85A" w:rsidR="001A14F3" w:rsidRDefault="001A14F3" w:rsidP="001A14F3">
      <w:pPr>
        <w:pStyle w:val="BodyTextPostHead"/>
      </w:pPr>
      <w:r>
        <w:t xml:space="preserve">The purpose of the study is to </w:t>
      </w:r>
      <w:r w:rsidRPr="009244A8">
        <w:t xml:space="preserve">provide </w:t>
      </w:r>
      <w:r>
        <w:t>Congress, OCTAE, and other federal</w:t>
      </w:r>
      <w:r w:rsidR="001D478E">
        <w:t>,</w:t>
      </w:r>
      <w:r>
        <w:t xml:space="preserve"> state</w:t>
      </w:r>
      <w:r w:rsidR="001D478E">
        <w:t xml:space="preserve"> and local</w:t>
      </w:r>
      <w:r>
        <w:t xml:space="preserve"> </w:t>
      </w:r>
      <w:r w:rsidRPr="001A14F3">
        <w:t>stakeholders</w:t>
      </w:r>
      <w:r>
        <w:t xml:space="preserve"> with information on the </w:t>
      </w:r>
      <w:r w:rsidRPr="009244A8">
        <w:t xml:space="preserve">implementation </w:t>
      </w:r>
      <w:r>
        <w:t xml:space="preserve">of adult education under </w:t>
      </w:r>
      <w:r w:rsidR="005311B1">
        <w:t>WIOA</w:t>
      </w:r>
      <w:r>
        <w:t xml:space="preserve">. </w:t>
      </w:r>
    </w:p>
    <w:p w14:paraId="52920A29" w14:textId="60411D0D" w:rsidR="001A14F3" w:rsidRDefault="001A14F3" w:rsidP="001A14F3">
      <w:pPr>
        <w:pStyle w:val="BodyText"/>
      </w:pPr>
      <w:r w:rsidRPr="00134CF9">
        <w:t>We will use data from the surveys</w:t>
      </w:r>
      <w:r>
        <w:t xml:space="preserve"> of </w:t>
      </w:r>
      <w:r w:rsidR="00A421A8">
        <w:t xml:space="preserve">state directors </w:t>
      </w:r>
      <w:r w:rsidR="00146C50">
        <w:t xml:space="preserve">(Appendix A) </w:t>
      </w:r>
      <w:r>
        <w:t xml:space="preserve">and local </w:t>
      </w:r>
      <w:r w:rsidRPr="001A14F3">
        <w:t>providers</w:t>
      </w:r>
      <w:r w:rsidR="00146C50">
        <w:t xml:space="preserve"> (Appendix B)</w:t>
      </w:r>
      <w:r w:rsidRPr="00134CF9">
        <w:t xml:space="preserve"> </w:t>
      </w:r>
      <w:r w:rsidR="00A421A8">
        <w:t xml:space="preserve">plus </w:t>
      </w:r>
      <w:r>
        <w:t xml:space="preserve">other extant data sources </w:t>
      </w:r>
      <w:r w:rsidRPr="00134CF9">
        <w:t>to address the</w:t>
      </w:r>
      <w:r>
        <w:t xml:space="preserve"> study’s three main research questions:</w:t>
      </w:r>
      <w:r w:rsidRPr="00134CF9">
        <w:t xml:space="preserve"> </w:t>
      </w:r>
    </w:p>
    <w:p w14:paraId="479C9C50" w14:textId="64B3D9EF" w:rsidR="001A14F3" w:rsidRPr="00D2694B" w:rsidRDefault="001A14F3" w:rsidP="00B96311">
      <w:pPr>
        <w:pStyle w:val="Bullet1"/>
        <w:numPr>
          <w:ilvl w:val="0"/>
          <w:numId w:val="16"/>
        </w:numPr>
      </w:pPr>
      <w:r w:rsidRPr="00D2694B">
        <w:t xml:space="preserve">To what extent are the reforms to adult education policy and practices promoted by </w:t>
      </w:r>
      <w:r w:rsidR="005311B1">
        <w:t>WIOA</w:t>
      </w:r>
      <w:r w:rsidRPr="00D2694B">
        <w:t xml:space="preserve"> being implemented at the state and local levels?</w:t>
      </w:r>
    </w:p>
    <w:p w14:paraId="5E258599" w14:textId="759074A4" w:rsidR="001A14F3" w:rsidRPr="00D2694B" w:rsidRDefault="001A14F3" w:rsidP="00B96311">
      <w:pPr>
        <w:pStyle w:val="Bullet1"/>
        <w:numPr>
          <w:ilvl w:val="0"/>
          <w:numId w:val="16"/>
        </w:numPr>
      </w:pPr>
      <w:r w:rsidRPr="00D2694B">
        <w:t xml:space="preserve">Beyond those promoted under </w:t>
      </w:r>
      <w:r w:rsidR="005311B1">
        <w:t>WIOA</w:t>
      </w:r>
      <w:r w:rsidRPr="00D2694B">
        <w:t>, in what other ways has implementation changed since the last federal update to adult education (</w:t>
      </w:r>
      <w:r w:rsidR="00A421A8">
        <w:t>Workforce Investment Act</w:t>
      </w:r>
      <w:r w:rsidR="00146C50">
        <w:t xml:space="preserve"> of 1998</w:t>
      </w:r>
      <w:r w:rsidRPr="00D2694B">
        <w:t>)?</w:t>
      </w:r>
    </w:p>
    <w:p w14:paraId="608324EF" w14:textId="45B71B99" w:rsidR="001A14F3" w:rsidRDefault="001A14F3" w:rsidP="00B96311">
      <w:pPr>
        <w:pStyle w:val="Bullet1"/>
        <w:numPr>
          <w:ilvl w:val="0"/>
          <w:numId w:val="16"/>
        </w:numPr>
      </w:pPr>
      <w:r w:rsidRPr="00D2694B">
        <w:t xml:space="preserve">What challenges are state agencies and local providers experiencing in administering and delivering adult education programming under </w:t>
      </w:r>
      <w:r w:rsidR="005311B1">
        <w:t>WIOA</w:t>
      </w:r>
      <w:r w:rsidRPr="00D2694B">
        <w:t>?</w:t>
      </w:r>
    </w:p>
    <w:p w14:paraId="222CC350" w14:textId="1CAA8FAE" w:rsidR="001A14F3" w:rsidRPr="003C749D" w:rsidRDefault="001A14F3" w:rsidP="001A14F3">
      <w:pPr>
        <w:pStyle w:val="BodyText"/>
        <w:rPr>
          <w:spacing w:val="-2"/>
        </w:rPr>
      </w:pPr>
      <w:r w:rsidRPr="003C749D">
        <w:rPr>
          <w:spacing w:val="-2"/>
        </w:rPr>
        <w:t xml:space="preserve">Each of the study’s main research questions was operationalized as a set of more detailed research questions. The detailed research questions and the data source(s) to be used in answering them are provided in </w:t>
      </w:r>
      <w:r w:rsidR="00A421A8">
        <w:rPr>
          <w:spacing w:val="-2"/>
        </w:rPr>
        <w:t>E</w:t>
      </w:r>
      <w:r w:rsidR="00A421A8" w:rsidRPr="003C749D">
        <w:rPr>
          <w:spacing w:val="-2"/>
        </w:rPr>
        <w:t xml:space="preserve">xhibit </w:t>
      </w:r>
      <w:r w:rsidRPr="003C749D">
        <w:rPr>
          <w:spacing w:val="-2"/>
        </w:rPr>
        <w:t>A.1.</w:t>
      </w:r>
    </w:p>
    <w:p w14:paraId="2A4D896A" w14:textId="77777777" w:rsidR="001A14F3" w:rsidRPr="00C41620" w:rsidRDefault="001A14F3" w:rsidP="001A14F3">
      <w:pPr>
        <w:pStyle w:val="ExhibitTitle"/>
        <w:rPr>
          <w:rFonts w:eastAsia="Calibri"/>
        </w:rPr>
      </w:pPr>
      <w:r w:rsidRPr="00146013">
        <w:rPr>
          <w:rFonts w:eastAsia="Calibri"/>
        </w:rPr>
        <w:t xml:space="preserve">Exhibit </w:t>
      </w:r>
      <w:r>
        <w:rPr>
          <w:rFonts w:eastAsia="Calibri"/>
        </w:rPr>
        <w:t>A.1</w:t>
      </w:r>
      <w:r w:rsidRPr="00146013">
        <w:rPr>
          <w:rFonts w:eastAsia="Calibri"/>
        </w:rPr>
        <w:t xml:space="preserve">. </w:t>
      </w:r>
      <w:r>
        <w:rPr>
          <w:rFonts w:eastAsia="Calibri"/>
        </w:rPr>
        <w:t>Detailed Research Questions and Data Sources</w:t>
      </w:r>
    </w:p>
    <w:tbl>
      <w:tblPr>
        <w:tblStyle w:val="TableStyle-Simple"/>
        <w:tblW w:w="9360" w:type="dxa"/>
        <w:jc w:val="center"/>
        <w:tblInd w:w="0" w:type="dxa"/>
        <w:tblLayout w:type="fixed"/>
        <w:tblLook w:val="0220" w:firstRow="1" w:lastRow="0" w:firstColumn="0" w:lastColumn="0" w:noHBand="1" w:noVBand="0"/>
      </w:tblPr>
      <w:tblGrid>
        <w:gridCol w:w="5973"/>
        <w:gridCol w:w="1129"/>
        <w:gridCol w:w="1129"/>
        <w:gridCol w:w="1129"/>
      </w:tblGrid>
      <w:tr w:rsidR="001A14F3" w:rsidRPr="00B6560E" w14:paraId="0F012435" w14:textId="77777777" w:rsidTr="00B6560E">
        <w:trPr>
          <w:cnfStyle w:val="100000000000" w:firstRow="1" w:lastRow="0" w:firstColumn="0" w:lastColumn="0" w:oddVBand="0" w:evenVBand="0" w:oddHBand="0" w:evenHBand="0" w:firstRowFirstColumn="0" w:firstRowLastColumn="0" w:lastRowFirstColumn="0" w:lastRowLastColumn="0"/>
          <w:trHeight w:val="270"/>
          <w:jc w:val="center"/>
        </w:trPr>
        <w:tc>
          <w:tcPr>
            <w:tcW w:w="5973" w:type="dxa"/>
            <w:vMerge w:val="restart"/>
            <w:tcBorders>
              <w:top w:val="single" w:sz="6" w:space="0" w:color="003462" w:themeColor="accent1"/>
              <w:bottom w:val="single" w:sz="6" w:space="0" w:color="003462" w:themeColor="accent1"/>
              <w:right w:val="single" w:sz="4" w:space="0" w:color="FFFFFF" w:themeColor="background1"/>
            </w:tcBorders>
          </w:tcPr>
          <w:p w14:paraId="7B9D6791" w14:textId="5656CA8B" w:rsidR="001A14F3" w:rsidRPr="00B6560E" w:rsidRDefault="001A14F3" w:rsidP="003C749D">
            <w:pPr>
              <w:pStyle w:val="TableColumnHeadLeft"/>
              <w:spacing w:after="20"/>
              <w:rPr>
                <w:rFonts w:cstheme="majorHAnsi"/>
              </w:rPr>
            </w:pPr>
            <w:r w:rsidRPr="00B6560E">
              <w:rPr>
                <w:rFonts w:cstheme="majorHAnsi"/>
              </w:rPr>
              <w:t xml:space="preserve">Research </w:t>
            </w:r>
            <w:r w:rsidR="00E42DE9">
              <w:rPr>
                <w:rFonts w:cstheme="majorHAnsi"/>
              </w:rPr>
              <w:t>q</w:t>
            </w:r>
            <w:r w:rsidRPr="00B6560E">
              <w:rPr>
                <w:rFonts w:cstheme="majorHAnsi"/>
              </w:rPr>
              <w:t>uestions</w:t>
            </w:r>
          </w:p>
        </w:tc>
        <w:tc>
          <w:tcPr>
            <w:tcW w:w="1129" w:type="dxa"/>
            <w:vMerge w:val="restart"/>
            <w:tcBorders>
              <w:top w:val="nil"/>
              <w:left w:val="single" w:sz="4" w:space="0" w:color="FFFFFF" w:themeColor="background1"/>
              <w:bottom w:val="single" w:sz="6" w:space="0" w:color="003462" w:themeColor="accent1"/>
              <w:right w:val="single" w:sz="4" w:space="0" w:color="FFFFFF" w:themeColor="background1"/>
            </w:tcBorders>
          </w:tcPr>
          <w:p w14:paraId="609B317E" w14:textId="1E8F7DAC" w:rsidR="001A14F3" w:rsidRPr="00B6560E" w:rsidRDefault="001A14F3" w:rsidP="003C749D">
            <w:pPr>
              <w:pStyle w:val="TableColumnHeadCentered"/>
              <w:spacing w:after="20"/>
              <w:rPr>
                <w:rFonts w:cstheme="majorHAnsi"/>
              </w:rPr>
            </w:pPr>
            <w:r w:rsidRPr="00B6560E">
              <w:rPr>
                <w:rFonts w:cstheme="majorHAnsi"/>
              </w:rPr>
              <w:t>State Director Survey</w:t>
            </w:r>
          </w:p>
        </w:tc>
        <w:tc>
          <w:tcPr>
            <w:tcW w:w="1129" w:type="dxa"/>
            <w:vMerge w:val="restart"/>
            <w:tcBorders>
              <w:top w:val="nil"/>
              <w:left w:val="single" w:sz="4" w:space="0" w:color="FFFFFF" w:themeColor="background1"/>
              <w:bottom w:val="single" w:sz="6" w:space="0" w:color="003462" w:themeColor="accent1"/>
              <w:right w:val="single" w:sz="4" w:space="0" w:color="FFFFFF" w:themeColor="background1"/>
            </w:tcBorders>
          </w:tcPr>
          <w:p w14:paraId="3CC68684" w14:textId="62556388" w:rsidR="001A14F3" w:rsidRPr="00B6560E" w:rsidRDefault="001A14F3" w:rsidP="003C749D">
            <w:pPr>
              <w:pStyle w:val="TableColumnHeadCentered"/>
              <w:spacing w:after="20"/>
              <w:rPr>
                <w:rFonts w:cstheme="majorHAnsi"/>
              </w:rPr>
            </w:pPr>
            <w:r w:rsidRPr="00B6560E">
              <w:rPr>
                <w:rFonts w:cstheme="majorHAnsi"/>
              </w:rPr>
              <w:t>Local Provider Survey</w:t>
            </w:r>
          </w:p>
        </w:tc>
        <w:tc>
          <w:tcPr>
            <w:tcW w:w="1129" w:type="dxa"/>
            <w:vMerge w:val="restart"/>
            <w:tcBorders>
              <w:top w:val="nil"/>
              <w:left w:val="single" w:sz="4" w:space="0" w:color="FFFFFF" w:themeColor="background1"/>
              <w:bottom w:val="single" w:sz="6" w:space="0" w:color="003462" w:themeColor="accent1"/>
            </w:tcBorders>
          </w:tcPr>
          <w:p w14:paraId="27234454" w14:textId="7912D9A8" w:rsidR="001A14F3" w:rsidRPr="00B6560E" w:rsidRDefault="001A14F3" w:rsidP="003C749D">
            <w:pPr>
              <w:pStyle w:val="TableColumnHeadCentered"/>
              <w:spacing w:after="20"/>
              <w:rPr>
                <w:rFonts w:cstheme="majorHAnsi"/>
              </w:rPr>
            </w:pPr>
            <w:r w:rsidRPr="00B6560E">
              <w:rPr>
                <w:rFonts w:cstheme="majorHAnsi"/>
              </w:rPr>
              <w:t xml:space="preserve">Analysis of </w:t>
            </w:r>
            <w:r w:rsidR="00E42DE9">
              <w:rPr>
                <w:rFonts w:cstheme="majorHAnsi"/>
              </w:rPr>
              <w:t>e</w:t>
            </w:r>
            <w:r w:rsidRPr="00B6560E">
              <w:rPr>
                <w:rFonts w:cstheme="majorHAnsi"/>
              </w:rPr>
              <w:t>xtant</w:t>
            </w:r>
            <w:r w:rsidR="00A421A8" w:rsidRPr="00B6560E">
              <w:rPr>
                <w:rFonts w:cstheme="majorHAnsi"/>
              </w:rPr>
              <w:t xml:space="preserve"> </w:t>
            </w:r>
            <w:r w:rsidR="00E42DE9">
              <w:rPr>
                <w:rFonts w:cstheme="majorHAnsi"/>
              </w:rPr>
              <w:t>d</w:t>
            </w:r>
            <w:r w:rsidRPr="00B6560E">
              <w:rPr>
                <w:rFonts w:cstheme="majorHAnsi"/>
              </w:rPr>
              <w:t>ata</w:t>
            </w:r>
            <w:r w:rsidR="00A421A8" w:rsidRPr="00E84A81">
              <w:rPr>
                <w:rFonts w:cstheme="majorHAnsi"/>
                <w:vertAlign w:val="superscript"/>
              </w:rPr>
              <w:t>a</w:t>
            </w:r>
          </w:p>
        </w:tc>
      </w:tr>
      <w:tr w:rsidR="001A14F3" w:rsidRPr="00B6560E" w14:paraId="5830AB2E" w14:textId="77777777" w:rsidTr="00B6560E">
        <w:trPr>
          <w:trHeight w:val="333"/>
          <w:jc w:val="center"/>
        </w:trPr>
        <w:tc>
          <w:tcPr>
            <w:tcW w:w="5973" w:type="dxa"/>
            <w:vMerge/>
            <w:tcBorders>
              <w:top w:val="single" w:sz="4" w:space="0" w:color="FFFFFF" w:themeColor="background1"/>
              <w:bottom w:val="single" w:sz="6" w:space="0" w:color="003462" w:themeColor="accent1"/>
              <w:right w:val="single" w:sz="4" w:space="0" w:color="FFFFFF" w:themeColor="background1"/>
            </w:tcBorders>
          </w:tcPr>
          <w:p w14:paraId="39D6C8FD" w14:textId="77777777" w:rsidR="001A14F3" w:rsidRPr="00B6560E" w:rsidRDefault="001A14F3" w:rsidP="003C749D">
            <w:pPr>
              <w:autoSpaceDE w:val="0"/>
              <w:autoSpaceDN w:val="0"/>
              <w:adjustRightInd w:val="0"/>
              <w:spacing w:after="20"/>
              <w:ind w:left="360" w:hanging="360"/>
              <w:jc w:val="center"/>
              <w:rPr>
                <w:rFonts w:asciiTheme="majorHAnsi" w:hAnsiTheme="majorHAnsi" w:cstheme="majorHAnsi"/>
                <w:sz w:val="20"/>
                <w:szCs w:val="20"/>
              </w:rPr>
            </w:pPr>
          </w:p>
        </w:tc>
        <w:tc>
          <w:tcPr>
            <w:tcW w:w="1129" w:type="dxa"/>
            <w:vMerge/>
            <w:tcBorders>
              <w:top w:val="single" w:sz="4" w:space="0" w:color="FFFFFF" w:themeColor="background1"/>
              <w:left w:val="single" w:sz="4" w:space="0" w:color="FFFFFF" w:themeColor="background1"/>
              <w:bottom w:val="single" w:sz="6" w:space="0" w:color="003462" w:themeColor="accent1"/>
              <w:right w:val="single" w:sz="4" w:space="0" w:color="FFFFFF" w:themeColor="background1"/>
            </w:tcBorders>
          </w:tcPr>
          <w:p w14:paraId="7FE9738A" w14:textId="77777777" w:rsidR="001A14F3" w:rsidRPr="00B6560E" w:rsidRDefault="001A14F3" w:rsidP="003C749D">
            <w:pPr>
              <w:autoSpaceDE w:val="0"/>
              <w:autoSpaceDN w:val="0"/>
              <w:adjustRightInd w:val="0"/>
              <w:spacing w:after="20"/>
              <w:jc w:val="center"/>
              <w:rPr>
                <w:rFonts w:asciiTheme="majorHAnsi" w:hAnsiTheme="majorHAnsi" w:cstheme="majorHAnsi"/>
                <w:color w:val="ABABAB" w:themeColor="text1" w:themeTint="80"/>
                <w:sz w:val="20"/>
                <w:szCs w:val="20"/>
              </w:rPr>
            </w:pPr>
          </w:p>
        </w:tc>
        <w:tc>
          <w:tcPr>
            <w:tcW w:w="1129" w:type="dxa"/>
            <w:vMerge/>
            <w:tcBorders>
              <w:top w:val="single" w:sz="4" w:space="0" w:color="FFFFFF" w:themeColor="background1"/>
              <w:left w:val="single" w:sz="4" w:space="0" w:color="FFFFFF" w:themeColor="background1"/>
              <w:bottom w:val="single" w:sz="6" w:space="0" w:color="003462" w:themeColor="accent1"/>
              <w:right w:val="single" w:sz="4" w:space="0" w:color="FFFFFF" w:themeColor="background1"/>
            </w:tcBorders>
          </w:tcPr>
          <w:p w14:paraId="3A0268F9" w14:textId="77777777" w:rsidR="001A14F3" w:rsidRPr="00B6560E" w:rsidRDefault="001A14F3" w:rsidP="003C749D">
            <w:pPr>
              <w:autoSpaceDE w:val="0"/>
              <w:autoSpaceDN w:val="0"/>
              <w:adjustRightInd w:val="0"/>
              <w:spacing w:after="20"/>
              <w:jc w:val="center"/>
              <w:rPr>
                <w:rFonts w:asciiTheme="majorHAnsi" w:hAnsiTheme="majorHAnsi" w:cstheme="majorHAnsi"/>
                <w:color w:val="ABABAB" w:themeColor="text1" w:themeTint="80"/>
                <w:sz w:val="20"/>
                <w:szCs w:val="20"/>
              </w:rPr>
            </w:pPr>
          </w:p>
        </w:tc>
        <w:tc>
          <w:tcPr>
            <w:tcW w:w="1129" w:type="dxa"/>
            <w:vMerge/>
            <w:tcBorders>
              <w:top w:val="single" w:sz="4" w:space="0" w:color="FFFFFF" w:themeColor="background1"/>
              <w:left w:val="single" w:sz="4" w:space="0" w:color="FFFFFF" w:themeColor="background1"/>
              <w:bottom w:val="single" w:sz="6" w:space="0" w:color="003462" w:themeColor="accent1"/>
            </w:tcBorders>
          </w:tcPr>
          <w:p w14:paraId="0981EB68" w14:textId="77777777" w:rsidR="001A14F3" w:rsidRPr="00B6560E" w:rsidRDefault="001A14F3" w:rsidP="003C749D">
            <w:pPr>
              <w:autoSpaceDE w:val="0"/>
              <w:autoSpaceDN w:val="0"/>
              <w:adjustRightInd w:val="0"/>
              <w:spacing w:after="20"/>
              <w:jc w:val="center"/>
              <w:rPr>
                <w:rFonts w:asciiTheme="majorHAnsi" w:hAnsiTheme="majorHAnsi" w:cstheme="majorHAnsi"/>
                <w:color w:val="ABABAB" w:themeColor="text1" w:themeTint="80"/>
                <w:sz w:val="20"/>
                <w:szCs w:val="20"/>
              </w:rPr>
            </w:pPr>
          </w:p>
        </w:tc>
      </w:tr>
      <w:tr w:rsidR="001A14F3" w:rsidRPr="00B6560E" w14:paraId="2039846F" w14:textId="77777777" w:rsidTr="00B6560E">
        <w:trPr>
          <w:jc w:val="center"/>
        </w:trPr>
        <w:tc>
          <w:tcPr>
            <w:tcW w:w="9360" w:type="dxa"/>
            <w:gridSpan w:val="4"/>
            <w:tcBorders>
              <w:top w:val="single" w:sz="6" w:space="0" w:color="003462" w:themeColor="accent1"/>
            </w:tcBorders>
            <w:shd w:val="clear" w:color="auto" w:fill="D9D9D9" w:themeFill="background1" w:themeFillShade="D9"/>
          </w:tcPr>
          <w:p w14:paraId="5E23D89A" w14:textId="0383EAE5" w:rsidR="001A14F3" w:rsidRPr="00B6560E" w:rsidRDefault="001A14F3" w:rsidP="003C749D">
            <w:pPr>
              <w:pStyle w:val="TableSubheading"/>
              <w:spacing w:after="20"/>
              <w:rPr>
                <w:rFonts w:cstheme="majorHAnsi"/>
                <w:szCs w:val="20"/>
              </w:rPr>
            </w:pPr>
            <w:r w:rsidRPr="00B6560E">
              <w:rPr>
                <w:rFonts w:cstheme="majorHAnsi"/>
                <w:szCs w:val="20"/>
              </w:rPr>
              <w:t xml:space="preserve">1. To what extent are the reforms to adult education policy and practices promoted by </w:t>
            </w:r>
            <w:r w:rsidR="005311B1">
              <w:rPr>
                <w:rFonts w:cstheme="majorHAnsi"/>
                <w:szCs w:val="20"/>
              </w:rPr>
              <w:t>WIOA</w:t>
            </w:r>
            <w:r w:rsidRPr="00B6560E">
              <w:rPr>
                <w:rFonts w:cstheme="majorHAnsi"/>
                <w:szCs w:val="20"/>
              </w:rPr>
              <w:t xml:space="preserve"> being implemented at the state and local levels?</w:t>
            </w:r>
          </w:p>
        </w:tc>
      </w:tr>
      <w:tr w:rsidR="005A5A18" w:rsidRPr="00B6560E" w14:paraId="25B5480D" w14:textId="77777777" w:rsidTr="00D4550A">
        <w:trPr>
          <w:jc w:val="center"/>
        </w:trPr>
        <w:tc>
          <w:tcPr>
            <w:tcW w:w="5973" w:type="dxa"/>
          </w:tcPr>
          <w:p w14:paraId="599A4CCC" w14:textId="552AC766" w:rsidR="005A5A18" w:rsidRPr="00B6560E" w:rsidRDefault="005A5A18" w:rsidP="005A5A18">
            <w:pPr>
              <w:pStyle w:val="TableText"/>
              <w:spacing w:after="20"/>
              <w:rPr>
                <w:rFonts w:cstheme="majorHAnsi"/>
              </w:rPr>
            </w:pPr>
            <w:r w:rsidRPr="00B6560E">
              <w:rPr>
                <w:rFonts w:cstheme="majorHAnsi"/>
              </w:rPr>
              <w:t>1.1. How are state agencies and local adult education providers coordinating with workforce development</w:t>
            </w:r>
            <w:r w:rsidR="00F717BC">
              <w:rPr>
                <w:rFonts w:cstheme="majorHAnsi"/>
              </w:rPr>
              <w:t>,</w:t>
            </w:r>
            <w:r w:rsidRPr="00B6560E">
              <w:rPr>
                <w:rFonts w:cstheme="majorHAnsi"/>
              </w:rPr>
              <w:t xml:space="preserve"> </w:t>
            </w:r>
            <w:r w:rsidR="00F717BC">
              <w:rPr>
                <w:rFonts w:cstheme="majorHAnsi"/>
              </w:rPr>
              <w:t xml:space="preserve">postsecondary and other </w:t>
            </w:r>
            <w:r w:rsidRPr="00B6560E">
              <w:rPr>
                <w:rFonts w:cstheme="majorHAnsi"/>
              </w:rPr>
              <w:t xml:space="preserve">partners? </w:t>
            </w:r>
          </w:p>
        </w:tc>
        <w:tc>
          <w:tcPr>
            <w:tcW w:w="1129" w:type="dxa"/>
          </w:tcPr>
          <w:p w14:paraId="0F8109FA" w14:textId="49C97139" w:rsidR="005A5A18" w:rsidRPr="00B6560E" w:rsidRDefault="005A5A18" w:rsidP="005A5A18">
            <w:pPr>
              <w:pStyle w:val="TableTextCentered"/>
              <w:spacing w:after="20"/>
              <w:rPr>
                <w:rFonts w:cstheme="majorHAnsi"/>
              </w:rPr>
            </w:pPr>
            <w:r w:rsidRPr="00B6560E">
              <w:rPr>
                <w:rFonts w:cstheme="majorHAnsi"/>
              </w:rPr>
              <w:sym w:font="Wingdings" w:char="F0FC"/>
            </w:r>
          </w:p>
        </w:tc>
        <w:tc>
          <w:tcPr>
            <w:tcW w:w="1129" w:type="dxa"/>
          </w:tcPr>
          <w:p w14:paraId="64686375" w14:textId="500969AE" w:rsidR="005A5A18" w:rsidRPr="00B6560E" w:rsidRDefault="005A5A18" w:rsidP="005A5A18">
            <w:pPr>
              <w:pStyle w:val="TableTextCentered"/>
              <w:spacing w:after="20"/>
              <w:rPr>
                <w:rFonts w:cstheme="majorHAnsi"/>
              </w:rPr>
            </w:pPr>
            <w:r w:rsidRPr="00B6560E">
              <w:rPr>
                <w:rFonts w:cstheme="majorHAnsi"/>
              </w:rPr>
              <w:sym w:font="Wingdings" w:char="F0FC"/>
            </w:r>
          </w:p>
        </w:tc>
        <w:tc>
          <w:tcPr>
            <w:tcW w:w="1129" w:type="dxa"/>
          </w:tcPr>
          <w:p w14:paraId="5EA5A146" w14:textId="77777777" w:rsidR="005A5A18" w:rsidRPr="00B6560E" w:rsidRDefault="005A5A18" w:rsidP="005A5A18">
            <w:pPr>
              <w:pStyle w:val="TableTextCentered"/>
              <w:rPr>
                <w:rFonts w:cstheme="majorHAnsi"/>
              </w:rPr>
            </w:pPr>
            <w:r w:rsidRPr="00B6560E">
              <w:rPr>
                <w:rFonts w:cstheme="majorHAnsi"/>
              </w:rPr>
              <w:sym w:font="Wingdings" w:char="F0FC"/>
            </w:r>
          </w:p>
          <w:p w14:paraId="3C3DB0D2" w14:textId="77777777" w:rsidR="005A5A18" w:rsidRPr="00B6560E" w:rsidRDefault="005A5A18" w:rsidP="005A5A18">
            <w:pPr>
              <w:pStyle w:val="TableTextCentered"/>
              <w:spacing w:after="20"/>
              <w:rPr>
                <w:rFonts w:cstheme="majorHAnsi"/>
              </w:rPr>
            </w:pPr>
          </w:p>
        </w:tc>
      </w:tr>
      <w:tr w:rsidR="005A5A18" w:rsidRPr="00B6560E" w14:paraId="0DB70F2B" w14:textId="77777777" w:rsidTr="00D4550A">
        <w:trPr>
          <w:jc w:val="center"/>
        </w:trPr>
        <w:tc>
          <w:tcPr>
            <w:tcW w:w="5973" w:type="dxa"/>
          </w:tcPr>
          <w:p w14:paraId="3699D372" w14:textId="15675F11" w:rsidR="005A5A18" w:rsidRPr="00B6560E" w:rsidRDefault="005A5A18" w:rsidP="005A5A18">
            <w:pPr>
              <w:pStyle w:val="TableText"/>
              <w:spacing w:after="20"/>
              <w:rPr>
                <w:rFonts w:cstheme="majorHAnsi"/>
              </w:rPr>
            </w:pPr>
            <w:r w:rsidRPr="00B6560E">
              <w:rPr>
                <w:rFonts w:cstheme="majorHAnsi"/>
              </w:rPr>
              <w:t>1.2. To what extent do states have policies designed to encourage programming connected to workforce development</w:t>
            </w:r>
            <w:r w:rsidR="00F717BC">
              <w:rPr>
                <w:rFonts w:cstheme="majorHAnsi"/>
              </w:rPr>
              <w:t xml:space="preserve"> and postsecondary transition</w:t>
            </w:r>
            <w:r w:rsidRPr="00B6560E">
              <w:rPr>
                <w:rFonts w:cstheme="majorHAnsi"/>
              </w:rPr>
              <w:t xml:space="preserve">? </w:t>
            </w:r>
          </w:p>
        </w:tc>
        <w:tc>
          <w:tcPr>
            <w:tcW w:w="1129" w:type="dxa"/>
          </w:tcPr>
          <w:p w14:paraId="46518325" w14:textId="1328EE0C" w:rsidR="005A5A18" w:rsidRPr="00B6560E" w:rsidRDefault="005A5A18" w:rsidP="005A5A18">
            <w:pPr>
              <w:pStyle w:val="TableTextCentered"/>
              <w:spacing w:after="20"/>
              <w:rPr>
                <w:rFonts w:cstheme="majorHAnsi"/>
              </w:rPr>
            </w:pPr>
            <w:r w:rsidRPr="00B6560E">
              <w:rPr>
                <w:rFonts w:cstheme="majorHAnsi"/>
              </w:rPr>
              <w:sym w:font="Wingdings" w:char="F0FC"/>
            </w:r>
          </w:p>
        </w:tc>
        <w:tc>
          <w:tcPr>
            <w:tcW w:w="1129" w:type="dxa"/>
          </w:tcPr>
          <w:p w14:paraId="40210E43" w14:textId="77777777" w:rsidR="005A5A18" w:rsidRPr="00B6560E" w:rsidRDefault="005A5A18" w:rsidP="005A5A18">
            <w:pPr>
              <w:pStyle w:val="TableTextCentered"/>
              <w:spacing w:after="20"/>
              <w:rPr>
                <w:rFonts w:cstheme="majorHAnsi"/>
              </w:rPr>
            </w:pPr>
          </w:p>
        </w:tc>
        <w:tc>
          <w:tcPr>
            <w:tcW w:w="1129" w:type="dxa"/>
          </w:tcPr>
          <w:p w14:paraId="4F2D08CA" w14:textId="77777777" w:rsidR="005A5A18" w:rsidRPr="00B6560E" w:rsidRDefault="005A5A18" w:rsidP="005A5A18">
            <w:pPr>
              <w:pStyle w:val="TableTextCentered"/>
              <w:spacing w:after="20"/>
              <w:rPr>
                <w:rFonts w:cstheme="majorHAnsi"/>
              </w:rPr>
            </w:pPr>
          </w:p>
        </w:tc>
      </w:tr>
      <w:tr w:rsidR="005A5A18" w:rsidRPr="00B6560E" w14:paraId="553134DB" w14:textId="77777777" w:rsidTr="00D4550A">
        <w:trPr>
          <w:jc w:val="center"/>
        </w:trPr>
        <w:tc>
          <w:tcPr>
            <w:tcW w:w="5973" w:type="dxa"/>
          </w:tcPr>
          <w:p w14:paraId="42CD99AC" w14:textId="39B6CFC4" w:rsidR="005A5A18" w:rsidRPr="00B6560E" w:rsidRDefault="005A5A18" w:rsidP="005A5A18">
            <w:pPr>
              <w:pStyle w:val="TableText"/>
              <w:spacing w:after="20"/>
              <w:rPr>
                <w:rFonts w:cstheme="majorHAnsi"/>
              </w:rPr>
            </w:pPr>
            <w:r w:rsidRPr="00B6560E">
              <w:rPr>
                <w:rFonts w:cstheme="majorHAnsi"/>
              </w:rPr>
              <w:t>1.3. To what extent do adult education providers offer programming connected to workforce development</w:t>
            </w:r>
            <w:r w:rsidR="00F717BC">
              <w:rPr>
                <w:rFonts w:cstheme="majorHAnsi"/>
              </w:rPr>
              <w:t xml:space="preserve"> and postsecondary transition</w:t>
            </w:r>
            <w:r w:rsidRPr="00B6560E">
              <w:rPr>
                <w:rFonts w:cstheme="majorHAnsi"/>
              </w:rPr>
              <w:t>?</w:t>
            </w:r>
          </w:p>
        </w:tc>
        <w:tc>
          <w:tcPr>
            <w:tcW w:w="1129" w:type="dxa"/>
          </w:tcPr>
          <w:p w14:paraId="648D2609" w14:textId="77777777" w:rsidR="005A5A18" w:rsidRPr="00B6560E" w:rsidRDefault="005A5A18" w:rsidP="005A5A18">
            <w:pPr>
              <w:pStyle w:val="TableTextCentered"/>
              <w:spacing w:after="20"/>
              <w:rPr>
                <w:rFonts w:cstheme="majorHAnsi"/>
              </w:rPr>
            </w:pPr>
          </w:p>
        </w:tc>
        <w:tc>
          <w:tcPr>
            <w:tcW w:w="1129" w:type="dxa"/>
          </w:tcPr>
          <w:p w14:paraId="15F91D36" w14:textId="24410041" w:rsidR="005A5A18" w:rsidRPr="00B6560E" w:rsidRDefault="005A5A18" w:rsidP="005A5A18">
            <w:pPr>
              <w:pStyle w:val="TableTextCentered"/>
              <w:spacing w:after="20"/>
              <w:rPr>
                <w:rFonts w:cstheme="majorHAnsi"/>
              </w:rPr>
            </w:pPr>
            <w:r w:rsidRPr="00B6560E">
              <w:rPr>
                <w:rFonts w:cstheme="majorHAnsi"/>
              </w:rPr>
              <w:sym w:font="Wingdings" w:char="F0FC"/>
            </w:r>
          </w:p>
        </w:tc>
        <w:tc>
          <w:tcPr>
            <w:tcW w:w="1129" w:type="dxa"/>
          </w:tcPr>
          <w:p w14:paraId="10E2505A" w14:textId="77777777" w:rsidR="005A5A18" w:rsidRPr="00B6560E" w:rsidRDefault="005A5A18" w:rsidP="005A5A18">
            <w:pPr>
              <w:pStyle w:val="TableTextCentered"/>
              <w:spacing w:after="20"/>
              <w:rPr>
                <w:rFonts w:cstheme="majorHAnsi"/>
              </w:rPr>
            </w:pPr>
          </w:p>
        </w:tc>
      </w:tr>
      <w:tr w:rsidR="005A5A18" w:rsidRPr="00B6560E" w14:paraId="658905C6" w14:textId="77777777" w:rsidTr="00D4550A">
        <w:trPr>
          <w:jc w:val="center"/>
        </w:trPr>
        <w:tc>
          <w:tcPr>
            <w:tcW w:w="5973" w:type="dxa"/>
          </w:tcPr>
          <w:p w14:paraId="5BC59D2F" w14:textId="77777777" w:rsidR="005A5A18" w:rsidRPr="00B6560E" w:rsidRDefault="005A5A18" w:rsidP="005A5A18">
            <w:pPr>
              <w:pStyle w:val="TableText"/>
              <w:spacing w:after="20"/>
              <w:rPr>
                <w:rFonts w:cstheme="majorHAnsi"/>
              </w:rPr>
            </w:pPr>
            <w:r w:rsidRPr="00B6560E">
              <w:rPr>
                <w:rFonts w:cstheme="majorHAnsi"/>
              </w:rPr>
              <w:t>1.4. To what extent are adult education learners participating in programming connected to workforce development?</w:t>
            </w:r>
          </w:p>
        </w:tc>
        <w:tc>
          <w:tcPr>
            <w:tcW w:w="1129" w:type="dxa"/>
          </w:tcPr>
          <w:p w14:paraId="472BF5EE" w14:textId="77777777" w:rsidR="005A5A18" w:rsidRPr="00B6560E" w:rsidRDefault="005A5A18" w:rsidP="005A5A18">
            <w:pPr>
              <w:pStyle w:val="TableTextCentered"/>
              <w:spacing w:after="20"/>
              <w:rPr>
                <w:rFonts w:cstheme="majorHAnsi"/>
              </w:rPr>
            </w:pPr>
          </w:p>
        </w:tc>
        <w:tc>
          <w:tcPr>
            <w:tcW w:w="1129" w:type="dxa"/>
          </w:tcPr>
          <w:p w14:paraId="50FC5DE7" w14:textId="77777777" w:rsidR="005A5A18" w:rsidRPr="00B6560E" w:rsidRDefault="005A5A18" w:rsidP="005A5A18">
            <w:pPr>
              <w:pStyle w:val="TableTextCentered"/>
              <w:spacing w:after="20"/>
              <w:rPr>
                <w:rFonts w:cstheme="majorHAnsi"/>
              </w:rPr>
            </w:pPr>
          </w:p>
        </w:tc>
        <w:tc>
          <w:tcPr>
            <w:tcW w:w="1129" w:type="dxa"/>
          </w:tcPr>
          <w:p w14:paraId="4F64B538" w14:textId="2EC063EF" w:rsidR="005A5A18" w:rsidRPr="00B6560E" w:rsidRDefault="005A5A18" w:rsidP="005A5A18">
            <w:pPr>
              <w:pStyle w:val="TableTextCentered"/>
              <w:spacing w:after="20"/>
              <w:rPr>
                <w:rFonts w:cstheme="majorHAnsi"/>
              </w:rPr>
            </w:pPr>
            <w:r w:rsidRPr="00B6560E">
              <w:rPr>
                <w:rFonts w:cstheme="majorHAnsi"/>
              </w:rPr>
              <w:sym w:font="Wingdings" w:char="F0FC"/>
            </w:r>
          </w:p>
        </w:tc>
      </w:tr>
      <w:tr w:rsidR="005A5A18" w:rsidRPr="00B6560E" w14:paraId="2EBF7258" w14:textId="77777777" w:rsidTr="00D4550A">
        <w:trPr>
          <w:jc w:val="center"/>
        </w:trPr>
        <w:tc>
          <w:tcPr>
            <w:tcW w:w="5973" w:type="dxa"/>
          </w:tcPr>
          <w:p w14:paraId="644286CA" w14:textId="40E7FD03" w:rsidR="005A5A18" w:rsidRPr="00B6560E" w:rsidRDefault="005A5A18" w:rsidP="005A5A18">
            <w:pPr>
              <w:pStyle w:val="TableText"/>
              <w:spacing w:after="20"/>
              <w:rPr>
                <w:rFonts w:cstheme="majorHAnsi"/>
              </w:rPr>
            </w:pPr>
            <w:r w:rsidRPr="00B6560E">
              <w:rPr>
                <w:rFonts w:cstheme="majorHAnsi"/>
              </w:rPr>
              <w:t>1.5. What activities intended to enhance the connection between adult education</w:t>
            </w:r>
            <w:r w:rsidR="009511A5">
              <w:rPr>
                <w:rFonts w:cstheme="majorHAnsi"/>
              </w:rPr>
              <w:t>,</w:t>
            </w:r>
            <w:r w:rsidRPr="00B6560E">
              <w:rPr>
                <w:rFonts w:cstheme="majorHAnsi"/>
              </w:rPr>
              <w:t xml:space="preserve"> workforce development</w:t>
            </w:r>
            <w:r w:rsidR="009511A5">
              <w:rPr>
                <w:rFonts w:cstheme="majorHAnsi"/>
              </w:rPr>
              <w:t>, and postsecondary education</w:t>
            </w:r>
            <w:r w:rsidRPr="00B6560E">
              <w:rPr>
                <w:rFonts w:cstheme="majorHAnsi"/>
              </w:rPr>
              <w:t xml:space="preserve"> are states conducting?</w:t>
            </w:r>
            <w:r w:rsidRPr="00B6560E" w:rsidDel="00A00B70">
              <w:rPr>
                <w:rFonts w:cstheme="majorHAnsi"/>
              </w:rPr>
              <w:t xml:space="preserve"> </w:t>
            </w:r>
          </w:p>
        </w:tc>
        <w:tc>
          <w:tcPr>
            <w:tcW w:w="1129" w:type="dxa"/>
          </w:tcPr>
          <w:p w14:paraId="51A44645" w14:textId="77777777" w:rsidR="005A5A18" w:rsidRPr="00B6560E" w:rsidRDefault="005A5A18" w:rsidP="005A5A18">
            <w:pPr>
              <w:pStyle w:val="TableTextCentered"/>
              <w:rPr>
                <w:rFonts w:cstheme="majorHAnsi"/>
              </w:rPr>
            </w:pPr>
            <w:r w:rsidRPr="00B6560E">
              <w:rPr>
                <w:rFonts w:cstheme="majorHAnsi"/>
              </w:rPr>
              <w:sym w:font="Wingdings" w:char="F0FC"/>
            </w:r>
          </w:p>
          <w:p w14:paraId="6739E3A0" w14:textId="4C973212" w:rsidR="005A5A18" w:rsidRPr="00B6560E" w:rsidRDefault="005A5A18" w:rsidP="005A5A18">
            <w:pPr>
              <w:pStyle w:val="TableTextCentered"/>
              <w:spacing w:after="20"/>
              <w:rPr>
                <w:rFonts w:cstheme="majorHAnsi"/>
              </w:rPr>
            </w:pPr>
          </w:p>
        </w:tc>
        <w:tc>
          <w:tcPr>
            <w:tcW w:w="1129" w:type="dxa"/>
          </w:tcPr>
          <w:p w14:paraId="32DE4EB6" w14:textId="77777777" w:rsidR="005A5A18" w:rsidRPr="00B6560E" w:rsidRDefault="005A5A18" w:rsidP="005A5A18">
            <w:pPr>
              <w:pStyle w:val="TableTextCentered"/>
              <w:spacing w:after="20"/>
              <w:rPr>
                <w:rFonts w:cstheme="majorHAnsi"/>
              </w:rPr>
            </w:pPr>
          </w:p>
        </w:tc>
        <w:tc>
          <w:tcPr>
            <w:tcW w:w="1129" w:type="dxa"/>
          </w:tcPr>
          <w:p w14:paraId="157E70F0" w14:textId="77777777" w:rsidR="005A5A18" w:rsidRPr="00B6560E" w:rsidRDefault="005A5A18" w:rsidP="005A5A18">
            <w:pPr>
              <w:pStyle w:val="TableTextCentered"/>
              <w:spacing w:after="20"/>
              <w:rPr>
                <w:rFonts w:cstheme="majorHAnsi"/>
              </w:rPr>
            </w:pPr>
          </w:p>
        </w:tc>
      </w:tr>
      <w:tr w:rsidR="005A5A18" w:rsidRPr="00B6560E" w14:paraId="6CCCB449" w14:textId="77777777" w:rsidTr="00D4550A">
        <w:trPr>
          <w:jc w:val="center"/>
        </w:trPr>
        <w:tc>
          <w:tcPr>
            <w:tcW w:w="5973" w:type="dxa"/>
          </w:tcPr>
          <w:p w14:paraId="1E3193EF" w14:textId="498005B2" w:rsidR="005A5A18" w:rsidRPr="00B6560E" w:rsidRDefault="005A5A18" w:rsidP="005A5A18">
            <w:pPr>
              <w:pStyle w:val="TableText"/>
              <w:spacing w:after="20"/>
              <w:rPr>
                <w:rFonts w:cstheme="majorHAnsi"/>
              </w:rPr>
            </w:pPr>
            <w:bookmarkStart w:id="8" w:name="_Hlk8893686"/>
            <w:r w:rsidRPr="00B6560E">
              <w:rPr>
                <w:rFonts w:cstheme="majorHAnsi"/>
              </w:rPr>
              <w:t>1.</w:t>
            </w:r>
            <w:r w:rsidR="00341504">
              <w:rPr>
                <w:rFonts w:cstheme="majorHAnsi"/>
              </w:rPr>
              <w:t>6</w:t>
            </w:r>
            <w:r w:rsidRPr="00B6560E">
              <w:rPr>
                <w:rFonts w:cstheme="majorHAnsi"/>
              </w:rPr>
              <w:t xml:space="preserve">. How are </w:t>
            </w:r>
            <w:r w:rsidR="005311B1">
              <w:rPr>
                <w:rFonts w:cstheme="majorHAnsi"/>
              </w:rPr>
              <w:t>WIOA</w:t>
            </w:r>
            <w:r w:rsidRPr="00B6560E">
              <w:rPr>
                <w:rFonts w:cstheme="majorHAnsi"/>
              </w:rPr>
              <w:t xml:space="preserve"> </w:t>
            </w:r>
            <w:r w:rsidR="00113310">
              <w:rPr>
                <w:rFonts w:cstheme="majorHAnsi"/>
              </w:rPr>
              <w:t>performance data</w:t>
            </w:r>
            <w:r w:rsidRPr="00B6560E">
              <w:rPr>
                <w:rFonts w:cstheme="majorHAnsi"/>
              </w:rPr>
              <w:t xml:space="preserve"> being used by states and local providers? </w:t>
            </w:r>
            <w:bookmarkEnd w:id="8"/>
          </w:p>
        </w:tc>
        <w:tc>
          <w:tcPr>
            <w:tcW w:w="1129" w:type="dxa"/>
          </w:tcPr>
          <w:p w14:paraId="6F04EE5F" w14:textId="1E939577" w:rsidR="005A5A18" w:rsidRPr="00B6560E" w:rsidRDefault="005A5A18" w:rsidP="005A5A18">
            <w:pPr>
              <w:pStyle w:val="TableTextCentered"/>
              <w:spacing w:after="20"/>
              <w:rPr>
                <w:rFonts w:cstheme="majorHAnsi"/>
              </w:rPr>
            </w:pPr>
            <w:r w:rsidRPr="00B6560E">
              <w:rPr>
                <w:rFonts w:cstheme="majorHAnsi"/>
              </w:rPr>
              <w:sym w:font="Wingdings" w:char="F0FC"/>
            </w:r>
          </w:p>
        </w:tc>
        <w:tc>
          <w:tcPr>
            <w:tcW w:w="1129" w:type="dxa"/>
          </w:tcPr>
          <w:p w14:paraId="234FBF64" w14:textId="77777777" w:rsidR="005A5A18" w:rsidRPr="00B6560E" w:rsidRDefault="005A5A18" w:rsidP="005A5A18">
            <w:pPr>
              <w:pStyle w:val="TableTextCentered"/>
              <w:rPr>
                <w:rFonts w:cstheme="majorHAnsi"/>
              </w:rPr>
            </w:pPr>
            <w:r w:rsidRPr="00B6560E">
              <w:rPr>
                <w:rFonts w:cstheme="majorHAnsi"/>
              </w:rPr>
              <w:sym w:font="Wingdings" w:char="F0FC"/>
            </w:r>
          </w:p>
          <w:p w14:paraId="2B399558" w14:textId="2FE44F84" w:rsidR="005A5A18" w:rsidRPr="00B6560E" w:rsidRDefault="005A5A18" w:rsidP="005A5A18">
            <w:pPr>
              <w:pStyle w:val="TableTextCentered"/>
              <w:spacing w:after="20"/>
              <w:rPr>
                <w:rFonts w:cstheme="majorHAnsi"/>
              </w:rPr>
            </w:pPr>
          </w:p>
        </w:tc>
        <w:tc>
          <w:tcPr>
            <w:tcW w:w="1129" w:type="dxa"/>
          </w:tcPr>
          <w:p w14:paraId="5B231AEC" w14:textId="77777777" w:rsidR="005A5A18" w:rsidRPr="00B6560E" w:rsidRDefault="005A5A18" w:rsidP="005A5A18">
            <w:pPr>
              <w:pStyle w:val="TableTextCentered"/>
              <w:spacing w:after="20"/>
              <w:rPr>
                <w:rFonts w:cstheme="majorHAnsi"/>
              </w:rPr>
            </w:pPr>
          </w:p>
        </w:tc>
      </w:tr>
      <w:tr w:rsidR="005A5A18" w:rsidRPr="00B6560E" w14:paraId="6CB295EA" w14:textId="77777777" w:rsidTr="00D4550A">
        <w:trPr>
          <w:jc w:val="center"/>
        </w:trPr>
        <w:tc>
          <w:tcPr>
            <w:tcW w:w="5973" w:type="dxa"/>
          </w:tcPr>
          <w:p w14:paraId="042D4B96" w14:textId="2FD43C93" w:rsidR="005A5A18" w:rsidRPr="00B6560E" w:rsidRDefault="005A5A18" w:rsidP="005A5A18">
            <w:pPr>
              <w:pStyle w:val="TableText"/>
              <w:spacing w:after="20"/>
              <w:rPr>
                <w:rFonts w:cstheme="majorHAnsi"/>
              </w:rPr>
            </w:pPr>
            <w:r w:rsidRPr="00B6560E">
              <w:rPr>
                <w:rFonts w:cstheme="majorHAnsi"/>
              </w:rPr>
              <w:t>1.</w:t>
            </w:r>
            <w:r w:rsidR="00341504">
              <w:rPr>
                <w:rFonts w:cstheme="majorHAnsi"/>
              </w:rPr>
              <w:t>7</w:t>
            </w:r>
            <w:r w:rsidRPr="00B6560E">
              <w:rPr>
                <w:rFonts w:cstheme="majorHAnsi"/>
              </w:rPr>
              <w:t xml:space="preserve">. To what extent are states identifying and disseminating promising models of practice? </w:t>
            </w:r>
          </w:p>
        </w:tc>
        <w:tc>
          <w:tcPr>
            <w:tcW w:w="1129" w:type="dxa"/>
          </w:tcPr>
          <w:p w14:paraId="58B95EBB" w14:textId="456E265C" w:rsidR="005A5A18" w:rsidRPr="00B6560E" w:rsidRDefault="005A5A18" w:rsidP="005A5A18">
            <w:pPr>
              <w:pStyle w:val="TableTextCentered"/>
              <w:spacing w:after="20"/>
              <w:rPr>
                <w:rFonts w:cstheme="majorHAnsi"/>
              </w:rPr>
            </w:pPr>
            <w:r w:rsidRPr="00B6560E">
              <w:rPr>
                <w:rFonts w:cstheme="majorHAnsi"/>
              </w:rPr>
              <w:sym w:font="Wingdings" w:char="F0FC"/>
            </w:r>
          </w:p>
        </w:tc>
        <w:tc>
          <w:tcPr>
            <w:tcW w:w="1129" w:type="dxa"/>
          </w:tcPr>
          <w:p w14:paraId="5A741056" w14:textId="77777777" w:rsidR="005A5A18" w:rsidRPr="00B6560E" w:rsidRDefault="005A5A18" w:rsidP="005A5A18">
            <w:pPr>
              <w:pStyle w:val="TableTextCentered"/>
              <w:spacing w:after="20"/>
              <w:rPr>
                <w:rFonts w:cstheme="majorHAnsi"/>
              </w:rPr>
            </w:pPr>
          </w:p>
        </w:tc>
        <w:tc>
          <w:tcPr>
            <w:tcW w:w="1129" w:type="dxa"/>
          </w:tcPr>
          <w:p w14:paraId="31A39C5E" w14:textId="77777777" w:rsidR="005A5A18" w:rsidRPr="00B6560E" w:rsidRDefault="005A5A18" w:rsidP="005A5A18">
            <w:pPr>
              <w:pStyle w:val="TableTextCentered"/>
              <w:spacing w:after="20"/>
              <w:rPr>
                <w:rFonts w:cstheme="majorHAnsi"/>
              </w:rPr>
            </w:pPr>
          </w:p>
        </w:tc>
      </w:tr>
      <w:tr w:rsidR="001A14F3" w:rsidRPr="00B6560E" w14:paraId="79B64E72" w14:textId="77777777" w:rsidTr="00D4550A">
        <w:trPr>
          <w:jc w:val="center"/>
        </w:trPr>
        <w:tc>
          <w:tcPr>
            <w:tcW w:w="9360" w:type="dxa"/>
            <w:gridSpan w:val="4"/>
            <w:shd w:val="clear" w:color="auto" w:fill="D9D9D9" w:themeFill="background1" w:themeFillShade="D9"/>
          </w:tcPr>
          <w:p w14:paraId="1A2E350F" w14:textId="0B5F284D" w:rsidR="001A14F3" w:rsidRPr="00B6560E" w:rsidRDefault="001A14F3" w:rsidP="003C749D">
            <w:pPr>
              <w:pStyle w:val="TableSubheading"/>
              <w:spacing w:after="20"/>
              <w:rPr>
                <w:rFonts w:cstheme="majorHAnsi"/>
                <w:szCs w:val="20"/>
              </w:rPr>
            </w:pPr>
            <w:r w:rsidRPr="00B6560E">
              <w:rPr>
                <w:rFonts w:cstheme="majorHAnsi"/>
                <w:szCs w:val="20"/>
              </w:rPr>
              <w:t xml:space="preserve">2. Beyond those promoted under </w:t>
            </w:r>
            <w:r w:rsidR="005311B1">
              <w:rPr>
                <w:rFonts w:cstheme="majorHAnsi"/>
                <w:szCs w:val="20"/>
              </w:rPr>
              <w:t>WIOA</w:t>
            </w:r>
            <w:r w:rsidRPr="00B6560E">
              <w:rPr>
                <w:rFonts w:cstheme="majorHAnsi"/>
                <w:szCs w:val="20"/>
              </w:rPr>
              <w:t>, in what other ways has implementation changed since the last federal update to adult education (</w:t>
            </w:r>
            <w:r w:rsidR="00A421A8" w:rsidRPr="00B6560E">
              <w:rPr>
                <w:rFonts w:cstheme="majorHAnsi"/>
                <w:szCs w:val="20"/>
              </w:rPr>
              <w:t>1998 Workforce Investment Act</w:t>
            </w:r>
            <w:r w:rsidRPr="00B6560E">
              <w:rPr>
                <w:rFonts w:cstheme="majorHAnsi"/>
                <w:szCs w:val="20"/>
              </w:rPr>
              <w:t>)?</w:t>
            </w:r>
          </w:p>
        </w:tc>
      </w:tr>
      <w:tr w:rsidR="001A14F3" w:rsidRPr="00B6560E" w14:paraId="21A16112" w14:textId="77777777" w:rsidTr="00D4550A">
        <w:trPr>
          <w:jc w:val="center"/>
        </w:trPr>
        <w:tc>
          <w:tcPr>
            <w:tcW w:w="5973" w:type="dxa"/>
          </w:tcPr>
          <w:p w14:paraId="61EC6EFD" w14:textId="77777777" w:rsidR="001A14F3" w:rsidRPr="00B6560E" w:rsidRDefault="001A14F3" w:rsidP="003C749D">
            <w:pPr>
              <w:pStyle w:val="TableText"/>
              <w:spacing w:after="20"/>
              <w:rPr>
                <w:rFonts w:cstheme="majorHAnsi"/>
              </w:rPr>
            </w:pPr>
            <w:r w:rsidRPr="00B6560E">
              <w:rPr>
                <w:rFonts w:cstheme="majorHAnsi"/>
              </w:rPr>
              <w:t>2.1. To what extent have there been shifts in collaboration with other public and private community partners?</w:t>
            </w:r>
          </w:p>
        </w:tc>
        <w:tc>
          <w:tcPr>
            <w:tcW w:w="1129" w:type="dxa"/>
          </w:tcPr>
          <w:p w14:paraId="466AB840" w14:textId="77777777" w:rsidR="001A14F3" w:rsidRPr="00B6560E" w:rsidRDefault="001A14F3" w:rsidP="003C749D">
            <w:pPr>
              <w:pStyle w:val="TableTextCentered"/>
              <w:spacing w:after="20"/>
              <w:rPr>
                <w:rFonts w:cstheme="majorHAnsi"/>
              </w:rPr>
            </w:pPr>
          </w:p>
        </w:tc>
        <w:tc>
          <w:tcPr>
            <w:tcW w:w="1129" w:type="dxa"/>
          </w:tcPr>
          <w:p w14:paraId="072B4F03" w14:textId="77777777" w:rsidR="001A14F3" w:rsidRPr="00B6560E" w:rsidRDefault="001A14F3" w:rsidP="003C749D">
            <w:pPr>
              <w:pStyle w:val="TableTextCentered"/>
              <w:spacing w:after="20"/>
              <w:rPr>
                <w:rFonts w:cstheme="majorHAnsi"/>
              </w:rPr>
            </w:pPr>
            <w:r w:rsidRPr="00B6560E">
              <w:rPr>
                <w:rFonts w:cstheme="majorHAnsi"/>
              </w:rPr>
              <w:sym w:font="Wingdings" w:char="F0FC"/>
            </w:r>
          </w:p>
        </w:tc>
        <w:tc>
          <w:tcPr>
            <w:tcW w:w="1129" w:type="dxa"/>
          </w:tcPr>
          <w:p w14:paraId="2382DED0" w14:textId="77777777" w:rsidR="001A14F3" w:rsidRPr="00B6560E" w:rsidRDefault="001A14F3" w:rsidP="003C749D">
            <w:pPr>
              <w:pStyle w:val="TableTextCentered"/>
              <w:spacing w:after="20"/>
              <w:rPr>
                <w:rFonts w:cstheme="majorHAnsi"/>
              </w:rPr>
            </w:pPr>
            <w:r w:rsidRPr="00B6560E">
              <w:rPr>
                <w:rFonts w:cstheme="majorHAnsi"/>
              </w:rPr>
              <w:sym w:font="Wingdings" w:char="F0FC"/>
            </w:r>
          </w:p>
          <w:p w14:paraId="6EAA984B" w14:textId="77777777" w:rsidR="001A14F3" w:rsidRPr="00B6560E" w:rsidRDefault="001A14F3" w:rsidP="003C749D">
            <w:pPr>
              <w:pStyle w:val="TableTextCentered"/>
              <w:spacing w:after="20"/>
              <w:rPr>
                <w:rFonts w:cstheme="majorHAnsi"/>
              </w:rPr>
            </w:pPr>
          </w:p>
        </w:tc>
      </w:tr>
      <w:tr w:rsidR="001A14F3" w:rsidRPr="00B6560E" w14:paraId="4F1E095F" w14:textId="77777777" w:rsidTr="00D4550A">
        <w:trPr>
          <w:jc w:val="center"/>
        </w:trPr>
        <w:tc>
          <w:tcPr>
            <w:tcW w:w="5973" w:type="dxa"/>
          </w:tcPr>
          <w:p w14:paraId="4715B1B3" w14:textId="77777777" w:rsidR="001A14F3" w:rsidRPr="00B6560E" w:rsidDel="005D6276" w:rsidRDefault="001A14F3" w:rsidP="003C749D">
            <w:pPr>
              <w:pStyle w:val="TableText"/>
              <w:spacing w:after="20"/>
              <w:rPr>
                <w:rFonts w:cstheme="majorHAnsi"/>
              </w:rPr>
            </w:pPr>
            <w:r w:rsidRPr="00B6560E">
              <w:rPr>
                <w:rFonts w:cstheme="majorHAnsi"/>
              </w:rPr>
              <w:t xml:space="preserve">2.2. Have there been changes in how instructional services have been scheduled or delivered? </w:t>
            </w:r>
          </w:p>
        </w:tc>
        <w:tc>
          <w:tcPr>
            <w:tcW w:w="1129" w:type="dxa"/>
          </w:tcPr>
          <w:p w14:paraId="264F08C7" w14:textId="77777777" w:rsidR="001A14F3" w:rsidRPr="00B6560E" w:rsidRDefault="001A14F3" w:rsidP="003C749D">
            <w:pPr>
              <w:pStyle w:val="TableTextCentered"/>
              <w:spacing w:after="20"/>
              <w:rPr>
                <w:rFonts w:cstheme="majorHAnsi"/>
              </w:rPr>
            </w:pPr>
          </w:p>
        </w:tc>
        <w:tc>
          <w:tcPr>
            <w:tcW w:w="1129" w:type="dxa"/>
          </w:tcPr>
          <w:p w14:paraId="41109196" w14:textId="77777777" w:rsidR="001A14F3" w:rsidRPr="00B6560E" w:rsidRDefault="001A14F3" w:rsidP="003C749D">
            <w:pPr>
              <w:pStyle w:val="TableTextCentered"/>
              <w:spacing w:after="20"/>
              <w:rPr>
                <w:rFonts w:cstheme="majorHAnsi"/>
              </w:rPr>
            </w:pPr>
            <w:r w:rsidRPr="00B6560E">
              <w:rPr>
                <w:rFonts w:cstheme="majorHAnsi"/>
              </w:rPr>
              <w:sym w:font="Wingdings" w:char="F0FC"/>
            </w:r>
          </w:p>
        </w:tc>
        <w:tc>
          <w:tcPr>
            <w:tcW w:w="1129" w:type="dxa"/>
          </w:tcPr>
          <w:p w14:paraId="33ADF26C" w14:textId="77777777" w:rsidR="001A14F3" w:rsidRPr="00B6560E" w:rsidRDefault="001A14F3" w:rsidP="003C749D">
            <w:pPr>
              <w:pStyle w:val="TableTextCentered"/>
              <w:spacing w:after="20"/>
              <w:rPr>
                <w:rFonts w:cstheme="majorHAnsi"/>
              </w:rPr>
            </w:pPr>
            <w:r w:rsidRPr="00B6560E">
              <w:rPr>
                <w:rFonts w:cstheme="majorHAnsi"/>
              </w:rPr>
              <w:sym w:font="Wingdings" w:char="F0FC"/>
            </w:r>
          </w:p>
          <w:p w14:paraId="3339E54A" w14:textId="77777777" w:rsidR="001A14F3" w:rsidRPr="00B6560E" w:rsidRDefault="001A14F3" w:rsidP="003C749D">
            <w:pPr>
              <w:pStyle w:val="TableTextCentered"/>
              <w:spacing w:after="20"/>
              <w:rPr>
                <w:rFonts w:cstheme="majorHAnsi"/>
              </w:rPr>
            </w:pPr>
          </w:p>
        </w:tc>
      </w:tr>
      <w:tr w:rsidR="001A14F3" w:rsidRPr="00B6560E" w14:paraId="7F361B00" w14:textId="77777777" w:rsidTr="00D4550A">
        <w:trPr>
          <w:jc w:val="center"/>
        </w:trPr>
        <w:tc>
          <w:tcPr>
            <w:tcW w:w="5973" w:type="dxa"/>
          </w:tcPr>
          <w:p w14:paraId="4E5A51E9" w14:textId="11C2C3C1" w:rsidR="001A14F3" w:rsidRPr="00B6560E" w:rsidRDefault="001A14F3" w:rsidP="003C749D">
            <w:pPr>
              <w:pStyle w:val="TableText"/>
              <w:spacing w:after="20"/>
              <w:rPr>
                <w:rFonts w:cstheme="majorHAnsi"/>
              </w:rPr>
            </w:pPr>
            <w:r w:rsidRPr="00B6560E">
              <w:rPr>
                <w:rFonts w:cstheme="majorHAnsi"/>
              </w:rPr>
              <w:t xml:space="preserve">2.3. Have funding levels or sources for local adult education programs changed </w:t>
            </w:r>
            <w:r w:rsidR="00A421A8" w:rsidRPr="00B6560E">
              <w:rPr>
                <w:rFonts w:cstheme="majorHAnsi"/>
              </w:rPr>
              <w:t xml:space="preserve">across </w:t>
            </w:r>
            <w:r w:rsidRPr="00B6560E">
              <w:rPr>
                <w:rFonts w:cstheme="majorHAnsi"/>
              </w:rPr>
              <w:t xml:space="preserve">time? Has funding allocation changed </w:t>
            </w:r>
            <w:r w:rsidR="00A421A8" w:rsidRPr="00B6560E">
              <w:rPr>
                <w:rFonts w:cstheme="majorHAnsi"/>
              </w:rPr>
              <w:t xml:space="preserve">across </w:t>
            </w:r>
            <w:r w:rsidRPr="00B6560E">
              <w:rPr>
                <w:rFonts w:cstheme="majorHAnsi"/>
              </w:rPr>
              <w:t>time?</w:t>
            </w:r>
          </w:p>
        </w:tc>
        <w:tc>
          <w:tcPr>
            <w:tcW w:w="1129" w:type="dxa"/>
          </w:tcPr>
          <w:p w14:paraId="7A052DA9" w14:textId="77777777" w:rsidR="001A14F3" w:rsidRPr="00B6560E" w:rsidRDefault="001A14F3" w:rsidP="003C749D">
            <w:pPr>
              <w:pStyle w:val="TableTextCentered"/>
              <w:spacing w:after="20"/>
              <w:rPr>
                <w:rFonts w:cstheme="majorHAnsi"/>
              </w:rPr>
            </w:pPr>
          </w:p>
        </w:tc>
        <w:tc>
          <w:tcPr>
            <w:tcW w:w="1129" w:type="dxa"/>
          </w:tcPr>
          <w:p w14:paraId="33B59A51" w14:textId="77777777" w:rsidR="001A14F3" w:rsidRPr="00B6560E" w:rsidRDefault="001A14F3" w:rsidP="003C749D">
            <w:pPr>
              <w:pStyle w:val="TableTextCentered"/>
              <w:spacing w:after="20"/>
              <w:rPr>
                <w:rFonts w:cstheme="majorHAnsi"/>
              </w:rPr>
            </w:pPr>
            <w:r w:rsidRPr="00B6560E">
              <w:rPr>
                <w:rFonts w:cstheme="majorHAnsi"/>
              </w:rPr>
              <w:sym w:font="Wingdings" w:char="F0FC"/>
            </w:r>
          </w:p>
        </w:tc>
        <w:tc>
          <w:tcPr>
            <w:tcW w:w="1129" w:type="dxa"/>
          </w:tcPr>
          <w:p w14:paraId="58EDDAE2" w14:textId="77777777" w:rsidR="001A14F3" w:rsidRPr="00B6560E" w:rsidRDefault="001A14F3" w:rsidP="003C749D">
            <w:pPr>
              <w:pStyle w:val="TableTextCentered"/>
              <w:spacing w:after="20"/>
              <w:rPr>
                <w:rFonts w:cstheme="majorHAnsi"/>
              </w:rPr>
            </w:pPr>
            <w:r w:rsidRPr="00B6560E">
              <w:rPr>
                <w:rFonts w:cstheme="majorHAnsi"/>
              </w:rPr>
              <w:sym w:font="Wingdings" w:char="F0FC"/>
            </w:r>
          </w:p>
          <w:p w14:paraId="37F2F88D" w14:textId="77777777" w:rsidR="001A14F3" w:rsidRPr="00B6560E" w:rsidRDefault="001A14F3" w:rsidP="003C749D">
            <w:pPr>
              <w:pStyle w:val="TableTextCentered"/>
              <w:spacing w:after="20"/>
              <w:rPr>
                <w:rFonts w:cstheme="majorHAnsi"/>
              </w:rPr>
            </w:pPr>
          </w:p>
        </w:tc>
      </w:tr>
      <w:tr w:rsidR="002D0EEF" w:rsidRPr="00B6560E" w14:paraId="0F7C6643" w14:textId="77777777" w:rsidTr="00D4550A">
        <w:trPr>
          <w:jc w:val="center"/>
        </w:trPr>
        <w:tc>
          <w:tcPr>
            <w:tcW w:w="5973" w:type="dxa"/>
          </w:tcPr>
          <w:p w14:paraId="08D2D1F6" w14:textId="0DC113ED" w:rsidR="002D0EEF" w:rsidRPr="00B6560E" w:rsidRDefault="002D0EEF" w:rsidP="003C749D">
            <w:pPr>
              <w:pStyle w:val="TableText"/>
              <w:spacing w:after="20"/>
              <w:rPr>
                <w:rFonts w:cstheme="majorHAnsi"/>
              </w:rPr>
            </w:pPr>
            <w:r>
              <w:rPr>
                <w:rFonts w:cstheme="majorHAnsi"/>
              </w:rPr>
              <w:t xml:space="preserve">2.4 </w:t>
            </w:r>
            <w:r>
              <w:t>Have there been changes in the types of individuals served, since prior to WIOA? What services are being provided to support individuals to participate in programs and transition to postsecondary or employment?</w:t>
            </w:r>
          </w:p>
        </w:tc>
        <w:tc>
          <w:tcPr>
            <w:tcW w:w="1129" w:type="dxa"/>
          </w:tcPr>
          <w:p w14:paraId="1ACD7408" w14:textId="77777777" w:rsidR="002D0EEF" w:rsidRPr="00B6560E" w:rsidRDefault="002D0EEF" w:rsidP="003C749D">
            <w:pPr>
              <w:pStyle w:val="TableTextCentered"/>
              <w:spacing w:after="20"/>
              <w:rPr>
                <w:rFonts w:cstheme="majorHAnsi"/>
              </w:rPr>
            </w:pPr>
          </w:p>
        </w:tc>
        <w:tc>
          <w:tcPr>
            <w:tcW w:w="1129" w:type="dxa"/>
          </w:tcPr>
          <w:p w14:paraId="23591B3D" w14:textId="77777777" w:rsidR="002D0EEF" w:rsidRPr="00B6560E" w:rsidRDefault="002D0EEF" w:rsidP="002D0EEF">
            <w:pPr>
              <w:pStyle w:val="TableTextCentered"/>
              <w:spacing w:after="20"/>
              <w:rPr>
                <w:rFonts w:cstheme="majorHAnsi"/>
              </w:rPr>
            </w:pPr>
            <w:r w:rsidRPr="00B6560E">
              <w:rPr>
                <w:rFonts w:cstheme="majorHAnsi"/>
              </w:rPr>
              <w:sym w:font="Wingdings" w:char="F0FC"/>
            </w:r>
          </w:p>
          <w:p w14:paraId="56E90A15" w14:textId="77777777" w:rsidR="002D0EEF" w:rsidRPr="00B6560E" w:rsidRDefault="002D0EEF" w:rsidP="003C749D">
            <w:pPr>
              <w:pStyle w:val="TableTextCentered"/>
              <w:spacing w:after="20"/>
              <w:rPr>
                <w:rFonts w:cstheme="majorHAnsi"/>
              </w:rPr>
            </w:pPr>
          </w:p>
        </w:tc>
        <w:tc>
          <w:tcPr>
            <w:tcW w:w="1129" w:type="dxa"/>
          </w:tcPr>
          <w:p w14:paraId="48055DFD" w14:textId="77777777" w:rsidR="002D0EEF" w:rsidRPr="00B6560E" w:rsidRDefault="002D0EEF" w:rsidP="002D0EEF">
            <w:pPr>
              <w:pStyle w:val="TableTextCentered"/>
              <w:spacing w:after="20"/>
              <w:rPr>
                <w:rFonts w:cstheme="majorHAnsi"/>
              </w:rPr>
            </w:pPr>
            <w:r w:rsidRPr="00B6560E">
              <w:rPr>
                <w:rFonts w:cstheme="majorHAnsi"/>
              </w:rPr>
              <w:sym w:font="Wingdings" w:char="F0FC"/>
            </w:r>
          </w:p>
          <w:p w14:paraId="4534A3CA" w14:textId="77777777" w:rsidR="002D0EEF" w:rsidRPr="00B6560E" w:rsidRDefault="002D0EEF" w:rsidP="003C749D">
            <w:pPr>
              <w:pStyle w:val="TableTextCentered"/>
              <w:spacing w:after="20"/>
              <w:rPr>
                <w:rFonts w:cstheme="majorHAnsi"/>
              </w:rPr>
            </w:pPr>
          </w:p>
        </w:tc>
      </w:tr>
      <w:tr w:rsidR="001A14F3" w:rsidRPr="00B6560E" w14:paraId="55742CD8" w14:textId="77777777" w:rsidTr="00D4550A">
        <w:trPr>
          <w:jc w:val="center"/>
        </w:trPr>
        <w:tc>
          <w:tcPr>
            <w:tcW w:w="9360" w:type="dxa"/>
            <w:gridSpan w:val="4"/>
            <w:tcBorders>
              <w:top w:val="nil"/>
            </w:tcBorders>
            <w:shd w:val="clear" w:color="auto" w:fill="D9D9D9" w:themeFill="background1" w:themeFillShade="D9"/>
          </w:tcPr>
          <w:p w14:paraId="59B6D0C6" w14:textId="62001688" w:rsidR="001A14F3" w:rsidRPr="00B6560E" w:rsidRDefault="001A14F3" w:rsidP="003C749D">
            <w:pPr>
              <w:pStyle w:val="TableSubheading"/>
              <w:spacing w:after="20"/>
              <w:rPr>
                <w:rFonts w:eastAsia="Calibri" w:cstheme="majorHAnsi"/>
                <w:szCs w:val="20"/>
              </w:rPr>
            </w:pPr>
            <w:r w:rsidRPr="00B6560E">
              <w:rPr>
                <w:rFonts w:cstheme="majorHAnsi"/>
                <w:szCs w:val="20"/>
              </w:rPr>
              <w:t xml:space="preserve">3. What challenges are state agencies and local providers experiencing in administering and delivering adult education programming under </w:t>
            </w:r>
            <w:r w:rsidR="005311B1">
              <w:rPr>
                <w:rFonts w:cstheme="majorHAnsi"/>
                <w:szCs w:val="20"/>
              </w:rPr>
              <w:t>WIOA</w:t>
            </w:r>
            <w:r w:rsidRPr="00B6560E">
              <w:rPr>
                <w:rFonts w:cstheme="majorHAnsi"/>
                <w:szCs w:val="20"/>
              </w:rPr>
              <w:t>?</w:t>
            </w:r>
          </w:p>
        </w:tc>
      </w:tr>
      <w:tr w:rsidR="001A14F3" w:rsidRPr="00B6560E" w14:paraId="25BF4792" w14:textId="77777777" w:rsidTr="00D4550A">
        <w:trPr>
          <w:jc w:val="center"/>
        </w:trPr>
        <w:tc>
          <w:tcPr>
            <w:tcW w:w="5973" w:type="dxa"/>
          </w:tcPr>
          <w:p w14:paraId="64E95067" w14:textId="4D8D767A" w:rsidR="001A14F3" w:rsidRPr="00B6560E" w:rsidRDefault="001A14F3" w:rsidP="003C749D">
            <w:pPr>
              <w:pStyle w:val="TableText"/>
              <w:spacing w:after="20"/>
              <w:rPr>
                <w:rFonts w:cstheme="majorHAnsi"/>
              </w:rPr>
            </w:pPr>
            <w:r w:rsidRPr="00B6560E">
              <w:rPr>
                <w:rFonts w:cstheme="majorHAnsi"/>
              </w:rPr>
              <w:t xml:space="preserve">3.1. What have been the challenges in developing and sustaining collaborations with workforce </w:t>
            </w:r>
            <w:r w:rsidR="009511A5">
              <w:rPr>
                <w:rFonts w:cstheme="majorHAnsi"/>
              </w:rPr>
              <w:t xml:space="preserve">development, postsecondary and other </w:t>
            </w:r>
            <w:r w:rsidRPr="00B6560E">
              <w:rPr>
                <w:rFonts w:cstheme="majorHAnsi"/>
              </w:rPr>
              <w:t>partners?</w:t>
            </w:r>
          </w:p>
        </w:tc>
        <w:tc>
          <w:tcPr>
            <w:tcW w:w="1129" w:type="dxa"/>
          </w:tcPr>
          <w:p w14:paraId="65BE7BDF" w14:textId="77777777" w:rsidR="001A14F3" w:rsidRPr="00B6560E" w:rsidRDefault="001A14F3" w:rsidP="003C749D">
            <w:pPr>
              <w:pStyle w:val="TableTextCentered"/>
              <w:spacing w:after="20"/>
              <w:rPr>
                <w:rFonts w:cstheme="majorHAnsi"/>
              </w:rPr>
            </w:pPr>
            <w:r w:rsidRPr="00B6560E">
              <w:rPr>
                <w:rFonts w:cstheme="majorHAnsi"/>
              </w:rPr>
              <w:sym w:font="Wingdings" w:char="F0FC"/>
            </w:r>
          </w:p>
        </w:tc>
        <w:tc>
          <w:tcPr>
            <w:tcW w:w="1129" w:type="dxa"/>
          </w:tcPr>
          <w:p w14:paraId="57A30EE6" w14:textId="77777777" w:rsidR="001A14F3" w:rsidRPr="00B6560E" w:rsidRDefault="001A14F3" w:rsidP="003C749D">
            <w:pPr>
              <w:pStyle w:val="TableTextCentered"/>
              <w:spacing w:after="20"/>
              <w:rPr>
                <w:rFonts w:cstheme="majorHAnsi"/>
              </w:rPr>
            </w:pPr>
            <w:r w:rsidRPr="00B6560E">
              <w:rPr>
                <w:rFonts w:cstheme="majorHAnsi"/>
              </w:rPr>
              <w:sym w:font="Wingdings" w:char="F0FC"/>
            </w:r>
          </w:p>
        </w:tc>
        <w:tc>
          <w:tcPr>
            <w:tcW w:w="1129" w:type="dxa"/>
          </w:tcPr>
          <w:p w14:paraId="257F752F" w14:textId="77777777" w:rsidR="001A14F3" w:rsidRPr="00B6560E" w:rsidRDefault="001A14F3" w:rsidP="003C749D">
            <w:pPr>
              <w:pStyle w:val="TableTextCentered"/>
              <w:spacing w:after="20"/>
              <w:rPr>
                <w:rFonts w:cstheme="majorHAnsi"/>
              </w:rPr>
            </w:pPr>
          </w:p>
        </w:tc>
      </w:tr>
      <w:tr w:rsidR="001A14F3" w:rsidRPr="00B6560E" w14:paraId="03AC2D67" w14:textId="77777777" w:rsidTr="00D4550A">
        <w:trPr>
          <w:jc w:val="center"/>
        </w:trPr>
        <w:tc>
          <w:tcPr>
            <w:tcW w:w="5973" w:type="dxa"/>
          </w:tcPr>
          <w:p w14:paraId="3629680F" w14:textId="10A811CA" w:rsidR="001A14F3" w:rsidRPr="00B6560E" w:rsidRDefault="001A14F3" w:rsidP="003C749D">
            <w:pPr>
              <w:pStyle w:val="TableText"/>
              <w:spacing w:after="20"/>
              <w:rPr>
                <w:rFonts w:cstheme="majorHAnsi"/>
              </w:rPr>
            </w:pPr>
            <w:r w:rsidRPr="00B6560E">
              <w:rPr>
                <w:rFonts w:cstheme="majorHAnsi"/>
              </w:rPr>
              <w:t xml:space="preserve">3.2. What have been the challenges in developing and/or implementing approaches to including workforce development </w:t>
            </w:r>
            <w:r w:rsidR="006536D4">
              <w:rPr>
                <w:rFonts w:cstheme="majorHAnsi"/>
              </w:rPr>
              <w:t>and postsecondary transition</w:t>
            </w:r>
            <w:r w:rsidRPr="00B6560E">
              <w:rPr>
                <w:rFonts w:cstheme="majorHAnsi"/>
              </w:rPr>
              <w:t xml:space="preserve"> programming</w:t>
            </w:r>
            <w:r w:rsidR="006536D4">
              <w:rPr>
                <w:rFonts w:cstheme="majorHAnsi"/>
              </w:rPr>
              <w:t xml:space="preserve"> </w:t>
            </w:r>
            <w:r w:rsidR="006536D4" w:rsidRPr="00B6560E">
              <w:rPr>
                <w:rFonts w:cstheme="majorHAnsi"/>
              </w:rPr>
              <w:t>in adult education</w:t>
            </w:r>
            <w:r w:rsidRPr="00B6560E">
              <w:rPr>
                <w:rFonts w:cstheme="majorHAnsi"/>
              </w:rPr>
              <w:t>?</w:t>
            </w:r>
          </w:p>
        </w:tc>
        <w:tc>
          <w:tcPr>
            <w:tcW w:w="1129" w:type="dxa"/>
          </w:tcPr>
          <w:p w14:paraId="6D89CDE1" w14:textId="1ABF3B37" w:rsidR="001A14F3" w:rsidRPr="00B6560E" w:rsidRDefault="001A14F3" w:rsidP="003C749D">
            <w:pPr>
              <w:pStyle w:val="TableTextCentered"/>
              <w:spacing w:after="20"/>
              <w:rPr>
                <w:rFonts w:cstheme="majorHAnsi"/>
              </w:rPr>
            </w:pPr>
          </w:p>
        </w:tc>
        <w:tc>
          <w:tcPr>
            <w:tcW w:w="1129" w:type="dxa"/>
          </w:tcPr>
          <w:p w14:paraId="5AAC270C" w14:textId="77777777" w:rsidR="001A14F3" w:rsidRPr="00B6560E" w:rsidRDefault="001A14F3" w:rsidP="003C749D">
            <w:pPr>
              <w:pStyle w:val="TableTextCentered"/>
              <w:spacing w:after="20"/>
              <w:rPr>
                <w:rFonts w:cstheme="majorHAnsi"/>
              </w:rPr>
            </w:pPr>
            <w:r w:rsidRPr="00B6560E">
              <w:rPr>
                <w:rFonts w:cstheme="majorHAnsi"/>
              </w:rPr>
              <w:sym w:font="Wingdings" w:char="F0FC"/>
            </w:r>
          </w:p>
        </w:tc>
        <w:tc>
          <w:tcPr>
            <w:tcW w:w="1129" w:type="dxa"/>
          </w:tcPr>
          <w:p w14:paraId="1962F05F" w14:textId="77777777" w:rsidR="001A14F3" w:rsidRPr="00B6560E" w:rsidRDefault="001A14F3" w:rsidP="003C749D">
            <w:pPr>
              <w:pStyle w:val="TableTextCentered"/>
              <w:spacing w:after="20"/>
              <w:rPr>
                <w:rFonts w:cstheme="majorHAnsi"/>
              </w:rPr>
            </w:pPr>
          </w:p>
        </w:tc>
      </w:tr>
      <w:tr w:rsidR="006536D4" w:rsidRPr="00B6560E" w14:paraId="145BE868" w14:textId="77777777" w:rsidTr="00D4550A">
        <w:trPr>
          <w:jc w:val="center"/>
        </w:trPr>
        <w:tc>
          <w:tcPr>
            <w:tcW w:w="5973" w:type="dxa"/>
          </w:tcPr>
          <w:p w14:paraId="3EA0ECA4" w14:textId="3CB0A0EA" w:rsidR="006536D4" w:rsidRPr="00B6560E" w:rsidRDefault="006536D4" w:rsidP="006536D4">
            <w:pPr>
              <w:pStyle w:val="TableText"/>
              <w:spacing w:after="20"/>
              <w:rPr>
                <w:rFonts w:cstheme="majorHAnsi"/>
              </w:rPr>
            </w:pPr>
            <w:r w:rsidRPr="00B6560E">
              <w:rPr>
                <w:rFonts w:cstheme="majorHAnsi"/>
              </w:rPr>
              <w:t>3.</w:t>
            </w:r>
            <w:r>
              <w:rPr>
                <w:rFonts w:cstheme="majorHAnsi"/>
              </w:rPr>
              <w:t>3</w:t>
            </w:r>
            <w:r w:rsidRPr="00B6560E">
              <w:rPr>
                <w:rFonts w:cstheme="majorHAnsi"/>
              </w:rPr>
              <w:t xml:space="preserve">. What have been the challenges in </w:t>
            </w:r>
            <w:r>
              <w:rPr>
                <w:rFonts w:cstheme="majorHAnsi"/>
              </w:rPr>
              <w:t>supporting</w:t>
            </w:r>
            <w:r w:rsidRPr="00B6560E">
              <w:rPr>
                <w:rFonts w:cstheme="majorHAnsi"/>
              </w:rPr>
              <w:t xml:space="preserve"> approaches to including workforce development </w:t>
            </w:r>
            <w:r>
              <w:rPr>
                <w:rFonts w:cstheme="majorHAnsi"/>
              </w:rPr>
              <w:t>and postsecondary transition</w:t>
            </w:r>
            <w:r w:rsidRPr="00B6560E">
              <w:rPr>
                <w:rFonts w:cstheme="majorHAnsi"/>
              </w:rPr>
              <w:t xml:space="preserve"> programming</w:t>
            </w:r>
            <w:r>
              <w:rPr>
                <w:rFonts w:cstheme="majorHAnsi"/>
              </w:rPr>
              <w:t xml:space="preserve"> </w:t>
            </w:r>
            <w:r w:rsidRPr="00B6560E">
              <w:rPr>
                <w:rFonts w:cstheme="majorHAnsi"/>
              </w:rPr>
              <w:t>in adult education?</w:t>
            </w:r>
          </w:p>
        </w:tc>
        <w:tc>
          <w:tcPr>
            <w:tcW w:w="1129" w:type="dxa"/>
          </w:tcPr>
          <w:p w14:paraId="3EA3375B" w14:textId="36D39C80" w:rsidR="006536D4" w:rsidRPr="00B6560E" w:rsidRDefault="006536D4" w:rsidP="006536D4">
            <w:pPr>
              <w:pStyle w:val="TableTextCentered"/>
              <w:spacing w:after="20"/>
              <w:rPr>
                <w:rFonts w:cstheme="majorHAnsi"/>
              </w:rPr>
            </w:pPr>
            <w:r w:rsidRPr="00B6560E">
              <w:rPr>
                <w:rFonts w:cstheme="majorHAnsi"/>
              </w:rPr>
              <w:sym w:font="Wingdings" w:char="F0FC"/>
            </w:r>
          </w:p>
        </w:tc>
        <w:tc>
          <w:tcPr>
            <w:tcW w:w="1129" w:type="dxa"/>
          </w:tcPr>
          <w:p w14:paraId="168F677E" w14:textId="5F1A158F" w:rsidR="006536D4" w:rsidRPr="00B6560E" w:rsidRDefault="006536D4" w:rsidP="006536D4">
            <w:pPr>
              <w:pStyle w:val="TableTextCentered"/>
              <w:spacing w:after="20"/>
              <w:rPr>
                <w:rFonts w:cstheme="majorHAnsi"/>
              </w:rPr>
            </w:pPr>
          </w:p>
        </w:tc>
        <w:tc>
          <w:tcPr>
            <w:tcW w:w="1129" w:type="dxa"/>
          </w:tcPr>
          <w:p w14:paraId="1682008D" w14:textId="77777777" w:rsidR="006536D4" w:rsidRPr="00B6560E" w:rsidRDefault="006536D4" w:rsidP="006536D4">
            <w:pPr>
              <w:pStyle w:val="TableTextCentered"/>
              <w:spacing w:after="20"/>
              <w:rPr>
                <w:rFonts w:cstheme="majorHAnsi"/>
              </w:rPr>
            </w:pPr>
          </w:p>
        </w:tc>
      </w:tr>
      <w:tr w:rsidR="006536D4" w:rsidRPr="00B6560E" w14:paraId="07BB8A33" w14:textId="77777777" w:rsidTr="00D4550A">
        <w:trPr>
          <w:jc w:val="center"/>
        </w:trPr>
        <w:tc>
          <w:tcPr>
            <w:tcW w:w="5973" w:type="dxa"/>
          </w:tcPr>
          <w:p w14:paraId="454A48C0" w14:textId="29856C9F" w:rsidR="006536D4" w:rsidRPr="00B6560E" w:rsidRDefault="006536D4" w:rsidP="006536D4">
            <w:pPr>
              <w:pStyle w:val="TableText"/>
              <w:spacing w:after="20"/>
              <w:rPr>
                <w:rFonts w:cstheme="majorHAnsi"/>
              </w:rPr>
            </w:pPr>
            <w:r w:rsidRPr="00B6560E">
              <w:rPr>
                <w:rFonts w:cstheme="majorHAnsi"/>
              </w:rPr>
              <w:t>3.</w:t>
            </w:r>
            <w:r>
              <w:rPr>
                <w:rFonts w:cstheme="majorHAnsi"/>
              </w:rPr>
              <w:t>4</w:t>
            </w:r>
            <w:r w:rsidRPr="00B6560E">
              <w:rPr>
                <w:rFonts w:cstheme="majorHAnsi"/>
              </w:rPr>
              <w:t>. What have been the challenges for states in identifying and disseminating information on promising models?</w:t>
            </w:r>
          </w:p>
        </w:tc>
        <w:tc>
          <w:tcPr>
            <w:tcW w:w="1129" w:type="dxa"/>
          </w:tcPr>
          <w:p w14:paraId="4DD5D3A7" w14:textId="559631FC" w:rsidR="006536D4" w:rsidRPr="00B6560E" w:rsidRDefault="006536D4" w:rsidP="006536D4">
            <w:pPr>
              <w:pStyle w:val="TableTextCentered"/>
              <w:spacing w:after="20"/>
              <w:rPr>
                <w:rFonts w:cstheme="majorHAnsi"/>
              </w:rPr>
            </w:pPr>
            <w:r w:rsidRPr="00B6560E">
              <w:rPr>
                <w:rFonts w:cstheme="majorHAnsi"/>
              </w:rPr>
              <w:sym w:font="Wingdings" w:char="F0FC"/>
            </w:r>
          </w:p>
        </w:tc>
        <w:tc>
          <w:tcPr>
            <w:tcW w:w="1129" w:type="dxa"/>
          </w:tcPr>
          <w:p w14:paraId="1F2588B5" w14:textId="77777777" w:rsidR="006536D4" w:rsidRPr="00B6560E" w:rsidRDefault="006536D4" w:rsidP="006536D4">
            <w:pPr>
              <w:pStyle w:val="TableTextCentered"/>
              <w:spacing w:after="20"/>
              <w:rPr>
                <w:rFonts w:cstheme="majorHAnsi"/>
              </w:rPr>
            </w:pPr>
          </w:p>
        </w:tc>
        <w:tc>
          <w:tcPr>
            <w:tcW w:w="1129" w:type="dxa"/>
          </w:tcPr>
          <w:p w14:paraId="7DFA55D3" w14:textId="77777777" w:rsidR="006536D4" w:rsidRPr="00B6560E" w:rsidRDefault="006536D4" w:rsidP="006536D4">
            <w:pPr>
              <w:pStyle w:val="TableTextCentered"/>
              <w:spacing w:after="20"/>
              <w:rPr>
                <w:rFonts w:cstheme="majorHAnsi"/>
              </w:rPr>
            </w:pPr>
          </w:p>
        </w:tc>
      </w:tr>
      <w:tr w:rsidR="006536D4" w:rsidRPr="00B6560E" w14:paraId="45AA267B" w14:textId="77777777" w:rsidTr="00D4550A">
        <w:trPr>
          <w:jc w:val="center"/>
        </w:trPr>
        <w:tc>
          <w:tcPr>
            <w:tcW w:w="5973" w:type="dxa"/>
          </w:tcPr>
          <w:p w14:paraId="7F56876E" w14:textId="4B982D88" w:rsidR="006536D4" w:rsidRPr="00B6560E" w:rsidRDefault="006536D4" w:rsidP="006536D4">
            <w:pPr>
              <w:pStyle w:val="TableText"/>
              <w:spacing w:after="20"/>
              <w:rPr>
                <w:rFonts w:cstheme="majorHAnsi"/>
              </w:rPr>
            </w:pPr>
            <w:r w:rsidRPr="00B6560E">
              <w:rPr>
                <w:rFonts w:cstheme="majorHAnsi"/>
              </w:rPr>
              <w:t>3.</w:t>
            </w:r>
            <w:r>
              <w:rPr>
                <w:rFonts w:cstheme="majorHAnsi"/>
              </w:rPr>
              <w:t>5</w:t>
            </w:r>
            <w:r w:rsidRPr="00B6560E">
              <w:rPr>
                <w:rFonts w:cstheme="majorHAnsi"/>
              </w:rPr>
              <w:t>. What have been the challenges in implementing performance accountability</w:t>
            </w:r>
            <w:r w:rsidR="00720B9F">
              <w:rPr>
                <w:rFonts w:cstheme="majorHAnsi"/>
              </w:rPr>
              <w:t xml:space="preserve"> reporting</w:t>
            </w:r>
            <w:r w:rsidRPr="00B6560E">
              <w:rPr>
                <w:rFonts w:cstheme="majorHAnsi"/>
              </w:rPr>
              <w:t xml:space="preserve"> requirements?</w:t>
            </w:r>
          </w:p>
        </w:tc>
        <w:tc>
          <w:tcPr>
            <w:tcW w:w="1129" w:type="dxa"/>
          </w:tcPr>
          <w:p w14:paraId="35967DF3" w14:textId="77777777" w:rsidR="006536D4" w:rsidRPr="00B6560E" w:rsidRDefault="006536D4" w:rsidP="006536D4">
            <w:pPr>
              <w:pStyle w:val="TableTextCentered"/>
              <w:spacing w:after="20"/>
              <w:rPr>
                <w:rFonts w:cstheme="majorHAnsi"/>
              </w:rPr>
            </w:pPr>
            <w:r w:rsidRPr="00B6560E">
              <w:rPr>
                <w:rFonts w:cstheme="majorHAnsi"/>
              </w:rPr>
              <w:sym w:font="Wingdings" w:char="F0FC"/>
            </w:r>
          </w:p>
        </w:tc>
        <w:tc>
          <w:tcPr>
            <w:tcW w:w="1129" w:type="dxa"/>
          </w:tcPr>
          <w:p w14:paraId="696A97D6" w14:textId="77777777" w:rsidR="006536D4" w:rsidRPr="00B6560E" w:rsidRDefault="006536D4" w:rsidP="006536D4">
            <w:pPr>
              <w:pStyle w:val="TableTextCentered"/>
              <w:spacing w:after="20"/>
              <w:rPr>
                <w:rFonts w:cstheme="majorHAnsi"/>
              </w:rPr>
            </w:pPr>
            <w:r w:rsidRPr="00B6560E">
              <w:rPr>
                <w:rFonts w:cstheme="majorHAnsi"/>
              </w:rPr>
              <w:sym w:font="Wingdings" w:char="F0FC"/>
            </w:r>
          </w:p>
        </w:tc>
        <w:tc>
          <w:tcPr>
            <w:tcW w:w="1129" w:type="dxa"/>
          </w:tcPr>
          <w:p w14:paraId="394FCE4D" w14:textId="77777777" w:rsidR="006536D4" w:rsidRPr="00B6560E" w:rsidRDefault="006536D4" w:rsidP="006536D4">
            <w:pPr>
              <w:pStyle w:val="TableTextCentered"/>
              <w:spacing w:after="20"/>
              <w:rPr>
                <w:rFonts w:cstheme="majorHAnsi"/>
              </w:rPr>
            </w:pPr>
          </w:p>
        </w:tc>
      </w:tr>
      <w:tr w:rsidR="006536D4" w:rsidRPr="00B6560E" w14:paraId="02B8CCB6" w14:textId="77777777" w:rsidTr="00D4550A">
        <w:trPr>
          <w:jc w:val="center"/>
        </w:trPr>
        <w:tc>
          <w:tcPr>
            <w:tcW w:w="5973" w:type="dxa"/>
          </w:tcPr>
          <w:p w14:paraId="2B93139A" w14:textId="2E1A7ED2" w:rsidR="006536D4" w:rsidRPr="00B6560E" w:rsidRDefault="006536D4" w:rsidP="006536D4">
            <w:pPr>
              <w:pStyle w:val="TableText"/>
              <w:spacing w:after="20"/>
              <w:rPr>
                <w:rFonts w:cstheme="majorHAnsi"/>
              </w:rPr>
            </w:pPr>
            <w:r w:rsidRPr="00B6560E">
              <w:rPr>
                <w:rFonts w:cstheme="majorHAnsi"/>
              </w:rPr>
              <w:t>3.</w:t>
            </w:r>
            <w:r>
              <w:rPr>
                <w:rFonts w:cstheme="majorHAnsi"/>
              </w:rPr>
              <w:t>6</w:t>
            </w:r>
            <w:r w:rsidRPr="00B6560E">
              <w:rPr>
                <w:rFonts w:cstheme="majorHAnsi"/>
              </w:rPr>
              <w:t xml:space="preserve">. What have been the challenges for states in </w:t>
            </w:r>
            <w:r w:rsidR="00720B9F">
              <w:rPr>
                <w:rFonts w:cstheme="majorHAnsi"/>
              </w:rPr>
              <w:t>assessing</w:t>
            </w:r>
            <w:r w:rsidRPr="00B6560E">
              <w:rPr>
                <w:rFonts w:cstheme="majorHAnsi"/>
              </w:rPr>
              <w:t xml:space="preserve"> provider performance under WIOA?</w:t>
            </w:r>
          </w:p>
        </w:tc>
        <w:tc>
          <w:tcPr>
            <w:tcW w:w="1129" w:type="dxa"/>
          </w:tcPr>
          <w:p w14:paraId="4463C965" w14:textId="77777777" w:rsidR="006536D4" w:rsidRPr="00B6560E" w:rsidRDefault="006536D4" w:rsidP="006536D4">
            <w:pPr>
              <w:pStyle w:val="TableTextCentered"/>
              <w:spacing w:after="20"/>
              <w:rPr>
                <w:rFonts w:cstheme="majorHAnsi"/>
              </w:rPr>
            </w:pPr>
            <w:r w:rsidRPr="00B6560E">
              <w:rPr>
                <w:rFonts w:cstheme="majorHAnsi"/>
              </w:rPr>
              <w:sym w:font="Wingdings" w:char="F0FC"/>
            </w:r>
          </w:p>
        </w:tc>
        <w:tc>
          <w:tcPr>
            <w:tcW w:w="1129" w:type="dxa"/>
          </w:tcPr>
          <w:p w14:paraId="43320859" w14:textId="77777777" w:rsidR="006536D4" w:rsidRPr="00B6560E" w:rsidRDefault="006536D4" w:rsidP="006536D4">
            <w:pPr>
              <w:pStyle w:val="TableTextCentered"/>
              <w:spacing w:after="20"/>
              <w:rPr>
                <w:rFonts w:cstheme="majorHAnsi"/>
              </w:rPr>
            </w:pPr>
          </w:p>
        </w:tc>
        <w:tc>
          <w:tcPr>
            <w:tcW w:w="1129" w:type="dxa"/>
          </w:tcPr>
          <w:p w14:paraId="7177244F" w14:textId="77777777" w:rsidR="006536D4" w:rsidRPr="00B6560E" w:rsidRDefault="006536D4" w:rsidP="006536D4">
            <w:pPr>
              <w:pStyle w:val="TableTextCentered"/>
              <w:spacing w:after="20"/>
              <w:rPr>
                <w:rFonts w:cstheme="majorHAnsi"/>
              </w:rPr>
            </w:pPr>
          </w:p>
        </w:tc>
      </w:tr>
    </w:tbl>
    <w:p w14:paraId="3CF99C0E" w14:textId="73AB0F92" w:rsidR="001A14F3" w:rsidRDefault="00A421A8" w:rsidP="001A14F3">
      <w:pPr>
        <w:pStyle w:val="TableNote"/>
      </w:pPr>
      <w:r w:rsidRPr="00E84A81">
        <w:rPr>
          <w:vertAlign w:val="superscript"/>
        </w:rPr>
        <w:t>a</w:t>
      </w:r>
      <w:r w:rsidR="001C456D">
        <w:rPr>
          <w:vertAlign w:val="superscript"/>
        </w:rPr>
        <w:t xml:space="preserve"> </w:t>
      </w:r>
      <w:r w:rsidR="001A14F3">
        <w:t xml:space="preserve">Extant data sources </w:t>
      </w:r>
      <w:r w:rsidR="00432EE2">
        <w:t>will</w:t>
      </w:r>
      <w:r w:rsidR="001A14F3">
        <w:t xml:space="preserve"> include data </w:t>
      </w:r>
      <w:r w:rsidR="00156D56">
        <w:t xml:space="preserve">from the </w:t>
      </w:r>
      <w:r>
        <w:t>NRS</w:t>
      </w:r>
      <w:r w:rsidR="001A14F3">
        <w:t>, the Adult Education Program Survey</w:t>
      </w:r>
      <w:r w:rsidR="00432EE2">
        <w:t xml:space="preserve"> </w:t>
      </w:r>
      <w:r w:rsidR="001A14F3">
        <w:t>of 2003, and the American Community Survey, among others.</w:t>
      </w:r>
    </w:p>
    <w:p w14:paraId="4EE4A8AA" w14:textId="69D3893E" w:rsidR="001A14F3" w:rsidRDefault="001A14F3" w:rsidP="001A14F3">
      <w:pPr>
        <w:pStyle w:val="BodyText"/>
      </w:pPr>
      <w:r>
        <w:t xml:space="preserve">The surveys have been developed to address the questions shown in </w:t>
      </w:r>
      <w:r w:rsidR="00A421A8">
        <w:t xml:space="preserve">Exhibit </w:t>
      </w:r>
      <w:r>
        <w:t>A.1. Specifically, the State Director Survey covers the following topics:</w:t>
      </w:r>
    </w:p>
    <w:p w14:paraId="3170DCD1" w14:textId="77777777" w:rsidR="00F42E64" w:rsidRDefault="00F42E64" w:rsidP="001A14F3">
      <w:pPr>
        <w:pStyle w:val="Bullet1"/>
        <w:spacing w:before="80" w:after="80"/>
      </w:pPr>
      <w:r>
        <w:t>Funding and grantmaking practices</w:t>
      </w:r>
    </w:p>
    <w:p w14:paraId="35276AF5" w14:textId="470701BC" w:rsidR="001A14F3" w:rsidRDefault="001A14F3" w:rsidP="001A14F3">
      <w:pPr>
        <w:pStyle w:val="Bullet1"/>
        <w:spacing w:before="80" w:after="80"/>
      </w:pPr>
      <w:r>
        <w:t>P</w:t>
      </w:r>
      <w:r w:rsidRPr="0083637F">
        <w:t xml:space="preserve">artnerships and collaborations with </w:t>
      </w:r>
      <w:r w:rsidR="00F42E64">
        <w:t xml:space="preserve">state </w:t>
      </w:r>
      <w:r w:rsidR="00DD2786">
        <w:t xml:space="preserve">workforce development partners </w:t>
      </w:r>
      <w:r w:rsidR="00F42E64">
        <w:t xml:space="preserve">or local workforce development </w:t>
      </w:r>
      <w:r w:rsidR="00DD2786">
        <w:t>boards</w:t>
      </w:r>
    </w:p>
    <w:p w14:paraId="2548AE53" w14:textId="4FD7AFAA" w:rsidR="008528FB" w:rsidRDefault="008528FB" w:rsidP="008528FB">
      <w:pPr>
        <w:pStyle w:val="Bullet1"/>
        <w:spacing w:before="80" w:after="80"/>
      </w:pPr>
      <w:r>
        <w:t>T</w:t>
      </w:r>
      <w:r w:rsidRPr="0083637F">
        <w:t>echnical assistance and professional development provide</w:t>
      </w:r>
      <w:r>
        <w:t>d</w:t>
      </w:r>
      <w:r w:rsidRPr="0083637F">
        <w:t xml:space="preserve"> to local programs</w:t>
      </w:r>
    </w:p>
    <w:p w14:paraId="42E53897" w14:textId="0966D4BD" w:rsidR="001A14F3" w:rsidRDefault="001A14F3" w:rsidP="001A14F3">
      <w:pPr>
        <w:pStyle w:val="Bullet1"/>
        <w:spacing w:before="80" w:after="80"/>
      </w:pPr>
      <w:r>
        <w:t>State p</w:t>
      </w:r>
      <w:r w:rsidRPr="0083637F">
        <w:t xml:space="preserve">olicies and procedures </w:t>
      </w:r>
      <w:r>
        <w:t xml:space="preserve">for </w:t>
      </w:r>
      <w:r w:rsidRPr="0083637F">
        <w:t>implement</w:t>
      </w:r>
      <w:r>
        <w:t>ing adult education services and requirements</w:t>
      </w:r>
    </w:p>
    <w:p w14:paraId="48FC17B3" w14:textId="30873434" w:rsidR="00102EC1" w:rsidRDefault="00102EC1" w:rsidP="00102EC1">
      <w:pPr>
        <w:pStyle w:val="Bullet1"/>
        <w:spacing w:before="80" w:after="80"/>
      </w:pPr>
      <w:r>
        <w:t>How states identify promising models</w:t>
      </w:r>
      <w:r w:rsidR="00DD2786">
        <w:t xml:space="preserve"> of adult education and literacy activities</w:t>
      </w:r>
    </w:p>
    <w:p w14:paraId="41BD1C41" w14:textId="0918085D" w:rsidR="001A14F3" w:rsidRPr="0083637F" w:rsidRDefault="001A14F3" w:rsidP="001A14F3">
      <w:pPr>
        <w:pStyle w:val="Bullet1"/>
        <w:spacing w:before="80" w:after="80"/>
      </w:pPr>
      <w:r>
        <w:t>H</w:t>
      </w:r>
      <w:r w:rsidRPr="0083637F">
        <w:t xml:space="preserve">ow states </w:t>
      </w:r>
      <w:r w:rsidR="00D076B7">
        <w:t>assess the</w:t>
      </w:r>
      <w:r>
        <w:t xml:space="preserve"> performance</w:t>
      </w:r>
      <w:r w:rsidR="00D076B7">
        <w:t xml:space="preserve"> of adult education providers</w:t>
      </w:r>
    </w:p>
    <w:p w14:paraId="0EF1B179" w14:textId="77777777" w:rsidR="001A14F3" w:rsidRDefault="001A14F3" w:rsidP="001A14F3">
      <w:pPr>
        <w:pStyle w:val="BodyText"/>
      </w:pPr>
      <w:r>
        <w:t>The Provider Survey includes items on the following topics:</w:t>
      </w:r>
    </w:p>
    <w:p w14:paraId="12F83BF1" w14:textId="77777777" w:rsidR="008528FB" w:rsidRDefault="008528FB" w:rsidP="001A14F3">
      <w:pPr>
        <w:pStyle w:val="Bullet1"/>
        <w:spacing w:before="80" w:after="80"/>
      </w:pPr>
      <w:r>
        <w:t>C</w:t>
      </w:r>
      <w:r w:rsidRPr="0088554D">
        <w:t>haracteristics of adult education providers</w:t>
      </w:r>
      <w:r>
        <w:t xml:space="preserve"> </w:t>
      </w:r>
    </w:p>
    <w:p w14:paraId="67340A80" w14:textId="717D0295" w:rsidR="008528FB" w:rsidRDefault="008528FB" w:rsidP="001A14F3">
      <w:pPr>
        <w:pStyle w:val="Bullet1"/>
        <w:spacing w:before="80" w:after="80"/>
      </w:pPr>
      <w:r>
        <w:t>Sources of funding</w:t>
      </w:r>
      <w:r w:rsidR="00CC47F8">
        <w:t xml:space="preserve"> and expenditures</w:t>
      </w:r>
    </w:p>
    <w:p w14:paraId="72A97C33" w14:textId="72DA53D9" w:rsidR="001A14F3" w:rsidRDefault="001A14F3" w:rsidP="008528FB">
      <w:pPr>
        <w:pStyle w:val="Bullet1"/>
        <w:spacing w:before="80" w:after="80"/>
      </w:pPr>
      <w:r>
        <w:t>I</w:t>
      </w:r>
      <w:r w:rsidRPr="0088554D">
        <w:t>nstructional services provide</w:t>
      </w:r>
      <w:r>
        <w:t>d</w:t>
      </w:r>
    </w:p>
    <w:p w14:paraId="25847673" w14:textId="77777777" w:rsidR="008528FB" w:rsidRDefault="008528FB" w:rsidP="008528FB">
      <w:pPr>
        <w:pStyle w:val="Bullet1"/>
        <w:spacing w:before="80" w:after="80"/>
      </w:pPr>
      <w:r>
        <w:t>P</w:t>
      </w:r>
      <w:r w:rsidRPr="0088554D">
        <w:t>artnerships and collaborat</w:t>
      </w:r>
      <w:r>
        <w:t xml:space="preserve">ions </w:t>
      </w:r>
      <w:r w:rsidRPr="0088554D">
        <w:t>with other organizations</w:t>
      </w:r>
    </w:p>
    <w:p w14:paraId="6B0EA3D7" w14:textId="15C3AD02" w:rsidR="001A14F3" w:rsidRDefault="001A14F3" w:rsidP="001A14F3">
      <w:pPr>
        <w:pStyle w:val="Bullet1"/>
        <w:spacing w:before="80" w:after="80"/>
      </w:pPr>
      <w:r>
        <w:t>Te</w:t>
      </w:r>
      <w:r w:rsidRPr="0088554D">
        <w:t>chnical assistance and professional</w:t>
      </w:r>
      <w:r>
        <w:t xml:space="preserve"> development </w:t>
      </w:r>
      <w:r w:rsidR="00270CF4">
        <w:t>received from the state</w:t>
      </w:r>
    </w:p>
    <w:p w14:paraId="2BB05DED" w14:textId="6AF359A9" w:rsidR="001A14F3" w:rsidRDefault="001A14F3" w:rsidP="001A14F3">
      <w:pPr>
        <w:pStyle w:val="Bullet1"/>
        <w:spacing w:before="80" w:after="80"/>
      </w:pPr>
      <w:r>
        <w:t>H</w:t>
      </w:r>
      <w:r w:rsidRPr="0088554D">
        <w:t xml:space="preserve">ow providers use data </w:t>
      </w:r>
      <w:r w:rsidR="00D035F4">
        <w:t>for accountability,</w:t>
      </w:r>
      <w:r w:rsidR="00D076B7">
        <w:t xml:space="preserve"> communications and decision making</w:t>
      </w:r>
    </w:p>
    <w:p w14:paraId="66F6762F" w14:textId="624D4E70" w:rsidR="00102EC1" w:rsidRDefault="003C641A" w:rsidP="001A14F3">
      <w:pPr>
        <w:pStyle w:val="Bullet1"/>
        <w:spacing w:before="80" w:after="80"/>
      </w:pPr>
      <w:r>
        <w:t>D</w:t>
      </w:r>
      <w:r w:rsidR="00102EC1">
        <w:t>emand</w:t>
      </w:r>
      <w:r>
        <w:t xml:space="preserve"> and waitlists</w:t>
      </w:r>
      <w:r w:rsidR="00102EC1">
        <w:t xml:space="preserve"> for services</w:t>
      </w:r>
    </w:p>
    <w:p w14:paraId="0C95D1AF" w14:textId="77777777" w:rsidR="00DA381D" w:rsidRDefault="00DA381D" w:rsidP="00DA381D">
      <w:pPr>
        <w:pStyle w:val="Bullet1"/>
        <w:numPr>
          <w:ilvl w:val="0"/>
          <w:numId w:val="0"/>
        </w:numPr>
        <w:spacing w:before="80" w:after="80"/>
      </w:pPr>
    </w:p>
    <w:p w14:paraId="405B4625" w14:textId="3F3E4020" w:rsidR="00DA381D" w:rsidRDefault="00015C51" w:rsidP="00DA381D">
      <w:pPr>
        <w:pStyle w:val="Bullet1"/>
        <w:numPr>
          <w:ilvl w:val="0"/>
          <w:numId w:val="0"/>
        </w:numPr>
        <w:spacing w:before="80" w:after="80"/>
      </w:pPr>
      <w:r>
        <w:t>The study will also collect administrative records data from states through the Prov</w:t>
      </w:r>
      <w:r w:rsidR="00426E01">
        <w:t>ider List and Updated Provider L</w:t>
      </w:r>
      <w:r>
        <w:t xml:space="preserve">ist data collections (Appendix C). </w:t>
      </w:r>
      <w:r w:rsidR="00FF6950">
        <w:t>The Provider List collection will provide the study team with the provider names and contact information needed to administer the Provider Survey. Through the Updated Provider list collection</w:t>
      </w:r>
      <w:r w:rsidR="00426E01">
        <w:t>,</w:t>
      </w:r>
      <w:r w:rsidR="00FF6950">
        <w:t xml:space="preserve"> the study will collect </w:t>
      </w:r>
      <w:r>
        <w:t xml:space="preserve">provider-level NRS data </w:t>
      </w:r>
      <w:r w:rsidR="00FF6950">
        <w:t>needed to address questions regarding program enrollment and funding.</w:t>
      </w:r>
      <w:r w:rsidR="00130687">
        <w:rPr>
          <w:rStyle w:val="FootnoteReference"/>
        </w:rPr>
        <w:footnoteReference w:id="3"/>
      </w:r>
      <w:r w:rsidR="00426E01">
        <w:t xml:space="preserve"> </w:t>
      </w:r>
      <w:r w:rsidR="00426E01">
        <w:rPr>
          <w:rFonts w:ascii="Times New Roman" w:hAnsi="Times New Roman"/>
        </w:rPr>
        <w:t>These are data that states will not yet have</w:t>
      </w:r>
      <w:r w:rsidR="00B53213">
        <w:rPr>
          <w:rFonts w:ascii="Times New Roman" w:hAnsi="Times New Roman"/>
        </w:rPr>
        <w:t xml:space="preserve"> for the program year of interest</w:t>
      </w:r>
      <w:r w:rsidR="00426E01">
        <w:rPr>
          <w:rFonts w:ascii="Times New Roman" w:hAnsi="Times New Roman"/>
        </w:rPr>
        <w:t xml:space="preserve"> at the time that the Provider Lists are initially collected. </w:t>
      </w:r>
      <w:r w:rsidR="00FF6950">
        <w:t xml:space="preserve"> </w:t>
      </w:r>
    </w:p>
    <w:p w14:paraId="28101974" w14:textId="0CE1BD0F" w:rsidR="001A14F3" w:rsidRPr="00B96311" w:rsidRDefault="001A14F3" w:rsidP="001A14F3">
      <w:pPr>
        <w:pStyle w:val="BodyText"/>
      </w:pPr>
      <w:r w:rsidRPr="00B96311">
        <w:t>To inform Congress</w:t>
      </w:r>
      <w:r w:rsidR="00270CF4">
        <w:t>,</w:t>
      </w:r>
      <w:r w:rsidRPr="00B96311">
        <w:t xml:space="preserve"> </w:t>
      </w:r>
      <w:r w:rsidR="00835F03" w:rsidRPr="00B96311">
        <w:t xml:space="preserve">ED </w:t>
      </w:r>
      <w:r w:rsidR="00270CF4">
        <w:t xml:space="preserve">and the field </w:t>
      </w:r>
      <w:r w:rsidRPr="00B96311">
        <w:t xml:space="preserve">on how adult education is being implemented under </w:t>
      </w:r>
      <w:r w:rsidR="005311B1">
        <w:t>WIOA</w:t>
      </w:r>
      <w:r w:rsidRPr="00B96311">
        <w:t>, the study will produce two reports—</w:t>
      </w:r>
      <w:r w:rsidR="00835F03" w:rsidRPr="00B96311">
        <w:t>one</w:t>
      </w:r>
      <w:r w:rsidRPr="00B96311">
        <w:t xml:space="preserve"> focused on findings from the State Director Survey and the other on findings from the Provider Survey</w:t>
      </w:r>
      <w:r w:rsidR="00270CF4">
        <w:rPr>
          <w:rFonts w:cstheme="minorHAnsi"/>
        </w:rPr>
        <w:t xml:space="preserve">, </w:t>
      </w:r>
      <w:r w:rsidR="008F6DA6" w:rsidRPr="00B96311">
        <w:t>presented</w:t>
      </w:r>
      <w:r w:rsidRPr="00B96311">
        <w:t xml:space="preserve"> within the context of state policies and practices. </w:t>
      </w:r>
      <w:r w:rsidR="008F6DA6" w:rsidRPr="00B96311">
        <w:t>Further d</w:t>
      </w:r>
      <w:r w:rsidRPr="00B96311">
        <w:t xml:space="preserve">etail about the reports </w:t>
      </w:r>
      <w:r w:rsidR="008F6DA6" w:rsidRPr="00B96311">
        <w:t xml:space="preserve">is </w:t>
      </w:r>
      <w:r w:rsidRPr="00B96311">
        <w:t xml:space="preserve">in </w:t>
      </w:r>
      <w:r w:rsidR="001D507E" w:rsidRPr="00B96311">
        <w:t xml:space="preserve">Section </w:t>
      </w:r>
      <w:r w:rsidRPr="00B96311">
        <w:t>A.16.</w:t>
      </w:r>
    </w:p>
    <w:p w14:paraId="0CAD2E24" w14:textId="77777777" w:rsidR="001A14F3" w:rsidRPr="0047486B" w:rsidRDefault="001A14F3" w:rsidP="0049087B">
      <w:pPr>
        <w:pStyle w:val="Heading3"/>
      </w:pPr>
      <w:bookmarkStart w:id="9" w:name="_Toc8218542"/>
      <w:r w:rsidRPr="0047486B">
        <w:t xml:space="preserve">A.3. Use of Improved Information </w:t>
      </w:r>
      <w:r w:rsidRPr="00D4550A">
        <w:t>Technology</w:t>
      </w:r>
      <w:bookmarkEnd w:id="9"/>
    </w:p>
    <w:p w14:paraId="6ACFDAFD" w14:textId="5CD18F09" w:rsidR="001A14F3" w:rsidRPr="00F238DE" w:rsidRDefault="001A14F3" w:rsidP="003C749D">
      <w:pPr>
        <w:pStyle w:val="BodyTextPostHead"/>
      </w:pPr>
      <w:r w:rsidRPr="00F238DE">
        <w:t xml:space="preserve">The recruitment and data collection plans for this project reflect sensitivity to issues of efficiency and respondent burden. The study team will use a variety of information technologies to maximize the efficiency and completeness of the information gathered for this study and minimize the burden on respondents at the state and local levels: </w:t>
      </w:r>
    </w:p>
    <w:p w14:paraId="431119CA" w14:textId="2CC4BC40" w:rsidR="001A14F3" w:rsidRDefault="001D507E" w:rsidP="003C749D">
      <w:pPr>
        <w:pStyle w:val="Bullet1"/>
      </w:pPr>
      <w:r>
        <w:t xml:space="preserve">The </w:t>
      </w:r>
      <w:r w:rsidR="001A14F3">
        <w:t xml:space="preserve">State Director </w:t>
      </w:r>
      <w:r>
        <w:t xml:space="preserve">Survey </w:t>
      </w:r>
      <w:r w:rsidR="001A14F3">
        <w:t>will be administered through a Web-based platform to streamline the response process</w:t>
      </w:r>
      <w:r w:rsidR="00EF2182">
        <w:t xml:space="preserve">; for example, </w:t>
      </w:r>
      <w:r w:rsidR="00354EAE">
        <w:t>to</w:t>
      </w:r>
      <w:r w:rsidR="00EF2182">
        <w:t xml:space="preserve"> move the participant </w:t>
      </w:r>
      <w:r w:rsidR="00354EAE">
        <w:t xml:space="preserve">automatically </w:t>
      </w:r>
      <w:r w:rsidR="00EF2182">
        <w:t>past sections that do not apply based on prior responses</w:t>
      </w:r>
      <w:r w:rsidR="00354EAE">
        <w:t xml:space="preserve"> and to collect data digitally with e-mailed reminders</w:t>
      </w:r>
      <w:r w:rsidR="001A14F3">
        <w:t>.</w:t>
      </w:r>
    </w:p>
    <w:p w14:paraId="50213608" w14:textId="5104944D" w:rsidR="001A14F3" w:rsidRDefault="001D507E" w:rsidP="003C749D">
      <w:pPr>
        <w:pStyle w:val="Bullet1"/>
      </w:pPr>
      <w:r>
        <w:t>The Provider</w:t>
      </w:r>
      <w:r w:rsidRPr="00496ED5">
        <w:t xml:space="preserve"> </w:t>
      </w:r>
      <w:r>
        <w:t>S</w:t>
      </w:r>
      <w:r w:rsidRPr="00496ED5">
        <w:t xml:space="preserve">urvey </w:t>
      </w:r>
      <w:r w:rsidR="001A14F3">
        <w:t>will be</w:t>
      </w:r>
      <w:r w:rsidR="001A14F3" w:rsidRPr="00496ED5">
        <w:t xml:space="preserve"> administered </w:t>
      </w:r>
      <w:r w:rsidR="001A14F3">
        <w:t xml:space="preserve">primarily </w:t>
      </w:r>
      <w:r w:rsidR="001A14F3" w:rsidRPr="00496ED5">
        <w:t>through a Web</w:t>
      </w:r>
      <w:r w:rsidR="001A14F3" w:rsidRPr="00496ED5">
        <w:noBreakHyphen/>
        <w:t>based platform</w:t>
      </w:r>
      <w:r w:rsidR="001A14F3">
        <w:t xml:space="preserve"> to streamline the response process, </w:t>
      </w:r>
      <w:r w:rsidR="00366C6D">
        <w:t>with follow-up for nonrespondents</w:t>
      </w:r>
      <w:r w:rsidR="001A14F3">
        <w:t xml:space="preserve"> </w:t>
      </w:r>
      <w:r w:rsidR="00366C6D">
        <w:t xml:space="preserve">using </w:t>
      </w:r>
      <w:r w:rsidR="001A14F3">
        <w:t xml:space="preserve">a </w:t>
      </w:r>
      <w:r w:rsidR="00366C6D">
        <w:t>mailed questionnaire</w:t>
      </w:r>
      <w:r w:rsidR="001A14F3">
        <w:t xml:space="preserve"> and</w:t>
      </w:r>
      <w:r>
        <w:t>,</w:t>
      </w:r>
      <w:r w:rsidR="001A14F3">
        <w:t xml:space="preserve"> finally</w:t>
      </w:r>
      <w:r>
        <w:t>,</w:t>
      </w:r>
      <w:r w:rsidR="001A14F3">
        <w:t xml:space="preserve"> computer-assisted telephone interviews.</w:t>
      </w:r>
    </w:p>
    <w:p w14:paraId="2522B9E3" w14:textId="77777777" w:rsidR="001A14F3" w:rsidRDefault="001A14F3" w:rsidP="0049087B">
      <w:pPr>
        <w:pStyle w:val="Heading3"/>
      </w:pPr>
      <w:bookmarkStart w:id="10" w:name="_Toc8218543"/>
      <w:r w:rsidRPr="0047486B">
        <w:t>A.4. Efforts to Identify Duplication</w:t>
      </w:r>
      <w:bookmarkEnd w:id="10"/>
    </w:p>
    <w:p w14:paraId="4041EFF0" w14:textId="22C2019C" w:rsidR="001A14F3" w:rsidRPr="003C749D" w:rsidRDefault="001A14F3" w:rsidP="003C749D">
      <w:pPr>
        <w:pStyle w:val="BodyTextPostHead"/>
        <w:rPr>
          <w:spacing w:val="-2"/>
        </w:rPr>
      </w:pPr>
      <w:r w:rsidRPr="003C749D">
        <w:rPr>
          <w:spacing w:val="-2"/>
        </w:rPr>
        <w:t xml:space="preserve">There are no other federal surveys of the implementation of adult education under </w:t>
      </w:r>
      <w:r w:rsidR="005311B1">
        <w:rPr>
          <w:spacing w:val="-2"/>
        </w:rPr>
        <w:t>WIOA</w:t>
      </w:r>
      <w:r w:rsidRPr="003C749D">
        <w:rPr>
          <w:spacing w:val="-2"/>
        </w:rPr>
        <w:t xml:space="preserve">. We will, however, use administrative data from </w:t>
      </w:r>
      <w:r w:rsidR="001D507E">
        <w:rPr>
          <w:spacing w:val="-2"/>
        </w:rPr>
        <w:t xml:space="preserve">the </w:t>
      </w:r>
      <w:r w:rsidRPr="003C749D">
        <w:rPr>
          <w:spacing w:val="-2"/>
        </w:rPr>
        <w:t xml:space="preserve">NRS to limit respondent burden and </w:t>
      </w:r>
      <w:r w:rsidR="00B96311">
        <w:rPr>
          <w:spacing w:val="-2"/>
        </w:rPr>
        <w:t xml:space="preserve">the </w:t>
      </w:r>
      <w:r w:rsidRPr="003C749D">
        <w:rPr>
          <w:spacing w:val="-2"/>
        </w:rPr>
        <w:t xml:space="preserve">duplication of data collection efforts. For instance, </w:t>
      </w:r>
      <w:r w:rsidR="00E42DE9" w:rsidRPr="0094185C">
        <w:rPr>
          <w:spacing w:val="-2"/>
        </w:rPr>
        <w:t xml:space="preserve">we will ask the state directors </w:t>
      </w:r>
      <w:r w:rsidR="00E42DE9">
        <w:rPr>
          <w:spacing w:val="-2"/>
        </w:rPr>
        <w:t xml:space="preserve">during the Provider List and Updated Provider List collections </w:t>
      </w:r>
      <w:r w:rsidR="00E42DE9" w:rsidRPr="0094185C">
        <w:rPr>
          <w:spacing w:val="-2"/>
        </w:rPr>
        <w:t>to share their existing provider-level NRS data</w:t>
      </w:r>
      <w:r w:rsidR="00E42DE9" w:rsidRPr="003C749D">
        <w:rPr>
          <w:spacing w:val="-2"/>
        </w:rPr>
        <w:t xml:space="preserve"> </w:t>
      </w:r>
      <w:r w:rsidR="00E42DE9">
        <w:t>on provider characteristics, aggregate participant characteristics, and program enrollment</w:t>
      </w:r>
      <w:r w:rsidRPr="003C749D">
        <w:rPr>
          <w:spacing w:val="-2"/>
        </w:rPr>
        <w:t xml:space="preserve"> rather than ask </w:t>
      </w:r>
      <w:r w:rsidR="00BE20C1">
        <w:rPr>
          <w:spacing w:val="-2"/>
        </w:rPr>
        <w:t xml:space="preserve">2,000 </w:t>
      </w:r>
      <w:r w:rsidRPr="003C749D">
        <w:rPr>
          <w:spacing w:val="-2"/>
        </w:rPr>
        <w:t xml:space="preserve">individual providers to supply this information on the </w:t>
      </w:r>
      <w:r w:rsidR="001D507E">
        <w:rPr>
          <w:spacing w:val="-2"/>
        </w:rPr>
        <w:t>P</w:t>
      </w:r>
      <w:r w:rsidR="001D507E" w:rsidRPr="003C749D">
        <w:rPr>
          <w:spacing w:val="-2"/>
        </w:rPr>
        <w:t xml:space="preserve">rovider </w:t>
      </w:r>
      <w:r w:rsidR="001D507E">
        <w:rPr>
          <w:spacing w:val="-2"/>
        </w:rPr>
        <w:t>S</w:t>
      </w:r>
      <w:r w:rsidR="001D507E" w:rsidRPr="003C749D">
        <w:rPr>
          <w:spacing w:val="-2"/>
        </w:rPr>
        <w:t>urvey</w:t>
      </w:r>
      <w:r w:rsidRPr="003C749D">
        <w:rPr>
          <w:spacing w:val="-2"/>
        </w:rPr>
        <w:t>.</w:t>
      </w:r>
      <w:r w:rsidR="00BE20C1">
        <w:rPr>
          <w:spacing w:val="-2"/>
        </w:rPr>
        <w:t xml:space="preserve"> However, we will ask state directors during the first Provider List collection to notify the collection team if they will be unable to share providers’ NRS data</w:t>
      </w:r>
      <w:r w:rsidR="00822408">
        <w:rPr>
          <w:spacing w:val="-2"/>
        </w:rPr>
        <w:t>. Should any states be unable or unwilling to share providers’ NRS data, we will collect those data as part of the Provider Survey in those states.</w:t>
      </w:r>
    </w:p>
    <w:p w14:paraId="3C9EA60D" w14:textId="05015F18" w:rsidR="001A14F3" w:rsidRPr="00134CF9" w:rsidRDefault="001A14F3" w:rsidP="0049087B">
      <w:pPr>
        <w:pStyle w:val="Heading3"/>
      </w:pPr>
      <w:bookmarkStart w:id="11" w:name="_Toc8218544"/>
      <w:r w:rsidRPr="00134CF9">
        <w:t>A.5. Collecti</w:t>
      </w:r>
      <w:r>
        <w:t xml:space="preserve">on of Data </w:t>
      </w:r>
      <w:r w:rsidR="001D507E">
        <w:t xml:space="preserve">From </w:t>
      </w:r>
      <w:r>
        <w:t>Small Entities</w:t>
      </w:r>
      <w:bookmarkEnd w:id="11"/>
    </w:p>
    <w:p w14:paraId="2D550EB9" w14:textId="1C76D84B" w:rsidR="001A14F3" w:rsidRDefault="001A14F3" w:rsidP="003C749D">
      <w:pPr>
        <w:pStyle w:val="BodyTextPostHead"/>
      </w:pPr>
      <w:r>
        <w:t>Some local providers could be considered small entities, such as school districts or community-based organizations. We have designed the study to keep the burden on these entities as low as possible while still answering the study’s implementation research questions. We will use two strategies to limit burden</w:t>
      </w:r>
      <w:r w:rsidR="001D507E">
        <w:t>:</w:t>
      </w:r>
      <w:r>
        <w:t xml:space="preserve"> </w:t>
      </w:r>
      <w:r w:rsidR="001D507E">
        <w:t>(a) We will</w:t>
      </w:r>
      <w:r>
        <w:t xml:space="preserve"> keep the survey as brief as possible</w:t>
      </w:r>
      <w:r w:rsidR="001D507E">
        <w:t>, and (b) we will</w:t>
      </w:r>
      <w:r>
        <w:t xml:space="preserve"> ask the state directors for specific information </w:t>
      </w:r>
      <w:r w:rsidR="001D507E">
        <w:t xml:space="preserve">that </w:t>
      </w:r>
      <w:r>
        <w:t>they can provide on behalf of the providers.</w:t>
      </w:r>
    </w:p>
    <w:p w14:paraId="3322AC6B" w14:textId="77777777" w:rsidR="001A14F3" w:rsidRDefault="001A14F3" w:rsidP="0049087B">
      <w:pPr>
        <w:pStyle w:val="Heading3"/>
      </w:pPr>
      <w:bookmarkStart w:id="12" w:name="_Toc8218545"/>
      <w:r w:rsidRPr="004B0E2E">
        <w:t xml:space="preserve">A.6. </w:t>
      </w:r>
      <w:r w:rsidRPr="0072371E">
        <w:t>Consequences of Not Collecting the Data or Collecting Less Often</w:t>
      </w:r>
      <w:bookmarkEnd w:id="12"/>
    </w:p>
    <w:p w14:paraId="543D5D36" w14:textId="43290E4C" w:rsidR="001A14F3" w:rsidRPr="002665DB" w:rsidRDefault="001A14F3" w:rsidP="003C749D">
      <w:pPr>
        <w:pStyle w:val="BodyTextPostHead"/>
      </w:pPr>
      <w:r>
        <w:t xml:space="preserve">This study </w:t>
      </w:r>
      <w:r w:rsidRPr="00134CF9">
        <w:t xml:space="preserve">is designed to provide information on </w:t>
      </w:r>
      <w:r>
        <w:t xml:space="preserve">the </w:t>
      </w:r>
      <w:r w:rsidRPr="00134CF9">
        <w:t>implementation of adult e</w:t>
      </w:r>
      <w:r>
        <w:t xml:space="preserve">ducation programs under </w:t>
      </w:r>
      <w:r w:rsidR="005311B1">
        <w:t>WIOA</w:t>
      </w:r>
      <w:r>
        <w:t>. It is</w:t>
      </w:r>
      <w:r w:rsidRPr="00134CF9">
        <w:t xml:space="preserve"> an important component of the national evaluation</w:t>
      </w:r>
      <w:r>
        <w:t xml:space="preserve"> mandated under that legislation</w:t>
      </w:r>
      <w:r w:rsidRPr="00134CF9">
        <w:t>.</w:t>
      </w:r>
      <w:r>
        <w:t xml:space="preserve"> </w:t>
      </w:r>
      <w:r w:rsidRPr="00751FFA">
        <w:t xml:space="preserve">Failure to collect the data proposed through this study would prevent </w:t>
      </w:r>
      <w:r>
        <w:t xml:space="preserve">Congress and </w:t>
      </w:r>
      <w:r w:rsidRPr="00751FFA">
        <w:t xml:space="preserve">ED from </w:t>
      </w:r>
      <w:r>
        <w:t>assessing</w:t>
      </w:r>
      <w:r w:rsidRPr="00A17842">
        <w:t xml:space="preserve"> </w:t>
      </w:r>
      <w:r>
        <w:t xml:space="preserve">the progress that administrators of state and local adult education programs are making in implementing adult education under </w:t>
      </w:r>
      <w:r w:rsidR="005311B1">
        <w:t>WIOA</w:t>
      </w:r>
      <w:r w:rsidR="0053232A">
        <w:t xml:space="preserve"> and</w:t>
      </w:r>
      <w:r>
        <w:t xml:space="preserve"> the challenges they face. A similar survey of state directors has never been conducted, and a survey of local providers has not been conducted in more than 15 years. Without this information, ED will not be able to describe the intersection of federal, state, and local </w:t>
      </w:r>
      <w:r w:rsidR="00E44CC7">
        <w:t xml:space="preserve">policies </w:t>
      </w:r>
      <w:r>
        <w:t xml:space="preserve">and programs for adult learners. </w:t>
      </w:r>
      <w:r w:rsidR="00B96311">
        <w:t xml:space="preserve">ED </w:t>
      </w:r>
      <w:r w:rsidR="00E44CC7">
        <w:t xml:space="preserve">also </w:t>
      </w:r>
      <w:r>
        <w:t xml:space="preserve">will be missing a valuable source of information on the </w:t>
      </w:r>
      <w:r w:rsidR="00B64403">
        <w:t xml:space="preserve">challenges faced and </w:t>
      </w:r>
      <w:r>
        <w:t>types of technical assistance needed by state and local programs.</w:t>
      </w:r>
    </w:p>
    <w:p w14:paraId="512DC060" w14:textId="77777777" w:rsidR="001A14F3" w:rsidRDefault="001A14F3" w:rsidP="0049087B">
      <w:pPr>
        <w:pStyle w:val="Heading3"/>
      </w:pPr>
      <w:bookmarkStart w:id="13" w:name="_Toc8218546"/>
      <w:r w:rsidRPr="004B0E2E">
        <w:t>A.7. Special Circumstances of Data Collection</w:t>
      </w:r>
      <w:bookmarkEnd w:id="13"/>
    </w:p>
    <w:p w14:paraId="633A01F5" w14:textId="77777777" w:rsidR="001A14F3" w:rsidRPr="00146013" w:rsidRDefault="001A14F3" w:rsidP="003C749D">
      <w:pPr>
        <w:pStyle w:val="BodyTextPostHead"/>
      </w:pPr>
      <w:r w:rsidRPr="00146013">
        <w:t>None of the special circumstances listed apply to this data collection.</w:t>
      </w:r>
    </w:p>
    <w:p w14:paraId="436A011A" w14:textId="77777777" w:rsidR="001A14F3" w:rsidRPr="00146013" w:rsidRDefault="001A14F3" w:rsidP="0049087B">
      <w:pPr>
        <w:pStyle w:val="Heading3"/>
      </w:pPr>
      <w:bookmarkStart w:id="14" w:name="_Toc8218547"/>
      <w:r w:rsidRPr="00146013">
        <w:t>A.8. Consultations Outside the Agency</w:t>
      </w:r>
      <w:bookmarkEnd w:id="14"/>
    </w:p>
    <w:p w14:paraId="54B907E7" w14:textId="59085D53" w:rsidR="001A14F3" w:rsidRPr="00146013" w:rsidRDefault="001A14F3" w:rsidP="003C749D">
      <w:pPr>
        <w:pStyle w:val="BodyTextPostHead"/>
      </w:pPr>
      <w:r w:rsidRPr="00146013">
        <w:t>A technical working group (TWG) of researchers</w:t>
      </w:r>
      <w:r>
        <w:t>, state directors of adult education</w:t>
      </w:r>
      <w:r w:rsidR="00637C6E">
        <w:t>,</w:t>
      </w:r>
      <w:r w:rsidRPr="00146013">
        <w:t xml:space="preserve"> and </w:t>
      </w:r>
      <w:r>
        <w:t>local program administrators</w:t>
      </w:r>
      <w:r w:rsidRPr="00146013">
        <w:t xml:space="preserve"> was convened in </w:t>
      </w:r>
      <w:r>
        <w:t>October 2018</w:t>
      </w:r>
      <w:r w:rsidRPr="00146013">
        <w:t xml:space="preserve"> to provide input on the data collection instruments </w:t>
      </w:r>
      <w:r w:rsidR="0094185C">
        <w:t xml:space="preserve">under </w:t>
      </w:r>
      <w:r w:rsidR="0094185C" w:rsidRPr="00146013">
        <w:t>develop</w:t>
      </w:r>
      <w:r w:rsidR="0094185C">
        <w:t>ment</w:t>
      </w:r>
      <w:r w:rsidR="0094185C" w:rsidRPr="00146013">
        <w:t xml:space="preserve"> </w:t>
      </w:r>
      <w:r w:rsidRPr="00146013">
        <w:t xml:space="preserve">for this study. Exhibit </w:t>
      </w:r>
      <w:r>
        <w:t>A.2</w:t>
      </w:r>
      <w:r w:rsidRPr="00146013">
        <w:t xml:space="preserve"> lists the TWG members </w:t>
      </w:r>
      <w:r>
        <w:t>who have provided guidance and input on the data collection instruments</w:t>
      </w:r>
      <w:r w:rsidRPr="00146013">
        <w:t>.</w:t>
      </w:r>
    </w:p>
    <w:p w14:paraId="5971115E" w14:textId="03A387C3" w:rsidR="001A14F3" w:rsidRPr="00146013" w:rsidRDefault="001A14F3" w:rsidP="003C749D">
      <w:pPr>
        <w:pStyle w:val="ExhibitTitle"/>
        <w:rPr>
          <w:rFonts w:eastAsia="Calibri"/>
        </w:rPr>
      </w:pPr>
      <w:r w:rsidRPr="00146013">
        <w:rPr>
          <w:rFonts w:eastAsia="Calibri"/>
        </w:rPr>
        <w:t xml:space="preserve">Exhibit </w:t>
      </w:r>
      <w:r>
        <w:rPr>
          <w:rFonts w:eastAsia="Calibri"/>
        </w:rPr>
        <w:t>A.2</w:t>
      </w:r>
      <w:r w:rsidRPr="00146013">
        <w:rPr>
          <w:rFonts w:eastAsia="Calibri"/>
        </w:rPr>
        <w:t>. TWG Members</w:t>
      </w:r>
      <w:r>
        <w:rPr>
          <w:rFonts w:eastAsia="Calibri"/>
        </w:rPr>
        <w:t xml:space="preserve"> </w:t>
      </w:r>
    </w:p>
    <w:tbl>
      <w:tblPr>
        <w:tblStyle w:val="TableStyle-Simple"/>
        <w:tblW w:w="5000" w:type="pct"/>
        <w:tblLook w:val="0620" w:firstRow="1" w:lastRow="0" w:firstColumn="0" w:lastColumn="0" w:noHBand="1" w:noVBand="1"/>
      </w:tblPr>
      <w:tblGrid>
        <w:gridCol w:w="1917"/>
        <w:gridCol w:w="3979"/>
        <w:gridCol w:w="3580"/>
      </w:tblGrid>
      <w:tr w:rsidR="001A14F3" w:rsidRPr="00146013" w14:paraId="1377AA0A" w14:textId="77777777" w:rsidTr="0049087B">
        <w:trPr>
          <w:cnfStyle w:val="100000000000" w:firstRow="1" w:lastRow="0" w:firstColumn="0" w:lastColumn="0" w:oddVBand="0" w:evenVBand="0" w:oddHBand="0" w:evenHBand="0" w:firstRowFirstColumn="0" w:firstRowLastColumn="0" w:lastRowFirstColumn="0" w:lastRowLastColumn="0"/>
        </w:trPr>
        <w:tc>
          <w:tcPr>
            <w:tcW w:w="1890" w:type="dxa"/>
          </w:tcPr>
          <w:p w14:paraId="61B424EE" w14:textId="77777777" w:rsidR="001A14F3" w:rsidRPr="003C749D" w:rsidRDefault="001A14F3" w:rsidP="003C749D">
            <w:pPr>
              <w:pStyle w:val="TableColumnHeadCentered"/>
            </w:pPr>
            <w:r w:rsidRPr="003C749D">
              <w:t>Name</w:t>
            </w:r>
          </w:p>
        </w:tc>
        <w:tc>
          <w:tcPr>
            <w:tcW w:w="3924" w:type="dxa"/>
          </w:tcPr>
          <w:p w14:paraId="56F999DF" w14:textId="77777777" w:rsidR="001A14F3" w:rsidRPr="003C749D" w:rsidRDefault="001A14F3" w:rsidP="003C749D">
            <w:pPr>
              <w:pStyle w:val="TableColumnHeadCentered"/>
            </w:pPr>
            <w:r w:rsidRPr="003C749D">
              <w:t>Title</w:t>
            </w:r>
          </w:p>
        </w:tc>
        <w:tc>
          <w:tcPr>
            <w:tcW w:w="3530" w:type="dxa"/>
          </w:tcPr>
          <w:p w14:paraId="4090F0EE" w14:textId="77777777" w:rsidR="001A14F3" w:rsidRPr="003C749D" w:rsidRDefault="001A14F3" w:rsidP="003C749D">
            <w:pPr>
              <w:pStyle w:val="TableColumnHeadCentered"/>
            </w:pPr>
            <w:r w:rsidRPr="003C749D">
              <w:t>Affiliation</w:t>
            </w:r>
          </w:p>
        </w:tc>
      </w:tr>
      <w:tr w:rsidR="001A14F3" w:rsidRPr="00146013" w14:paraId="190654CD" w14:textId="77777777" w:rsidTr="0049087B">
        <w:trPr>
          <w:trHeight w:val="568"/>
        </w:trPr>
        <w:tc>
          <w:tcPr>
            <w:tcW w:w="1890" w:type="dxa"/>
          </w:tcPr>
          <w:p w14:paraId="2632B51D" w14:textId="77777777" w:rsidR="001A14F3" w:rsidRPr="003C749D" w:rsidRDefault="001A14F3" w:rsidP="003C749D">
            <w:pPr>
              <w:pStyle w:val="TableText"/>
            </w:pPr>
            <w:r w:rsidRPr="003C749D">
              <w:t>Carol Clymer</w:t>
            </w:r>
          </w:p>
        </w:tc>
        <w:tc>
          <w:tcPr>
            <w:tcW w:w="3924" w:type="dxa"/>
          </w:tcPr>
          <w:p w14:paraId="025AD6E8" w14:textId="77777777" w:rsidR="001A14F3" w:rsidRPr="003C749D" w:rsidRDefault="001A14F3" w:rsidP="003C749D">
            <w:pPr>
              <w:pStyle w:val="TableText"/>
            </w:pPr>
            <w:r w:rsidRPr="003C749D">
              <w:t>Associate Professor of Education, Adult Education Program</w:t>
            </w:r>
          </w:p>
        </w:tc>
        <w:tc>
          <w:tcPr>
            <w:tcW w:w="3530" w:type="dxa"/>
          </w:tcPr>
          <w:p w14:paraId="71F32CB0" w14:textId="77777777" w:rsidR="001A14F3" w:rsidRPr="003C749D" w:rsidRDefault="001A14F3" w:rsidP="003C749D">
            <w:pPr>
              <w:pStyle w:val="TableText"/>
            </w:pPr>
            <w:r w:rsidRPr="003C749D">
              <w:t>Pennsylvania State University</w:t>
            </w:r>
          </w:p>
        </w:tc>
      </w:tr>
      <w:tr w:rsidR="001A14F3" w:rsidRPr="00146013" w14:paraId="7F09C03F" w14:textId="77777777" w:rsidTr="0049087B">
        <w:trPr>
          <w:trHeight w:val="568"/>
        </w:trPr>
        <w:tc>
          <w:tcPr>
            <w:tcW w:w="1890" w:type="dxa"/>
          </w:tcPr>
          <w:p w14:paraId="22F0066E" w14:textId="77777777" w:rsidR="001A14F3" w:rsidRPr="003C749D" w:rsidRDefault="001A14F3" w:rsidP="003C749D">
            <w:pPr>
              <w:pStyle w:val="TableText"/>
            </w:pPr>
            <w:r w:rsidRPr="003C749D">
              <w:t>Daphne Greenberg</w:t>
            </w:r>
          </w:p>
        </w:tc>
        <w:tc>
          <w:tcPr>
            <w:tcW w:w="3924" w:type="dxa"/>
          </w:tcPr>
          <w:p w14:paraId="6D336826" w14:textId="77777777" w:rsidR="001A14F3" w:rsidRPr="003C749D" w:rsidRDefault="001A14F3" w:rsidP="003C749D">
            <w:pPr>
              <w:pStyle w:val="TableText"/>
            </w:pPr>
            <w:r w:rsidRPr="003C749D">
              <w:t>Distinguished University Professor of Educational Psychology, Special Education, and Communication Disorders</w:t>
            </w:r>
          </w:p>
        </w:tc>
        <w:tc>
          <w:tcPr>
            <w:tcW w:w="3530" w:type="dxa"/>
          </w:tcPr>
          <w:p w14:paraId="682F70DD" w14:textId="77777777" w:rsidR="001A14F3" w:rsidRPr="003C749D" w:rsidRDefault="001A14F3" w:rsidP="003C749D">
            <w:pPr>
              <w:pStyle w:val="TableText"/>
            </w:pPr>
            <w:r w:rsidRPr="003C749D">
              <w:t>Georgia State University</w:t>
            </w:r>
          </w:p>
        </w:tc>
      </w:tr>
      <w:tr w:rsidR="001A14F3" w:rsidRPr="00146013" w14:paraId="242A55CB" w14:textId="77777777" w:rsidTr="0049087B">
        <w:trPr>
          <w:trHeight w:val="568"/>
        </w:trPr>
        <w:tc>
          <w:tcPr>
            <w:tcW w:w="1890" w:type="dxa"/>
          </w:tcPr>
          <w:p w14:paraId="34213BA8" w14:textId="77777777" w:rsidR="001A14F3" w:rsidRPr="003C749D" w:rsidRDefault="001A14F3" w:rsidP="003C749D">
            <w:pPr>
              <w:pStyle w:val="TableText"/>
            </w:pPr>
            <w:r w:rsidRPr="003C749D">
              <w:t>Amanda Harrison</w:t>
            </w:r>
          </w:p>
        </w:tc>
        <w:tc>
          <w:tcPr>
            <w:tcW w:w="3924" w:type="dxa"/>
          </w:tcPr>
          <w:p w14:paraId="79FA5ECA" w14:textId="75C5EE16" w:rsidR="001A14F3" w:rsidRPr="003C749D" w:rsidRDefault="001A14F3" w:rsidP="003C749D">
            <w:pPr>
              <w:pStyle w:val="TableText"/>
            </w:pPr>
            <w:r w:rsidRPr="003C749D">
              <w:t>Chief</w:t>
            </w:r>
            <w:r w:rsidR="005D2B75">
              <w:t xml:space="preserve">, </w:t>
            </w:r>
            <w:r w:rsidR="005D2B75" w:rsidRPr="003C749D">
              <w:t>Division of Adult Education</w:t>
            </w:r>
          </w:p>
        </w:tc>
        <w:tc>
          <w:tcPr>
            <w:tcW w:w="3530" w:type="dxa"/>
          </w:tcPr>
          <w:p w14:paraId="15136585" w14:textId="19164B95" w:rsidR="001A14F3" w:rsidRPr="003C749D" w:rsidRDefault="001A14F3" w:rsidP="003C749D">
            <w:pPr>
              <w:pStyle w:val="TableText"/>
            </w:pPr>
            <w:r w:rsidRPr="003C749D">
              <w:t>Pennsylvania Department of Education, Bureau of Postsecondary and Adult Education</w:t>
            </w:r>
          </w:p>
        </w:tc>
      </w:tr>
      <w:tr w:rsidR="001A14F3" w:rsidRPr="00146013" w14:paraId="7E333A2F" w14:textId="77777777" w:rsidTr="0049087B">
        <w:trPr>
          <w:trHeight w:val="568"/>
        </w:trPr>
        <w:tc>
          <w:tcPr>
            <w:tcW w:w="1890" w:type="dxa"/>
          </w:tcPr>
          <w:p w14:paraId="072A0240" w14:textId="77777777" w:rsidR="001A14F3" w:rsidRPr="003C749D" w:rsidRDefault="001A14F3" w:rsidP="003C749D">
            <w:pPr>
              <w:pStyle w:val="TableText"/>
            </w:pPr>
            <w:r w:rsidRPr="003C749D">
              <w:t>Sheryl Hart</w:t>
            </w:r>
          </w:p>
        </w:tc>
        <w:tc>
          <w:tcPr>
            <w:tcW w:w="3924" w:type="dxa"/>
          </w:tcPr>
          <w:p w14:paraId="71A4F8E2" w14:textId="77777777" w:rsidR="001A14F3" w:rsidRPr="003C749D" w:rsidRDefault="001A14F3" w:rsidP="003C749D">
            <w:pPr>
              <w:pStyle w:val="TableText"/>
            </w:pPr>
            <w:r w:rsidRPr="003C749D">
              <w:t>State Director of Adult Education</w:t>
            </w:r>
          </w:p>
        </w:tc>
        <w:tc>
          <w:tcPr>
            <w:tcW w:w="3530" w:type="dxa"/>
          </w:tcPr>
          <w:p w14:paraId="60ECF9AD" w14:textId="77777777" w:rsidR="001A14F3" w:rsidRPr="003C749D" w:rsidRDefault="001A14F3" w:rsidP="003C749D">
            <w:pPr>
              <w:pStyle w:val="TableText"/>
            </w:pPr>
            <w:r w:rsidRPr="003C749D">
              <w:t>Arizona Department of Education</w:t>
            </w:r>
          </w:p>
        </w:tc>
      </w:tr>
      <w:tr w:rsidR="001A14F3" w:rsidRPr="00146013" w14:paraId="6B27D9C9" w14:textId="77777777" w:rsidTr="0049087B">
        <w:trPr>
          <w:trHeight w:val="568"/>
        </w:trPr>
        <w:tc>
          <w:tcPr>
            <w:tcW w:w="1890" w:type="dxa"/>
          </w:tcPr>
          <w:p w14:paraId="0E4C2333" w14:textId="77777777" w:rsidR="001A14F3" w:rsidRPr="003C749D" w:rsidRDefault="001A14F3" w:rsidP="003C749D">
            <w:pPr>
              <w:pStyle w:val="TableText"/>
            </w:pPr>
            <w:r w:rsidRPr="003C749D">
              <w:t>Jon Kerr</w:t>
            </w:r>
          </w:p>
        </w:tc>
        <w:tc>
          <w:tcPr>
            <w:tcW w:w="3924" w:type="dxa"/>
          </w:tcPr>
          <w:p w14:paraId="19EF1467" w14:textId="77777777" w:rsidR="001A14F3" w:rsidRPr="003C749D" w:rsidRDefault="001A14F3" w:rsidP="003C749D">
            <w:pPr>
              <w:pStyle w:val="TableText"/>
            </w:pPr>
            <w:r w:rsidRPr="003C749D">
              <w:t>Director of Adult Basic Education</w:t>
            </w:r>
          </w:p>
        </w:tc>
        <w:tc>
          <w:tcPr>
            <w:tcW w:w="3530" w:type="dxa"/>
          </w:tcPr>
          <w:p w14:paraId="03EE61BA" w14:textId="075E6208" w:rsidR="001A14F3" w:rsidRPr="003C749D" w:rsidRDefault="001A14F3" w:rsidP="003C749D">
            <w:pPr>
              <w:pStyle w:val="TableText"/>
            </w:pPr>
            <w:r w:rsidRPr="003C749D">
              <w:t xml:space="preserve">Washington State Board for Community </w:t>
            </w:r>
            <w:r w:rsidR="00637C6E">
              <w:t>and</w:t>
            </w:r>
            <w:r w:rsidR="00637C6E" w:rsidRPr="003C749D">
              <w:t xml:space="preserve"> </w:t>
            </w:r>
            <w:r w:rsidRPr="003C749D">
              <w:t xml:space="preserve">Technical Colleges </w:t>
            </w:r>
          </w:p>
        </w:tc>
      </w:tr>
      <w:tr w:rsidR="001A14F3" w:rsidRPr="00146013" w14:paraId="25BA3A56" w14:textId="77777777" w:rsidTr="0049087B">
        <w:trPr>
          <w:trHeight w:val="568"/>
        </w:trPr>
        <w:tc>
          <w:tcPr>
            <w:tcW w:w="1890" w:type="dxa"/>
          </w:tcPr>
          <w:p w14:paraId="72DADD37" w14:textId="77777777" w:rsidR="001A14F3" w:rsidRPr="003C749D" w:rsidRDefault="001A14F3" w:rsidP="003C749D">
            <w:pPr>
              <w:pStyle w:val="TableText"/>
            </w:pPr>
            <w:r w:rsidRPr="003C749D">
              <w:t>Kristen Olsen</w:t>
            </w:r>
          </w:p>
        </w:tc>
        <w:tc>
          <w:tcPr>
            <w:tcW w:w="3924" w:type="dxa"/>
          </w:tcPr>
          <w:p w14:paraId="51658815" w14:textId="77777777" w:rsidR="001A14F3" w:rsidRPr="003C749D" w:rsidRDefault="001A14F3" w:rsidP="003C749D">
            <w:pPr>
              <w:pStyle w:val="TableText"/>
            </w:pPr>
            <w:r w:rsidRPr="003C749D">
              <w:t>Associate Professor, Department of Sociology</w:t>
            </w:r>
          </w:p>
        </w:tc>
        <w:tc>
          <w:tcPr>
            <w:tcW w:w="3530" w:type="dxa"/>
          </w:tcPr>
          <w:p w14:paraId="3F226645" w14:textId="4AE38AA6" w:rsidR="001A14F3" w:rsidRPr="003C749D" w:rsidRDefault="001A14F3" w:rsidP="003C749D">
            <w:pPr>
              <w:pStyle w:val="TableText"/>
            </w:pPr>
            <w:r w:rsidRPr="003C749D">
              <w:t>University of Nebraska</w:t>
            </w:r>
            <w:r w:rsidR="00637C6E">
              <w:t>–</w:t>
            </w:r>
            <w:r w:rsidRPr="003C749D">
              <w:t xml:space="preserve">Lincoln </w:t>
            </w:r>
          </w:p>
        </w:tc>
      </w:tr>
      <w:tr w:rsidR="001A14F3" w:rsidRPr="00146013" w14:paraId="7A4CA07D" w14:textId="77777777" w:rsidTr="0049087B">
        <w:trPr>
          <w:trHeight w:val="568"/>
        </w:trPr>
        <w:tc>
          <w:tcPr>
            <w:tcW w:w="1890" w:type="dxa"/>
          </w:tcPr>
          <w:p w14:paraId="745CC3D7" w14:textId="77777777" w:rsidR="001A14F3" w:rsidRPr="003C749D" w:rsidRDefault="001A14F3" w:rsidP="003C749D">
            <w:pPr>
              <w:pStyle w:val="TableText"/>
            </w:pPr>
            <w:r w:rsidRPr="003C749D">
              <w:t>Kathleen Porter</w:t>
            </w:r>
          </w:p>
        </w:tc>
        <w:tc>
          <w:tcPr>
            <w:tcW w:w="3924" w:type="dxa"/>
          </w:tcPr>
          <w:p w14:paraId="03FE99C4" w14:textId="164ACF8F" w:rsidR="001A14F3" w:rsidRPr="003C749D" w:rsidRDefault="001A14F3" w:rsidP="00637C6E">
            <w:pPr>
              <w:pStyle w:val="TableText"/>
            </w:pPr>
            <w:r w:rsidRPr="003C749D">
              <w:t>Executive Director</w:t>
            </w:r>
            <w:r w:rsidR="00637C6E">
              <w:t xml:space="preserve">, </w:t>
            </w:r>
            <w:r w:rsidRPr="003C749D">
              <w:t>Career Technical, Adult and Alternative Education</w:t>
            </w:r>
          </w:p>
        </w:tc>
        <w:tc>
          <w:tcPr>
            <w:tcW w:w="3530" w:type="dxa"/>
          </w:tcPr>
          <w:p w14:paraId="595DB098" w14:textId="77777777" w:rsidR="001A14F3" w:rsidRPr="003C749D" w:rsidRDefault="001A14F3" w:rsidP="003C749D">
            <w:pPr>
              <w:pStyle w:val="TableText"/>
            </w:pPr>
            <w:r w:rsidRPr="003C749D">
              <w:t>Poway Unified School District</w:t>
            </w:r>
          </w:p>
        </w:tc>
      </w:tr>
      <w:tr w:rsidR="001A14F3" w:rsidRPr="00146013" w14:paraId="7A411AB1" w14:textId="77777777" w:rsidTr="0049087B">
        <w:trPr>
          <w:trHeight w:val="568"/>
        </w:trPr>
        <w:tc>
          <w:tcPr>
            <w:tcW w:w="1890" w:type="dxa"/>
          </w:tcPr>
          <w:p w14:paraId="68B5E37A" w14:textId="77777777" w:rsidR="001A14F3" w:rsidRPr="003C749D" w:rsidRDefault="001A14F3" w:rsidP="003C749D">
            <w:pPr>
              <w:pStyle w:val="TableText"/>
            </w:pPr>
            <w:r w:rsidRPr="003C749D">
              <w:t>Elizabeth</w:t>
            </w:r>
          </w:p>
          <w:p w14:paraId="24E4BA21" w14:textId="77777777" w:rsidR="001A14F3" w:rsidRPr="003C749D" w:rsidRDefault="001A14F3" w:rsidP="003C749D">
            <w:pPr>
              <w:pStyle w:val="TableText"/>
            </w:pPr>
            <w:r w:rsidRPr="003C749D">
              <w:t>Zachry Rutschow</w:t>
            </w:r>
          </w:p>
        </w:tc>
        <w:tc>
          <w:tcPr>
            <w:tcW w:w="3924" w:type="dxa"/>
          </w:tcPr>
          <w:p w14:paraId="75C552A9" w14:textId="77777777" w:rsidR="001A14F3" w:rsidRPr="003C749D" w:rsidRDefault="001A14F3" w:rsidP="003C749D">
            <w:pPr>
              <w:pStyle w:val="TableText"/>
            </w:pPr>
            <w:r w:rsidRPr="003C749D">
              <w:t>Senior Associate</w:t>
            </w:r>
          </w:p>
        </w:tc>
        <w:tc>
          <w:tcPr>
            <w:tcW w:w="3530" w:type="dxa"/>
          </w:tcPr>
          <w:p w14:paraId="2E0112F5" w14:textId="77777777" w:rsidR="001A14F3" w:rsidRPr="003C749D" w:rsidRDefault="001A14F3" w:rsidP="003C749D">
            <w:pPr>
              <w:pStyle w:val="TableText"/>
            </w:pPr>
            <w:r w:rsidRPr="003C749D">
              <w:t>MDRC</w:t>
            </w:r>
          </w:p>
        </w:tc>
      </w:tr>
      <w:tr w:rsidR="001A14F3" w:rsidRPr="00146013" w14:paraId="21691732" w14:textId="77777777" w:rsidTr="0049087B">
        <w:trPr>
          <w:trHeight w:val="568"/>
        </w:trPr>
        <w:tc>
          <w:tcPr>
            <w:tcW w:w="1890" w:type="dxa"/>
          </w:tcPr>
          <w:p w14:paraId="615BE929" w14:textId="77777777" w:rsidR="001A14F3" w:rsidRPr="003C749D" w:rsidRDefault="001A14F3" w:rsidP="003C749D">
            <w:pPr>
              <w:pStyle w:val="TableText"/>
            </w:pPr>
            <w:r w:rsidRPr="003C749D">
              <w:t>Reecie Stagnolia</w:t>
            </w:r>
          </w:p>
        </w:tc>
        <w:tc>
          <w:tcPr>
            <w:tcW w:w="3924" w:type="dxa"/>
          </w:tcPr>
          <w:p w14:paraId="6670AF47" w14:textId="4F095ED7" w:rsidR="001A14F3" w:rsidRPr="003C749D" w:rsidRDefault="001A14F3" w:rsidP="003C749D">
            <w:pPr>
              <w:pStyle w:val="TableText"/>
            </w:pPr>
            <w:r w:rsidRPr="003C749D">
              <w:t>Vice President for Adult Education</w:t>
            </w:r>
          </w:p>
        </w:tc>
        <w:tc>
          <w:tcPr>
            <w:tcW w:w="3530" w:type="dxa"/>
          </w:tcPr>
          <w:p w14:paraId="0C011AAD" w14:textId="77777777" w:rsidR="001A14F3" w:rsidRPr="003C749D" w:rsidRDefault="001A14F3" w:rsidP="003C749D">
            <w:pPr>
              <w:pStyle w:val="TableText"/>
            </w:pPr>
            <w:r w:rsidRPr="003C749D">
              <w:rPr>
                <w:rFonts w:eastAsia="Calibri"/>
              </w:rPr>
              <w:t>Kentucky Council on Postsecondary Education</w:t>
            </w:r>
          </w:p>
        </w:tc>
      </w:tr>
    </w:tbl>
    <w:p w14:paraId="6EA919EF" w14:textId="77777777" w:rsidR="001A14F3" w:rsidRDefault="001A14F3" w:rsidP="0049087B">
      <w:pPr>
        <w:pStyle w:val="Heading3"/>
      </w:pPr>
      <w:bookmarkStart w:id="15" w:name="_Toc8218548"/>
      <w:r w:rsidRPr="004B0E2E">
        <w:t>A.9. Payments to Respondents</w:t>
      </w:r>
      <w:bookmarkEnd w:id="15"/>
    </w:p>
    <w:p w14:paraId="6854CC66" w14:textId="4BFCC3AD" w:rsidR="001A14F3" w:rsidRPr="0055374D" w:rsidRDefault="001A14F3" w:rsidP="003C749D">
      <w:pPr>
        <w:pStyle w:val="BodyTextPostHead"/>
        <w:rPr>
          <w:szCs w:val="23"/>
        </w:rPr>
      </w:pPr>
      <w:r w:rsidRPr="00146013">
        <w:t>Respondents will not receive a</w:t>
      </w:r>
      <w:r w:rsidR="00637C6E">
        <w:t>ny</w:t>
      </w:r>
      <w:r w:rsidRPr="00146013">
        <w:t xml:space="preserve"> payment or gift </w:t>
      </w:r>
      <w:r>
        <w:t>for participati</w:t>
      </w:r>
      <w:r w:rsidRPr="00146013">
        <w:t>n</w:t>
      </w:r>
      <w:r>
        <w:t>g</w:t>
      </w:r>
      <w:r w:rsidRPr="00146013">
        <w:t xml:space="preserve"> in th</w:t>
      </w:r>
      <w:r>
        <w:t>e study’s data collections</w:t>
      </w:r>
      <w:r w:rsidRPr="00146013">
        <w:t>.</w:t>
      </w:r>
    </w:p>
    <w:p w14:paraId="18325886" w14:textId="77777777" w:rsidR="001A14F3" w:rsidRDefault="001A14F3" w:rsidP="0049087B">
      <w:pPr>
        <w:pStyle w:val="Heading3"/>
      </w:pPr>
      <w:bookmarkStart w:id="16" w:name="_Toc8218549"/>
      <w:bookmarkStart w:id="17" w:name="_Hlk535409292"/>
      <w:r w:rsidRPr="004B0E2E">
        <w:t>A.10. Assurance of Confidentiality</w:t>
      </w:r>
      <w:bookmarkEnd w:id="16"/>
    </w:p>
    <w:p w14:paraId="5E7ABCA2" w14:textId="7ED33AAA" w:rsidR="001A14F3" w:rsidRPr="00930075" w:rsidRDefault="001A14F3" w:rsidP="003C749D">
      <w:pPr>
        <w:pStyle w:val="BodyTextPostHead"/>
      </w:pPr>
      <w:r w:rsidRPr="00930075">
        <w:t xml:space="preserve">The study team is vitally concerned with maintaining the anonymity and security of its records. The project staff has extensive experience collecting information and maintaining the confidentiality, security, and integrity of survey data. All members of the study team have obtained their certification on </w:t>
      </w:r>
      <w:r w:rsidR="00DF023B">
        <w:t>using</w:t>
      </w:r>
      <w:r w:rsidRPr="00930075">
        <w:t xml:space="preserve"> human subjects in research. This training addresses the importance of the confidentiality assurances given to respondents and the sensitive nature of handling data. The team also has worked with the Institutional Review Board at </w:t>
      </w:r>
      <w:r w:rsidR="00DF023B">
        <w:t xml:space="preserve">the </w:t>
      </w:r>
      <w:r w:rsidRPr="00930075">
        <w:t>American Institutes for Research (AIR) to seek and receive approval of this study, thereby ensuring that the data collection complies with professional standards and government regulations designed to safeguard research participants.</w:t>
      </w:r>
    </w:p>
    <w:p w14:paraId="1ED1CB34" w14:textId="087E770F" w:rsidR="00DF023B" w:rsidRDefault="0004070A" w:rsidP="0049087B">
      <w:pPr>
        <w:pStyle w:val="Heading4"/>
      </w:pPr>
      <w:r>
        <w:t xml:space="preserve">A.10.1. </w:t>
      </w:r>
      <w:r w:rsidR="001A14F3" w:rsidRPr="00930075">
        <w:t xml:space="preserve">Confidentiality Assurance Statement to </w:t>
      </w:r>
      <w:r w:rsidR="000B4599" w:rsidRPr="00930075">
        <w:t>Providers</w:t>
      </w:r>
    </w:p>
    <w:p w14:paraId="25A37649" w14:textId="42F281A7" w:rsidR="00432EE2" w:rsidRPr="00930075" w:rsidRDefault="00A7300B" w:rsidP="0049087B">
      <w:pPr>
        <w:pStyle w:val="BodyTextPostHead"/>
      </w:pPr>
      <w:r>
        <w:t>We will include the following statement on the cover of the Provider S</w:t>
      </w:r>
      <w:r w:rsidR="00432EE2" w:rsidRPr="00930075">
        <w:t>urvey:</w:t>
      </w:r>
    </w:p>
    <w:p w14:paraId="0AFD836C" w14:textId="7E628CF3" w:rsidR="001A14F3" w:rsidRPr="00930075" w:rsidRDefault="00AD1994" w:rsidP="00F17566">
      <w:pPr>
        <w:pStyle w:val="BlockText"/>
        <w:ind w:right="720"/>
      </w:pPr>
      <w:r>
        <w:t xml:space="preserve">Information collected for this study comes under the confidentiality and data protection requirements of the Education Sciences Reform Act of 2002, Title I, Part E, Section 183. </w:t>
      </w:r>
      <w:r w:rsidR="00432EE2" w:rsidRPr="00930075">
        <w:t xml:space="preserve">Responses to this data collection will be used only for statistical purposes. The reports prepared for this study will summarize findings </w:t>
      </w:r>
      <w:r w:rsidR="0063610F">
        <w:t>by state and for the nation as a whole</w:t>
      </w:r>
      <w:r w:rsidR="00432EE2" w:rsidRPr="00930075">
        <w:t xml:space="preserve"> and will not associate responses with a specific </w:t>
      </w:r>
      <w:r w:rsidR="001C456D">
        <w:t xml:space="preserve">provider or </w:t>
      </w:r>
      <w:r w:rsidR="00432EE2" w:rsidRPr="00930075">
        <w:t>individual. We will not provide information that identifies you to anyone outside the study team, except as required by law.</w:t>
      </w:r>
      <w:r w:rsidR="0063610F">
        <w:t xml:space="preserve"> </w:t>
      </w:r>
      <w:r w:rsidR="0063610F" w:rsidRPr="00506262">
        <w:rPr>
          <w:highlight w:val="yellow"/>
        </w:rPr>
        <w:t xml:space="preserve"> </w:t>
      </w:r>
    </w:p>
    <w:p w14:paraId="3EB0D88F" w14:textId="6C64B7A9" w:rsidR="00DF023B" w:rsidRDefault="0004070A" w:rsidP="0049087B">
      <w:pPr>
        <w:pStyle w:val="Heading4"/>
      </w:pPr>
      <w:r>
        <w:t xml:space="preserve">A.10.2. </w:t>
      </w:r>
      <w:r w:rsidR="000B4599" w:rsidRPr="00930075">
        <w:t xml:space="preserve">Confidentiality </w:t>
      </w:r>
      <w:r w:rsidR="00A7300B">
        <w:t xml:space="preserve">Assurance </w:t>
      </w:r>
      <w:r w:rsidR="000B4599" w:rsidRPr="00930075">
        <w:t>Statement for State Director</w:t>
      </w:r>
      <w:r w:rsidR="005D2B75" w:rsidRPr="00930075">
        <w:t>s</w:t>
      </w:r>
    </w:p>
    <w:p w14:paraId="64B2FA7D" w14:textId="385C68D3" w:rsidR="00DF023B" w:rsidRDefault="000B4599" w:rsidP="0049087B">
      <w:pPr>
        <w:pStyle w:val="BodyTextPostHead"/>
      </w:pPr>
      <w:r w:rsidRPr="00930075">
        <w:t>Because we plan to publish state-level findings in the study’s reports, it will be possible to identify the individual who provided data on the State Director Survey. Therefore, we will include the following statement on the State Director Survey</w:t>
      </w:r>
      <w:r w:rsidR="00D2115D">
        <w:t xml:space="preserve"> </w:t>
      </w:r>
      <w:r w:rsidRPr="00930075">
        <w:t xml:space="preserve">cover: </w:t>
      </w:r>
    </w:p>
    <w:p w14:paraId="3D3BB1F0" w14:textId="46E44F6D" w:rsidR="000B4599" w:rsidRPr="0069298D" w:rsidRDefault="009F2C78" w:rsidP="00F17566">
      <w:pPr>
        <w:pStyle w:val="BlockText"/>
        <w:ind w:right="720"/>
      </w:pPr>
      <w:bookmarkStart w:id="18" w:name="_Hlk535408893"/>
      <w:r>
        <w:t xml:space="preserve">Information collected for this study comes under the confidentiality and data protection requirements of the Education Sciences Reform Act of 2002, Title I, Part E, Section 183. </w:t>
      </w:r>
      <w:r w:rsidR="0069298D">
        <w:t xml:space="preserve">Responses to this data collection will be used only for statistical purposes. The reports prepared for this study will provide state-level information </w:t>
      </w:r>
      <w:r w:rsidR="00837E71">
        <w:t>on implementation of adult education</w:t>
      </w:r>
      <w:r w:rsidR="0069298D">
        <w:t xml:space="preserve">. </w:t>
      </w:r>
      <w:r w:rsidR="00DF023B">
        <w:t xml:space="preserve">Although </w:t>
      </w:r>
      <w:r w:rsidR="0069298D">
        <w:t>your name will not be released, data displayed by state will be attributed to the state agency and could be attributed to an individual respondent by readers of the report</w:t>
      </w:r>
      <w:bookmarkEnd w:id="18"/>
      <w:r w:rsidR="0011644F">
        <w:t>.</w:t>
      </w:r>
    </w:p>
    <w:p w14:paraId="6606764F" w14:textId="6E9E81E4" w:rsidR="00DF023B" w:rsidRDefault="0004070A" w:rsidP="0049087B">
      <w:pPr>
        <w:pStyle w:val="Heading4"/>
      </w:pPr>
      <w:r>
        <w:t xml:space="preserve">A.10.3. </w:t>
      </w:r>
      <w:r w:rsidR="00B361C5" w:rsidRPr="00B361C5">
        <w:t>Data Protection Procedures</w:t>
      </w:r>
    </w:p>
    <w:p w14:paraId="3AA782DA" w14:textId="31F3861F" w:rsidR="001A14F3" w:rsidRPr="0069298D" w:rsidRDefault="001A14F3" w:rsidP="0049087B">
      <w:pPr>
        <w:pStyle w:val="BodyTextPostHead"/>
      </w:pPr>
      <w:r w:rsidRPr="0069298D">
        <w:t>The following procedures are in place</w:t>
      </w:r>
      <w:r w:rsidR="00B361C5">
        <w:t xml:space="preserve"> to protect data from all collections</w:t>
      </w:r>
      <w:r w:rsidR="00C3704F">
        <w:t>:</w:t>
      </w:r>
    </w:p>
    <w:p w14:paraId="4753BD03" w14:textId="77777777" w:rsidR="001A14F3" w:rsidRPr="0069298D" w:rsidRDefault="001A14F3" w:rsidP="003C749D">
      <w:pPr>
        <w:pStyle w:val="Bullet1"/>
      </w:pPr>
      <w:r w:rsidRPr="0069298D">
        <w:t>The study team will protect the identity of individuals from whom we will collect data for the study and use it for research purposes only. Respondents’ names will be used for data collection purposes only and will be disassociated from the data prior to analysis.</w:t>
      </w:r>
    </w:p>
    <w:p w14:paraId="7286F16E" w14:textId="1C2E8244" w:rsidR="001A14F3" w:rsidRPr="00930075" w:rsidRDefault="001A14F3" w:rsidP="003C749D">
      <w:pPr>
        <w:pStyle w:val="Bullet1"/>
      </w:pPr>
      <w:r w:rsidRPr="0069298D">
        <w:t xml:space="preserve">Although this study does not include the collection of sensitive information, the study team will provide all respondents with information on the topics covered in the surveys, how the data will be used and stored, and how their confidentiality will be maintained. The study’s goals, data collection activities, participation risks and benefits, and uses for the data </w:t>
      </w:r>
      <w:r w:rsidR="0049087B">
        <w:t>will be</w:t>
      </w:r>
      <w:r w:rsidR="0049087B" w:rsidRPr="0069298D">
        <w:t xml:space="preserve"> </w:t>
      </w:r>
      <w:r w:rsidRPr="0069298D">
        <w:t xml:space="preserve">explained in the notification letter sent to the </w:t>
      </w:r>
      <w:r w:rsidR="00D40EA4" w:rsidRPr="00930075">
        <w:t xml:space="preserve">study </w:t>
      </w:r>
      <w:r w:rsidR="00930075" w:rsidRPr="00930075">
        <w:t>participants</w:t>
      </w:r>
      <w:r w:rsidR="00B3313D">
        <w:t xml:space="preserve"> (Appendix D)</w:t>
      </w:r>
      <w:r w:rsidRPr="00930075">
        <w:t>. This information will be included as part of the Web survey programming and will be sent with paper questionnaires that are mailed.</w:t>
      </w:r>
    </w:p>
    <w:p w14:paraId="3DE904E5" w14:textId="77777777" w:rsidR="001A14F3" w:rsidRDefault="001A14F3" w:rsidP="003C749D">
      <w:pPr>
        <w:pStyle w:val="Bullet1"/>
      </w:pPr>
      <w:r w:rsidRPr="00930075">
        <w:t>All electronic data will be protected using several methods. The contractors’ internal networks are protected from unauthorized access, including firewalls and intrusion detection and prevention systems. Access to computer systems is password protected, and network passwords must be changed on a regular basis and conform to the contractors’ strong password policies. The networks also are configured so that each user has a tailored set of rights, granted by the network administrator, to files approved for access and stored on the local area network. Access to all electronic data files associated with this study is limited to researchers on the AIR data collection and analysis team.</w:t>
      </w:r>
    </w:p>
    <w:p w14:paraId="183EECD4" w14:textId="77777777" w:rsidR="001A14F3" w:rsidRDefault="001A14F3" w:rsidP="0049087B">
      <w:pPr>
        <w:pStyle w:val="Heading3"/>
      </w:pPr>
      <w:bookmarkStart w:id="19" w:name="_Toc8218550"/>
      <w:bookmarkEnd w:id="17"/>
      <w:r w:rsidRPr="004B0E2E">
        <w:t>A.11. Sensitive Questions</w:t>
      </w:r>
      <w:bookmarkEnd w:id="19"/>
    </w:p>
    <w:p w14:paraId="411031A5" w14:textId="77777777" w:rsidR="001A14F3" w:rsidRDefault="001A14F3" w:rsidP="003C749D">
      <w:pPr>
        <w:pStyle w:val="BodyTextPostHead"/>
      </w:pPr>
      <w:r w:rsidRPr="00362EBC">
        <w:t xml:space="preserve">No questions of a sensitive nature </w:t>
      </w:r>
      <w:r>
        <w:t>are</w:t>
      </w:r>
      <w:r w:rsidRPr="00362EBC">
        <w:t xml:space="preserve"> included in this study.</w:t>
      </w:r>
    </w:p>
    <w:p w14:paraId="254D5C5D" w14:textId="77777777" w:rsidR="001A14F3" w:rsidRDefault="001A14F3" w:rsidP="0049087B">
      <w:pPr>
        <w:pStyle w:val="Heading3"/>
      </w:pPr>
      <w:bookmarkStart w:id="20" w:name="_Toc8218551"/>
      <w:r w:rsidRPr="004B0E2E">
        <w:t>A.12. Estimated Response Burden</w:t>
      </w:r>
      <w:bookmarkEnd w:id="20"/>
    </w:p>
    <w:p w14:paraId="23DD11F6" w14:textId="3E83FE1F" w:rsidR="001A14F3" w:rsidRPr="003C749D" w:rsidRDefault="001A14F3" w:rsidP="003C749D">
      <w:pPr>
        <w:pStyle w:val="BodyTextPostHead"/>
        <w:rPr>
          <w:spacing w:val="-2"/>
        </w:rPr>
      </w:pPr>
      <w:r w:rsidRPr="003C749D">
        <w:rPr>
          <w:spacing w:val="-2"/>
        </w:rPr>
        <w:t xml:space="preserve">It is estimated that the total hour burden for the </w:t>
      </w:r>
      <w:r w:rsidR="006028C3">
        <w:rPr>
          <w:spacing w:val="-2"/>
        </w:rPr>
        <w:t xml:space="preserve">list of providers, </w:t>
      </w:r>
      <w:r w:rsidRPr="003C749D">
        <w:rPr>
          <w:spacing w:val="-2"/>
        </w:rPr>
        <w:t>survey data collection</w:t>
      </w:r>
      <w:r w:rsidR="006028C3">
        <w:rPr>
          <w:spacing w:val="-2"/>
        </w:rPr>
        <w:t xml:space="preserve">, and additional provider-level information from the states </w:t>
      </w:r>
      <w:r w:rsidRPr="003C749D">
        <w:rPr>
          <w:spacing w:val="-2"/>
        </w:rPr>
        <w:t xml:space="preserve">is </w:t>
      </w:r>
      <w:r w:rsidR="00B26DB9">
        <w:rPr>
          <w:spacing w:val="-2"/>
        </w:rPr>
        <w:t>929.5</w:t>
      </w:r>
      <w:r w:rsidRPr="003C749D">
        <w:rPr>
          <w:spacing w:val="-2"/>
        </w:rPr>
        <w:t xml:space="preserve"> hours, or </w:t>
      </w:r>
      <w:r w:rsidR="00B26DB9">
        <w:rPr>
          <w:spacing w:val="-2"/>
        </w:rPr>
        <w:t>309.8</w:t>
      </w:r>
      <w:r w:rsidRPr="003C749D">
        <w:rPr>
          <w:spacing w:val="-2"/>
        </w:rPr>
        <w:t xml:space="preserve"> hours annually </w:t>
      </w:r>
      <w:r w:rsidR="003B086F">
        <w:rPr>
          <w:spacing w:val="-2"/>
        </w:rPr>
        <w:t>during</w:t>
      </w:r>
      <w:r w:rsidR="003B086F" w:rsidRPr="003C749D">
        <w:rPr>
          <w:spacing w:val="-2"/>
        </w:rPr>
        <w:t xml:space="preserve"> </w:t>
      </w:r>
      <w:r w:rsidRPr="003C749D">
        <w:rPr>
          <w:spacing w:val="-2"/>
        </w:rPr>
        <w:t xml:space="preserve">the </w:t>
      </w:r>
      <w:r w:rsidR="003B086F">
        <w:rPr>
          <w:spacing w:val="-2"/>
        </w:rPr>
        <w:t>3</w:t>
      </w:r>
      <w:r w:rsidRPr="003C749D">
        <w:rPr>
          <w:spacing w:val="-2"/>
        </w:rPr>
        <w:t xml:space="preserve">-year clearance period. This </w:t>
      </w:r>
      <w:r w:rsidR="003B086F">
        <w:rPr>
          <w:spacing w:val="-2"/>
        </w:rPr>
        <w:t>results in</w:t>
      </w:r>
      <w:r w:rsidRPr="003C749D">
        <w:rPr>
          <w:spacing w:val="-2"/>
        </w:rPr>
        <w:t xml:space="preserve"> an estimated cost of $</w:t>
      </w:r>
      <w:r w:rsidR="00B26DB9">
        <w:rPr>
          <w:spacing w:val="-2"/>
        </w:rPr>
        <w:t>41,706.01</w:t>
      </w:r>
      <w:r w:rsidRPr="003C749D">
        <w:rPr>
          <w:spacing w:val="-2"/>
        </w:rPr>
        <w:t xml:space="preserve"> based on the average hourly wage of participants, or $</w:t>
      </w:r>
      <w:r w:rsidR="00B26DB9">
        <w:rPr>
          <w:spacing w:val="-2"/>
        </w:rPr>
        <w:t>13,902.00</w:t>
      </w:r>
      <w:r w:rsidRPr="003C749D">
        <w:rPr>
          <w:spacing w:val="-2"/>
        </w:rPr>
        <w:t xml:space="preserve"> annually </w:t>
      </w:r>
      <w:r w:rsidR="003B086F">
        <w:rPr>
          <w:spacing w:val="-2"/>
        </w:rPr>
        <w:t>during</w:t>
      </w:r>
      <w:r w:rsidR="003B086F" w:rsidRPr="003C749D">
        <w:rPr>
          <w:spacing w:val="-2"/>
        </w:rPr>
        <w:t xml:space="preserve"> </w:t>
      </w:r>
      <w:r w:rsidRPr="003C749D">
        <w:rPr>
          <w:spacing w:val="-2"/>
        </w:rPr>
        <w:t xml:space="preserve">the </w:t>
      </w:r>
      <w:r w:rsidR="003B086F">
        <w:rPr>
          <w:spacing w:val="-2"/>
        </w:rPr>
        <w:t>3</w:t>
      </w:r>
      <w:r w:rsidRPr="003C749D">
        <w:rPr>
          <w:spacing w:val="-2"/>
        </w:rPr>
        <w:t>-year clearance period. Exhibit</w:t>
      </w:r>
      <w:r w:rsidR="003B086F">
        <w:rPr>
          <w:spacing w:val="-2"/>
        </w:rPr>
        <w:t> </w:t>
      </w:r>
      <w:r w:rsidRPr="003C749D">
        <w:rPr>
          <w:spacing w:val="-2"/>
        </w:rPr>
        <w:t>A.3 summarizes the estimates of respondent burden for the two surveys</w:t>
      </w:r>
      <w:r w:rsidR="006028C3">
        <w:rPr>
          <w:spacing w:val="-2"/>
        </w:rPr>
        <w:t xml:space="preserve"> and list collections</w:t>
      </w:r>
      <w:r w:rsidRPr="003C749D">
        <w:rPr>
          <w:spacing w:val="-2"/>
        </w:rPr>
        <w:t>.</w:t>
      </w:r>
      <w:r w:rsidR="00D6353F">
        <w:rPr>
          <w:spacing w:val="-2"/>
        </w:rPr>
        <w:t xml:space="preserve"> Note that the burden hours are based on the assumption that the </w:t>
      </w:r>
      <w:r w:rsidR="00D6353F" w:rsidRPr="0094185C">
        <w:rPr>
          <w:spacing w:val="-2"/>
        </w:rPr>
        <w:t>provider-level NRS data</w:t>
      </w:r>
      <w:r w:rsidR="00D6353F">
        <w:rPr>
          <w:spacing w:val="-2"/>
        </w:rPr>
        <w:t xml:space="preserve"> will be collected through the Updated Provider List collection and not through the Provider Survey.</w:t>
      </w:r>
    </w:p>
    <w:p w14:paraId="7306CA5A" w14:textId="77777777" w:rsidR="001A14F3" w:rsidRPr="00784A53" w:rsidRDefault="001A14F3" w:rsidP="003C749D">
      <w:pPr>
        <w:pStyle w:val="ExhibitTitle"/>
      </w:pPr>
      <w:r w:rsidRPr="00784A53">
        <w:t>Exhibit A.</w:t>
      </w:r>
      <w:r>
        <w:t>3</w:t>
      </w:r>
      <w:r w:rsidRPr="00784A53">
        <w:t>. Summary of Estimated Response Burden</w:t>
      </w:r>
    </w:p>
    <w:tbl>
      <w:tblPr>
        <w:tblStyle w:val="TableStyle-Simple"/>
        <w:tblW w:w="5000" w:type="pct"/>
        <w:tblLayout w:type="fixed"/>
        <w:tblLook w:val="0620" w:firstRow="1" w:lastRow="0" w:firstColumn="0" w:lastColumn="0" w:noHBand="1" w:noVBand="1"/>
      </w:tblPr>
      <w:tblGrid>
        <w:gridCol w:w="1350"/>
        <w:gridCol w:w="1433"/>
        <w:gridCol w:w="859"/>
        <w:gridCol w:w="1038"/>
        <w:gridCol w:w="900"/>
        <w:gridCol w:w="900"/>
        <w:gridCol w:w="900"/>
        <w:gridCol w:w="810"/>
        <w:gridCol w:w="1286"/>
      </w:tblGrid>
      <w:tr w:rsidR="003C749D" w:rsidRPr="009732E3" w14:paraId="06308B9B" w14:textId="77777777" w:rsidTr="003C749D">
        <w:trPr>
          <w:cnfStyle w:val="100000000000" w:firstRow="1" w:lastRow="0" w:firstColumn="0" w:lastColumn="0" w:oddVBand="0" w:evenVBand="0" w:oddHBand="0" w:evenHBand="0" w:firstRowFirstColumn="0" w:firstRowLastColumn="0" w:lastRowFirstColumn="0" w:lastRowLastColumn="0"/>
          <w:trHeight w:val="1641"/>
        </w:trPr>
        <w:tc>
          <w:tcPr>
            <w:tcW w:w="1350" w:type="dxa"/>
          </w:tcPr>
          <w:p w14:paraId="668DE38B" w14:textId="0D048EE2" w:rsidR="001A14F3" w:rsidRPr="003C749D" w:rsidRDefault="001A14F3" w:rsidP="003C749D">
            <w:pPr>
              <w:pStyle w:val="TableColumnHeadCentered"/>
            </w:pPr>
            <w:r w:rsidRPr="003C749D">
              <w:t xml:space="preserve">Data </w:t>
            </w:r>
            <w:r w:rsidR="003B086F">
              <w:t>c</w:t>
            </w:r>
            <w:r w:rsidR="003B086F" w:rsidRPr="003C749D">
              <w:t xml:space="preserve">ollection </w:t>
            </w:r>
            <w:r w:rsidR="003B086F">
              <w:t>a</w:t>
            </w:r>
            <w:r w:rsidR="003B086F" w:rsidRPr="003C749D">
              <w:t>ctivity</w:t>
            </w:r>
          </w:p>
        </w:tc>
        <w:tc>
          <w:tcPr>
            <w:tcW w:w="1433" w:type="dxa"/>
          </w:tcPr>
          <w:p w14:paraId="6C5F2748" w14:textId="77777777" w:rsidR="001A14F3" w:rsidRPr="003C749D" w:rsidRDefault="001A14F3" w:rsidP="003C749D">
            <w:pPr>
              <w:pStyle w:val="TableColumnHeadCentered"/>
            </w:pPr>
            <w:r w:rsidRPr="003C749D">
              <w:t>Respondent</w:t>
            </w:r>
          </w:p>
        </w:tc>
        <w:tc>
          <w:tcPr>
            <w:tcW w:w="859" w:type="dxa"/>
            <w:textDirection w:val="btLr"/>
            <w:vAlign w:val="center"/>
          </w:tcPr>
          <w:p w14:paraId="1972E28E" w14:textId="6ADDC2DF" w:rsidR="001A14F3" w:rsidRPr="003C749D" w:rsidRDefault="001A14F3" w:rsidP="003C749D">
            <w:pPr>
              <w:pStyle w:val="TableColumnHeadCentered"/>
              <w:ind w:left="113" w:right="113"/>
              <w:jc w:val="left"/>
            </w:pPr>
            <w:r w:rsidRPr="003C749D">
              <w:t xml:space="preserve">Total </w:t>
            </w:r>
            <w:r w:rsidR="003B086F">
              <w:t>s</w:t>
            </w:r>
            <w:r w:rsidR="003B086F" w:rsidRPr="003C749D">
              <w:t xml:space="preserve">ample </w:t>
            </w:r>
            <w:r w:rsidR="003B086F">
              <w:t>s</w:t>
            </w:r>
            <w:r w:rsidR="003B086F" w:rsidRPr="003C749D">
              <w:t>ize</w:t>
            </w:r>
            <w:r w:rsidR="003B086F">
              <w:t xml:space="preserve"> (</w:t>
            </w:r>
            <w:r w:rsidR="003B086F" w:rsidRPr="00E84A81">
              <w:rPr>
                <w:i/>
              </w:rPr>
              <w:t>N)</w:t>
            </w:r>
          </w:p>
        </w:tc>
        <w:tc>
          <w:tcPr>
            <w:tcW w:w="1038" w:type="dxa"/>
            <w:textDirection w:val="btLr"/>
            <w:vAlign w:val="center"/>
          </w:tcPr>
          <w:p w14:paraId="676A1C8D" w14:textId="3810E279" w:rsidR="001A14F3" w:rsidRPr="003C749D" w:rsidRDefault="001A14F3" w:rsidP="003C749D">
            <w:pPr>
              <w:pStyle w:val="TableColumnHeadCentered"/>
              <w:ind w:left="113" w:right="113"/>
              <w:jc w:val="left"/>
            </w:pPr>
            <w:r w:rsidRPr="003C749D">
              <w:t xml:space="preserve">Estimated </w:t>
            </w:r>
            <w:r w:rsidR="003B086F">
              <w:t>r</w:t>
            </w:r>
            <w:r w:rsidR="003B086F" w:rsidRPr="003C749D">
              <w:t xml:space="preserve">esponse </w:t>
            </w:r>
            <w:r w:rsidR="003B086F">
              <w:t>r</w:t>
            </w:r>
            <w:r w:rsidR="003B086F" w:rsidRPr="003C749D">
              <w:t>ate</w:t>
            </w:r>
          </w:p>
        </w:tc>
        <w:tc>
          <w:tcPr>
            <w:tcW w:w="900" w:type="dxa"/>
            <w:textDirection w:val="btLr"/>
            <w:vAlign w:val="center"/>
          </w:tcPr>
          <w:p w14:paraId="6CD64B8D" w14:textId="7ACD08FB" w:rsidR="001A14F3" w:rsidRPr="003C749D" w:rsidRDefault="001A14F3" w:rsidP="003C749D">
            <w:pPr>
              <w:pStyle w:val="TableColumnHeadCentered"/>
              <w:ind w:left="113" w:right="113"/>
              <w:jc w:val="left"/>
            </w:pPr>
            <w:r w:rsidRPr="003C749D">
              <w:t xml:space="preserve">Number of </w:t>
            </w:r>
            <w:r w:rsidR="003B086F">
              <w:t>r</w:t>
            </w:r>
            <w:r w:rsidR="003B086F" w:rsidRPr="003C749D">
              <w:t>espondents</w:t>
            </w:r>
          </w:p>
        </w:tc>
        <w:tc>
          <w:tcPr>
            <w:tcW w:w="900" w:type="dxa"/>
            <w:textDirection w:val="btLr"/>
            <w:vAlign w:val="center"/>
          </w:tcPr>
          <w:p w14:paraId="741D4380" w14:textId="26DE7AE6" w:rsidR="001A14F3" w:rsidRPr="003C749D" w:rsidRDefault="001A14F3" w:rsidP="003C749D">
            <w:pPr>
              <w:pStyle w:val="TableColumnHeadCentered"/>
              <w:ind w:left="113" w:right="113"/>
              <w:jc w:val="left"/>
            </w:pPr>
            <w:r w:rsidRPr="003C749D">
              <w:t xml:space="preserve">Time </w:t>
            </w:r>
            <w:r w:rsidR="003B086F">
              <w:t>e</w:t>
            </w:r>
            <w:r w:rsidR="003B086F" w:rsidRPr="003C749D">
              <w:t>stimate</w:t>
            </w:r>
          </w:p>
          <w:p w14:paraId="21B37944" w14:textId="486355C8" w:rsidR="001A14F3" w:rsidRPr="003C749D" w:rsidRDefault="003B086F" w:rsidP="003C749D">
            <w:pPr>
              <w:pStyle w:val="TableColumnHeadCentered"/>
              <w:ind w:left="113" w:right="113"/>
              <w:jc w:val="left"/>
            </w:pPr>
            <w:r>
              <w:t xml:space="preserve">per response </w:t>
            </w:r>
            <w:r w:rsidR="001A14F3" w:rsidRPr="003C749D">
              <w:t>(in hours)</w:t>
            </w:r>
          </w:p>
        </w:tc>
        <w:tc>
          <w:tcPr>
            <w:tcW w:w="900" w:type="dxa"/>
            <w:textDirection w:val="btLr"/>
            <w:vAlign w:val="center"/>
          </w:tcPr>
          <w:p w14:paraId="7D3FF19A" w14:textId="6CE09210" w:rsidR="001A14F3" w:rsidRPr="003C749D" w:rsidRDefault="001A14F3" w:rsidP="003C749D">
            <w:pPr>
              <w:pStyle w:val="TableColumnHeadCentered"/>
              <w:ind w:left="113" w:right="113"/>
              <w:jc w:val="left"/>
            </w:pPr>
            <w:r w:rsidRPr="003C749D">
              <w:t xml:space="preserve">Total </w:t>
            </w:r>
            <w:r w:rsidR="003B086F">
              <w:t>h</w:t>
            </w:r>
            <w:r w:rsidR="003B086F" w:rsidRPr="003C749D">
              <w:t xml:space="preserve">our </w:t>
            </w:r>
            <w:r w:rsidR="003B086F">
              <w:t>b</w:t>
            </w:r>
            <w:r w:rsidR="003B086F" w:rsidRPr="003C749D">
              <w:t>urden</w:t>
            </w:r>
          </w:p>
        </w:tc>
        <w:tc>
          <w:tcPr>
            <w:tcW w:w="810" w:type="dxa"/>
            <w:textDirection w:val="btLr"/>
            <w:vAlign w:val="center"/>
          </w:tcPr>
          <w:p w14:paraId="1924A13A" w14:textId="7E50661F" w:rsidR="001A14F3" w:rsidRPr="003C749D" w:rsidRDefault="001A14F3" w:rsidP="003C749D">
            <w:pPr>
              <w:pStyle w:val="TableColumnHeadCentered"/>
              <w:ind w:left="113" w:right="113"/>
              <w:jc w:val="left"/>
            </w:pPr>
            <w:r w:rsidRPr="003C749D">
              <w:t xml:space="preserve">Hourly </w:t>
            </w:r>
            <w:r w:rsidR="003B086F">
              <w:t>r</w:t>
            </w:r>
            <w:r w:rsidR="003B086F" w:rsidRPr="003C749D">
              <w:t>ate</w:t>
            </w:r>
          </w:p>
        </w:tc>
        <w:tc>
          <w:tcPr>
            <w:tcW w:w="1286" w:type="dxa"/>
            <w:textDirection w:val="btLr"/>
            <w:vAlign w:val="center"/>
          </w:tcPr>
          <w:p w14:paraId="2D49E059" w14:textId="0637EB39" w:rsidR="001A14F3" w:rsidRPr="003C749D" w:rsidRDefault="001A14F3" w:rsidP="003C749D">
            <w:pPr>
              <w:pStyle w:val="TableColumnHeadCentered"/>
              <w:ind w:left="113" w:right="113"/>
              <w:jc w:val="left"/>
            </w:pPr>
            <w:r w:rsidRPr="003C749D">
              <w:t xml:space="preserve">Estimated </w:t>
            </w:r>
            <w:r w:rsidR="003B086F">
              <w:t>m</w:t>
            </w:r>
            <w:r w:rsidR="003B086F" w:rsidRPr="003C749D">
              <w:t xml:space="preserve">onetary </w:t>
            </w:r>
            <w:r w:rsidR="003B086F">
              <w:t>c</w:t>
            </w:r>
            <w:r w:rsidR="003B086F" w:rsidRPr="003C749D">
              <w:t xml:space="preserve">ost </w:t>
            </w:r>
            <w:r w:rsidRPr="003C749D">
              <w:t xml:space="preserve">of </w:t>
            </w:r>
            <w:r w:rsidR="003B086F">
              <w:t>b</w:t>
            </w:r>
            <w:r w:rsidR="003B086F" w:rsidRPr="003C749D">
              <w:t>urden</w:t>
            </w:r>
          </w:p>
        </w:tc>
      </w:tr>
      <w:tr w:rsidR="001A14F3" w:rsidRPr="00AE69EB" w14:paraId="2C6CB2F7" w14:textId="77777777" w:rsidTr="003C749D">
        <w:tc>
          <w:tcPr>
            <w:tcW w:w="1350" w:type="dxa"/>
          </w:tcPr>
          <w:p w14:paraId="0F68618C" w14:textId="2A47AA86" w:rsidR="001A14F3" w:rsidRDefault="003402A9" w:rsidP="003C749D">
            <w:pPr>
              <w:pStyle w:val="TableSubheading"/>
            </w:pPr>
            <w:r>
              <w:t>Initial P</w:t>
            </w:r>
            <w:r w:rsidR="001A14F3">
              <w:t>rovider</w:t>
            </w:r>
            <w:r w:rsidR="003B086F">
              <w:t xml:space="preserve"> </w:t>
            </w:r>
            <w:r w:rsidR="00E42DE9">
              <w:t>L</w:t>
            </w:r>
            <w:r w:rsidR="001A14F3">
              <w:t>ist collection</w:t>
            </w:r>
          </w:p>
        </w:tc>
        <w:tc>
          <w:tcPr>
            <w:tcW w:w="1433" w:type="dxa"/>
          </w:tcPr>
          <w:p w14:paraId="32730017" w14:textId="1A658EBB" w:rsidR="001A14F3" w:rsidRDefault="001A14F3" w:rsidP="003C749D">
            <w:pPr>
              <w:pStyle w:val="TableText"/>
            </w:pPr>
            <w:r>
              <w:t xml:space="preserve">State </w:t>
            </w:r>
            <w:r w:rsidR="003B086F">
              <w:t>directors</w:t>
            </w:r>
          </w:p>
        </w:tc>
        <w:tc>
          <w:tcPr>
            <w:tcW w:w="859" w:type="dxa"/>
          </w:tcPr>
          <w:p w14:paraId="00D75018" w14:textId="396AEE37" w:rsidR="001A14F3" w:rsidRPr="003C749D" w:rsidRDefault="001A14F3" w:rsidP="0072371E">
            <w:pPr>
              <w:pStyle w:val="TableText"/>
              <w:tabs>
                <w:tab w:val="decimal" w:pos="630"/>
              </w:tabs>
              <w:jc w:val="center"/>
            </w:pPr>
            <w:r w:rsidRPr="003C749D">
              <w:t>5</w:t>
            </w:r>
            <w:r w:rsidR="00946B7F">
              <w:t>1</w:t>
            </w:r>
          </w:p>
        </w:tc>
        <w:tc>
          <w:tcPr>
            <w:tcW w:w="1038" w:type="dxa"/>
          </w:tcPr>
          <w:p w14:paraId="5F28651C" w14:textId="77777777" w:rsidR="001A14F3" w:rsidRPr="003C749D" w:rsidRDefault="001A14F3" w:rsidP="003C749D">
            <w:pPr>
              <w:pStyle w:val="TableText"/>
              <w:tabs>
                <w:tab w:val="decimal" w:pos="576"/>
              </w:tabs>
            </w:pPr>
            <w:r w:rsidRPr="003C749D">
              <w:t>100%</w:t>
            </w:r>
          </w:p>
        </w:tc>
        <w:tc>
          <w:tcPr>
            <w:tcW w:w="900" w:type="dxa"/>
          </w:tcPr>
          <w:p w14:paraId="2BBBCC73" w14:textId="56418FB1" w:rsidR="001A14F3" w:rsidRPr="003C749D" w:rsidRDefault="001A14F3" w:rsidP="003C749D">
            <w:pPr>
              <w:pStyle w:val="TableText"/>
              <w:tabs>
                <w:tab w:val="decimal" w:pos="648"/>
              </w:tabs>
            </w:pPr>
            <w:r w:rsidRPr="003C749D">
              <w:t>5</w:t>
            </w:r>
            <w:r w:rsidR="00946B7F">
              <w:t>1</w:t>
            </w:r>
          </w:p>
        </w:tc>
        <w:tc>
          <w:tcPr>
            <w:tcW w:w="900" w:type="dxa"/>
          </w:tcPr>
          <w:p w14:paraId="5E9F1E95" w14:textId="77777777" w:rsidR="001A14F3" w:rsidRPr="003C749D" w:rsidRDefault="001A14F3" w:rsidP="003C749D">
            <w:pPr>
              <w:pStyle w:val="TableTextCentered"/>
            </w:pPr>
            <w:r w:rsidRPr="003C749D">
              <w:t>0.5</w:t>
            </w:r>
          </w:p>
        </w:tc>
        <w:tc>
          <w:tcPr>
            <w:tcW w:w="900" w:type="dxa"/>
          </w:tcPr>
          <w:p w14:paraId="19652CEC" w14:textId="2C325FBB" w:rsidR="001A14F3" w:rsidRPr="003C749D" w:rsidRDefault="001A14F3" w:rsidP="003C749D">
            <w:pPr>
              <w:pStyle w:val="TableTextCentered"/>
            </w:pPr>
            <w:r w:rsidRPr="003C749D">
              <w:t>2</w:t>
            </w:r>
            <w:r w:rsidR="00946B7F">
              <w:t>5</w:t>
            </w:r>
            <w:r w:rsidRPr="003C749D">
              <w:t>.5</w:t>
            </w:r>
          </w:p>
        </w:tc>
        <w:tc>
          <w:tcPr>
            <w:tcW w:w="810" w:type="dxa"/>
          </w:tcPr>
          <w:p w14:paraId="597917B3" w14:textId="77777777" w:rsidR="001A14F3" w:rsidRPr="003C749D" w:rsidRDefault="001A14F3" w:rsidP="003C749D">
            <w:pPr>
              <w:pStyle w:val="TableTextCentered"/>
            </w:pPr>
            <w:r w:rsidRPr="003C749D">
              <w:t>$49.78</w:t>
            </w:r>
          </w:p>
        </w:tc>
        <w:tc>
          <w:tcPr>
            <w:tcW w:w="1286" w:type="dxa"/>
          </w:tcPr>
          <w:p w14:paraId="158F1030" w14:textId="238F4806" w:rsidR="001A14F3" w:rsidRPr="003C749D" w:rsidRDefault="001A14F3" w:rsidP="003C749D">
            <w:pPr>
              <w:pStyle w:val="TableText"/>
              <w:tabs>
                <w:tab w:val="decimal" w:pos="792"/>
              </w:tabs>
            </w:pPr>
            <w:r w:rsidRPr="003C749D">
              <w:t>$</w:t>
            </w:r>
            <w:r w:rsidR="00946B7F">
              <w:t>1,269.39</w:t>
            </w:r>
          </w:p>
        </w:tc>
      </w:tr>
      <w:tr w:rsidR="003402A9" w:rsidRPr="00AE69EB" w14:paraId="6A392C4F" w14:textId="77777777" w:rsidTr="003C749D">
        <w:tc>
          <w:tcPr>
            <w:tcW w:w="1350" w:type="dxa"/>
          </w:tcPr>
          <w:p w14:paraId="36A74799" w14:textId="45214A50" w:rsidR="003402A9" w:rsidRDefault="003402A9" w:rsidP="003402A9">
            <w:pPr>
              <w:pStyle w:val="TableSubheading"/>
            </w:pPr>
            <w:r>
              <w:t>Updated Provider</w:t>
            </w:r>
            <w:r w:rsidR="003B086F">
              <w:t xml:space="preserve"> </w:t>
            </w:r>
            <w:r w:rsidR="00E42DE9">
              <w:t>L</w:t>
            </w:r>
            <w:r>
              <w:t>ist collection</w:t>
            </w:r>
          </w:p>
        </w:tc>
        <w:tc>
          <w:tcPr>
            <w:tcW w:w="1433" w:type="dxa"/>
          </w:tcPr>
          <w:p w14:paraId="4A7285D5" w14:textId="292CC99D" w:rsidR="003402A9" w:rsidRDefault="003402A9" w:rsidP="003402A9">
            <w:pPr>
              <w:pStyle w:val="TableText"/>
            </w:pPr>
            <w:r>
              <w:t xml:space="preserve">State </w:t>
            </w:r>
            <w:r w:rsidR="003B086F">
              <w:t>directors</w:t>
            </w:r>
          </w:p>
        </w:tc>
        <w:tc>
          <w:tcPr>
            <w:tcW w:w="859" w:type="dxa"/>
          </w:tcPr>
          <w:p w14:paraId="268520A3" w14:textId="4ACAE5C5" w:rsidR="003402A9" w:rsidRPr="003C749D" w:rsidRDefault="003402A9" w:rsidP="0072371E">
            <w:pPr>
              <w:pStyle w:val="TableText"/>
              <w:tabs>
                <w:tab w:val="decimal" w:pos="630"/>
              </w:tabs>
              <w:jc w:val="center"/>
            </w:pPr>
            <w:r w:rsidRPr="003C749D">
              <w:t>5</w:t>
            </w:r>
            <w:r w:rsidR="00946B7F">
              <w:t>1</w:t>
            </w:r>
          </w:p>
        </w:tc>
        <w:tc>
          <w:tcPr>
            <w:tcW w:w="1038" w:type="dxa"/>
          </w:tcPr>
          <w:p w14:paraId="5C41C20A" w14:textId="1C6EBF5B" w:rsidR="003402A9" w:rsidRPr="003C749D" w:rsidRDefault="003402A9" w:rsidP="003402A9">
            <w:pPr>
              <w:pStyle w:val="TableText"/>
              <w:tabs>
                <w:tab w:val="decimal" w:pos="576"/>
              </w:tabs>
            </w:pPr>
            <w:r w:rsidRPr="003C749D">
              <w:t>100%</w:t>
            </w:r>
          </w:p>
        </w:tc>
        <w:tc>
          <w:tcPr>
            <w:tcW w:w="900" w:type="dxa"/>
          </w:tcPr>
          <w:p w14:paraId="61BDD5A5" w14:textId="64DD9D5E" w:rsidR="003402A9" w:rsidRPr="003C749D" w:rsidRDefault="003402A9" w:rsidP="003402A9">
            <w:pPr>
              <w:pStyle w:val="TableText"/>
              <w:tabs>
                <w:tab w:val="decimal" w:pos="648"/>
              </w:tabs>
            </w:pPr>
            <w:r w:rsidRPr="003C749D">
              <w:t>5</w:t>
            </w:r>
            <w:r w:rsidR="00946B7F">
              <w:t>1</w:t>
            </w:r>
          </w:p>
        </w:tc>
        <w:tc>
          <w:tcPr>
            <w:tcW w:w="900" w:type="dxa"/>
          </w:tcPr>
          <w:p w14:paraId="4AB9F6E1" w14:textId="752B1A65" w:rsidR="003402A9" w:rsidRPr="003C749D" w:rsidRDefault="003402A9" w:rsidP="003402A9">
            <w:pPr>
              <w:pStyle w:val="TableTextCentered"/>
            </w:pPr>
            <w:r w:rsidRPr="003C749D">
              <w:t>0.5</w:t>
            </w:r>
          </w:p>
        </w:tc>
        <w:tc>
          <w:tcPr>
            <w:tcW w:w="900" w:type="dxa"/>
          </w:tcPr>
          <w:p w14:paraId="5B40EAB5" w14:textId="24EB0115" w:rsidR="003402A9" w:rsidRPr="003C749D" w:rsidRDefault="003402A9" w:rsidP="003402A9">
            <w:pPr>
              <w:pStyle w:val="TableTextCentered"/>
            </w:pPr>
            <w:r w:rsidRPr="003C749D">
              <w:t>2</w:t>
            </w:r>
            <w:r w:rsidR="00946B7F">
              <w:t>5</w:t>
            </w:r>
            <w:r w:rsidRPr="003C749D">
              <w:t>.5</w:t>
            </w:r>
          </w:p>
        </w:tc>
        <w:tc>
          <w:tcPr>
            <w:tcW w:w="810" w:type="dxa"/>
          </w:tcPr>
          <w:p w14:paraId="6478FAD7" w14:textId="54AE72B4" w:rsidR="003402A9" w:rsidRPr="003C749D" w:rsidRDefault="003402A9" w:rsidP="003402A9">
            <w:pPr>
              <w:pStyle w:val="TableTextCentered"/>
            </w:pPr>
            <w:r w:rsidRPr="003C749D">
              <w:t>$49.78</w:t>
            </w:r>
          </w:p>
        </w:tc>
        <w:tc>
          <w:tcPr>
            <w:tcW w:w="1286" w:type="dxa"/>
          </w:tcPr>
          <w:p w14:paraId="103C0930" w14:textId="6695459D" w:rsidR="003402A9" w:rsidRPr="003C749D" w:rsidRDefault="003402A9" w:rsidP="003402A9">
            <w:pPr>
              <w:pStyle w:val="TableText"/>
              <w:tabs>
                <w:tab w:val="decimal" w:pos="792"/>
              </w:tabs>
            </w:pPr>
            <w:r w:rsidRPr="003C749D">
              <w:t>$</w:t>
            </w:r>
            <w:r w:rsidR="00946B7F">
              <w:t>1,269.39</w:t>
            </w:r>
          </w:p>
        </w:tc>
      </w:tr>
      <w:tr w:rsidR="003402A9" w:rsidRPr="00AE69EB" w14:paraId="7AAC92A6" w14:textId="77777777" w:rsidTr="003C749D">
        <w:tc>
          <w:tcPr>
            <w:tcW w:w="1350" w:type="dxa"/>
          </w:tcPr>
          <w:p w14:paraId="611A8A0A" w14:textId="352382DD" w:rsidR="003402A9" w:rsidRDefault="003402A9" w:rsidP="003402A9">
            <w:pPr>
              <w:pStyle w:val="TableSubheading"/>
            </w:pPr>
            <w:r>
              <w:t>State Director Survey</w:t>
            </w:r>
          </w:p>
        </w:tc>
        <w:tc>
          <w:tcPr>
            <w:tcW w:w="1433" w:type="dxa"/>
          </w:tcPr>
          <w:p w14:paraId="522E9971" w14:textId="2E602D55" w:rsidR="003402A9" w:rsidRDefault="003402A9" w:rsidP="003402A9">
            <w:pPr>
              <w:pStyle w:val="TableText"/>
            </w:pPr>
            <w:r>
              <w:t xml:space="preserve">State </w:t>
            </w:r>
            <w:r w:rsidR="003B086F">
              <w:t>directors</w:t>
            </w:r>
          </w:p>
        </w:tc>
        <w:tc>
          <w:tcPr>
            <w:tcW w:w="859" w:type="dxa"/>
          </w:tcPr>
          <w:p w14:paraId="60C16EE6" w14:textId="77777777" w:rsidR="003402A9" w:rsidRPr="003C749D" w:rsidRDefault="003402A9" w:rsidP="0072371E">
            <w:pPr>
              <w:pStyle w:val="TableText"/>
              <w:tabs>
                <w:tab w:val="decimal" w:pos="630"/>
              </w:tabs>
              <w:jc w:val="center"/>
            </w:pPr>
            <w:r w:rsidRPr="003C749D">
              <w:t>57</w:t>
            </w:r>
          </w:p>
        </w:tc>
        <w:tc>
          <w:tcPr>
            <w:tcW w:w="1038" w:type="dxa"/>
          </w:tcPr>
          <w:p w14:paraId="77C84824" w14:textId="77777777" w:rsidR="003402A9" w:rsidRPr="003C749D" w:rsidRDefault="003402A9" w:rsidP="003402A9">
            <w:pPr>
              <w:pStyle w:val="TableText"/>
              <w:tabs>
                <w:tab w:val="decimal" w:pos="576"/>
              </w:tabs>
            </w:pPr>
            <w:r w:rsidRPr="003C749D">
              <w:t>100%</w:t>
            </w:r>
          </w:p>
        </w:tc>
        <w:tc>
          <w:tcPr>
            <w:tcW w:w="900" w:type="dxa"/>
          </w:tcPr>
          <w:p w14:paraId="59847E12" w14:textId="77777777" w:rsidR="003402A9" w:rsidRPr="003C749D" w:rsidRDefault="003402A9" w:rsidP="003402A9">
            <w:pPr>
              <w:pStyle w:val="TableText"/>
              <w:tabs>
                <w:tab w:val="decimal" w:pos="648"/>
              </w:tabs>
            </w:pPr>
            <w:r w:rsidRPr="003C749D">
              <w:t>57</w:t>
            </w:r>
          </w:p>
        </w:tc>
        <w:tc>
          <w:tcPr>
            <w:tcW w:w="900" w:type="dxa"/>
          </w:tcPr>
          <w:p w14:paraId="4AE54F15" w14:textId="77777777" w:rsidR="003402A9" w:rsidRPr="003C749D" w:rsidRDefault="003402A9" w:rsidP="003402A9">
            <w:pPr>
              <w:pStyle w:val="TableTextCentered"/>
            </w:pPr>
            <w:r w:rsidRPr="003C749D">
              <w:t>0.5</w:t>
            </w:r>
          </w:p>
        </w:tc>
        <w:tc>
          <w:tcPr>
            <w:tcW w:w="900" w:type="dxa"/>
          </w:tcPr>
          <w:p w14:paraId="5A17AA99" w14:textId="77777777" w:rsidR="003402A9" w:rsidRPr="003C749D" w:rsidRDefault="003402A9" w:rsidP="003402A9">
            <w:pPr>
              <w:pStyle w:val="TableTextCentered"/>
            </w:pPr>
            <w:r w:rsidRPr="003C749D">
              <w:t>28.5</w:t>
            </w:r>
          </w:p>
        </w:tc>
        <w:tc>
          <w:tcPr>
            <w:tcW w:w="810" w:type="dxa"/>
          </w:tcPr>
          <w:p w14:paraId="58F8A4D8" w14:textId="77777777" w:rsidR="003402A9" w:rsidRPr="003C749D" w:rsidRDefault="003402A9" w:rsidP="003402A9">
            <w:pPr>
              <w:pStyle w:val="TableTextCentered"/>
            </w:pPr>
            <w:r w:rsidRPr="003C749D">
              <w:t>$49.78</w:t>
            </w:r>
          </w:p>
        </w:tc>
        <w:tc>
          <w:tcPr>
            <w:tcW w:w="1286" w:type="dxa"/>
          </w:tcPr>
          <w:p w14:paraId="55D8D692" w14:textId="77777777" w:rsidR="003402A9" w:rsidRPr="003C749D" w:rsidRDefault="003402A9" w:rsidP="003402A9">
            <w:pPr>
              <w:pStyle w:val="TableText"/>
              <w:tabs>
                <w:tab w:val="decimal" w:pos="792"/>
              </w:tabs>
            </w:pPr>
            <w:r w:rsidRPr="003C749D">
              <w:t>$1,418.73</w:t>
            </w:r>
          </w:p>
        </w:tc>
      </w:tr>
      <w:tr w:rsidR="003402A9" w:rsidRPr="00AE69EB" w14:paraId="03B7CCF7" w14:textId="77777777" w:rsidTr="003C749D">
        <w:trPr>
          <w:trHeight w:val="1261"/>
        </w:trPr>
        <w:tc>
          <w:tcPr>
            <w:tcW w:w="1350" w:type="dxa"/>
          </w:tcPr>
          <w:p w14:paraId="4982F4EC" w14:textId="38A30EFF" w:rsidR="003402A9" w:rsidRPr="00EF447A" w:rsidRDefault="003402A9" w:rsidP="003402A9">
            <w:pPr>
              <w:pStyle w:val="TableSubheading"/>
            </w:pPr>
            <w:r>
              <w:t>Provider Survey</w:t>
            </w:r>
          </w:p>
          <w:p w14:paraId="3FFADD13" w14:textId="77777777" w:rsidR="003402A9" w:rsidRPr="00EF447A" w:rsidRDefault="003402A9" w:rsidP="003402A9">
            <w:pPr>
              <w:pStyle w:val="TableSubheading"/>
            </w:pPr>
          </w:p>
        </w:tc>
        <w:tc>
          <w:tcPr>
            <w:tcW w:w="1433" w:type="dxa"/>
          </w:tcPr>
          <w:p w14:paraId="15FFE57E" w14:textId="0969229F" w:rsidR="003402A9" w:rsidRPr="009732E3" w:rsidRDefault="003402A9" w:rsidP="003402A9">
            <w:pPr>
              <w:pStyle w:val="TableText"/>
            </w:pPr>
            <w:r>
              <w:t xml:space="preserve">Local </w:t>
            </w:r>
            <w:r w:rsidR="003B086F">
              <w:t>adult education directors</w:t>
            </w:r>
          </w:p>
        </w:tc>
        <w:tc>
          <w:tcPr>
            <w:tcW w:w="859" w:type="dxa"/>
          </w:tcPr>
          <w:p w14:paraId="1513C01C" w14:textId="079C80B7" w:rsidR="003402A9" w:rsidRPr="003C749D" w:rsidRDefault="003402A9" w:rsidP="003402A9">
            <w:pPr>
              <w:pStyle w:val="TableText"/>
              <w:tabs>
                <w:tab w:val="decimal" w:pos="630"/>
              </w:tabs>
            </w:pPr>
            <w:r w:rsidRPr="003C749D">
              <w:t>2,0</w:t>
            </w:r>
            <w:r w:rsidR="00946B7F">
              <w:t>00</w:t>
            </w:r>
          </w:p>
        </w:tc>
        <w:tc>
          <w:tcPr>
            <w:tcW w:w="1038" w:type="dxa"/>
          </w:tcPr>
          <w:p w14:paraId="31BDA187" w14:textId="77777777" w:rsidR="003402A9" w:rsidRPr="003C749D" w:rsidRDefault="003402A9" w:rsidP="003402A9">
            <w:pPr>
              <w:pStyle w:val="TableText"/>
              <w:tabs>
                <w:tab w:val="decimal" w:pos="576"/>
              </w:tabs>
            </w:pPr>
            <w:r w:rsidRPr="003C749D">
              <w:t>85%</w:t>
            </w:r>
          </w:p>
        </w:tc>
        <w:tc>
          <w:tcPr>
            <w:tcW w:w="900" w:type="dxa"/>
          </w:tcPr>
          <w:p w14:paraId="52EA8A17" w14:textId="1A029671" w:rsidR="003402A9" w:rsidRPr="003C749D" w:rsidRDefault="003402A9" w:rsidP="003402A9">
            <w:pPr>
              <w:pStyle w:val="TableText"/>
              <w:tabs>
                <w:tab w:val="decimal" w:pos="648"/>
              </w:tabs>
            </w:pPr>
            <w:r w:rsidRPr="003C749D">
              <w:t>1,7</w:t>
            </w:r>
            <w:r w:rsidR="00946B7F">
              <w:t>00</w:t>
            </w:r>
          </w:p>
        </w:tc>
        <w:tc>
          <w:tcPr>
            <w:tcW w:w="900" w:type="dxa"/>
          </w:tcPr>
          <w:p w14:paraId="0AC06A3A" w14:textId="77777777" w:rsidR="003402A9" w:rsidRPr="003C749D" w:rsidRDefault="003402A9" w:rsidP="003402A9">
            <w:pPr>
              <w:pStyle w:val="TableTextCentered"/>
            </w:pPr>
            <w:r w:rsidRPr="003C749D">
              <w:t>0.5</w:t>
            </w:r>
          </w:p>
        </w:tc>
        <w:tc>
          <w:tcPr>
            <w:tcW w:w="900" w:type="dxa"/>
          </w:tcPr>
          <w:p w14:paraId="12B7ECB1" w14:textId="70523C19" w:rsidR="003402A9" w:rsidRPr="003C749D" w:rsidRDefault="00946B7F" w:rsidP="003402A9">
            <w:pPr>
              <w:pStyle w:val="TableTextCentered"/>
            </w:pPr>
            <w:r>
              <w:t>850</w:t>
            </w:r>
          </w:p>
        </w:tc>
        <w:tc>
          <w:tcPr>
            <w:tcW w:w="810" w:type="dxa"/>
          </w:tcPr>
          <w:p w14:paraId="35000FED" w14:textId="77777777" w:rsidR="003402A9" w:rsidRPr="003C749D" w:rsidRDefault="003402A9" w:rsidP="003402A9">
            <w:pPr>
              <w:pStyle w:val="TableTextCentered"/>
            </w:pPr>
            <w:r w:rsidRPr="003C749D">
              <w:t>$44.41</w:t>
            </w:r>
          </w:p>
        </w:tc>
        <w:tc>
          <w:tcPr>
            <w:tcW w:w="1286" w:type="dxa"/>
          </w:tcPr>
          <w:p w14:paraId="5E6FD7D4" w14:textId="1DD87D20" w:rsidR="003402A9" w:rsidRPr="003C749D" w:rsidRDefault="003402A9" w:rsidP="003402A9">
            <w:pPr>
              <w:pStyle w:val="TableText"/>
              <w:tabs>
                <w:tab w:val="decimal" w:pos="792"/>
              </w:tabs>
            </w:pPr>
            <w:r w:rsidRPr="003C749D">
              <w:t>$</w:t>
            </w:r>
            <w:r w:rsidR="00946B7F">
              <w:t>37,748.50</w:t>
            </w:r>
          </w:p>
        </w:tc>
      </w:tr>
      <w:tr w:rsidR="003402A9" w:rsidRPr="00AE69EB" w14:paraId="29DD791F" w14:textId="77777777" w:rsidTr="003C749D">
        <w:tc>
          <w:tcPr>
            <w:tcW w:w="1350" w:type="dxa"/>
          </w:tcPr>
          <w:p w14:paraId="3D3ED741" w14:textId="77777777" w:rsidR="003402A9" w:rsidRPr="003F0CFE" w:rsidRDefault="003402A9" w:rsidP="003402A9">
            <w:pPr>
              <w:pStyle w:val="TableSubheading"/>
            </w:pPr>
            <w:r w:rsidRPr="003F0CFE">
              <w:t>TOTAL</w:t>
            </w:r>
          </w:p>
        </w:tc>
        <w:tc>
          <w:tcPr>
            <w:tcW w:w="1433" w:type="dxa"/>
          </w:tcPr>
          <w:p w14:paraId="2ED4A2F2" w14:textId="77777777" w:rsidR="003402A9" w:rsidRPr="006059F7" w:rsidRDefault="003402A9" w:rsidP="003402A9">
            <w:pPr>
              <w:pStyle w:val="TableText"/>
            </w:pPr>
          </w:p>
        </w:tc>
        <w:tc>
          <w:tcPr>
            <w:tcW w:w="859" w:type="dxa"/>
          </w:tcPr>
          <w:p w14:paraId="2E7BD896" w14:textId="122F6099" w:rsidR="003402A9" w:rsidRPr="006059F7" w:rsidRDefault="00E97AD1" w:rsidP="003402A9">
            <w:pPr>
              <w:pStyle w:val="TableText"/>
              <w:tabs>
                <w:tab w:val="decimal" w:pos="630"/>
              </w:tabs>
            </w:pPr>
            <w:r>
              <w:t>2,159</w:t>
            </w:r>
          </w:p>
        </w:tc>
        <w:tc>
          <w:tcPr>
            <w:tcW w:w="1038" w:type="dxa"/>
          </w:tcPr>
          <w:p w14:paraId="6030AE95" w14:textId="77777777" w:rsidR="003402A9" w:rsidRPr="006059F7" w:rsidRDefault="003402A9" w:rsidP="003402A9">
            <w:pPr>
              <w:pStyle w:val="TableText"/>
            </w:pPr>
          </w:p>
        </w:tc>
        <w:tc>
          <w:tcPr>
            <w:tcW w:w="900" w:type="dxa"/>
          </w:tcPr>
          <w:p w14:paraId="46A67DE5" w14:textId="25A203F6" w:rsidR="003402A9" w:rsidRPr="00BD23B6" w:rsidRDefault="003402A9" w:rsidP="003402A9">
            <w:pPr>
              <w:pStyle w:val="TableText"/>
              <w:tabs>
                <w:tab w:val="decimal" w:pos="648"/>
              </w:tabs>
            </w:pPr>
            <w:r w:rsidRPr="006059F7">
              <w:t>1,</w:t>
            </w:r>
            <w:r w:rsidR="006059F7" w:rsidRPr="006059F7">
              <w:t>8</w:t>
            </w:r>
            <w:r w:rsidR="00B26DB9">
              <w:t>59</w:t>
            </w:r>
          </w:p>
        </w:tc>
        <w:tc>
          <w:tcPr>
            <w:tcW w:w="900" w:type="dxa"/>
          </w:tcPr>
          <w:p w14:paraId="7C388604" w14:textId="29FA2398" w:rsidR="003402A9" w:rsidRPr="00BD23B6" w:rsidRDefault="006059F7" w:rsidP="003402A9">
            <w:pPr>
              <w:pStyle w:val="TableTextCentered"/>
            </w:pPr>
            <w:r w:rsidRPr="00BD23B6">
              <w:t>2</w:t>
            </w:r>
            <w:r w:rsidR="003402A9" w:rsidRPr="00BD23B6">
              <w:t>.</w:t>
            </w:r>
            <w:r w:rsidRPr="00BD23B6">
              <w:t>0</w:t>
            </w:r>
          </w:p>
        </w:tc>
        <w:tc>
          <w:tcPr>
            <w:tcW w:w="900" w:type="dxa"/>
          </w:tcPr>
          <w:p w14:paraId="1F7A40C4" w14:textId="537ECD02" w:rsidR="003402A9" w:rsidRPr="00BD23B6" w:rsidRDefault="003402A9" w:rsidP="003402A9">
            <w:pPr>
              <w:pStyle w:val="TableTextCentered"/>
            </w:pPr>
            <w:r w:rsidRPr="00BD23B6">
              <w:t>9</w:t>
            </w:r>
            <w:r w:rsidR="00B26DB9">
              <w:t>29.5</w:t>
            </w:r>
          </w:p>
        </w:tc>
        <w:tc>
          <w:tcPr>
            <w:tcW w:w="810" w:type="dxa"/>
          </w:tcPr>
          <w:p w14:paraId="301355AD" w14:textId="77777777" w:rsidR="003402A9" w:rsidRPr="00BD23B6" w:rsidRDefault="003402A9" w:rsidP="003402A9">
            <w:pPr>
              <w:pStyle w:val="TableText"/>
              <w:rPr>
                <w:b/>
              </w:rPr>
            </w:pPr>
          </w:p>
        </w:tc>
        <w:tc>
          <w:tcPr>
            <w:tcW w:w="1286" w:type="dxa"/>
          </w:tcPr>
          <w:p w14:paraId="70CAA9B5" w14:textId="428B9AFF" w:rsidR="003402A9" w:rsidRPr="00BD23B6" w:rsidRDefault="003402A9" w:rsidP="003402A9">
            <w:pPr>
              <w:pStyle w:val="TableText"/>
              <w:tabs>
                <w:tab w:val="decimal" w:pos="792"/>
              </w:tabs>
            </w:pPr>
            <w:r w:rsidRPr="00BD23B6">
              <w:t>$</w:t>
            </w:r>
            <w:r w:rsidR="00B26DB9">
              <w:t>41,706.01</w:t>
            </w:r>
          </w:p>
        </w:tc>
      </w:tr>
      <w:tr w:rsidR="003402A9" w:rsidRPr="00AE69EB" w14:paraId="5AF71733" w14:textId="77777777" w:rsidTr="003C749D">
        <w:tc>
          <w:tcPr>
            <w:tcW w:w="1350" w:type="dxa"/>
          </w:tcPr>
          <w:p w14:paraId="307C512F" w14:textId="2161E37D" w:rsidR="003402A9" w:rsidRPr="003F0CFE" w:rsidRDefault="003402A9" w:rsidP="003402A9">
            <w:pPr>
              <w:pStyle w:val="TableSubheading"/>
            </w:pPr>
            <w:r>
              <w:t xml:space="preserve">Annualized </w:t>
            </w:r>
            <w:r w:rsidR="003B086F">
              <w:t>basis</w:t>
            </w:r>
          </w:p>
        </w:tc>
        <w:tc>
          <w:tcPr>
            <w:tcW w:w="1433" w:type="dxa"/>
          </w:tcPr>
          <w:p w14:paraId="2C435762" w14:textId="77777777" w:rsidR="003402A9" w:rsidRPr="006059F7" w:rsidRDefault="003402A9" w:rsidP="003402A9">
            <w:pPr>
              <w:pStyle w:val="TableText"/>
            </w:pPr>
          </w:p>
        </w:tc>
        <w:tc>
          <w:tcPr>
            <w:tcW w:w="859" w:type="dxa"/>
          </w:tcPr>
          <w:p w14:paraId="2E7C263E" w14:textId="45AAA764" w:rsidR="003402A9" w:rsidRPr="006059F7" w:rsidRDefault="00B26DB9" w:rsidP="003402A9">
            <w:pPr>
              <w:pStyle w:val="TableText"/>
              <w:tabs>
                <w:tab w:val="decimal" w:pos="630"/>
              </w:tabs>
            </w:pPr>
            <w:r>
              <w:t>720</w:t>
            </w:r>
          </w:p>
        </w:tc>
        <w:tc>
          <w:tcPr>
            <w:tcW w:w="1038" w:type="dxa"/>
          </w:tcPr>
          <w:p w14:paraId="6BD3D19E" w14:textId="77777777" w:rsidR="003402A9" w:rsidRPr="006059F7" w:rsidRDefault="003402A9" w:rsidP="003402A9">
            <w:pPr>
              <w:pStyle w:val="TableText"/>
            </w:pPr>
          </w:p>
        </w:tc>
        <w:tc>
          <w:tcPr>
            <w:tcW w:w="900" w:type="dxa"/>
          </w:tcPr>
          <w:p w14:paraId="381D83F9" w14:textId="5FD1A508" w:rsidR="003402A9" w:rsidRPr="006059F7" w:rsidRDefault="00B26DB9" w:rsidP="003402A9">
            <w:pPr>
              <w:pStyle w:val="TableText"/>
              <w:tabs>
                <w:tab w:val="decimal" w:pos="648"/>
              </w:tabs>
            </w:pPr>
            <w:r>
              <w:t>619.7</w:t>
            </w:r>
          </w:p>
        </w:tc>
        <w:tc>
          <w:tcPr>
            <w:tcW w:w="900" w:type="dxa"/>
          </w:tcPr>
          <w:p w14:paraId="5F5CBEBF" w14:textId="5154C0E8" w:rsidR="003402A9" w:rsidRPr="006059F7" w:rsidRDefault="003402A9" w:rsidP="003402A9">
            <w:pPr>
              <w:pStyle w:val="TableTextCentered"/>
            </w:pPr>
            <w:r w:rsidRPr="006059F7">
              <w:t>0.</w:t>
            </w:r>
            <w:r w:rsidR="006059F7" w:rsidRPr="006059F7">
              <w:t>7</w:t>
            </w:r>
          </w:p>
        </w:tc>
        <w:tc>
          <w:tcPr>
            <w:tcW w:w="900" w:type="dxa"/>
          </w:tcPr>
          <w:p w14:paraId="040E96AF" w14:textId="2393ED42" w:rsidR="003402A9" w:rsidRPr="006059F7" w:rsidRDefault="00B26DB9" w:rsidP="003402A9">
            <w:pPr>
              <w:pStyle w:val="TableTextCentered"/>
            </w:pPr>
            <w:r>
              <w:t>309.8</w:t>
            </w:r>
          </w:p>
        </w:tc>
        <w:tc>
          <w:tcPr>
            <w:tcW w:w="810" w:type="dxa"/>
          </w:tcPr>
          <w:p w14:paraId="3EB75D43" w14:textId="77777777" w:rsidR="003402A9" w:rsidRPr="006059F7" w:rsidRDefault="003402A9" w:rsidP="003402A9">
            <w:pPr>
              <w:pStyle w:val="TableText"/>
              <w:rPr>
                <w:b/>
              </w:rPr>
            </w:pPr>
          </w:p>
        </w:tc>
        <w:tc>
          <w:tcPr>
            <w:tcW w:w="1286" w:type="dxa"/>
          </w:tcPr>
          <w:p w14:paraId="1B81BB31" w14:textId="7D01BE03" w:rsidR="003402A9" w:rsidRPr="006059F7" w:rsidRDefault="003402A9" w:rsidP="003402A9">
            <w:pPr>
              <w:pStyle w:val="TableText"/>
              <w:tabs>
                <w:tab w:val="decimal" w:pos="792"/>
              </w:tabs>
            </w:pPr>
            <w:r w:rsidRPr="006059F7">
              <w:t>$</w:t>
            </w:r>
            <w:r w:rsidR="00B26DB9">
              <w:t>13,902.00</w:t>
            </w:r>
          </w:p>
        </w:tc>
      </w:tr>
    </w:tbl>
    <w:p w14:paraId="5441D58B" w14:textId="77777777" w:rsidR="001A14F3" w:rsidRDefault="001A14F3" w:rsidP="0049087B">
      <w:pPr>
        <w:pStyle w:val="Heading3"/>
      </w:pPr>
      <w:bookmarkStart w:id="21" w:name="_Toc8218552"/>
      <w:r w:rsidRPr="004B0E2E">
        <w:t>A.13. Cost to Respondents</w:t>
      </w:r>
      <w:bookmarkEnd w:id="21"/>
    </w:p>
    <w:p w14:paraId="7CAA236A" w14:textId="58B00CB9" w:rsidR="001A14F3" w:rsidRPr="00B45168" w:rsidRDefault="001A14F3" w:rsidP="003C749D">
      <w:pPr>
        <w:pStyle w:val="BodyTextPostHead"/>
      </w:pPr>
      <w:r w:rsidRPr="00B45168">
        <w:t xml:space="preserve">No additional costs </w:t>
      </w:r>
      <w:r>
        <w:t xml:space="preserve">for respondents </w:t>
      </w:r>
      <w:r w:rsidRPr="00B45168">
        <w:t>are associated with this data collection beyond the burden estimated in item A</w:t>
      </w:r>
      <w:r w:rsidR="0049087B">
        <w:t>.</w:t>
      </w:r>
      <w:r w:rsidRPr="00B45168">
        <w:t>12.</w:t>
      </w:r>
    </w:p>
    <w:p w14:paraId="261D8542" w14:textId="658C868B" w:rsidR="001A14F3" w:rsidRPr="00B45168" w:rsidRDefault="001A14F3" w:rsidP="0049087B">
      <w:pPr>
        <w:pStyle w:val="Heading3"/>
      </w:pPr>
      <w:bookmarkStart w:id="22" w:name="_Toc449528012"/>
      <w:bookmarkStart w:id="23" w:name="_Toc8218553"/>
      <w:r w:rsidRPr="00B45168">
        <w:t>A</w:t>
      </w:r>
      <w:r w:rsidR="003B086F">
        <w:t>.</w:t>
      </w:r>
      <w:r w:rsidRPr="00B45168">
        <w:t xml:space="preserve">14. Estimate of Annualized Cost to </w:t>
      </w:r>
      <w:r w:rsidR="003B086F">
        <w:t xml:space="preserve">the </w:t>
      </w:r>
      <w:r w:rsidRPr="00B45168">
        <w:t>Federal Government</w:t>
      </w:r>
      <w:bookmarkEnd w:id="22"/>
      <w:bookmarkEnd w:id="23"/>
    </w:p>
    <w:p w14:paraId="558DF03E" w14:textId="0E91ADE4" w:rsidR="001A14F3" w:rsidRPr="00B45168" w:rsidRDefault="001A14F3" w:rsidP="003C749D">
      <w:pPr>
        <w:pStyle w:val="BodyTextPostHead"/>
      </w:pPr>
      <w:r w:rsidRPr="00B45168">
        <w:t>The estimated annualized cost to the federal government is $</w:t>
      </w:r>
      <w:r>
        <w:t>466,319.</w:t>
      </w:r>
      <w:r w:rsidRPr="00B45168">
        <w:t xml:space="preserve"> This estimate is based on the total </w:t>
      </w:r>
      <w:r>
        <w:t xml:space="preserve">data collection and reporting </w:t>
      </w:r>
      <w:r w:rsidRPr="00B45168">
        <w:t>cost of $</w:t>
      </w:r>
      <w:r w:rsidRPr="0082350A">
        <w:t>1</w:t>
      </w:r>
      <w:r>
        <w:t>,</w:t>
      </w:r>
      <w:r w:rsidRPr="0082350A">
        <w:t>398</w:t>
      </w:r>
      <w:r>
        <w:t>,</w:t>
      </w:r>
      <w:r w:rsidRPr="0082350A">
        <w:t>956</w:t>
      </w:r>
      <w:r>
        <w:t>.</w:t>
      </w:r>
      <w:r w:rsidRPr="00B45168">
        <w:t xml:space="preserve"> It includes costs </w:t>
      </w:r>
      <w:r>
        <w:t xml:space="preserve">for the development of </w:t>
      </w:r>
      <w:r w:rsidR="0049087B">
        <w:t xml:space="preserve">the </w:t>
      </w:r>
      <w:r>
        <w:t>data collection instruments</w:t>
      </w:r>
      <w:r w:rsidRPr="00B45168">
        <w:t xml:space="preserve">, </w:t>
      </w:r>
      <w:r>
        <w:t>d</w:t>
      </w:r>
      <w:r w:rsidRPr="00B45168">
        <w:t xml:space="preserve">ata collection, </w:t>
      </w:r>
      <w:r>
        <w:t>planning and conducting the data analyses</w:t>
      </w:r>
      <w:r w:rsidRPr="00B45168">
        <w:t xml:space="preserve">, </w:t>
      </w:r>
      <w:r>
        <w:t>a</w:t>
      </w:r>
      <w:r w:rsidRPr="00B45168">
        <w:t xml:space="preserve">nd </w:t>
      </w:r>
      <w:r>
        <w:t xml:space="preserve">preparing the study </w:t>
      </w:r>
      <w:r w:rsidRPr="00B45168">
        <w:t>report</w:t>
      </w:r>
      <w:r>
        <w:t>s</w:t>
      </w:r>
      <w:r w:rsidRPr="00B45168">
        <w:t xml:space="preserve">. </w:t>
      </w:r>
    </w:p>
    <w:p w14:paraId="41466E5D" w14:textId="75F357E8" w:rsidR="001A14F3" w:rsidRPr="00B45168" w:rsidRDefault="001A14F3" w:rsidP="0049087B">
      <w:pPr>
        <w:pStyle w:val="Heading3"/>
      </w:pPr>
      <w:bookmarkStart w:id="24" w:name="_Toc449528013"/>
      <w:bookmarkStart w:id="25" w:name="_Toc8218554"/>
      <w:r w:rsidRPr="00B45168">
        <w:t>A</w:t>
      </w:r>
      <w:r w:rsidR="003B086F">
        <w:t>.</w:t>
      </w:r>
      <w:r w:rsidRPr="00B45168">
        <w:t>15. Reasons for Changes in Estimated Burden</w:t>
      </w:r>
      <w:bookmarkEnd w:id="24"/>
      <w:bookmarkEnd w:id="25"/>
    </w:p>
    <w:p w14:paraId="4604B895" w14:textId="77777777" w:rsidR="001A14F3" w:rsidRPr="00B45168" w:rsidRDefault="001A14F3" w:rsidP="003C749D">
      <w:pPr>
        <w:pStyle w:val="BodyTextPostHead"/>
      </w:pPr>
      <w:r w:rsidRPr="00B45168">
        <w:t>This is a new data collection</w:t>
      </w:r>
      <w:r>
        <w:t>. N</w:t>
      </w:r>
      <w:r w:rsidRPr="00B45168">
        <w:t>o program changes or adjustments are reported.</w:t>
      </w:r>
    </w:p>
    <w:p w14:paraId="3E29FAF4" w14:textId="77777777" w:rsidR="001A14F3" w:rsidRPr="009A75B4" w:rsidRDefault="001A14F3" w:rsidP="0049087B">
      <w:pPr>
        <w:pStyle w:val="Heading3"/>
      </w:pPr>
      <w:bookmarkStart w:id="26" w:name="_Toc8218555"/>
      <w:r w:rsidRPr="004B0E2E">
        <w:t>A.16. Publication Plans and Project Schedule</w:t>
      </w:r>
      <w:bookmarkEnd w:id="26"/>
    </w:p>
    <w:p w14:paraId="6B8D3FC6" w14:textId="4C2E3ACC" w:rsidR="001A14F3" w:rsidRPr="0099403B" w:rsidRDefault="001F1220" w:rsidP="003C749D">
      <w:pPr>
        <w:pStyle w:val="BodyTextPostHead"/>
      </w:pPr>
      <w:r>
        <w:t xml:space="preserve">The study’s data collections </w:t>
      </w:r>
      <w:r w:rsidR="003B086F">
        <w:t xml:space="preserve">will </w:t>
      </w:r>
      <w:r w:rsidR="001A14F3">
        <w:t xml:space="preserve">begin in June 2019 and </w:t>
      </w:r>
      <w:r w:rsidR="001A14F3" w:rsidRPr="0099403B">
        <w:t xml:space="preserve">conclude in </w:t>
      </w:r>
      <w:r w:rsidR="001A14F3">
        <w:t>April</w:t>
      </w:r>
      <w:r w:rsidR="001A14F3" w:rsidRPr="0099403B">
        <w:t xml:space="preserve"> 20</w:t>
      </w:r>
      <w:r w:rsidR="001A14F3">
        <w:t>20</w:t>
      </w:r>
      <w:r w:rsidR="001A14F3" w:rsidRPr="0099403B">
        <w:t xml:space="preserve">. </w:t>
      </w:r>
      <w:r w:rsidR="0049087B">
        <w:t>The f</w:t>
      </w:r>
      <w:r w:rsidR="0049087B" w:rsidRPr="0099403B">
        <w:t xml:space="preserve">indings </w:t>
      </w:r>
      <w:r w:rsidR="001A14F3" w:rsidRPr="0099403B">
        <w:t xml:space="preserve">will be reported </w:t>
      </w:r>
      <w:r w:rsidR="002E4A2C">
        <w:t>through</w:t>
      </w:r>
      <w:r w:rsidR="001A14F3" w:rsidRPr="0099403B">
        <w:t xml:space="preserve"> </w:t>
      </w:r>
      <w:r w:rsidR="001A14F3">
        <w:t>two</w:t>
      </w:r>
      <w:r w:rsidR="001A14F3" w:rsidRPr="0099403B">
        <w:t xml:space="preserve"> report</w:t>
      </w:r>
      <w:r w:rsidR="001A14F3">
        <w:t>s. The first report will focus on findings from the State Director Survey, and the second will present findings from the Provider Survey within the context of state-level findings</w:t>
      </w:r>
      <w:r w:rsidR="001A14F3" w:rsidRPr="0099403B">
        <w:t xml:space="preserve">. </w:t>
      </w:r>
      <w:r w:rsidR="00F76D81">
        <w:t xml:space="preserve">A </w:t>
      </w:r>
      <w:r w:rsidR="0084051C">
        <w:t xml:space="preserve">set of </w:t>
      </w:r>
      <w:r w:rsidR="00F76D81">
        <w:t>restricted-use data file</w:t>
      </w:r>
      <w:r w:rsidR="0084051C">
        <w:t>s</w:t>
      </w:r>
      <w:r w:rsidR="00F76D81">
        <w:t xml:space="preserve"> </w:t>
      </w:r>
      <w:r w:rsidR="00A251E6">
        <w:t xml:space="preserve">containing study data </w:t>
      </w:r>
      <w:r w:rsidR="00F76D81">
        <w:t>will</w:t>
      </w:r>
      <w:r w:rsidR="00A251E6">
        <w:t xml:space="preserve"> also</w:t>
      </w:r>
      <w:r w:rsidR="00F76D81">
        <w:t xml:space="preserve"> be produced. </w:t>
      </w:r>
      <w:r w:rsidR="001A14F3" w:rsidRPr="0099403B">
        <w:t>The timeline for data collection activities and data dissemination is summarized in Exhibit A.</w:t>
      </w:r>
      <w:r w:rsidR="001A14F3">
        <w:t>4</w:t>
      </w:r>
      <w:r w:rsidR="001A14F3" w:rsidRPr="0099403B">
        <w:t>.</w:t>
      </w:r>
    </w:p>
    <w:p w14:paraId="24D486AB" w14:textId="77777777" w:rsidR="001A14F3" w:rsidRPr="0099403B" w:rsidRDefault="001A14F3" w:rsidP="003C749D">
      <w:pPr>
        <w:pStyle w:val="ExhibitTitle"/>
      </w:pPr>
      <w:r w:rsidRPr="0099403B">
        <w:t>Exhibit A.</w:t>
      </w:r>
      <w:r>
        <w:t>4</w:t>
      </w:r>
      <w:r w:rsidRPr="0099403B">
        <w:t xml:space="preserve">. Timeline </w:t>
      </w:r>
      <w:r w:rsidRPr="003C749D">
        <w:t>for</w:t>
      </w:r>
      <w:r w:rsidRPr="0099403B">
        <w:t xml:space="preserve"> Data Collection Activities and Reporting</w:t>
      </w:r>
    </w:p>
    <w:tbl>
      <w:tblPr>
        <w:tblStyle w:val="TableStyle-Simple"/>
        <w:tblW w:w="5000" w:type="pct"/>
        <w:tblInd w:w="0" w:type="dxa"/>
        <w:tblLook w:val="0620" w:firstRow="1" w:lastRow="0" w:firstColumn="0" w:lastColumn="0" w:noHBand="1" w:noVBand="1"/>
      </w:tblPr>
      <w:tblGrid>
        <w:gridCol w:w="6191"/>
        <w:gridCol w:w="3285"/>
      </w:tblGrid>
      <w:tr w:rsidR="001A14F3" w:rsidRPr="0099403B" w14:paraId="170A0423" w14:textId="77777777" w:rsidTr="00A71FAA">
        <w:trPr>
          <w:cnfStyle w:val="100000000000" w:firstRow="1" w:lastRow="0" w:firstColumn="0" w:lastColumn="0" w:oddVBand="0" w:evenVBand="0" w:oddHBand="0" w:evenHBand="0" w:firstRowFirstColumn="0" w:firstRowLastColumn="0" w:lastRowFirstColumn="0" w:lastRowLastColumn="0"/>
        </w:trPr>
        <w:tc>
          <w:tcPr>
            <w:tcW w:w="6191" w:type="dxa"/>
          </w:tcPr>
          <w:p w14:paraId="083F0BCA" w14:textId="5EB7DDC2" w:rsidR="001A14F3" w:rsidRPr="003C749D" w:rsidRDefault="001A14F3" w:rsidP="003C749D">
            <w:pPr>
              <w:pStyle w:val="TableColumnHeadCentered"/>
            </w:pPr>
            <w:r w:rsidRPr="003C749D">
              <w:t>Activity</w:t>
            </w:r>
          </w:p>
        </w:tc>
        <w:tc>
          <w:tcPr>
            <w:tcW w:w="3285" w:type="dxa"/>
          </w:tcPr>
          <w:p w14:paraId="75B40AAA" w14:textId="77777777" w:rsidR="001A14F3" w:rsidRPr="003C749D" w:rsidRDefault="001A14F3" w:rsidP="003C749D">
            <w:pPr>
              <w:pStyle w:val="TableColumnHeadCentered"/>
            </w:pPr>
            <w:r w:rsidRPr="003C749D">
              <w:t>Date</w:t>
            </w:r>
          </w:p>
        </w:tc>
      </w:tr>
      <w:tr w:rsidR="001A14F3" w:rsidRPr="0099403B" w14:paraId="1874C0D2" w14:textId="77777777" w:rsidTr="00A71FAA">
        <w:tc>
          <w:tcPr>
            <w:tcW w:w="6191" w:type="dxa"/>
          </w:tcPr>
          <w:p w14:paraId="764D673D" w14:textId="33E69ED2" w:rsidR="001A14F3" w:rsidRPr="00E77299" w:rsidRDefault="001A14F3" w:rsidP="002E4A2C">
            <w:pPr>
              <w:pStyle w:val="TableText"/>
            </w:pPr>
            <w:r w:rsidRPr="00E77299">
              <w:t xml:space="preserve">Begin collection of </w:t>
            </w:r>
            <w:r w:rsidR="006E11D2">
              <w:t>P</w:t>
            </w:r>
            <w:r w:rsidRPr="00E77299">
              <w:t xml:space="preserve">rovider </w:t>
            </w:r>
            <w:r w:rsidR="006E11D2">
              <w:t>L</w:t>
            </w:r>
            <w:r w:rsidRPr="00E77299">
              <w:t>ist from state directors</w:t>
            </w:r>
          </w:p>
        </w:tc>
        <w:tc>
          <w:tcPr>
            <w:tcW w:w="3285" w:type="dxa"/>
          </w:tcPr>
          <w:p w14:paraId="127E75AA" w14:textId="77777777" w:rsidR="001A14F3" w:rsidRPr="00E77299" w:rsidRDefault="001A14F3" w:rsidP="003C749D">
            <w:pPr>
              <w:pStyle w:val="TableText"/>
            </w:pPr>
            <w:r w:rsidRPr="00E77299">
              <w:t>June 2019</w:t>
            </w:r>
          </w:p>
        </w:tc>
      </w:tr>
      <w:tr w:rsidR="001A14F3" w:rsidRPr="0099403B" w14:paraId="15F53510" w14:textId="77777777" w:rsidTr="00A71FAA">
        <w:tc>
          <w:tcPr>
            <w:tcW w:w="6191" w:type="dxa"/>
          </w:tcPr>
          <w:p w14:paraId="5215E565" w14:textId="710FF2AD" w:rsidR="001A14F3" w:rsidRPr="00E77299" w:rsidRDefault="001A14F3" w:rsidP="003C749D">
            <w:pPr>
              <w:pStyle w:val="TableText"/>
            </w:pPr>
            <w:r w:rsidRPr="00E77299">
              <w:t xml:space="preserve">Complete collection of </w:t>
            </w:r>
            <w:r w:rsidR="006E11D2">
              <w:t>P</w:t>
            </w:r>
            <w:r w:rsidRPr="00E77299">
              <w:t xml:space="preserve">rovider </w:t>
            </w:r>
            <w:r w:rsidR="006E11D2">
              <w:t>L</w:t>
            </w:r>
            <w:r w:rsidRPr="00E77299">
              <w:t>ist</w:t>
            </w:r>
          </w:p>
        </w:tc>
        <w:tc>
          <w:tcPr>
            <w:tcW w:w="3285" w:type="dxa"/>
          </w:tcPr>
          <w:p w14:paraId="2D0E3ADF" w14:textId="77777777" w:rsidR="001A14F3" w:rsidRPr="00E77299" w:rsidRDefault="001A14F3" w:rsidP="003C749D">
            <w:pPr>
              <w:pStyle w:val="TableText"/>
            </w:pPr>
            <w:r w:rsidRPr="00E77299">
              <w:t>August 2019</w:t>
            </w:r>
          </w:p>
        </w:tc>
      </w:tr>
      <w:tr w:rsidR="001A14F3" w:rsidRPr="0099403B" w14:paraId="6E0EF28F" w14:textId="77777777" w:rsidTr="00A71FAA">
        <w:tc>
          <w:tcPr>
            <w:tcW w:w="6191" w:type="dxa"/>
          </w:tcPr>
          <w:p w14:paraId="7B015531" w14:textId="71639FC8" w:rsidR="001A14F3" w:rsidRPr="003C749D" w:rsidRDefault="001A14F3" w:rsidP="003C749D">
            <w:pPr>
              <w:pStyle w:val="TableText"/>
            </w:pPr>
            <w:r w:rsidRPr="003C749D">
              <w:t xml:space="preserve">Notify Provider Survey </w:t>
            </w:r>
            <w:r w:rsidR="006028C3">
              <w:t>participants</w:t>
            </w:r>
          </w:p>
        </w:tc>
        <w:tc>
          <w:tcPr>
            <w:tcW w:w="3285" w:type="dxa"/>
          </w:tcPr>
          <w:p w14:paraId="7D2E2358" w14:textId="77777777" w:rsidR="001A14F3" w:rsidRPr="003C749D" w:rsidRDefault="001A14F3" w:rsidP="003C749D">
            <w:pPr>
              <w:pStyle w:val="TableText"/>
            </w:pPr>
            <w:r w:rsidRPr="003C749D">
              <w:t>October 2019</w:t>
            </w:r>
          </w:p>
        </w:tc>
      </w:tr>
      <w:tr w:rsidR="001A14F3" w:rsidRPr="0099403B" w14:paraId="1DEF080B" w14:textId="77777777" w:rsidTr="00A71FAA">
        <w:tc>
          <w:tcPr>
            <w:tcW w:w="6191" w:type="dxa"/>
          </w:tcPr>
          <w:p w14:paraId="4E7C4113" w14:textId="77777777" w:rsidR="001A14F3" w:rsidRPr="003C749D" w:rsidRDefault="001A14F3" w:rsidP="003C749D">
            <w:pPr>
              <w:pStyle w:val="TableText"/>
            </w:pPr>
            <w:r w:rsidRPr="003C749D">
              <w:t>Begin Provider Survey data collection</w:t>
            </w:r>
          </w:p>
        </w:tc>
        <w:tc>
          <w:tcPr>
            <w:tcW w:w="3285" w:type="dxa"/>
          </w:tcPr>
          <w:p w14:paraId="0FD949C0" w14:textId="77777777" w:rsidR="001A14F3" w:rsidRPr="003C749D" w:rsidRDefault="001A14F3" w:rsidP="003C749D">
            <w:pPr>
              <w:pStyle w:val="TableText"/>
            </w:pPr>
            <w:r w:rsidRPr="003C749D">
              <w:t>October 2019</w:t>
            </w:r>
          </w:p>
        </w:tc>
      </w:tr>
      <w:tr w:rsidR="001A14F3" w:rsidRPr="0099403B" w14:paraId="14508D4C" w14:textId="77777777" w:rsidTr="00A71FAA">
        <w:tc>
          <w:tcPr>
            <w:tcW w:w="6191" w:type="dxa"/>
          </w:tcPr>
          <w:p w14:paraId="761457CC" w14:textId="77777777" w:rsidR="001A14F3" w:rsidRPr="003C749D" w:rsidRDefault="001A14F3" w:rsidP="003C749D">
            <w:pPr>
              <w:pStyle w:val="TableText"/>
            </w:pPr>
            <w:r w:rsidRPr="003C749D">
              <w:t>Complete Provider Survey data collection</w:t>
            </w:r>
          </w:p>
        </w:tc>
        <w:tc>
          <w:tcPr>
            <w:tcW w:w="3285" w:type="dxa"/>
          </w:tcPr>
          <w:p w14:paraId="05792A18" w14:textId="77777777" w:rsidR="001A14F3" w:rsidRPr="003C749D" w:rsidRDefault="001A14F3" w:rsidP="003C749D">
            <w:pPr>
              <w:pStyle w:val="TableText"/>
            </w:pPr>
            <w:r w:rsidRPr="003C749D">
              <w:t>April 2020</w:t>
            </w:r>
          </w:p>
        </w:tc>
      </w:tr>
      <w:tr w:rsidR="001A14F3" w:rsidRPr="0099403B" w14:paraId="0E795039" w14:textId="77777777" w:rsidTr="00A71FAA">
        <w:tc>
          <w:tcPr>
            <w:tcW w:w="6191" w:type="dxa"/>
          </w:tcPr>
          <w:p w14:paraId="71496763" w14:textId="15F5C0CF" w:rsidR="001A14F3" w:rsidRPr="003C749D" w:rsidRDefault="001A14F3" w:rsidP="003C749D">
            <w:pPr>
              <w:pStyle w:val="TableText"/>
            </w:pPr>
            <w:r w:rsidRPr="003C749D">
              <w:t xml:space="preserve">Notify State Director Survey </w:t>
            </w:r>
            <w:r w:rsidR="006028C3">
              <w:t>participants</w:t>
            </w:r>
          </w:p>
        </w:tc>
        <w:tc>
          <w:tcPr>
            <w:tcW w:w="3285" w:type="dxa"/>
          </w:tcPr>
          <w:p w14:paraId="28102572" w14:textId="77777777" w:rsidR="001A14F3" w:rsidRPr="003C749D" w:rsidRDefault="001A14F3" w:rsidP="003C749D">
            <w:pPr>
              <w:pStyle w:val="TableText"/>
            </w:pPr>
            <w:r w:rsidRPr="003C749D">
              <w:t>January 2020</w:t>
            </w:r>
          </w:p>
        </w:tc>
      </w:tr>
      <w:tr w:rsidR="001A14F3" w:rsidRPr="0099403B" w14:paraId="1186D97B" w14:textId="77777777" w:rsidTr="00A71FAA">
        <w:tc>
          <w:tcPr>
            <w:tcW w:w="6191" w:type="dxa"/>
          </w:tcPr>
          <w:p w14:paraId="5F074AF6" w14:textId="77777777" w:rsidR="001A14F3" w:rsidRPr="003C749D" w:rsidRDefault="001A14F3" w:rsidP="003C749D">
            <w:pPr>
              <w:pStyle w:val="TableText"/>
            </w:pPr>
            <w:r w:rsidRPr="003C749D">
              <w:t>Begin State Director Survey data collection</w:t>
            </w:r>
          </w:p>
        </w:tc>
        <w:tc>
          <w:tcPr>
            <w:tcW w:w="3285" w:type="dxa"/>
          </w:tcPr>
          <w:p w14:paraId="35D3984F" w14:textId="77777777" w:rsidR="001A14F3" w:rsidRPr="003C749D" w:rsidRDefault="001A14F3" w:rsidP="003C749D">
            <w:pPr>
              <w:pStyle w:val="TableText"/>
            </w:pPr>
            <w:r w:rsidRPr="003C749D">
              <w:t>January 2020</w:t>
            </w:r>
          </w:p>
        </w:tc>
      </w:tr>
      <w:tr w:rsidR="001A14F3" w:rsidRPr="0099403B" w14:paraId="1E4E9D8B" w14:textId="77777777" w:rsidTr="00A71FAA">
        <w:tc>
          <w:tcPr>
            <w:tcW w:w="6191" w:type="dxa"/>
          </w:tcPr>
          <w:p w14:paraId="7D5201CC" w14:textId="77777777" w:rsidR="001A14F3" w:rsidRPr="003C749D" w:rsidRDefault="001A14F3" w:rsidP="003C749D">
            <w:pPr>
              <w:pStyle w:val="TableText"/>
            </w:pPr>
            <w:r w:rsidRPr="003C749D">
              <w:t>Complete State Director Survey data collection</w:t>
            </w:r>
          </w:p>
        </w:tc>
        <w:tc>
          <w:tcPr>
            <w:tcW w:w="3285" w:type="dxa"/>
          </w:tcPr>
          <w:p w14:paraId="4E1BDF34" w14:textId="77777777" w:rsidR="001A14F3" w:rsidRPr="003C749D" w:rsidRDefault="001A14F3" w:rsidP="003C749D">
            <w:pPr>
              <w:pStyle w:val="TableText"/>
            </w:pPr>
            <w:r w:rsidRPr="003C749D">
              <w:t>April 2020</w:t>
            </w:r>
          </w:p>
        </w:tc>
      </w:tr>
      <w:tr w:rsidR="003402A9" w:rsidRPr="0099403B" w14:paraId="6267F3E7" w14:textId="77777777" w:rsidTr="00A71FAA">
        <w:tc>
          <w:tcPr>
            <w:tcW w:w="6191" w:type="dxa"/>
          </w:tcPr>
          <w:p w14:paraId="6D3FE10A" w14:textId="41E408D4" w:rsidR="003402A9" w:rsidRPr="003C749D" w:rsidRDefault="00A71FAA" w:rsidP="003C749D">
            <w:pPr>
              <w:pStyle w:val="TableText"/>
            </w:pPr>
            <w:r>
              <w:t xml:space="preserve">Begin collection of </w:t>
            </w:r>
            <w:r w:rsidR="006E11D2">
              <w:t>U</w:t>
            </w:r>
            <w:r w:rsidR="003402A9">
              <w:t>pdate</w:t>
            </w:r>
            <w:r>
              <w:t>d</w:t>
            </w:r>
            <w:r w:rsidR="003402A9">
              <w:t xml:space="preserve"> </w:t>
            </w:r>
            <w:r w:rsidR="006E11D2">
              <w:t>P</w:t>
            </w:r>
            <w:r w:rsidR="003402A9">
              <w:t>rovide</w:t>
            </w:r>
            <w:r>
              <w:t>r</w:t>
            </w:r>
            <w:r w:rsidR="003402A9">
              <w:t xml:space="preserve"> </w:t>
            </w:r>
            <w:r w:rsidR="006E11D2">
              <w:t>L</w:t>
            </w:r>
            <w:r w:rsidR="003402A9">
              <w:t>ist</w:t>
            </w:r>
            <w:r>
              <w:t xml:space="preserve"> from state directors</w:t>
            </w:r>
          </w:p>
        </w:tc>
        <w:tc>
          <w:tcPr>
            <w:tcW w:w="3285" w:type="dxa"/>
          </w:tcPr>
          <w:p w14:paraId="46A927C8" w14:textId="46A9670F" w:rsidR="003402A9" w:rsidRPr="003C749D" w:rsidRDefault="002C676F" w:rsidP="003C749D">
            <w:pPr>
              <w:pStyle w:val="TableText"/>
            </w:pPr>
            <w:r>
              <w:t>January 2020</w:t>
            </w:r>
          </w:p>
        </w:tc>
      </w:tr>
      <w:tr w:rsidR="00A71FAA" w:rsidRPr="0099403B" w14:paraId="0FF386EA" w14:textId="77777777" w:rsidTr="00A71FAA">
        <w:tc>
          <w:tcPr>
            <w:tcW w:w="6191" w:type="dxa"/>
          </w:tcPr>
          <w:p w14:paraId="71B926D9" w14:textId="187F122C" w:rsidR="00A71FAA" w:rsidRDefault="00A71FAA" w:rsidP="00A71FAA">
            <w:pPr>
              <w:pStyle w:val="TableText"/>
            </w:pPr>
            <w:r>
              <w:t xml:space="preserve">Complete collection of </w:t>
            </w:r>
            <w:r w:rsidR="006E11D2">
              <w:t>U</w:t>
            </w:r>
            <w:r>
              <w:t xml:space="preserve">pdated </w:t>
            </w:r>
            <w:r w:rsidR="006E11D2">
              <w:t>P</w:t>
            </w:r>
            <w:r>
              <w:t xml:space="preserve">rovider </w:t>
            </w:r>
            <w:r w:rsidR="006E11D2">
              <w:t>L</w:t>
            </w:r>
            <w:r>
              <w:t>ist</w:t>
            </w:r>
          </w:p>
        </w:tc>
        <w:tc>
          <w:tcPr>
            <w:tcW w:w="3285" w:type="dxa"/>
          </w:tcPr>
          <w:p w14:paraId="671446F8" w14:textId="0FF28710" w:rsidR="00A71FAA" w:rsidRDefault="00E0405F" w:rsidP="00A71FAA">
            <w:pPr>
              <w:pStyle w:val="TableText"/>
            </w:pPr>
            <w:r>
              <w:t>May</w:t>
            </w:r>
            <w:r w:rsidR="00A71FAA">
              <w:t xml:space="preserve"> 2020</w:t>
            </w:r>
          </w:p>
        </w:tc>
      </w:tr>
      <w:tr w:rsidR="00A71FAA" w:rsidRPr="0099403B" w14:paraId="2356FEAE" w14:textId="77777777" w:rsidTr="00A71FAA">
        <w:tc>
          <w:tcPr>
            <w:tcW w:w="6191" w:type="dxa"/>
          </w:tcPr>
          <w:p w14:paraId="48FE9432" w14:textId="1361A158" w:rsidR="00A71FAA" w:rsidRPr="003C749D" w:rsidRDefault="00A71FAA" w:rsidP="00A71FAA">
            <w:pPr>
              <w:pStyle w:val="TableText"/>
            </w:pPr>
            <w:r w:rsidRPr="003C749D">
              <w:t>State Director Survey report</w:t>
            </w:r>
          </w:p>
        </w:tc>
        <w:tc>
          <w:tcPr>
            <w:tcW w:w="3285" w:type="dxa"/>
          </w:tcPr>
          <w:p w14:paraId="69880C91" w14:textId="77777777" w:rsidR="00A71FAA" w:rsidRPr="003C749D" w:rsidRDefault="00A71FAA" w:rsidP="00A71FAA">
            <w:pPr>
              <w:pStyle w:val="TableText"/>
            </w:pPr>
            <w:r w:rsidRPr="003C749D">
              <w:t>May 2021</w:t>
            </w:r>
          </w:p>
        </w:tc>
      </w:tr>
      <w:tr w:rsidR="00A71FAA" w:rsidRPr="0099403B" w14:paraId="4EEA4480" w14:textId="77777777" w:rsidTr="00A71FAA">
        <w:tc>
          <w:tcPr>
            <w:tcW w:w="6191" w:type="dxa"/>
          </w:tcPr>
          <w:p w14:paraId="5B75112E" w14:textId="237771FB" w:rsidR="00A71FAA" w:rsidRPr="003C749D" w:rsidRDefault="00A251E6" w:rsidP="00A71FAA">
            <w:pPr>
              <w:pStyle w:val="TableText"/>
            </w:pPr>
            <w:r>
              <w:t>Provider report</w:t>
            </w:r>
          </w:p>
        </w:tc>
        <w:tc>
          <w:tcPr>
            <w:tcW w:w="3285" w:type="dxa"/>
          </w:tcPr>
          <w:p w14:paraId="352105DA" w14:textId="77777777" w:rsidR="00A71FAA" w:rsidRPr="003C749D" w:rsidRDefault="00A71FAA" w:rsidP="00A71FAA">
            <w:pPr>
              <w:pStyle w:val="TableText"/>
            </w:pPr>
            <w:r w:rsidRPr="003C749D">
              <w:t>December 2021</w:t>
            </w:r>
          </w:p>
        </w:tc>
      </w:tr>
      <w:tr w:rsidR="00A71FAA" w:rsidRPr="0099403B" w14:paraId="45A1A254" w14:textId="77777777" w:rsidTr="00A71FAA">
        <w:tc>
          <w:tcPr>
            <w:tcW w:w="6191" w:type="dxa"/>
          </w:tcPr>
          <w:p w14:paraId="0C52C735" w14:textId="77777777" w:rsidR="00A71FAA" w:rsidRPr="003C749D" w:rsidRDefault="00A71FAA" w:rsidP="00A71FAA">
            <w:pPr>
              <w:pStyle w:val="TableText"/>
            </w:pPr>
            <w:r w:rsidRPr="003C749D">
              <w:t>Restricted-use data files</w:t>
            </w:r>
          </w:p>
        </w:tc>
        <w:tc>
          <w:tcPr>
            <w:tcW w:w="3285" w:type="dxa"/>
          </w:tcPr>
          <w:p w14:paraId="5EB0F486" w14:textId="77777777" w:rsidR="00A71FAA" w:rsidRPr="003C749D" w:rsidRDefault="00A71FAA" w:rsidP="00A71FAA">
            <w:pPr>
              <w:pStyle w:val="TableText"/>
            </w:pPr>
            <w:r w:rsidRPr="003C749D">
              <w:t>January 2022</w:t>
            </w:r>
          </w:p>
        </w:tc>
      </w:tr>
    </w:tbl>
    <w:p w14:paraId="64DD4EB3" w14:textId="77777777" w:rsidR="001A14F3" w:rsidRDefault="001A14F3" w:rsidP="0049087B">
      <w:pPr>
        <w:pStyle w:val="Heading3"/>
      </w:pPr>
      <w:bookmarkStart w:id="27" w:name="_Toc8218556"/>
      <w:r w:rsidRPr="004B0E2E">
        <w:t>A.17. Approval to Not Display the Expiration Date for OMB Approval</w:t>
      </w:r>
      <w:bookmarkEnd w:id="27"/>
    </w:p>
    <w:p w14:paraId="19210F3B" w14:textId="77777777" w:rsidR="001A14F3" w:rsidRPr="0099403B" w:rsidRDefault="001A14F3" w:rsidP="003C749D">
      <w:pPr>
        <w:pStyle w:val="BodyTextPostHead"/>
      </w:pPr>
      <w:r w:rsidRPr="0099403B">
        <w:t xml:space="preserve">The OMB authorization number and expiration date will be displayed on </w:t>
      </w:r>
      <w:r>
        <w:t>all data collection instruments</w:t>
      </w:r>
      <w:r w:rsidRPr="0099403B">
        <w:t>.</w:t>
      </w:r>
    </w:p>
    <w:p w14:paraId="24521AFC" w14:textId="77777777" w:rsidR="001A14F3" w:rsidRPr="00062B20" w:rsidRDefault="001A14F3" w:rsidP="0049087B">
      <w:pPr>
        <w:pStyle w:val="Heading3"/>
        <w:rPr>
          <w:noProof/>
        </w:rPr>
      </w:pPr>
      <w:bookmarkStart w:id="28" w:name="_Toc8218557"/>
      <w:r w:rsidRPr="004B0E2E">
        <w:t>A.18. Exceptions to the Certification Statement</w:t>
      </w:r>
      <w:bookmarkEnd w:id="28"/>
    </w:p>
    <w:p w14:paraId="7CE1F322" w14:textId="77777777" w:rsidR="0042026F" w:rsidRDefault="001A14F3" w:rsidP="003C749D">
      <w:pPr>
        <w:pStyle w:val="BodyTextPostHead"/>
      </w:pPr>
      <w:r w:rsidRPr="0099403B">
        <w:t>No exceptions to the certification statement identified in Item 19, “Certification for Paperwork Reduction Act Submissions,” of OMB Form 83-I are requested.</w:t>
      </w:r>
    </w:p>
    <w:p w14:paraId="378CFD42" w14:textId="77777777" w:rsidR="00A51635" w:rsidRPr="00A83993" w:rsidRDefault="00A51635" w:rsidP="00A51635">
      <w:pPr>
        <w:spacing w:line="20" w:lineRule="exact"/>
        <w:rPr>
          <w:rFonts w:ascii="Calibri" w:eastAsia="Calibri" w:hAnsi="Calibri" w:cs="Times New Roman"/>
          <w:sz w:val="2"/>
          <w:szCs w:val="2"/>
        </w:rPr>
      </w:pPr>
    </w:p>
    <w:p w14:paraId="5EE124EF" w14:textId="77777777" w:rsidR="00A51635" w:rsidRPr="00A83993" w:rsidRDefault="00A51635" w:rsidP="00A51635">
      <w:pPr>
        <w:pStyle w:val="NoSpacing"/>
      </w:pPr>
    </w:p>
    <w:sectPr w:rsidR="00A51635" w:rsidRPr="00A83993" w:rsidSect="00266D03">
      <w:headerReference w:type="default" r:id="rId14"/>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86643" w14:textId="77777777" w:rsidR="002B7294" w:rsidRDefault="002B7294" w:rsidP="00F712CC">
      <w:r>
        <w:separator/>
      </w:r>
    </w:p>
    <w:p w14:paraId="59F7FED7" w14:textId="77777777" w:rsidR="002B7294" w:rsidRDefault="002B7294"/>
  </w:endnote>
  <w:endnote w:type="continuationSeparator" w:id="0">
    <w:p w14:paraId="6A1B9083" w14:textId="77777777" w:rsidR="002B7294" w:rsidRDefault="002B7294" w:rsidP="00F712CC">
      <w:r>
        <w:continuationSeparator/>
      </w:r>
    </w:p>
    <w:p w14:paraId="3E83D8C4" w14:textId="77777777" w:rsidR="002B7294" w:rsidRDefault="002B7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2" w:type="dxa"/>
      <w:tblBorders>
        <w:top w:val="single" w:sz="24" w:space="0" w:color="00AEF8"/>
      </w:tblBorders>
      <w:tblLayout w:type="fixed"/>
      <w:tblCellMar>
        <w:left w:w="0" w:type="dxa"/>
        <w:right w:w="0" w:type="dxa"/>
      </w:tblCellMar>
      <w:tblLook w:val="04A0" w:firstRow="1" w:lastRow="0" w:firstColumn="1" w:lastColumn="0" w:noHBand="0" w:noVBand="1"/>
    </w:tblPr>
    <w:tblGrid>
      <w:gridCol w:w="5040"/>
      <w:gridCol w:w="3870"/>
      <w:gridCol w:w="462"/>
    </w:tblGrid>
    <w:tr w:rsidR="003B60B5" w:rsidRPr="00333D02" w14:paraId="7ED0BCC7" w14:textId="77777777" w:rsidTr="00A7300B">
      <w:tc>
        <w:tcPr>
          <w:tcW w:w="5040" w:type="dxa"/>
        </w:tcPr>
        <w:p w14:paraId="3B64C40B" w14:textId="77777777" w:rsidR="003B60B5" w:rsidRPr="00333D02" w:rsidRDefault="003B60B5" w:rsidP="00266D03">
          <w:pPr>
            <w:widowControl w:val="0"/>
            <w:spacing w:before="20"/>
            <w:rPr>
              <w:rFonts w:ascii="Arial" w:hAnsi="Arial" w:cs="Arial"/>
              <w:spacing w:val="-4"/>
              <w:sz w:val="14"/>
              <w:szCs w:val="14"/>
            </w:rPr>
          </w:pPr>
        </w:p>
      </w:tc>
      <w:tc>
        <w:tcPr>
          <w:tcW w:w="3870" w:type="dxa"/>
          <w:tcBorders>
            <w:top w:val="single" w:sz="24" w:space="0" w:color="003461"/>
            <w:bottom w:val="nil"/>
          </w:tcBorders>
        </w:tcPr>
        <w:p w14:paraId="23C1A587" w14:textId="77777777" w:rsidR="003B60B5" w:rsidRPr="001C5AB6" w:rsidRDefault="003B60B5" w:rsidP="00266D03">
          <w:pPr>
            <w:pStyle w:val="FooterAIR"/>
          </w:pPr>
          <w:r w:rsidRPr="001C5AB6">
            <w:t>AMERICAN INSTITUTES FOR RESEARCH | AIR.ORG</w:t>
          </w:r>
        </w:p>
      </w:tc>
      <w:tc>
        <w:tcPr>
          <w:tcW w:w="462" w:type="dxa"/>
        </w:tcPr>
        <w:p w14:paraId="56F7E31D" w14:textId="77777777" w:rsidR="003B60B5" w:rsidRPr="001715ED" w:rsidRDefault="003B60B5" w:rsidP="00266D03">
          <w:pPr>
            <w:pStyle w:val="FooterPgNum"/>
          </w:pPr>
          <w:r w:rsidRPr="001715ED">
            <w:fldChar w:fldCharType="begin"/>
          </w:r>
          <w:r w:rsidRPr="001715ED">
            <w:instrText xml:space="preserve"> PAGE   \* MERGEFORMAT </w:instrText>
          </w:r>
          <w:r w:rsidRPr="001715ED">
            <w:fldChar w:fldCharType="separate"/>
          </w:r>
          <w:r w:rsidR="00837E71">
            <w:rPr>
              <w:noProof/>
            </w:rPr>
            <w:t>6</w:t>
          </w:r>
          <w:r w:rsidRPr="001715ED">
            <w:fldChar w:fldCharType="end"/>
          </w:r>
        </w:p>
      </w:tc>
    </w:tr>
    <w:tr w:rsidR="003B60B5" w:rsidRPr="00333D02" w14:paraId="44EB8EDD" w14:textId="77777777" w:rsidTr="00A7300B">
      <w:tc>
        <w:tcPr>
          <w:tcW w:w="8910" w:type="dxa"/>
          <w:gridSpan w:val="2"/>
        </w:tcPr>
        <w:p w14:paraId="28E7180E" w14:textId="77777777" w:rsidR="003B60B5" w:rsidRPr="001715ED" w:rsidRDefault="003B60B5" w:rsidP="00266D03">
          <w:pPr>
            <w:pStyle w:val="FooterDisclaimer"/>
            <w:jc w:val="right"/>
          </w:pPr>
        </w:p>
      </w:tc>
      <w:tc>
        <w:tcPr>
          <w:tcW w:w="462" w:type="dxa"/>
        </w:tcPr>
        <w:p w14:paraId="44928B01" w14:textId="77777777" w:rsidR="003B60B5" w:rsidRPr="00333D02" w:rsidRDefault="003B60B5" w:rsidP="00266D03">
          <w:pPr>
            <w:spacing w:before="40" w:line="276" w:lineRule="auto"/>
            <w:jc w:val="right"/>
            <w:rPr>
              <w:rFonts w:ascii="Arial" w:eastAsia="MS Mincho" w:hAnsi="Arial" w:cs="Arial"/>
              <w:color w:val="003461"/>
              <w:spacing w:val="2"/>
              <w:sz w:val="16"/>
              <w:szCs w:val="22"/>
            </w:rPr>
          </w:pPr>
        </w:p>
      </w:tc>
    </w:tr>
  </w:tbl>
  <w:p w14:paraId="1BD48489" w14:textId="77777777" w:rsidR="003B60B5" w:rsidRPr="00333D02" w:rsidRDefault="003B60B5" w:rsidP="00266D03">
    <w:pPr>
      <w:spacing w:line="276" w:lineRule="auto"/>
      <w:rPr>
        <w:rFonts w:ascii="Times New Roman" w:hAnsi="Times New Roman" w:cs="Times New Roman"/>
        <w:sz w:val="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9E591" w14:textId="77777777" w:rsidR="002B7294" w:rsidRDefault="002B7294">
      <w:r>
        <w:separator/>
      </w:r>
    </w:p>
  </w:footnote>
  <w:footnote w:type="continuationSeparator" w:id="0">
    <w:p w14:paraId="08FF0247" w14:textId="77777777" w:rsidR="002B7294" w:rsidRDefault="002B7294">
      <w:r>
        <w:continuationSeparator/>
      </w:r>
    </w:p>
  </w:footnote>
  <w:footnote w:type="continuationNotice" w:id="1">
    <w:p w14:paraId="3EE60D6F" w14:textId="77777777" w:rsidR="002B7294" w:rsidRDefault="002B7294"/>
  </w:footnote>
  <w:footnote w:id="2">
    <w:p w14:paraId="780C416A" w14:textId="341C1EF7" w:rsidR="003B60B5" w:rsidRDefault="003B60B5" w:rsidP="00432EE2">
      <w:pPr>
        <w:pStyle w:val="FootnoteText"/>
      </w:pPr>
      <w:r>
        <w:rPr>
          <w:rStyle w:val="FootnoteReference"/>
        </w:rPr>
        <w:footnoteRef/>
      </w:r>
      <w:r>
        <w:t xml:space="preserve"> Title II of WIOA also is referred to as the Adult Education and Family Literacy Act.</w:t>
      </w:r>
    </w:p>
  </w:footnote>
  <w:footnote w:id="3">
    <w:p w14:paraId="2D673A87" w14:textId="02C52E61" w:rsidR="003B60B5" w:rsidRPr="001D507E" w:rsidRDefault="003B60B5" w:rsidP="00130687">
      <w:pPr>
        <w:pStyle w:val="FootnoteText"/>
      </w:pPr>
      <w:r w:rsidRPr="001D507E">
        <w:rPr>
          <w:rStyle w:val="FootnoteReference"/>
        </w:rPr>
        <w:footnoteRef/>
      </w:r>
      <w:r>
        <w:t xml:space="preserve"> The </w:t>
      </w:r>
      <w:r w:rsidRPr="001D507E">
        <w:t xml:space="preserve">NRS provides public access to </w:t>
      </w:r>
      <w:r w:rsidRPr="00EC26A5">
        <w:t xml:space="preserve">state-level </w:t>
      </w:r>
      <w:r w:rsidRPr="001D507E">
        <w:t>data, but for the purposes of this study</w:t>
      </w:r>
      <w:r>
        <w:t>,</w:t>
      </w:r>
      <w:r w:rsidRPr="001D507E">
        <w:t xml:space="preserve"> we </w:t>
      </w:r>
      <w:r>
        <w:t xml:space="preserve">will </w:t>
      </w:r>
      <w:r w:rsidRPr="001D507E">
        <w:t>seek provider-level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5B9DB" w14:textId="431A3FA0" w:rsidR="003B60B5" w:rsidRPr="001715ED" w:rsidRDefault="003B60B5" w:rsidP="00266D03">
    <w:pPr>
      <w:pStyle w:val="HeaderAIR"/>
    </w:pPr>
    <w:r w:rsidRPr="00E84A81">
      <w:t>The National Study of the Implementation of Adult Education Under the Workforce Innovation and Opportunity Act: Request for Clearance</w:t>
    </w:r>
    <w:r>
      <w:t xml:space="preserve">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AE6"/>
    <w:multiLevelType w:val="hybridMultilevel"/>
    <w:tmpl w:val="22382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2">
    <w:nsid w:val="11E700FA"/>
    <w:multiLevelType w:val="hybridMultilevel"/>
    <w:tmpl w:val="CAC21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462" w:themeColor="accent1"/>
      </w:rPr>
    </w:lvl>
    <w:lvl w:ilvl="1">
      <w:start w:val="1"/>
      <w:numFmt w:val="bullet"/>
      <w:pStyle w:val="TableBullet2"/>
      <w:lvlText w:val="–"/>
      <w:lvlJc w:val="left"/>
      <w:pPr>
        <w:ind w:left="432" w:hanging="216"/>
      </w:pPr>
      <w:rPr>
        <w:rFonts w:ascii="Times New Roman" w:hAnsi="Times New Roman" w:cs="Times New Roman" w:hint="default"/>
        <w:color w:val="003462" w:themeColor="accent1"/>
      </w:rPr>
    </w:lvl>
    <w:lvl w:ilvl="2">
      <w:start w:val="1"/>
      <w:numFmt w:val="bullet"/>
      <w:pStyle w:val="TableBullet3"/>
      <w:lvlText w:val="»"/>
      <w:lvlJc w:val="left"/>
      <w:pPr>
        <w:ind w:left="648" w:hanging="216"/>
      </w:pPr>
      <w:rPr>
        <w:rFonts w:ascii="Times New Roman" w:hAnsi="Times New Roman" w:cs="Times New Roman" w:hint="default"/>
        <w:color w:val="003462" w:themeColor="accent1"/>
      </w:rPr>
    </w:lvl>
    <w:lvl w:ilvl="3">
      <w:start w:val="1"/>
      <w:numFmt w:val="bullet"/>
      <w:lvlText w:val="◦"/>
      <w:lvlJc w:val="left"/>
      <w:pPr>
        <w:ind w:left="864" w:hanging="216"/>
      </w:pPr>
      <w:rPr>
        <w:rFonts w:ascii="Times New Roman" w:hAnsi="Times New Roman" w:cs="Times New Roman" w:hint="default"/>
        <w:color w:val="003462" w:themeColor="accent1"/>
      </w:rPr>
    </w:lvl>
    <w:lvl w:ilvl="4">
      <w:start w:val="1"/>
      <w:numFmt w:val="bullet"/>
      <w:lvlText w:val="›"/>
      <w:lvlJc w:val="left"/>
      <w:pPr>
        <w:ind w:left="1080" w:hanging="216"/>
      </w:pPr>
      <w:rPr>
        <w:rFonts w:ascii="Times New Roman" w:hAnsi="Times New Roman" w:cs="Times New Roman" w:hint="default"/>
        <w:color w:val="003462" w:themeColor="accent1"/>
      </w:rPr>
    </w:lvl>
    <w:lvl w:ilvl="5">
      <w:start w:val="1"/>
      <w:numFmt w:val="bullet"/>
      <w:lvlText w:val="‹"/>
      <w:lvlJc w:val="left"/>
      <w:pPr>
        <w:ind w:left="1296" w:hanging="216"/>
      </w:pPr>
      <w:rPr>
        <w:rFonts w:ascii="Times New Roman" w:hAnsi="Times New Roman" w:cs="Times New Roman" w:hint="default"/>
        <w:color w:val="003462" w:themeColor="accent1"/>
      </w:rPr>
    </w:lvl>
    <w:lvl w:ilvl="6">
      <w:start w:val="1"/>
      <w:numFmt w:val="bullet"/>
      <w:lvlText w:val="«"/>
      <w:lvlJc w:val="left"/>
      <w:pPr>
        <w:ind w:left="1512" w:hanging="216"/>
      </w:pPr>
      <w:rPr>
        <w:rFonts w:ascii="Times New Roman" w:hAnsi="Times New Roman" w:cs="Times New Roman" w:hint="default"/>
        <w:color w:val="003462" w:themeColor="accent1"/>
      </w:rPr>
    </w:lvl>
    <w:lvl w:ilvl="7">
      <w:start w:val="1"/>
      <w:numFmt w:val="bullet"/>
      <w:lvlText w:val="-"/>
      <w:lvlJc w:val="left"/>
      <w:pPr>
        <w:ind w:left="1728" w:hanging="216"/>
      </w:pPr>
      <w:rPr>
        <w:rFonts w:ascii="Times New Roman" w:hAnsi="Times New Roman" w:cs="Times New Roman" w:hint="default"/>
        <w:color w:val="003462" w:themeColor="accent1"/>
      </w:rPr>
    </w:lvl>
    <w:lvl w:ilvl="8">
      <w:start w:val="1"/>
      <w:numFmt w:val="bullet"/>
      <w:lvlText w:val=""/>
      <w:lvlJc w:val="left"/>
      <w:pPr>
        <w:ind w:left="1944" w:hanging="216"/>
      </w:pPr>
      <w:rPr>
        <w:rFonts w:ascii="Wingdings" w:hAnsi="Wingdings" w:hint="default"/>
        <w:color w:val="003462" w:themeColor="accent1"/>
      </w:rPr>
    </w:lvl>
  </w:abstractNum>
  <w:abstractNum w:abstractNumId="4">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462" w:themeColor="accent1"/>
        <w:sz w:val="24"/>
      </w:rPr>
    </w:lvl>
    <w:lvl w:ilvl="1">
      <w:start w:val="1"/>
      <w:numFmt w:val="bullet"/>
      <w:lvlText w:val="–"/>
      <w:lvlJc w:val="left"/>
      <w:pPr>
        <w:ind w:left="720" w:hanging="360"/>
      </w:pPr>
      <w:rPr>
        <w:rFonts w:ascii="Calibri" w:hAnsi="Calibri" w:hint="default"/>
        <w:color w:val="60B4FF" w:themeColor="background2" w:themeShade="BF"/>
        <w:sz w:val="24"/>
      </w:rPr>
    </w:lvl>
    <w:lvl w:ilvl="2">
      <w:start w:val="1"/>
      <w:numFmt w:val="bullet"/>
      <w:lvlText w:val="»"/>
      <w:lvlJc w:val="left"/>
      <w:pPr>
        <w:ind w:left="1080" w:hanging="360"/>
      </w:pPr>
      <w:rPr>
        <w:rFonts w:ascii="Calibri" w:hAnsi="Calibri" w:hint="default"/>
        <w:b w:val="0"/>
        <w:i w:val="0"/>
        <w:color w:val="003462"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6">
    <w:nsid w:val="2F6F7DA8"/>
    <w:multiLevelType w:val="multilevel"/>
    <w:tmpl w:val="0B262222"/>
    <w:numStyleLink w:val="ListOrdered-Body"/>
  </w:abstractNum>
  <w:abstractNum w:abstractNumId="7">
    <w:nsid w:val="2FE5135C"/>
    <w:multiLevelType w:val="multilevel"/>
    <w:tmpl w:val="0B262222"/>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8">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95959"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nsid w:val="3D9070B5"/>
    <w:multiLevelType w:val="multilevel"/>
    <w:tmpl w:val="5B3A48F6"/>
    <w:lvl w:ilvl="0">
      <w:start w:val="1"/>
      <w:numFmt w:val="decimal"/>
      <w:lvlText w:val="%1."/>
      <w:lvlJc w:val="left"/>
      <w:pPr>
        <w:ind w:left="360" w:hanging="360"/>
      </w:pPr>
      <w:rPr>
        <w:rFonts w:hint="default"/>
        <w:color w:val="003462" w:themeColor="accent1"/>
      </w:rPr>
    </w:lvl>
    <w:lvl w:ilvl="1">
      <w:start w:val="1"/>
      <w:numFmt w:val="bullet"/>
      <w:lvlText w:val="–"/>
      <w:lvlJc w:val="left"/>
      <w:pPr>
        <w:ind w:left="720" w:hanging="360"/>
      </w:pPr>
      <w:rPr>
        <w:rFonts w:ascii="Calibri" w:hAnsi="Calibri" w:hint="default"/>
        <w:color w:val="003462" w:themeColor="accent1"/>
      </w:rPr>
    </w:lvl>
    <w:lvl w:ilvl="2">
      <w:start w:val="1"/>
      <w:numFmt w:val="bullet"/>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abstractNum w:abstractNumId="1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11">
    <w:nsid w:val="5DDB5DB0"/>
    <w:multiLevelType w:val="multilevel"/>
    <w:tmpl w:val="B0B0D318"/>
    <w:numStyleLink w:val="ListBullets-Table"/>
  </w:abstractNum>
  <w:abstractNum w:abstractNumId="12">
    <w:nsid w:val="60991B1A"/>
    <w:multiLevelType w:val="multilevel"/>
    <w:tmpl w:val="059A2ECC"/>
    <w:numStyleLink w:val="ListOrdered-Table"/>
  </w:abstractNum>
  <w:abstractNum w:abstractNumId="13">
    <w:nsid w:val="68903700"/>
    <w:multiLevelType w:val="hybridMultilevel"/>
    <w:tmpl w:val="4724BC4C"/>
    <w:lvl w:ilvl="0" w:tplc="DC3ED7E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462" w:themeColor="accent1"/>
      </w:rPr>
    </w:lvl>
    <w:lvl w:ilvl="1">
      <w:start w:val="1"/>
      <w:numFmt w:val="bullet"/>
      <w:pStyle w:val="Bullet2"/>
      <w:lvlText w:val="–"/>
      <w:lvlJc w:val="left"/>
      <w:pPr>
        <w:ind w:left="720" w:hanging="360"/>
      </w:pPr>
      <w:rPr>
        <w:rFonts w:ascii="Calibri" w:hAnsi="Calibri" w:hint="default"/>
        <w:color w:val="003462" w:themeColor="accent1"/>
      </w:rPr>
    </w:lvl>
    <w:lvl w:ilvl="2">
      <w:start w:val="1"/>
      <w:numFmt w:val="bullet"/>
      <w:pStyle w:val="Bullet3"/>
      <w:lvlText w:val="»"/>
      <w:lvlJc w:val="left"/>
      <w:pPr>
        <w:ind w:left="1080" w:hanging="360"/>
      </w:pPr>
      <w:rPr>
        <w:rFonts w:ascii="Arial" w:hAnsi="Arial" w:hint="default"/>
        <w:color w:val="003462" w:themeColor="accent1"/>
      </w:rPr>
    </w:lvl>
    <w:lvl w:ilvl="3">
      <w:start w:val="1"/>
      <w:numFmt w:val="bullet"/>
      <w:lvlText w:val="◦"/>
      <w:lvlJc w:val="left"/>
      <w:pPr>
        <w:ind w:left="1440" w:hanging="360"/>
      </w:pPr>
      <w:rPr>
        <w:rFonts w:ascii="Calibri" w:hAnsi="Calibri" w:hint="default"/>
        <w:color w:val="003462" w:themeColor="accent1"/>
      </w:rPr>
    </w:lvl>
    <w:lvl w:ilvl="4">
      <w:start w:val="1"/>
      <w:numFmt w:val="bullet"/>
      <w:lvlText w:val="›"/>
      <w:lvlJc w:val="left"/>
      <w:pPr>
        <w:ind w:left="1800" w:hanging="360"/>
      </w:pPr>
      <w:rPr>
        <w:rFonts w:ascii="Calibri" w:hAnsi="Calibri" w:hint="default"/>
        <w:color w:val="003462" w:themeColor="accent1"/>
      </w:rPr>
    </w:lvl>
    <w:lvl w:ilvl="5">
      <w:start w:val="1"/>
      <w:numFmt w:val="bullet"/>
      <w:lvlText w:val="‹"/>
      <w:lvlJc w:val="left"/>
      <w:pPr>
        <w:ind w:left="2160" w:hanging="360"/>
      </w:pPr>
      <w:rPr>
        <w:rFonts w:ascii="Calibri" w:hAnsi="Calibri" w:hint="default"/>
        <w:color w:val="003462" w:themeColor="accent1"/>
      </w:rPr>
    </w:lvl>
    <w:lvl w:ilvl="6">
      <w:start w:val="1"/>
      <w:numFmt w:val="bullet"/>
      <w:lvlText w:val="«"/>
      <w:lvlJc w:val="left"/>
      <w:pPr>
        <w:ind w:left="2520" w:hanging="360"/>
      </w:pPr>
      <w:rPr>
        <w:rFonts w:ascii="Calibri" w:hAnsi="Calibri" w:hint="default"/>
        <w:color w:val="003462" w:themeColor="accent1"/>
      </w:rPr>
    </w:lvl>
    <w:lvl w:ilvl="7">
      <w:start w:val="1"/>
      <w:numFmt w:val="bullet"/>
      <w:lvlText w:val="-"/>
      <w:lvlJc w:val="left"/>
      <w:pPr>
        <w:ind w:left="2880" w:hanging="360"/>
      </w:pPr>
      <w:rPr>
        <w:rFonts w:ascii="Calibri" w:hAnsi="Calibri" w:hint="default"/>
        <w:color w:val="003462" w:themeColor="accent1"/>
      </w:rPr>
    </w:lvl>
    <w:lvl w:ilvl="8">
      <w:start w:val="1"/>
      <w:numFmt w:val="bullet"/>
      <w:lvlText w:val=""/>
      <w:lvlJc w:val="left"/>
      <w:pPr>
        <w:ind w:left="3240" w:hanging="360"/>
      </w:pPr>
      <w:rPr>
        <w:rFonts w:ascii="Wingdings" w:hAnsi="Wingdings" w:hint="default"/>
        <w:color w:val="003462" w:themeColor="accent1"/>
      </w:rPr>
    </w:lvl>
  </w:abstractNum>
  <w:num w:numId="1">
    <w:abstractNumId w:val="5"/>
  </w:num>
  <w:num w:numId="2">
    <w:abstractNumId w:val="14"/>
    <w:lvlOverride w:ilvl="0">
      <w:lvl w:ilvl="0">
        <w:start w:val="1"/>
        <w:numFmt w:val="bullet"/>
        <w:pStyle w:val="Bullet1"/>
        <w:lvlText w:val="•"/>
        <w:lvlJc w:val="left"/>
        <w:pPr>
          <w:ind w:left="360" w:hanging="360"/>
        </w:pPr>
        <w:rPr>
          <w:rFonts w:ascii="Calibri" w:hAnsi="Calibri" w:hint="default"/>
          <w:color w:val="003462" w:themeColor="accent1"/>
        </w:rPr>
      </w:lvl>
    </w:lvlOverride>
  </w:num>
  <w:num w:numId="3">
    <w:abstractNumId w:val="3"/>
  </w:num>
  <w:num w:numId="4">
    <w:abstractNumId w:val="10"/>
  </w:num>
  <w:num w:numId="5">
    <w:abstractNumId w:val="1"/>
  </w:num>
  <w:num w:numId="6">
    <w:abstractNumId w:val="6"/>
  </w:num>
  <w:num w:numId="7">
    <w:abstractNumId w:val="11"/>
  </w:num>
  <w:num w:numId="8">
    <w:abstractNumId w:val="12"/>
  </w:num>
  <w:num w:numId="9">
    <w:abstractNumId w:val="8"/>
  </w:num>
  <w:num w:numId="10">
    <w:abstractNumId w:val="4"/>
  </w:num>
  <w:num w:numId="11">
    <w:abstractNumId w:val="13"/>
  </w:num>
  <w:num w:numId="12">
    <w:abstractNumId w:val="14"/>
  </w:num>
  <w:num w:numId="13">
    <w:abstractNumId w:val="7"/>
  </w:num>
  <w:num w:numId="14">
    <w:abstractNumId w:val="2"/>
  </w:num>
  <w:num w:numId="15">
    <w:abstractNumId w:val="0"/>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ocumentProtection w:edit="readOnly" w:enforcement="0"/>
  <w:defaultTabStop w:val="720"/>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40"/>
    <w:rsid w:val="00004D5D"/>
    <w:rsid w:val="00005CE1"/>
    <w:rsid w:val="000154A9"/>
    <w:rsid w:val="00015C51"/>
    <w:rsid w:val="00016DDB"/>
    <w:rsid w:val="000209E7"/>
    <w:rsid w:val="000271FC"/>
    <w:rsid w:val="0004070A"/>
    <w:rsid w:val="00046F84"/>
    <w:rsid w:val="00047627"/>
    <w:rsid w:val="00054D81"/>
    <w:rsid w:val="000572E6"/>
    <w:rsid w:val="00060DBF"/>
    <w:rsid w:val="00061B1D"/>
    <w:rsid w:val="00070D83"/>
    <w:rsid w:val="00074E17"/>
    <w:rsid w:val="00091F1E"/>
    <w:rsid w:val="00097120"/>
    <w:rsid w:val="00097FA6"/>
    <w:rsid w:val="000A73F3"/>
    <w:rsid w:val="000B14AC"/>
    <w:rsid w:val="000B3114"/>
    <w:rsid w:val="000B4599"/>
    <w:rsid w:val="000B4962"/>
    <w:rsid w:val="000B7087"/>
    <w:rsid w:val="000C70EF"/>
    <w:rsid w:val="000D04CD"/>
    <w:rsid w:val="000D0792"/>
    <w:rsid w:val="000E07CF"/>
    <w:rsid w:val="000E3F88"/>
    <w:rsid w:val="000E4D05"/>
    <w:rsid w:val="000E7A82"/>
    <w:rsid w:val="00100703"/>
    <w:rsid w:val="00102BB4"/>
    <w:rsid w:val="00102EC1"/>
    <w:rsid w:val="00113310"/>
    <w:rsid w:val="0011644F"/>
    <w:rsid w:val="00130687"/>
    <w:rsid w:val="0013503E"/>
    <w:rsid w:val="001443B5"/>
    <w:rsid w:val="00146C50"/>
    <w:rsid w:val="00156D56"/>
    <w:rsid w:val="00165E7A"/>
    <w:rsid w:val="00166537"/>
    <w:rsid w:val="001715ED"/>
    <w:rsid w:val="00182132"/>
    <w:rsid w:val="00186068"/>
    <w:rsid w:val="001926B0"/>
    <w:rsid w:val="00195510"/>
    <w:rsid w:val="001A1437"/>
    <w:rsid w:val="001A14F3"/>
    <w:rsid w:val="001A77A8"/>
    <w:rsid w:val="001B0AFA"/>
    <w:rsid w:val="001B1B9B"/>
    <w:rsid w:val="001B302C"/>
    <w:rsid w:val="001B37E0"/>
    <w:rsid w:val="001B4520"/>
    <w:rsid w:val="001B6056"/>
    <w:rsid w:val="001B6CE8"/>
    <w:rsid w:val="001C4107"/>
    <w:rsid w:val="001C456D"/>
    <w:rsid w:val="001C5AB6"/>
    <w:rsid w:val="001D1EED"/>
    <w:rsid w:val="001D478E"/>
    <w:rsid w:val="001D507E"/>
    <w:rsid w:val="001D7CA7"/>
    <w:rsid w:val="001E7BDF"/>
    <w:rsid w:val="001F0690"/>
    <w:rsid w:val="001F1220"/>
    <w:rsid w:val="0020083F"/>
    <w:rsid w:val="00206EF2"/>
    <w:rsid w:val="00211743"/>
    <w:rsid w:val="0021184A"/>
    <w:rsid w:val="00214394"/>
    <w:rsid w:val="00223539"/>
    <w:rsid w:val="00234207"/>
    <w:rsid w:val="00245C70"/>
    <w:rsid w:val="002516BD"/>
    <w:rsid w:val="002646E9"/>
    <w:rsid w:val="00266D03"/>
    <w:rsid w:val="00267E86"/>
    <w:rsid w:val="00270CF4"/>
    <w:rsid w:val="00282DB6"/>
    <w:rsid w:val="00292910"/>
    <w:rsid w:val="00295153"/>
    <w:rsid w:val="002B1E00"/>
    <w:rsid w:val="002B7294"/>
    <w:rsid w:val="002B72E3"/>
    <w:rsid w:val="002C0A83"/>
    <w:rsid w:val="002C676F"/>
    <w:rsid w:val="002D0EEF"/>
    <w:rsid w:val="002E3A3C"/>
    <w:rsid w:val="002E4A2C"/>
    <w:rsid w:val="002E5365"/>
    <w:rsid w:val="002E73FE"/>
    <w:rsid w:val="002F3420"/>
    <w:rsid w:val="002F399C"/>
    <w:rsid w:val="00312006"/>
    <w:rsid w:val="00320096"/>
    <w:rsid w:val="00326571"/>
    <w:rsid w:val="00333D02"/>
    <w:rsid w:val="00337DB4"/>
    <w:rsid w:val="003402A9"/>
    <w:rsid w:val="0034047C"/>
    <w:rsid w:val="00341504"/>
    <w:rsid w:val="00342219"/>
    <w:rsid w:val="00354EAE"/>
    <w:rsid w:val="00362453"/>
    <w:rsid w:val="00366A8E"/>
    <w:rsid w:val="00366C6D"/>
    <w:rsid w:val="00367753"/>
    <w:rsid w:val="0037784A"/>
    <w:rsid w:val="00384018"/>
    <w:rsid w:val="003840FC"/>
    <w:rsid w:val="00385202"/>
    <w:rsid w:val="003943D6"/>
    <w:rsid w:val="003A0620"/>
    <w:rsid w:val="003A2DB1"/>
    <w:rsid w:val="003B0139"/>
    <w:rsid w:val="003B086F"/>
    <w:rsid w:val="003B0CBF"/>
    <w:rsid w:val="003B60B5"/>
    <w:rsid w:val="003C2BBD"/>
    <w:rsid w:val="003C641A"/>
    <w:rsid w:val="003C749D"/>
    <w:rsid w:val="003D1040"/>
    <w:rsid w:val="003D691D"/>
    <w:rsid w:val="003E1D74"/>
    <w:rsid w:val="003E31C9"/>
    <w:rsid w:val="003E6C17"/>
    <w:rsid w:val="0042026F"/>
    <w:rsid w:val="00420E92"/>
    <w:rsid w:val="00424D86"/>
    <w:rsid w:val="0042530E"/>
    <w:rsid w:val="00425645"/>
    <w:rsid w:val="00426E01"/>
    <w:rsid w:val="00432EE2"/>
    <w:rsid w:val="0045084F"/>
    <w:rsid w:val="004528D6"/>
    <w:rsid w:val="00453592"/>
    <w:rsid w:val="00455167"/>
    <w:rsid w:val="004710DC"/>
    <w:rsid w:val="00485126"/>
    <w:rsid w:val="0049087B"/>
    <w:rsid w:val="00496B9F"/>
    <w:rsid w:val="00497045"/>
    <w:rsid w:val="004A0A5E"/>
    <w:rsid w:val="004A1527"/>
    <w:rsid w:val="004A16B9"/>
    <w:rsid w:val="004A269D"/>
    <w:rsid w:val="004A292B"/>
    <w:rsid w:val="004A5A0E"/>
    <w:rsid w:val="004A7390"/>
    <w:rsid w:val="004D0E53"/>
    <w:rsid w:val="004D4E34"/>
    <w:rsid w:val="004D59AE"/>
    <w:rsid w:val="004E0836"/>
    <w:rsid w:val="004E1CD5"/>
    <w:rsid w:val="004E1DC9"/>
    <w:rsid w:val="004E3201"/>
    <w:rsid w:val="004F1C6D"/>
    <w:rsid w:val="004F1E98"/>
    <w:rsid w:val="004F2DA8"/>
    <w:rsid w:val="004F48A5"/>
    <w:rsid w:val="005015A0"/>
    <w:rsid w:val="00506262"/>
    <w:rsid w:val="00514121"/>
    <w:rsid w:val="005311B1"/>
    <w:rsid w:val="0053232A"/>
    <w:rsid w:val="0053295D"/>
    <w:rsid w:val="00533E0F"/>
    <w:rsid w:val="00534BFA"/>
    <w:rsid w:val="00545E85"/>
    <w:rsid w:val="00551F35"/>
    <w:rsid w:val="005550D2"/>
    <w:rsid w:val="005574A9"/>
    <w:rsid w:val="00557548"/>
    <w:rsid w:val="005575C4"/>
    <w:rsid w:val="005604BF"/>
    <w:rsid w:val="00571D88"/>
    <w:rsid w:val="00583F76"/>
    <w:rsid w:val="00584758"/>
    <w:rsid w:val="0059060F"/>
    <w:rsid w:val="0059339A"/>
    <w:rsid w:val="005A5A18"/>
    <w:rsid w:val="005A6785"/>
    <w:rsid w:val="005A7A84"/>
    <w:rsid w:val="005D0F80"/>
    <w:rsid w:val="005D2B75"/>
    <w:rsid w:val="005D4232"/>
    <w:rsid w:val="005D4FA2"/>
    <w:rsid w:val="005D59BF"/>
    <w:rsid w:val="005F0912"/>
    <w:rsid w:val="005F1C28"/>
    <w:rsid w:val="005F1E92"/>
    <w:rsid w:val="005F26B5"/>
    <w:rsid w:val="005F3C3B"/>
    <w:rsid w:val="005F50F0"/>
    <w:rsid w:val="005F7687"/>
    <w:rsid w:val="006028C3"/>
    <w:rsid w:val="006030F7"/>
    <w:rsid w:val="006059F7"/>
    <w:rsid w:val="006061D3"/>
    <w:rsid w:val="00616E4B"/>
    <w:rsid w:val="00620664"/>
    <w:rsid w:val="0062291E"/>
    <w:rsid w:val="00627BA3"/>
    <w:rsid w:val="00633A3D"/>
    <w:rsid w:val="0063610F"/>
    <w:rsid w:val="00636550"/>
    <w:rsid w:val="00637C6E"/>
    <w:rsid w:val="006476A0"/>
    <w:rsid w:val="00652C6A"/>
    <w:rsid w:val="006536D4"/>
    <w:rsid w:val="00655100"/>
    <w:rsid w:val="00662786"/>
    <w:rsid w:val="00670AEC"/>
    <w:rsid w:val="0069074C"/>
    <w:rsid w:val="0069298D"/>
    <w:rsid w:val="006A0AF1"/>
    <w:rsid w:val="006A7883"/>
    <w:rsid w:val="006C0B36"/>
    <w:rsid w:val="006C1517"/>
    <w:rsid w:val="006C25B5"/>
    <w:rsid w:val="006C43FB"/>
    <w:rsid w:val="006D1A40"/>
    <w:rsid w:val="006D2FAD"/>
    <w:rsid w:val="006E11D2"/>
    <w:rsid w:val="006E3BD8"/>
    <w:rsid w:val="006E7021"/>
    <w:rsid w:val="006F007A"/>
    <w:rsid w:val="006F4D8C"/>
    <w:rsid w:val="006F644D"/>
    <w:rsid w:val="00720B9F"/>
    <w:rsid w:val="0072371E"/>
    <w:rsid w:val="00724818"/>
    <w:rsid w:val="007359A3"/>
    <w:rsid w:val="00741798"/>
    <w:rsid w:val="00744FD7"/>
    <w:rsid w:val="00745167"/>
    <w:rsid w:val="0075721C"/>
    <w:rsid w:val="00757AF8"/>
    <w:rsid w:val="00763623"/>
    <w:rsid w:val="00765919"/>
    <w:rsid w:val="00766C7C"/>
    <w:rsid w:val="007830E5"/>
    <w:rsid w:val="007877AC"/>
    <w:rsid w:val="00787A89"/>
    <w:rsid w:val="00792F42"/>
    <w:rsid w:val="00795D41"/>
    <w:rsid w:val="007A1A2C"/>
    <w:rsid w:val="007A7701"/>
    <w:rsid w:val="007B622C"/>
    <w:rsid w:val="007C4510"/>
    <w:rsid w:val="007C4E46"/>
    <w:rsid w:val="007C7A5D"/>
    <w:rsid w:val="007E4146"/>
    <w:rsid w:val="00801DD6"/>
    <w:rsid w:val="00803C73"/>
    <w:rsid w:val="0080644D"/>
    <w:rsid w:val="00806E3F"/>
    <w:rsid w:val="00816B45"/>
    <w:rsid w:val="00822408"/>
    <w:rsid w:val="0082526B"/>
    <w:rsid w:val="00832509"/>
    <w:rsid w:val="00833909"/>
    <w:rsid w:val="00835F03"/>
    <w:rsid w:val="00835F49"/>
    <w:rsid w:val="00837E71"/>
    <w:rsid w:val="0084051C"/>
    <w:rsid w:val="0084380D"/>
    <w:rsid w:val="0084395E"/>
    <w:rsid w:val="008528FB"/>
    <w:rsid w:val="00875F75"/>
    <w:rsid w:val="008824FF"/>
    <w:rsid w:val="00894D60"/>
    <w:rsid w:val="008A502A"/>
    <w:rsid w:val="008B0595"/>
    <w:rsid w:val="008C2405"/>
    <w:rsid w:val="008C2B9A"/>
    <w:rsid w:val="008C581E"/>
    <w:rsid w:val="008C6BA0"/>
    <w:rsid w:val="008C77F7"/>
    <w:rsid w:val="008D1631"/>
    <w:rsid w:val="008D430D"/>
    <w:rsid w:val="008E64CD"/>
    <w:rsid w:val="008F0954"/>
    <w:rsid w:val="008F446A"/>
    <w:rsid w:val="008F4FC9"/>
    <w:rsid w:val="008F5A9F"/>
    <w:rsid w:val="008F6C93"/>
    <w:rsid w:val="008F6DA6"/>
    <w:rsid w:val="00903CA4"/>
    <w:rsid w:val="0090407C"/>
    <w:rsid w:val="00907749"/>
    <w:rsid w:val="00911129"/>
    <w:rsid w:val="0091338E"/>
    <w:rsid w:val="009152CD"/>
    <w:rsid w:val="00920AED"/>
    <w:rsid w:val="009213CC"/>
    <w:rsid w:val="0092228D"/>
    <w:rsid w:val="009272FD"/>
    <w:rsid w:val="00930075"/>
    <w:rsid w:val="00930CB8"/>
    <w:rsid w:val="00935B2E"/>
    <w:rsid w:val="00940FF3"/>
    <w:rsid w:val="0094185C"/>
    <w:rsid w:val="009462F3"/>
    <w:rsid w:val="00946B7F"/>
    <w:rsid w:val="009511A5"/>
    <w:rsid w:val="00957159"/>
    <w:rsid w:val="00965695"/>
    <w:rsid w:val="00974AEA"/>
    <w:rsid w:val="00980158"/>
    <w:rsid w:val="00980A3B"/>
    <w:rsid w:val="00980AD9"/>
    <w:rsid w:val="0099094B"/>
    <w:rsid w:val="0099388D"/>
    <w:rsid w:val="009975ED"/>
    <w:rsid w:val="009C7CBB"/>
    <w:rsid w:val="009C7DB2"/>
    <w:rsid w:val="009D21A9"/>
    <w:rsid w:val="009D3B81"/>
    <w:rsid w:val="009D7D20"/>
    <w:rsid w:val="009E045D"/>
    <w:rsid w:val="009E154F"/>
    <w:rsid w:val="009E22FC"/>
    <w:rsid w:val="009F2C78"/>
    <w:rsid w:val="009F65C8"/>
    <w:rsid w:val="00A20028"/>
    <w:rsid w:val="00A22788"/>
    <w:rsid w:val="00A233BC"/>
    <w:rsid w:val="00A251E6"/>
    <w:rsid w:val="00A26325"/>
    <w:rsid w:val="00A32C6D"/>
    <w:rsid w:val="00A421A8"/>
    <w:rsid w:val="00A42255"/>
    <w:rsid w:val="00A51635"/>
    <w:rsid w:val="00A60796"/>
    <w:rsid w:val="00A60D06"/>
    <w:rsid w:val="00A65B92"/>
    <w:rsid w:val="00A65E49"/>
    <w:rsid w:val="00A7171F"/>
    <w:rsid w:val="00A71FAA"/>
    <w:rsid w:val="00A72577"/>
    <w:rsid w:val="00A72A51"/>
    <w:rsid w:val="00A7300B"/>
    <w:rsid w:val="00A83FCA"/>
    <w:rsid w:val="00A87425"/>
    <w:rsid w:val="00A91509"/>
    <w:rsid w:val="00A96D0B"/>
    <w:rsid w:val="00A97042"/>
    <w:rsid w:val="00AA1CC1"/>
    <w:rsid w:val="00AB2915"/>
    <w:rsid w:val="00AB3FF8"/>
    <w:rsid w:val="00AB4DCF"/>
    <w:rsid w:val="00AC4459"/>
    <w:rsid w:val="00AD1994"/>
    <w:rsid w:val="00AE2E26"/>
    <w:rsid w:val="00AF3D16"/>
    <w:rsid w:val="00AF6392"/>
    <w:rsid w:val="00AF6A29"/>
    <w:rsid w:val="00B10354"/>
    <w:rsid w:val="00B26DB9"/>
    <w:rsid w:val="00B3313D"/>
    <w:rsid w:val="00B33402"/>
    <w:rsid w:val="00B361C5"/>
    <w:rsid w:val="00B4516D"/>
    <w:rsid w:val="00B46962"/>
    <w:rsid w:val="00B506C8"/>
    <w:rsid w:val="00B50C5C"/>
    <w:rsid w:val="00B53213"/>
    <w:rsid w:val="00B60182"/>
    <w:rsid w:val="00B62484"/>
    <w:rsid w:val="00B628BE"/>
    <w:rsid w:val="00B64403"/>
    <w:rsid w:val="00B6560E"/>
    <w:rsid w:val="00B74EEA"/>
    <w:rsid w:val="00B759EF"/>
    <w:rsid w:val="00B81A0D"/>
    <w:rsid w:val="00B840F1"/>
    <w:rsid w:val="00B8483B"/>
    <w:rsid w:val="00B96311"/>
    <w:rsid w:val="00BA142C"/>
    <w:rsid w:val="00BA4439"/>
    <w:rsid w:val="00BB07B0"/>
    <w:rsid w:val="00BB0C77"/>
    <w:rsid w:val="00BB3524"/>
    <w:rsid w:val="00BD0DA7"/>
    <w:rsid w:val="00BD23B6"/>
    <w:rsid w:val="00BD5256"/>
    <w:rsid w:val="00BE20C1"/>
    <w:rsid w:val="00BE6149"/>
    <w:rsid w:val="00BF46F3"/>
    <w:rsid w:val="00BF5AA1"/>
    <w:rsid w:val="00C071C6"/>
    <w:rsid w:val="00C12903"/>
    <w:rsid w:val="00C27C65"/>
    <w:rsid w:val="00C31EA8"/>
    <w:rsid w:val="00C3704F"/>
    <w:rsid w:val="00C37510"/>
    <w:rsid w:val="00C41056"/>
    <w:rsid w:val="00C41788"/>
    <w:rsid w:val="00C52F30"/>
    <w:rsid w:val="00C54D94"/>
    <w:rsid w:val="00C66D01"/>
    <w:rsid w:val="00C67E63"/>
    <w:rsid w:val="00C70506"/>
    <w:rsid w:val="00C70763"/>
    <w:rsid w:val="00C722FF"/>
    <w:rsid w:val="00C73811"/>
    <w:rsid w:val="00C773C8"/>
    <w:rsid w:val="00C86A97"/>
    <w:rsid w:val="00C979EE"/>
    <w:rsid w:val="00CB1D2C"/>
    <w:rsid w:val="00CB49FA"/>
    <w:rsid w:val="00CC3056"/>
    <w:rsid w:val="00CC414F"/>
    <w:rsid w:val="00CC4646"/>
    <w:rsid w:val="00CC47F8"/>
    <w:rsid w:val="00CD6542"/>
    <w:rsid w:val="00CE41FF"/>
    <w:rsid w:val="00CE4A1D"/>
    <w:rsid w:val="00CE5603"/>
    <w:rsid w:val="00CF1D23"/>
    <w:rsid w:val="00CF63D4"/>
    <w:rsid w:val="00CF6994"/>
    <w:rsid w:val="00D035F4"/>
    <w:rsid w:val="00D03CA8"/>
    <w:rsid w:val="00D076B7"/>
    <w:rsid w:val="00D07734"/>
    <w:rsid w:val="00D13BF6"/>
    <w:rsid w:val="00D16600"/>
    <w:rsid w:val="00D20E7B"/>
    <w:rsid w:val="00D2115D"/>
    <w:rsid w:val="00D259A4"/>
    <w:rsid w:val="00D25EA9"/>
    <w:rsid w:val="00D3661E"/>
    <w:rsid w:val="00D40406"/>
    <w:rsid w:val="00D40EA4"/>
    <w:rsid w:val="00D450BD"/>
    <w:rsid w:val="00D4550A"/>
    <w:rsid w:val="00D6353F"/>
    <w:rsid w:val="00D64200"/>
    <w:rsid w:val="00D7359C"/>
    <w:rsid w:val="00D747BB"/>
    <w:rsid w:val="00D84685"/>
    <w:rsid w:val="00D9449F"/>
    <w:rsid w:val="00D94E6A"/>
    <w:rsid w:val="00D94EC7"/>
    <w:rsid w:val="00D9520D"/>
    <w:rsid w:val="00D9585B"/>
    <w:rsid w:val="00DA12A9"/>
    <w:rsid w:val="00DA381D"/>
    <w:rsid w:val="00DB3955"/>
    <w:rsid w:val="00DB6494"/>
    <w:rsid w:val="00DB793F"/>
    <w:rsid w:val="00DC696B"/>
    <w:rsid w:val="00DD09F2"/>
    <w:rsid w:val="00DD13E6"/>
    <w:rsid w:val="00DD165C"/>
    <w:rsid w:val="00DD2786"/>
    <w:rsid w:val="00DD64A0"/>
    <w:rsid w:val="00DE5AC9"/>
    <w:rsid w:val="00DE7391"/>
    <w:rsid w:val="00DE79E4"/>
    <w:rsid w:val="00DF023B"/>
    <w:rsid w:val="00DF1AD0"/>
    <w:rsid w:val="00DF33AB"/>
    <w:rsid w:val="00E0405F"/>
    <w:rsid w:val="00E1548C"/>
    <w:rsid w:val="00E26A30"/>
    <w:rsid w:val="00E2762B"/>
    <w:rsid w:val="00E342CD"/>
    <w:rsid w:val="00E417B9"/>
    <w:rsid w:val="00E42DE9"/>
    <w:rsid w:val="00E44CC7"/>
    <w:rsid w:val="00E46B2A"/>
    <w:rsid w:val="00E5048C"/>
    <w:rsid w:val="00E50F54"/>
    <w:rsid w:val="00E66ED0"/>
    <w:rsid w:val="00E673D2"/>
    <w:rsid w:val="00E6740A"/>
    <w:rsid w:val="00E71E52"/>
    <w:rsid w:val="00E768E3"/>
    <w:rsid w:val="00E81758"/>
    <w:rsid w:val="00E82824"/>
    <w:rsid w:val="00E84A81"/>
    <w:rsid w:val="00E858E6"/>
    <w:rsid w:val="00E92FBF"/>
    <w:rsid w:val="00E95765"/>
    <w:rsid w:val="00E97AD1"/>
    <w:rsid w:val="00EA32F8"/>
    <w:rsid w:val="00EA3B82"/>
    <w:rsid w:val="00EA7FC3"/>
    <w:rsid w:val="00EB2A5A"/>
    <w:rsid w:val="00EB48B5"/>
    <w:rsid w:val="00EC08C1"/>
    <w:rsid w:val="00EC2222"/>
    <w:rsid w:val="00EC4239"/>
    <w:rsid w:val="00EC4986"/>
    <w:rsid w:val="00ED6CDD"/>
    <w:rsid w:val="00EE2ED3"/>
    <w:rsid w:val="00EE3779"/>
    <w:rsid w:val="00EE66A8"/>
    <w:rsid w:val="00EF054F"/>
    <w:rsid w:val="00EF2182"/>
    <w:rsid w:val="00F00248"/>
    <w:rsid w:val="00F049BF"/>
    <w:rsid w:val="00F0625F"/>
    <w:rsid w:val="00F17566"/>
    <w:rsid w:val="00F23AE4"/>
    <w:rsid w:val="00F36B85"/>
    <w:rsid w:val="00F42E64"/>
    <w:rsid w:val="00F4586E"/>
    <w:rsid w:val="00F5211E"/>
    <w:rsid w:val="00F524DD"/>
    <w:rsid w:val="00F56AB3"/>
    <w:rsid w:val="00F57C67"/>
    <w:rsid w:val="00F64D63"/>
    <w:rsid w:val="00F712CC"/>
    <w:rsid w:val="00F717BC"/>
    <w:rsid w:val="00F76D81"/>
    <w:rsid w:val="00F77E2E"/>
    <w:rsid w:val="00F928E2"/>
    <w:rsid w:val="00F9623D"/>
    <w:rsid w:val="00F968E3"/>
    <w:rsid w:val="00FB1BC4"/>
    <w:rsid w:val="00FC2D86"/>
    <w:rsid w:val="00FC3733"/>
    <w:rsid w:val="00FD35A4"/>
    <w:rsid w:val="00FD4644"/>
    <w:rsid w:val="00FD556C"/>
    <w:rsid w:val="00FD7AAF"/>
    <w:rsid w:val="00FF045A"/>
    <w:rsid w:val="00FF0C25"/>
    <w:rsid w:val="00FF55B8"/>
    <w:rsid w:val="00FF69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3F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qFormat="1"/>
    <w:lsdException w:name="footnote reference" w:uiPriority="0" w:qFormat="1"/>
    <w:lsdException w:name="Title" w:semiHidden="0" w:uiPriority="10" w:unhideWhenUsed="0"/>
    <w:lsdException w:name="Default Paragraph Font" w:uiPriority="1"/>
    <w:lsdException w:name="Body Text" w:uiPriority="0" w:qFormat="1"/>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8F6C93"/>
  </w:style>
  <w:style w:type="paragraph" w:styleId="Heading1">
    <w:name w:val="heading 1"/>
    <w:basedOn w:val="Normal"/>
    <w:next w:val="BodyText"/>
    <w:link w:val="Heading1Char"/>
    <w:uiPriority w:val="9"/>
    <w:qFormat/>
    <w:rsid w:val="00801DD6"/>
    <w:pPr>
      <w:keepNext/>
      <w:keepLines/>
      <w:suppressAutoHyphens/>
      <w:spacing w:before="640"/>
      <w:outlineLvl w:val="0"/>
    </w:pPr>
    <w:rPr>
      <w:rFonts w:asciiTheme="majorHAnsi" w:eastAsia="Perpetua" w:hAnsiTheme="majorHAnsi" w:cstheme="majorHAnsi"/>
      <w:color w:val="003462" w:themeColor="accent1"/>
      <w:sz w:val="56"/>
      <w:szCs w:val="56"/>
    </w:rPr>
  </w:style>
  <w:style w:type="paragraph" w:styleId="Heading2">
    <w:name w:val="heading 2"/>
    <w:next w:val="BodyText"/>
    <w:link w:val="Heading2Char"/>
    <w:uiPriority w:val="9"/>
    <w:qFormat/>
    <w:rsid w:val="005575C4"/>
    <w:pPr>
      <w:keepNext/>
      <w:keepLines/>
      <w:spacing w:before="240" w:after="120"/>
      <w:outlineLvl w:val="1"/>
    </w:pPr>
    <w:rPr>
      <w:rFonts w:asciiTheme="majorHAnsi" w:eastAsia="Times New Roman" w:hAnsiTheme="majorHAnsi" w:cs="Times New Roman"/>
      <w:b/>
      <w:bCs/>
      <w:color w:val="003462" w:themeColor="accent1"/>
      <w:sz w:val="36"/>
      <w:szCs w:val="36"/>
    </w:rPr>
  </w:style>
  <w:style w:type="paragraph" w:styleId="Heading3">
    <w:name w:val="heading 3"/>
    <w:next w:val="BodyText"/>
    <w:link w:val="Heading3Char"/>
    <w:autoRedefine/>
    <w:uiPriority w:val="9"/>
    <w:qFormat/>
    <w:rsid w:val="0049087B"/>
    <w:pPr>
      <w:keepNext/>
      <w:keepLines/>
      <w:spacing w:before="240"/>
      <w:outlineLvl w:val="2"/>
    </w:pPr>
    <w:rPr>
      <w:rFonts w:asciiTheme="majorHAnsi" w:eastAsiaTheme="majorEastAsia" w:hAnsiTheme="majorHAnsi" w:cstheme="majorBidi"/>
      <w:b/>
      <w:bCs/>
      <w:sz w:val="28"/>
      <w:szCs w:val="26"/>
    </w:rPr>
  </w:style>
  <w:style w:type="paragraph" w:styleId="Heading4">
    <w:name w:val="heading 4"/>
    <w:next w:val="BodyText"/>
    <w:link w:val="Heading4Char"/>
    <w:autoRedefine/>
    <w:uiPriority w:val="9"/>
    <w:qFormat/>
    <w:rsid w:val="005D4232"/>
    <w:pPr>
      <w:keepNext/>
      <w:keepLines/>
      <w:spacing w:before="240"/>
      <w:outlineLvl w:val="3"/>
    </w:pPr>
    <w:rPr>
      <w:rFonts w:asciiTheme="majorHAnsi" w:eastAsia="Times New Roman" w:hAnsiTheme="majorHAnsi" w:cs="Times New Roman"/>
      <w:b/>
      <w:bCs/>
      <w:i/>
      <w:iCs/>
      <w:sz w:val="26"/>
    </w:rPr>
  </w:style>
  <w:style w:type="paragraph" w:styleId="Heading5">
    <w:name w:val="heading 5"/>
    <w:next w:val="BodyText"/>
    <w:link w:val="Heading5Char"/>
    <w:uiPriority w:val="9"/>
    <w:qFormat/>
    <w:rsid w:val="00BB0C77"/>
    <w:pPr>
      <w:keepNext/>
      <w:keepLines/>
      <w:spacing w:before="240" w:after="120"/>
      <w:outlineLvl w:val="4"/>
    </w:pPr>
    <w:rPr>
      <w:rFonts w:asciiTheme="majorHAnsi" w:eastAsia="Times New Roman" w:hAnsiTheme="majorHAnsi" w:cs="Times New Roman"/>
      <w:b/>
    </w:r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basedOn w:val="BodyText"/>
    <w:next w:val="BodyText"/>
    <w:qFormat/>
    <w:rsid w:val="00930CB8"/>
    <w:pPr>
      <w:suppressAutoHyphens/>
      <w:spacing w:before="0"/>
    </w:pPr>
    <w:rPr>
      <w:rFonts w:eastAsiaTheme="minorEastAsia" w:cstheme="minorBidi"/>
    </w:rPr>
  </w:style>
  <w:style w:type="table" w:customStyle="1" w:styleId="TableStyle-ArialHeadings">
    <w:name w:val="__Table Style-Arial Headings"/>
    <w:basedOn w:val="TableNormal"/>
    <w:uiPriority w:val="99"/>
    <w:rsid w:val="004E0836"/>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customStyle="1" w:styleId="Bullet1">
    <w:name w:val="Bullet 1"/>
    <w:basedOn w:val="BodyText"/>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DB6494"/>
    <w:pPr>
      <w:spacing w:before="240" w:after="120"/>
    </w:pPr>
    <w:rPr>
      <w:rFonts w:eastAsia="Times New Roman" w:cs="Times New Roman"/>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ullet1"/>
    <w:qFormat/>
    <w:rsid w:val="00EE3779"/>
    <w:pPr>
      <w:numPr>
        <w:ilvl w:val="1"/>
      </w:numPr>
    </w:pPr>
  </w:style>
  <w:style w:type="paragraph" w:customStyle="1" w:styleId="Bullet3">
    <w:name w:val="Bullet 3"/>
    <w:basedOn w:val="Bullet1"/>
    <w:qFormat/>
    <w:rsid w:val="00EE3779"/>
    <w:pPr>
      <w:numPr>
        <w:ilvl w:val="2"/>
      </w:numPr>
    </w:pPr>
  </w:style>
  <w:style w:type="paragraph" w:customStyle="1" w:styleId="NumberedList">
    <w:name w:val="Numbered List"/>
    <w:basedOn w:val="BodyText"/>
    <w:uiPriority w:val="99"/>
    <w:qFormat/>
    <w:rsid w:val="00EE3779"/>
    <w:pPr>
      <w:keepLines/>
      <w:numPr>
        <w:numId w:val="6"/>
      </w:numPr>
      <w:suppressAutoHyphens/>
      <w:spacing w:before="120"/>
    </w:pPr>
  </w:style>
  <w:style w:type="paragraph" w:customStyle="1" w:styleId="TableBullet1">
    <w:name w:val="Table Bullet 1"/>
    <w:basedOn w:val="TableText"/>
    <w:qFormat/>
    <w:rsid w:val="00EE3779"/>
    <w:pPr>
      <w:numPr>
        <w:numId w:val="7"/>
      </w:numPr>
    </w:pPr>
    <w:rPr>
      <w:rFonts w:eastAsiaTheme="minorEastAsia" w:cstheme="minorBidi"/>
      <w:szCs w:val="24"/>
    </w:rPr>
  </w:style>
  <w:style w:type="paragraph" w:customStyle="1" w:styleId="TableBullet2">
    <w:name w:val="Table Bullet 2"/>
    <w:basedOn w:val="TableBullet1"/>
    <w:qFormat/>
    <w:rsid w:val="00EE3779"/>
    <w:pPr>
      <w:numPr>
        <w:ilvl w:val="1"/>
      </w:numPr>
    </w:pPr>
  </w:style>
  <w:style w:type="paragraph" w:customStyle="1" w:styleId="TableNumbering">
    <w:name w:val="Table Numbering"/>
    <w:basedOn w:val="TableText"/>
    <w:qFormat/>
    <w:rsid w:val="00EE3779"/>
    <w:pPr>
      <w:numPr>
        <w:numId w:val="8"/>
      </w:numPr>
    </w:pPr>
    <w:rPr>
      <w:rFonts w:eastAsiaTheme="minorEastAsia" w:cstheme="minorBidi"/>
      <w:szCs w:val="24"/>
    </w:rPr>
  </w:style>
  <w:style w:type="paragraph" w:styleId="BlockText">
    <w:name w:val="Block Text"/>
    <w:basedOn w:val="BodyText"/>
    <w:next w:val="BodyText"/>
    <w:qFormat/>
    <w:rsid w:val="00DB6494"/>
    <w:pPr>
      <w:spacing w:before="120"/>
      <w:ind w:left="720"/>
    </w:pPr>
  </w:style>
  <w:style w:type="paragraph" w:styleId="Caption">
    <w:name w:val="caption"/>
    <w:next w:val="Normal"/>
    <w:uiPriority w:val="99"/>
    <w:unhideWhenUsed/>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
    <w:qFormat/>
    <w:rsid w:val="00DB6494"/>
    <w:rPr>
      <w:vertAlign w:val="superscript"/>
    </w:rPr>
  </w:style>
  <w:style w:type="paragraph" w:styleId="FootnoteText">
    <w:name w:val="footnote text"/>
    <w:aliases w:val="F1,fn,ft,figure or table,Footnote Text Char1,Footnote Text Char Char,Footnote Text r"/>
    <w:link w:val="FootnoteTextChar"/>
    <w:qFormat/>
    <w:rsid w:val="00DB6494"/>
    <w:rPr>
      <w:rFonts w:eastAsia="Times New Roman" w:cs="Times New Roman"/>
      <w:sz w:val="20"/>
      <w:szCs w:val="20"/>
    </w:rPr>
  </w:style>
  <w:style w:type="character" w:customStyle="1" w:styleId="FootnoteTextChar">
    <w:name w:val="Footnote Text Char"/>
    <w:aliases w:val="F1 Char,fn Char,ft Char,figure or table Char,Footnote Text Char1 Char,Footnote Text Char Char Char,Footnote Text r Char"/>
    <w:basedOn w:val="DefaultParagraphFont"/>
    <w:link w:val="FootnoteText"/>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801DD6"/>
    <w:rPr>
      <w:rFonts w:asciiTheme="majorHAnsi" w:eastAsia="Perpetua" w:hAnsiTheme="majorHAnsi" w:cstheme="majorHAnsi"/>
      <w:color w:val="003462" w:themeColor="accent1"/>
      <w:sz w:val="56"/>
      <w:szCs w:val="56"/>
    </w:rPr>
  </w:style>
  <w:style w:type="character" w:customStyle="1" w:styleId="Heading2Char">
    <w:name w:val="Heading 2 Char"/>
    <w:basedOn w:val="DefaultParagraphFont"/>
    <w:link w:val="Heading2"/>
    <w:uiPriority w:val="9"/>
    <w:rsid w:val="005575C4"/>
    <w:rPr>
      <w:rFonts w:asciiTheme="majorHAnsi" w:eastAsia="Times New Roman" w:hAnsiTheme="majorHAnsi" w:cs="Times New Roman"/>
      <w:b/>
      <w:bCs/>
      <w:color w:val="003462"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462"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462" w:themeColor="accent1"/>
      <w:sz w:val="36"/>
      <w:szCs w:val="36"/>
    </w:rPr>
  </w:style>
  <w:style w:type="character" w:customStyle="1" w:styleId="Heading3Char">
    <w:name w:val="Heading 3 Char"/>
    <w:basedOn w:val="DefaultParagraphFont"/>
    <w:link w:val="Heading3"/>
    <w:uiPriority w:val="9"/>
    <w:rsid w:val="0049087B"/>
    <w:rPr>
      <w:rFonts w:asciiTheme="majorHAnsi" w:eastAsiaTheme="majorEastAsia" w:hAnsiTheme="majorHAnsi" w:cstheme="majorBidi"/>
      <w:b/>
      <w:bCs/>
      <w:sz w:val="28"/>
      <w:szCs w:val="26"/>
    </w:rPr>
  </w:style>
  <w:style w:type="paragraph" w:customStyle="1" w:styleId="Heading3NoTOC">
    <w:name w:val="Heading 3 No TOC"/>
    <w:link w:val="Heading3NoTOCChar"/>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rsid w:val="00801DD6"/>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5D4232"/>
    <w:rPr>
      <w:rFonts w:asciiTheme="majorHAnsi" w:eastAsia="Times New Roman" w:hAnsiTheme="majorHAnsi" w:cs="Times New Roman"/>
      <w:b/>
      <w:bCs/>
      <w:i/>
      <w:iCs/>
      <w:sz w:val="26"/>
    </w:rPr>
  </w:style>
  <w:style w:type="paragraph" w:customStyle="1" w:styleId="Heading4NoTOC">
    <w:name w:val="Heading 4 No TOC"/>
    <w:link w:val="Heading4NoTOCChar"/>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rsid w:val="00BB0C77"/>
    <w:rPr>
      <w:rFonts w:asciiTheme="majorHAnsi" w:eastAsia="Times New Roman" w:hAnsiTheme="majorHAnsi" w:cs="Times New Roman"/>
      <w:b/>
      <w:sz w:val="24"/>
      <w:szCs w:val="24"/>
    </w:rPr>
  </w:style>
  <w:style w:type="character" w:customStyle="1" w:styleId="Heading6Char">
    <w:name w:val="Heading 6 Char"/>
    <w:basedOn w:val="DefaultParagraphFont"/>
    <w:link w:val="Heading6"/>
    <w:rsid w:val="00BB0C77"/>
    <w:rPr>
      <w:rFonts w:asciiTheme="majorHAnsi" w:eastAsia="Times New Roman" w:hAnsiTheme="majorHAnsi" w:cs="Times New Roman"/>
      <w:b/>
      <w:i/>
      <w:iCs/>
      <w:sz w:val="24"/>
      <w:szCs w:val="24"/>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qFormat/>
    <w:rsid w:val="00875F75"/>
    <w:pPr>
      <w:jc w:val="center"/>
    </w:pPr>
    <w:rPr>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Exhibit Reads"/>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qFormat/>
    <w:rsid w:val="00583F76"/>
  </w:style>
  <w:style w:type="character" w:styleId="CommentReference">
    <w:name w:val="annotation reference"/>
    <w:basedOn w:val="DefaultParagraphFont"/>
    <w:uiPriority w:val="99"/>
    <w:semiHidden/>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074E17"/>
    <w:pPr>
      <w:widowControl w:val="0"/>
      <w:tabs>
        <w:tab w:val="center" w:pos="4680"/>
      </w:tabs>
      <w:spacing w:before="80"/>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6476A0"/>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NoTOC"/>
    <w:next w:val="Normal"/>
    <w:uiPriority w:val="38"/>
    <w:unhideWhenUsed/>
    <w:rsid w:val="00F36B85"/>
    <w:pPr>
      <w:spacing w:before="0" w:after="0"/>
    </w:pPr>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DB793F"/>
    <w:pPr>
      <w:spacing w:before="200" w:after="240" w:line="276" w:lineRule="auto"/>
      <w:ind w:left="1627" w:hanging="1627"/>
    </w:pPr>
    <w:rPr>
      <w:rFonts w:asciiTheme="majorHAnsi" w:eastAsia="Calibr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asciiTheme="majorHAnsi" w:eastAsia="Calibri" w:hAnsiTheme="majorHAnsi" w:cstheme="majorHAnsi"/>
      <w:bCs/>
      <w:caps/>
      <w:color w:val="000000"/>
      <w:sz w:val="36"/>
      <w:szCs w:val="32"/>
    </w:rPr>
  </w:style>
  <w:style w:type="paragraph" w:customStyle="1" w:styleId="CoverText">
    <w:name w:val="Cover Text"/>
    <w:basedOn w:val="Normal"/>
    <w:uiPriority w:val="99"/>
    <w:rsid w:val="00DB793F"/>
    <w:rPr>
      <w:rFonts w:asciiTheme="majorHAnsi" w:eastAsia="Calibri" w:hAnsiTheme="majorHAnsi"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uiPriority w:val="14"/>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462"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table" w:customStyle="1" w:styleId="TableGrid3">
    <w:name w:val="Table Grid3"/>
    <w:basedOn w:val="TableNormal"/>
    <w:next w:val="TableGrid"/>
    <w:rsid w:val="001B6C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table" w:customStyle="1" w:styleId="TableStyle-Simple">
    <w:name w:val="__Table Style-Simple"/>
    <w:basedOn w:val="TableNormal"/>
    <w:uiPriority w:val="99"/>
    <w:rsid w:val="009C7CBB"/>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ListBullets-Body">
    <w:name w:val="_List Bullets-Body"/>
    <w:uiPriority w:val="99"/>
    <w:rsid w:val="00EE3779"/>
    <w:pPr>
      <w:numPr>
        <w:numId w:val="12"/>
      </w:numPr>
    </w:pPr>
  </w:style>
  <w:style w:type="character" w:customStyle="1" w:styleId="UnresolvedMention1">
    <w:name w:val="Unresolved Mention1"/>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E95765"/>
    <w:pPr>
      <w:suppressAutoHyphens/>
      <w:spacing w:before="120" w:after="0" w:line="360" w:lineRule="auto"/>
    </w:pPr>
    <w:rPr>
      <w:rFonts w:ascii="Arial Narrow" w:eastAsiaTheme="minorHAnsi" w:hAnsi="Arial Narrow" w:cstheme="minorBidi"/>
      <w:sz w:val="22"/>
      <w:szCs w:val="22"/>
    </w:rPr>
  </w:style>
  <w:style w:type="paragraph" w:customStyle="1" w:styleId="CoverBackTagline">
    <w:name w:val="Cover Back Tagline"/>
    <w:basedOn w:val="CoverBackAboutAIR"/>
    <w:uiPriority w:val="99"/>
    <w:rsid w:val="00E95765"/>
    <w:pPr>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ascii="Arial" w:hAnsi="Arial"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51635"/>
    <w:pPr>
      <w:pBdr>
        <w:bottom w:val="single" w:sz="4" w:space="2" w:color="003462"/>
      </w:pBdr>
      <w:ind w:left="-360" w:right="-360"/>
      <w:jc w:val="right"/>
    </w:pPr>
    <w:rPr>
      <w:rFonts w:asciiTheme="majorHAnsi" w:eastAsiaTheme="minorHAnsi" w:hAnsiTheme="majorHAnsi"/>
      <w:i/>
      <w:color w:val="595959"/>
      <w:sz w:val="20"/>
      <w:szCs w:val="20"/>
    </w:rPr>
  </w:style>
  <w:style w:type="paragraph" w:styleId="NoSpacing">
    <w:name w:val="No Spacing"/>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A51635"/>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Theme="majorHAnsi" w:eastAsia="Batang" w:hAnsiTheme="majorHAnsi" w:cs="Times New Roman"/>
      <w:b/>
      <w:sz w:val="24"/>
      <w:szCs w:val="24"/>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paragraph" w:styleId="ListParagraph">
    <w:name w:val="List Paragraph"/>
    <w:basedOn w:val="Normal"/>
    <w:link w:val="ListParagraphChar"/>
    <w:uiPriority w:val="34"/>
    <w:qFormat/>
    <w:rsid w:val="001A14F3"/>
    <w:pPr>
      <w:spacing w:after="160" w:line="259" w:lineRule="auto"/>
      <w:ind w:left="720"/>
      <w:contextualSpacing/>
    </w:pPr>
    <w:rPr>
      <w:rFonts w:eastAsiaTheme="minorHAnsi"/>
      <w:sz w:val="22"/>
      <w:szCs w:val="22"/>
    </w:rPr>
  </w:style>
  <w:style w:type="character" w:customStyle="1" w:styleId="ExhibitTitleChar">
    <w:name w:val="Exhibit Title Char"/>
    <w:link w:val="ExhibitTitle"/>
    <w:uiPriority w:val="12"/>
    <w:rsid w:val="001A14F3"/>
    <w:rPr>
      <w:rFonts w:asciiTheme="majorHAnsi" w:eastAsia="Times New Roman" w:hAnsiTheme="majorHAnsi" w:cs="Times New Roman"/>
      <w:b/>
    </w:rPr>
  </w:style>
  <w:style w:type="paragraph" w:customStyle="1" w:styleId="TableColumnHeadCenter">
    <w:name w:val="Table Column Head Center"/>
    <w:basedOn w:val="TableColumnHeadLeft"/>
    <w:qFormat/>
    <w:rsid w:val="001A14F3"/>
    <w:pPr>
      <w:suppressAutoHyphens/>
      <w:spacing w:before="60" w:after="60" w:line="276" w:lineRule="auto"/>
      <w:jc w:val="center"/>
    </w:pPr>
    <w:rPr>
      <w:rFonts w:eastAsia="MS Mincho" w:cs="Arial"/>
      <w:color w:val="FFFFFF"/>
      <w:sz w:val="22"/>
      <w:szCs w:val="22"/>
    </w:rPr>
  </w:style>
  <w:style w:type="paragraph" w:customStyle="1" w:styleId="Bullet">
    <w:name w:val="Bullet"/>
    <w:basedOn w:val="BodyText"/>
    <w:qFormat/>
    <w:rsid w:val="001A14F3"/>
    <w:pPr>
      <w:numPr>
        <w:numId w:val="11"/>
      </w:numPr>
      <w:spacing w:before="0" w:after="240" w:line="276" w:lineRule="auto"/>
    </w:pPr>
    <w:rPr>
      <w:color w:val="595959" w:themeColor="text1"/>
      <w:sz w:val="23"/>
    </w:rPr>
  </w:style>
  <w:style w:type="paragraph" w:customStyle="1" w:styleId="AreaBullets">
    <w:name w:val="Area Bullets"/>
    <w:basedOn w:val="Normal"/>
    <w:qFormat/>
    <w:rsid w:val="001A14F3"/>
    <w:pPr>
      <w:numPr>
        <w:numId w:val="10"/>
      </w:numPr>
      <w:ind w:left="3060"/>
    </w:pPr>
    <w:rPr>
      <w:rFonts w:ascii="Times New Roman" w:eastAsia="Calibri" w:hAnsi="Times New Roman" w:cs="Times New Roman"/>
      <w:sz w:val="20"/>
      <w:szCs w:val="20"/>
    </w:rPr>
  </w:style>
  <w:style w:type="character" w:customStyle="1" w:styleId="ListParagraphChar">
    <w:name w:val="List Paragraph Char"/>
    <w:link w:val="ListParagraph"/>
    <w:uiPriority w:val="34"/>
    <w:rsid w:val="001A14F3"/>
    <w:rPr>
      <w:rFonts w:eastAsiaTheme="minorHAnsi"/>
      <w:sz w:val="22"/>
      <w:szCs w:val="22"/>
    </w:rPr>
  </w:style>
  <w:style w:type="paragraph" w:customStyle="1" w:styleId="ExhibitTextSmall">
    <w:name w:val="Exhibit Text Small"/>
    <w:basedOn w:val="Normal"/>
    <w:link w:val="ExhibitTextSmallChar"/>
    <w:qFormat/>
    <w:rsid w:val="001A14F3"/>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1A14F3"/>
    <w:rPr>
      <w:rFonts w:ascii="Calibri" w:eastAsia="Calibri" w:hAnsi="Calibri" w:cs="Times New Roman"/>
      <w:sz w:val="20"/>
      <w:szCs w:val="20"/>
    </w:rPr>
  </w:style>
  <w:style w:type="paragraph" w:customStyle="1" w:styleId="EXHIBIT">
    <w:name w:val="EXHIBIT"/>
    <w:rsid w:val="001A14F3"/>
    <w:pPr>
      <w:keepNext/>
      <w:spacing w:after="100" w:afterAutospacing="1"/>
      <w:jc w:val="center"/>
    </w:pPr>
    <w:rPr>
      <w:rFonts w:ascii="Arial" w:eastAsia="Times New Roman" w:hAnsi="Arial" w:cs="Times New Roman"/>
      <w:b/>
      <w:szCs w:val="20"/>
    </w:rPr>
  </w:style>
  <w:style w:type="paragraph" w:customStyle="1" w:styleId="P1-StandPara">
    <w:name w:val="P1-Stand Para"/>
    <w:uiPriority w:val="99"/>
    <w:rsid w:val="005F50F0"/>
    <w:pPr>
      <w:spacing w:line="360" w:lineRule="atLeast"/>
      <w:ind w:firstLine="1152"/>
      <w:jc w:val="both"/>
    </w:pPr>
    <w:rPr>
      <w:rFonts w:ascii="Times New Roman" w:eastAsia="Times New Roman" w:hAnsi="Times New Roman" w:cs="Times New Roman"/>
      <w:sz w:val="22"/>
      <w:szCs w:val="20"/>
    </w:rPr>
  </w:style>
  <w:style w:type="paragraph" w:customStyle="1" w:styleId="LetterText">
    <w:name w:val="Letter Text"/>
    <w:qFormat/>
    <w:rsid w:val="00C773C8"/>
    <w:pPr>
      <w:spacing w:after="220"/>
    </w:pPr>
    <w:rPr>
      <w:rFonts w:ascii="Calibri" w:eastAsia="Calibri" w:hAnsi="Calibri" w:cs="Times New Roman"/>
      <w:sz w:val="22"/>
      <w:szCs w:val="22"/>
    </w:rPr>
  </w:style>
  <w:style w:type="paragraph" w:customStyle="1" w:styleId="LetterTextNoSpace">
    <w:name w:val="Letter Text No Space"/>
    <w:basedOn w:val="LetterText"/>
    <w:qFormat/>
    <w:rsid w:val="00C773C8"/>
    <w:pPr>
      <w:spacing w:after="0"/>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qFormat="1"/>
    <w:lsdException w:name="footnote reference" w:uiPriority="0" w:qFormat="1"/>
    <w:lsdException w:name="Title" w:semiHidden="0" w:uiPriority="10" w:unhideWhenUsed="0"/>
    <w:lsdException w:name="Default Paragraph Font" w:uiPriority="1"/>
    <w:lsdException w:name="Body Text" w:uiPriority="0" w:qFormat="1"/>
    <w:lsdException w:name="Subtitle" w:semiHidden="0" w:uiPriority="11" w:unhideWhenUsed="0"/>
    <w:lsdException w:name="Block Text" w:uiPriority="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8F6C93"/>
  </w:style>
  <w:style w:type="paragraph" w:styleId="Heading1">
    <w:name w:val="heading 1"/>
    <w:basedOn w:val="Normal"/>
    <w:next w:val="BodyText"/>
    <w:link w:val="Heading1Char"/>
    <w:uiPriority w:val="9"/>
    <w:qFormat/>
    <w:rsid w:val="00801DD6"/>
    <w:pPr>
      <w:keepNext/>
      <w:keepLines/>
      <w:suppressAutoHyphens/>
      <w:spacing w:before="640"/>
      <w:outlineLvl w:val="0"/>
    </w:pPr>
    <w:rPr>
      <w:rFonts w:asciiTheme="majorHAnsi" w:eastAsia="Perpetua" w:hAnsiTheme="majorHAnsi" w:cstheme="majorHAnsi"/>
      <w:color w:val="003462" w:themeColor="accent1"/>
      <w:sz w:val="56"/>
      <w:szCs w:val="56"/>
    </w:rPr>
  </w:style>
  <w:style w:type="paragraph" w:styleId="Heading2">
    <w:name w:val="heading 2"/>
    <w:next w:val="BodyText"/>
    <w:link w:val="Heading2Char"/>
    <w:uiPriority w:val="9"/>
    <w:qFormat/>
    <w:rsid w:val="005575C4"/>
    <w:pPr>
      <w:keepNext/>
      <w:keepLines/>
      <w:spacing w:before="240" w:after="120"/>
      <w:outlineLvl w:val="1"/>
    </w:pPr>
    <w:rPr>
      <w:rFonts w:asciiTheme="majorHAnsi" w:eastAsia="Times New Roman" w:hAnsiTheme="majorHAnsi" w:cs="Times New Roman"/>
      <w:b/>
      <w:bCs/>
      <w:color w:val="003462" w:themeColor="accent1"/>
      <w:sz w:val="36"/>
      <w:szCs w:val="36"/>
    </w:rPr>
  </w:style>
  <w:style w:type="paragraph" w:styleId="Heading3">
    <w:name w:val="heading 3"/>
    <w:next w:val="BodyText"/>
    <w:link w:val="Heading3Char"/>
    <w:autoRedefine/>
    <w:uiPriority w:val="9"/>
    <w:qFormat/>
    <w:rsid w:val="0049087B"/>
    <w:pPr>
      <w:keepNext/>
      <w:keepLines/>
      <w:spacing w:before="240"/>
      <w:outlineLvl w:val="2"/>
    </w:pPr>
    <w:rPr>
      <w:rFonts w:asciiTheme="majorHAnsi" w:eastAsiaTheme="majorEastAsia" w:hAnsiTheme="majorHAnsi" w:cstheme="majorBidi"/>
      <w:b/>
      <w:bCs/>
      <w:sz w:val="28"/>
      <w:szCs w:val="26"/>
    </w:rPr>
  </w:style>
  <w:style w:type="paragraph" w:styleId="Heading4">
    <w:name w:val="heading 4"/>
    <w:next w:val="BodyText"/>
    <w:link w:val="Heading4Char"/>
    <w:autoRedefine/>
    <w:uiPriority w:val="9"/>
    <w:qFormat/>
    <w:rsid w:val="005D4232"/>
    <w:pPr>
      <w:keepNext/>
      <w:keepLines/>
      <w:spacing w:before="240"/>
      <w:outlineLvl w:val="3"/>
    </w:pPr>
    <w:rPr>
      <w:rFonts w:asciiTheme="majorHAnsi" w:eastAsia="Times New Roman" w:hAnsiTheme="majorHAnsi" w:cs="Times New Roman"/>
      <w:b/>
      <w:bCs/>
      <w:i/>
      <w:iCs/>
      <w:sz w:val="26"/>
    </w:rPr>
  </w:style>
  <w:style w:type="paragraph" w:styleId="Heading5">
    <w:name w:val="heading 5"/>
    <w:next w:val="BodyText"/>
    <w:link w:val="Heading5Char"/>
    <w:uiPriority w:val="9"/>
    <w:qFormat/>
    <w:rsid w:val="00BB0C77"/>
    <w:pPr>
      <w:keepNext/>
      <w:keepLines/>
      <w:spacing w:before="240" w:after="120"/>
      <w:outlineLvl w:val="4"/>
    </w:pPr>
    <w:rPr>
      <w:rFonts w:asciiTheme="majorHAnsi" w:eastAsia="Times New Roman" w:hAnsiTheme="majorHAnsi" w:cs="Times New Roman"/>
      <w:b/>
    </w:r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basedOn w:val="BodyText"/>
    <w:next w:val="BodyText"/>
    <w:qFormat/>
    <w:rsid w:val="00930CB8"/>
    <w:pPr>
      <w:suppressAutoHyphens/>
      <w:spacing w:before="0"/>
    </w:pPr>
    <w:rPr>
      <w:rFonts w:eastAsiaTheme="minorEastAsia" w:cstheme="minorBidi"/>
    </w:rPr>
  </w:style>
  <w:style w:type="table" w:customStyle="1" w:styleId="TableStyle-ArialHeadings">
    <w:name w:val="__Table Style-Arial Headings"/>
    <w:basedOn w:val="TableNormal"/>
    <w:uiPriority w:val="99"/>
    <w:rsid w:val="004E0836"/>
    <w:pPr>
      <w:spacing w:before="40" w:after="40"/>
    </w:pPr>
    <w:rPr>
      <w:rFonts w:asciiTheme="majorHAnsi" w:eastAsiaTheme="minorHAnsi" w:hAnsiTheme="majorHAnsi"/>
      <w:sz w:val="20"/>
    </w:rPr>
    <w:tblPr>
      <w:tblStyleRowBandSize w:val="1"/>
      <w:tblInd w:w="72"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72" w:type="dxa"/>
        <w:right w:w="72" w:type="dxa"/>
      </w:tblCellMar>
    </w:tblPr>
    <w:tblStylePr w:type="firstRow">
      <w:pPr>
        <w:jc w:val="left"/>
      </w:pPr>
      <w:tbl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firstCol">
      <w:pPr>
        <w:jc w:val="left"/>
      </w:pPr>
      <w:tblPr/>
      <w:tcPr>
        <w:shd w:val="clear" w:color="auto" w:fill="D6ECFF" w:themeFill="background2"/>
      </w:tcPr>
    </w:tblStylePr>
    <w:tblStylePr w:type="band1Horz">
      <w:tblPr/>
      <w:tcPr>
        <w:shd w:val="clear" w:color="auto" w:fill="D6ECFF" w:themeFill="background2"/>
      </w:tcPr>
    </w:tblStylePr>
    <w:tblStylePr w:type="nwCell">
      <w:pPr>
        <w:jc w:val="left"/>
      </w:pPr>
      <w:tblPr/>
      <w:tcPr>
        <w:vAlign w:val="bottom"/>
      </w:tcPr>
    </w:tblStylePr>
  </w:style>
  <w:style w:type="paragraph" w:customStyle="1" w:styleId="Bullet1">
    <w:name w:val="Bullet 1"/>
    <w:basedOn w:val="BodyText"/>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DB6494"/>
    <w:pPr>
      <w:spacing w:before="240" w:after="120"/>
    </w:pPr>
    <w:rPr>
      <w:rFonts w:eastAsia="Times New Roman" w:cs="Times New Roman"/>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ullet1"/>
    <w:qFormat/>
    <w:rsid w:val="00EE3779"/>
    <w:pPr>
      <w:numPr>
        <w:ilvl w:val="1"/>
      </w:numPr>
    </w:pPr>
  </w:style>
  <w:style w:type="paragraph" w:customStyle="1" w:styleId="Bullet3">
    <w:name w:val="Bullet 3"/>
    <w:basedOn w:val="Bullet1"/>
    <w:qFormat/>
    <w:rsid w:val="00EE3779"/>
    <w:pPr>
      <w:numPr>
        <w:ilvl w:val="2"/>
      </w:numPr>
    </w:pPr>
  </w:style>
  <w:style w:type="paragraph" w:customStyle="1" w:styleId="NumberedList">
    <w:name w:val="Numbered List"/>
    <w:basedOn w:val="BodyText"/>
    <w:uiPriority w:val="99"/>
    <w:qFormat/>
    <w:rsid w:val="00EE3779"/>
    <w:pPr>
      <w:keepLines/>
      <w:numPr>
        <w:numId w:val="6"/>
      </w:numPr>
      <w:suppressAutoHyphens/>
      <w:spacing w:before="120"/>
    </w:pPr>
  </w:style>
  <w:style w:type="paragraph" w:customStyle="1" w:styleId="TableBullet1">
    <w:name w:val="Table Bullet 1"/>
    <w:basedOn w:val="TableText"/>
    <w:qFormat/>
    <w:rsid w:val="00EE3779"/>
    <w:pPr>
      <w:numPr>
        <w:numId w:val="7"/>
      </w:numPr>
    </w:pPr>
    <w:rPr>
      <w:rFonts w:eastAsiaTheme="minorEastAsia" w:cstheme="minorBidi"/>
      <w:szCs w:val="24"/>
    </w:rPr>
  </w:style>
  <w:style w:type="paragraph" w:customStyle="1" w:styleId="TableBullet2">
    <w:name w:val="Table Bullet 2"/>
    <w:basedOn w:val="TableBullet1"/>
    <w:qFormat/>
    <w:rsid w:val="00EE3779"/>
    <w:pPr>
      <w:numPr>
        <w:ilvl w:val="1"/>
      </w:numPr>
    </w:pPr>
  </w:style>
  <w:style w:type="paragraph" w:customStyle="1" w:styleId="TableNumbering">
    <w:name w:val="Table Numbering"/>
    <w:basedOn w:val="TableText"/>
    <w:qFormat/>
    <w:rsid w:val="00EE3779"/>
    <w:pPr>
      <w:numPr>
        <w:numId w:val="8"/>
      </w:numPr>
    </w:pPr>
    <w:rPr>
      <w:rFonts w:eastAsiaTheme="minorEastAsia" w:cstheme="minorBidi"/>
      <w:szCs w:val="24"/>
    </w:rPr>
  </w:style>
  <w:style w:type="paragraph" w:styleId="BlockText">
    <w:name w:val="Block Text"/>
    <w:basedOn w:val="BodyText"/>
    <w:next w:val="BodyText"/>
    <w:qFormat/>
    <w:rsid w:val="00DB6494"/>
    <w:pPr>
      <w:spacing w:before="120"/>
      <w:ind w:left="720"/>
    </w:pPr>
  </w:style>
  <w:style w:type="paragraph" w:styleId="Caption">
    <w:name w:val="caption"/>
    <w:next w:val="Normal"/>
    <w:uiPriority w:val="99"/>
    <w:unhideWhenUsed/>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
    <w:qFormat/>
    <w:rsid w:val="00DB6494"/>
    <w:rPr>
      <w:vertAlign w:val="superscript"/>
    </w:rPr>
  </w:style>
  <w:style w:type="paragraph" w:styleId="FootnoteText">
    <w:name w:val="footnote text"/>
    <w:aliases w:val="F1,fn,ft,figure or table,Footnote Text Char1,Footnote Text Char Char,Footnote Text r"/>
    <w:link w:val="FootnoteTextChar"/>
    <w:qFormat/>
    <w:rsid w:val="00DB6494"/>
    <w:rPr>
      <w:rFonts w:eastAsia="Times New Roman" w:cs="Times New Roman"/>
      <w:sz w:val="20"/>
      <w:szCs w:val="20"/>
    </w:rPr>
  </w:style>
  <w:style w:type="character" w:customStyle="1" w:styleId="FootnoteTextChar">
    <w:name w:val="Footnote Text Char"/>
    <w:aliases w:val="F1 Char,fn Char,ft Char,figure or table Char,Footnote Text Char1 Char,Footnote Text Char Char Char,Footnote Text r Char"/>
    <w:basedOn w:val="DefaultParagraphFont"/>
    <w:link w:val="FootnoteText"/>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801DD6"/>
    <w:rPr>
      <w:rFonts w:asciiTheme="majorHAnsi" w:eastAsia="Perpetua" w:hAnsiTheme="majorHAnsi" w:cstheme="majorHAnsi"/>
      <w:color w:val="003462" w:themeColor="accent1"/>
      <w:sz w:val="56"/>
      <w:szCs w:val="56"/>
    </w:rPr>
  </w:style>
  <w:style w:type="character" w:customStyle="1" w:styleId="Heading2Char">
    <w:name w:val="Heading 2 Char"/>
    <w:basedOn w:val="DefaultParagraphFont"/>
    <w:link w:val="Heading2"/>
    <w:uiPriority w:val="9"/>
    <w:rsid w:val="005575C4"/>
    <w:rPr>
      <w:rFonts w:asciiTheme="majorHAnsi" w:eastAsia="Times New Roman" w:hAnsiTheme="majorHAnsi" w:cs="Times New Roman"/>
      <w:b/>
      <w:bCs/>
      <w:color w:val="003462"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462"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462" w:themeColor="accent1"/>
      <w:sz w:val="36"/>
      <w:szCs w:val="36"/>
    </w:rPr>
  </w:style>
  <w:style w:type="character" w:customStyle="1" w:styleId="Heading3Char">
    <w:name w:val="Heading 3 Char"/>
    <w:basedOn w:val="DefaultParagraphFont"/>
    <w:link w:val="Heading3"/>
    <w:uiPriority w:val="9"/>
    <w:rsid w:val="0049087B"/>
    <w:rPr>
      <w:rFonts w:asciiTheme="majorHAnsi" w:eastAsiaTheme="majorEastAsia" w:hAnsiTheme="majorHAnsi" w:cstheme="majorBidi"/>
      <w:b/>
      <w:bCs/>
      <w:sz w:val="28"/>
      <w:szCs w:val="26"/>
    </w:rPr>
  </w:style>
  <w:style w:type="paragraph" w:customStyle="1" w:styleId="Heading3NoTOC">
    <w:name w:val="Heading 3 No TOC"/>
    <w:link w:val="Heading3NoTOCChar"/>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rsid w:val="00801DD6"/>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5D4232"/>
    <w:rPr>
      <w:rFonts w:asciiTheme="majorHAnsi" w:eastAsia="Times New Roman" w:hAnsiTheme="majorHAnsi" w:cs="Times New Roman"/>
      <w:b/>
      <w:bCs/>
      <w:i/>
      <w:iCs/>
      <w:sz w:val="26"/>
    </w:rPr>
  </w:style>
  <w:style w:type="paragraph" w:customStyle="1" w:styleId="Heading4NoTOC">
    <w:name w:val="Heading 4 No TOC"/>
    <w:link w:val="Heading4NoTOCChar"/>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rsid w:val="00BB0C77"/>
    <w:rPr>
      <w:rFonts w:asciiTheme="majorHAnsi" w:eastAsia="Times New Roman" w:hAnsiTheme="majorHAnsi" w:cs="Times New Roman"/>
      <w:b/>
      <w:sz w:val="24"/>
      <w:szCs w:val="24"/>
    </w:rPr>
  </w:style>
  <w:style w:type="character" w:customStyle="1" w:styleId="Heading6Char">
    <w:name w:val="Heading 6 Char"/>
    <w:basedOn w:val="DefaultParagraphFont"/>
    <w:link w:val="Heading6"/>
    <w:rsid w:val="00BB0C77"/>
    <w:rPr>
      <w:rFonts w:asciiTheme="majorHAnsi" w:eastAsia="Times New Roman" w:hAnsiTheme="majorHAnsi" w:cs="Times New Roman"/>
      <w:b/>
      <w:i/>
      <w:iCs/>
      <w:sz w:val="24"/>
      <w:szCs w:val="24"/>
    </w:rPr>
  </w:style>
  <w:style w:type="paragraph" w:customStyle="1" w:styleId="PubID">
    <w:name w:val="PubID"/>
    <w:basedOn w:val="Normal"/>
    <w:link w:val="PubIDChar"/>
    <w:qFormat/>
    <w:rsid w:val="00AB2915"/>
    <w:p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qFormat/>
    <w:rsid w:val="00875F75"/>
    <w:pPr>
      <w:jc w:val="center"/>
    </w:pPr>
    <w:rPr>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Exhibit Reads"/>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qFormat/>
    <w:rsid w:val="00583F76"/>
  </w:style>
  <w:style w:type="character" w:styleId="CommentReference">
    <w:name w:val="annotation reference"/>
    <w:basedOn w:val="DefaultParagraphFont"/>
    <w:uiPriority w:val="99"/>
    <w:semiHidden/>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rPr>
      <w:rFonts w:eastAsia="Times New Roman"/>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074E17"/>
    <w:pPr>
      <w:widowControl w:val="0"/>
      <w:tabs>
        <w:tab w:val="center" w:pos="4680"/>
      </w:tabs>
      <w:spacing w:before="80"/>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6476A0"/>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NoTOC"/>
    <w:next w:val="Normal"/>
    <w:uiPriority w:val="38"/>
    <w:unhideWhenUsed/>
    <w:rsid w:val="00F36B85"/>
    <w:pPr>
      <w:spacing w:before="0" w:after="0"/>
    </w:pPr>
    <w:rPr>
      <w:rFonts w:eastAsiaTheme="majorEastAsia" w:cstheme="majorBidi"/>
      <w:szCs w:val="28"/>
    </w:r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uiPriority w:val="1"/>
    <w:rsid w:val="00DB793F"/>
    <w:pPr>
      <w:spacing w:before="200" w:after="240" w:line="276" w:lineRule="auto"/>
      <w:ind w:left="1627" w:hanging="1627"/>
    </w:pPr>
    <w:rPr>
      <w:rFonts w:asciiTheme="majorHAnsi" w:eastAsia="Calibri" w:hAnsiTheme="majorHAnsi" w:cs="Calibri"/>
      <w:bCs/>
      <w:color w:val="000000"/>
      <w:sz w:val="20"/>
      <w:szCs w:val="22"/>
    </w:rPr>
  </w:style>
  <w:style w:type="paragraph" w:customStyle="1" w:styleId="CoverSubtitle">
    <w:name w:val="Cover Subtitle"/>
    <w:basedOn w:val="Normal"/>
    <w:uiPriority w:val="99"/>
    <w:rsid w:val="00DB793F"/>
    <w:pPr>
      <w:suppressAutoHyphens/>
      <w:autoSpaceDE w:val="0"/>
      <w:autoSpaceDN w:val="0"/>
      <w:adjustRightInd w:val="0"/>
      <w:spacing w:before="240"/>
      <w:textAlignment w:val="center"/>
    </w:pPr>
    <w:rPr>
      <w:rFonts w:asciiTheme="majorHAnsi" w:eastAsia="Calibri" w:hAnsiTheme="majorHAnsi" w:cstheme="majorHAnsi"/>
      <w:bCs/>
      <w:caps/>
      <w:color w:val="000000"/>
      <w:sz w:val="36"/>
      <w:szCs w:val="32"/>
    </w:rPr>
  </w:style>
  <w:style w:type="paragraph" w:customStyle="1" w:styleId="CoverText">
    <w:name w:val="Cover Text"/>
    <w:basedOn w:val="Normal"/>
    <w:uiPriority w:val="99"/>
    <w:rsid w:val="00DB793F"/>
    <w:rPr>
      <w:rFonts w:asciiTheme="majorHAnsi" w:eastAsia="Calibri" w:hAnsiTheme="majorHAnsi"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uiPriority w:val="14"/>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462"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table" w:customStyle="1" w:styleId="TableGrid3">
    <w:name w:val="Table Grid3"/>
    <w:basedOn w:val="TableNormal"/>
    <w:next w:val="TableGrid"/>
    <w:rsid w:val="001B6C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462"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table" w:customStyle="1" w:styleId="TableStyle-Simple">
    <w:name w:val="__Table Style-Simple"/>
    <w:basedOn w:val="TableNormal"/>
    <w:uiPriority w:val="99"/>
    <w:rsid w:val="009C7CBB"/>
    <w:pPr>
      <w:spacing w:before="40" w:after="40"/>
    </w:pPr>
    <w:rPr>
      <w:rFonts w:eastAsiaTheme="minorHAnsi"/>
    </w:rPr>
    <w:tblPr>
      <w:tblStyleRowBandSize w:val="1"/>
      <w:tblInd w:w="58" w:type="dxa"/>
      <w:tblBorders>
        <w:top w:val="single" w:sz="6" w:space="0" w:color="003462" w:themeColor="accent1"/>
        <w:left w:val="single" w:sz="6" w:space="0" w:color="003462" w:themeColor="accent1"/>
        <w:bottom w:val="single" w:sz="6" w:space="0" w:color="003462" w:themeColor="accent1"/>
        <w:right w:val="single" w:sz="6" w:space="0" w:color="003462" w:themeColor="accent1"/>
        <w:insideH w:val="single" w:sz="6" w:space="0" w:color="003462" w:themeColor="accent1"/>
        <w:insideV w:val="single" w:sz="6" w:space="0" w:color="003462" w:themeColor="accent1"/>
      </w:tblBorders>
      <w:tblCellMar>
        <w:left w:w="58" w:type="dxa"/>
        <w:right w:w="58" w:type="dxa"/>
      </w:tblCellMar>
    </w:tblPr>
    <w:trPr>
      <w:cantSplit/>
    </w:trPr>
    <w:tblStylePr w:type="firstRow">
      <w:pPr>
        <w:jc w:val="left"/>
      </w:pPr>
      <w:rPr>
        <w:b w:val="0"/>
      </w:rPr>
      <w:tblPr/>
      <w:trPr>
        <w:cantSplit/>
        <w:tblHeader/>
      </w:trPr>
      <w:tcPr>
        <w:tcBorders>
          <w:top w:val="single" w:sz="6" w:space="0" w:color="FFFFFF" w:themeColor="background1"/>
          <w:left w:val="single" w:sz="6" w:space="0" w:color="003462" w:themeColor="accent1"/>
          <w:bottom w:val="single" w:sz="6" w:space="0" w:color="FFFFFF" w:themeColor="background1"/>
          <w:right w:val="single" w:sz="6" w:space="0" w:color="003462" w:themeColor="accent1"/>
          <w:insideH w:val="nil"/>
          <w:insideV w:val="single" w:sz="6" w:space="0" w:color="FFFFFF" w:themeColor="background1"/>
          <w:tl2br w:val="nil"/>
          <w:tr2bl w:val="nil"/>
        </w:tcBorders>
        <w:shd w:val="clear" w:color="auto" w:fill="003462"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ListBullets-Body">
    <w:name w:val="_List Bullets-Body"/>
    <w:uiPriority w:val="99"/>
    <w:rsid w:val="00EE3779"/>
    <w:pPr>
      <w:numPr>
        <w:numId w:val="12"/>
      </w:numPr>
    </w:pPr>
  </w:style>
  <w:style w:type="character" w:customStyle="1" w:styleId="UnresolvedMention1">
    <w:name w:val="Unresolved Mention1"/>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E95765"/>
    <w:pPr>
      <w:suppressAutoHyphens/>
      <w:spacing w:before="120" w:after="0" w:line="360" w:lineRule="auto"/>
    </w:pPr>
    <w:rPr>
      <w:rFonts w:ascii="Arial Narrow" w:eastAsiaTheme="minorHAnsi" w:hAnsi="Arial Narrow" w:cstheme="minorBidi"/>
      <w:sz w:val="22"/>
      <w:szCs w:val="22"/>
    </w:rPr>
  </w:style>
  <w:style w:type="paragraph" w:customStyle="1" w:styleId="CoverBackTagline">
    <w:name w:val="Cover Back Tagline"/>
    <w:basedOn w:val="CoverBackAboutAIR"/>
    <w:uiPriority w:val="99"/>
    <w:rsid w:val="00E95765"/>
    <w:pPr>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ascii="Arial" w:hAnsi="Arial" w:cs="Arial"/>
      <w:noProof/>
      <w:color w:val="FFFFFF" w:themeColor="background1"/>
      <w:spacing w:val="-4"/>
      <w:sz w:val="20"/>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51635"/>
    <w:pPr>
      <w:pBdr>
        <w:bottom w:val="single" w:sz="4" w:space="2" w:color="003462"/>
      </w:pBdr>
      <w:ind w:left="-360" w:right="-360"/>
      <w:jc w:val="right"/>
    </w:pPr>
    <w:rPr>
      <w:rFonts w:asciiTheme="majorHAnsi" w:eastAsiaTheme="minorHAnsi" w:hAnsiTheme="majorHAnsi"/>
      <w:i/>
      <w:color w:val="595959"/>
      <w:sz w:val="20"/>
      <w:szCs w:val="20"/>
    </w:rPr>
  </w:style>
  <w:style w:type="paragraph" w:styleId="NoSpacing">
    <w:name w:val="No Spacing"/>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A51635"/>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Theme="majorHAnsi" w:eastAsia="Batang" w:hAnsiTheme="majorHAnsi" w:cs="Times New Roman"/>
      <w:b/>
      <w:sz w:val="24"/>
      <w:szCs w:val="24"/>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paragraph" w:styleId="ListParagraph">
    <w:name w:val="List Paragraph"/>
    <w:basedOn w:val="Normal"/>
    <w:link w:val="ListParagraphChar"/>
    <w:uiPriority w:val="34"/>
    <w:qFormat/>
    <w:rsid w:val="001A14F3"/>
    <w:pPr>
      <w:spacing w:after="160" w:line="259" w:lineRule="auto"/>
      <w:ind w:left="720"/>
      <w:contextualSpacing/>
    </w:pPr>
    <w:rPr>
      <w:rFonts w:eastAsiaTheme="minorHAnsi"/>
      <w:sz w:val="22"/>
      <w:szCs w:val="22"/>
    </w:rPr>
  </w:style>
  <w:style w:type="character" w:customStyle="1" w:styleId="ExhibitTitleChar">
    <w:name w:val="Exhibit Title Char"/>
    <w:link w:val="ExhibitTitle"/>
    <w:uiPriority w:val="12"/>
    <w:rsid w:val="001A14F3"/>
    <w:rPr>
      <w:rFonts w:asciiTheme="majorHAnsi" w:eastAsia="Times New Roman" w:hAnsiTheme="majorHAnsi" w:cs="Times New Roman"/>
      <w:b/>
    </w:rPr>
  </w:style>
  <w:style w:type="paragraph" w:customStyle="1" w:styleId="TableColumnHeadCenter">
    <w:name w:val="Table Column Head Center"/>
    <w:basedOn w:val="TableColumnHeadLeft"/>
    <w:qFormat/>
    <w:rsid w:val="001A14F3"/>
    <w:pPr>
      <w:suppressAutoHyphens/>
      <w:spacing w:before="60" w:after="60" w:line="276" w:lineRule="auto"/>
      <w:jc w:val="center"/>
    </w:pPr>
    <w:rPr>
      <w:rFonts w:eastAsia="MS Mincho" w:cs="Arial"/>
      <w:color w:val="FFFFFF"/>
      <w:sz w:val="22"/>
      <w:szCs w:val="22"/>
    </w:rPr>
  </w:style>
  <w:style w:type="paragraph" w:customStyle="1" w:styleId="Bullet">
    <w:name w:val="Bullet"/>
    <w:basedOn w:val="BodyText"/>
    <w:qFormat/>
    <w:rsid w:val="001A14F3"/>
    <w:pPr>
      <w:numPr>
        <w:numId w:val="11"/>
      </w:numPr>
      <w:spacing w:before="0" w:after="240" w:line="276" w:lineRule="auto"/>
    </w:pPr>
    <w:rPr>
      <w:color w:val="595959" w:themeColor="text1"/>
      <w:sz w:val="23"/>
    </w:rPr>
  </w:style>
  <w:style w:type="paragraph" w:customStyle="1" w:styleId="AreaBullets">
    <w:name w:val="Area Bullets"/>
    <w:basedOn w:val="Normal"/>
    <w:qFormat/>
    <w:rsid w:val="001A14F3"/>
    <w:pPr>
      <w:numPr>
        <w:numId w:val="10"/>
      </w:numPr>
      <w:ind w:left="3060"/>
    </w:pPr>
    <w:rPr>
      <w:rFonts w:ascii="Times New Roman" w:eastAsia="Calibri" w:hAnsi="Times New Roman" w:cs="Times New Roman"/>
      <w:sz w:val="20"/>
      <w:szCs w:val="20"/>
    </w:rPr>
  </w:style>
  <w:style w:type="character" w:customStyle="1" w:styleId="ListParagraphChar">
    <w:name w:val="List Paragraph Char"/>
    <w:link w:val="ListParagraph"/>
    <w:uiPriority w:val="34"/>
    <w:rsid w:val="001A14F3"/>
    <w:rPr>
      <w:rFonts w:eastAsiaTheme="minorHAnsi"/>
      <w:sz w:val="22"/>
      <w:szCs w:val="22"/>
    </w:rPr>
  </w:style>
  <w:style w:type="paragraph" w:customStyle="1" w:styleId="ExhibitTextSmall">
    <w:name w:val="Exhibit Text Small"/>
    <w:basedOn w:val="Normal"/>
    <w:link w:val="ExhibitTextSmallChar"/>
    <w:qFormat/>
    <w:rsid w:val="001A14F3"/>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1A14F3"/>
    <w:rPr>
      <w:rFonts w:ascii="Calibri" w:eastAsia="Calibri" w:hAnsi="Calibri" w:cs="Times New Roman"/>
      <w:sz w:val="20"/>
      <w:szCs w:val="20"/>
    </w:rPr>
  </w:style>
  <w:style w:type="paragraph" w:customStyle="1" w:styleId="EXHIBIT">
    <w:name w:val="EXHIBIT"/>
    <w:rsid w:val="001A14F3"/>
    <w:pPr>
      <w:keepNext/>
      <w:spacing w:after="100" w:afterAutospacing="1"/>
      <w:jc w:val="center"/>
    </w:pPr>
    <w:rPr>
      <w:rFonts w:ascii="Arial" w:eastAsia="Times New Roman" w:hAnsi="Arial" w:cs="Times New Roman"/>
      <w:b/>
      <w:szCs w:val="20"/>
    </w:rPr>
  </w:style>
  <w:style w:type="paragraph" w:customStyle="1" w:styleId="P1-StandPara">
    <w:name w:val="P1-Stand Para"/>
    <w:uiPriority w:val="99"/>
    <w:rsid w:val="005F50F0"/>
    <w:pPr>
      <w:spacing w:line="360" w:lineRule="atLeast"/>
      <w:ind w:firstLine="1152"/>
      <w:jc w:val="both"/>
    </w:pPr>
    <w:rPr>
      <w:rFonts w:ascii="Times New Roman" w:eastAsia="Times New Roman" w:hAnsi="Times New Roman" w:cs="Times New Roman"/>
      <w:sz w:val="22"/>
      <w:szCs w:val="20"/>
    </w:rPr>
  </w:style>
  <w:style w:type="paragraph" w:customStyle="1" w:styleId="LetterText">
    <w:name w:val="Letter Text"/>
    <w:qFormat/>
    <w:rsid w:val="00C773C8"/>
    <w:pPr>
      <w:spacing w:after="220"/>
    </w:pPr>
    <w:rPr>
      <w:rFonts w:ascii="Calibri" w:eastAsia="Calibri" w:hAnsi="Calibri" w:cs="Times New Roman"/>
      <w:sz w:val="22"/>
      <w:szCs w:val="22"/>
    </w:rPr>
  </w:style>
  <w:style w:type="paragraph" w:customStyle="1" w:styleId="LetterTextNoSpace">
    <w:name w:val="Letter Text No Space"/>
    <w:basedOn w:val="LetterText"/>
    <w:qFormat/>
    <w:rsid w:val="00C773C8"/>
    <w:pPr>
      <w:spacing w:after="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546142562">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IR 2018 Txt1-Gray, Txt2-Blk, Bkg2-Lt Blue">
      <a:dk1>
        <a:srgbClr val="595959"/>
      </a:dk1>
      <a:lt1>
        <a:srgbClr val="FFFFFF"/>
      </a:lt1>
      <a:dk2>
        <a:srgbClr val="000000"/>
      </a:dk2>
      <a:lt2>
        <a:srgbClr val="D6ECFF"/>
      </a:lt2>
      <a:accent1>
        <a:srgbClr val="003462"/>
      </a:accent1>
      <a:accent2>
        <a:srgbClr val="0075E2"/>
      </a:accent2>
      <a:accent3>
        <a:srgbClr val="008673"/>
      </a:accent3>
      <a:accent4>
        <a:srgbClr val="C8510C"/>
      </a:accent4>
      <a:accent5>
        <a:srgbClr val="EFB219"/>
      </a:accent5>
      <a:accent6>
        <a:srgbClr val="09B0FE"/>
      </a:accent6>
      <a:hlink>
        <a:srgbClr val="0000FF"/>
      </a:hlink>
      <a:folHlink>
        <a:srgbClr val="800080"/>
      </a:folHlink>
    </a:clrScheme>
    <a:fontScheme name="AIR 2015 Corporat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9714abc1-815c-4960-b75e-546bf8732ca3">
      <Terms xmlns="http://schemas.microsoft.com/office/infopath/2007/PartnerControls"/>
    </TaxKeywordTaxHTField>
    <TaxCatchAll xmlns="1709d302-aa1c-49f7-a43d-f13e34b813dc"/>
    <_dlc_DocId xmlns="1709d302-aa1c-49f7-a43d-f13e34b813dc">MA5PA5REYDV2-3118-1127</_dlc_DocId>
    <_dlc_DocIdUrl xmlns="1709d302-aa1c-49f7-a43d-f13e34b813dc">
      <Url>http://airportal.air.org/Services/PAC/_layouts/15/DocIdRedir.aspx?ID=MA5PA5REYDV2-3118-1127</Url>
      <Description>MA5PA5REYDV2-3118-1127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6466-FC45-49D4-8BC3-321A43DF936D}">
  <ds:schemaRefs>
    <ds:schemaRef ds:uri="http://schemas.microsoft.com/sharepoint/events"/>
  </ds:schemaRefs>
</ds:datastoreItem>
</file>

<file path=customXml/itemProps2.xml><?xml version="1.0" encoding="utf-8"?>
<ds:datastoreItem xmlns:ds="http://schemas.openxmlformats.org/officeDocument/2006/customXml" ds:itemID="{B101F8FB-94BF-4F3F-845D-3770E2D9B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4.xml><?xml version="1.0" encoding="utf-8"?>
<ds:datastoreItem xmlns:ds="http://schemas.openxmlformats.org/officeDocument/2006/customXml" ds:itemID="{33E2FA22-924E-4BEC-93CA-6C87866CE834}">
  <ds:schemaRefs>
    <ds:schemaRef ds:uri="http://schemas.microsoft.com/office/2006/documentManagement/types"/>
    <ds:schemaRef ds:uri="1709d302-aa1c-49f7-a43d-f13e34b813dc"/>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9714abc1-815c-4960-b75e-546bf8732ca3"/>
  </ds:schemaRefs>
</ds:datastoreItem>
</file>

<file path=customXml/itemProps5.xml><?xml version="1.0" encoding="utf-8"?>
<ds:datastoreItem xmlns:ds="http://schemas.openxmlformats.org/officeDocument/2006/customXml" ds:itemID="{C5F2A4F6-DA0B-4093-9B2D-ECA3A51A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23294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Sorensen, Diane</dc:creator>
  <cp:lastModifiedBy>SYSTEM</cp:lastModifiedBy>
  <cp:revision>2</cp:revision>
  <cp:lastPrinted>2019-01-22T20:37:00Z</cp:lastPrinted>
  <dcterms:created xsi:type="dcterms:W3CDTF">2019-05-30T12:26:00Z</dcterms:created>
  <dcterms:modified xsi:type="dcterms:W3CDTF">2019-05-30T12:26:00Z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84a4dd63-072f-40e7-9f6b-690b2969221f</vt:lpwstr>
  </property>
</Properties>
</file>