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2BDE" w:rsidR="00AA20EE" w:rsidP="002B209B" w:rsidRDefault="00AA20EE" w14:paraId="6DC77260" w14:textId="77777777">
      <w:pPr>
        <w:tabs>
          <w:tab w:val="center" w:pos="5040"/>
        </w:tabs>
        <w:jc w:val="center"/>
        <w:rPr>
          <w:b/>
        </w:rPr>
      </w:pPr>
      <w:r w:rsidRPr="004A2BDE">
        <w:rPr>
          <w:b/>
        </w:rPr>
        <w:t>Supporting Statement for</w:t>
      </w:r>
    </w:p>
    <w:p w:rsidRPr="004A2BDE" w:rsidR="00AA20EE" w:rsidP="002B209B" w:rsidRDefault="00AA20EE" w14:paraId="177BC031" w14:textId="6E4FD4A8">
      <w:pPr>
        <w:tabs>
          <w:tab w:val="center" w:pos="5040"/>
        </w:tabs>
        <w:jc w:val="center"/>
        <w:rPr>
          <w:b/>
        </w:rPr>
      </w:pPr>
      <w:r w:rsidRPr="004A2BDE">
        <w:rPr>
          <w:b/>
          <w:bCs/>
        </w:rPr>
        <w:t>FERC-730</w:t>
      </w:r>
      <w:r w:rsidRPr="004A2BDE" w:rsidR="000F7FB2">
        <w:rPr>
          <w:b/>
          <w:bCs/>
        </w:rPr>
        <w:t xml:space="preserve"> (</w:t>
      </w:r>
      <w:r w:rsidRPr="004A2BDE">
        <w:rPr>
          <w:b/>
        </w:rPr>
        <w:t>Report of Transmission Investment Activity</w:t>
      </w:r>
      <w:r w:rsidRPr="004A2BDE" w:rsidR="000F7FB2">
        <w:rPr>
          <w:b/>
        </w:rPr>
        <w:t>)</w:t>
      </w:r>
    </w:p>
    <w:p w:rsidRPr="00AA20EE" w:rsidR="00AA20EE" w:rsidP="002B209B" w:rsidRDefault="00AA20EE" w14:paraId="0188E043" w14:textId="77777777">
      <w:pPr>
        <w:tabs>
          <w:tab w:val="center" w:pos="5040"/>
        </w:tabs>
        <w:jc w:val="center"/>
      </w:pPr>
    </w:p>
    <w:p w:rsidR="00AA20EE" w:rsidP="00157ABF" w:rsidRDefault="00AA20EE" w14:paraId="7B101040" w14:textId="3E8AEF37">
      <w:r w:rsidRPr="00AA20EE">
        <w:t>The Federal Energy Regulatory Commission (Commission or FERC) requests that th</w:t>
      </w:r>
      <w:bookmarkStart w:name="_GoBack" w:id="0"/>
      <w:bookmarkEnd w:id="0"/>
      <w:r w:rsidRPr="00AA20EE">
        <w:t>e Office of Management and Budget (OMB) review and approve</w:t>
      </w:r>
      <w:r w:rsidR="006B7422">
        <w:t xml:space="preserve"> for a three-year period the </w:t>
      </w:r>
      <w:r w:rsidRPr="006B7422">
        <w:t>FERC-730</w:t>
      </w:r>
      <w:r w:rsidR="000F7FB2">
        <w:t xml:space="preserve"> (</w:t>
      </w:r>
      <w:r w:rsidRPr="006B7422">
        <w:t>Report of Transmission Investment Activity</w:t>
      </w:r>
      <w:r w:rsidR="000F7FB2">
        <w:t>)</w:t>
      </w:r>
      <w:r w:rsidRPr="00AA20EE">
        <w:t xml:space="preserve"> (OMB Control No. 1902-0239)</w:t>
      </w:r>
      <w:r w:rsidR="00E15DD3">
        <w:t>.</w:t>
      </w:r>
      <w:r w:rsidRPr="00AA20EE">
        <w:t xml:space="preserve"> </w:t>
      </w:r>
      <w:r w:rsidR="002B209B">
        <w:t xml:space="preserve"> </w:t>
      </w:r>
      <w:r w:rsidRPr="00AA20EE">
        <w:t>FERC-730 is an existing data collection with reporting requirement in 18 Code of Federal Regulations (CFR) Section 35.35(h).</w:t>
      </w:r>
    </w:p>
    <w:p w:rsidR="00A861B4" w:rsidP="00157ABF" w:rsidRDefault="00A861B4" w14:paraId="7307E81F" w14:textId="1160D09F"/>
    <w:p w:rsidRPr="00AA20EE" w:rsidR="00A861B4" w:rsidP="00654236" w:rsidRDefault="00763790" w14:paraId="4A3011D8" w14:textId="4F88D457">
      <w:pPr>
        <w:ind w:left="720"/>
        <w:rPr>
          <w:b/>
        </w:rPr>
      </w:pPr>
      <w:r>
        <w:t>A</w:t>
      </w:r>
      <w:r w:rsidRPr="00763790">
        <w:t>t the request of OMB</w:t>
      </w:r>
      <w:r>
        <w:t xml:space="preserve"> and</w:t>
      </w:r>
      <w:r w:rsidRPr="00763790">
        <w:t xml:space="preserve"> to ensure compliance with the Administrative Procedure Act and the Paperwork Reduction Act of 1995 (PRA)</w:t>
      </w:r>
      <w:r>
        <w:t xml:space="preserve">, </w:t>
      </w:r>
      <w:r w:rsidR="00A861B4">
        <w:t xml:space="preserve">FERC clarified the instructions to the FERC-730.  </w:t>
      </w:r>
      <w:r>
        <w:t>(The Commission did not change the reporting requirements.)</w:t>
      </w:r>
      <w:r>
        <w:t xml:space="preserve">  </w:t>
      </w:r>
      <w:r w:rsidR="00A861B4">
        <w:t>The Final Rule (</w:t>
      </w:r>
      <w:r w:rsidR="00A861B4">
        <w:t>Order No. 869</w:t>
      </w:r>
      <w:r w:rsidR="00A861B4">
        <w:t xml:space="preserve">) was issued on 3/19/2020 in Docket No. </w:t>
      </w:r>
      <w:r w:rsidR="00A861B4">
        <w:t>RM20-11-000</w:t>
      </w:r>
      <w:r w:rsidR="00A861B4">
        <w:t xml:space="preserve"> </w:t>
      </w:r>
      <w:r>
        <w:t xml:space="preserve">and included the </w:t>
      </w:r>
      <w:r w:rsidR="00A861B4">
        <w:t>form</w:t>
      </w:r>
      <w:r w:rsidRPr="00A861B4" w:rsidR="00A861B4">
        <w:t xml:space="preserve"> </w:t>
      </w:r>
      <w:r w:rsidR="00A861B4">
        <w:t>and clarified instructions</w:t>
      </w:r>
      <w:r w:rsidR="00A861B4">
        <w:t xml:space="preserve">. </w:t>
      </w:r>
      <w:r>
        <w:t xml:space="preserve"> </w:t>
      </w:r>
      <w:r w:rsidR="00A861B4">
        <w:t xml:space="preserve">The Order is posted in FERC’s eLibrary at </w:t>
      </w:r>
      <w:r w:rsidRPr="00A861B4" w:rsidR="00A861B4">
        <w:t>https://elibrary.ferc.gov/idmws/common/opennat.asp?fileID=15487516</w:t>
      </w:r>
      <w:r w:rsidR="00A861B4">
        <w:t>.</w:t>
      </w:r>
      <w:r w:rsidRPr="00763790">
        <w:t xml:space="preserve"> </w:t>
      </w:r>
    </w:p>
    <w:p w:rsidRPr="00AA20EE" w:rsidR="00AA20EE" w:rsidP="00BF3D72" w:rsidRDefault="00AA20EE" w14:paraId="324C6402" w14:textId="77777777"/>
    <w:p w:rsidRPr="004A2BDE" w:rsidR="00AA20EE" w:rsidP="00157ABF" w:rsidRDefault="00AA20EE" w14:paraId="37A57060" w14:textId="3611814A">
      <w:pPr>
        <w:pStyle w:val="ListParagraph"/>
        <w:numPr>
          <w:ilvl w:val="0"/>
          <w:numId w:val="3"/>
        </w:numPr>
        <w:ind w:hanging="720"/>
        <w:rPr>
          <w:b/>
        </w:rPr>
      </w:pPr>
      <w:r w:rsidRPr="004A2BDE">
        <w:rPr>
          <w:b/>
        </w:rPr>
        <w:t>CIRCUMSTANCES THAT MAKE THE COLLECTION OF INFORMATION NECESSARY</w:t>
      </w:r>
    </w:p>
    <w:p w:rsidRPr="00AA20EE" w:rsidR="00AA20EE" w:rsidP="00157ABF" w:rsidRDefault="00AA20EE" w14:paraId="60D4EFEF" w14:textId="77777777"/>
    <w:p w:rsidRPr="00AA20EE" w:rsidR="00AA20EE" w:rsidP="00BF3D72" w:rsidRDefault="00AA20EE" w14:paraId="4FEB4BE5" w14:textId="2F348CDD">
      <w:r w:rsidRPr="00AA20EE">
        <w:t xml:space="preserve">To promote the development of needed energy infrastructure, Congress enacted Section 1241 of the Energy Policy Act of 2005 which added a new Section 219 to the Federal ower Act (FPA).  </w:t>
      </w:r>
      <w:r w:rsidR="000F7FB2">
        <w:t xml:space="preserve">Pursuant to the directives of </w:t>
      </w:r>
      <w:r w:rsidRPr="00AA20EE">
        <w:t>Section 219 of the FPA</w:t>
      </w:r>
      <w:r w:rsidR="000F7FB2">
        <w:t xml:space="preserve">, the Commission </w:t>
      </w:r>
      <w:r w:rsidRPr="00AA20EE">
        <w:t>issue</w:t>
      </w:r>
      <w:r w:rsidR="00896D85">
        <w:t xml:space="preserve">d </w:t>
      </w:r>
      <w:r w:rsidRPr="00AA20EE">
        <w:t>Order No. 679</w:t>
      </w:r>
      <w:r w:rsidRPr="00157ABF" w:rsidR="00896D85">
        <w:rPr>
          <w:rStyle w:val="FootnoteReference"/>
          <w:vertAlign w:val="superscript"/>
        </w:rPr>
        <w:footnoteReference w:id="1"/>
      </w:r>
      <w:r w:rsidR="00896D85">
        <w:t>, which</w:t>
      </w:r>
      <w:r w:rsidRPr="00AA20EE">
        <w:t xml:space="preserve"> adopted an annual reporting requirement (FERC-730) for utilities that receive incentive rate treatment for specific transmission projects.  Public utilities granted incentive-based rate treatment for specific transmission projects under the provisions of 18 CFR 35.35</w:t>
      </w:r>
      <w:r w:rsidR="00E05A90">
        <w:t xml:space="preserve"> </w:t>
      </w:r>
      <w:r w:rsidRPr="00AA20EE">
        <w:t>(h) must file the FERC-730.  The information collected in the FERC-730 is necessary for the Commission to evaluate its incentive rates policies, and to demonstrate the effectiveness of these policies.  Further, the FERC-730 filing requirement allows the Commission to track the progress of electric transmission projects granted incentive-based rates, providing an accurate assessment of the state of the industry with respect to transmission investment, and ensuring that incentive rates are effective in encouraging the development of appropriate transmission infrastructure.</w:t>
      </w:r>
    </w:p>
    <w:p w:rsidRPr="00AA20EE" w:rsidR="00AA20EE" w:rsidP="00157ABF" w:rsidRDefault="00AA20EE" w14:paraId="10CB5DF8" w14:textId="77777777"/>
    <w:p w:rsidRPr="004A2BDE" w:rsidR="00AA20EE" w:rsidP="00157ABF" w:rsidRDefault="00AA20EE" w14:paraId="64E0BB66" w14:textId="77777777">
      <w:pPr>
        <w:pStyle w:val="ListParagraph"/>
        <w:numPr>
          <w:ilvl w:val="0"/>
          <w:numId w:val="3"/>
        </w:numPr>
        <w:ind w:hanging="720"/>
        <w:rPr>
          <w:b/>
        </w:rPr>
      </w:pPr>
      <w:r w:rsidRPr="004A2BDE">
        <w:rPr>
          <w:b/>
        </w:rPr>
        <w:t>HOW, BY WHOM AND FOR WHAT PURPOSE IS THE INFORMATION USED AND THE CONSEQUENCES OF NOT COLLECTING THE INFORMATION</w:t>
      </w:r>
    </w:p>
    <w:p w:rsidRPr="00AA20EE" w:rsidR="00AA20EE" w:rsidP="00157ABF" w:rsidRDefault="00AA20EE" w14:paraId="1C821CC3" w14:textId="77777777"/>
    <w:p w:rsidRPr="00AA20EE" w:rsidR="00AA20EE" w:rsidP="00BF3D72" w:rsidRDefault="00AA20EE" w14:paraId="46961D1C" w14:textId="1D4CC318">
      <w:r w:rsidRPr="00AA20EE">
        <w:lastRenderedPageBreak/>
        <w:t xml:space="preserve">The information collected in the FERC-730 is necessary for the Commission to evaluate its incentive rates policies and to demonstrate the effectiveness of these policies.  Without it, the Commission would </w:t>
      </w:r>
      <w:r w:rsidR="002231FD">
        <w:t>have difficulty</w:t>
      </w:r>
      <w:r w:rsidRPr="00AA20EE">
        <w:t xml:space="preserve"> track</w:t>
      </w:r>
      <w:r w:rsidR="002231FD">
        <w:t>ing</w:t>
      </w:r>
      <w:r w:rsidRPr="00AA20EE">
        <w:t xml:space="preserve"> the progress of electric transmission projects granted incentive-based rates and would </w:t>
      </w:r>
      <w:r w:rsidR="002231FD">
        <w:t>have difficulty</w:t>
      </w:r>
      <w:r w:rsidRPr="00AA20EE">
        <w:t xml:space="preserve"> assess</w:t>
      </w:r>
      <w:r w:rsidR="002231FD">
        <w:t>ing</w:t>
      </w:r>
      <w:r w:rsidRPr="00AA20EE">
        <w:t xml:space="preserve"> the state of the industry with respect to transmission investment</w:t>
      </w:r>
      <w:r w:rsidR="00777343">
        <w:t xml:space="preserve"> and tracking whether</w:t>
      </w:r>
      <w:r w:rsidRPr="00AA20EE">
        <w:t xml:space="preserve"> incentive rates are effective in encouraging the development of appropriate transmission infrastructure. </w:t>
      </w:r>
    </w:p>
    <w:p w:rsidRPr="00AA20EE" w:rsidR="00AA20EE" w:rsidP="002B209B" w:rsidRDefault="00AA20EE" w14:paraId="07E7A4D3" w14:textId="77777777"/>
    <w:p w:rsidRPr="00AA20EE" w:rsidR="00AA20EE" w:rsidP="002B209B" w:rsidRDefault="00AA20EE" w14:paraId="5CAAEA79" w14:textId="090D7E1A">
      <w:r w:rsidRPr="00AA20EE">
        <w:t>The FERC-730 tracks data such as incremental investment costs for each of the succeeding five (5) calendar years as defined within 18 CFR Part 101 Accounts 350-359.  These capital investments could incorporate explicit costs as applicable to land/land rights in connection to transmission operations, any structure/improvements used in connection with transmission operations, or other investments made to change or improve transmission operations.  Information regarding expected project status and completion date is also included within FERC-730 data.  The data must be filed by April 18</w:t>
      </w:r>
      <w:r w:rsidRPr="00AA20EE">
        <w:rPr>
          <w:vertAlign w:val="superscript"/>
        </w:rPr>
        <w:t>h</w:t>
      </w:r>
      <w:r w:rsidRPr="00AA20EE">
        <w:t xml:space="preserve"> of the year following issuance of the applicable incentive-based rate.  Subsequent filings are due each April 18 thereafter.</w:t>
      </w:r>
    </w:p>
    <w:p w:rsidRPr="00AA20EE" w:rsidR="00AA20EE" w:rsidP="00157ABF" w:rsidRDefault="00AA20EE" w14:paraId="21CAAE02" w14:textId="77777777"/>
    <w:p w:rsidRPr="004A2BDE" w:rsidR="00AA20EE" w:rsidP="00157ABF" w:rsidRDefault="00AA20EE" w14:paraId="7782420A" w14:textId="77777777">
      <w:pPr>
        <w:pStyle w:val="ListParagraph"/>
        <w:numPr>
          <w:ilvl w:val="0"/>
          <w:numId w:val="3"/>
        </w:numPr>
        <w:ind w:hanging="720"/>
        <w:rPr>
          <w:b/>
        </w:rPr>
      </w:pPr>
      <w:r w:rsidRPr="004A2BDE">
        <w:rPr>
          <w:b/>
        </w:rPr>
        <w:t>DESCRIBE ANY CONSIDERATION OF THE USE OF IMPROVED INFORMATION TECHNOLOGY TO REDUCE BURDEN AND THE TECHNICAL OR LEGAL OBSTACLES TO REDUCING BURDEN</w:t>
      </w:r>
    </w:p>
    <w:p w:rsidRPr="00AA20EE" w:rsidR="00AA20EE" w:rsidP="002B209B" w:rsidRDefault="00AA20EE" w14:paraId="5B2C6621" w14:textId="77777777"/>
    <w:p w:rsidR="00AA20EE" w:rsidP="002B209B" w:rsidRDefault="0060742B" w14:paraId="5156DA6D" w14:textId="47B829C0">
      <w:r w:rsidRPr="0060742B">
        <w:t xml:space="preserve">The Commission implemented the capability and requirement for filing </w:t>
      </w:r>
      <w:r w:rsidRPr="00AA20EE" w:rsidR="00AA20EE">
        <w:t xml:space="preserve">FERC-730 </w:t>
      </w:r>
      <w:r w:rsidR="00B035B7">
        <w:t xml:space="preserve">in various formats including the capability of electronic filing via </w:t>
      </w:r>
      <w:hyperlink w:history="1" r:id="rId13">
        <w:r w:rsidRPr="00E47891" w:rsidR="00B035B7">
          <w:rPr>
            <w:color w:val="0563C1" w:themeColor="hyperlink"/>
            <w:u w:val="single"/>
          </w:rPr>
          <w:t>eFiling</w:t>
        </w:r>
      </w:hyperlink>
      <w:r w:rsidR="00B035B7">
        <w:t xml:space="preserve"> </w:t>
      </w:r>
      <w:r w:rsidRPr="00B035B7" w:rsidR="00B035B7">
        <w:t xml:space="preserve">on </w:t>
      </w:r>
      <w:r w:rsidR="007B42EA">
        <w:t>the Commission</w:t>
      </w:r>
      <w:r w:rsidRPr="00B035B7" w:rsidR="00B035B7">
        <w:t xml:space="preserve">’s webpage. </w:t>
      </w:r>
      <w:r w:rsidR="00B035B7">
        <w:t xml:space="preserve">  </w:t>
      </w:r>
    </w:p>
    <w:p w:rsidRPr="00AA20EE" w:rsidR="00B035B7" w:rsidP="002B209B" w:rsidRDefault="00B035B7" w14:paraId="0C066AA8" w14:textId="77777777"/>
    <w:p w:rsidRPr="004A2BDE" w:rsidR="00AA20EE" w:rsidP="00157ABF" w:rsidRDefault="00AA20EE" w14:paraId="6D366773" w14:textId="77777777">
      <w:pPr>
        <w:pStyle w:val="ListParagraph"/>
        <w:numPr>
          <w:ilvl w:val="0"/>
          <w:numId w:val="3"/>
        </w:numPr>
        <w:ind w:hanging="720"/>
        <w:rPr>
          <w:b/>
        </w:rPr>
      </w:pPr>
      <w:r w:rsidRPr="004A2BDE">
        <w:rPr>
          <w:b/>
        </w:rPr>
        <w:t>DESCRIBE EFFORTS TO IDENTIFY DUPLICATON AND SHOW SPECIFICALLY WHY ANY SIMILAR INFORMATION ALREADY AVAILABLE CANNOT BE USED OR MODIFIED FOR USE FOR THE PURPOSE(S) DESCRIBED IN INSTRUCTION NO. 2.</w:t>
      </w:r>
    </w:p>
    <w:p w:rsidRPr="0060742B" w:rsidR="0060742B" w:rsidP="002B209B" w:rsidRDefault="0060742B" w14:paraId="5B2B9E5D" w14:textId="77777777"/>
    <w:p w:rsidR="00777343" w:rsidP="002B209B" w:rsidRDefault="00777343" w14:paraId="7C202BA5" w14:textId="06544887">
      <w:r w:rsidRPr="00777343">
        <w:t>The information required in</w:t>
      </w:r>
      <w:r>
        <w:t xml:space="preserve"> </w:t>
      </w:r>
      <w:r w:rsidRPr="00777343">
        <w:t xml:space="preserve">FERC-730 is not available from </w:t>
      </w:r>
      <w:r>
        <w:t xml:space="preserve">FERC </w:t>
      </w:r>
      <w:r w:rsidRPr="00777343">
        <w:t>Form Nos. 1, 714 or 715, nor is it available from other</w:t>
      </w:r>
      <w:r>
        <w:t xml:space="preserve"> </w:t>
      </w:r>
      <w:r w:rsidRPr="00777343">
        <w:t>federal agencies</w:t>
      </w:r>
      <w:r w:rsidR="00422842">
        <w:t xml:space="preserve"> or any other source</w:t>
      </w:r>
      <w:r w:rsidRPr="00777343">
        <w:t xml:space="preserve">. </w:t>
      </w:r>
      <w:r w:rsidR="000355D0">
        <w:t xml:space="preserve"> </w:t>
      </w:r>
      <w:r w:rsidRPr="00777343">
        <w:t>For instance, FERC Form No. 1 requires the reporting of historical</w:t>
      </w:r>
      <w:r>
        <w:t xml:space="preserve"> </w:t>
      </w:r>
      <w:r w:rsidRPr="00777343">
        <w:t>financial data but does not contain projections of expected transmission</w:t>
      </w:r>
      <w:r w:rsidR="00422842">
        <w:t xml:space="preserve"> </w:t>
      </w:r>
      <w:r w:rsidRPr="00777343">
        <w:t xml:space="preserve">investments. </w:t>
      </w:r>
      <w:r w:rsidR="000355D0">
        <w:t xml:space="preserve"> </w:t>
      </w:r>
      <w:r w:rsidRPr="00777343">
        <w:t xml:space="preserve">Thus, the information sought is not available </w:t>
      </w:r>
      <w:r w:rsidR="000355D0">
        <w:t xml:space="preserve">from another source </w:t>
      </w:r>
      <w:r w:rsidRPr="00777343">
        <w:t xml:space="preserve">and </w:t>
      </w:r>
      <w:r w:rsidR="00422842">
        <w:t xml:space="preserve">is </w:t>
      </w:r>
      <w:r w:rsidRPr="00777343">
        <w:t>required only from public utilities that have been granted incentive rate treatment for</w:t>
      </w:r>
      <w:r>
        <w:t xml:space="preserve"> </w:t>
      </w:r>
      <w:r w:rsidRPr="00777343">
        <w:t>specific transmission projects under the provisions of § 35.35.</w:t>
      </w:r>
    </w:p>
    <w:p w:rsidRPr="00B035B7" w:rsidR="00AA20EE" w:rsidP="002B209B" w:rsidRDefault="00AA20EE" w14:paraId="22148F30" w14:textId="30D37D91"/>
    <w:p w:rsidRPr="004A2BDE" w:rsidR="00AA20EE" w:rsidP="00157ABF" w:rsidRDefault="00AA20EE" w14:paraId="070FD124" w14:textId="77777777">
      <w:pPr>
        <w:pStyle w:val="ListParagraph"/>
        <w:numPr>
          <w:ilvl w:val="0"/>
          <w:numId w:val="3"/>
        </w:numPr>
        <w:ind w:hanging="720"/>
        <w:rPr>
          <w:b/>
        </w:rPr>
      </w:pPr>
      <w:r w:rsidRPr="004A2BDE">
        <w:rPr>
          <w:b/>
        </w:rPr>
        <w:t xml:space="preserve">METHODS USED TO MINIMIZE BURDEN IN COLLECTION OF INFORMATION INVOLVING SMALL ENTITIES </w:t>
      </w:r>
    </w:p>
    <w:p w:rsidRPr="00AA20EE" w:rsidR="00AA20EE" w:rsidP="00157ABF" w:rsidRDefault="00AA20EE" w14:paraId="04D6F500" w14:textId="77777777"/>
    <w:p w:rsidRPr="00AA20EE" w:rsidR="00AA20EE" w:rsidP="00157ABF" w:rsidRDefault="00AA20EE" w14:paraId="4581A6D7" w14:textId="7286BF5C">
      <w:r w:rsidRPr="00AA20EE">
        <w:t xml:space="preserve">The Commission anticipates that the high cost of construction of transmission facilities </w:t>
      </w:r>
      <w:r w:rsidRPr="00AA20EE">
        <w:lastRenderedPageBreak/>
        <w:t xml:space="preserve">and the requirements to finance complex and costly transmission projects are </w:t>
      </w:r>
      <w:r w:rsidR="008925B7">
        <w:t>generally</w:t>
      </w:r>
      <w:r w:rsidRPr="00AA20EE">
        <w:t xml:space="preserve"> not conducive to small entities’ entry into this field as defined by the Regulatory Flexibility Act (RFA).  Therefore, the Commission concludes that these requirements would not have a significant economic impact on a substantial number of small entities </w:t>
      </w:r>
      <w:r w:rsidR="00B41094">
        <w:t xml:space="preserve">who are public utilities </w:t>
      </w:r>
      <w:r w:rsidRPr="00AA20EE">
        <w:t xml:space="preserve">since small </w:t>
      </w:r>
      <w:r w:rsidR="00B41094">
        <w:t xml:space="preserve">public utilities </w:t>
      </w:r>
      <w:r w:rsidRPr="00AA20EE">
        <w:t xml:space="preserve">are </w:t>
      </w:r>
      <w:r w:rsidR="00B41094">
        <w:t xml:space="preserve">generally </w:t>
      </w:r>
      <w:r w:rsidRPr="00AA20EE">
        <w:t>not present within this respondent universe.</w:t>
      </w:r>
    </w:p>
    <w:p w:rsidRPr="00AA20EE" w:rsidR="00AA20EE" w:rsidP="00157ABF" w:rsidRDefault="00AA20EE" w14:paraId="19EA5588" w14:textId="77777777"/>
    <w:p w:rsidRPr="004A2BDE" w:rsidR="00AA20EE" w:rsidP="00157ABF" w:rsidRDefault="00AA20EE" w14:paraId="4DE00A90" w14:textId="77777777">
      <w:pPr>
        <w:pStyle w:val="ListParagraph"/>
        <w:numPr>
          <w:ilvl w:val="0"/>
          <w:numId w:val="3"/>
        </w:numPr>
        <w:ind w:hanging="720"/>
        <w:rPr>
          <w:b/>
        </w:rPr>
      </w:pPr>
      <w:r w:rsidRPr="004A2BDE">
        <w:rPr>
          <w:b/>
        </w:rPr>
        <w:t>CONSEQUENCE TO FEDERAL PROGRAM IF COLLECTION WERE CONDUCTED LESS FREQUENTLY</w:t>
      </w:r>
    </w:p>
    <w:p w:rsidRPr="00AA20EE" w:rsidR="00E05A90" w:rsidP="00157ABF" w:rsidRDefault="00E05A90" w14:paraId="15481756" w14:textId="77777777">
      <w:pPr>
        <w:pStyle w:val="ListParagraph"/>
      </w:pPr>
    </w:p>
    <w:p w:rsidRPr="00B035B7" w:rsidR="0060742B" w:rsidP="002B209B" w:rsidRDefault="00422842" w14:paraId="14BC9F25" w14:textId="7C0CEC5F">
      <w:r>
        <w:t xml:space="preserve">If this </w:t>
      </w:r>
      <w:r w:rsidRPr="00B035B7" w:rsidR="0060742B">
        <w:t xml:space="preserve">information </w:t>
      </w:r>
      <w:r>
        <w:t xml:space="preserve">was not collected, </w:t>
      </w:r>
      <w:r w:rsidRPr="00B035B7" w:rsidR="0060742B">
        <w:t xml:space="preserve">the Commission would </w:t>
      </w:r>
      <w:r>
        <w:t xml:space="preserve">have difficulty </w:t>
      </w:r>
      <w:r w:rsidRPr="00422842">
        <w:t>determin</w:t>
      </w:r>
      <w:r>
        <w:t>ing</w:t>
      </w:r>
      <w:r w:rsidRPr="00422842">
        <w:t xml:space="preserve"> effectiveness of </w:t>
      </w:r>
      <w:r>
        <w:t>transmission incentives</w:t>
      </w:r>
      <w:r w:rsidR="008925B7">
        <w:t xml:space="preserve"> and</w:t>
      </w:r>
      <w:r>
        <w:t xml:space="preserve"> gaining an </w:t>
      </w:r>
      <w:r w:rsidRPr="00422842">
        <w:t>accurate assessment of the state of the industry with respect to</w:t>
      </w:r>
      <w:r>
        <w:t xml:space="preserve"> </w:t>
      </w:r>
      <w:r w:rsidRPr="00422842">
        <w:t>transmission investment</w:t>
      </w:r>
      <w:r w:rsidRPr="00B035B7" w:rsidR="0060742B">
        <w:t>.</w:t>
      </w:r>
    </w:p>
    <w:p w:rsidRPr="00AA20EE" w:rsidR="00AA20EE" w:rsidP="002B209B" w:rsidRDefault="00AA20EE" w14:paraId="233210FB" w14:textId="77777777"/>
    <w:p w:rsidRPr="004A2BDE" w:rsidR="00AA20EE" w:rsidP="00157ABF" w:rsidRDefault="00AA20EE" w14:paraId="52C22C0C" w14:textId="77777777">
      <w:pPr>
        <w:pStyle w:val="ListParagraph"/>
        <w:numPr>
          <w:ilvl w:val="0"/>
          <w:numId w:val="3"/>
        </w:numPr>
        <w:ind w:hanging="720"/>
        <w:rPr>
          <w:b/>
        </w:rPr>
      </w:pPr>
      <w:r w:rsidRPr="004A2BDE">
        <w:rPr>
          <w:b/>
        </w:rPr>
        <w:t>EXPLAIN ANY SPECIAL CIRCUMSTANCES RELATING TO THE INFORMATION</w:t>
      </w:r>
    </w:p>
    <w:p w:rsidRPr="00AA20EE" w:rsidR="00AA20EE" w:rsidP="002B209B" w:rsidRDefault="00AA20EE" w14:paraId="7E20B168" w14:textId="77777777"/>
    <w:p w:rsidRPr="00AA20EE" w:rsidR="00AA20EE" w:rsidP="002B209B" w:rsidRDefault="0060742B" w14:paraId="4742D5F2" w14:textId="77777777">
      <w:r>
        <w:t>The FERC-730 information collection presents no special circumstances.</w:t>
      </w:r>
      <w:r w:rsidRPr="00AA20EE" w:rsidR="00AA20EE">
        <w:t xml:space="preserve"> </w:t>
      </w:r>
    </w:p>
    <w:p w:rsidRPr="00AA20EE" w:rsidR="00AA20EE" w:rsidP="001B5F2A" w:rsidRDefault="00AA20EE" w14:paraId="6A1685CB" w14:textId="77777777"/>
    <w:p w:rsidRPr="004A2BDE" w:rsidR="00AA20EE" w:rsidP="00157ABF" w:rsidRDefault="00AA20EE" w14:paraId="7D17B7A0" w14:textId="77777777">
      <w:pPr>
        <w:pStyle w:val="ListParagraph"/>
        <w:numPr>
          <w:ilvl w:val="0"/>
          <w:numId w:val="3"/>
        </w:numPr>
        <w:ind w:hanging="720"/>
        <w:rPr>
          <w:b/>
        </w:rPr>
      </w:pPr>
      <w:r w:rsidRPr="004A2BDE">
        <w:rPr>
          <w:b/>
        </w:rPr>
        <w:t>DESCRIBE EFFORTS TO CONSULT OUTSIDE THE AGENCY: SUMMARIZE PUBLIC COMMENTS AND THE AGENCY’S RESPONSE TO THESE COMMENTS</w:t>
      </w:r>
    </w:p>
    <w:p w:rsidR="00AA20EE" w:rsidP="002B209B" w:rsidRDefault="00AA20EE" w14:paraId="11EC7122" w14:textId="77777777"/>
    <w:p w:rsidRPr="00B035B7" w:rsidR="0060742B" w:rsidP="001B5F2A" w:rsidRDefault="0060742B" w14:paraId="36BCF081" w14:textId="7318E506">
      <w:r w:rsidRPr="00B035B7">
        <w:t>In accordance with OMB requirements</w:t>
      </w:r>
      <w:r w:rsidRPr="00B035B7">
        <w:rPr>
          <w:vertAlign w:val="superscript"/>
        </w:rPr>
        <w:footnoteReference w:id="2"/>
      </w:r>
      <w:r w:rsidRPr="00B035B7">
        <w:t>, the Commission published a 60-day notice</w:t>
      </w:r>
      <w:r w:rsidRPr="00B035B7">
        <w:rPr>
          <w:vertAlign w:val="superscript"/>
        </w:rPr>
        <w:footnoteReference w:id="3"/>
      </w:r>
      <w:r w:rsidRPr="00B035B7">
        <w:t xml:space="preserve"> and a 30-day notice</w:t>
      </w:r>
      <w:r w:rsidRPr="00B035B7">
        <w:rPr>
          <w:vertAlign w:val="superscript"/>
        </w:rPr>
        <w:footnoteReference w:id="4"/>
      </w:r>
      <w:r w:rsidRPr="00B035B7">
        <w:t xml:space="preserve"> to the public regarding this information collection on 2/25/2019 and </w:t>
      </w:r>
      <w:r w:rsidRPr="00E9102F" w:rsidR="00E9102F">
        <w:t>5</w:t>
      </w:r>
      <w:r w:rsidRPr="00E9102F">
        <w:t>/</w:t>
      </w:r>
      <w:r w:rsidRPr="00E9102F" w:rsidR="00E9102F">
        <w:t>7</w:t>
      </w:r>
      <w:r w:rsidRPr="00E9102F">
        <w:t>/2019</w:t>
      </w:r>
      <w:r w:rsidRPr="00B035B7">
        <w:t xml:space="preserve"> respectively. </w:t>
      </w:r>
      <w:r w:rsidR="000355D0">
        <w:t xml:space="preserve"> </w:t>
      </w:r>
      <w:r w:rsidRPr="00B035B7">
        <w:t xml:space="preserve">Within the public notice, the Commission noted that it would be requesting a three-year extension of the public reporting burden with no change to the existing requirements concerning the collection of data.  No comments were received </w:t>
      </w:r>
      <w:r w:rsidR="008925B7">
        <w:t>in response to</w:t>
      </w:r>
      <w:r w:rsidRPr="00B035B7">
        <w:t xml:space="preserve"> the 60-day Notice.</w:t>
      </w:r>
    </w:p>
    <w:p w:rsidRPr="00AA20EE" w:rsidR="00AA20EE" w:rsidP="001B5F2A" w:rsidRDefault="00AA20EE" w14:paraId="096365D3" w14:textId="77777777"/>
    <w:p w:rsidRPr="004A2BDE" w:rsidR="00AA20EE" w:rsidP="00157ABF" w:rsidRDefault="00AA20EE" w14:paraId="454604C7" w14:textId="77777777">
      <w:pPr>
        <w:pStyle w:val="ListParagraph"/>
        <w:numPr>
          <w:ilvl w:val="0"/>
          <w:numId w:val="3"/>
        </w:numPr>
        <w:ind w:hanging="720"/>
        <w:rPr>
          <w:b/>
        </w:rPr>
      </w:pPr>
      <w:r w:rsidRPr="004A2BDE">
        <w:rPr>
          <w:b/>
        </w:rPr>
        <w:t>EXPLAIN ANY PAYMENT OR GIFTS TO RESPONDENTS</w:t>
      </w:r>
    </w:p>
    <w:p w:rsidRPr="00AA20EE" w:rsidR="00AA20EE" w:rsidP="001B5F2A" w:rsidRDefault="00AA20EE" w14:paraId="2A3217D1" w14:textId="77777777"/>
    <w:p w:rsidRPr="00AA20EE" w:rsidR="00AA20EE" w:rsidP="001B5F2A" w:rsidRDefault="00AA20EE" w14:paraId="5EC87861" w14:textId="77777777">
      <w:r w:rsidRPr="00AA20EE">
        <w:t xml:space="preserve">There are no payments or gifts to respondents </w:t>
      </w:r>
      <w:r w:rsidR="0060742B">
        <w:t>associated with the FERC-730 information collection.</w:t>
      </w:r>
    </w:p>
    <w:p w:rsidRPr="00AA20EE" w:rsidR="00AA20EE" w:rsidP="001B5F2A" w:rsidRDefault="00AA20EE" w14:paraId="7831A5C1" w14:textId="77777777"/>
    <w:p w:rsidRPr="004A2BDE" w:rsidR="00AA20EE" w:rsidP="00157ABF" w:rsidRDefault="00AA20EE" w14:paraId="23B0D680" w14:textId="77777777">
      <w:pPr>
        <w:pStyle w:val="ListParagraph"/>
        <w:numPr>
          <w:ilvl w:val="0"/>
          <w:numId w:val="3"/>
        </w:numPr>
        <w:ind w:hanging="720"/>
        <w:rPr>
          <w:b/>
        </w:rPr>
      </w:pPr>
      <w:r w:rsidRPr="004A2BDE">
        <w:rPr>
          <w:b/>
        </w:rPr>
        <w:t>DESCRIBE ANY ASSURANCE OF CONFIDENTIALITY PROVIDED TO RESPONDENTS</w:t>
      </w:r>
    </w:p>
    <w:p w:rsidRPr="00AA20EE" w:rsidR="00422842" w:rsidP="00157ABF" w:rsidRDefault="00422842" w14:paraId="696F1C37" w14:textId="77777777"/>
    <w:p w:rsidRPr="00AA20EE" w:rsidR="00AA20EE" w:rsidP="00BF3D72" w:rsidRDefault="00422842" w14:paraId="5221A9DE" w14:textId="65DD0712">
      <w:pPr>
        <w:rPr>
          <w:b/>
        </w:rPr>
      </w:pPr>
      <w:r w:rsidRPr="00422842">
        <w:lastRenderedPageBreak/>
        <w:t>The information con</w:t>
      </w:r>
      <w:r>
        <w:t xml:space="preserve">tained in FERC-730 </w:t>
      </w:r>
      <w:r w:rsidRPr="00422842">
        <w:t>is publically available.  However, the Commission will consider specific requests for confidential treatment (e.g. Critical Energy/Electric Infrastructure Information [CEII] or non-public) to the extent permitted by law.</w:t>
      </w:r>
      <w:r w:rsidRPr="00157ABF">
        <w:rPr>
          <w:rFonts w:eastAsia="Calibri"/>
          <w:vertAlign w:val="superscript"/>
        </w:rPr>
        <w:footnoteReference w:id="5"/>
      </w:r>
    </w:p>
    <w:p w:rsidRPr="00AA20EE" w:rsidR="00AA20EE" w:rsidP="002B209B" w:rsidRDefault="00AA20EE" w14:paraId="3F2B53BB" w14:textId="77777777"/>
    <w:p w:rsidRPr="004A2BDE" w:rsidR="00AA20EE" w:rsidP="00157ABF" w:rsidRDefault="00AA20EE" w14:paraId="7C380652" w14:textId="77777777">
      <w:pPr>
        <w:pStyle w:val="ListParagraph"/>
        <w:numPr>
          <w:ilvl w:val="0"/>
          <w:numId w:val="3"/>
        </w:numPr>
        <w:ind w:hanging="720"/>
        <w:rPr>
          <w:b/>
        </w:rPr>
      </w:pPr>
      <w:r w:rsidRPr="004A2BDE">
        <w:rPr>
          <w:b/>
        </w:rPr>
        <w:t>PROVIDE ADDITIONAL JUSTIFICATION FOR ANY QUESTIONS OF A SENSITIVE NATURE, SUCH AS SEXUAL BEHAVIOR AND ATTITUDES, RELIGIOUS BELIEFS, AND OTHER MATTERS THAT ARE COMMONLY CONSIDERED PRIVATE</w:t>
      </w:r>
    </w:p>
    <w:p w:rsidRPr="00AA20EE" w:rsidR="00AA20EE" w:rsidP="001B5F2A" w:rsidRDefault="00AA20EE" w14:paraId="0C576C62" w14:textId="77777777"/>
    <w:p w:rsidRPr="00AA20EE" w:rsidR="00AA20EE" w:rsidP="001B5F2A" w:rsidRDefault="00AA20EE" w14:paraId="10E590FE" w14:textId="77777777">
      <w:pPr>
        <w:rPr>
          <w:b/>
        </w:rPr>
      </w:pPr>
      <w:r w:rsidRPr="00AA20EE">
        <w:t xml:space="preserve">There are no questions of a sensitive nature associated with the reporting requirements.  </w:t>
      </w:r>
    </w:p>
    <w:p w:rsidRPr="00AA20EE" w:rsidR="00AA20EE" w:rsidP="001B5F2A" w:rsidRDefault="00AA20EE" w14:paraId="51F82C40" w14:textId="77777777"/>
    <w:p w:rsidRPr="004A2BDE" w:rsidR="00AA20EE" w:rsidP="00157ABF" w:rsidRDefault="00AA20EE" w14:paraId="38C67422" w14:textId="77777777">
      <w:pPr>
        <w:pStyle w:val="ListParagraph"/>
        <w:numPr>
          <w:ilvl w:val="0"/>
          <w:numId w:val="3"/>
        </w:numPr>
        <w:ind w:hanging="720"/>
        <w:rPr>
          <w:b/>
        </w:rPr>
      </w:pPr>
      <w:r w:rsidRPr="004A2BDE">
        <w:rPr>
          <w:b/>
        </w:rPr>
        <w:t>ESTIMATED BURDEN COLLECTION OF INFORMATION</w:t>
      </w:r>
    </w:p>
    <w:p w:rsidR="00AA20EE" w:rsidP="001B5F2A" w:rsidRDefault="00AA20EE" w14:paraId="306210DF" w14:textId="77777777"/>
    <w:p w:rsidRPr="003A0F87" w:rsidR="003A0F87" w:rsidP="001B5F2A" w:rsidRDefault="003A0F87" w14:paraId="3D2E10A8" w14:textId="77777777">
      <w:pPr>
        <w:rPr>
          <w:rFonts w:eastAsia="Calibri"/>
        </w:rPr>
      </w:pPr>
      <w:r w:rsidRPr="003A0F87">
        <w:rPr>
          <w:rFonts w:eastAsia="Calibri"/>
        </w:rPr>
        <w:t>The Commission estimates the annual public reporting burden</w:t>
      </w:r>
      <w:r w:rsidRPr="003A0F87">
        <w:rPr>
          <w:rFonts w:eastAsia="Calibri"/>
          <w:vertAlign w:val="superscript"/>
        </w:rPr>
        <w:footnoteReference w:id="6"/>
      </w:r>
      <w:r w:rsidRPr="003A0F87">
        <w:rPr>
          <w:rFonts w:eastAsia="Calibri"/>
        </w:rPr>
        <w:t xml:space="preserve"> and cost</w:t>
      </w:r>
      <w:r w:rsidRPr="003A0F87">
        <w:rPr>
          <w:rFonts w:eastAsia="Calibri"/>
          <w:vertAlign w:val="superscript"/>
        </w:rPr>
        <w:footnoteReference w:id="7"/>
      </w:r>
      <w:r w:rsidRPr="003A0F87">
        <w:rPr>
          <w:rFonts w:eastAsia="Calibri"/>
        </w:rPr>
        <w:t xml:space="preserve"> (rounded).</w:t>
      </w:r>
    </w:p>
    <w:p w:rsidRPr="00AA20EE" w:rsidR="003A0F87" w:rsidP="001B5F2A" w:rsidRDefault="003A0F87" w14:paraId="2B41C81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41"/>
        <w:gridCol w:w="1324"/>
        <w:gridCol w:w="1468"/>
        <w:gridCol w:w="1315"/>
        <w:gridCol w:w="2257"/>
        <w:gridCol w:w="1345"/>
      </w:tblGrid>
      <w:tr w:rsidRPr="004A2BDE" w:rsidR="00AA20EE" w:rsidTr="00157ABF" w14:paraId="375A6881" w14:textId="77777777">
        <w:trPr>
          <w:cantSplit/>
        </w:trPr>
        <w:tc>
          <w:tcPr>
            <w:tcW w:w="5000" w:type="pct"/>
            <w:gridSpan w:val="6"/>
            <w:tcBorders>
              <w:bottom w:val="single" w:color="auto" w:sz="4" w:space="0"/>
            </w:tcBorders>
            <w:shd w:val="clear" w:color="auto" w:fill="D9D9D9"/>
          </w:tcPr>
          <w:p w:rsidRPr="004A2BDE" w:rsidR="00AA20EE" w:rsidP="004A2BDE" w:rsidRDefault="00AA20EE" w14:paraId="15A6B42A" w14:textId="77777777">
            <w:pPr>
              <w:keepNext/>
              <w:jc w:val="center"/>
              <w:rPr>
                <w:rFonts w:eastAsia="Calibri"/>
                <w:b/>
                <w:sz w:val="20"/>
                <w:szCs w:val="20"/>
              </w:rPr>
            </w:pPr>
            <w:r w:rsidRPr="004A2BDE">
              <w:rPr>
                <w:rFonts w:eastAsia="Calibri"/>
                <w:b/>
                <w:sz w:val="20"/>
                <w:szCs w:val="20"/>
              </w:rPr>
              <w:t>FERC-730 (Report of Transmission Investment Activity)</w:t>
            </w:r>
          </w:p>
        </w:tc>
      </w:tr>
      <w:tr w:rsidRPr="004A2BDE" w:rsidR="00AA20EE" w:rsidTr="004A2BDE" w14:paraId="0C56CEA0" w14:textId="77777777">
        <w:trPr>
          <w:cantSplit/>
        </w:trPr>
        <w:tc>
          <w:tcPr>
            <w:tcW w:w="878" w:type="pct"/>
            <w:shd w:val="clear" w:color="auto" w:fill="D9D9D9"/>
            <w:vAlign w:val="bottom"/>
          </w:tcPr>
          <w:p w:rsidRPr="004A2BDE" w:rsidR="00AA20EE" w:rsidP="004A2BDE" w:rsidRDefault="00AA20EE" w14:paraId="2267EE03" w14:textId="77777777">
            <w:pPr>
              <w:keepNext/>
              <w:jc w:val="center"/>
              <w:rPr>
                <w:rFonts w:eastAsia="Calibri"/>
                <w:b/>
                <w:sz w:val="20"/>
                <w:szCs w:val="20"/>
              </w:rPr>
            </w:pPr>
            <w:r w:rsidRPr="004A2BDE">
              <w:rPr>
                <w:rFonts w:eastAsia="Calibri"/>
                <w:b/>
                <w:sz w:val="20"/>
                <w:szCs w:val="20"/>
              </w:rPr>
              <w:t>Number of Respondents</w:t>
            </w:r>
            <w:r w:rsidRPr="004A2BDE">
              <w:rPr>
                <w:rFonts w:eastAsia="Calibri"/>
                <w:b/>
                <w:sz w:val="20"/>
                <w:szCs w:val="20"/>
              </w:rPr>
              <w:br/>
              <w:t>(1)</w:t>
            </w:r>
          </w:p>
        </w:tc>
        <w:tc>
          <w:tcPr>
            <w:tcW w:w="708" w:type="pct"/>
            <w:shd w:val="clear" w:color="auto" w:fill="D9D9D9"/>
            <w:vAlign w:val="bottom"/>
          </w:tcPr>
          <w:p w:rsidRPr="004A2BDE" w:rsidR="00AA20EE" w:rsidP="004A2BDE" w:rsidRDefault="00AA20EE" w14:paraId="0822B811" w14:textId="77777777">
            <w:pPr>
              <w:keepNext/>
              <w:jc w:val="center"/>
              <w:rPr>
                <w:rFonts w:eastAsia="Calibri"/>
                <w:b/>
                <w:sz w:val="20"/>
                <w:szCs w:val="20"/>
              </w:rPr>
            </w:pPr>
            <w:r w:rsidRPr="004A2BDE">
              <w:rPr>
                <w:rFonts w:eastAsia="Calibri"/>
                <w:b/>
                <w:sz w:val="20"/>
                <w:szCs w:val="20"/>
              </w:rPr>
              <w:t>Annual Number of Responses per Respondent</w:t>
            </w:r>
          </w:p>
          <w:p w:rsidRPr="004A2BDE" w:rsidR="00AA20EE" w:rsidP="004A2BDE" w:rsidRDefault="00AA20EE" w14:paraId="36FC28E3" w14:textId="77777777">
            <w:pPr>
              <w:keepNext/>
              <w:jc w:val="center"/>
              <w:rPr>
                <w:rFonts w:eastAsia="Calibri"/>
                <w:b/>
                <w:sz w:val="20"/>
                <w:szCs w:val="20"/>
              </w:rPr>
            </w:pPr>
            <w:r w:rsidRPr="004A2BDE">
              <w:rPr>
                <w:rFonts w:eastAsia="Calibri"/>
                <w:b/>
                <w:sz w:val="20"/>
                <w:szCs w:val="20"/>
              </w:rPr>
              <w:t>(2)</w:t>
            </w:r>
          </w:p>
        </w:tc>
        <w:tc>
          <w:tcPr>
            <w:tcW w:w="785" w:type="pct"/>
            <w:shd w:val="clear" w:color="auto" w:fill="D9D9D9"/>
            <w:vAlign w:val="bottom"/>
          </w:tcPr>
          <w:p w:rsidRPr="004A2BDE" w:rsidR="00AA20EE" w:rsidP="004A2BDE" w:rsidRDefault="00AA20EE" w14:paraId="02B95599" w14:textId="77777777">
            <w:pPr>
              <w:keepNext/>
              <w:jc w:val="center"/>
              <w:rPr>
                <w:rFonts w:eastAsia="Calibri"/>
                <w:b/>
                <w:sz w:val="20"/>
                <w:szCs w:val="20"/>
              </w:rPr>
            </w:pPr>
            <w:r w:rsidRPr="004A2BDE">
              <w:rPr>
                <w:rFonts w:eastAsia="Calibri"/>
                <w:b/>
                <w:sz w:val="20"/>
                <w:szCs w:val="20"/>
              </w:rPr>
              <w:t>Total Number of Responses (1)*(2)=(3)</w:t>
            </w:r>
          </w:p>
        </w:tc>
        <w:tc>
          <w:tcPr>
            <w:tcW w:w="703" w:type="pct"/>
            <w:shd w:val="clear" w:color="auto" w:fill="D9D9D9"/>
            <w:vAlign w:val="bottom"/>
          </w:tcPr>
          <w:p w:rsidRPr="004A2BDE" w:rsidR="00AA20EE" w:rsidP="004A2BDE" w:rsidRDefault="00AA20EE" w14:paraId="1B158CDA" w14:textId="77777777">
            <w:pPr>
              <w:keepNext/>
              <w:jc w:val="center"/>
              <w:rPr>
                <w:rFonts w:eastAsia="Calibri"/>
                <w:b/>
                <w:sz w:val="20"/>
                <w:szCs w:val="20"/>
              </w:rPr>
            </w:pPr>
            <w:r w:rsidRPr="004A2BDE">
              <w:rPr>
                <w:rFonts w:eastAsia="Calibri"/>
                <w:b/>
                <w:sz w:val="20"/>
                <w:szCs w:val="20"/>
              </w:rPr>
              <w:t>Average Burden Hrs. &amp; Cost Per Response</w:t>
            </w:r>
          </w:p>
          <w:p w:rsidRPr="004A2BDE" w:rsidR="00AA20EE" w:rsidP="004A2BDE" w:rsidRDefault="00AA20EE" w14:paraId="24C93881" w14:textId="77777777">
            <w:pPr>
              <w:keepNext/>
              <w:jc w:val="center"/>
              <w:rPr>
                <w:rFonts w:eastAsia="Calibri"/>
                <w:b/>
                <w:sz w:val="20"/>
                <w:szCs w:val="20"/>
              </w:rPr>
            </w:pPr>
            <w:r w:rsidRPr="004A2BDE">
              <w:rPr>
                <w:rFonts w:eastAsia="Calibri"/>
                <w:b/>
                <w:sz w:val="20"/>
                <w:szCs w:val="20"/>
              </w:rPr>
              <w:t>(4)</w:t>
            </w:r>
          </w:p>
        </w:tc>
        <w:tc>
          <w:tcPr>
            <w:tcW w:w="1207" w:type="pct"/>
            <w:shd w:val="clear" w:color="auto" w:fill="D9D9D9"/>
            <w:vAlign w:val="bottom"/>
          </w:tcPr>
          <w:p w:rsidRPr="004A2BDE" w:rsidR="00AA20EE" w:rsidP="004A2BDE" w:rsidRDefault="00AA20EE" w14:paraId="568964E9" w14:textId="77777777">
            <w:pPr>
              <w:keepNext/>
              <w:jc w:val="center"/>
              <w:rPr>
                <w:rFonts w:eastAsia="Calibri"/>
                <w:b/>
                <w:sz w:val="20"/>
                <w:szCs w:val="20"/>
              </w:rPr>
            </w:pPr>
            <w:r w:rsidRPr="004A2BDE">
              <w:rPr>
                <w:rFonts w:eastAsia="Calibri"/>
                <w:b/>
                <w:sz w:val="20"/>
                <w:szCs w:val="20"/>
              </w:rPr>
              <w:t>Total Annual Burden Hours &amp; Total Annual Cost</w:t>
            </w:r>
          </w:p>
          <w:p w:rsidRPr="004A2BDE" w:rsidR="00AA20EE" w:rsidP="004A2BDE" w:rsidRDefault="00AA20EE" w14:paraId="6FF11363" w14:textId="77777777">
            <w:pPr>
              <w:keepNext/>
              <w:jc w:val="center"/>
              <w:rPr>
                <w:rFonts w:eastAsia="Calibri"/>
                <w:b/>
                <w:sz w:val="20"/>
                <w:szCs w:val="20"/>
              </w:rPr>
            </w:pPr>
            <w:r w:rsidRPr="004A2BDE">
              <w:rPr>
                <w:rFonts w:eastAsia="Calibri"/>
                <w:b/>
                <w:sz w:val="20"/>
                <w:szCs w:val="20"/>
              </w:rPr>
              <w:t>(3)*(4)=(5)</w:t>
            </w:r>
          </w:p>
        </w:tc>
        <w:tc>
          <w:tcPr>
            <w:tcW w:w="719" w:type="pct"/>
            <w:shd w:val="clear" w:color="auto" w:fill="D9D9D9"/>
            <w:vAlign w:val="bottom"/>
          </w:tcPr>
          <w:p w:rsidRPr="004A2BDE" w:rsidR="00AA20EE" w:rsidP="004A2BDE" w:rsidRDefault="00AA20EE" w14:paraId="0E81A784" w14:textId="77777777">
            <w:pPr>
              <w:keepNext/>
              <w:jc w:val="center"/>
              <w:rPr>
                <w:rFonts w:eastAsia="Calibri"/>
                <w:b/>
                <w:sz w:val="20"/>
                <w:szCs w:val="20"/>
              </w:rPr>
            </w:pPr>
            <w:r w:rsidRPr="004A2BDE">
              <w:rPr>
                <w:rFonts w:eastAsia="Calibri"/>
                <w:b/>
                <w:sz w:val="20"/>
                <w:szCs w:val="20"/>
              </w:rPr>
              <w:t>Cost per Respondent</w:t>
            </w:r>
          </w:p>
          <w:p w:rsidRPr="004A2BDE" w:rsidR="00AA20EE" w:rsidP="004A2BDE" w:rsidRDefault="00AA20EE" w14:paraId="1F0431D2" w14:textId="449ED0AF">
            <w:pPr>
              <w:keepNext/>
              <w:jc w:val="center"/>
              <w:rPr>
                <w:rFonts w:eastAsia="Calibri"/>
                <w:b/>
                <w:sz w:val="20"/>
                <w:szCs w:val="20"/>
              </w:rPr>
            </w:pPr>
            <w:r w:rsidRPr="004A2BDE">
              <w:rPr>
                <w:rFonts w:eastAsia="Calibri"/>
                <w:b/>
                <w:sz w:val="20"/>
                <w:szCs w:val="20"/>
              </w:rPr>
              <w:t>($)</w:t>
            </w:r>
          </w:p>
          <w:p w:rsidRPr="004A2BDE" w:rsidR="00AA20EE" w:rsidP="004A2BDE" w:rsidRDefault="00AA20EE" w14:paraId="7EF807F9" w14:textId="77777777">
            <w:pPr>
              <w:keepNext/>
              <w:jc w:val="center"/>
              <w:rPr>
                <w:rFonts w:eastAsia="Calibri"/>
                <w:b/>
                <w:sz w:val="20"/>
                <w:szCs w:val="20"/>
              </w:rPr>
            </w:pPr>
            <w:r w:rsidRPr="004A2BDE">
              <w:rPr>
                <w:rFonts w:eastAsia="Calibri"/>
                <w:b/>
                <w:sz w:val="20"/>
                <w:szCs w:val="20"/>
              </w:rPr>
              <w:t>(5)÷(1)</w:t>
            </w:r>
          </w:p>
        </w:tc>
      </w:tr>
      <w:tr w:rsidRPr="004A2BDE" w:rsidR="00AA20EE" w:rsidTr="004A2BDE" w14:paraId="66B82193" w14:textId="77777777">
        <w:trPr>
          <w:cantSplit/>
        </w:trPr>
        <w:tc>
          <w:tcPr>
            <w:tcW w:w="878" w:type="pct"/>
          </w:tcPr>
          <w:p w:rsidRPr="004A2BDE" w:rsidR="00AA20EE" w:rsidP="00157ABF" w:rsidRDefault="002E2E3E" w14:paraId="79418AA4" w14:textId="76DA4DA9">
            <w:pPr>
              <w:jc w:val="right"/>
              <w:rPr>
                <w:rFonts w:eastAsia="Calibri"/>
                <w:sz w:val="20"/>
                <w:szCs w:val="20"/>
              </w:rPr>
            </w:pPr>
            <w:r w:rsidRPr="004A2BDE">
              <w:rPr>
                <w:rFonts w:eastAsia="Calibri"/>
                <w:sz w:val="20"/>
                <w:szCs w:val="20"/>
              </w:rPr>
              <w:t>63</w:t>
            </w:r>
          </w:p>
          <w:p w:rsidRPr="004A2BDE" w:rsidR="00AA20EE" w:rsidP="00157ABF" w:rsidRDefault="00AA20EE" w14:paraId="6270B075" w14:textId="77777777">
            <w:pPr>
              <w:jc w:val="right"/>
              <w:rPr>
                <w:rFonts w:eastAsia="Calibri"/>
                <w:sz w:val="20"/>
                <w:szCs w:val="20"/>
              </w:rPr>
            </w:pPr>
          </w:p>
        </w:tc>
        <w:tc>
          <w:tcPr>
            <w:tcW w:w="708" w:type="pct"/>
          </w:tcPr>
          <w:p w:rsidRPr="004A2BDE" w:rsidR="00AA20EE" w:rsidP="00157ABF" w:rsidRDefault="00AA20EE" w14:paraId="182E7483" w14:textId="77777777">
            <w:pPr>
              <w:jc w:val="right"/>
              <w:rPr>
                <w:rFonts w:eastAsia="Calibri"/>
                <w:sz w:val="20"/>
                <w:szCs w:val="20"/>
              </w:rPr>
            </w:pPr>
            <w:r w:rsidRPr="004A2BDE">
              <w:rPr>
                <w:rFonts w:eastAsia="Calibri"/>
                <w:sz w:val="20"/>
                <w:szCs w:val="20"/>
              </w:rPr>
              <w:t>1</w:t>
            </w:r>
          </w:p>
        </w:tc>
        <w:tc>
          <w:tcPr>
            <w:tcW w:w="785" w:type="pct"/>
          </w:tcPr>
          <w:p w:rsidRPr="004A2BDE" w:rsidR="00AA20EE" w:rsidP="00157ABF" w:rsidRDefault="002E2E3E" w14:paraId="493890AB" w14:textId="2FE2501F">
            <w:pPr>
              <w:jc w:val="right"/>
              <w:rPr>
                <w:rFonts w:eastAsia="Calibri"/>
                <w:sz w:val="20"/>
                <w:szCs w:val="20"/>
              </w:rPr>
            </w:pPr>
            <w:r w:rsidRPr="004A2BDE">
              <w:rPr>
                <w:rFonts w:eastAsia="Calibri"/>
                <w:sz w:val="20"/>
                <w:szCs w:val="20"/>
              </w:rPr>
              <w:t>63</w:t>
            </w:r>
          </w:p>
        </w:tc>
        <w:tc>
          <w:tcPr>
            <w:tcW w:w="703" w:type="pct"/>
          </w:tcPr>
          <w:p w:rsidRPr="004A2BDE" w:rsidR="00AA20EE" w:rsidP="00157ABF" w:rsidRDefault="00AA20EE" w14:paraId="1A12CA1D" w14:textId="1D170AB9">
            <w:pPr>
              <w:jc w:val="right"/>
              <w:rPr>
                <w:rFonts w:eastAsia="Calibri"/>
                <w:sz w:val="20"/>
                <w:szCs w:val="20"/>
              </w:rPr>
            </w:pPr>
            <w:r w:rsidRPr="004A2BDE">
              <w:rPr>
                <w:rFonts w:eastAsia="Calibri"/>
                <w:sz w:val="20"/>
                <w:szCs w:val="20"/>
              </w:rPr>
              <w:t>30 hrs.</w:t>
            </w:r>
            <w:r w:rsidR="008925B7">
              <w:rPr>
                <w:rFonts w:eastAsia="Calibri"/>
                <w:sz w:val="20"/>
                <w:szCs w:val="20"/>
              </w:rPr>
              <w:t>;</w:t>
            </w:r>
            <w:r w:rsidRPr="004A2BDE">
              <w:rPr>
                <w:rFonts w:eastAsia="Calibri"/>
                <w:sz w:val="20"/>
                <w:szCs w:val="20"/>
              </w:rPr>
              <w:t xml:space="preserve"> </w:t>
            </w:r>
          </w:p>
          <w:p w:rsidRPr="004A2BDE" w:rsidR="00AA20EE" w:rsidP="00157ABF" w:rsidRDefault="00AA20EE" w14:paraId="5DE073C7" w14:textId="18031248">
            <w:pPr>
              <w:jc w:val="right"/>
              <w:rPr>
                <w:rFonts w:eastAsia="Calibri"/>
                <w:sz w:val="20"/>
                <w:szCs w:val="20"/>
              </w:rPr>
            </w:pPr>
            <w:r w:rsidRPr="004A2BDE">
              <w:rPr>
                <w:rFonts w:eastAsia="Calibri"/>
                <w:sz w:val="20"/>
                <w:szCs w:val="20"/>
              </w:rPr>
              <w:t>$2,</w:t>
            </w:r>
            <w:r w:rsidR="008925B7">
              <w:rPr>
                <w:rFonts w:eastAsia="Calibri"/>
                <w:sz w:val="20"/>
                <w:szCs w:val="20"/>
              </w:rPr>
              <w:t>370</w:t>
            </w:r>
          </w:p>
        </w:tc>
        <w:tc>
          <w:tcPr>
            <w:tcW w:w="1207" w:type="pct"/>
          </w:tcPr>
          <w:p w:rsidRPr="004A2BDE" w:rsidR="00AA20EE" w:rsidP="00157ABF" w:rsidRDefault="00AA20EE" w14:paraId="06C690CF" w14:textId="571ACFE6">
            <w:pPr>
              <w:jc w:val="right"/>
              <w:rPr>
                <w:rFonts w:eastAsia="Calibri"/>
                <w:sz w:val="20"/>
                <w:szCs w:val="20"/>
              </w:rPr>
            </w:pPr>
            <w:r w:rsidRPr="004A2BDE">
              <w:rPr>
                <w:rFonts w:eastAsia="Calibri"/>
                <w:sz w:val="20"/>
                <w:szCs w:val="20"/>
              </w:rPr>
              <w:t xml:space="preserve"> 1,</w:t>
            </w:r>
            <w:r w:rsidRPr="004A2BDE" w:rsidR="002E2E3E">
              <w:rPr>
                <w:rFonts w:eastAsia="Calibri"/>
                <w:sz w:val="20"/>
                <w:szCs w:val="20"/>
              </w:rPr>
              <w:t>890</w:t>
            </w:r>
            <w:r w:rsidRPr="004A2BDE">
              <w:rPr>
                <w:rFonts w:eastAsia="Calibri"/>
                <w:sz w:val="20"/>
                <w:szCs w:val="20"/>
              </w:rPr>
              <w:t xml:space="preserve"> hrs.; </w:t>
            </w:r>
          </w:p>
          <w:p w:rsidRPr="004A2BDE" w:rsidR="00AA20EE" w:rsidP="00157ABF" w:rsidRDefault="00AA20EE" w14:paraId="0AADFDD0" w14:textId="48E11B0A">
            <w:pPr>
              <w:jc w:val="right"/>
              <w:rPr>
                <w:rFonts w:eastAsia="Calibri"/>
                <w:sz w:val="20"/>
                <w:szCs w:val="20"/>
              </w:rPr>
            </w:pPr>
            <w:r w:rsidRPr="004A2BDE">
              <w:rPr>
                <w:rFonts w:eastAsia="Calibri"/>
                <w:sz w:val="20"/>
                <w:szCs w:val="20"/>
              </w:rPr>
              <w:t>$1</w:t>
            </w:r>
            <w:r w:rsidR="008925B7">
              <w:rPr>
                <w:rFonts w:eastAsia="Calibri"/>
                <w:sz w:val="20"/>
                <w:szCs w:val="20"/>
              </w:rPr>
              <w:t>49,310</w:t>
            </w:r>
          </w:p>
        </w:tc>
        <w:tc>
          <w:tcPr>
            <w:tcW w:w="719" w:type="pct"/>
          </w:tcPr>
          <w:p w:rsidRPr="004A2BDE" w:rsidR="00AA20EE" w:rsidP="00157ABF" w:rsidRDefault="00AA20EE" w14:paraId="4FEED945" w14:textId="7ED72206">
            <w:pPr>
              <w:jc w:val="right"/>
              <w:rPr>
                <w:rFonts w:eastAsia="Calibri"/>
                <w:sz w:val="20"/>
                <w:szCs w:val="20"/>
              </w:rPr>
            </w:pPr>
            <w:r w:rsidRPr="004A2BDE">
              <w:rPr>
                <w:rFonts w:eastAsia="Calibri"/>
                <w:sz w:val="20"/>
                <w:szCs w:val="20"/>
              </w:rPr>
              <w:t>$2</w:t>
            </w:r>
            <w:r w:rsidR="008925B7">
              <w:rPr>
                <w:rFonts w:eastAsia="Calibri"/>
                <w:sz w:val="20"/>
                <w:szCs w:val="20"/>
              </w:rPr>
              <w:t>,370</w:t>
            </w:r>
          </w:p>
          <w:p w:rsidRPr="004A2BDE" w:rsidR="00AA20EE" w:rsidP="00157ABF" w:rsidRDefault="00AA20EE" w14:paraId="19121B90" w14:textId="77777777">
            <w:pPr>
              <w:jc w:val="right"/>
              <w:rPr>
                <w:rFonts w:eastAsia="Calibri"/>
                <w:sz w:val="20"/>
                <w:szCs w:val="20"/>
              </w:rPr>
            </w:pPr>
          </w:p>
        </w:tc>
      </w:tr>
    </w:tbl>
    <w:p w:rsidRPr="00AA20EE" w:rsidR="00AA20EE" w:rsidP="00BF3D72" w:rsidRDefault="00AA20EE" w14:paraId="40ED026F" w14:textId="77777777"/>
    <w:p w:rsidRPr="004A2BDE" w:rsidR="00AA20EE" w:rsidP="00157ABF" w:rsidRDefault="00AA20EE" w14:paraId="44FE9ABE" w14:textId="77777777">
      <w:pPr>
        <w:pStyle w:val="ListParagraph"/>
        <w:numPr>
          <w:ilvl w:val="0"/>
          <w:numId w:val="3"/>
        </w:numPr>
        <w:ind w:hanging="720"/>
        <w:rPr>
          <w:b/>
        </w:rPr>
      </w:pPr>
      <w:r w:rsidRPr="004A2BDE">
        <w:rPr>
          <w:b/>
        </w:rPr>
        <w:t>ESTIMATE OF THE TOTAL ANNUAL COST BURDEN TO RESPONDENTS</w:t>
      </w:r>
    </w:p>
    <w:p w:rsidR="00AA20EE" w:rsidP="001B5F2A" w:rsidRDefault="00AA20EE" w14:paraId="768354BF" w14:textId="77777777"/>
    <w:p w:rsidRPr="00B035B7" w:rsidR="003A0F87" w:rsidP="001B5F2A" w:rsidRDefault="003A0F87" w14:paraId="2757088B" w14:textId="77777777">
      <w:r w:rsidRPr="00B035B7">
        <w:t>There are no start-up or other non-labor costs.</w:t>
      </w:r>
    </w:p>
    <w:p w:rsidRPr="00B035B7" w:rsidR="003A0F87" w:rsidP="001B5F2A" w:rsidRDefault="003A0F87" w14:paraId="50EF785D" w14:textId="77777777"/>
    <w:p w:rsidRPr="00B035B7" w:rsidR="003A0F87" w:rsidP="001B5F2A" w:rsidRDefault="003A0F87" w14:paraId="0DE966A6" w14:textId="77777777">
      <w:r w:rsidRPr="00B035B7">
        <w:lastRenderedPageBreak/>
        <w:tab/>
        <w:t>Total Capital and Start-up cost: $0</w:t>
      </w:r>
    </w:p>
    <w:p w:rsidRPr="00B035B7" w:rsidR="003A0F87" w:rsidP="001B5F2A" w:rsidRDefault="003A0F87" w14:paraId="4E13A022" w14:textId="77777777">
      <w:r w:rsidRPr="00B035B7">
        <w:tab/>
        <w:t>Total Operation, Maintenance, and Purchase of Services: $0</w:t>
      </w:r>
    </w:p>
    <w:p w:rsidRPr="003A0F87" w:rsidR="003A0F87" w:rsidP="001B5F2A" w:rsidRDefault="003A0F87" w14:paraId="61F30A2C" w14:textId="77777777"/>
    <w:p w:rsidRPr="00B035B7" w:rsidR="003A0F87" w:rsidRDefault="003A0F87" w14:paraId="43DA2150" w14:textId="77777777">
      <w:r w:rsidRPr="00B035B7">
        <w:t>All of the costs in the information collection are associated with burden hours (labor) and discussed in Questions #12 and #15.</w:t>
      </w:r>
    </w:p>
    <w:p w:rsidRPr="00B035B7" w:rsidR="003A0F87" w:rsidRDefault="003A0F87" w14:paraId="223CC00C" w14:textId="77777777"/>
    <w:p w:rsidRPr="004A2BDE" w:rsidR="00AA20EE" w:rsidP="00157ABF" w:rsidRDefault="00AA20EE" w14:paraId="0FA058DD" w14:textId="77777777">
      <w:pPr>
        <w:pStyle w:val="ListParagraph"/>
        <w:numPr>
          <w:ilvl w:val="0"/>
          <w:numId w:val="3"/>
        </w:numPr>
        <w:ind w:hanging="720"/>
        <w:rPr>
          <w:b/>
        </w:rPr>
      </w:pPr>
      <w:r w:rsidRPr="004A2BDE">
        <w:rPr>
          <w:b/>
        </w:rPr>
        <w:t>ESTIMATED ANNUALIZED COST TO FEDERAL GOVERNMENT</w:t>
      </w:r>
    </w:p>
    <w:p w:rsidRPr="00AA20EE" w:rsidR="00AA20EE" w:rsidP="001B5F2A" w:rsidRDefault="00AA20EE" w14:paraId="157DDB39"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5"/>
        <w:gridCol w:w="2849"/>
        <w:gridCol w:w="3426"/>
      </w:tblGrid>
      <w:tr w:rsidRPr="00AA20EE" w:rsidR="00AA20EE" w:rsidTr="00157ABF" w14:paraId="2D97D7BC" w14:textId="77777777">
        <w:tc>
          <w:tcPr>
            <w:tcW w:w="1644" w:type="pct"/>
            <w:shd w:val="clear" w:color="auto" w:fill="D9D9D9"/>
            <w:vAlign w:val="center"/>
          </w:tcPr>
          <w:p w:rsidRPr="00AA20EE" w:rsidR="00AA20EE" w:rsidP="00157ABF" w:rsidRDefault="00AA20EE" w14:paraId="49204E81" w14:textId="77777777">
            <w:pPr>
              <w:keepNext/>
            </w:pPr>
          </w:p>
        </w:tc>
        <w:tc>
          <w:tcPr>
            <w:tcW w:w="1523" w:type="pct"/>
            <w:shd w:val="clear" w:color="auto" w:fill="D9D9D9"/>
            <w:vAlign w:val="center"/>
          </w:tcPr>
          <w:p w:rsidRPr="004A2BDE" w:rsidR="00AA20EE" w:rsidP="00157ABF" w:rsidRDefault="00AA20EE" w14:paraId="777083A6" w14:textId="77777777">
            <w:pPr>
              <w:keepNext/>
              <w:rPr>
                <w:b/>
              </w:rPr>
            </w:pPr>
            <w:r w:rsidRPr="004A2BDE">
              <w:rPr>
                <w:b/>
              </w:rPr>
              <w:t>Number of Employees (FTE)</w:t>
            </w:r>
          </w:p>
        </w:tc>
        <w:tc>
          <w:tcPr>
            <w:tcW w:w="1832" w:type="pct"/>
            <w:shd w:val="clear" w:color="auto" w:fill="D9D9D9"/>
            <w:vAlign w:val="center"/>
          </w:tcPr>
          <w:p w:rsidRPr="004A2BDE" w:rsidR="00AA20EE" w:rsidP="00157ABF" w:rsidRDefault="00AA20EE" w14:paraId="327780E0" w14:textId="77777777">
            <w:pPr>
              <w:keepNext/>
              <w:rPr>
                <w:b/>
              </w:rPr>
            </w:pPr>
            <w:r w:rsidRPr="004A2BDE">
              <w:rPr>
                <w:b/>
              </w:rPr>
              <w:t>Estimated Annual Federal Cost</w:t>
            </w:r>
          </w:p>
        </w:tc>
      </w:tr>
      <w:tr w:rsidRPr="00AA20EE" w:rsidR="00AA20EE" w:rsidTr="00157ABF" w14:paraId="6803BBA9" w14:textId="77777777">
        <w:tc>
          <w:tcPr>
            <w:tcW w:w="1644" w:type="pct"/>
            <w:shd w:val="clear" w:color="auto" w:fill="auto"/>
            <w:vAlign w:val="center"/>
          </w:tcPr>
          <w:p w:rsidRPr="00AA20EE" w:rsidR="00AA20EE" w:rsidP="00157ABF" w:rsidRDefault="00AA20EE" w14:paraId="353C1047" w14:textId="77777777">
            <w:pPr>
              <w:keepNext/>
            </w:pPr>
            <w:r w:rsidRPr="00AA20EE">
              <w:t>Analysis and Processing of Filings</w:t>
            </w:r>
            <w:r w:rsidRPr="00AA20EE">
              <w:rPr>
                <w:vertAlign w:val="superscript"/>
              </w:rPr>
              <w:footnoteReference w:id="8"/>
            </w:r>
          </w:p>
        </w:tc>
        <w:tc>
          <w:tcPr>
            <w:tcW w:w="1523" w:type="pct"/>
            <w:shd w:val="clear" w:color="auto" w:fill="auto"/>
            <w:vAlign w:val="center"/>
          </w:tcPr>
          <w:p w:rsidRPr="00AA20EE" w:rsidR="00AA20EE" w:rsidP="00E9102F" w:rsidRDefault="00AA20EE" w14:paraId="5C494A7C" w14:textId="77777777">
            <w:pPr>
              <w:keepNext/>
              <w:jc w:val="right"/>
            </w:pPr>
            <w:r w:rsidRPr="00AA20EE">
              <w:t>0.3</w:t>
            </w:r>
          </w:p>
        </w:tc>
        <w:tc>
          <w:tcPr>
            <w:tcW w:w="1832" w:type="pct"/>
            <w:shd w:val="clear" w:color="auto" w:fill="auto"/>
            <w:vAlign w:val="center"/>
          </w:tcPr>
          <w:p w:rsidRPr="00AA20EE" w:rsidR="00AA20EE" w:rsidP="00E9102F" w:rsidRDefault="00264E5A" w14:paraId="02BB56F6" w14:textId="2326E0D5">
            <w:pPr>
              <w:keepNext/>
              <w:jc w:val="right"/>
            </w:pPr>
            <w:r>
              <w:t>$49,446</w:t>
            </w:r>
          </w:p>
        </w:tc>
      </w:tr>
      <w:tr w:rsidRPr="00AA20EE" w:rsidR="00AA20EE" w:rsidTr="00157ABF" w14:paraId="3842B303" w14:textId="77777777">
        <w:tc>
          <w:tcPr>
            <w:tcW w:w="1644" w:type="pct"/>
            <w:shd w:val="clear" w:color="auto" w:fill="auto"/>
            <w:vAlign w:val="center"/>
          </w:tcPr>
          <w:p w:rsidRPr="00AA20EE" w:rsidR="00AA20EE" w:rsidP="00157ABF" w:rsidRDefault="00AA20EE" w14:paraId="7243273F" w14:textId="77777777">
            <w:pPr>
              <w:keepNext/>
            </w:pPr>
            <w:r w:rsidRPr="00AA20EE">
              <w:t>PRA</w:t>
            </w:r>
            <w:r w:rsidRPr="00AA20EE">
              <w:rPr>
                <w:vertAlign w:val="superscript"/>
              </w:rPr>
              <w:footnoteReference w:id="9"/>
            </w:r>
            <w:r w:rsidRPr="00AA20EE">
              <w:t xml:space="preserve"> Administrative Cost</w:t>
            </w:r>
            <w:r w:rsidRPr="00AA20EE">
              <w:rPr>
                <w:vertAlign w:val="superscript"/>
              </w:rPr>
              <w:footnoteReference w:id="10"/>
            </w:r>
          </w:p>
        </w:tc>
        <w:tc>
          <w:tcPr>
            <w:tcW w:w="1523" w:type="pct"/>
            <w:shd w:val="clear" w:color="auto" w:fill="D9D9D9"/>
            <w:vAlign w:val="center"/>
          </w:tcPr>
          <w:p w:rsidRPr="00AA20EE" w:rsidR="00AA20EE" w:rsidP="00E9102F" w:rsidRDefault="00AA20EE" w14:paraId="15459F77" w14:textId="77777777">
            <w:pPr>
              <w:keepNext/>
              <w:jc w:val="right"/>
            </w:pPr>
          </w:p>
        </w:tc>
        <w:tc>
          <w:tcPr>
            <w:tcW w:w="1832" w:type="pct"/>
            <w:shd w:val="clear" w:color="auto" w:fill="auto"/>
            <w:vAlign w:val="center"/>
          </w:tcPr>
          <w:p w:rsidRPr="00AA20EE" w:rsidR="00AA20EE" w:rsidP="00E9102F" w:rsidRDefault="00AA20EE" w14:paraId="2B034A36" w14:textId="77777777">
            <w:pPr>
              <w:keepNext/>
              <w:jc w:val="right"/>
            </w:pPr>
            <w:r w:rsidRPr="00AA20EE">
              <w:t>$</w:t>
            </w:r>
            <w:r w:rsidR="00176F3C">
              <w:t>4,931</w:t>
            </w:r>
          </w:p>
        </w:tc>
      </w:tr>
      <w:tr w:rsidRPr="00AA20EE" w:rsidR="00AA20EE" w:rsidTr="00157ABF" w14:paraId="5D0ABD71" w14:textId="77777777">
        <w:tc>
          <w:tcPr>
            <w:tcW w:w="1644" w:type="pct"/>
            <w:shd w:val="clear" w:color="auto" w:fill="auto"/>
            <w:vAlign w:val="center"/>
          </w:tcPr>
          <w:p w:rsidRPr="00AA20EE" w:rsidR="00AA20EE" w:rsidP="00157ABF" w:rsidRDefault="00AA20EE" w14:paraId="71DA592C" w14:textId="77777777">
            <w:r w:rsidRPr="00AA20EE">
              <w:t>FERC Total</w:t>
            </w:r>
          </w:p>
        </w:tc>
        <w:tc>
          <w:tcPr>
            <w:tcW w:w="1523" w:type="pct"/>
            <w:shd w:val="clear" w:color="auto" w:fill="D9D9D9"/>
            <w:vAlign w:val="center"/>
          </w:tcPr>
          <w:p w:rsidRPr="00AA20EE" w:rsidR="00AA20EE" w:rsidP="00E9102F" w:rsidRDefault="00AA20EE" w14:paraId="609BDA14" w14:textId="77777777">
            <w:pPr>
              <w:jc w:val="right"/>
            </w:pPr>
          </w:p>
        </w:tc>
        <w:tc>
          <w:tcPr>
            <w:tcW w:w="1832" w:type="pct"/>
            <w:shd w:val="clear" w:color="auto" w:fill="auto"/>
            <w:vAlign w:val="center"/>
          </w:tcPr>
          <w:p w:rsidRPr="00AA20EE" w:rsidR="00AA20EE" w:rsidP="00E9102F" w:rsidRDefault="00264E5A" w14:paraId="560A1D16" w14:textId="258C1064">
            <w:pPr>
              <w:jc w:val="right"/>
            </w:pPr>
            <w:r>
              <w:t>$54,377</w:t>
            </w:r>
          </w:p>
        </w:tc>
      </w:tr>
    </w:tbl>
    <w:p w:rsidRPr="00AA20EE" w:rsidR="00AA20EE" w:rsidP="00157ABF" w:rsidRDefault="00AA20EE" w14:paraId="001279D6" w14:textId="77777777"/>
    <w:p w:rsidRPr="003A0F87" w:rsidR="003A0F87" w:rsidP="00BF3D72" w:rsidRDefault="003A0F87" w14:paraId="5FD8BBCA" w14:textId="77777777">
      <w:r w:rsidRPr="003A0F87">
        <w:t xml:space="preserve">The Commission bases its estimate of the “Analysis and Processing” cost to the Federal Government on salaries and benefits for professional and clerical support.  This estimated cost represents staff analysis, decision making, and review of actual filings.  </w:t>
      </w:r>
    </w:p>
    <w:p w:rsidRPr="003A0F87" w:rsidR="003A0F87" w:rsidP="002B209B" w:rsidRDefault="003A0F87" w14:paraId="18A9254E" w14:textId="77777777"/>
    <w:p w:rsidRPr="003A0F87" w:rsidR="003A0F87" w:rsidP="002B209B" w:rsidRDefault="003A0F87" w14:paraId="2C08D82F" w14:textId="77777777">
      <w:r w:rsidRPr="003A0F87">
        <w:t xml:space="preserve">The Paperwork Reduction Act (PRA) Administrative Cost is the average annual FERC cost </w:t>
      </w:r>
      <w:r w:rsidRPr="00BF3D72">
        <w:t>associated</w:t>
      </w:r>
      <w:r w:rsidRPr="003A0F87">
        <w:t xml:space="preserve">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A0F87" w:rsidP="002B209B" w:rsidRDefault="003A0F87" w14:paraId="6A5A5B6A" w14:textId="77777777"/>
    <w:p w:rsidRPr="004A2BDE" w:rsidR="00AA20EE" w:rsidP="00157ABF" w:rsidRDefault="00AA20EE" w14:paraId="5475FCC9" w14:textId="77777777">
      <w:pPr>
        <w:pStyle w:val="ListParagraph"/>
        <w:numPr>
          <w:ilvl w:val="0"/>
          <w:numId w:val="3"/>
        </w:numPr>
        <w:ind w:hanging="720"/>
        <w:rPr>
          <w:b/>
        </w:rPr>
      </w:pPr>
      <w:r w:rsidRPr="004A2BDE">
        <w:rPr>
          <w:b/>
        </w:rPr>
        <w:t>REASONS FOR CHANGES IN BURDEN INCLUDING THE NEED FOR ANY INCREASE</w:t>
      </w:r>
    </w:p>
    <w:p w:rsidR="00AA20EE" w:rsidP="001B5F2A" w:rsidRDefault="00AA20EE" w14:paraId="4D6F981D" w14:textId="77777777"/>
    <w:p w:rsidRPr="00AA20EE" w:rsidR="00AA20EE" w:rsidP="001B5F2A" w:rsidRDefault="00385EEB" w14:paraId="4D2B7C5B" w14:textId="49441648">
      <w:r>
        <w:t>There are no changes to the reporting requirement</w:t>
      </w:r>
      <w:r w:rsidR="00D75230">
        <w:t>s.  Therefore, there is no change to the annual burden for the FERC-730 information collection.</w:t>
      </w:r>
    </w:p>
    <w:p w:rsidRPr="00AA20EE" w:rsidR="00AA20EE" w:rsidP="001B5F2A" w:rsidRDefault="00AA20EE" w14:paraId="184E9783" w14:textId="77777777"/>
    <w:p w:rsidRPr="00AA20EE" w:rsidR="00AA20EE" w:rsidP="001B5F2A" w:rsidRDefault="00AA20EE" w14:paraId="1A173803" w14:textId="17453A1C">
      <w:r w:rsidRPr="00AA20EE">
        <w:t xml:space="preserve">The following table shows the total burden of the collection of information.  The format, labels, and definitions of the table follow the ROCIS submission system’s “Information </w:t>
      </w:r>
      <w:r w:rsidRPr="00AA20EE">
        <w:lastRenderedPageBreak/>
        <w:t>Collection Request Summary of Burden” for the metadata.</w:t>
      </w:r>
      <w:r w:rsidR="00157ABF">
        <w:t xml:space="preserve"> </w:t>
      </w:r>
    </w:p>
    <w:p w:rsidRPr="00BF3D72" w:rsidR="00AA20EE" w:rsidP="00157ABF" w:rsidRDefault="00AA20EE" w14:paraId="07CC8025" w14:textId="4CC1A4DC"/>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AA20EE" w:rsidR="00AA20EE" w:rsidTr="004B737E" w14:paraId="7BA9F7A6" w14:textId="77777777">
        <w:trPr>
          <w:trHeight w:val="870"/>
        </w:trPr>
        <w:tc>
          <w:tcPr>
            <w:tcW w:w="1442" w:type="pct"/>
            <w:shd w:val="clear" w:color="auto" w:fill="D9D9D9"/>
            <w:vAlign w:val="bottom"/>
          </w:tcPr>
          <w:p w:rsidRPr="004A2BDE" w:rsidR="00AA20EE" w:rsidP="00157ABF" w:rsidRDefault="00AA20EE" w14:paraId="4B5CAFA2" w14:textId="77777777">
            <w:pPr>
              <w:keepNext/>
              <w:rPr>
                <w:b/>
              </w:rPr>
            </w:pPr>
            <w:r w:rsidRPr="004A2BDE">
              <w:rPr>
                <w:b/>
              </w:rPr>
              <w:t>FERC-730</w:t>
            </w:r>
          </w:p>
        </w:tc>
        <w:tc>
          <w:tcPr>
            <w:tcW w:w="829" w:type="pct"/>
            <w:shd w:val="clear" w:color="auto" w:fill="D9D9D9"/>
            <w:vAlign w:val="bottom"/>
          </w:tcPr>
          <w:p w:rsidRPr="004A2BDE" w:rsidR="00AA20EE" w:rsidP="00157ABF" w:rsidRDefault="00AA20EE" w14:paraId="3DCAA96D" w14:textId="77777777">
            <w:pPr>
              <w:keepNext/>
              <w:rPr>
                <w:b/>
              </w:rPr>
            </w:pPr>
            <w:r w:rsidRPr="004A2BDE">
              <w:rPr>
                <w:b/>
              </w:rPr>
              <w:t>Total Request</w:t>
            </w:r>
          </w:p>
        </w:tc>
        <w:tc>
          <w:tcPr>
            <w:tcW w:w="854" w:type="pct"/>
            <w:shd w:val="clear" w:color="auto" w:fill="D9D9D9"/>
            <w:vAlign w:val="bottom"/>
          </w:tcPr>
          <w:p w:rsidRPr="004A2BDE" w:rsidR="00AA20EE" w:rsidP="00157ABF" w:rsidRDefault="00AA20EE" w14:paraId="22D290B1" w14:textId="77777777">
            <w:pPr>
              <w:keepNext/>
              <w:rPr>
                <w:b/>
              </w:rPr>
            </w:pPr>
            <w:r w:rsidRPr="004A2BDE">
              <w:rPr>
                <w:b/>
              </w:rPr>
              <w:t>Previously Approved</w:t>
            </w:r>
          </w:p>
        </w:tc>
        <w:tc>
          <w:tcPr>
            <w:tcW w:w="1010" w:type="pct"/>
            <w:shd w:val="clear" w:color="auto" w:fill="D9D9D9"/>
            <w:vAlign w:val="bottom"/>
          </w:tcPr>
          <w:p w:rsidRPr="004A2BDE" w:rsidR="00AA20EE" w:rsidP="00157ABF" w:rsidRDefault="00AA20EE" w14:paraId="0305A4D4" w14:textId="77777777">
            <w:pPr>
              <w:keepNext/>
              <w:rPr>
                <w:b/>
              </w:rPr>
            </w:pPr>
            <w:r w:rsidRPr="004A2BDE">
              <w:rPr>
                <w:b/>
              </w:rPr>
              <w:t>Change due to Adjustment in Estimate</w:t>
            </w:r>
          </w:p>
        </w:tc>
        <w:tc>
          <w:tcPr>
            <w:tcW w:w="865" w:type="pct"/>
            <w:shd w:val="clear" w:color="auto" w:fill="D9D9D9"/>
            <w:vAlign w:val="bottom"/>
          </w:tcPr>
          <w:p w:rsidRPr="004A2BDE" w:rsidR="00AA20EE" w:rsidP="00157ABF" w:rsidRDefault="00AA20EE" w14:paraId="0A911A48" w14:textId="77777777">
            <w:pPr>
              <w:keepNext/>
              <w:rPr>
                <w:b/>
              </w:rPr>
            </w:pPr>
            <w:r w:rsidRPr="004A2BDE">
              <w:rPr>
                <w:b/>
              </w:rPr>
              <w:t>Change Due to Agency Discretion</w:t>
            </w:r>
          </w:p>
        </w:tc>
      </w:tr>
      <w:tr w:rsidRPr="00AA20EE" w:rsidR="00AA20EE" w:rsidTr="004B737E" w14:paraId="6F50317B" w14:textId="77777777">
        <w:trPr>
          <w:trHeight w:val="591"/>
        </w:trPr>
        <w:tc>
          <w:tcPr>
            <w:tcW w:w="1442" w:type="pct"/>
            <w:shd w:val="clear" w:color="auto" w:fill="auto"/>
          </w:tcPr>
          <w:p w:rsidRPr="00AA20EE" w:rsidR="00AA20EE" w:rsidP="00157ABF" w:rsidRDefault="00AA20EE" w14:paraId="428E94AE" w14:textId="77777777">
            <w:r w:rsidRPr="00AA20EE">
              <w:t>Annual Number of Responses</w:t>
            </w:r>
          </w:p>
        </w:tc>
        <w:tc>
          <w:tcPr>
            <w:tcW w:w="829" w:type="pct"/>
            <w:shd w:val="clear" w:color="auto" w:fill="auto"/>
            <w:vAlign w:val="center"/>
          </w:tcPr>
          <w:p w:rsidRPr="00AA20EE" w:rsidR="00AA20EE" w:rsidP="00157ABF" w:rsidRDefault="00016793" w14:paraId="72EAABCD" w14:textId="3BDE5D5F">
            <w:r>
              <w:t>63</w:t>
            </w:r>
          </w:p>
        </w:tc>
        <w:tc>
          <w:tcPr>
            <w:tcW w:w="854" w:type="pct"/>
            <w:shd w:val="clear" w:color="auto" w:fill="auto"/>
            <w:vAlign w:val="center"/>
          </w:tcPr>
          <w:p w:rsidRPr="00AA20EE" w:rsidR="00AA20EE" w:rsidP="00157ABF" w:rsidRDefault="00AA20EE" w14:paraId="2FCDDA73" w14:textId="77777777">
            <w:r w:rsidRPr="00AA20EE">
              <w:t>63</w:t>
            </w:r>
          </w:p>
        </w:tc>
        <w:tc>
          <w:tcPr>
            <w:tcW w:w="1010" w:type="pct"/>
            <w:shd w:val="clear" w:color="auto" w:fill="auto"/>
            <w:vAlign w:val="center"/>
          </w:tcPr>
          <w:p w:rsidRPr="00AA20EE" w:rsidR="00AA20EE" w:rsidP="00157ABF" w:rsidRDefault="00016793" w14:paraId="074234BD" w14:textId="5CB0C9FF">
            <w:r>
              <w:t>0</w:t>
            </w:r>
          </w:p>
        </w:tc>
        <w:tc>
          <w:tcPr>
            <w:tcW w:w="865" w:type="pct"/>
            <w:shd w:val="clear" w:color="auto" w:fill="auto"/>
            <w:vAlign w:val="center"/>
          </w:tcPr>
          <w:p w:rsidRPr="00AA20EE" w:rsidR="00AA20EE" w:rsidP="00157ABF" w:rsidRDefault="00AA20EE" w14:paraId="11EDEAAA" w14:textId="77777777">
            <w:r w:rsidRPr="00AA20EE">
              <w:t>0</w:t>
            </w:r>
          </w:p>
        </w:tc>
      </w:tr>
      <w:tr w:rsidRPr="00AA20EE" w:rsidR="00AA20EE" w:rsidTr="004B737E" w14:paraId="7AEF39F0" w14:textId="77777777">
        <w:trPr>
          <w:trHeight w:val="575"/>
        </w:trPr>
        <w:tc>
          <w:tcPr>
            <w:tcW w:w="1442" w:type="pct"/>
            <w:shd w:val="clear" w:color="auto" w:fill="auto"/>
          </w:tcPr>
          <w:p w:rsidRPr="00AA20EE" w:rsidR="00AA20EE" w:rsidP="00157ABF" w:rsidRDefault="00AA20EE" w14:paraId="72871E96" w14:textId="77777777">
            <w:r w:rsidRPr="00AA20EE">
              <w:t>Annual Time Burden (Hours)</w:t>
            </w:r>
          </w:p>
        </w:tc>
        <w:tc>
          <w:tcPr>
            <w:tcW w:w="829" w:type="pct"/>
            <w:shd w:val="clear" w:color="auto" w:fill="auto"/>
            <w:vAlign w:val="center"/>
          </w:tcPr>
          <w:p w:rsidRPr="00AA20EE" w:rsidR="00AA20EE" w:rsidP="00157ABF" w:rsidRDefault="00016793" w14:paraId="44AD57B4" w14:textId="0542163B">
            <w:r w:rsidRPr="00157ABF">
              <w:t>1,890</w:t>
            </w:r>
          </w:p>
        </w:tc>
        <w:tc>
          <w:tcPr>
            <w:tcW w:w="854" w:type="pct"/>
            <w:shd w:val="clear" w:color="auto" w:fill="auto"/>
            <w:vAlign w:val="center"/>
          </w:tcPr>
          <w:p w:rsidRPr="00AA20EE" w:rsidR="00AA20EE" w:rsidP="00157ABF" w:rsidRDefault="00AA20EE" w14:paraId="490A6DEE" w14:textId="77777777">
            <w:r w:rsidRPr="00AA20EE">
              <w:t>1,890</w:t>
            </w:r>
          </w:p>
        </w:tc>
        <w:tc>
          <w:tcPr>
            <w:tcW w:w="1010" w:type="pct"/>
            <w:shd w:val="clear" w:color="auto" w:fill="auto"/>
            <w:vAlign w:val="center"/>
          </w:tcPr>
          <w:p w:rsidRPr="00AA20EE" w:rsidR="00AA20EE" w:rsidP="00157ABF" w:rsidRDefault="00AA20EE" w14:paraId="30281FA0" w14:textId="77777777">
            <w:r w:rsidRPr="00AA20EE">
              <w:t>0</w:t>
            </w:r>
          </w:p>
        </w:tc>
        <w:tc>
          <w:tcPr>
            <w:tcW w:w="865" w:type="pct"/>
            <w:shd w:val="clear" w:color="auto" w:fill="auto"/>
            <w:vAlign w:val="center"/>
          </w:tcPr>
          <w:p w:rsidRPr="00AA20EE" w:rsidR="00AA20EE" w:rsidP="00157ABF" w:rsidRDefault="00157ABF" w14:paraId="0E5200A4" w14:textId="1DC81903">
            <w:r>
              <w:t>0</w:t>
            </w:r>
          </w:p>
        </w:tc>
      </w:tr>
      <w:tr w:rsidRPr="00AA20EE" w:rsidR="00AA20EE" w:rsidTr="004B737E" w14:paraId="0CA3D4F5" w14:textId="77777777">
        <w:trPr>
          <w:trHeight w:val="295"/>
        </w:trPr>
        <w:tc>
          <w:tcPr>
            <w:tcW w:w="1442" w:type="pct"/>
            <w:tcBorders>
              <w:bottom w:val="single" w:color="auto" w:sz="4" w:space="0"/>
            </w:tcBorders>
            <w:shd w:val="clear" w:color="auto" w:fill="auto"/>
          </w:tcPr>
          <w:p w:rsidRPr="00AA20EE" w:rsidR="00AA20EE" w:rsidP="00157ABF" w:rsidRDefault="00AA20EE" w14:paraId="468EAC64" w14:textId="77777777">
            <w:r w:rsidRPr="00AA20EE">
              <w:t>Annual Cost Burden ($)</w:t>
            </w:r>
          </w:p>
        </w:tc>
        <w:tc>
          <w:tcPr>
            <w:tcW w:w="829" w:type="pct"/>
            <w:tcBorders>
              <w:bottom w:val="single" w:color="auto" w:sz="4" w:space="0"/>
            </w:tcBorders>
            <w:shd w:val="clear" w:color="auto" w:fill="auto"/>
            <w:vAlign w:val="center"/>
          </w:tcPr>
          <w:p w:rsidRPr="00AA20EE" w:rsidR="00AA20EE" w:rsidP="00157ABF" w:rsidRDefault="00AA20EE" w14:paraId="6A784A13" w14:textId="77777777">
            <w:r w:rsidRPr="00AA20EE">
              <w:t>$0</w:t>
            </w:r>
          </w:p>
        </w:tc>
        <w:tc>
          <w:tcPr>
            <w:tcW w:w="854" w:type="pct"/>
            <w:tcBorders>
              <w:bottom w:val="single" w:color="auto" w:sz="4" w:space="0"/>
            </w:tcBorders>
            <w:shd w:val="clear" w:color="auto" w:fill="auto"/>
            <w:vAlign w:val="center"/>
          </w:tcPr>
          <w:p w:rsidRPr="00AA20EE" w:rsidR="00AA20EE" w:rsidP="00157ABF" w:rsidRDefault="00AA20EE" w14:paraId="23BE9B43" w14:textId="77777777">
            <w:r w:rsidRPr="00AA20EE">
              <w:t>$0</w:t>
            </w:r>
          </w:p>
        </w:tc>
        <w:tc>
          <w:tcPr>
            <w:tcW w:w="1010" w:type="pct"/>
            <w:tcBorders>
              <w:bottom w:val="single" w:color="auto" w:sz="4" w:space="0"/>
            </w:tcBorders>
            <w:shd w:val="clear" w:color="auto" w:fill="auto"/>
            <w:vAlign w:val="center"/>
          </w:tcPr>
          <w:p w:rsidRPr="00AA20EE" w:rsidR="00AA20EE" w:rsidP="00157ABF" w:rsidRDefault="00AA20EE" w14:paraId="62572371" w14:textId="77777777">
            <w:r w:rsidRPr="00AA20EE">
              <w:t>$0</w:t>
            </w:r>
          </w:p>
        </w:tc>
        <w:tc>
          <w:tcPr>
            <w:tcW w:w="865" w:type="pct"/>
            <w:tcBorders>
              <w:bottom w:val="single" w:color="auto" w:sz="4" w:space="0"/>
            </w:tcBorders>
            <w:shd w:val="clear" w:color="auto" w:fill="auto"/>
            <w:vAlign w:val="center"/>
          </w:tcPr>
          <w:p w:rsidRPr="00AA20EE" w:rsidR="00AA20EE" w:rsidP="00157ABF" w:rsidRDefault="00AA20EE" w14:paraId="43F7988B" w14:textId="77777777">
            <w:r w:rsidRPr="00AA20EE">
              <w:t>$0</w:t>
            </w:r>
          </w:p>
        </w:tc>
      </w:tr>
    </w:tbl>
    <w:p w:rsidRPr="00AA20EE" w:rsidR="00AA20EE" w:rsidP="002B209B" w:rsidRDefault="00AA20EE" w14:paraId="5BEBEDC3" w14:textId="77777777"/>
    <w:p w:rsidRPr="004A2BDE" w:rsidR="00AA20EE" w:rsidP="00157ABF" w:rsidRDefault="00AA20EE" w14:paraId="050D3C3E" w14:textId="77777777">
      <w:pPr>
        <w:pStyle w:val="ListParagraph"/>
        <w:numPr>
          <w:ilvl w:val="0"/>
          <w:numId w:val="3"/>
        </w:numPr>
        <w:ind w:hanging="720"/>
        <w:rPr>
          <w:b/>
        </w:rPr>
      </w:pPr>
      <w:r w:rsidRPr="004A2BDE">
        <w:rPr>
          <w:b/>
        </w:rPr>
        <w:t>TIME SCHEDULE FOR PUBLICATION OF DATA</w:t>
      </w:r>
    </w:p>
    <w:p w:rsidR="00AA20EE" w:rsidP="001B5F2A" w:rsidRDefault="00AA20EE" w14:paraId="67CCC74D" w14:textId="77777777"/>
    <w:p w:rsidRPr="00157ABF" w:rsidR="003A0F87" w:rsidP="001B5F2A" w:rsidRDefault="003A0F87" w14:paraId="3606B854" w14:textId="20745724">
      <w:r w:rsidRPr="00157ABF">
        <w:t xml:space="preserve">There are no </w:t>
      </w:r>
      <w:r w:rsidR="001121AB">
        <w:t xml:space="preserve">data </w:t>
      </w:r>
      <w:r w:rsidRPr="00157ABF">
        <w:t>publications.</w:t>
      </w:r>
    </w:p>
    <w:p w:rsidRPr="00AA20EE" w:rsidR="00AA20EE" w:rsidP="001B5F2A" w:rsidRDefault="00AA20EE" w14:paraId="6241E64C" w14:textId="77777777"/>
    <w:p w:rsidRPr="004A2BDE" w:rsidR="00AA20EE" w:rsidP="00157ABF" w:rsidRDefault="00AA20EE" w14:paraId="152CEF6B" w14:textId="77777777">
      <w:pPr>
        <w:pStyle w:val="ListParagraph"/>
        <w:numPr>
          <w:ilvl w:val="0"/>
          <w:numId w:val="3"/>
        </w:numPr>
        <w:ind w:hanging="720"/>
        <w:rPr>
          <w:b/>
        </w:rPr>
      </w:pPr>
      <w:r w:rsidRPr="004A2BDE">
        <w:rPr>
          <w:b/>
        </w:rPr>
        <w:t>DISPLAY OF EXPIRATION DATE</w:t>
      </w:r>
    </w:p>
    <w:p w:rsidRPr="00AA20EE" w:rsidR="00AA20EE" w:rsidP="001B5F2A" w:rsidRDefault="00AA20EE" w14:paraId="77E98E5F" w14:textId="77777777"/>
    <w:p w:rsidRPr="00AA20EE" w:rsidR="00AA20EE" w:rsidP="001B5F2A" w:rsidRDefault="00AA20EE" w14:paraId="5607BCAF" w14:textId="77777777">
      <w:r w:rsidRPr="00AA20EE">
        <w:t xml:space="preserve">The OMB expiration dates are also posted on </w:t>
      </w:r>
      <w:hyperlink w:history="1" r:id="rId14">
        <w:r w:rsidRPr="00AA20EE">
          <w:t>http://www.ferc.gov/docs-filing/info-collections.asp</w:t>
        </w:r>
      </w:hyperlink>
      <w:r w:rsidRPr="00AA20EE">
        <w:t xml:space="preserve"> .</w:t>
      </w:r>
    </w:p>
    <w:p w:rsidRPr="00AA20EE" w:rsidR="00AA20EE" w:rsidP="00C76C13" w:rsidRDefault="00AA20EE" w14:paraId="01DE6E41" w14:textId="77777777"/>
    <w:p w:rsidRPr="004A2BDE" w:rsidR="00AA20EE" w:rsidP="00157ABF" w:rsidRDefault="00AA20EE" w14:paraId="4D385D93" w14:textId="77777777">
      <w:pPr>
        <w:pStyle w:val="ListParagraph"/>
        <w:numPr>
          <w:ilvl w:val="0"/>
          <w:numId w:val="3"/>
        </w:numPr>
        <w:ind w:hanging="720"/>
        <w:rPr>
          <w:b/>
        </w:rPr>
      </w:pPr>
      <w:r w:rsidRPr="004A2BDE">
        <w:rPr>
          <w:b/>
        </w:rPr>
        <w:t>EXCEPTIONS TO THE CERTIFICATION STATEMENT</w:t>
      </w:r>
    </w:p>
    <w:p w:rsidRPr="00AA20EE" w:rsidR="00AA20EE" w:rsidP="00157ABF" w:rsidRDefault="00AA20EE" w14:paraId="066A9F75" w14:textId="77777777"/>
    <w:p w:rsidRPr="00AA20EE" w:rsidR="00AA20EE" w:rsidP="00BF3D72" w:rsidRDefault="00AA20EE" w14:paraId="437407D2" w14:textId="77777777">
      <w:r w:rsidRPr="00AA20EE">
        <w:t>There are no exceptions.</w:t>
      </w:r>
    </w:p>
    <w:p w:rsidRPr="00AA20EE" w:rsidR="00932D65" w:rsidP="002B209B" w:rsidRDefault="00932D65" w14:paraId="555CE598" w14:textId="77777777"/>
    <w:sectPr w:rsidRPr="00AA20EE" w:rsidR="00932D65" w:rsidSect="00E9102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85AF0" w14:textId="77777777" w:rsidR="00C11742" w:rsidRDefault="00C11742" w:rsidP="00BF3D72">
      <w:r>
        <w:separator/>
      </w:r>
    </w:p>
  </w:endnote>
  <w:endnote w:type="continuationSeparator" w:id="0">
    <w:p w14:paraId="11FDD790" w14:textId="77777777" w:rsidR="00C11742" w:rsidRDefault="00C11742" w:rsidP="00BF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77D7" w14:textId="77777777" w:rsidR="008954B8" w:rsidRDefault="0089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63482" w14:textId="6710F6A5" w:rsidR="00E32773" w:rsidRDefault="00C11742" w:rsidP="002B209B">
    <w:pPr>
      <w:pStyle w:val="Footer"/>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1140">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E87A" w14:textId="77777777" w:rsidR="008954B8" w:rsidRDefault="0089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684A9" w14:textId="77777777" w:rsidR="00C11742" w:rsidRDefault="00C11742" w:rsidP="00BF3D72">
      <w:r>
        <w:separator/>
      </w:r>
    </w:p>
  </w:footnote>
  <w:footnote w:type="continuationSeparator" w:id="0">
    <w:p w14:paraId="09CB5238" w14:textId="77777777" w:rsidR="00C11742" w:rsidRDefault="00C11742" w:rsidP="00BF3D72">
      <w:r>
        <w:continuationSeparator/>
      </w:r>
    </w:p>
  </w:footnote>
  <w:footnote w:id="1">
    <w:p w14:paraId="0DEEEF2F" w14:textId="1F69DE70" w:rsidR="00896D85" w:rsidRPr="00157ABF" w:rsidRDefault="00896D85" w:rsidP="00BF3D72">
      <w:pPr>
        <w:pStyle w:val="FootnoteText"/>
        <w:rPr>
          <w:i/>
          <w:sz w:val="26"/>
          <w:szCs w:val="26"/>
        </w:rPr>
      </w:pPr>
      <w:r w:rsidRPr="00157ABF">
        <w:rPr>
          <w:rStyle w:val="FootnoteReference"/>
          <w:sz w:val="26"/>
          <w:szCs w:val="26"/>
          <w:vertAlign w:val="superscript"/>
        </w:rPr>
        <w:footnoteRef/>
      </w:r>
      <w:r w:rsidRPr="00157ABF">
        <w:rPr>
          <w:sz w:val="26"/>
          <w:szCs w:val="26"/>
        </w:rPr>
        <w:t xml:space="preserve"> </w:t>
      </w:r>
      <w:r w:rsidRPr="00157ABF">
        <w:rPr>
          <w:i/>
          <w:sz w:val="26"/>
          <w:szCs w:val="26"/>
        </w:rPr>
        <w:t>Promoting Transmission Investment through Pricing Reform</w:t>
      </w:r>
      <w:r w:rsidRPr="00157ABF">
        <w:rPr>
          <w:sz w:val="26"/>
          <w:szCs w:val="26"/>
        </w:rPr>
        <w:t xml:space="preserve">, Order No. 679, 116 FERC ¶ 61,057, </w:t>
      </w:r>
      <w:r w:rsidRPr="00157ABF">
        <w:rPr>
          <w:i/>
          <w:sz w:val="26"/>
          <w:szCs w:val="26"/>
        </w:rPr>
        <w:t>order on reh’g</w:t>
      </w:r>
      <w:r w:rsidRPr="00157ABF">
        <w:rPr>
          <w:sz w:val="26"/>
          <w:szCs w:val="26"/>
        </w:rPr>
        <w:t xml:space="preserve">, Order No. 679-A, 117 FERC ¶ 61,345 (2006), </w:t>
      </w:r>
      <w:r w:rsidRPr="00157ABF">
        <w:rPr>
          <w:i/>
          <w:sz w:val="26"/>
          <w:szCs w:val="26"/>
        </w:rPr>
        <w:t>order on reh’g</w:t>
      </w:r>
      <w:r w:rsidRPr="00157ABF">
        <w:rPr>
          <w:sz w:val="26"/>
          <w:szCs w:val="26"/>
        </w:rPr>
        <w:t>, 119 FERC ¶ 61,062 (2007).</w:t>
      </w:r>
    </w:p>
  </w:footnote>
  <w:footnote w:id="2">
    <w:p w14:paraId="4A3E667F" w14:textId="6BCF6522" w:rsidR="0060742B" w:rsidRPr="00157ABF" w:rsidRDefault="0060742B" w:rsidP="00BF3D72">
      <w:pPr>
        <w:pStyle w:val="FootnoteText"/>
        <w:rPr>
          <w:sz w:val="26"/>
          <w:szCs w:val="26"/>
          <w:lang w:val="fr-FR"/>
        </w:rPr>
      </w:pPr>
      <w:r w:rsidRPr="00157ABF">
        <w:rPr>
          <w:rStyle w:val="FootnoteReference"/>
          <w:sz w:val="26"/>
          <w:szCs w:val="26"/>
          <w:vertAlign w:val="superscript"/>
        </w:rPr>
        <w:footnoteRef/>
      </w:r>
      <w:r w:rsidRPr="00157ABF">
        <w:rPr>
          <w:sz w:val="26"/>
          <w:szCs w:val="26"/>
          <w:lang w:val="fr-FR"/>
        </w:rPr>
        <w:t xml:space="preserve"> 5 CFR 1320.8(d)</w:t>
      </w:r>
      <w:r w:rsidR="00016793">
        <w:rPr>
          <w:sz w:val="26"/>
          <w:szCs w:val="26"/>
          <w:lang w:val="fr-FR"/>
        </w:rPr>
        <w:t>.</w:t>
      </w:r>
    </w:p>
  </w:footnote>
  <w:footnote w:id="3">
    <w:p w14:paraId="56EEF465" w14:textId="3528CF12" w:rsidR="0060742B" w:rsidRPr="00157ABF" w:rsidRDefault="0060742B" w:rsidP="002B209B">
      <w:pPr>
        <w:pStyle w:val="FootnoteText"/>
        <w:rPr>
          <w:sz w:val="26"/>
          <w:szCs w:val="26"/>
        </w:rPr>
      </w:pPr>
      <w:r w:rsidRPr="00157ABF">
        <w:rPr>
          <w:rStyle w:val="FootnoteReference"/>
          <w:sz w:val="26"/>
          <w:szCs w:val="26"/>
          <w:vertAlign w:val="superscript"/>
        </w:rPr>
        <w:footnoteRef/>
      </w:r>
      <w:r w:rsidRPr="00157ABF">
        <w:rPr>
          <w:sz w:val="26"/>
          <w:szCs w:val="26"/>
        </w:rPr>
        <w:t xml:space="preserve"> 84 FR </w:t>
      </w:r>
      <w:r w:rsidR="00B035B7" w:rsidRPr="00157ABF">
        <w:rPr>
          <w:sz w:val="26"/>
          <w:szCs w:val="26"/>
        </w:rPr>
        <w:t>5996</w:t>
      </w:r>
      <w:r w:rsidRPr="00157ABF">
        <w:rPr>
          <w:sz w:val="26"/>
          <w:szCs w:val="26"/>
        </w:rPr>
        <w:t xml:space="preserve">  </w:t>
      </w:r>
    </w:p>
  </w:footnote>
  <w:footnote w:id="4">
    <w:p w14:paraId="2822B3DD" w14:textId="0858E6F7" w:rsidR="0060742B" w:rsidRPr="00157ABF" w:rsidRDefault="0060742B" w:rsidP="002B209B">
      <w:pPr>
        <w:pStyle w:val="FootnoteText"/>
        <w:rPr>
          <w:sz w:val="26"/>
          <w:szCs w:val="26"/>
          <w:lang w:val="fr-FR"/>
        </w:rPr>
      </w:pPr>
      <w:r w:rsidRPr="00157ABF">
        <w:rPr>
          <w:rStyle w:val="FootnoteReference"/>
          <w:sz w:val="26"/>
          <w:szCs w:val="26"/>
          <w:vertAlign w:val="superscript"/>
        </w:rPr>
        <w:footnoteRef/>
      </w:r>
      <w:r w:rsidRPr="00157ABF">
        <w:rPr>
          <w:sz w:val="26"/>
          <w:szCs w:val="26"/>
          <w:lang w:val="fr-FR"/>
        </w:rPr>
        <w:t xml:space="preserve"> </w:t>
      </w:r>
      <w:r w:rsidRPr="00E9102F">
        <w:rPr>
          <w:sz w:val="26"/>
          <w:szCs w:val="26"/>
          <w:lang w:val="fr-FR"/>
        </w:rPr>
        <w:t xml:space="preserve">84 FR </w:t>
      </w:r>
      <w:r w:rsidR="00157ABF" w:rsidRPr="00E9102F">
        <w:rPr>
          <w:sz w:val="26"/>
          <w:szCs w:val="26"/>
          <w:lang w:val="fr-FR"/>
        </w:rPr>
        <w:t>19913</w:t>
      </w:r>
    </w:p>
  </w:footnote>
  <w:footnote w:id="5">
    <w:p w14:paraId="0E40DD1B" w14:textId="28A57275" w:rsidR="00422842" w:rsidRPr="00157ABF" w:rsidRDefault="00422842" w:rsidP="002B209B">
      <w:pPr>
        <w:pStyle w:val="FootnoteText"/>
        <w:rPr>
          <w:sz w:val="26"/>
          <w:szCs w:val="26"/>
        </w:rPr>
      </w:pPr>
      <w:r w:rsidRPr="00157ABF">
        <w:rPr>
          <w:rStyle w:val="FootnoteReference"/>
          <w:sz w:val="26"/>
          <w:szCs w:val="26"/>
          <w:vertAlign w:val="superscript"/>
        </w:rPr>
        <w:footnoteRef/>
      </w:r>
      <w:r w:rsidRPr="00157ABF">
        <w:rPr>
          <w:sz w:val="26"/>
          <w:szCs w:val="26"/>
        </w:rPr>
        <w:t xml:space="preserve"> 18 C.F.R. §</w:t>
      </w:r>
      <w:r w:rsidR="00B41094" w:rsidRPr="00B41094">
        <w:rPr>
          <w:sz w:val="26"/>
          <w:szCs w:val="26"/>
        </w:rPr>
        <w:t>§</w:t>
      </w:r>
      <w:r w:rsidRPr="00157ABF">
        <w:rPr>
          <w:sz w:val="26"/>
          <w:szCs w:val="26"/>
        </w:rPr>
        <w:t xml:space="preserve"> 388.112</w:t>
      </w:r>
      <w:r w:rsidR="00B41094">
        <w:rPr>
          <w:sz w:val="26"/>
          <w:szCs w:val="26"/>
        </w:rPr>
        <w:t xml:space="preserve"> and 388.113</w:t>
      </w:r>
      <w:r w:rsidRPr="00157ABF">
        <w:rPr>
          <w:sz w:val="26"/>
          <w:szCs w:val="26"/>
        </w:rPr>
        <w:t>.  More information on the CEII definition, program</w:t>
      </w:r>
      <w:r w:rsidR="000355D0" w:rsidRPr="00157ABF">
        <w:rPr>
          <w:sz w:val="26"/>
          <w:szCs w:val="26"/>
        </w:rPr>
        <w:t>,</w:t>
      </w:r>
      <w:r w:rsidRPr="00157ABF">
        <w:rPr>
          <w:sz w:val="26"/>
          <w:szCs w:val="26"/>
        </w:rPr>
        <w:t xml:space="preserve"> and requirements is posted at </w:t>
      </w:r>
      <w:hyperlink r:id="rId1" w:history="1">
        <w:r w:rsidRPr="002B209B">
          <w:rPr>
            <w:rStyle w:val="Hyperlink"/>
            <w:sz w:val="26"/>
            <w:szCs w:val="26"/>
          </w:rPr>
          <w:t>http://www.ferc.gov/legal/ceii-foia/ceii.asp</w:t>
        </w:r>
      </w:hyperlink>
      <w:r w:rsidRPr="00157ABF">
        <w:rPr>
          <w:sz w:val="26"/>
          <w:szCs w:val="26"/>
        </w:rPr>
        <w:t xml:space="preserve">. </w:t>
      </w:r>
    </w:p>
  </w:footnote>
  <w:footnote w:id="6">
    <w:p w14:paraId="79F7B771" w14:textId="77777777" w:rsidR="003A0F87" w:rsidRPr="00157ABF" w:rsidRDefault="003A0F87" w:rsidP="002B209B">
      <w:pPr>
        <w:pStyle w:val="FootnoteText"/>
        <w:rPr>
          <w:sz w:val="26"/>
          <w:szCs w:val="26"/>
        </w:rPr>
      </w:pPr>
      <w:r w:rsidRPr="00157ABF">
        <w:rPr>
          <w:rStyle w:val="FootnoteReference"/>
          <w:sz w:val="26"/>
          <w:szCs w:val="26"/>
          <w:vertAlign w:val="superscript"/>
        </w:rPr>
        <w:footnoteRef/>
      </w:r>
      <w:r w:rsidRPr="00157ABF">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7">
    <w:p w14:paraId="2F457292" w14:textId="3605DEE3" w:rsidR="003A0F87" w:rsidRPr="00157ABF" w:rsidRDefault="003A0F87" w:rsidP="002B209B">
      <w:pPr>
        <w:pStyle w:val="FootnoteText"/>
        <w:rPr>
          <w:sz w:val="26"/>
          <w:szCs w:val="26"/>
        </w:rPr>
      </w:pPr>
      <w:r w:rsidRPr="00157ABF">
        <w:rPr>
          <w:rStyle w:val="FootnoteReference"/>
          <w:sz w:val="26"/>
          <w:szCs w:val="26"/>
          <w:vertAlign w:val="superscript"/>
        </w:rPr>
        <w:footnoteRef/>
      </w:r>
      <w:r w:rsidRPr="00157ABF">
        <w:rPr>
          <w:sz w:val="26"/>
          <w:szCs w:val="26"/>
        </w:rPr>
        <w:t xml:space="preserve"> The estimates for cost per response are derived using the formula: Average Burden Hours per Response * $79.00 per hour = Average Cost per Response.  The hourly cost figure comes from the FERC average salary plus benefits of $164,820 per year (or $79.00/hour). </w:t>
      </w:r>
      <w:r w:rsidR="000355D0" w:rsidRPr="00157ABF">
        <w:rPr>
          <w:sz w:val="26"/>
          <w:szCs w:val="26"/>
        </w:rPr>
        <w:t xml:space="preserve"> </w:t>
      </w:r>
      <w:r w:rsidRPr="00157ABF">
        <w:rPr>
          <w:sz w:val="26"/>
          <w:szCs w:val="26"/>
        </w:rPr>
        <w:t xml:space="preserve">These estimates were updated in May 2018. </w:t>
      </w:r>
      <w:r w:rsidR="000355D0" w:rsidRPr="00157ABF">
        <w:rPr>
          <w:sz w:val="26"/>
          <w:szCs w:val="26"/>
        </w:rPr>
        <w:t xml:space="preserve"> </w:t>
      </w:r>
      <w:r w:rsidRPr="00157ABF">
        <w:rPr>
          <w:sz w:val="26"/>
          <w:szCs w:val="26"/>
        </w:rPr>
        <w:t>This figure is being used because the staff thinks industry is similarly situated in terms of average hourly cost (wages plus benefits).</w:t>
      </w:r>
    </w:p>
  </w:footnote>
  <w:footnote w:id="8">
    <w:p w14:paraId="16492315" w14:textId="77777777" w:rsidR="00AA20EE" w:rsidRPr="00157ABF" w:rsidRDefault="00AA20EE" w:rsidP="002B209B">
      <w:r w:rsidRPr="00157ABF">
        <w:rPr>
          <w:rStyle w:val="FootnoteReference"/>
          <w:vertAlign w:val="superscript"/>
        </w:rPr>
        <w:footnoteRef/>
      </w:r>
      <w:r w:rsidRPr="00157ABF">
        <w:t xml:space="preserve"> Based upon 2015 FTE average annual salary plus benefits ($149,489.00).</w:t>
      </w:r>
    </w:p>
  </w:footnote>
  <w:footnote w:id="9">
    <w:p w14:paraId="0ED3A084" w14:textId="77777777" w:rsidR="00AA20EE" w:rsidRPr="00157ABF" w:rsidRDefault="00AA20EE" w:rsidP="002B209B">
      <w:pPr>
        <w:pStyle w:val="FootnoteText"/>
        <w:rPr>
          <w:sz w:val="26"/>
          <w:szCs w:val="26"/>
        </w:rPr>
      </w:pPr>
      <w:r w:rsidRPr="00157ABF">
        <w:rPr>
          <w:rStyle w:val="FootnoteReference"/>
          <w:sz w:val="26"/>
          <w:szCs w:val="26"/>
          <w:vertAlign w:val="superscript"/>
        </w:rPr>
        <w:footnoteRef/>
      </w:r>
      <w:r w:rsidRPr="00157ABF">
        <w:rPr>
          <w:sz w:val="26"/>
          <w:szCs w:val="26"/>
          <w:vertAlign w:val="superscript"/>
        </w:rPr>
        <w:t xml:space="preserve"> </w:t>
      </w:r>
      <w:r w:rsidRPr="00157ABF">
        <w:rPr>
          <w:sz w:val="26"/>
          <w:szCs w:val="26"/>
        </w:rPr>
        <w:t>Paperwork Reduction Act of 1995 (PRA).</w:t>
      </w:r>
    </w:p>
  </w:footnote>
  <w:footnote w:id="10">
    <w:p w14:paraId="67C1B128" w14:textId="77777777" w:rsidR="00AA20EE" w:rsidRPr="00157ABF" w:rsidRDefault="00AA20EE" w:rsidP="002B209B">
      <w:pPr>
        <w:pStyle w:val="FootnoteText"/>
        <w:rPr>
          <w:sz w:val="26"/>
          <w:szCs w:val="26"/>
        </w:rPr>
      </w:pPr>
      <w:r w:rsidRPr="00157ABF">
        <w:rPr>
          <w:rStyle w:val="FootnoteReference"/>
          <w:sz w:val="26"/>
          <w:szCs w:val="26"/>
          <w:vertAlign w:val="superscript"/>
        </w:rPr>
        <w:footnoteRef/>
      </w:r>
      <w:r w:rsidRPr="00157ABF">
        <w:rPr>
          <w:sz w:val="26"/>
          <w:szCs w:val="26"/>
          <w:vertAlign w:val="superscript"/>
        </w:rPr>
        <w:t xml:space="preserve"> </w:t>
      </w:r>
      <w:r w:rsidRPr="00157ABF">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9A95" w14:textId="77777777" w:rsidR="008954B8" w:rsidRDefault="0089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8AB7" w14:textId="4914933D" w:rsidR="003A5BA7" w:rsidRDefault="00C11742" w:rsidP="00BF3D72">
    <w:pPr>
      <w:pStyle w:val="Header"/>
      <w:rPr>
        <w:sz w:val="26"/>
        <w:szCs w:val="26"/>
      </w:rPr>
    </w:pPr>
    <w:r w:rsidRPr="004A2BDE">
      <w:rPr>
        <w:sz w:val="26"/>
        <w:szCs w:val="26"/>
      </w:rPr>
      <w:t>FERC-730 (OMB Control No. 1902-0239)</w:t>
    </w:r>
  </w:p>
  <w:p w14:paraId="356175C9" w14:textId="229C820D" w:rsidR="00A22ABD" w:rsidRDefault="00A22ABD" w:rsidP="00BF3D72">
    <w:pPr>
      <w:pStyle w:val="Header"/>
      <w:rPr>
        <w:sz w:val="26"/>
        <w:szCs w:val="26"/>
      </w:rPr>
    </w:pPr>
    <w:r>
      <w:rPr>
        <w:sz w:val="26"/>
        <w:szCs w:val="26"/>
      </w:rPr>
      <w:t xml:space="preserve">Renewal in Docket No. </w:t>
    </w:r>
    <w:r w:rsidRPr="00A22ABD">
      <w:rPr>
        <w:sz w:val="26"/>
        <w:szCs w:val="26"/>
      </w:rPr>
      <w:t>IC19-15</w:t>
    </w:r>
  </w:p>
  <w:p w14:paraId="4032C80B" w14:textId="5C585128" w:rsidR="00A861B4" w:rsidRPr="004A2BDE" w:rsidRDefault="00A861B4" w:rsidP="00BF3D72">
    <w:pPr>
      <w:pStyle w:val="Header"/>
      <w:rPr>
        <w:sz w:val="26"/>
        <w:szCs w:val="26"/>
      </w:rPr>
    </w:pPr>
    <w:r>
      <w:rPr>
        <w:sz w:val="26"/>
        <w:szCs w:val="26"/>
      </w:rPr>
      <w:t>(Updated 3/20/2020</w:t>
    </w:r>
    <w:r w:rsidR="00763790">
      <w:rPr>
        <w:sz w:val="26"/>
        <w:szCs w:val="26"/>
      </w:rPr>
      <w:t xml:space="preserve">, </w:t>
    </w:r>
    <w:r w:rsidR="008954B8">
      <w:rPr>
        <w:sz w:val="26"/>
        <w:szCs w:val="26"/>
      </w:rPr>
      <w:t xml:space="preserve">Docket No. </w:t>
    </w:r>
    <w:r w:rsidR="00763790">
      <w:rPr>
        <w:sz w:val="26"/>
        <w:szCs w:val="26"/>
      </w:rPr>
      <w:t xml:space="preserve">RM20-11 </w:t>
    </w:r>
    <w:r w:rsidR="008954B8">
      <w:rPr>
        <w:sz w:val="26"/>
        <w:szCs w:val="26"/>
      </w:rPr>
      <w:t>C</w:t>
    </w:r>
    <w:r w:rsidR="00763790">
      <w:rPr>
        <w:sz w:val="26"/>
        <w:szCs w:val="26"/>
      </w:rPr>
      <w:t>larification</w:t>
    </w:r>
    <w:r w:rsidR="00A22ABD">
      <w:rPr>
        <w:sz w:val="26"/>
        <w:szCs w:val="26"/>
      </w:rPr>
      <w:t xml:space="preserve"> to </w:t>
    </w:r>
    <w:r w:rsidR="008954B8">
      <w:rPr>
        <w:sz w:val="26"/>
        <w:szCs w:val="26"/>
      </w:rPr>
      <w:t>I</w:t>
    </w:r>
    <w:r w:rsidR="00A22ABD">
      <w:rPr>
        <w:sz w:val="26"/>
        <w:szCs w:val="26"/>
      </w:rPr>
      <w:t>nstructions</w:t>
    </w:r>
    <w:r>
      <w:rPr>
        <w:sz w:val="26"/>
        <w:szCs w:val="2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9FD6" w14:textId="77777777" w:rsidR="006B7422" w:rsidRDefault="006B7422" w:rsidP="00BF3D72">
    <w:pPr>
      <w:pStyle w:val="Header"/>
    </w:pPr>
    <w:r>
      <w:t>FERC-730,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6129F"/>
    <w:multiLevelType w:val="hybridMultilevel"/>
    <w:tmpl w:val="6F4044EC"/>
    <w:lvl w:ilvl="0" w:tplc="1C16E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676F6"/>
    <w:multiLevelType w:val="hybridMultilevel"/>
    <w:tmpl w:val="9590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0B1399"/>
    <w:multiLevelType w:val="hybridMultilevel"/>
    <w:tmpl w:val="082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EE"/>
    <w:rsid w:val="00016793"/>
    <w:rsid w:val="000355D0"/>
    <w:rsid w:val="000F7FB2"/>
    <w:rsid w:val="001121AB"/>
    <w:rsid w:val="00157ABF"/>
    <w:rsid w:val="00176F3C"/>
    <w:rsid w:val="001B5F2A"/>
    <w:rsid w:val="002231FD"/>
    <w:rsid w:val="00264E5A"/>
    <w:rsid w:val="002B209B"/>
    <w:rsid w:val="002E2E3E"/>
    <w:rsid w:val="00385EEB"/>
    <w:rsid w:val="00387926"/>
    <w:rsid w:val="003A0F87"/>
    <w:rsid w:val="00422842"/>
    <w:rsid w:val="00473A2A"/>
    <w:rsid w:val="004A2BDE"/>
    <w:rsid w:val="00552788"/>
    <w:rsid w:val="005614A3"/>
    <w:rsid w:val="005A0F12"/>
    <w:rsid w:val="005E0C31"/>
    <w:rsid w:val="0060742B"/>
    <w:rsid w:val="00654236"/>
    <w:rsid w:val="006B7422"/>
    <w:rsid w:val="006F69BF"/>
    <w:rsid w:val="00763790"/>
    <w:rsid w:val="00777343"/>
    <w:rsid w:val="007B42EA"/>
    <w:rsid w:val="008177E2"/>
    <w:rsid w:val="0086619D"/>
    <w:rsid w:val="008925B7"/>
    <w:rsid w:val="008954B8"/>
    <w:rsid w:val="00896D85"/>
    <w:rsid w:val="00932D65"/>
    <w:rsid w:val="00A22ABD"/>
    <w:rsid w:val="00A861B4"/>
    <w:rsid w:val="00AA20EE"/>
    <w:rsid w:val="00AD1140"/>
    <w:rsid w:val="00B035B7"/>
    <w:rsid w:val="00B41094"/>
    <w:rsid w:val="00BF3D72"/>
    <w:rsid w:val="00C11742"/>
    <w:rsid w:val="00C76C13"/>
    <w:rsid w:val="00D75230"/>
    <w:rsid w:val="00DE59A9"/>
    <w:rsid w:val="00E05A90"/>
    <w:rsid w:val="00E068C1"/>
    <w:rsid w:val="00E15DD3"/>
    <w:rsid w:val="00E9102F"/>
    <w:rsid w:val="00F8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C159E"/>
  <w15:docId w15:val="{7190F7A0-58B1-4337-B6F8-47F66A0B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3D72"/>
    <w:pPr>
      <w:widowControl w:val="0"/>
      <w:autoSpaceDE w:val="0"/>
      <w:autoSpaceDN w:val="0"/>
      <w:adjustRightInd w:val="0"/>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A20EE"/>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AA20EE"/>
    <w:rPr>
      <w:sz w:val="20"/>
      <w:szCs w:val="20"/>
    </w:rPr>
  </w:style>
  <w:style w:type="character" w:customStyle="1" w:styleId="FootnoteTextChar">
    <w:name w:val="Footnote Text Char"/>
    <w:basedOn w:val="DefaultParagraphFont"/>
    <w:uiPriority w:val="99"/>
    <w:semiHidden/>
    <w:rsid w:val="00AA20EE"/>
    <w:rPr>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AA20EE"/>
    <w:rPr>
      <w:rFonts w:ascii="Times New Roman" w:eastAsia="Times New Roman" w:hAnsi="Times New Roman" w:cs="Times New Roman"/>
      <w:sz w:val="20"/>
      <w:szCs w:val="20"/>
    </w:rPr>
  </w:style>
  <w:style w:type="paragraph" w:styleId="Header">
    <w:name w:val="header"/>
    <w:basedOn w:val="Normal"/>
    <w:link w:val="HeaderChar"/>
    <w:uiPriority w:val="99"/>
    <w:rsid w:val="00AA20EE"/>
    <w:pPr>
      <w:tabs>
        <w:tab w:val="center" w:pos="4680"/>
        <w:tab w:val="right" w:pos="9360"/>
      </w:tabs>
    </w:pPr>
    <w:rPr>
      <w:sz w:val="24"/>
      <w:szCs w:val="24"/>
    </w:rPr>
  </w:style>
  <w:style w:type="character" w:customStyle="1" w:styleId="HeaderChar">
    <w:name w:val="Header Char"/>
    <w:basedOn w:val="DefaultParagraphFont"/>
    <w:link w:val="Header"/>
    <w:uiPriority w:val="99"/>
    <w:rsid w:val="00AA20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20EE"/>
    <w:pPr>
      <w:tabs>
        <w:tab w:val="center" w:pos="4680"/>
        <w:tab w:val="right" w:pos="9360"/>
      </w:tabs>
    </w:pPr>
    <w:rPr>
      <w:sz w:val="24"/>
      <w:szCs w:val="24"/>
    </w:rPr>
  </w:style>
  <w:style w:type="character" w:customStyle="1" w:styleId="FooterChar">
    <w:name w:val="Footer Char"/>
    <w:basedOn w:val="DefaultParagraphFont"/>
    <w:link w:val="Footer"/>
    <w:uiPriority w:val="99"/>
    <w:rsid w:val="00AA20EE"/>
    <w:rPr>
      <w:rFonts w:ascii="Times New Roman" w:eastAsia="Times New Roman" w:hAnsi="Times New Roman" w:cs="Times New Roman"/>
      <w:sz w:val="24"/>
      <w:szCs w:val="24"/>
    </w:rPr>
  </w:style>
  <w:style w:type="paragraph" w:styleId="ListParagraph">
    <w:name w:val="List Paragraph"/>
    <w:basedOn w:val="Normal"/>
    <w:uiPriority w:val="34"/>
    <w:qFormat/>
    <w:rsid w:val="00AA20EE"/>
    <w:pPr>
      <w:ind w:left="720"/>
      <w:contextualSpacing/>
    </w:pPr>
  </w:style>
  <w:style w:type="character" w:styleId="CommentReference">
    <w:name w:val="annotation reference"/>
    <w:basedOn w:val="DefaultParagraphFont"/>
    <w:uiPriority w:val="99"/>
    <w:semiHidden/>
    <w:unhideWhenUsed/>
    <w:rsid w:val="003A0F87"/>
    <w:rPr>
      <w:sz w:val="16"/>
      <w:szCs w:val="16"/>
    </w:rPr>
  </w:style>
  <w:style w:type="paragraph" w:styleId="CommentText">
    <w:name w:val="annotation text"/>
    <w:basedOn w:val="Normal"/>
    <w:link w:val="CommentTextChar"/>
    <w:uiPriority w:val="99"/>
    <w:unhideWhenUsed/>
    <w:rsid w:val="003A0F87"/>
    <w:rPr>
      <w:sz w:val="20"/>
      <w:szCs w:val="20"/>
    </w:rPr>
  </w:style>
  <w:style w:type="character" w:customStyle="1" w:styleId="CommentTextChar">
    <w:name w:val="Comment Text Char"/>
    <w:basedOn w:val="DefaultParagraphFont"/>
    <w:link w:val="CommentText"/>
    <w:uiPriority w:val="99"/>
    <w:rsid w:val="003A0F87"/>
    <w:rPr>
      <w:sz w:val="20"/>
      <w:szCs w:val="20"/>
    </w:rPr>
  </w:style>
  <w:style w:type="paragraph" w:styleId="CommentSubject">
    <w:name w:val="annotation subject"/>
    <w:basedOn w:val="CommentText"/>
    <w:next w:val="CommentText"/>
    <w:link w:val="CommentSubjectChar"/>
    <w:uiPriority w:val="99"/>
    <w:semiHidden/>
    <w:unhideWhenUsed/>
    <w:rsid w:val="003A0F87"/>
    <w:rPr>
      <w:b/>
      <w:bCs/>
    </w:rPr>
  </w:style>
  <w:style w:type="character" w:customStyle="1" w:styleId="CommentSubjectChar">
    <w:name w:val="Comment Subject Char"/>
    <w:basedOn w:val="CommentTextChar"/>
    <w:link w:val="CommentSubject"/>
    <w:uiPriority w:val="99"/>
    <w:semiHidden/>
    <w:rsid w:val="003A0F87"/>
    <w:rPr>
      <w:b/>
      <w:bCs/>
      <w:sz w:val="20"/>
      <w:szCs w:val="20"/>
    </w:rPr>
  </w:style>
  <w:style w:type="paragraph" w:styleId="BalloonText">
    <w:name w:val="Balloon Text"/>
    <w:basedOn w:val="Normal"/>
    <w:link w:val="BalloonTextChar"/>
    <w:uiPriority w:val="99"/>
    <w:semiHidden/>
    <w:unhideWhenUsed/>
    <w:rsid w:val="003A0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87"/>
    <w:rPr>
      <w:rFonts w:ascii="Segoe UI" w:hAnsi="Segoe UI" w:cs="Segoe UI"/>
      <w:sz w:val="18"/>
      <w:szCs w:val="18"/>
    </w:rPr>
  </w:style>
  <w:style w:type="character" w:styleId="Hyperlink">
    <w:name w:val="Hyperlink"/>
    <w:basedOn w:val="DefaultParagraphFont"/>
    <w:uiPriority w:val="99"/>
    <w:unhideWhenUsed/>
    <w:rsid w:val="0042284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730</_x0031__x002e__x0020_Collection_x0020_Number>
    <Date xmlns="d6eefc7d-9817-4fa6-84d5-3bc009be21b8">2020-03-20T04:00:00.000Z</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IC19-15</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2478A-15CA-4EF6-88F4-6CBAE153BC9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333FD3-637F-4057-B3F1-65856DD958DD}">
  <ds:schemaRefs>
    <ds:schemaRef ds:uri="http://schemas.microsoft.com/sharepoint/v3/contenttype/forms"/>
  </ds:schemaRefs>
</ds:datastoreItem>
</file>

<file path=customXml/itemProps3.xml><?xml version="1.0" encoding="utf-8"?>
<ds:datastoreItem xmlns:ds="http://schemas.openxmlformats.org/officeDocument/2006/customXml" ds:itemID="{7BB5537E-EB1D-4E9C-A530-384FB9BB66E9}">
  <ds:schemaRefs>
    <ds:schemaRef ds:uri="Microsoft.SharePoint.Taxonomy.ContentTypeSync"/>
  </ds:schemaRefs>
</ds:datastoreItem>
</file>

<file path=customXml/itemProps4.xml><?xml version="1.0" encoding="utf-8"?>
<ds:datastoreItem xmlns:ds="http://schemas.openxmlformats.org/officeDocument/2006/customXml" ds:itemID="{2757998E-EFA8-4600-AEC9-E78495495EC7}">
  <ds:schemaRefs>
    <ds:schemaRef ds:uri="http://schemas.microsoft.com/office/2006/metadata/customXsn"/>
  </ds:schemaRefs>
</ds:datastoreItem>
</file>

<file path=customXml/itemProps5.xml><?xml version="1.0" encoding="utf-8"?>
<ds:datastoreItem xmlns:ds="http://schemas.openxmlformats.org/officeDocument/2006/customXml" ds:itemID="{E742BA99-7A40-4A74-9B15-952005FEF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23B5E7-1623-40DA-BC52-3E0AF4A2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Report of Transmission Investment Activity</vt:lpstr>
    </vt:vector>
  </TitlesOfParts>
  <Company>FERC</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Transmission Investment Activity</dc:title>
  <dc:subject/>
  <dc:creator>Michele Chambers</dc:creator>
  <cp:keywords/>
  <dc:description/>
  <cp:lastModifiedBy>Ellen Brown</cp:lastModifiedBy>
  <cp:revision>9</cp:revision>
  <dcterms:created xsi:type="dcterms:W3CDTF">2020-03-20T12:22:00Z</dcterms:created>
  <dcterms:modified xsi:type="dcterms:W3CDTF">2020-03-20T12:32:00Z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Michele.Chambers@ferc.gov</vt:lpwstr>
  </property>
  <property fmtid="{D5CDD505-2E9C-101B-9397-08002B2CF9AE}" pid="6" name="MSIP_Label_6155a89b-0f08-4a93-8ea2-8a916d6643b5_SetDate">
    <vt:lpwstr>2019-05-10T15:44:57.1710000Z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