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3EBE2" w14:textId="77777777" w:rsidR="00DB1C47" w:rsidRPr="00550F80" w:rsidRDefault="00DB1C47" w:rsidP="00DB1C47">
      <w:pPr>
        <w:tabs>
          <w:tab w:val="left" w:pos="1800"/>
        </w:tabs>
        <w:spacing w:after="0" w:line="240" w:lineRule="auto"/>
        <w:jc w:val="center"/>
        <w:rPr>
          <w:rFonts w:ascii="Times New Roman" w:hAnsi="Times New Roman" w:cs="Times New Roman"/>
          <w:b/>
          <w:sz w:val="26"/>
          <w:szCs w:val="26"/>
        </w:rPr>
      </w:pPr>
      <w:bookmarkStart w:id="0" w:name="_GoBack"/>
      <w:bookmarkEnd w:id="0"/>
      <w:r w:rsidRPr="00550F80">
        <w:rPr>
          <w:rFonts w:ascii="Times New Roman" w:hAnsi="Times New Roman" w:cs="Times New Roman"/>
          <w:b/>
          <w:sz w:val="26"/>
          <w:szCs w:val="26"/>
        </w:rPr>
        <w:t>Supporting Statement for</w:t>
      </w:r>
    </w:p>
    <w:p w14:paraId="22AD1D16" w14:textId="77777777" w:rsidR="00DB1C47" w:rsidRPr="00EB755D" w:rsidRDefault="00DB1C47" w:rsidP="00DB1C47">
      <w:pPr>
        <w:spacing w:after="0" w:line="240" w:lineRule="auto"/>
        <w:jc w:val="center"/>
        <w:rPr>
          <w:rFonts w:ascii="Times New Roman" w:hAnsi="Times New Roman" w:cs="Times New Roman"/>
          <w:b/>
          <w:sz w:val="26"/>
          <w:szCs w:val="26"/>
        </w:rPr>
      </w:pPr>
      <w:r w:rsidRPr="00EB755D">
        <w:rPr>
          <w:rFonts w:ascii="Times New Roman" w:hAnsi="Times New Roman" w:cs="Times New Roman"/>
          <w:b/>
          <w:sz w:val="26"/>
          <w:szCs w:val="26"/>
        </w:rPr>
        <w:t>FERC-519 (Application under Federal Power Act Section 203</w:t>
      </w:r>
      <w:r>
        <w:rPr>
          <w:rFonts w:ascii="Times New Roman" w:hAnsi="Times New Roman" w:cs="Times New Roman"/>
          <w:b/>
          <w:sz w:val="26"/>
          <w:szCs w:val="26"/>
        </w:rPr>
        <w:t>)</w:t>
      </w:r>
    </w:p>
    <w:p w14:paraId="6641A29E" w14:textId="77777777" w:rsidR="00DB1C47" w:rsidRPr="00EB755D" w:rsidRDefault="00DB1C47" w:rsidP="00DB1C47">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 xml:space="preserve">Revisions Due to Final Rule </w:t>
      </w:r>
      <w:r w:rsidRPr="00EB755D">
        <w:rPr>
          <w:rFonts w:ascii="Times New Roman" w:hAnsi="Times New Roman" w:cs="Times New Roman"/>
          <w:b/>
          <w:sz w:val="26"/>
          <w:szCs w:val="26"/>
        </w:rPr>
        <w:t>in Docket No. RM19-4-000</w:t>
      </w:r>
    </w:p>
    <w:p w14:paraId="7F086821" w14:textId="77777777" w:rsidR="00DB1C47" w:rsidRPr="00EB755D" w:rsidRDefault="00DB1C47" w:rsidP="00DB1C47">
      <w:pPr>
        <w:spacing w:after="0" w:line="240" w:lineRule="auto"/>
        <w:rPr>
          <w:rFonts w:ascii="Times New Roman" w:hAnsi="Times New Roman" w:cs="Times New Roman"/>
          <w:sz w:val="26"/>
          <w:szCs w:val="26"/>
        </w:rPr>
      </w:pPr>
    </w:p>
    <w:p w14:paraId="008FA6F0" w14:textId="77777777"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The Federal Energy Regulatory Commission (Commission or FERC) requests that the Office of Management and Budget (OMB) review and approve the</w:t>
      </w:r>
      <w:r>
        <w:rPr>
          <w:rFonts w:ascii="Times New Roman" w:hAnsi="Times New Roman" w:cs="Times New Roman"/>
          <w:sz w:val="26"/>
          <w:szCs w:val="26"/>
        </w:rPr>
        <w:t xml:space="preserve"> FERC-</w:t>
      </w:r>
      <w:r w:rsidRPr="00EB755D">
        <w:rPr>
          <w:rFonts w:ascii="Times New Roman" w:hAnsi="Times New Roman" w:cs="Times New Roman"/>
          <w:sz w:val="26"/>
          <w:szCs w:val="26"/>
        </w:rPr>
        <w:t>519 (Application under Federal Power Act Section 203), as revise</w:t>
      </w:r>
      <w:r>
        <w:rPr>
          <w:rFonts w:ascii="Times New Roman" w:hAnsi="Times New Roman" w:cs="Times New Roman"/>
          <w:sz w:val="26"/>
          <w:szCs w:val="26"/>
        </w:rPr>
        <w:t>d</w:t>
      </w:r>
      <w:r w:rsidRPr="00EB755D">
        <w:rPr>
          <w:rFonts w:ascii="Times New Roman" w:hAnsi="Times New Roman" w:cs="Times New Roman"/>
          <w:sz w:val="26"/>
          <w:szCs w:val="26"/>
        </w:rPr>
        <w:t xml:space="preserve"> in the </w:t>
      </w:r>
      <w:r>
        <w:rPr>
          <w:rFonts w:ascii="Times New Roman" w:hAnsi="Times New Roman" w:cs="Times New Roman"/>
          <w:sz w:val="26"/>
          <w:szCs w:val="26"/>
        </w:rPr>
        <w:t xml:space="preserve">Final Rule </w:t>
      </w:r>
      <w:r w:rsidR="00F5162A">
        <w:rPr>
          <w:rFonts w:ascii="Times New Roman" w:hAnsi="Times New Roman" w:cs="Times New Roman"/>
          <w:sz w:val="26"/>
          <w:szCs w:val="26"/>
        </w:rPr>
        <w:t xml:space="preserve">(Order No. 855) </w:t>
      </w:r>
      <w:r w:rsidRPr="00EB755D">
        <w:rPr>
          <w:rFonts w:ascii="Times New Roman" w:hAnsi="Times New Roman" w:cs="Times New Roman"/>
          <w:sz w:val="26"/>
          <w:szCs w:val="26"/>
        </w:rPr>
        <w:t>in Docket No. RM19-4-000.</w:t>
      </w:r>
    </w:p>
    <w:p w14:paraId="2203FCDD" w14:textId="77777777" w:rsidR="00DB1C47" w:rsidRPr="00EB755D" w:rsidRDefault="00DB1C47" w:rsidP="00DB1C47">
      <w:pPr>
        <w:spacing w:after="0" w:line="240" w:lineRule="auto"/>
        <w:rPr>
          <w:rFonts w:ascii="Times New Roman" w:hAnsi="Times New Roman" w:cs="Times New Roman"/>
          <w:sz w:val="26"/>
          <w:szCs w:val="26"/>
        </w:rPr>
      </w:pPr>
    </w:p>
    <w:p w14:paraId="0E085C31" w14:textId="0B8E8A29"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On September 28, 2018, the President signed into law an amendment to section 203 of the Federal Power Act (FPA)</w:t>
      </w:r>
      <w:r w:rsidR="00852FC5" w:rsidRPr="00E50B28">
        <w:rPr>
          <w:rStyle w:val="FootnoteReference"/>
          <w:rFonts w:ascii="Times New Roman" w:hAnsi="Times New Roman" w:cs="Times New Roman"/>
          <w:sz w:val="26"/>
          <w:szCs w:val="26"/>
          <w:vertAlign w:val="superscript"/>
        </w:rPr>
        <w:footnoteReference w:id="1"/>
      </w:r>
      <w:r w:rsidR="00677BB2">
        <w:rPr>
          <w:rFonts w:ascii="Times New Roman" w:hAnsi="Times New Roman" w:cs="Times New Roman"/>
          <w:sz w:val="26"/>
          <w:szCs w:val="26"/>
        </w:rPr>
        <w:t xml:space="preserve"> </w:t>
      </w:r>
      <w:r w:rsidRPr="00EB755D">
        <w:rPr>
          <w:rFonts w:ascii="Times New Roman" w:hAnsi="Times New Roman" w:cs="Times New Roman"/>
          <w:sz w:val="26"/>
          <w:szCs w:val="26"/>
        </w:rPr>
        <w:t>implementing the following two changes</w:t>
      </w:r>
      <w:r>
        <w:rPr>
          <w:rFonts w:ascii="Times New Roman" w:hAnsi="Times New Roman" w:cs="Times New Roman"/>
          <w:sz w:val="26"/>
          <w:szCs w:val="26"/>
        </w:rPr>
        <w:t xml:space="preserve"> that</w:t>
      </w:r>
      <w:r w:rsidRPr="00EB755D">
        <w:rPr>
          <w:rFonts w:ascii="Times New Roman" w:hAnsi="Times New Roman" w:cs="Times New Roman"/>
          <w:sz w:val="26"/>
          <w:szCs w:val="26"/>
        </w:rPr>
        <w:t xml:space="preserve">:  </w:t>
      </w:r>
    </w:p>
    <w:p w14:paraId="71C581BA" w14:textId="1E4E79FD" w:rsidR="00DB1C47" w:rsidRDefault="00DB1C47" w:rsidP="00DB1C47">
      <w:pPr>
        <w:pStyle w:val="ListParagraph"/>
        <w:numPr>
          <w:ilvl w:val="0"/>
          <w:numId w:val="3"/>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Revise </w:t>
      </w:r>
      <w:r w:rsidR="00EA1CB5">
        <w:rPr>
          <w:rFonts w:ascii="Times New Roman" w:hAnsi="Times New Roman" w:cs="Times New Roman"/>
          <w:sz w:val="26"/>
          <w:szCs w:val="26"/>
        </w:rPr>
        <w:t>s</w:t>
      </w:r>
      <w:r w:rsidRPr="00AA7213">
        <w:rPr>
          <w:rFonts w:ascii="Times New Roman" w:hAnsi="Times New Roman" w:cs="Times New Roman"/>
          <w:sz w:val="26"/>
          <w:szCs w:val="26"/>
        </w:rPr>
        <w:t>ection 203(a)(1)(B)</w:t>
      </w:r>
      <w:r w:rsidRPr="00EB755D">
        <w:rPr>
          <w:b/>
          <w:vertAlign w:val="superscript"/>
        </w:rPr>
        <w:footnoteReference w:id="2"/>
      </w:r>
      <w:r w:rsidRPr="00AA7213">
        <w:rPr>
          <w:rFonts w:ascii="Times New Roman" w:hAnsi="Times New Roman" w:cs="Times New Roman"/>
          <w:sz w:val="26"/>
          <w:szCs w:val="26"/>
        </w:rPr>
        <w:t xml:space="preserve"> to establish a $10 million threshold for transactions requiring Commission a</w:t>
      </w:r>
      <w:r>
        <w:rPr>
          <w:rFonts w:ascii="Times New Roman" w:hAnsi="Times New Roman" w:cs="Times New Roman"/>
          <w:sz w:val="26"/>
          <w:szCs w:val="26"/>
        </w:rPr>
        <w:t>pproval under that section</w:t>
      </w:r>
      <w:r w:rsidR="00F5162A">
        <w:rPr>
          <w:rFonts w:ascii="Times New Roman" w:hAnsi="Times New Roman" w:cs="Times New Roman"/>
          <w:sz w:val="26"/>
          <w:szCs w:val="26"/>
        </w:rPr>
        <w:t xml:space="preserve"> [</w:t>
      </w:r>
      <w:r w:rsidR="0050111B">
        <w:rPr>
          <w:rFonts w:ascii="Times New Roman" w:hAnsi="Times New Roman" w:cs="Times New Roman"/>
          <w:sz w:val="26"/>
          <w:szCs w:val="26"/>
        </w:rPr>
        <w:t xml:space="preserve">which consequently </w:t>
      </w:r>
      <w:r w:rsidR="00F5162A">
        <w:rPr>
          <w:rFonts w:ascii="Times New Roman" w:hAnsi="Times New Roman" w:cs="Times New Roman"/>
          <w:sz w:val="26"/>
          <w:szCs w:val="26"/>
        </w:rPr>
        <w:t>reduc</w:t>
      </w:r>
      <w:r w:rsidR="0050111B">
        <w:rPr>
          <w:rFonts w:ascii="Times New Roman" w:hAnsi="Times New Roman" w:cs="Times New Roman"/>
          <w:sz w:val="26"/>
          <w:szCs w:val="26"/>
        </w:rPr>
        <w:t>es</w:t>
      </w:r>
      <w:r w:rsidR="00F5162A">
        <w:rPr>
          <w:rFonts w:ascii="Times New Roman" w:hAnsi="Times New Roman" w:cs="Times New Roman"/>
          <w:sz w:val="26"/>
          <w:szCs w:val="26"/>
        </w:rPr>
        <w:t xml:space="preserve"> filings and burden]</w:t>
      </w:r>
      <w:r>
        <w:rPr>
          <w:rFonts w:ascii="Times New Roman" w:hAnsi="Times New Roman" w:cs="Times New Roman"/>
          <w:sz w:val="26"/>
          <w:szCs w:val="26"/>
        </w:rPr>
        <w:t>; and</w:t>
      </w:r>
    </w:p>
    <w:p w14:paraId="410EAE6D" w14:textId="6A6AEECD" w:rsidR="00DB1C47" w:rsidRPr="00AA7213" w:rsidRDefault="00DB1C47" w:rsidP="00DB1C47">
      <w:pPr>
        <w:pStyle w:val="ListParagraph"/>
        <w:numPr>
          <w:ilvl w:val="0"/>
          <w:numId w:val="3"/>
        </w:numPr>
        <w:spacing w:after="0" w:line="240" w:lineRule="auto"/>
        <w:rPr>
          <w:rFonts w:ascii="Times New Roman" w:hAnsi="Times New Roman" w:cs="Times New Roman"/>
          <w:sz w:val="26"/>
          <w:szCs w:val="26"/>
        </w:rPr>
      </w:pPr>
      <w:r>
        <w:rPr>
          <w:rFonts w:ascii="Times New Roman" w:hAnsi="Times New Roman" w:cs="Times New Roman"/>
          <w:sz w:val="26"/>
          <w:szCs w:val="26"/>
        </w:rPr>
        <w:t>Require</w:t>
      </w:r>
      <w:r w:rsidRPr="00AA7213">
        <w:rPr>
          <w:rFonts w:ascii="Times New Roman" w:hAnsi="Times New Roman" w:cs="Times New Roman"/>
          <w:sz w:val="26"/>
          <w:szCs w:val="26"/>
        </w:rPr>
        <w:t xml:space="preserve"> the Commission to promulgate a rule, “[n]</w:t>
      </w:r>
      <w:r w:rsidRPr="00AA7213">
        <w:rPr>
          <w:rFonts w:ascii="Times New Roman" w:hAnsi="Times New Roman" w:cs="Times New Roman"/>
          <w:iCs/>
          <w:sz w:val="26"/>
          <w:szCs w:val="26"/>
        </w:rPr>
        <w:t>ot later than 180 days after the date of enactment of this paragraph,</w:t>
      </w:r>
      <w:r w:rsidRPr="00AA7213">
        <w:rPr>
          <w:rFonts w:ascii="Times New Roman" w:hAnsi="Times New Roman" w:cs="Times New Roman"/>
          <w:sz w:val="26"/>
          <w:szCs w:val="26"/>
        </w:rPr>
        <w:t xml:space="preserve">” that establishes a notification requirement for transactions valued between $1 million and $10 million that would have been subject to the Commission’s jurisdiction under </w:t>
      </w:r>
      <w:r w:rsidR="00EA1CB5">
        <w:rPr>
          <w:rFonts w:ascii="Times New Roman" w:hAnsi="Times New Roman" w:cs="Times New Roman"/>
          <w:sz w:val="26"/>
          <w:szCs w:val="26"/>
        </w:rPr>
        <w:t>s</w:t>
      </w:r>
      <w:r>
        <w:rPr>
          <w:rFonts w:ascii="Times New Roman" w:hAnsi="Times New Roman" w:cs="Times New Roman"/>
          <w:sz w:val="26"/>
          <w:szCs w:val="26"/>
        </w:rPr>
        <w:t xml:space="preserve">ection </w:t>
      </w:r>
      <w:r w:rsidRPr="00AA7213">
        <w:rPr>
          <w:rFonts w:ascii="Times New Roman" w:hAnsi="Times New Roman" w:cs="Times New Roman"/>
          <w:sz w:val="26"/>
          <w:szCs w:val="26"/>
        </w:rPr>
        <w:t>203(a)(1)(B) absent the newly implemented $10 million threshold.</w:t>
      </w:r>
    </w:p>
    <w:p w14:paraId="6B465267" w14:textId="77777777"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 xml:space="preserve"> </w:t>
      </w:r>
    </w:p>
    <w:p w14:paraId="03D42C36" w14:textId="77777777" w:rsidR="00DB1C47" w:rsidRPr="00EB755D" w:rsidRDefault="00DB1C47" w:rsidP="00DB1C47">
      <w:pPr>
        <w:pStyle w:val="ListParagraph"/>
        <w:numPr>
          <w:ilvl w:val="0"/>
          <w:numId w:val="1"/>
        </w:numPr>
        <w:spacing w:after="0" w:line="240" w:lineRule="auto"/>
        <w:ind w:left="360"/>
        <w:rPr>
          <w:rFonts w:ascii="Times New Roman" w:hAnsi="Times New Roman" w:cs="Times New Roman"/>
          <w:b/>
          <w:sz w:val="26"/>
          <w:szCs w:val="26"/>
        </w:rPr>
      </w:pPr>
      <w:r w:rsidRPr="00EB755D">
        <w:rPr>
          <w:rFonts w:ascii="Times New Roman" w:hAnsi="Times New Roman" w:cs="Times New Roman"/>
          <w:b/>
          <w:sz w:val="26"/>
          <w:szCs w:val="26"/>
        </w:rPr>
        <w:t>CIRCUMSTANCES THAT MAKE THE COLLECTION OF INFORMATION NECESSARY</w:t>
      </w:r>
    </w:p>
    <w:p w14:paraId="7DB0D194" w14:textId="77777777" w:rsidR="00DB1C47" w:rsidRPr="00EB755D" w:rsidRDefault="00DB1C47" w:rsidP="00DB1C47">
      <w:pPr>
        <w:pStyle w:val="ListParagraph"/>
        <w:spacing w:after="0" w:line="240" w:lineRule="auto"/>
        <w:ind w:left="360"/>
        <w:rPr>
          <w:rFonts w:ascii="Times New Roman" w:hAnsi="Times New Roman" w:cs="Times New Roman"/>
          <w:b/>
          <w:sz w:val="26"/>
          <w:szCs w:val="26"/>
        </w:rPr>
      </w:pPr>
    </w:p>
    <w:p w14:paraId="0365234A" w14:textId="4C66CB6C" w:rsidR="00DB1C47" w:rsidRDefault="00DB1C47" w:rsidP="00DB1C47">
      <w:pPr>
        <w:spacing w:after="0" w:line="240" w:lineRule="auto"/>
        <w:rPr>
          <w:rFonts w:ascii="Times New Roman" w:hAnsi="Times New Roman" w:cs="Times New Roman"/>
          <w:sz w:val="26"/>
          <w:szCs w:val="26"/>
        </w:rPr>
      </w:pPr>
      <w:r>
        <w:rPr>
          <w:rFonts w:ascii="Times New Roman" w:hAnsi="Times New Roman" w:cs="Times New Roman"/>
          <w:sz w:val="26"/>
          <w:szCs w:val="26"/>
        </w:rPr>
        <w:t>The Commission issues</w:t>
      </w:r>
      <w:r w:rsidRPr="00EB755D">
        <w:rPr>
          <w:rFonts w:ascii="Times New Roman" w:hAnsi="Times New Roman" w:cs="Times New Roman"/>
          <w:sz w:val="26"/>
          <w:szCs w:val="26"/>
        </w:rPr>
        <w:t xml:space="preserve"> this</w:t>
      </w:r>
      <w:r>
        <w:rPr>
          <w:rFonts w:ascii="Times New Roman" w:hAnsi="Times New Roman" w:cs="Times New Roman"/>
          <w:sz w:val="26"/>
          <w:szCs w:val="26"/>
        </w:rPr>
        <w:t xml:space="preserve"> Final Rul</w:t>
      </w:r>
      <w:r w:rsidR="002A41EE">
        <w:rPr>
          <w:rFonts w:ascii="Times New Roman" w:hAnsi="Times New Roman" w:cs="Times New Roman"/>
          <w:sz w:val="26"/>
          <w:szCs w:val="26"/>
        </w:rPr>
        <w:t>e</w:t>
      </w:r>
      <w:r w:rsidRPr="00EB755D">
        <w:rPr>
          <w:rFonts w:ascii="Times New Roman" w:hAnsi="Times New Roman" w:cs="Times New Roman"/>
          <w:sz w:val="26"/>
          <w:szCs w:val="26"/>
        </w:rPr>
        <w:t xml:space="preserve"> in Docket No. RM19-4-000 to revise </w:t>
      </w:r>
      <w:r w:rsidR="007F30E8">
        <w:rPr>
          <w:rFonts w:ascii="Times New Roman" w:hAnsi="Times New Roman" w:cs="Times New Roman"/>
          <w:sz w:val="26"/>
          <w:szCs w:val="26"/>
        </w:rPr>
        <w:t>Part</w:t>
      </w:r>
      <w:r w:rsidR="007F30E8" w:rsidRPr="00EB755D">
        <w:rPr>
          <w:rFonts w:ascii="Times New Roman" w:hAnsi="Times New Roman" w:cs="Times New Roman"/>
          <w:sz w:val="26"/>
          <w:szCs w:val="26"/>
        </w:rPr>
        <w:t xml:space="preserve"> </w:t>
      </w:r>
      <w:r w:rsidRPr="00EB755D">
        <w:rPr>
          <w:rFonts w:ascii="Times New Roman" w:hAnsi="Times New Roman" w:cs="Times New Roman"/>
          <w:sz w:val="26"/>
          <w:szCs w:val="26"/>
        </w:rPr>
        <w:t xml:space="preserve">33 of its regulations relating to mergers or consolidations by a public utility.  Specifically, the Commission </w:t>
      </w:r>
      <w:r w:rsidR="00D70CFB">
        <w:rPr>
          <w:rFonts w:ascii="Times New Roman" w:hAnsi="Times New Roman" w:cs="Times New Roman"/>
          <w:sz w:val="26"/>
          <w:szCs w:val="26"/>
        </w:rPr>
        <w:t xml:space="preserve"> is </w:t>
      </w:r>
      <w:r w:rsidRPr="00EB755D">
        <w:rPr>
          <w:rFonts w:ascii="Times New Roman" w:hAnsi="Times New Roman" w:cs="Times New Roman"/>
          <w:sz w:val="26"/>
          <w:szCs w:val="26"/>
        </w:rPr>
        <w:t>revis</w:t>
      </w:r>
      <w:r w:rsidR="00D70CFB">
        <w:rPr>
          <w:rFonts w:ascii="Times New Roman" w:hAnsi="Times New Roman" w:cs="Times New Roman"/>
          <w:sz w:val="26"/>
          <w:szCs w:val="26"/>
        </w:rPr>
        <w:t>ing</w:t>
      </w:r>
      <w:r w:rsidRPr="00EB755D">
        <w:rPr>
          <w:rFonts w:ascii="Times New Roman" w:hAnsi="Times New Roman" w:cs="Times New Roman"/>
          <w:sz w:val="26"/>
          <w:szCs w:val="26"/>
        </w:rPr>
        <w:t xml:space="preserve"> </w:t>
      </w:r>
      <w:r w:rsidR="007F30E8">
        <w:rPr>
          <w:rFonts w:ascii="Times New Roman" w:hAnsi="Times New Roman" w:cs="Times New Roman"/>
          <w:sz w:val="26"/>
          <w:szCs w:val="26"/>
        </w:rPr>
        <w:t>Part</w:t>
      </w:r>
      <w:r w:rsidR="00EA1CB5" w:rsidRPr="00EB755D">
        <w:rPr>
          <w:rFonts w:ascii="Times New Roman" w:hAnsi="Times New Roman" w:cs="Times New Roman"/>
          <w:sz w:val="26"/>
          <w:szCs w:val="26"/>
        </w:rPr>
        <w:t xml:space="preserve"> </w:t>
      </w:r>
      <w:r w:rsidRPr="00EB755D">
        <w:rPr>
          <w:rFonts w:ascii="Times New Roman" w:hAnsi="Times New Roman" w:cs="Times New Roman"/>
          <w:sz w:val="26"/>
          <w:szCs w:val="26"/>
        </w:rPr>
        <w:t xml:space="preserve">33.1 of its regulations to establish that only mergers or consolidations by a public utility of facilities subject to the jurisdiction of the Commission and have a value in excess of $10 million are now subject to Commission authorization under amended </w:t>
      </w:r>
      <w:r>
        <w:rPr>
          <w:rFonts w:ascii="Times New Roman" w:hAnsi="Times New Roman" w:cs="Times New Roman"/>
          <w:sz w:val="26"/>
          <w:szCs w:val="26"/>
        </w:rPr>
        <w:t xml:space="preserve">FPA </w:t>
      </w:r>
      <w:r w:rsidR="00EA1CB5">
        <w:rPr>
          <w:rFonts w:ascii="Times New Roman" w:hAnsi="Times New Roman" w:cs="Times New Roman"/>
          <w:sz w:val="26"/>
          <w:szCs w:val="26"/>
        </w:rPr>
        <w:t>s</w:t>
      </w:r>
      <w:r>
        <w:rPr>
          <w:rFonts w:ascii="Times New Roman" w:hAnsi="Times New Roman" w:cs="Times New Roman"/>
          <w:sz w:val="26"/>
          <w:szCs w:val="26"/>
        </w:rPr>
        <w:t>ection 203</w:t>
      </w:r>
      <w:r w:rsidRPr="00EB755D">
        <w:rPr>
          <w:rFonts w:ascii="Times New Roman" w:hAnsi="Times New Roman" w:cs="Times New Roman"/>
          <w:sz w:val="26"/>
          <w:szCs w:val="26"/>
        </w:rPr>
        <w:t xml:space="preserve">.  In addition, the </w:t>
      </w:r>
      <w:r>
        <w:rPr>
          <w:rFonts w:ascii="Times New Roman" w:hAnsi="Times New Roman" w:cs="Times New Roman"/>
          <w:sz w:val="26"/>
          <w:szCs w:val="26"/>
        </w:rPr>
        <w:t xml:space="preserve">Commission </w:t>
      </w:r>
      <w:r w:rsidR="00E50B28">
        <w:rPr>
          <w:rFonts w:ascii="Times New Roman" w:hAnsi="Times New Roman" w:cs="Times New Roman"/>
          <w:sz w:val="26"/>
          <w:szCs w:val="26"/>
        </w:rPr>
        <w:t xml:space="preserve"> is</w:t>
      </w:r>
      <w:r>
        <w:rPr>
          <w:rFonts w:ascii="Times New Roman" w:hAnsi="Times New Roman" w:cs="Times New Roman"/>
          <w:sz w:val="26"/>
          <w:szCs w:val="26"/>
        </w:rPr>
        <w:t xml:space="preserve"> add</w:t>
      </w:r>
      <w:r w:rsidR="00E50B28">
        <w:rPr>
          <w:rFonts w:ascii="Times New Roman" w:hAnsi="Times New Roman" w:cs="Times New Roman"/>
          <w:sz w:val="26"/>
          <w:szCs w:val="26"/>
        </w:rPr>
        <w:t>ing</w:t>
      </w:r>
      <w:r>
        <w:rPr>
          <w:rFonts w:ascii="Times New Roman" w:hAnsi="Times New Roman" w:cs="Times New Roman"/>
          <w:sz w:val="26"/>
          <w:szCs w:val="26"/>
        </w:rPr>
        <w:t xml:space="preserve"> </w:t>
      </w:r>
      <w:r w:rsidR="007F30E8">
        <w:rPr>
          <w:rFonts w:ascii="Times New Roman" w:hAnsi="Times New Roman" w:cs="Times New Roman"/>
          <w:sz w:val="26"/>
          <w:szCs w:val="26"/>
        </w:rPr>
        <w:t>Part</w:t>
      </w:r>
      <w:r w:rsidR="00EA1CB5" w:rsidRPr="00EB755D">
        <w:rPr>
          <w:rFonts w:ascii="Times New Roman" w:hAnsi="Times New Roman" w:cs="Times New Roman"/>
          <w:sz w:val="26"/>
          <w:szCs w:val="26"/>
        </w:rPr>
        <w:t xml:space="preserve"> </w:t>
      </w:r>
      <w:r w:rsidRPr="00EB755D">
        <w:rPr>
          <w:rFonts w:ascii="Times New Roman" w:hAnsi="Times New Roman" w:cs="Times New Roman"/>
          <w:sz w:val="26"/>
          <w:szCs w:val="26"/>
        </w:rPr>
        <w:t>33.12 to its regulations to establish a notification requirement for mergers or consolidations by a public utility if the facilities to be acquired have a value in excess of $1 million and such public utility is not required to secure Commissi</w:t>
      </w:r>
      <w:r>
        <w:rPr>
          <w:rFonts w:ascii="Times New Roman" w:hAnsi="Times New Roman" w:cs="Times New Roman"/>
          <w:sz w:val="26"/>
          <w:szCs w:val="26"/>
        </w:rPr>
        <w:t xml:space="preserve">on authorization under amended </w:t>
      </w:r>
      <w:r w:rsidR="00EA1CB5">
        <w:rPr>
          <w:rFonts w:ascii="Times New Roman" w:hAnsi="Times New Roman" w:cs="Times New Roman"/>
          <w:sz w:val="26"/>
          <w:szCs w:val="26"/>
        </w:rPr>
        <w:t>s</w:t>
      </w:r>
      <w:r w:rsidRPr="00EB755D">
        <w:rPr>
          <w:rFonts w:ascii="Times New Roman" w:hAnsi="Times New Roman" w:cs="Times New Roman"/>
          <w:sz w:val="26"/>
          <w:szCs w:val="26"/>
        </w:rPr>
        <w:t>ection 203.</w:t>
      </w:r>
      <w:r w:rsidR="008D1DC0">
        <w:rPr>
          <w:rFonts w:ascii="Times New Roman" w:hAnsi="Times New Roman" w:cs="Times New Roman"/>
          <w:sz w:val="26"/>
          <w:szCs w:val="26"/>
        </w:rPr>
        <w:t xml:space="preserve">  This requirement is mandated by the newly</w:t>
      </w:r>
      <w:r w:rsidR="004E2141">
        <w:rPr>
          <w:rFonts w:ascii="Times New Roman" w:hAnsi="Times New Roman" w:cs="Times New Roman"/>
          <w:sz w:val="26"/>
          <w:szCs w:val="26"/>
        </w:rPr>
        <w:t xml:space="preserve"> </w:t>
      </w:r>
      <w:r w:rsidR="008D1DC0">
        <w:rPr>
          <w:rFonts w:ascii="Times New Roman" w:hAnsi="Times New Roman" w:cs="Times New Roman"/>
          <w:sz w:val="26"/>
          <w:szCs w:val="26"/>
        </w:rPr>
        <w:t>enacted legislation.</w:t>
      </w:r>
    </w:p>
    <w:p w14:paraId="026EC2F9" w14:textId="77777777" w:rsidR="007F30E8" w:rsidRPr="00EB755D" w:rsidRDefault="007F30E8" w:rsidP="00DB1C47">
      <w:pPr>
        <w:spacing w:after="0" w:line="240" w:lineRule="auto"/>
        <w:rPr>
          <w:rFonts w:ascii="Times New Roman" w:hAnsi="Times New Roman" w:cs="Times New Roman"/>
          <w:sz w:val="26"/>
          <w:szCs w:val="26"/>
        </w:rPr>
      </w:pPr>
    </w:p>
    <w:p w14:paraId="09441CBC" w14:textId="77777777" w:rsidR="00DB1C47" w:rsidRPr="00EB755D" w:rsidRDefault="00DB1C47" w:rsidP="00DB1C47">
      <w:pPr>
        <w:pStyle w:val="ListParagraph"/>
        <w:numPr>
          <w:ilvl w:val="0"/>
          <w:numId w:val="1"/>
        </w:numPr>
        <w:spacing w:after="0" w:line="240" w:lineRule="auto"/>
        <w:ind w:left="360"/>
        <w:rPr>
          <w:rFonts w:ascii="Times New Roman" w:hAnsi="Times New Roman" w:cs="Times New Roman"/>
          <w:b/>
          <w:sz w:val="26"/>
          <w:szCs w:val="26"/>
        </w:rPr>
      </w:pPr>
      <w:r w:rsidRPr="00EB755D">
        <w:rPr>
          <w:rFonts w:ascii="Times New Roman" w:hAnsi="Times New Roman" w:cs="Times New Roman"/>
          <w:b/>
          <w:sz w:val="26"/>
          <w:szCs w:val="26"/>
        </w:rPr>
        <w:t>HOW, BY WHOM, AND FOR WHAT PURPOSE THE INFORMATION IS TO BE USED AND THE CONSEQUENCES OF NOT COLLECTING THE INFORMATION</w:t>
      </w:r>
    </w:p>
    <w:p w14:paraId="150F1D9C" w14:textId="77777777" w:rsidR="00DB1C47" w:rsidRDefault="00DB1C47" w:rsidP="00DB1C47">
      <w:pPr>
        <w:spacing w:after="0" w:line="240" w:lineRule="auto"/>
        <w:rPr>
          <w:rFonts w:ascii="Times New Roman" w:hAnsi="Times New Roman" w:cs="Times New Roman"/>
          <w:sz w:val="26"/>
          <w:szCs w:val="26"/>
        </w:rPr>
      </w:pPr>
    </w:p>
    <w:p w14:paraId="7FEF9DD2" w14:textId="4C996884"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 xml:space="preserve">The </w:t>
      </w:r>
      <w:r w:rsidR="005F338E">
        <w:rPr>
          <w:rFonts w:ascii="Times New Roman" w:hAnsi="Times New Roman" w:cs="Times New Roman"/>
          <w:sz w:val="26"/>
          <w:szCs w:val="26"/>
        </w:rPr>
        <w:t xml:space="preserve">Commission is required under the recent legislation to collect </w:t>
      </w:r>
      <w:r w:rsidRPr="00EB755D">
        <w:rPr>
          <w:rFonts w:ascii="Times New Roman" w:hAnsi="Times New Roman" w:cs="Times New Roman"/>
          <w:sz w:val="26"/>
          <w:szCs w:val="26"/>
        </w:rPr>
        <w:t>information under the FERC-519</w:t>
      </w:r>
      <w:r w:rsidR="005F338E">
        <w:rPr>
          <w:rFonts w:ascii="Times New Roman" w:hAnsi="Times New Roman" w:cs="Times New Roman"/>
          <w:sz w:val="26"/>
          <w:szCs w:val="26"/>
        </w:rPr>
        <w:t>.</w:t>
      </w:r>
      <w:r w:rsidRPr="00EB755D">
        <w:rPr>
          <w:rFonts w:ascii="Times New Roman" w:hAnsi="Times New Roman" w:cs="Times New Roman"/>
          <w:sz w:val="26"/>
          <w:szCs w:val="26"/>
        </w:rPr>
        <w:t xml:space="preserve"> </w:t>
      </w:r>
      <w:r w:rsidR="005F338E">
        <w:rPr>
          <w:rFonts w:ascii="Times New Roman" w:hAnsi="Times New Roman" w:cs="Times New Roman"/>
          <w:sz w:val="26"/>
          <w:szCs w:val="26"/>
        </w:rPr>
        <w:t xml:space="preserve"> It will </w:t>
      </w:r>
      <w:r w:rsidRPr="00EB755D">
        <w:rPr>
          <w:rFonts w:ascii="Times New Roman" w:hAnsi="Times New Roman" w:cs="Times New Roman"/>
          <w:sz w:val="26"/>
          <w:szCs w:val="26"/>
        </w:rPr>
        <w:t xml:space="preserve">enable the Commission to meet its statutory responsibilities regarding </w:t>
      </w:r>
      <w:r w:rsidR="0002267C">
        <w:rPr>
          <w:rFonts w:ascii="Times New Roman" w:hAnsi="Times New Roman" w:cs="Times New Roman"/>
          <w:sz w:val="26"/>
          <w:szCs w:val="26"/>
        </w:rPr>
        <w:t xml:space="preserve">its FPA section 203 oversight of </w:t>
      </w:r>
      <w:r w:rsidRPr="00EB755D">
        <w:rPr>
          <w:rFonts w:ascii="Times New Roman" w:hAnsi="Times New Roman" w:cs="Times New Roman"/>
          <w:sz w:val="26"/>
          <w:szCs w:val="26"/>
        </w:rPr>
        <w:t>public utility disposition</w:t>
      </w:r>
      <w:r w:rsidR="0002267C">
        <w:rPr>
          <w:rFonts w:ascii="Times New Roman" w:hAnsi="Times New Roman" w:cs="Times New Roman"/>
          <w:sz w:val="26"/>
          <w:szCs w:val="26"/>
        </w:rPr>
        <w:t>s</w:t>
      </w:r>
      <w:r w:rsidRPr="00EB755D">
        <w:rPr>
          <w:rFonts w:ascii="Times New Roman" w:hAnsi="Times New Roman" w:cs="Times New Roman"/>
          <w:sz w:val="26"/>
          <w:szCs w:val="26"/>
        </w:rPr>
        <w:t>, merger</w:t>
      </w:r>
      <w:r w:rsidR="0002267C">
        <w:rPr>
          <w:rFonts w:ascii="Times New Roman" w:hAnsi="Times New Roman" w:cs="Times New Roman"/>
          <w:sz w:val="26"/>
          <w:szCs w:val="26"/>
        </w:rPr>
        <w:t>s</w:t>
      </w:r>
      <w:r w:rsidRPr="00EB755D">
        <w:rPr>
          <w:rFonts w:ascii="Times New Roman" w:hAnsi="Times New Roman" w:cs="Times New Roman"/>
          <w:sz w:val="26"/>
          <w:szCs w:val="26"/>
        </w:rPr>
        <w:t>,</w:t>
      </w:r>
      <w:r w:rsidR="009D5A53">
        <w:rPr>
          <w:rFonts w:ascii="Times New Roman" w:hAnsi="Times New Roman" w:cs="Times New Roman"/>
          <w:sz w:val="26"/>
          <w:szCs w:val="26"/>
        </w:rPr>
        <w:t xml:space="preserve"> </w:t>
      </w:r>
      <w:r w:rsidR="00533CE0">
        <w:rPr>
          <w:rFonts w:ascii="Times New Roman" w:hAnsi="Times New Roman" w:cs="Times New Roman"/>
          <w:sz w:val="26"/>
          <w:szCs w:val="26"/>
        </w:rPr>
        <w:t xml:space="preserve">or </w:t>
      </w:r>
      <w:r w:rsidRPr="00EB755D">
        <w:rPr>
          <w:rFonts w:ascii="Times New Roman" w:hAnsi="Times New Roman" w:cs="Times New Roman"/>
          <w:sz w:val="26"/>
          <w:szCs w:val="26"/>
        </w:rPr>
        <w:t xml:space="preserve">consolidation of facilities, </w:t>
      </w:r>
      <w:r w:rsidR="00533CE0">
        <w:rPr>
          <w:rFonts w:ascii="Times New Roman" w:hAnsi="Times New Roman" w:cs="Times New Roman"/>
          <w:sz w:val="26"/>
          <w:szCs w:val="26"/>
        </w:rPr>
        <w:t>and associated</w:t>
      </w:r>
      <w:r w:rsidRPr="00EB755D">
        <w:rPr>
          <w:rFonts w:ascii="Times New Roman" w:hAnsi="Times New Roman" w:cs="Times New Roman"/>
          <w:sz w:val="26"/>
          <w:szCs w:val="26"/>
        </w:rPr>
        <w:t xml:space="preserve"> oversight and enforcement </w:t>
      </w:r>
      <w:r w:rsidR="0002267C">
        <w:rPr>
          <w:rFonts w:ascii="Times New Roman" w:hAnsi="Times New Roman" w:cs="Times New Roman"/>
          <w:sz w:val="26"/>
          <w:szCs w:val="26"/>
        </w:rPr>
        <w:t xml:space="preserve">responsibilities under </w:t>
      </w:r>
      <w:r w:rsidRPr="00EB755D">
        <w:rPr>
          <w:rFonts w:ascii="Times New Roman" w:hAnsi="Times New Roman" w:cs="Times New Roman"/>
          <w:sz w:val="26"/>
          <w:szCs w:val="26"/>
        </w:rPr>
        <w:t xml:space="preserve">the FPA as referenced above.  </w:t>
      </w:r>
    </w:p>
    <w:p w14:paraId="26866B51" w14:textId="77777777" w:rsidR="00DB1C47" w:rsidRPr="00EB755D" w:rsidRDefault="00DB1C47" w:rsidP="00DB1C47">
      <w:pPr>
        <w:spacing w:after="0" w:line="240" w:lineRule="auto"/>
        <w:rPr>
          <w:rFonts w:ascii="Times New Roman" w:hAnsi="Times New Roman" w:cs="Times New Roman"/>
          <w:sz w:val="26"/>
          <w:szCs w:val="26"/>
        </w:rPr>
      </w:pPr>
    </w:p>
    <w:p w14:paraId="0DCFB6CE" w14:textId="210C119C" w:rsidR="00DB1C47"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The required information</w:t>
      </w:r>
      <w:r w:rsidR="00533CE0">
        <w:rPr>
          <w:rFonts w:ascii="Times New Roman" w:hAnsi="Times New Roman" w:cs="Times New Roman"/>
          <w:sz w:val="26"/>
          <w:szCs w:val="26"/>
        </w:rPr>
        <w:t xml:space="preserve"> to be collected in the notification filing</w:t>
      </w:r>
      <w:r w:rsidR="007F30E8">
        <w:rPr>
          <w:rFonts w:ascii="Times New Roman" w:hAnsi="Times New Roman" w:cs="Times New Roman"/>
          <w:sz w:val="26"/>
          <w:szCs w:val="26"/>
        </w:rPr>
        <w:t xml:space="preserve"> (established by the addition of 18 CFR Part 33.12)</w:t>
      </w:r>
      <w:r w:rsidR="00533CE0">
        <w:rPr>
          <w:rFonts w:ascii="Times New Roman" w:hAnsi="Times New Roman" w:cs="Times New Roman"/>
          <w:sz w:val="26"/>
          <w:szCs w:val="26"/>
        </w:rPr>
        <w:t xml:space="preserve"> for certain transactions</w:t>
      </w:r>
      <w:r w:rsidRPr="00EB755D">
        <w:rPr>
          <w:rFonts w:ascii="Times New Roman" w:hAnsi="Times New Roman" w:cs="Times New Roman"/>
          <w:sz w:val="26"/>
          <w:szCs w:val="26"/>
        </w:rPr>
        <w:t xml:space="preserve"> includes descriptions of corporate attributes of the party or parties to the transaction</w:t>
      </w:r>
      <w:r w:rsidR="00533CE0">
        <w:rPr>
          <w:rFonts w:ascii="Times New Roman" w:hAnsi="Times New Roman" w:cs="Times New Roman"/>
          <w:sz w:val="26"/>
          <w:szCs w:val="26"/>
        </w:rPr>
        <w:t xml:space="preserve"> and the facilities involved.  These transactions are no longer subject to the full FERC-519</w:t>
      </w:r>
      <w:r w:rsidR="00970DCF">
        <w:rPr>
          <w:rFonts w:ascii="Times New Roman" w:hAnsi="Times New Roman" w:cs="Times New Roman"/>
          <w:sz w:val="26"/>
          <w:szCs w:val="26"/>
        </w:rPr>
        <w:t>.</w:t>
      </w:r>
    </w:p>
    <w:p w14:paraId="74A4AF09" w14:textId="77777777" w:rsidR="00DB1C47" w:rsidRPr="00EB755D" w:rsidRDefault="00DB1C47" w:rsidP="00DB1C47">
      <w:pPr>
        <w:spacing w:after="0" w:line="240" w:lineRule="auto"/>
        <w:rPr>
          <w:rFonts w:ascii="Times New Roman" w:hAnsi="Times New Roman" w:cs="Times New Roman"/>
          <w:sz w:val="26"/>
          <w:szCs w:val="26"/>
        </w:rPr>
      </w:pPr>
    </w:p>
    <w:p w14:paraId="6CDBE0EE" w14:textId="0A34A635" w:rsidR="00DB1C47" w:rsidRDefault="009D5A53" w:rsidP="00DB1C47">
      <w:pPr>
        <w:spacing w:after="0" w:line="240" w:lineRule="auto"/>
        <w:rPr>
          <w:rFonts w:ascii="Times New Roman" w:hAnsi="Times New Roman" w:cs="Times New Roman"/>
          <w:sz w:val="26"/>
          <w:szCs w:val="26"/>
        </w:rPr>
      </w:pPr>
      <w:r>
        <w:rPr>
          <w:rFonts w:ascii="Times New Roman" w:hAnsi="Times New Roman" w:cs="Times New Roman"/>
          <w:sz w:val="26"/>
          <w:szCs w:val="26"/>
        </w:rPr>
        <w:t>For the remaining full applications that are not affected by this Final Rule, the</w:t>
      </w:r>
      <w:r w:rsidR="00DB1C47" w:rsidRPr="00EB755D">
        <w:rPr>
          <w:rFonts w:ascii="Times New Roman" w:hAnsi="Times New Roman" w:cs="Times New Roman"/>
          <w:sz w:val="26"/>
          <w:szCs w:val="26"/>
        </w:rPr>
        <w:t>, FERC</w:t>
      </w:r>
      <w:r w:rsidR="00EA1CB5">
        <w:rPr>
          <w:rFonts w:ascii="Times New Roman" w:hAnsi="Times New Roman" w:cs="Times New Roman"/>
          <w:sz w:val="26"/>
          <w:szCs w:val="26"/>
        </w:rPr>
        <w:t>’</w:t>
      </w:r>
      <w:r w:rsidR="00DB1C47" w:rsidRPr="00EB755D">
        <w:rPr>
          <w:rFonts w:ascii="Times New Roman" w:hAnsi="Times New Roman" w:cs="Times New Roman"/>
          <w:sz w:val="26"/>
          <w:szCs w:val="26"/>
        </w:rPr>
        <w:t xml:space="preserve">s regulations </w:t>
      </w:r>
      <w:r>
        <w:rPr>
          <w:rFonts w:ascii="Times New Roman" w:hAnsi="Times New Roman" w:cs="Times New Roman"/>
          <w:sz w:val="26"/>
          <w:szCs w:val="26"/>
        </w:rPr>
        <w:t xml:space="preserve">will continue to </w:t>
      </w:r>
      <w:r w:rsidR="00DB1C47" w:rsidRPr="00EB755D">
        <w:rPr>
          <w:rFonts w:ascii="Times New Roman" w:hAnsi="Times New Roman" w:cs="Times New Roman"/>
          <w:sz w:val="26"/>
          <w:szCs w:val="26"/>
        </w:rPr>
        <w:t>require jurisdictional companies to</w:t>
      </w:r>
      <w:r>
        <w:rPr>
          <w:rFonts w:ascii="Times New Roman" w:hAnsi="Times New Roman" w:cs="Times New Roman"/>
          <w:sz w:val="26"/>
          <w:szCs w:val="26"/>
        </w:rPr>
        <w:t>:</w:t>
      </w:r>
      <w:r w:rsidR="005C0DAE">
        <w:rPr>
          <w:rFonts w:ascii="Times New Roman" w:hAnsi="Times New Roman" w:cs="Times New Roman"/>
          <w:sz w:val="26"/>
          <w:szCs w:val="26"/>
        </w:rPr>
        <w:t xml:space="preserve"> </w:t>
      </w:r>
    </w:p>
    <w:p w14:paraId="670C4A36" w14:textId="77777777" w:rsidR="00970DCF" w:rsidRPr="00EB755D" w:rsidRDefault="00970DCF" w:rsidP="00DB1C47">
      <w:pPr>
        <w:spacing w:after="0" w:line="240" w:lineRule="auto"/>
        <w:rPr>
          <w:rFonts w:ascii="Times New Roman" w:hAnsi="Times New Roman" w:cs="Times New Roman"/>
          <w:sz w:val="26"/>
          <w:szCs w:val="26"/>
        </w:rPr>
      </w:pPr>
    </w:p>
    <w:p w14:paraId="4A51039F" w14:textId="461D51FB"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w:t>
      </w:r>
      <w:r w:rsidRPr="00EB755D">
        <w:rPr>
          <w:rFonts w:ascii="Times New Roman" w:hAnsi="Times New Roman" w:cs="Times New Roman"/>
          <w:sz w:val="26"/>
          <w:szCs w:val="26"/>
        </w:rPr>
        <w:tab/>
        <w:t>Corporate</w:t>
      </w:r>
      <w:r w:rsidR="007F30E8">
        <w:rPr>
          <w:rFonts w:ascii="Times New Roman" w:hAnsi="Times New Roman" w:cs="Times New Roman"/>
          <w:sz w:val="26"/>
          <w:szCs w:val="26"/>
        </w:rPr>
        <w:t>;</w:t>
      </w:r>
    </w:p>
    <w:p w14:paraId="2104B9AA" w14:textId="6DDEDE07"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w:t>
      </w:r>
      <w:r w:rsidRPr="00EB755D">
        <w:rPr>
          <w:rFonts w:ascii="Times New Roman" w:hAnsi="Times New Roman" w:cs="Times New Roman"/>
          <w:sz w:val="26"/>
          <w:szCs w:val="26"/>
        </w:rPr>
        <w:tab/>
        <w:t>Information Technology Management</w:t>
      </w:r>
      <w:r w:rsidR="007F30E8">
        <w:rPr>
          <w:rFonts w:ascii="Times New Roman" w:hAnsi="Times New Roman" w:cs="Times New Roman"/>
          <w:sz w:val="26"/>
          <w:szCs w:val="26"/>
        </w:rPr>
        <w:t>;</w:t>
      </w:r>
    </w:p>
    <w:p w14:paraId="4D536C80" w14:textId="19F89633"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w:t>
      </w:r>
      <w:r w:rsidRPr="00EB755D">
        <w:rPr>
          <w:rFonts w:ascii="Times New Roman" w:hAnsi="Times New Roman" w:cs="Times New Roman"/>
          <w:sz w:val="26"/>
          <w:szCs w:val="26"/>
        </w:rPr>
        <w:tab/>
        <w:t>General Accounting</w:t>
      </w:r>
      <w:r w:rsidR="007F30E8">
        <w:rPr>
          <w:rFonts w:ascii="Times New Roman" w:hAnsi="Times New Roman" w:cs="Times New Roman"/>
          <w:sz w:val="26"/>
          <w:szCs w:val="26"/>
        </w:rPr>
        <w:t>;</w:t>
      </w:r>
    </w:p>
    <w:p w14:paraId="147637C1" w14:textId="70A6EC7B"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w:t>
      </w:r>
      <w:r w:rsidRPr="00EB755D">
        <w:rPr>
          <w:rFonts w:ascii="Times New Roman" w:hAnsi="Times New Roman" w:cs="Times New Roman"/>
          <w:sz w:val="26"/>
          <w:szCs w:val="26"/>
        </w:rPr>
        <w:tab/>
        <w:t>Personnel and Payroll</w:t>
      </w:r>
      <w:r w:rsidR="007F30E8">
        <w:rPr>
          <w:rFonts w:ascii="Times New Roman" w:hAnsi="Times New Roman" w:cs="Times New Roman"/>
          <w:sz w:val="26"/>
          <w:szCs w:val="26"/>
        </w:rPr>
        <w:t>;</w:t>
      </w:r>
    </w:p>
    <w:p w14:paraId="1645A502" w14:textId="4ECB0F3D"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w:t>
      </w:r>
      <w:r w:rsidRPr="00EB755D">
        <w:rPr>
          <w:rFonts w:ascii="Times New Roman" w:hAnsi="Times New Roman" w:cs="Times New Roman"/>
          <w:sz w:val="26"/>
          <w:szCs w:val="26"/>
        </w:rPr>
        <w:tab/>
        <w:t>Transportation</w:t>
      </w:r>
      <w:r w:rsidR="007F30E8">
        <w:rPr>
          <w:rFonts w:ascii="Times New Roman" w:hAnsi="Times New Roman" w:cs="Times New Roman"/>
          <w:sz w:val="26"/>
          <w:szCs w:val="26"/>
        </w:rPr>
        <w:t>;</w:t>
      </w:r>
    </w:p>
    <w:p w14:paraId="08D7F28E" w14:textId="5F146802"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w:t>
      </w:r>
      <w:r w:rsidRPr="00EB755D">
        <w:rPr>
          <w:rFonts w:ascii="Times New Roman" w:hAnsi="Times New Roman" w:cs="Times New Roman"/>
          <w:sz w:val="26"/>
          <w:szCs w:val="26"/>
        </w:rPr>
        <w:tab/>
        <w:t>Tariffs and Rates</w:t>
      </w:r>
      <w:r w:rsidR="007F30E8">
        <w:rPr>
          <w:rFonts w:ascii="Times New Roman" w:hAnsi="Times New Roman" w:cs="Times New Roman"/>
          <w:sz w:val="26"/>
          <w:szCs w:val="26"/>
        </w:rPr>
        <w:t>;</w:t>
      </w:r>
    </w:p>
    <w:p w14:paraId="5F80E73C" w14:textId="2CE6EE31"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w:t>
      </w:r>
      <w:r w:rsidRPr="00EB755D">
        <w:rPr>
          <w:rFonts w:ascii="Times New Roman" w:hAnsi="Times New Roman" w:cs="Times New Roman"/>
          <w:sz w:val="26"/>
          <w:szCs w:val="26"/>
        </w:rPr>
        <w:tab/>
        <w:t>Insurance</w:t>
      </w:r>
      <w:r w:rsidR="007F30E8">
        <w:rPr>
          <w:rFonts w:ascii="Times New Roman" w:hAnsi="Times New Roman" w:cs="Times New Roman"/>
          <w:sz w:val="26"/>
          <w:szCs w:val="26"/>
        </w:rPr>
        <w:t>;</w:t>
      </w:r>
    </w:p>
    <w:p w14:paraId="6F33C4BB" w14:textId="324CA2FF"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w:t>
      </w:r>
      <w:r w:rsidRPr="00EB755D">
        <w:rPr>
          <w:rFonts w:ascii="Times New Roman" w:hAnsi="Times New Roman" w:cs="Times New Roman"/>
          <w:sz w:val="26"/>
          <w:szCs w:val="26"/>
        </w:rPr>
        <w:tab/>
        <w:t>Operations and Maintenance</w:t>
      </w:r>
      <w:r w:rsidR="007F30E8">
        <w:rPr>
          <w:rFonts w:ascii="Times New Roman" w:hAnsi="Times New Roman" w:cs="Times New Roman"/>
          <w:sz w:val="26"/>
          <w:szCs w:val="26"/>
        </w:rPr>
        <w:t>;</w:t>
      </w:r>
    </w:p>
    <w:p w14:paraId="300F3544" w14:textId="4115D845"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w:t>
      </w:r>
      <w:r w:rsidRPr="00EB755D">
        <w:rPr>
          <w:rFonts w:ascii="Times New Roman" w:hAnsi="Times New Roman" w:cs="Times New Roman"/>
          <w:sz w:val="26"/>
          <w:szCs w:val="26"/>
        </w:rPr>
        <w:tab/>
        <w:t>Plant and Depreciation</w:t>
      </w:r>
      <w:r w:rsidR="007F30E8">
        <w:rPr>
          <w:rFonts w:ascii="Times New Roman" w:hAnsi="Times New Roman" w:cs="Times New Roman"/>
          <w:sz w:val="26"/>
          <w:szCs w:val="26"/>
        </w:rPr>
        <w:t>;</w:t>
      </w:r>
    </w:p>
    <w:p w14:paraId="527B4AF1" w14:textId="7E169B6A"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w:t>
      </w:r>
      <w:r w:rsidRPr="00EB755D">
        <w:rPr>
          <w:rFonts w:ascii="Times New Roman" w:hAnsi="Times New Roman" w:cs="Times New Roman"/>
          <w:sz w:val="26"/>
          <w:szCs w:val="26"/>
        </w:rPr>
        <w:tab/>
        <w:t>Purchase and Stores</w:t>
      </w:r>
      <w:r w:rsidR="007F30E8">
        <w:rPr>
          <w:rFonts w:ascii="Times New Roman" w:hAnsi="Times New Roman" w:cs="Times New Roman"/>
          <w:sz w:val="26"/>
          <w:szCs w:val="26"/>
        </w:rPr>
        <w:t>;</w:t>
      </w:r>
    </w:p>
    <w:p w14:paraId="5EF6E633" w14:textId="4455353B"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w:t>
      </w:r>
      <w:r w:rsidRPr="00EB755D">
        <w:rPr>
          <w:rFonts w:ascii="Times New Roman" w:hAnsi="Times New Roman" w:cs="Times New Roman"/>
          <w:sz w:val="26"/>
          <w:szCs w:val="26"/>
        </w:rPr>
        <w:tab/>
        <w:t>Revenue Accounting and Collection</w:t>
      </w:r>
      <w:r w:rsidR="007F30E8">
        <w:rPr>
          <w:rFonts w:ascii="Times New Roman" w:hAnsi="Times New Roman" w:cs="Times New Roman"/>
          <w:sz w:val="26"/>
          <w:szCs w:val="26"/>
        </w:rPr>
        <w:t>;</w:t>
      </w:r>
    </w:p>
    <w:p w14:paraId="40EA2CE3" w14:textId="13E7FEDD"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w:t>
      </w:r>
      <w:r w:rsidRPr="00EB755D">
        <w:rPr>
          <w:rFonts w:ascii="Times New Roman" w:hAnsi="Times New Roman" w:cs="Times New Roman"/>
          <w:sz w:val="26"/>
          <w:szCs w:val="26"/>
        </w:rPr>
        <w:tab/>
        <w:t>Tax</w:t>
      </w:r>
      <w:r w:rsidR="007F30E8">
        <w:rPr>
          <w:rFonts w:ascii="Times New Roman" w:hAnsi="Times New Roman" w:cs="Times New Roman"/>
          <w:sz w:val="26"/>
          <w:szCs w:val="26"/>
        </w:rPr>
        <w:t>;</w:t>
      </w:r>
    </w:p>
    <w:p w14:paraId="72C8CBB1" w14:textId="333EF178"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w:t>
      </w:r>
      <w:r w:rsidRPr="00EB755D">
        <w:rPr>
          <w:rFonts w:ascii="Times New Roman" w:hAnsi="Times New Roman" w:cs="Times New Roman"/>
          <w:sz w:val="26"/>
          <w:szCs w:val="26"/>
        </w:rPr>
        <w:tab/>
        <w:t>Treasury</w:t>
      </w:r>
      <w:r w:rsidR="007F30E8">
        <w:rPr>
          <w:rFonts w:ascii="Times New Roman" w:hAnsi="Times New Roman" w:cs="Times New Roman"/>
          <w:sz w:val="26"/>
          <w:szCs w:val="26"/>
        </w:rPr>
        <w:t>; and</w:t>
      </w:r>
    </w:p>
    <w:p w14:paraId="1C3B2D3B" w14:textId="10C24909"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w:t>
      </w:r>
      <w:r w:rsidRPr="00EB755D">
        <w:rPr>
          <w:rFonts w:ascii="Times New Roman" w:hAnsi="Times New Roman" w:cs="Times New Roman"/>
          <w:sz w:val="26"/>
          <w:szCs w:val="26"/>
        </w:rPr>
        <w:tab/>
        <w:t>Miscellaneous</w:t>
      </w:r>
      <w:r w:rsidR="007F30E8">
        <w:rPr>
          <w:rFonts w:ascii="Times New Roman" w:hAnsi="Times New Roman" w:cs="Times New Roman"/>
          <w:sz w:val="26"/>
          <w:szCs w:val="26"/>
        </w:rPr>
        <w:t>.</w:t>
      </w:r>
    </w:p>
    <w:p w14:paraId="2542E183" w14:textId="77777777" w:rsidR="00DB1C47" w:rsidRPr="00EB755D" w:rsidRDefault="00DB1C47" w:rsidP="00DB1C47">
      <w:pPr>
        <w:spacing w:after="0" w:line="240" w:lineRule="auto"/>
        <w:rPr>
          <w:rFonts w:ascii="Times New Roman" w:hAnsi="Times New Roman" w:cs="Times New Roman"/>
          <w:sz w:val="26"/>
          <w:szCs w:val="26"/>
        </w:rPr>
      </w:pPr>
    </w:p>
    <w:p w14:paraId="11D23775" w14:textId="77777777" w:rsidR="00DB1C47" w:rsidRPr="00EB755D" w:rsidRDefault="00DB1C47" w:rsidP="00DB1C47">
      <w:pPr>
        <w:pStyle w:val="ListParagraph"/>
        <w:numPr>
          <w:ilvl w:val="0"/>
          <w:numId w:val="1"/>
        </w:numPr>
        <w:spacing w:after="0" w:line="240" w:lineRule="auto"/>
        <w:ind w:left="360"/>
        <w:rPr>
          <w:rFonts w:ascii="Times New Roman" w:hAnsi="Times New Roman" w:cs="Times New Roman"/>
          <w:b/>
          <w:sz w:val="26"/>
          <w:szCs w:val="26"/>
        </w:rPr>
      </w:pPr>
      <w:r w:rsidRPr="00EB755D">
        <w:rPr>
          <w:rFonts w:ascii="Times New Roman" w:hAnsi="Times New Roman" w:cs="Times New Roman"/>
          <w:b/>
          <w:sz w:val="26"/>
          <w:szCs w:val="26"/>
        </w:rPr>
        <w:t>DESCRIBE ANY CONSIDERATION OF THE USE OF IMPROVED INFORMATION TECHNOLOGY TO REDUCE THE BURDEN AND TECHNICAL OR LEGAL OBSTACLES TO REDUCING BURDEN</w:t>
      </w:r>
    </w:p>
    <w:p w14:paraId="48A64750" w14:textId="77777777" w:rsidR="00DB1C47" w:rsidRPr="00EB755D" w:rsidRDefault="00DB1C47" w:rsidP="00DB1C47">
      <w:pPr>
        <w:spacing w:after="0" w:line="240" w:lineRule="auto"/>
        <w:rPr>
          <w:rFonts w:ascii="Times New Roman" w:hAnsi="Times New Roman" w:cs="Times New Roman"/>
          <w:sz w:val="26"/>
          <w:szCs w:val="26"/>
        </w:rPr>
      </w:pPr>
    </w:p>
    <w:p w14:paraId="2E0AB0AA" w14:textId="77777777"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The Commission implemented the capability and requi</w:t>
      </w:r>
      <w:r>
        <w:rPr>
          <w:rFonts w:ascii="Times New Roman" w:hAnsi="Times New Roman" w:cs="Times New Roman"/>
          <w:sz w:val="26"/>
          <w:szCs w:val="26"/>
        </w:rPr>
        <w:t>rement for filing FERC-519 in various formats</w:t>
      </w:r>
      <w:r w:rsidRPr="00EB755D">
        <w:rPr>
          <w:rFonts w:ascii="Times New Roman" w:hAnsi="Times New Roman" w:cs="Times New Roman"/>
          <w:sz w:val="26"/>
          <w:szCs w:val="26"/>
        </w:rPr>
        <w:t xml:space="preserve"> including </w:t>
      </w:r>
      <w:r>
        <w:rPr>
          <w:rFonts w:ascii="Times New Roman" w:hAnsi="Times New Roman" w:cs="Times New Roman"/>
          <w:sz w:val="26"/>
          <w:szCs w:val="26"/>
        </w:rPr>
        <w:t>the capability of</w:t>
      </w:r>
      <w:r w:rsidRPr="00EB755D">
        <w:rPr>
          <w:rFonts w:ascii="Times New Roman" w:hAnsi="Times New Roman" w:cs="Times New Roman"/>
          <w:sz w:val="26"/>
          <w:szCs w:val="26"/>
        </w:rPr>
        <w:t xml:space="preserve"> electronic </w:t>
      </w:r>
      <w:r>
        <w:rPr>
          <w:rFonts w:ascii="Times New Roman" w:hAnsi="Times New Roman" w:cs="Times New Roman"/>
          <w:sz w:val="26"/>
          <w:szCs w:val="26"/>
        </w:rPr>
        <w:t xml:space="preserve">filing via </w:t>
      </w:r>
      <w:hyperlink r:id="rId14" w:history="1">
        <w:r w:rsidRPr="00AC629E">
          <w:rPr>
            <w:rStyle w:val="Hyperlink"/>
            <w:rFonts w:ascii="Times New Roman" w:hAnsi="Times New Roman" w:cs="Times New Roman"/>
            <w:sz w:val="26"/>
            <w:szCs w:val="26"/>
          </w:rPr>
          <w:t>eFiling</w:t>
        </w:r>
      </w:hyperlink>
      <w:r>
        <w:rPr>
          <w:rFonts w:ascii="Times New Roman" w:hAnsi="Times New Roman" w:cs="Times New Roman"/>
          <w:sz w:val="26"/>
          <w:szCs w:val="26"/>
        </w:rPr>
        <w:t xml:space="preserve"> on FERC’s webpage</w:t>
      </w:r>
      <w:r w:rsidRPr="00EB755D">
        <w:rPr>
          <w:rFonts w:ascii="Times New Roman" w:hAnsi="Times New Roman" w:cs="Times New Roman"/>
          <w:sz w:val="26"/>
          <w:szCs w:val="26"/>
        </w:rPr>
        <w:t xml:space="preserve">. </w:t>
      </w:r>
    </w:p>
    <w:p w14:paraId="6B28331C" w14:textId="77777777" w:rsidR="00DB1C47" w:rsidRPr="00EB755D" w:rsidRDefault="00DB1C47" w:rsidP="00DB1C47">
      <w:pPr>
        <w:spacing w:after="0" w:line="240" w:lineRule="auto"/>
        <w:rPr>
          <w:rFonts w:ascii="Times New Roman" w:hAnsi="Times New Roman" w:cs="Times New Roman"/>
          <w:sz w:val="26"/>
          <w:szCs w:val="26"/>
        </w:rPr>
      </w:pPr>
    </w:p>
    <w:p w14:paraId="003DB2B6" w14:textId="77777777" w:rsidR="00DB1C47" w:rsidRPr="00EB755D" w:rsidRDefault="00DB1C47" w:rsidP="00EA1CB5">
      <w:pPr>
        <w:pStyle w:val="ListParagraph"/>
        <w:keepNext/>
        <w:keepLines/>
        <w:numPr>
          <w:ilvl w:val="0"/>
          <w:numId w:val="1"/>
        </w:numPr>
        <w:spacing w:after="0" w:line="240" w:lineRule="auto"/>
        <w:ind w:left="360"/>
        <w:rPr>
          <w:rFonts w:ascii="Times New Roman" w:hAnsi="Times New Roman" w:cs="Times New Roman"/>
          <w:b/>
          <w:sz w:val="26"/>
          <w:szCs w:val="26"/>
        </w:rPr>
      </w:pPr>
      <w:r w:rsidRPr="00EB755D">
        <w:rPr>
          <w:rFonts w:ascii="Times New Roman" w:hAnsi="Times New Roman" w:cs="Times New Roman"/>
          <w:b/>
          <w:sz w:val="26"/>
          <w:szCs w:val="26"/>
        </w:rPr>
        <w:lastRenderedPageBreak/>
        <w:t>DESCRIBE EFFORTS TO IDENTIFY DUPLICATION AND SHOW SPECIFICALLY WHY ANY SIMILAR INFORMATION ALREADY AVAILABLE CANNOT BE USED OR MODIFIED FOR USE FOR THE PURPOSE(S) DESCRIBED IN INSTRUCTION NO. 2</w:t>
      </w:r>
    </w:p>
    <w:p w14:paraId="59FD9535" w14:textId="77777777" w:rsidR="00DB1C47" w:rsidRPr="00EB755D" w:rsidRDefault="00DB1C47" w:rsidP="00EA1CB5">
      <w:pPr>
        <w:keepNext/>
        <w:keepLines/>
        <w:spacing w:after="0" w:line="240" w:lineRule="auto"/>
        <w:rPr>
          <w:rFonts w:ascii="Times New Roman" w:hAnsi="Times New Roman" w:cs="Times New Roman"/>
          <w:sz w:val="26"/>
          <w:szCs w:val="26"/>
        </w:rPr>
      </w:pPr>
    </w:p>
    <w:p w14:paraId="7051E8B8" w14:textId="087899D7" w:rsidR="00DB1C47" w:rsidRDefault="00DB1C47" w:rsidP="00EA1CB5">
      <w:pPr>
        <w:keepLines/>
        <w:spacing w:after="0" w:line="240" w:lineRule="auto"/>
        <w:rPr>
          <w:rFonts w:ascii="Times New Roman" w:hAnsi="Times New Roman" w:cs="Times New Roman"/>
          <w:sz w:val="26"/>
          <w:szCs w:val="26"/>
        </w:rPr>
      </w:pPr>
      <w:r w:rsidRPr="00EB755D">
        <w:rPr>
          <w:rFonts w:ascii="Times New Roman" w:hAnsi="Times New Roman" w:cs="Times New Roman"/>
          <w:sz w:val="26"/>
          <w:szCs w:val="26"/>
        </w:rPr>
        <w:t>Commission filings and data requirements are periodically reviewed in conjunction with OMB clearance expiration dates.  This includes a review of the Commission’s regulations and data requirements to identify duplication.  No duplication of the</w:t>
      </w:r>
      <w:r w:rsidR="007F30E8">
        <w:rPr>
          <w:rFonts w:ascii="Times New Roman" w:hAnsi="Times New Roman" w:cs="Times New Roman"/>
          <w:sz w:val="26"/>
          <w:szCs w:val="26"/>
        </w:rPr>
        <w:t xml:space="preserve"> FERC-519</w:t>
      </w:r>
      <w:r w:rsidRPr="00EB755D">
        <w:rPr>
          <w:rFonts w:ascii="Times New Roman" w:hAnsi="Times New Roman" w:cs="Times New Roman"/>
          <w:sz w:val="26"/>
          <w:szCs w:val="26"/>
        </w:rPr>
        <w:t xml:space="preserve"> information collection requirements has been found.</w:t>
      </w:r>
      <w:r w:rsidR="00533CE0">
        <w:rPr>
          <w:rFonts w:ascii="Times New Roman" w:hAnsi="Times New Roman" w:cs="Times New Roman"/>
          <w:sz w:val="26"/>
          <w:szCs w:val="26"/>
        </w:rPr>
        <w:t xml:space="preserve"> In addition, the changes to filing requirements discussed herein are required by Congress.</w:t>
      </w:r>
    </w:p>
    <w:p w14:paraId="1159DA9A" w14:textId="77777777" w:rsidR="00DB1C47" w:rsidRPr="00EB755D" w:rsidRDefault="00DB1C47" w:rsidP="00DB1C47">
      <w:pPr>
        <w:spacing w:after="0" w:line="240" w:lineRule="auto"/>
        <w:rPr>
          <w:rFonts w:ascii="Times New Roman" w:hAnsi="Times New Roman" w:cs="Times New Roman"/>
          <w:sz w:val="26"/>
          <w:szCs w:val="26"/>
        </w:rPr>
      </w:pPr>
    </w:p>
    <w:p w14:paraId="3F23EDE2" w14:textId="77777777" w:rsidR="00DB1C47" w:rsidRPr="00EB755D" w:rsidRDefault="00DB1C47" w:rsidP="00DB1C47">
      <w:pPr>
        <w:pStyle w:val="ListParagraph"/>
        <w:numPr>
          <w:ilvl w:val="0"/>
          <w:numId w:val="1"/>
        </w:numPr>
        <w:spacing w:after="0" w:line="240" w:lineRule="auto"/>
        <w:ind w:left="360"/>
        <w:rPr>
          <w:rFonts w:ascii="Times New Roman" w:hAnsi="Times New Roman" w:cs="Times New Roman"/>
          <w:b/>
          <w:sz w:val="26"/>
          <w:szCs w:val="26"/>
        </w:rPr>
      </w:pPr>
      <w:r w:rsidRPr="00EB755D">
        <w:rPr>
          <w:rFonts w:ascii="Times New Roman" w:hAnsi="Times New Roman" w:cs="Times New Roman"/>
          <w:b/>
          <w:sz w:val="26"/>
          <w:szCs w:val="26"/>
        </w:rPr>
        <w:t>METHODS USED TO MINIMIZE THE BURDEN IN COLLECTION OF INFORMATION INVOLVING SMALL ENTITIES</w:t>
      </w:r>
    </w:p>
    <w:p w14:paraId="6069C9D2" w14:textId="77777777" w:rsidR="00DB1C47" w:rsidRPr="00EB755D" w:rsidRDefault="00DB1C47" w:rsidP="00DB1C47">
      <w:pPr>
        <w:spacing w:after="0" w:line="240" w:lineRule="auto"/>
        <w:rPr>
          <w:rFonts w:ascii="Times New Roman" w:hAnsi="Times New Roman" w:cs="Times New Roman"/>
          <w:sz w:val="26"/>
          <w:szCs w:val="26"/>
        </w:rPr>
      </w:pPr>
    </w:p>
    <w:p w14:paraId="55706B82" w14:textId="0E85EE56"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The</w:t>
      </w:r>
      <w:r>
        <w:rPr>
          <w:rFonts w:ascii="Times New Roman" w:hAnsi="Times New Roman" w:cs="Times New Roman"/>
          <w:sz w:val="26"/>
          <w:szCs w:val="26"/>
        </w:rPr>
        <w:t xml:space="preserve"> Small Business Administration</w:t>
      </w:r>
      <w:r w:rsidRPr="00EB755D">
        <w:rPr>
          <w:rFonts w:ascii="Times New Roman" w:hAnsi="Times New Roman" w:cs="Times New Roman"/>
          <w:sz w:val="26"/>
          <w:szCs w:val="26"/>
        </w:rPr>
        <w:t xml:space="preserve"> (SBA) Office of Size Standards develops the numerical definition of a small entity.  These standards are provided in the SBA regul</w:t>
      </w:r>
      <w:r>
        <w:rPr>
          <w:rFonts w:ascii="Times New Roman" w:hAnsi="Times New Roman" w:cs="Times New Roman"/>
          <w:sz w:val="26"/>
          <w:szCs w:val="26"/>
        </w:rPr>
        <w:t>ations at 13 CFR 121.201</w:t>
      </w:r>
      <w:r w:rsidR="00DE246B">
        <w:rPr>
          <w:rFonts w:ascii="Times New Roman" w:hAnsi="Times New Roman" w:cs="Times New Roman"/>
          <w:sz w:val="26"/>
          <w:szCs w:val="26"/>
        </w:rPr>
        <w:t>.</w:t>
      </w:r>
      <w:r w:rsidRPr="00AC629E">
        <w:rPr>
          <w:rFonts w:ascii="Times New Roman" w:hAnsi="Times New Roman" w:cs="Times New Roman"/>
          <w:sz w:val="26"/>
          <w:szCs w:val="26"/>
          <w:vertAlign w:val="superscript"/>
        </w:rPr>
        <w:footnoteReference w:id="3"/>
      </w:r>
      <w:r>
        <w:rPr>
          <w:rFonts w:ascii="Times New Roman" w:hAnsi="Times New Roman" w:cs="Times New Roman"/>
          <w:sz w:val="26"/>
          <w:szCs w:val="26"/>
        </w:rPr>
        <w:t> </w:t>
      </w:r>
      <w:r w:rsidR="00DE246B">
        <w:rPr>
          <w:rFonts w:ascii="Times New Roman" w:hAnsi="Times New Roman" w:cs="Times New Roman"/>
          <w:sz w:val="26"/>
          <w:szCs w:val="26"/>
        </w:rPr>
        <w:t xml:space="preserve"> </w:t>
      </w:r>
      <w:r w:rsidR="00D70CFB">
        <w:rPr>
          <w:rFonts w:ascii="Times New Roman" w:hAnsi="Times New Roman" w:cs="Times New Roman"/>
          <w:sz w:val="26"/>
          <w:szCs w:val="26"/>
        </w:rPr>
        <w:t xml:space="preserve"> In </w:t>
      </w:r>
      <w:r w:rsidR="00D70CFB" w:rsidRPr="00D70CFB">
        <w:rPr>
          <w:rFonts w:ascii="Times New Roman" w:hAnsi="Times New Roman" w:cs="Times New Roman"/>
          <w:sz w:val="26"/>
          <w:szCs w:val="26"/>
        </w:rPr>
        <w:t>Sector 22 (Utilities), NAICS code 221121 (Electric Bulk Power Transmission and Control)</w:t>
      </w:r>
      <w:r w:rsidR="00C33D27">
        <w:rPr>
          <w:rFonts w:ascii="Times New Roman" w:hAnsi="Times New Roman" w:cs="Times New Roman"/>
          <w:sz w:val="26"/>
          <w:szCs w:val="26"/>
        </w:rPr>
        <w:t>, at 500 employeees</w:t>
      </w:r>
      <w:r w:rsidR="00D70CFB" w:rsidRPr="00D70CFB">
        <w:rPr>
          <w:rFonts w:ascii="Times New Roman" w:hAnsi="Times New Roman" w:cs="Times New Roman"/>
          <w:sz w:val="26"/>
          <w:szCs w:val="26"/>
        </w:rPr>
        <w:t>.</w:t>
      </w:r>
      <w:r w:rsidR="00D70CFB">
        <w:rPr>
          <w:rFonts w:ascii="Times New Roman" w:hAnsi="Times New Roman" w:cs="Times New Roman"/>
          <w:sz w:val="26"/>
          <w:szCs w:val="26"/>
        </w:rPr>
        <w:t xml:space="preserve"> </w:t>
      </w:r>
    </w:p>
    <w:p w14:paraId="54D93B7C" w14:textId="77777777" w:rsidR="00DB1C47" w:rsidRPr="00EB755D" w:rsidRDefault="00DB1C47" w:rsidP="00DB1C47">
      <w:pPr>
        <w:spacing w:after="0" w:line="240" w:lineRule="auto"/>
        <w:rPr>
          <w:rFonts w:ascii="Times New Roman" w:hAnsi="Times New Roman" w:cs="Times New Roman"/>
          <w:sz w:val="26"/>
          <w:szCs w:val="26"/>
        </w:rPr>
      </w:pPr>
    </w:p>
    <w:p w14:paraId="2CCBD50C" w14:textId="77777777"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Small entities will typically not be affected by this rulemaking.  Small entities are generally not in a position to file a FERC-519.  However, the Commission does consider waivers for small entities, which serves as an option for small entities to reduce their burden.  The Commission grants these waivers on a case-by-case basis.</w:t>
      </w:r>
    </w:p>
    <w:p w14:paraId="22B8EE66" w14:textId="77777777" w:rsidR="00DB1C47" w:rsidRPr="00EB755D" w:rsidRDefault="00DB1C47" w:rsidP="00DB1C47">
      <w:pPr>
        <w:spacing w:after="0" w:line="240" w:lineRule="auto"/>
        <w:rPr>
          <w:rFonts w:ascii="Times New Roman" w:hAnsi="Times New Roman" w:cs="Times New Roman"/>
          <w:sz w:val="26"/>
          <w:szCs w:val="26"/>
        </w:rPr>
      </w:pPr>
    </w:p>
    <w:p w14:paraId="2B9E8C02" w14:textId="77777777" w:rsidR="00DB1C47" w:rsidRPr="00EB755D" w:rsidRDefault="00DB1C47" w:rsidP="00DB1C47">
      <w:pPr>
        <w:pStyle w:val="ListParagraph"/>
        <w:numPr>
          <w:ilvl w:val="0"/>
          <w:numId w:val="1"/>
        </w:numPr>
        <w:spacing w:after="0" w:line="240" w:lineRule="auto"/>
        <w:ind w:left="360"/>
        <w:rPr>
          <w:rFonts w:ascii="Times New Roman" w:hAnsi="Times New Roman" w:cs="Times New Roman"/>
          <w:b/>
          <w:sz w:val="26"/>
          <w:szCs w:val="26"/>
        </w:rPr>
      </w:pPr>
      <w:r w:rsidRPr="00EB755D">
        <w:rPr>
          <w:rFonts w:ascii="Times New Roman" w:hAnsi="Times New Roman" w:cs="Times New Roman"/>
          <w:b/>
          <w:sz w:val="26"/>
          <w:szCs w:val="26"/>
        </w:rPr>
        <w:t>CONSEQUENCE TO FEDERAL PROGRAM IF COLLECTION WERE CONDUCTED LESS FREQUENTLY</w:t>
      </w:r>
    </w:p>
    <w:p w14:paraId="7C6DF11B" w14:textId="77777777" w:rsidR="00DB1C47" w:rsidRPr="00EB755D" w:rsidRDefault="00DB1C47" w:rsidP="00DB1C47">
      <w:pPr>
        <w:spacing w:after="0" w:line="240" w:lineRule="auto"/>
        <w:rPr>
          <w:rFonts w:ascii="Times New Roman" w:hAnsi="Times New Roman" w:cs="Times New Roman"/>
          <w:b/>
          <w:sz w:val="26"/>
          <w:szCs w:val="26"/>
        </w:rPr>
      </w:pPr>
    </w:p>
    <w:p w14:paraId="20C7847C" w14:textId="77777777" w:rsidR="00977E63"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 xml:space="preserve">FPA </w:t>
      </w:r>
      <w:r w:rsidR="00EA1CB5">
        <w:rPr>
          <w:rFonts w:ascii="Times New Roman" w:hAnsi="Times New Roman" w:cs="Times New Roman"/>
          <w:sz w:val="26"/>
          <w:szCs w:val="26"/>
        </w:rPr>
        <w:t>s</w:t>
      </w:r>
      <w:r w:rsidRPr="00EB755D">
        <w:rPr>
          <w:rFonts w:ascii="Times New Roman" w:hAnsi="Times New Roman" w:cs="Times New Roman"/>
          <w:sz w:val="26"/>
          <w:szCs w:val="26"/>
        </w:rPr>
        <w:t>ection 203 requires a filing on the occasion that a public utility proposes to dispose of jurisdictional facilities, merge such facilities, or acquire the securities of another public utility.  If the collection was not conducted before the proposed transaction was consummated, the Commission would be unable to perform its mandated oversight and review responsibilities with respect to facilities, mergers and securities transactions.</w:t>
      </w:r>
      <w:r w:rsidR="00755646">
        <w:rPr>
          <w:rFonts w:ascii="Times New Roman" w:hAnsi="Times New Roman" w:cs="Times New Roman"/>
          <w:sz w:val="26"/>
          <w:szCs w:val="26"/>
        </w:rPr>
        <w:t xml:space="preserve">  </w:t>
      </w:r>
    </w:p>
    <w:p w14:paraId="21323D46" w14:textId="77777777" w:rsidR="00977E63" w:rsidRDefault="00977E63" w:rsidP="00DB1C47">
      <w:pPr>
        <w:spacing w:after="0" w:line="240" w:lineRule="auto"/>
        <w:rPr>
          <w:rFonts w:ascii="Times New Roman" w:hAnsi="Times New Roman" w:cs="Times New Roman"/>
          <w:sz w:val="26"/>
          <w:szCs w:val="26"/>
        </w:rPr>
      </w:pPr>
    </w:p>
    <w:p w14:paraId="1F657110" w14:textId="636BDBB8" w:rsidR="00DB1C47" w:rsidRDefault="00977E63" w:rsidP="00DB1C4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information collection changes apply to transactions that were jurisdictional, but (after the statutory changes) are now not.  These transactions are, thus, not subject to </w:t>
      </w:r>
      <w:r w:rsidR="00F15B7F">
        <w:rPr>
          <w:rFonts w:ascii="Times New Roman" w:hAnsi="Times New Roman" w:cs="Times New Roman"/>
          <w:sz w:val="26"/>
          <w:szCs w:val="26"/>
        </w:rPr>
        <w:t xml:space="preserve">the full </w:t>
      </w:r>
      <w:r>
        <w:rPr>
          <w:rFonts w:ascii="Times New Roman" w:hAnsi="Times New Roman" w:cs="Times New Roman"/>
          <w:sz w:val="26"/>
          <w:szCs w:val="26"/>
        </w:rPr>
        <w:t>FERC-519</w:t>
      </w:r>
      <w:r w:rsidR="00F15B7F">
        <w:rPr>
          <w:rFonts w:ascii="Times New Roman" w:hAnsi="Times New Roman" w:cs="Times New Roman"/>
          <w:sz w:val="26"/>
          <w:szCs w:val="26"/>
        </w:rPr>
        <w:t xml:space="preserve"> application</w:t>
      </w:r>
      <w:r w:rsidR="00126915">
        <w:rPr>
          <w:rFonts w:ascii="Times New Roman" w:hAnsi="Times New Roman" w:cs="Times New Roman"/>
          <w:sz w:val="26"/>
          <w:szCs w:val="26"/>
        </w:rPr>
        <w:t>.</w:t>
      </w:r>
      <w:r>
        <w:rPr>
          <w:rFonts w:ascii="Times New Roman" w:hAnsi="Times New Roman" w:cs="Times New Roman"/>
          <w:sz w:val="26"/>
          <w:szCs w:val="26"/>
        </w:rPr>
        <w:t xml:space="preserve"> </w:t>
      </w:r>
      <w:r w:rsidR="00126915">
        <w:rPr>
          <w:rFonts w:ascii="Times New Roman" w:hAnsi="Times New Roman" w:cs="Times New Roman"/>
          <w:sz w:val="26"/>
          <w:szCs w:val="26"/>
        </w:rPr>
        <w:t>These</w:t>
      </w:r>
      <w:r>
        <w:rPr>
          <w:rFonts w:ascii="Times New Roman" w:hAnsi="Times New Roman" w:cs="Times New Roman"/>
          <w:sz w:val="26"/>
          <w:szCs w:val="26"/>
        </w:rPr>
        <w:t xml:space="preserve"> transactions are </w:t>
      </w:r>
      <w:r w:rsidR="00126915">
        <w:rPr>
          <w:rFonts w:ascii="Times New Roman" w:hAnsi="Times New Roman" w:cs="Times New Roman"/>
          <w:sz w:val="26"/>
          <w:szCs w:val="26"/>
        </w:rPr>
        <w:t xml:space="preserve">now only </w:t>
      </w:r>
      <w:r>
        <w:rPr>
          <w:rFonts w:ascii="Times New Roman" w:hAnsi="Times New Roman" w:cs="Times New Roman"/>
          <w:sz w:val="26"/>
          <w:szCs w:val="26"/>
        </w:rPr>
        <w:t xml:space="preserve">subject to a notification filing that requests minimal information </w:t>
      </w:r>
      <w:r w:rsidR="00F15B7F">
        <w:rPr>
          <w:rFonts w:ascii="Times New Roman" w:hAnsi="Times New Roman" w:cs="Times New Roman"/>
          <w:sz w:val="26"/>
          <w:szCs w:val="26"/>
        </w:rPr>
        <w:t>from</w:t>
      </w:r>
      <w:r>
        <w:rPr>
          <w:rFonts w:ascii="Times New Roman" w:hAnsi="Times New Roman" w:cs="Times New Roman"/>
          <w:sz w:val="26"/>
          <w:szCs w:val="26"/>
        </w:rPr>
        <w:t xml:space="preserve"> parties to the transaction. </w:t>
      </w:r>
    </w:p>
    <w:p w14:paraId="11AF22FF" w14:textId="77777777" w:rsidR="00DB1C47" w:rsidRDefault="00DB1C47" w:rsidP="00DB1C47">
      <w:pPr>
        <w:spacing w:after="0" w:line="240" w:lineRule="auto"/>
        <w:rPr>
          <w:rFonts w:ascii="Times New Roman" w:hAnsi="Times New Roman" w:cs="Times New Roman"/>
          <w:sz w:val="26"/>
          <w:szCs w:val="26"/>
        </w:rPr>
      </w:pPr>
    </w:p>
    <w:p w14:paraId="16BA0BCA" w14:textId="77777777" w:rsidR="00DB1C47" w:rsidRPr="00EB755D" w:rsidRDefault="00DB1C47" w:rsidP="00DB1C47">
      <w:pPr>
        <w:spacing w:after="0" w:line="240" w:lineRule="auto"/>
        <w:rPr>
          <w:rFonts w:ascii="Times New Roman" w:hAnsi="Times New Roman" w:cs="Times New Roman"/>
          <w:sz w:val="26"/>
          <w:szCs w:val="26"/>
        </w:rPr>
      </w:pPr>
    </w:p>
    <w:p w14:paraId="7A63021F" w14:textId="77777777" w:rsidR="00DB1C47" w:rsidRPr="00EB755D" w:rsidRDefault="00DB1C47" w:rsidP="00DB1C47">
      <w:pPr>
        <w:pStyle w:val="ListParagraph"/>
        <w:numPr>
          <w:ilvl w:val="0"/>
          <w:numId w:val="1"/>
        </w:numPr>
        <w:spacing w:after="0" w:line="240" w:lineRule="auto"/>
        <w:ind w:left="360"/>
        <w:rPr>
          <w:rFonts w:ascii="Times New Roman" w:hAnsi="Times New Roman" w:cs="Times New Roman"/>
          <w:b/>
          <w:sz w:val="26"/>
          <w:szCs w:val="26"/>
        </w:rPr>
      </w:pPr>
      <w:r w:rsidRPr="00EB755D">
        <w:rPr>
          <w:rFonts w:ascii="Times New Roman" w:hAnsi="Times New Roman" w:cs="Times New Roman"/>
          <w:b/>
          <w:sz w:val="26"/>
          <w:szCs w:val="26"/>
        </w:rPr>
        <w:t>EXPLAIN ANY SPECIAL CIRCUMSTANCES RELATING TO THE INFORMATION COLLECTION</w:t>
      </w:r>
    </w:p>
    <w:p w14:paraId="435552E0" w14:textId="77777777" w:rsidR="00DB1C47" w:rsidRPr="00EB755D" w:rsidRDefault="00DB1C47" w:rsidP="00DB1C47">
      <w:pPr>
        <w:pStyle w:val="ListParagraph"/>
        <w:spacing w:after="0" w:line="240" w:lineRule="auto"/>
        <w:ind w:left="360"/>
        <w:rPr>
          <w:rFonts w:ascii="Times New Roman" w:hAnsi="Times New Roman" w:cs="Times New Roman"/>
          <w:b/>
          <w:sz w:val="26"/>
          <w:szCs w:val="26"/>
        </w:rPr>
      </w:pPr>
    </w:p>
    <w:p w14:paraId="3B593FB4" w14:textId="77777777"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 xml:space="preserve">The FERC-519 </w:t>
      </w:r>
      <w:r>
        <w:rPr>
          <w:rFonts w:ascii="Times New Roman" w:hAnsi="Times New Roman" w:cs="Times New Roman"/>
          <w:sz w:val="26"/>
          <w:szCs w:val="26"/>
        </w:rPr>
        <w:t xml:space="preserve">information collection </w:t>
      </w:r>
      <w:r w:rsidRPr="00EB755D">
        <w:rPr>
          <w:rFonts w:ascii="Times New Roman" w:hAnsi="Times New Roman" w:cs="Times New Roman"/>
          <w:sz w:val="26"/>
          <w:szCs w:val="26"/>
        </w:rPr>
        <w:t>presents no special circumstances.</w:t>
      </w:r>
    </w:p>
    <w:p w14:paraId="69EDBE8B" w14:textId="77777777" w:rsidR="00DB1C47" w:rsidRPr="00EB755D" w:rsidRDefault="00DB1C47" w:rsidP="00DB1C47">
      <w:pPr>
        <w:spacing w:after="0" w:line="240" w:lineRule="auto"/>
        <w:rPr>
          <w:rFonts w:ascii="Times New Roman" w:hAnsi="Times New Roman" w:cs="Times New Roman"/>
          <w:sz w:val="26"/>
          <w:szCs w:val="26"/>
        </w:rPr>
      </w:pPr>
    </w:p>
    <w:p w14:paraId="60B3D8C0" w14:textId="77777777" w:rsidR="00DB1C47" w:rsidRPr="00EB755D" w:rsidRDefault="00DB1C47" w:rsidP="00DB1C47">
      <w:pPr>
        <w:pStyle w:val="ListParagraph"/>
        <w:numPr>
          <w:ilvl w:val="0"/>
          <w:numId w:val="1"/>
        </w:numPr>
        <w:spacing w:after="0" w:line="240" w:lineRule="auto"/>
        <w:ind w:left="360"/>
        <w:rPr>
          <w:rFonts w:ascii="Times New Roman" w:hAnsi="Times New Roman" w:cs="Times New Roman"/>
          <w:b/>
          <w:sz w:val="26"/>
          <w:szCs w:val="26"/>
        </w:rPr>
      </w:pPr>
      <w:r w:rsidRPr="00EB755D">
        <w:rPr>
          <w:rFonts w:ascii="Times New Roman" w:hAnsi="Times New Roman" w:cs="Times New Roman"/>
          <w:b/>
          <w:sz w:val="26"/>
          <w:szCs w:val="26"/>
        </w:rPr>
        <w:t>DESCRIBE EFFORTS TO CONSULT OUTSIDE THE AGENCY: SUMMARIZE PUBLIC COMMENTS AND THE AGENCY’S RESPONSE</w:t>
      </w:r>
    </w:p>
    <w:p w14:paraId="6E8F1A0F" w14:textId="77777777" w:rsidR="00DB1C47" w:rsidRPr="00EB755D" w:rsidRDefault="00DB1C47" w:rsidP="00DB1C47">
      <w:pPr>
        <w:spacing w:after="0" w:line="240" w:lineRule="auto"/>
        <w:rPr>
          <w:rFonts w:ascii="Times New Roman" w:hAnsi="Times New Roman" w:cs="Times New Roman"/>
          <w:sz w:val="26"/>
          <w:szCs w:val="26"/>
        </w:rPr>
      </w:pPr>
    </w:p>
    <w:p w14:paraId="02E7A943" w14:textId="4AF912E3" w:rsidR="00A22DF8" w:rsidRDefault="00DB1C47" w:rsidP="00DB1C47">
      <w:pPr>
        <w:spacing w:after="0" w:line="240" w:lineRule="auto"/>
        <w:rPr>
          <w:rFonts w:ascii="Times New Roman" w:hAnsi="Times New Roman" w:cs="Times New Roman"/>
          <w:sz w:val="26"/>
          <w:szCs w:val="26"/>
        </w:rPr>
      </w:pPr>
      <w:r w:rsidRPr="00DB1C47">
        <w:rPr>
          <w:rFonts w:ascii="Times New Roman" w:hAnsi="Times New Roman" w:cs="Times New Roman"/>
          <w:sz w:val="26"/>
          <w:szCs w:val="26"/>
        </w:rPr>
        <w:t xml:space="preserve">Each FERC rulemaking (both proposed and final rules) is published in the Federal Register thereby providing public utilities and licensees, state commissions, Federal agencies, and other interested parties an opportunity to submit data, views, comments or suggestions concerning the  collection of data.  </w:t>
      </w:r>
    </w:p>
    <w:p w14:paraId="0C5533E7" w14:textId="77777777" w:rsidR="00A22DF8" w:rsidRDefault="00A22DF8" w:rsidP="00DB1C47">
      <w:pPr>
        <w:spacing w:after="0" w:line="240" w:lineRule="auto"/>
        <w:rPr>
          <w:rFonts w:ascii="Times New Roman" w:hAnsi="Times New Roman" w:cs="Times New Roman"/>
          <w:sz w:val="26"/>
          <w:szCs w:val="26"/>
        </w:rPr>
      </w:pPr>
    </w:p>
    <w:p w14:paraId="3BB4E01D" w14:textId="3BD8FCE2" w:rsidR="00DB1C47" w:rsidRDefault="00A22DF8" w:rsidP="00DB1C4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Final Rule (issued </w:t>
      </w:r>
      <w:r w:rsidR="00126915">
        <w:rPr>
          <w:rFonts w:ascii="Times New Roman" w:hAnsi="Times New Roman" w:cs="Times New Roman"/>
          <w:sz w:val="26"/>
          <w:szCs w:val="26"/>
        </w:rPr>
        <w:t>2</w:t>
      </w:r>
      <w:r>
        <w:rPr>
          <w:rFonts w:ascii="Times New Roman" w:hAnsi="Times New Roman" w:cs="Times New Roman"/>
          <w:sz w:val="26"/>
          <w:szCs w:val="26"/>
        </w:rPr>
        <w:t>/21/201</w:t>
      </w:r>
      <w:r w:rsidR="00AB7B93">
        <w:rPr>
          <w:rFonts w:ascii="Times New Roman" w:hAnsi="Times New Roman" w:cs="Times New Roman"/>
          <w:sz w:val="26"/>
          <w:szCs w:val="26"/>
        </w:rPr>
        <w:t>9</w:t>
      </w:r>
      <w:r>
        <w:rPr>
          <w:rFonts w:ascii="Times New Roman" w:hAnsi="Times New Roman" w:cs="Times New Roman"/>
          <w:sz w:val="26"/>
          <w:szCs w:val="26"/>
        </w:rPr>
        <w:t>) was published in the Federal Register on 2/26/2019</w:t>
      </w:r>
      <w:r w:rsidRPr="00BA068F">
        <w:rPr>
          <w:rStyle w:val="FootnoteReference"/>
          <w:rFonts w:ascii="Times New Roman" w:hAnsi="Times New Roman" w:cs="Times New Roman"/>
          <w:sz w:val="26"/>
          <w:szCs w:val="26"/>
          <w:vertAlign w:val="superscript"/>
        </w:rPr>
        <w:footnoteReference w:id="4"/>
      </w:r>
      <w:r>
        <w:rPr>
          <w:rFonts w:ascii="Times New Roman" w:hAnsi="Times New Roman" w:cs="Times New Roman"/>
          <w:sz w:val="26"/>
          <w:szCs w:val="26"/>
        </w:rPr>
        <w:t xml:space="preserve">.  </w:t>
      </w:r>
    </w:p>
    <w:p w14:paraId="2506960A" w14:textId="77777777" w:rsidR="001C61CB" w:rsidRPr="00EB755D" w:rsidRDefault="001C61CB" w:rsidP="00DB1C47">
      <w:pPr>
        <w:spacing w:after="0" w:line="240" w:lineRule="auto"/>
        <w:rPr>
          <w:rFonts w:ascii="Times New Roman" w:hAnsi="Times New Roman" w:cs="Times New Roman"/>
          <w:sz w:val="26"/>
          <w:szCs w:val="26"/>
        </w:rPr>
      </w:pPr>
    </w:p>
    <w:p w14:paraId="08B6BC34" w14:textId="77777777" w:rsidR="00DB1C47" w:rsidRPr="00EB755D" w:rsidRDefault="00DB1C47" w:rsidP="00DB1C47">
      <w:pPr>
        <w:pStyle w:val="ListParagraph"/>
        <w:numPr>
          <w:ilvl w:val="0"/>
          <w:numId w:val="1"/>
        </w:numPr>
        <w:spacing w:after="0" w:line="240" w:lineRule="auto"/>
        <w:ind w:left="360"/>
        <w:rPr>
          <w:rFonts w:ascii="Times New Roman" w:hAnsi="Times New Roman" w:cs="Times New Roman"/>
          <w:b/>
          <w:sz w:val="26"/>
          <w:szCs w:val="26"/>
        </w:rPr>
      </w:pPr>
      <w:r w:rsidRPr="00EB755D">
        <w:rPr>
          <w:rFonts w:ascii="Times New Roman" w:hAnsi="Times New Roman" w:cs="Times New Roman"/>
          <w:b/>
          <w:sz w:val="26"/>
          <w:szCs w:val="26"/>
        </w:rPr>
        <w:t>EXPLAIN ANY PAYMENT OR GIFTS TO RESPONDENTS</w:t>
      </w:r>
    </w:p>
    <w:p w14:paraId="655EBDB4" w14:textId="77777777" w:rsidR="00DB1C47" w:rsidRPr="00EB755D" w:rsidRDefault="00DB1C47" w:rsidP="00DB1C47">
      <w:pPr>
        <w:spacing w:after="0" w:line="240" w:lineRule="auto"/>
        <w:rPr>
          <w:rFonts w:ascii="Times New Roman" w:hAnsi="Times New Roman" w:cs="Times New Roman"/>
          <w:sz w:val="26"/>
          <w:szCs w:val="26"/>
        </w:rPr>
      </w:pPr>
    </w:p>
    <w:p w14:paraId="7EA07FAC" w14:textId="77777777"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There are no payments or gifts to respondents a</w:t>
      </w:r>
      <w:r>
        <w:rPr>
          <w:rFonts w:ascii="Times New Roman" w:hAnsi="Times New Roman" w:cs="Times New Roman"/>
          <w:sz w:val="26"/>
          <w:szCs w:val="26"/>
        </w:rPr>
        <w:t>ssociated with the FERC-519 information collection</w:t>
      </w:r>
      <w:r w:rsidRPr="00EB755D">
        <w:rPr>
          <w:rFonts w:ascii="Times New Roman" w:hAnsi="Times New Roman" w:cs="Times New Roman"/>
          <w:sz w:val="26"/>
          <w:szCs w:val="26"/>
        </w:rPr>
        <w:t>.</w:t>
      </w:r>
    </w:p>
    <w:p w14:paraId="6E4EEF27" w14:textId="77777777" w:rsidR="00DB1C47" w:rsidRPr="00EB755D" w:rsidRDefault="00DB1C47" w:rsidP="00DB1C47">
      <w:pPr>
        <w:spacing w:after="0" w:line="240" w:lineRule="auto"/>
        <w:rPr>
          <w:rFonts w:ascii="Times New Roman" w:hAnsi="Times New Roman" w:cs="Times New Roman"/>
          <w:sz w:val="26"/>
          <w:szCs w:val="26"/>
        </w:rPr>
      </w:pPr>
    </w:p>
    <w:p w14:paraId="6539AD2B" w14:textId="77777777" w:rsidR="00DB1C47" w:rsidRPr="00EB755D" w:rsidRDefault="00DB1C47" w:rsidP="00DB1C47">
      <w:pPr>
        <w:pStyle w:val="ListParagraph"/>
        <w:numPr>
          <w:ilvl w:val="0"/>
          <w:numId w:val="1"/>
        </w:numPr>
        <w:spacing w:after="0" w:line="240" w:lineRule="auto"/>
        <w:ind w:left="360"/>
        <w:rPr>
          <w:rFonts w:ascii="Times New Roman" w:hAnsi="Times New Roman" w:cs="Times New Roman"/>
          <w:b/>
          <w:sz w:val="26"/>
          <w:szCs w:val="26"/>
        </w:rPr>
      </w:pPr>
      <w:r w:rsidRPr="00EB755D">
        <w:rPr>
          <w:rFonts w:ascii="Times New Roman" w:hAnsi="Times New Roman" w:cs="Times New Roman"/>
          <w:b/>
          <w:sz w:val="26"/>
          <w:szCs w:val="26"/>
        </w:rPr>
        <w:t>DESCRIBE ANY ASSURANCE OF CONFIDENTIALITY PROVIDED TO RESPONDENTS</w:t>
      </w:r>
    </w:p>
    <w:p w14:paraId="70B52A27" w14:textId="77777777" w:rsidR="00DB1C47" w:rsidRPr="00EB755D" w:rsidRDefault="00DB1C47" w:rsidP="00DB1C47">
      <w:pPr>
        <w:spacing w:after="0" w:line="240" w:lineRule="auto"/>
        <w:rPr>
          <w:rFonts w:ascii="Times New Roman" w:hAnsi="Times New Roman" w:cs="Times New Roman"/>
          <w:sz w:val="26"/>
          <w:szCs w:val="26"/>
        </w:rPr>
      </w:pPr>
    </w:p>
    <w:p w14:paraId="711F0AB5" w14:textId="3115DEC5"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In general, for all submittals to the Commission, filers may submit specific requests for confidential treatment to the extent permitted by law</w:t>
      </w:r>
      <w:r>
        <w:rPr>
          <w:rFonts w:ascii="Times New Roman" w:hAnsi="Times New Roman" w:cs="Times New Roman"/>
          <w:sz w:val="26"/>
          <w:szCs w:val="26"/>
        </w:rPr>
        <w:t xml:space="preserve">; details are available in 18 CFR </w:t>
      </w:r>
      <w:r w:rsidR="00EA1CB5">
        <w:rPr>
          <w:rFonts w:ascii="Times New Roman" w:hAnsi="Times New Roman" w:cs="Times New Roman"/>
          <w:sz w:val="26"/>
          <w:szCs w:val="26"/>
        </w:rPr>
        <w:t>§</w:t>
      </w:r>
      <w:r w:rsidRPr="00EB755D">
        <w:rPr>
          <w:rFonts w:ascii="Times New Roman" w:hAnsi="Times New Roman" w:cs="Times New Roman"/>
          <w:sz w:val="26"/>
          <w:szCs w:val="26"/>
        </w:rPr>
        <w:t>388.112.  The Commission will review each request for confidential treatment on a case-by-case basis.</w:t>
      </w:r>
    </w:p>
    <w:p w14:paraId="4EEABB5D" w14:textId="77777777" w:rsidR="00DB1C47" w:rsidRPr="00EB755D" w:rsidRDefault="00DB1C47" w:rsidP="00DB1C47">
      <w:pPr>
        <w:spacing w:after="0" w:line="240" w:lineRule="auto"/>
        <w:rPr>
          <w:rFonts w:ascii="Times New Roman" w:hAnsi="Times New Roman" w:cs="Times New Roman"/>
          <w:sz w:val="26"/>
          <w:szCs w:val="26"/>
        </w:rPr>
      </w:pPr>
    </w:p>
    <w:p w14:paraId="1E22B122" w14:textId="77777777" w:rsidR="00DB1C47" w:rsidRPr="00EB755D" w:rsidRDefault="00DB1C47" w:rsidP="00DB1C47">
      <w:pPr>
        <w:pStyle w:val="ListParagraph"/>
        <w:numPr>
          <w:ilvl w:val="0"/>
          <w:numId w:val="1"/>
        </w:numPr>
        <w:spacing w:after="0" w:line="240" w:lineRule="auto"/>
        <w:ind w:left="360"/>
        <w:rPr>
          <w:rFonts w:ascii="Times New Roman" w:hAnsi="Times New Roman" w:cs="Times New Roman"/>
          <w:b/>
          <w:sz w:val="26"/>
          <w:szCs w:val="26"/>
        </w:rPr>
      </w:pPr>
      <w:r w:rsidRPr="00EB755D">
        <w:rPr>
          <w:rFonts w:ascii="Times New Roman" w:hAnsi="Times New Roman" w:cs="Times New Roman"/>
          <w:b/>
          <w:sz w:val="26"/>
          <w:szCs w:val="26"/>
        </w:rPr>
        <w:t>PROVIDE ADDITIONAL JUSTIFICATION FOR ANY QUESTIONS OF A SENSITIVE NATURE, SUCH AS SEXUAL BEHAVIOR AND ATTITUDES, RELIGIOUS BELIEFS, AND OTHER MATTERS THAT ARE COMMONLY CONSIDERED PRIVATE.</w:t>
      </w:r>
    </w:p>
    <w:p w14:paraId="33F230BB" w14:textId="77777777" w:rsidR="00DB1C47" w:rsidRPr="00EB755D" w:rsidRDefault="00DB1C47" w:rsidP="00DB1C47">
      <w:pPr>
        <w:spacing w:after="0" w:line="240" w:lineRule="auto"/>
        <w:rPr>
          <w:rFonts w:ascii="Times New Roman" w:hAnsi="Times New Roman" w:cs="Times New Roman"/>
          <w:sz w:val="26"/>
          <w:szCs w:val="26"/>
        </w:rPr>
      </w:pPr>
    </w:p>
    <w:p w14:paraId="6D44456E" w14:textId="77777777"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There are no questions of a sensitive nature in the reporting or recordkeeping requirements</w:t>
      </w:r>
      <w:r>
        <w:rPr>
          <w:rFonts w:ascii="Times New Roman" w:hAnsi="Times New Roman" w:cs="Times New Roman"/>
          <w:sz w:val="26"/>
          <w:szCs w:val="26"/>
        </w:rPr>
        <w:t xml:space="preserve"> of the FERC-519 information collection</w:t>
      </w:r>
      <w:r w:rsidRPr="00EB755D">
        <w:rPr>
          <w:rFonts w:ascii="Times New Roman" w:hAnsi="Times New Roman" w:cs="Times New Roman"/>
          <w:sz w:val="26"/>
          <w:szCs w:val="26"/>
        </w:rPr>
        <w:t>.</w:t>
      </w:r>
    </w:p>
    <w:p w14:paraId="6F288272" w14:textId="77777777" w:rsidR="00DB1C47" w:rsidRPr="00EB755D" w:rsidRDefault="00DB1C47" w:rsidP="00DB1C47">
      <w:pPr>
        <w:spacing w:after="0" w:line="240" w:lineRule="auto"/>
        <w:rPr>
          <w:rFonts w:ascii="Times New Roman" w:hAnsi="Times New Roman" w:cs="Times New Roman"/>
          <w:sz w:val="26"/>
          <w:szCs w:val="26"/>
        </w:rPr>
      </w:pPr>
    </w:p>
    <w:p w14:paraId="0021486D" w14:textId="77777777" w:rsidR="00DB1C47" w:rsidRPr="00EB755D" w:rsidRDefault="00DB1C47" w:rsidP="00DB1C47">
      <w:pPr>
        <w:pStyle w:val="ListParagraph"/>
        <w:numPr>
          <w:ilvl w:val="0"/>
          <w:numId w:val="1"/>
        </w:numPr>
        <w:spacing w:after="0" w:line="240" w:lineRule="auto"/>
        <w:ind w:left="360"/>
        <w:rPr>
          <w:rFonts w:ascii="Times New Roman" w:hAnsi="Times New Roman" w:cs="Times New Roman"/>
          <w:b/>
          <w:sz w:val="26"/>
          <w:szCs w:val="26"/>
        </w:rPr>
      </w:pPr>
      <w:r w:rsidRPr="00EB755D">
        <w:rPr>
          <w:rFonts w:ascii="Times New Roman" w:hAnsi="Times New Roman" w:cs="Times New Roman"/>
          <w:b/>
          <w:sz w:val="26"/>
          <w:szCs w:val="26"/>
        </w:rPr>
        <w:t>ESTIMATED BURDEN OF COLLECTION OF INFORMATION</w:t>
      </w:r>
    </w:p>
    <w:p w14:paraId="17E43E90" w14:textId="77777777" w:rsidR="00DB1C47" w:rsidRDefault="00DB1C47" w:rsidP="00DB1C47">
      <w:pPr>
        <w:pStyle w:val="FERCparanumber"/>
        <w:numPr>
          <w:ilvl w:val="0"/>
          <w:numId w:val="0"/>
        </w:numPr>
        <w:spacing w:line="240" w:lineRule="auto"/>
        <w:rPr>
          <w:szCs w:val="26"/>
        </w:rPr>
      </w:pPr>
    </w:p>
    <w:p w14:paraId="2A40E04C" w14:textId="37B8CECF" w:rsidR="00AB7B93" w:rsidRDefault="00AB7B93" w:rsidP="00AB7B93">
      <w:pPr>
        <w:spacing w:after="0" w:line="240" w:lineRule="auto"/>
        <w:rPr>
          <w:rFonts w:ascii="Times New Roman" w:eastAsia="Times New Roman" w:hAnsi="Times New Roman" w:cs="Times New Roman"/>
          <w:sz w:val="26"/>
          <w:szCs w:val="26"/>
        </w:rPr>
      </w:pPr>
      <w:r w:rsidRPr="00264C84">
        <w:rPr>
          <w:rFonts w:ascii="Times New Roman" w:eastAsia="Times New Roman" w:hAnsi="Times New Roman" w:cs="Times New Roman"/>
          <w:sz w:val="26"/>
          <w:szCs w:val="26"/>
        </w:rPr>
        <w:t xml:space="preserve">Prior to this </w:t>
      </w:r>
      <w:r>
        <w:rPr>
          <w:rFonts w:ascii="Times New Roman" w:eastAsia="Times New Roman" w:hAnsi="Times New Roman" w:cs="Times New Roman"/>
          <w:sz w:val="26"/>
          <w:szCs w:val="26"/>
        </w:rPr>
        <w:t>final rule</w:t>
      </w:r>
      <w:r w:rsidRPr="00264C84">
        <w:rPr>
          <w:rFonts w:ascii="Times New Roman" w:eastAsia="Times New Roman" w:hAnsi="Times New Roman" w:cs="Times New Roman"/>
          <w:sz w:val="26"/>
          <w:szCs w:val="26"/>
        </w:rPr>
        <w:t xml:space="preserve"> there were 141 responses filed annually and 56,055 burden hours</w:t>
      </w:r>
      <w:r>
        <w:rPr>
          <w:rFonts w:ascii="Times New Roman" w:eastAsia="Times New Roman" w:hAnsi="Times New Roman" w:cs="Times New Roman"/>
          <w:sz w:val="26"/>
          <w:szCs w:val="26"/>
        </w:rPr>
        <w:t>;</w:t>
      </w:r>
      <w:r w:rsidRPr="00264C84">
        <w:rPr>
          <w:rFonts w:ascii="Times New Roman" w:eastAsia="Times New Roman" w:hAnsi="Times New Roman" w:cs="Times New Roman"/>
          <w:sz w:val="26"/>
          <w:szCs w:val="26"/>
        </w:rPr>
        <w:t xml:space="preserve"> each filing was 3</w:t>
      </w:r>
      <w:r w:rsidR="009952EE">
        <w:rPr>
          <w:rFonts w:ascii="Times New Roman" w:eastAsia="Times New Roman" w:hAnsi="Times New Roman" w:cs="Times New Roman"/>
          <w:sz w:val="26"/>
          <w:szCs w:val="26"/>
        </w:rPr>
        <w:t>97.55</w:t>
      </w:r>
      <w:r w:rsidRPr="00264C84">
        <w:rPr>
          <w:rFonts w:ascii="Times New Roman" w:eastAsia="Times New Roman" w:hAnsi="Times New Roman" w:cs="Times New Roman"/>
          <w:sz w:val="26"/>
          <w:szCs w:val="26"/>
        </w:rPr>
        <w:t>hours per respondent.  With this amendment</w:t>
      </w:r>
      <w:r>
        <w:rPr>
          <w:rFonts w:ascii="Times New Roman" w:eastAsia="Times New Roman" w:hAnsi="Times New Roman" w:cs="Times New Roman"/>
          <w:sz w:val="26"/>
          <w:szCs w:val="26"/>
        </w:rPr>
        <w:t>,</w:t>
      </w:r>
      <w:r w:rsidRPr="00264C84">
        <w:rPr>
          <w:rFonts w:ascii="Times New Roman" w:eastAsia="Times New Roman" w:hAnsi="Times New Roman" w:cs="Times New Roman"/>
          <w:sz w:val="26"/>
          <w:szCs w:val="26"/>
        </w:rPr>
        <w:t xml:space="preserve"> each </w:t>
      </w:r>
      <w:r>
        <w:rPr>
          <w:rFonts w:ascii="Times New Roman" w:eastAsia="Times New Roman" w:hAnsi="Times New Roman" w:cs="Times New Roman"/>
          <w:sz w:val="26"/>
          <w:szCs w:val="26"/>
        </w:rPr>
        <w:t xml:space="preserve">of the </w:t>
      </w:r>
      <w:r w:rsidR="00F15B7F">
        <w:rPr>
          <w:rFonts w:ascii="Times New Roman" w:eastAsia="Times New Roman" w:hAnsi="Times New Roman" w:cs="Times New Roman"/>
          <w:sz w:val="26"/>
          <w:szCs w:val="26"/>
        </w:rPr>
        <w:t xml:space="preserve">26 </w:t>
      </w:r>
      <w:r>
        <w:rPr>
          <w:rFonts w:ascii="Times New Roman" w:eastAsia="Times New Roman" w:hAnsi="Times New Roman" w:cs="Times New Roman"/>
          <w:sz w:val="26"/>
          <w:szCs w:val="26"/>
        </w:rPr>
        <w:t xml:space="preserve">affected </w:t>
      </w:r>
      <w:r w:rsidRPr="00264C84">
        <w:rPr>
          <w:rFonts w:ascii="Times New Roman" w:eastAsia="Times New Roman" w:hAnsi="Times New Roman" w:cs="Times New Roman"/>
          <w:sz w:val="26"/>
          <w:szCs w:val="26"/>
        </w:rPr>
        <w:t>filing</w:t>
      </w:r>
      <w:r>
        <w:rPr>
          <w:rFonts w:ascii="Times New Roman" w:eastAsia="Times New Roman" w:hAnsi="Times New Roman" w:cs="Times New Roman"/>
          <w:sz w:val="26"/>
          <w:szCs w:val="26"/>
        </w:rPr>
        <w:t>s</w:t>
      </w:r>
      <w:r w:rsidRPr="00264C84">
        <w:rPr>
          <w:rFonts w:ascii="Times New Roman" w:eastAsia="Times New Roman" w:hAnsi="Times New Roman" w:cs="Times New Roman"/>
          <w:sz w:val="26"/>
          <w:szCs w:val="26"/>
        </w:rPr>
        <w:t xml:space="preserve"> is reduce</w:t>
      </w:r>
      <w:r>
        <w:rPr>
          <w:rFonts w:ascii="Times New Roman" w:eastAsia="Times New Roman" w:hAnsi="Times New Roman" w:cs="Times New Roman"/>
          <w:sz w:val="26"/>
          <w:szCs w:val="26"/>
        </w:rPr>
        <w:t>d</w:t>
      </w:r>
      <w:r w:rsidRPr="00264C84">
        <w:rPr>
          <w:rFonts w:ascii="Times New Roman" w:eastAsia="Times New Roman" w:hAnsi="Times New Roman" w:cs="Times New Roman"/>
          <w:sz w:val="26"/>
          <w:szCs w:val="26"/>
        </w:rPr>
        <w:t xml:space="preserve"> to 1 hour per respondent for the 26 affected entities (i.e. the entities that now only have to file the Section 203 notification filings).</w:t>
      </w:r>
    </w:p>
    <w:p w14:paraId="15E99E7B" w14:textId="77777777" w:rsidR="00AB7B93" w:rsidRDefault="00AB7B93" w:rsidP="00AB7B93">
      <w:pPr>
        <w:spacing w:after="0" w:line="240" w:lineRule="auto"/>
        <w:rPr>
          <w:rFonts w:ascii="Times New Roman" w:eastAsia="Times New Roman" w:hAnsi="Times New Roman" w:cs="Times New Roman"/>
          <w:sz w:val="26"/>
          <w:szCs w:val="26"/>
        </w:rPr>
      </w:pPr>
    </w:p>
    <w:p w14:paraId="2794FB22" w14:textId="385155B9" w:rsidR="00AB7B93" w:rsidRPr="00AB7B93" w:rsidRDefault="00AB7B93" w:rsidP="00AB7B93">
      <w:pPr>
        <w:spacing w:after="0" w:line="240" w:lineRule="auto"/>
        <w:rPr>
          <w:rFonts w:ascii="Times New Roman" w:hAnsi="Times New Roman" w:cs="Times New Roman"/>
          <w:sz w:val="26"/>
          <w:szCs w:val="26"/>
        </w:rPr>
      </w:pPr>
      <w:r w:rsidRPr="00AB7B93">
        <w:rPr>
          <w:rFonts w:ascii="Times New Roman" w:hAnsi="Times New Roman" w:cs="Times New Roman"/>
          <w:sz w:val="26"/>
          <w:szCs w:val="26"/>
        </w:rPr>
        <w:t>In the below table</w:t>
      </w:r>
      <w:r w:rsidR="00F15B7F">
        <w:rPr>
          <w:rFonts w:ascii="Times New Roman" w:hAnsi="Times New Roman" w:cs="Times New Roman"/>
          <w:sz w:val="26"/>
          <w:szCs w:val="26"/>
        </w:rPr>
        <w:t xml:space="preserve"> on the notification filing</w:t>
      </w:r>
      <w:r w:rsidRPr="00AB7B93">
        <w:rPr>
          <w:rFonts w:ascii="Times New Roman" w:hAnsi="Times New Roman" w:cs="Times New Roman"/>
          <w:sz w:val="26"/>
          <w:szCs w:val="26"/>
        </w:rPr>
        <w:t>, the number of respondents and responses is based on Commission staff’s estimate that 13 percent of the approximately 200 (or 26) section 203 filings received will be affected. This represents a significant reduction in burden hours</w:t>
      </w:r>
      <w:r w:rsidR="00F15B7F">
        <w:rPr>
          <w:rFonts w:ascii="Times New Roman" w:hAnsi="Times New Roman" w:cs="Times New Roman"/>
          <w:sz w:val="26"/>
          <w:szCs w:val="26"/>
        </w:rPr>
        <w:t xml:space="preserve"> </w:t>
      </w:r>
      <w:r w:rsidR="00CA6BC9">
        <w:rPr>
          <w:rFonts w:ascii="Times New Roman" w:hAnsi="Times New Roman" w:cs="Times New Roman"/>
          <w:sz w:val="26"/>
          <w:szCs w:val="26"/>
        </w:rPr>
        <w:t>(from 39</w:t>
      </w:r>
      <w:r w:rsidR="009952EE">
        <w:rPr>
          <w:rFonts w:ascii="Times New Roman" w:hAnsi="Times New Roman" w:cs="Times New Roman"/>
          <w:sz w:val="26"/>
          <w:szCs w:val="26"/>
        </w:rPr>
        <w:t>7.55</w:t>
      </w:r>
      <w:r w:rsidR="00CA6BC9">
        <w:rPr>
          <w:rFonts w:ascii="Times New Roman" w:hAnsi="Times New Roman" w:cs="Times New Roman"/>
          <w:sz w:val="26"/>
          <w:szCs w:val="26"/>
        </w:rPr>
        <w:t xml:space="preserve"> to 1 hour) </w:t>
      </w:r>
      <w:r w:rsidR="00F15B7F">
        <w:rPr>
          <w:rFonts w:ascii="Times New Roman" w:hAnsi="Times New Roman" w:cs="Times New Roman"/>
          <w:sz w:val="26"/>
          <w:szCs w:val="26"/>
        </w:rPr>
        <w:t>for these respondents</w:t>
      </w:r>
      <w:r w:rsidR="009952EE">
        <w:rPr>
          <w:rFonts w:ascii="Times New Roman" w:hAnsi="Times New Roman" w:cs="Times New Roman"/>
          <w:sz w:val="26"/>
          <w:szCs w:val="26"/>
        </w:rPr>
        <w:t xml:space="preserve"> and results in a 10,337 hour reduction from the FERC-519 reporting burden</w:t>
      </w:r>
      <w:r>
        <w:rPr>
          <w:rFonts w:ascii="Times New Roman" w:hAnsi="Times New Roman" w:cs="Times New Roman"/>
          <w:sz w:val="26"/>
          <w:szCs w:val="26"/>
        </w:rPr>
        <w:t xml:space="preserve"> </w:t>
      </w:r>
      <w:r w:rsidR="00765A7C">
        <w:rPr>
          <w:rFonts w:ascii="Times New Roman" w:hAnsi="Times New Roman" w:cs="Times New Roman"/>
          <w:sz w:val="26"/>
          <w:szCs w:val="26"/>
        </w:rPr>
        <w:t xml:space="preserve"> (The remaining 115 responses are not affected by this Final Rule.)  The</w:t>
      </w:r>
      <w:r w:rsidR="009952EE">
        <w:rPr>
          <w:rFonts w:ascii="Times New Roman" w:hAnsi="Times New Roman" w:cs="Times New Roman"/>
          <w:sz w:val="26"/>
          <w:szCs w:val="26"/>
        </w:rPr>
        <w:t xml:space="preserve"> </w:t>
      </w:r>
      <w:r w:rsidR="00765A7C">
        <w:rPr>
          <w:rFonts w:ascii="Times New Roman" w:hAnsi="Times New Roman" w:cs="Times New Roman"/>
          <w:sz w:val="26"/>
          <w:szCs w:val="26"/>
        </w:rPr>
        <w:t>burden</w:t>
      </w:r>
      <w:r w:rsidR="009952EE">
        <w:rPr>
          <w:rFonts w:ascii="Times New Roman" w:hAnsi="Times New Roman" w:cs="Times New Roman"/>
          <w:sz w:val="26"/>
          <w:szCs w:val="26"/>
        </w:rPr>
        <w:t xml:space="preserve"> imposed by RM19-4-000</w:t>
      </w:r>
      <w:r w:rsidR="00765A7C">
        <w:rPr>
          <w:rFonts w:ascii="Times New Roman" w:hAnsi="Times New Roman" w:cs="Times New Roman"/>
          <w:sz w:val="26"/>
          <w:szCs w:val="26"/>
        </w:rPr>
        <w:t xml:space="preserve"> for the 26 affected responses follows</w:t>
      </w:r>
      <w:r w:rsidR="009952EE">
        <w:rPr>
          <w:rFonts w:ascii="Times New Roman" w:hAnsi="Times New Roman" w:cs="Times New Roman"/>
          <w:sz w:val="26"/>
          <w:szCs w:val="26"/>
        </w:rPr>
        <w:t>:</w:t>
      </w:r>
    </w:p>
    <w:p w14:paraId="1973101C" w14:textId="77777777" w:rsidR="00AB7B93" w:rsidRPr="00EB755D" w:rsidRDefault="00AB7B93" w:rsidP="00DB1C47">
      <w:pPr>
        <w:pStyle w:val="FERCparanumber"/>
        <w:numPr>
          <w:ilvl w:val="0"/>
          <w:numId w:val="0"/>
        </w:numPr>
        <w:spacing w:line="240" w:lineRule="auto"/>
        <w:rPr>
          <w:szCs w:val="26"/>
        </w:rPr>
      </w:pPr>
    </w:p>
    <w:tbl>
      <w:tblPr>
        <w:tblW w:w="528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1632"/>
        <w:gridCol w:w="1531"/>
        <w:gridCol w:w="1404"/>
        <w:gridCol w:w="1342"/>
        <w:gridCol w:w="1404"/>
        <w:gridCol w:w="1692"/>
      </w:tblGrid>
      <w:tr w:rsidR="00DB1C47" w:rsidRPr="00673A3E" w14:paraId="4776DAEF" w14:textId="77777777" w:rsidTr="00FD7DCC">
        <w:trPr>
          <w:cantSplit/>
          <w:trHeight w:val="1225"/>
        </w:trPr>
        <w:tc>
          <w:tcPr>
            <w:tcW w:w="558" w:type="pct"/>
            <w:shd w:val="clear" w:color="auto" w:fill="D9D9D9"/>
          </w:tcPr>
          <w:p w14:paraId="6E3DC3F5" w14:textId="77777777" w:rsidR="00DB1C47" w:rsidRPr="00673A3E" w:rsidRDefault="00DB1C47" w:rsidP="00FD7DCC">
            <w:pPr>
              <w:spacing w:after="0" w:line="259" w:lineRule="auto"/>
              <w:rPr>
                <w:rFonts w:ascii="Times New Roman" w:hAnsi="Times New Roman" w:cs="Times New Roman"/>
                <w:b/>
                <w:sz w:val="26"/>
                <w:szCs w:val="26"/>
              </w:rPr>
            </w:pPr>
          </w:p>
        </w:tc>
        <w:tc>
          <w:tcPr>
            <w:tcW w:w="770" w:type="pct"/>
            <w:shd w:val="clear" w:color="auto" w:fill="D9D9D9"/>
            <w:vAlign w:val="bottom"/>
          </w:tcPr>
          <w:p w14:paraId="52937A46" w14:textId="77777777" w:rsidR="00DB1C47" w:rsidRPr="00673A3E" w:rsidRDefault="00DB1C47" w:rsidP="00FD7DCC">
            <w:pPr>
              <w:spacing w:after="0" w:line="259" w:lineRule="auto"/>
              <w:rPr>
                <w:rFonts w:ascii="Times New Roman" w:hAnsi="Times New Roman" w:cs="Times New Roman"/>
                <w:b/>
                <w:sz w:val="26"/>
                <w:szCs w:val="26"/>
              </w:rPr>
            </w:pPr>
            <w:r w:rsidRPr="00673A3E">
              <w:rPr>
                <w:rFonts w:ascii="Times New Roman" w:hAnsi="Times New Roman" w:cs="Times New Roman"/>
                <w:b/>
                <w:sz w:val="26"/>
                <w:szCs w:val="26"/>
              </w:rPr>
              <w:t>Number of Respondents</w:t>
            </w:r>
            <w:r w:rsidRPr="00673A3E">
              <w:rPr>
                <w:rFonts w:ascii="Times New Roman" w:hAnsi="Times New Roman" w:cs="Times New Roman"/>
                <w:b/>
                <w:sz w:val="26"/>
                <w:szCs w:val="26"/>
              </w:rPr>
              <w:br/>
              <w:t>(1)</w:t>
            </w:r>
          </w:p>
        </w:tc>
        <w:tc>
          <w:tcPr>
            <w:tcW w:w="723" w:type="pct"/>
            <w:shd w:val="clear" w:color="auto" w:fill="D9D9D9"/>
            <w:vAlign w:val="bottom"/>
          </w:tcPr>
          <w:p w14:paraId="7EC6BB66" w14:textId="77777777" w:rsidR="00DB1C47" w:rsidRPr="00673A3E" w:rsidRDefault="00DB1C47" w:rsidP="00FD7DCC">
            <w:pPr>
              <w:spacing w:after="0" w:line="259" w:lineRule="auto"/>
              <w:rPr>
                <w:rFonts w:ascii="Times New Roman" w:hAnsi="Times New Roman" w:cs="Times New Roman"/>
                <w:b/>
                <w:sz w:val="26"/>
                <w:szCs w:val="26"/>
              </w:rPr>
            </w:pPr>
            <w:r w:rsidRPr="00673A3E">
              <w:rPr>
                <w:rFonts w:ascii="Times New Roman" w:hAnsi="Times New Roman" w:cs="Times New Roman"/>
                <w:b/>
                <w:sz w:val="26"/>
                <w:szCs w:val="26"/>
              </w:rPr>
              <w:t>Annual Number of Responses per Respondent</w:t>
            </w:r>
          </w:p>
          <w:p w14:paraId="29102E71" w14:textId="77777777" w:rsidR="00DB1C47" w:rsidRPr="00673A3E" w:rsidRDefault="00DB1C47" w:rsidP="00FD7DCC">
            <w:pPr>
              <w:spacing w:after="0" w:line="259" w:lineRule="auto"/>
              <w:rPr>
                <w:rFonts w:ascii="Times New Roman" w:hAnsi="Times New Roman" w:cs="Times New Roman"/>
                <w:b/>
                <w:sz w:val="26"/>
                <w:szCs w:val="26"/>
              </w:rPr>
            </w:pPr>
            <w:r w:rsidRPr="00673A3E">
              <w:rPr>
                <w:rFonts w:ascii="Times New Roman" w:hAnsi="Times New Roman" w:cs="Times New Roman"/>
                <w:b/>
                <w:sz w:val="26"/>
                <w:szCs w:val="26"/>
              </w:rPr>
              <w:t>(2)</w:t>
            </w:r>
          </w:p>
        </w:tc>
        <w:tc>
          <w:tcPr>
            <w:tcW w:w="665" w:type="pct"/>
            <w:shd w:val="clear" w:color="auto" w:fill="D9D9D9"/>
            <w:vAlign w:val="bottom"/>
          </w:tcPr>
          <w:p w14:paraId="6CD27E96" w14:textId="77777777" w:rsidR="00DB1C47" w:rsidRPr="00673A3E" w:rsidRDefault="00DB1C47" w:rsidP="00FD7DCC">
            <w:pPr>
              <w:spacing w:after="0" w:line="259" w:lineRule="auto"/>
              <w:rPr>
                <w:rFonts w:ascii="Times New Roman" w:hAnsi="Times New Roman" w:cs="Times New Roman"/>
                <w:b/>
                <w:sz w:val="26"/>
                <w:szCs w:val="26"/>
              </w:rPr>
            </w:pPr>
            <w:r w:rsidRPr="00673A3E">
              <w:rPr>
                <w:rFonts w:ascii="Times New Roman" w:hAnsi="Times New Roman" w:cs="Times New Roman"/>
                <w:b/>
                <w:sz w:val="26"/>
                <w:szCs w:val="26"/>
              </w:rPr>
              <w:t>Total Number of Responses (1)*(2)=(3)</w:t>
            </w:r>
          </w:p>
        </w:tc>
        <w:tc>
          <w:tcPr>
            <w:tcW w:w="675" w:type="pct"/>
            <w:shd w:val="clear" w:color="auto" w:fill="D9D9D9"/>
            <w:vAlign w:val="bottom"/>
          </w:tcPr>
          <w:p w14:paraId="624F4304" w14:textId="77777777" w:rsidR="00DB1C47" w:rsidRPr="00673A3E" w:rsidRDefault="00DB1C47" w:rsidP="00FD7DCC">
            <w:pPr>
              <w:spacing w:after="0" w:line="259" w:lineRule="auto"/>
              <w:rPr>
                <w:rFonts w:ascii="Times New Roman" w:hAnsi="Times New Roman" w:cs="Times New Roman"/>
                <w:b/>
                <w:sz w:val="26"/>
                <w:szCs w:val="26"/>
              </w:rPr>
            </w:pPr>
            <w:r w:rsidRPr="00673A3E">
              <w:rPr>
                <w:rFonts w:ascii="Times New Roman" w:hAnsi="Times New Roman" w:cs="Times New Roman"/>
                <w:b/>
                <w:sz w:val="26"/>
                <w:szCs w:val="26"/>
              </w:rPr>
              <w:t>Average Burden &amp; Cost Per Response</w:t>
            </w:r>
            <w:r w:rsidRPr="00673A3E">
              <w:rPr>
                <w:rFonts w:ascii="Times New Roman" w:hAnsi="Times New Roman" w:cs="Times New Roman"/>
                <w:b/>
                <w:sz w:val="26"/>
                <w:szCs w:val="26"/>
                <w:vertAlign w:val="superscript"/>
              </w:rPr>
              <w:footnoteReference w:id="5"/>
            </w:r>
          </w:p>
          <w:p w14:paraId="15CADA7B" w14:textId="77777777" w:rsidR="00DB1C47" w:rsidRPr="00673A3E" w:rsidRDefault="00DB1C47" w:rsidP="00FD7DCC">
            <w:pPr>
              <w:spacing w:after="0" w:line="259" w:lineRule="auto"/>
              <w:rPr>
                <w:rFonts w:ascii="Times New Roman" w:hAnsi="Times New Roman" w:cs="Times New Roman"/>
                <w:b/>
                <w:sz w:val="26"/>
                <w:szCs w:val="26"/>
              </w:rPr>
            </w:pPr>
            <w:r w:rsidRPr="00673A3E">
              <w:rPr>
                <w:rFonts w:ascii="Times New Roman" w:hAnsi="Times New Roman" w:cs="Times New Roman"/>
                <w:b/>
                <w:sz w:val="26"/>
                <w:szCs w:val="26"/>
              </w:rPr>
              <w:t>(4)</w:t>
            </w:r>
          </w:p>
        </w:tc>
        <w:tc>
          <w:tcPr>
            <w:tcW w:w="665" w:type="pct"/>
            <w:shd w:val="clear" w:color="auto" w:fill="D9D9D9"/>
            <w:vAlign w:val="bottom"/>
          </w:tcPr>
          <w:p w14:paraId="222C54FC" w14:textId="77777777" w:rsidR="00DB1C47" w:rsidRPr="00673A3E" w:rsidRDefault="00DB1C47" w:rsidP="00FD7DCC">
            <w:pPr>
              <w:spacing w:after="0" w:line="259" w:lineRule="auto"/>
              <w:rPr>
                <w:rFonts w:ascii="Times New Roman" w:hAnsi="Times New Roman" w:cs="Times New Roman"/>
                <w:b/>
                <w:sz w:val="26"/>
                <w:szCs w:val="26"/>
              </w:rPr>
            </w:pPr>
            <w:r w:rsidRPr="00673A3E">
              <w:rPr>
                <w:rFonts w:ascii="Times New Roman" w:hAnsi="Times New Roman" w:cs="Times New Roman"/>
                <w:b/>
                <w:sz w:val="26"/>
                <w:szCs w:val="26"/>
              </w:rPr>
              <w:t>Total Annual Burden Hours (Total Annual Cost)</w:t>
            </w:r>
          </w:p>
          <w:p w14:paraId="19C51925" w14:textId="77777777" w:rsidR="00DB1C47" w:rsidRPr="00673A3E" w:rsidRDefault="00DB1C47" w:rsidP="00FD7DCC">
            <w:pPr>
              <w:spacing w:after="0" w:line="259" w:lineRule="auto"/>
              <w:rPr>
                <w:rFonts w:ascii="Times New Roman" w:hAnsi="Times New Roman" w:cs="Times New Roman"/>
                <w:b/>
                <w:sz w:val="26"/>
                <w:szCs w:val="26"/>
              </w:rPr>
            </w:pPr>
            <w:r w:rsidRPr="00673A3E">
              <w:rPr>
                <w:rFonts w:ascii="Times New Roman" w:hAnsi="Times New Roman" w:cs="Times New Roman"/>
                <w:b/>
                <w:sz w:val="26"/>
                <w:szCs w:val="26"/>
              </w:rPr>
              <w:t>(3)*(4)=(5)</w:t>
            </w:r>
          </w:p>
        </w:tc>
        <w:tc>
          <w:tcPr>
            <w:tcW w:w="943" w:type="pct"/>
            <w:shd w:val="clear" w:color="auto" w:fill="D9D9D9"/>
            <w:vAlign w:val="bottom"/>
          </w:tcPr>
          <w:p w14:paraId="396272DD" w14:textId="77777777" w:rsidR="00DB1C47" w:rsidRPr="00673A3E" w:rsidRDefault="00DB1C47" w:rsidP="00FD7DCC">
            <w:pPr>
              <w:spacing w:after="0" w:line="259" w:lineRule="auto"/>
              <w:rPr>
                <w:rFonts w:ascii="Times New Roman" w:hAnsi="Times New Roman" w:cs="Times New Roman"/>
                <w:b/>
                <w:sz w:val="26"/>
                <w:szCs w:val="26"/>
              </w:rPr>
            </w:pPr>
            <w:r w:rsidRPr="00673A3E">
              <w:rPr>
                <w:rFonts w:ascii="Times New Roman" w:hAnsi="Times New Roman" w:cs="Times New Roman"/>
                <w:b/>
                <w:sz w:val="26"/>
                <w:szCs w:val="26"/>
              </w:rPr>
              <w:t>Cost per Respondent</w:t>
            </w:r>
          </w:p>
          <w:p w14:paraId="10DD5AA2" w14:textId="77777777" w:rsidR="00DB1C47" w:rsidRPr="00673A3E" w:rsidRDefault="00DB1C47" w:rsidP="00FD7DCC">
            <w:pPr>
              <w:spacing w:after="0" w:line="259" w:lineRule="auto"/>
              <w:rPr>
                <w:rFonts w:ascii="Times New Roman" w:hAnsi="Times New Roman" w:cs="Times New Roman"/>
                <w:b/>
                <w:sz w:val="26"/>
                <w:szCs w:val="26"/>
              </w:rPr>
            </w:pPr>
            <w:r w:rsidRPr="00673A3E">
              <w:rPr>
                <w:rFonts w:ascii="Times New Roman" w:hAnsi="Times New Roman" w:cs="Times New Roman"/>
                <w:b/>
                <w:sz w:val="26"/>
                <w:szCs w:val="26"/>
              </w:rPr>
              <w:t xml:space="preserve"> ($)</w:t>
            </w:r>
          </w:p>
          <w:p w14:paraId="16EAC43B" w14:textId="77777777" w:rsidR="00DB1C47" w:rsidRPr="00673A3E" w:rsidRDefault="00DB1C47" w:rsidP="00FD7DCC">
            <w:pPr>
              <w:spacing w:after="0" w:line="259" w:lineRule="auto"/>
              <w:rPr>
                <w:rFonts w:ascii="Times New Roman" w:hAnsi="Times New Roman" w:cs="Times New Roman"/>
                <w:b/>
                <w:sz w:val="26"/>
                <w:szCs w:val="26"/>
              </w:rPr>
            </w:pPr>
            <w:r w:rsidRPr="00673A3E">
              <w:rPr>
                <w:rFonts w:ascii="Times New Roman" w:hAnsi="Times New Roman" w:cs="Times New Roman"/>
                <w:b/>
                <w:sz w:val="26"/>
                <w:szCs w:val="26"/>
              </w:rPr>
              <w:t>(5)÷(1)</w:t>
            </w:r>
          </w:p>
        </w:tc>
      </w:tr>
      <w:tr w:rsidR="00DB1C47" w:rsidRPr="00673A3E" w14:paraId="2F8DB60E" w14:textId="77777777" w:rsidTr="00970DCF">
        <w:trPr>
          <w:cantSplit/>
          <w:trHeight w:val="2177"/>
        </w:trPr>
        <w:tc>
          <w:tcPr>
            <w:tcW w:w="558" w:type="pct"/>
            <w:tcBorders>
              <w:top w:val="single" w:sz="4" w:space="0" w:color="auto"/>
              <w:left w:val="single" w:sz="4" w:space="0" w:color="auto"/>
              <w:bottom w:val="single" w:sz="4" w:space="0" w:color="auto"/>
              <w:right w:val="single" w:sz="4" w:space="0" w:color="auto"/>
            </w:tcBorders>
            <w:shd w:val="clear" w:color="auto" w:fill="auto"/>
            <w:vAlign w:val="bottom"/>
          </w:tcPr>
          <w:p w14:paraId="35B9D1F3" w14:textId="77777777" w:rsidR="00DB1C47" w:rsidRPr="00970DCF" w:rsidRDefault="00DB1C47" w:rsidP="00970DCF">
            <w:pPr>
              <w:spacing w:after="0" w:line="259" w:lineRule="auto"/>
              <w:jc w:val="right"/>
              <w:rPr>
                <w:rFonts w:ascii="Times New Roman" w:hAnsi="Times New Roman" w:cs="Times New Roman"/>
                <w:sz w:val="26"/>
                <w:szCs w:val="26"/>
              </w:rPr>
            </w:pPr>
            <w:r w:rsidRPr="00970DCF">
              <w:rPr>
                <w:rFonts w:ascii="Times New Roman" w:hAnsi="Times New Roman" w:cs="Times New Roman"/>
                <w:sz w:val="26"/>
                <w:szCs w:val="26"/>
              </w:rPr>
              <w:t>FERC-519 (FPA Section 203 Filings)</w:t>
            </w:r>
            <w:r w:rsidRPr="00970DCF">
              <w:rPr>
                <w:rFonts w:ascii="Times New Roman" w:hAnsi="Times New Roman" w:cs="Times New Roman"/>
                <w:b/>
                <w:sz w:val="26"/>
                <w:szCs w:val="26"/>
                <w:vertAlign w:val="superscript"/>
              </w:rPr>
              <w:footnoteReference w:id="6"/>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34B829ED" w14:textId="77777777" w:rsidR="00DB1C47" w:rsidRPr="00970DCF" w:rsidRDefault="00DB1C47" w:rsidP="008F2062">
            <w:pPr>
              <w:spacing w:after="0" w:line="259" w:lineRule="auto"/>
              <w:jc w:val="right"/>
              <w:rPr>
                <w:rFonts w:ascii="Times New Roman" w:hAnsi="Times New Roman" w:cs="Times New Roman"/>
                <w:sz w:val="26"/>
                <w:szCs w:val="26"/>
              </w:rPr>
            </w:pPr>
            <w:r w:rsidRPr="00970DCF">
              <w:rPr>
                <w:rFonts w:ascii="Times New Roman" w:hAnsi="Times New Roman" w:cs="Times New Roman"/>
                <w:sz w:val="26"/>
                <w:szCs w:val="26"/>
              </w:rPr>
              <w:t>26</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tcPr>
          <w:p w14:paraId="182D29FD" w14:textId="77777777" w:rsidR="00DB1C47" w:rsidRPr="00970DCF" w:rsidRDefault="00DB1C47">
            <w:pPr>
              <w:spacing w:after="0" w:line="259" w:lineRule="auto"/>
              <w:jc w:val="right"/>
              <w:rPr>
                <w:rFonts w:ascii="Times New Roman" w:hAnsi="Times New Roman" w:cs="Times New Roman"/>
                <w:sz w:val="26"/>
                <w:szCs w:val="26"/>
              </w:rPr>
            </w:pPr>
            <w:r w:rsidRPr="00970DCF">
              <w:rPr>
                <w:rFonts w:ascii="Times New Roman" w:hAnsi="Times New Roman" w:cs="Times New Roman"/>
                <w:sz w:val="26"/>
                <w:szCs w:val="26"/>
              </w:rPr>
              <w:t>1</w:t>
            </w:r>
          </w:p>
        </w:tc>
        <w:tc>
          <w:tcPr>
            <w:tcW w:w="665" w:type="pct"/>
            <w:tcBorders>
              <w:top w:val="single" w:sz="4" w:space="0" w:color="auto"/>
              <w:left w:val="single" w:sz="4" w:space="0" w:color="auto"/>
              <w:bottom w:val="single" w:sz="4" w:space="0" w:color="auto"/>
              <w:right w:val="single" w:sz="4" w:space="0" w:color="auto"/>
            </w:tcBorders>
            <w:shd w:val="clear" w:color="auto" w:fill="auto"/>
            <w:vAlign w:val="bottom"/>
          </w:tcPr>
          <w:p w14:paraId="17B08DED" w14:textId="77777777" w:rsidR="00DB1C47" w:rsidRPr="00970DCF" w:rsidRDefault="00DB1C47">
            <w:pPr>
              <w:spacing w:after="0" w:line="259" w:lineRule="auto"/>
              <w:jc w:val="right"/>
              <w:rPr>
                <w:rFonts w:ascii="Times New Roman" w:hAnsi="Times New Roman" w:cs="Times New Roman"/>
                <w:sz w:val="26"/>
                <w:szCs w:val="26"/>
              </w:rPr>
            </w:pPr>
            <w:r w:rsidRPr="00970DCF">
              <w:rPr>
                <w:rFonts w:ascii="Times New Roman" w:hAnsi="Times New Roman" w:cs="Times New Roman"/>
                <w:sz w:val="26"/>
                <w:szCs w:val="26"/>
              </w:rPr>
              <w:t>26</w:t>
            </w:r>
          </w:p>
        </w:tc>
        <w:tc>
          <w:tcPr>
            <w:tcW w:w="675" w:type="pct"/>
            <w:tcBorders>
              <w:top w:val="single" w:sz="4" w:space="0" w:color="auto"/>
              <w:left w:val="single" w:sz="4" w:space="0" w:color="auto"/>
              <w:bottom w:val="single" w:sz="4" w:space="0" w:color="auto"/>
              <w:right w:val="single" w:sz="4" w:space="0" w:color="auto"/>
            </w:tcBorders>
            <w:shd w:val="clear" w:color="auto" w:fill="auto"/>
            <w:vAlign w:val="bottom"/>
          </w:tcPr>
          <w:p w14:paraId="6B418DB8" w14:textId="77777777" w:rsidR="00DB1C47" w:rsidRPr="00970DCF" w:rsidRDefault="00DB1C47">
            <w:pPr>
              <w:spacing w:after="0" w:line="259" w:lineRule="auto"/>
              <w:jc w:val="right"/>
              <w:rPr>
                <w:rFonts w:ascii="Times New Roman" w:hAnsi="Times New Roman" w:cs="Times New Roman"/>
                <w:sz w:val="26"/>
                <w:szCs w:val="26"/>
              </w:rPr>
            </w:pPr>
            <w:r w:rsidRPr="00970DCF">
              <w:rPr>
                <w:rFonts w:ascii="Times New Roman" w:hAnsi="Times New Roman" w:cs="Times New Roman"/>
                <w:sz w:val="26"/>
                <w:szCs w:val="26"/>
              </w:rPr>
              <w:t>1 hr.</w:t>
            </w:r>
            <w:r w:rsidRPr="00970DCF">
              <w:rPr>
                <w:rFonts w:ascii="Times New Roman" w:hAnsi="Times New Roman" w:cs="Times New Roman"/>
                <w:sz w:val="26"/>
                <w:szCs w:val="26"/>
                <w:vertAlign w:val="superscript"/>
              </w:rPr>
              <w:footnoteReference w:id="7"/>
            </w:r>
            <w:r w:rsidRPr="00970DCF">
              <w:rPr>
                <w:rFonts w:ascii="Times New Roman" w:hAnsi="Times New Roman" w:cs="Times New Roman"/>
                <w:sz w:val="26"/>
                <w:szCs w:val="26"/>
              </w:rPr>
              <w:t xml:space="preserve">; </w:t>
            </w:r>
          </w:p>
          <w:p w14:paraId="4CE6B6C4" w14:textId="77777777" w:rsidR="00DB1C47" w:rsidRPr="00970DCF" w:rsidRDefault="00DB1C47">
            <w:pPr>
              <w:spacing w:after="0" w:line="259" w:lineRule="auto"/>
              <w:jc w:val="right"/>
              <w:rPr>
                <w:rFonts w:ascii="Times New Roman" w:hAnsi="Times New Roman" w:cs="Times New Roman"/>
                <w:sz w:val="26"/>
                <w:szCs w:val="26"/>
              </w:rPr>
            </w:pPr>
            <w:r w:rsidRPr="00970DCF">
              <w:rPr>
                <w:rFonts w:ascii="Times New Roman" w:hAnsi="Times New Roman" w:cs="Times New Roman"/>
                <w:sz w:val="26"/>
                <w:szCs w:val="26"/>
              </w:rPr>
              <w:t>$79.00</w:t>
            </w:r>
          </w:p>
        </w:tc>
        <w:tc>
          <w:tcPr>
            <w:tcW w:w="665" w:type="pct"/>
            <w:tcBorders>
              <w:top w:val="single" w:sz="4" w:space="0" w:color="auto"/>
              <w:left w:val="single" w:sz="4" w:space="0" w:color="auto"/>
              <w:bottom w:val="single" w:sz="4" w:space="0" w:color="auto"/>
              <w:right w:val="single" w:sz="4" w:space="0" w:color="auto"/>
            </w:tcBorders>
            <w:shd w:val="clear" w:color="auto" w:fill="auto"/>
            <w:vAlign w:val="bottom"/>
          </w:tcPr>
          <w:p w14:paraId="49FE5ED6" w14:textId="77777777" w:rsidR="00DB1C47" w:rsidRPr="00970DCF" w:rsidRDefault="00DB1C47">
            <w:pPr>
              <w:spacing w:after="0" w:line="259" w:lineRule="auto"/>
              <w:jc w:val="right"/>
              <w:rPr>
                <w:rFonts w:ascii="Times New Roman" w:hAnsi="Times New Roman" w:cs="Times New Roman"/>
                <w:sz w:val="26"/>
                <w:szCs w:val="26"/>
              </w:rPr>
            </w:pPr>
            <w:r w:rsidRPr="00970DCF">
              <w:rPr>
                <w:rFonts w:ascii="Times New Roman" w:hAnsi="Times New Roman" w:cs="Times New Roman"/>
                <w:sz w:val="26"/>
                <w:szCs w:val="26"/>
              </w:rPr>
              <w:t>26 hrs.; $2,054</w:t>
            </w:r>
          </w:p>
        </w:tc>
        <w:tc>
          <w:tcPr>
            <w:tcW w:w="943" w:type="pct"/>
            <w:shd w:val="clear" w:color="auto" w:fill="auto"/>
            <w:vAlign w:val="bottom"/>
          </w:tcPr>
          <w:p w14:paraId="3E890538" w14:textId="77777777" w:rsidR="00DB1C47" w:rsidRPr="00970DCF" w:rsidRDefault="00DB1C47">
            <w:pPr>
              <w:spacing w:after="0" w:line="259" w:lineRule="auto"/>
              <w:jc w:val="right"/>
              <w:rPr>
                <w:rFonts w:ascii="Times New Roman" w:hAnsi="Times New Roman" w:cs="Times New Roman"/>
                <w:sz w:val="26"/>
                <w:szCs w:val="26"/>
              </w:rPr>
            </w:pPr>
          </w:p>
          <w:p w14:paraId="299A0824" w14:textId="77777777" w:rsidR="00DB1C47" w:rsidRPr="00970DCF" w:rsidRDefault="00DB1C47">
            <w:pPr>
              <w:spacing w:after="0" w:line="259" w:lineRule="auto"/>
              <w:jc w:val="right"/>
              <w:rPr>
                <w:rFonts w:ascii="Times New Roman" w:hAnsi="Times New Roman" w:cs="Times New Roman"/>
                <w:sz w:val="26"/>
                <w:szCs w:val="26"/>
              </w:rPr>
            </w:pPr>
          </w:p>
          <w:p w14:paraId="15371BE8" w14:textId="77777777" w:rsidR="00DB1C47" w:rsidRPr="00970DCF" w:rsidRDefault="00DB1C47">
            <w:pPr>
              <w:spacing w:after="0" w:line="259" w:lineRule="auto"/>
              <w:jc w:val="right"/>
              <w:rPr>
                <w:rFonts w:ascii="Times New Roman" w:hAnsi="Times New Roman" w:cs="Times New Roman"/>
                <w:sz w:val="26"/>
                <w:szCs w:val="26"/>
              </w:rPr>
            </w:pPr>
          </w:p>
          <w:p w14:paraId="7E364A0D" w14:textId="77777777" w:rsidR="00DB1C47" w:rsidRPr="00970DCF" w:rsidRDefault="00DB1C47">
            <w:pPr>
              <w:spacing w:after="0" w:line="259" w:lineRule="auto"/>
              <w:jc w:val="right"/>
              <w:rPr>
                <w:rFonts w:ascii="Times New Roman" w:hAnsi="Times New Roman" w:cs="Times New Roman"/>
                <w:sz w:val="26"/>
                <w:szCs w:val="26"/>
              </w:rPr>
            </w:pPr>
          </w:p>
          <w:p w14:paraId="03C3CC76" w14:textId="77777777" w:rsidR="00DB1C47" w:rsidRPr="00970DCF" w:rsidRDefault="00DB1C47">
            <w:pPr>
              <w:spacing w:after="0" w:line="259" w:lineRule="auto"/>
              <w:jc w:val="right"/>
              <w:rPr>
                <w:rFonts w:ascii="Times New Roman" w:hAnsi="Times New Roman" w:cs="Times New Roman"/>
                <w:sz w:val="26"/>
                <w:szCs w:val="26"/>
              </w:rPr>
            </w:pPr>
          </w:p>
          <w:p w14:paraId="09878889" w14:textId="77777777" w:rsidR="00DB1C47" w:rsidRPr="00970DCF" w:rsidRDefault="00DB1C47">
            <w:pPr>
              <w:spacing w:after="0" w:line="259" w:lineRule="auto"/>
              <w:jc w:val="right"/>
              <w:rPr>
                <w:rFonts w:ascii="Times New Roman" w:hAnsi="Times New Roman" w:cs="Times New Roman"/>
                <w:sz w:val="26"/>
                <w:szCs w:val="26"/>
              </w:rPr>
            </w:pPr>
            <w:r w:rsidRPr="00970DCF">
              <w:rPr>
                <w:rFonts w:ascii="Times New Roman" w:hAnsi="Times New Roman" w:cs="Times New Roman"/>
                <w:sz w:val="26"/>
                <w:szCs w:val="26"/>
              </w:rPr>
              <w:t>$79.00</w:t>
            </w:r>
          </w:p>
        </w:tc>
      </w:tr>
    </w:tbl>
    <w:p w14:paraId="6A8DF918" w14:textId="77777777" w:rsidR="00DB1C47" w:rsidRPr="00EB755D" w:rsidRDefault="00DB1C47" w:rsidP="00DB1C47">
      <w:pPr>
        <w:pStyle w:val="FERCparanumber"/>
        <w:numPr>
          <w:ilvl w:val="0"/>
          <w:numId w:val="0"/>
        </w:numPr>
        <w:spacing w:line="240" w:lineRule="auto"/>
        <w:rPr>
          <w:szCs w:val="26"/>
        </w:rPr>
      </w:pPr>
    </w:p>
    <w:p w14:paraId="639A0EE5" w14:textId="77777777" w:rsidR="00DB1C47" w:rsidRPr="00EB755D" w:rsidRDefault="00DB1C47" w:rsidP="00DB1C47">
      <w:pPr>
        <w:pStyle w:val="ListParagraph"/>
        <w:numPr>
          <w:ilvl w:val="0"/>
          <w:numId w:val="1"/>
        </w:numPr>
        <w:spacing w:after="0" w:line="240" w:lineRule="auto"/>
        <w:ind w:left="360"/>
        <w:rPr>
          <w:rFonts w:ascii="Times New Roman" w:hAnsi="Times New Roman" w:cs="Times New Roman"/>
          <w:b/>
          <w:sz w:val="26"/>
          <w:szCs w:val="26"/>
        </w:rPr>
      </w:pPr>
      <w:r w:rsidRPr="00EB755D">
        <w:rPr>
          <w:rFonts w:ascii="Times New Roman" w:hAnsi="Times New Roman" w:cs="Times New Roman"/>
          <w:b/>
          <w:sz w:val="26"/>
          <w:szCs w:val="26"/>
        </w:rPr>
        <w:t>ESTIMATE OF THE TOTAL ANNUAL COST BURDEN TO RESPONDENTS</w:t>
      </w:r>
    </w:p>
    <w:p w14:paraId="283A46BA" w14:textId="77777777" w:rsidR="00DB1C47" w:rsidRPr="00EB755D" w:rsidRDefault="00DB1C47" w:rsidP="00DB1C47">
      <w:pPr>
        <w:spacing w:after="0" w:line="240" w:lineRule="auto"/>
        <w:rPr>
          <w:rFonts w:ascii="Times New Roman" w:hAnsi="Times New Roman" w:cs="Times New Roman"/>
          <w:sz w:val="26"/>
          <w:szCs w:val="26"/>
        </w:rPr>
      </w:pPr>
    </w:p>
    <w:p w14:paraId="5EB817BF" w14:textId="77777777" w:rsidR="001C61CB" w:rsidRPr="001C61CB" w:rsidRDefault="001C61CB" w:rsidP="001C61CB">
      <w:pPr>
        <w:spacing w:after="0" w:line="240" w:lineRule="auto"/>
        <w:rPr>
          <w:rFonts w:ascii="Times New Roman" w:hAnsi="Times New Roman" w:cs="Times New Roman"/>
          <w:sz w:val="26"/>
          <w:szCs w:val="26"/>
        </w:rPr>
      </w:pPr>
      <w:r w:rsidRPr="001C61CB">
        <w:rPr>
          <w:rFonts w:ascii="Times New Roman" w:hAnsi="Times New Roman" w:cs="Times New Roman"/>
          <w:sz w:val="26"/>
          <w:szCs w:val="26"/>
        </w:rPr>
        <w:t>There are no start-up or other non-labor costs.</w:t>
      </w:r>
    </w:p>
    <w:p w14:paraId="5773F3D8" w14:textId="77777777" w:rsidR="001C61CB" w:rsidRPr="001C61CB" w:rsidRDefault="001C61CB" w:rsidP="001C61CB">
      <w:pPr>
        <w:spacing w:after="0" w:line="240" w:lineRule="auto"/>
        <w:rPr>
          <w:rFonts w:ascii="Times New Roman" w:hAnsi="Times New Roman" w:cs="Times New Roman"/>
          <w:sz w:val="26"/>
          <w:szCs w:val="26"/>
        </w:rPr>
      </w:pPr>
    </w:p>
    <w:p w14:paraId="165E902B" w14:textId="77777777" w:rsidR="001C61CB" w:rsidRPr="001C61CB" w:rsidRDefault="001C61CB" w:rsidP="001C61CB">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Pr="001C61CB">
        <w:rPr>
          <w:rFonts w:ascii="Times New Roman" w:hAnsi="Times New Roman" w:cs="Times New Roman"/>
          <w:sz w:val="26"/>
          <w:szCs w:val="26"/>
        </w:rPr>
        <w:t>Total Capital and Start-up cost: $0</w:t>
      </w:r>
    </w:p>
    <w:p w14:paraId="44CD8E46" w14:textId="77777777" w:rsidR="001C61CB" w:rsidRPr="001C61CB" w:rsidRDefault="001C61CB" w:rsidP="001C61CB">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Pr="001C61CB">
        <w:rPr>
          <w:rFonts w:ascii="Times New Roman" w:hAnsi="Times New Roman" w:cs="Times New Roman"/>
          <w:sz w:val="26"/>
          <w:szCs w:val="26"/>
        </w:rPr>
        <w:t>Total Operation, Maintenance, and Purchase of Services: $0</w:t>
      </w:r>
    </w:p>
    <w:p w14:paraId="1CD7E64E" w14:textId="77777777" w:rsidR="001C61CB" w:rsidRPr="001C61CB" w:rsidRDefault="001C61CB" w:rsidP="001C61CB">
      <w:pPr>
        <w:spacing w:after="0" w:line="240" w:lineRule="auto"/>
        <w:rPr>
          <w:rFonts w:ascii="Times New Roman" w:hAnsi="Times New Roman" w:cs="Times New Roman"/>
          <w:sz w:val="26"/>
          <w:szCs w:val="26"/>
        </w:rPr>
      </w:pPr>
    </w:p>
    <w:p w14:paraId="21AAEDC5" w14:textId="21F0980D" w:rsidR="001C61CB" w:rsidRPr="001C61CB" w:rsidRDefault="001C61CB" w:rsidP="001C61CB">
      <w:pPr>
        <w:spacing w:after="0" w:line="240" w:lineRule="auto"/>
        <w:rPr>
          <w:rFonts w:ascii="Times New Roman" w:hAnsi="Times New Roman" w:cs="Times New Roman"/>
          <w:sz w:val="26"/>
          <w:szCs w:val="26"/>
        </w:rPr>
      </w:pPr>
      <w:r w:rsidRPr="001C61CB">
        <w:rPr>
          <w:rFonts w:ascii="Times New Roman" w:hAnsi="Times New Roman" w:cs="Times New Roman"/>
          <w:sz w:val="26"/>
          <w:szCs w:val="26"/>
        </w:rPr>
        <w:t>All of the costs in the information collection are associated with burden hours (labor) and discussed in Questions #12 and #15.</w:t>
      </w:r>
    </w:p>
    <w:p w14:paraId="35705138" w14:textId="77777777" w:rsidR="00DB1C47" w:rsidRPr="00EB755D" w:rsidRDefault="00DB1C47" w:rsidP="00DB1C47">
      <w:pPr>
        <w:spacing w:after="0" w:line="240" w:lineRule="auto"/>
        <w:rPr>
          <w:rFonts w:ascii="Times New Roman" w:hAnsi="Times New Roman" w:cs="Times New Roman"/>
          <w:sz w:val="26"/>
          <w:szCs w:val="26"/>
        </w:rPr>
      </w:pPr>
    </w:p>
    <w:p w14:paraId="30E8A317" w14:textId="77777777" w:rsidR="00DB1C47" w:rsidRPr="00EB755D" w:rsidRDefault="00DB1C47" w:rsidP="00DB1C47">
      <w:pPr>
        <w:pStyle w:val="ListParagraph"/>
        <w:numPr>
          <w:ilvl w:val="0"/>
          <w:numId w:val="1"/>
        </w:numPr>
        <w:spacing w:after="0" w:line="240" w:lineRule="auto"/>
        <w:ind w:left="360"/>
        <w:rPr>
          <w:rFonts w:ascii="Times New Roman" w:hAnsi="Times New Roman" w:cs="Times New Roman"/>
          <w:b/>
          <w:sz w:val="26"/>
          <w:szCs w:val="26"/>
        </w:rPr>
      </w:pPr>
      <w:r w:rsidRPr="00EB755D">
        <w:rPr>
          <w:rFonts w:ascii="Times New Roman" w:hAnsi="Times New Roman" w:cs="Times New Roman"/>
          <w:b/>
          <w:sz w:val="26"/>
          <w:szCs w:val="26"/>
        </w:rPr>
        <w:t>ESTIMATED ANNUALIZED COST TO FEDERAL GOVERNMENT</w:t>
      </w:r>
    </w:p>
    <w:p w14:paraId="67C589B6" w14:textId="77777777" w:rsidR="001C61CB" w:rsidRDefault="001C61CB" w:rsidP="001C61CB">
      <w:pPr>
        <w:spacing w:after="0" w:line="240" w:lineRule="auto"/>
        <w:rPr>
          <w:rFonts w:ascii="Times New Roman" w:hAnsi="Times New Roman" w:cs="Times New Roman"/>
          <w:sz w:val="26"/>
          <w:szCs w:val="26"/>
        </w:rPr>
      </w:pPr>
    </w:p>
    <w:p w14:paraId="2040FB96" w14:textId="77777777" w:rsidR="001C61CB" w:rsidRPr="001C61CB" w:rsidRDefault="001C61CB" w:rsidP="001C61CB">
      <w:pPr>
        <w:spacing w:after="0" w:line="240" w:lineRule="auto"/>
        <w:rPr>
          <w:rFonts w:ascii="Times New Roman" w:hAnsi="Times New Roman" w:cs="Times New Roman"/>
          <w:sz w:val="26"/>
          <w:szCs w:val="26"/>
        </w:rPr>
      </w:pPr>
      <w:r w:rsidRPr="001C61CB">
        <w:rPr>
          <w:rFonts w:ascii="Times New Roman" w:hAnsi="Times New Roman" w:cs="Times New Roman"/>
          <w:sz w:val="26"/>
          <w:szCs w:val="26"/>
        </w:rPr>
        <w:t>The estimate of the cost for analysis and processing of filings is based on salaries and benefits for professional and clerical support.  This estimated cost represents staff analysis, decision-making, and review of any actual filings submitted in response to the information collection.</w:t>
      </w:r>
    </w:p>
    <w:p w14:paraId="7800759E" w14:textId="77777777" w:rsidR="001C61CB" w:rsidRPr="001C61CB" w:rsidRDefault="001C61CB" w:rsidP="001C61CB">
      <w:pPr>
        <w:spacing w:after="0" w:line="240" w:lineRule="auto"/>
        <w:rPr>
          <w:rFonts w:ascii="Times New Roman" w:hAnsi="Times New Roman" w:cs="Times New Roman"/>
          <w:sz w:val="26"/>
          <w:szCs w:val="26"/>
        </w:rPr>
      </w:pPr>
    </w:p>
    <w:p w14:paraId="44AD1D38" w14:textId="77777777" w:rsidR="00DB1C47" w:rsidRDefault="001C61CB" w:rsidP="001C61CB">
      <w:pPr>
        <w:spacing w:after="0" w:line="240" w:lineRule="auto"/>
        <w:rPr>
          <w:rFonts w:ascii="Times New Roman" w:hAnsi="Times New Roman" w:cs="Times New Roman"/>
          <w:sz w:val="26"/>
          <w:szCs w:val="26"/>
        </w:rPr>
      </w:pPr>
      <w:r w:rsidRPr="001C61CB">
        <w:rPr>
          <w:rFonts w:ascii="Times New Roman" w:hAnsi="Times New Roman" w:cs="Times New Roman"/>
          <w:sz w:val="26"/>
          <w:szCs w:val="26"/>
        </w:rPr>
        <w:t>The PRA Administrative Cost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14:paraId="4046B9B2" w14:textId="77777777" w:rsidR="001D0CE2" w:rsidRDefault="001D0CE2" w:rsidP="001C61CB">
      <w:pPr>
        <w:spacing w:after="0" w:line="240" w:lineRule="auto"/>
        <w:rPr>
          <w:rFonts w:ascii="Times New Roman" w:hAnsi="Times New Roman" w:cs="Times New Roman"/>
          <w:sz w:val="26"/>
          <w:szCs w:val="26"/>
        </w:rPr>
      </w:pPr>
    </w:p>
    <w:p w14:paraId="0C032F76" w14:textId="532BA2A8" w:rsidR="00DB1C47" w:rsidRPr="00EB755D" w:rsidRDefault="002E6E5E" w:rsidP="00DB1C4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only additional cost/changes are the clearance </w:t>
      </w:r>
      <w:r w:rsidRPr="00A7609A">
        <w:rPr>
          <w:rFonts w:ascii="Times New Roman" w:hAnsi="Times New Roman" w:cs="Times New Roman"/>
          <w:sz w:val="26"/>
          <w:szCs w:val="26"/>
        </w:rPr>
        <w:t>cost ($4,931</w:t>
      </w:r>
      <w:r w:rsidR="00D84CBC" w:rsidRPr="00A7609A">
        <w:rPr>
          <w:rFonts w:ascii="Times New Roman" w:hAnsi="Times New Roman" w:cs="Times New Roman"/>
          <w:sz w:val="26"/>
          <w:szCs w:val="26"/>
        </w:rPr>
        <w:t>)</w:t>
      </w:r>
      <w:r w:rsidRPr="00A7609A">
        <w:rPr>
          <w:rFonts w:ascii="Times New Roman" w:hAnsi="Times New Roman" w:cs="Times New Roman"/>
          <w:sz w:val="26"/>
          <w:szCs w:val="26"/>
        </w:rPr>
        <w:t xml:space="preserve"> to </w:t>
      </w:r>
      <w:r w:rsidR="00D84CBC" w:rsidRPr="00A7609A">
        <w:rPr>
          <w:rFonts w:ascii="Times New Roman" w:hAnsi="Times New Roman" w:cs="Times New Roman"/>
          <w:sz w:val="26"/>
          <w:szCs w:val="26"/>
        </w:rPr>
        <w:t xml:space="preserve">be added to </w:t>
      </w:r>
      <w:r w:rsidRPr="00A7609A">
        <w:rPr>
          <w:rFonts w:ascii="Times New Roman" w:hAnsi="Times New Roman" w:cs="Times New Roman"/>
          <w:sz w:val="26"/>
          <w:szCs w:val="26"/>
        </w:rPr>
        <w:t>the</w:t>
      </w:r>
      <w:r w:rsidR="00A7609A" w:rsidRPr="00A7609A">
        <w:rPr>
          <w:rFonts w:ascii="Times New Roman" w:hAnsi="Times New Roman" w:cs="Times New Roman"/>
          <w:sz w:val="26"/>
          <w:szCs w:val="26"/>
        </w:rPr>
        <w:t xml:space="preserve"> current cost of</w:t>
      </w:r>
      <w:r w:rsidRPr="00A7609A">
        <w:rPr>
          <w:rFonts w:ascii="Times New Roman" w:hAnsi="Times New Roman" w:cs="Times New Roman"/>
          <w:sz w:val="26"/>
          <w:szCs w:val="26"/>
        </w:rPr>
        <w:t xml:space="preserve"> </w:t>
      </w:r>
      <w:r w:rsidR="00D84CBC" w:rsidRPr="00A7609A">
        <w:rPr>
          <w:rFonts w:ascii="Times New Roman" w:hAnsi="Times New Roman" w:cs="Times New Roman"/>
          <w:sz w:val="26"/>
          <w:szCs w:val="26"/>
        </w:rPr>
        <w:t>$</w:t>
      </w:r>
      <w:r w:rsidRPr="00A7609A">
        <w:rPr>
          <w:rFonts w:ascii="Times New Roman" w:hAnsi="Times New Roman" w:cs="Times New Roman"/>
          <w:sz w:val="26"/>
          <w:szCs w:val="26"/>
        </w:rPr>
        <w:t>1,191,515 in ROCIS)</w:t>
      </w:r>
      <w:r w:rsidR="00D84CBC" w:rsidRPr="00A7609A">
        <w:rPr>
          <w:rFonts w:ascii="Times New Roman" w:hAnsi="Times New Roman" w:cs="Times New Roman"/>
          <w:sz w:val="26"/>
          <w:szCs w:val="26"/>
        </w:rPr>
        <w:t xml:space="preserve">, giving a new total of </w:t>
      </w:r>
      <w:r w:rsidR="00D0178E" w:rsidRPr="00A7609A">
        <w:rPr>
          <w:rFonts w:ascii="Times New Roman" w:hAnsi="Times New Roman" w:cs="Times New Roman"/>
          <w:sz w:val="26"/>
          <w:szCs w:val="26"/>
        </w:rPr>
        <w:t>1,196,446</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DB1C47" w:rsidRPr="00EB755D" w14:paraId="5CB2E03C" w14:textId="77777777" w:rsidTr="00FD7DCC">
        <w:tc>
          <w:tcPr>
            <w:tcW w:w="3182" w:type="dxa"/>
            <w:tcBorders>
              <w:top w:val="single" w:sz="4" w:space="0" w:color="auto"/>
              <w:left w:val="single" w:sz="4" w:space="0" w:color="auto"/>
              <w:bottom w:val="single" w:sz="4" w:space="0" w:color="auto"/>
              <w:right w:val="single" w:sz="4" w:space="0" w:color="auto"/>
            </w:tcBorders>
            <w:shd w:val="clear" w:color="auto" w:fill="CCCCCC"/>
          </w:tcPr>
          <w:p w14:paraId="71407318" w14:textId="77777777" w:rsidR="00DB1C47" w:rsidRPr="00EB755D" w:rsidRDefault="00DB1C47" w:rsidP="00FD7DCC">
            <w:pPr>
              <w:spacing w:after="0" w:line="240" w:lineRule="auto"/>
              <w:rPr>
                <w:rFonts w:ascii="Times New Roman" w:hAnsi="Times New Roman" w:cs="Times New Roman"/>
                <w:sz w:val="26"/>
                <w:szCs w:val="26"/>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508C4685" w14:textId="77777777" w:rsidR="00DB1C47" w:rsidRPr="00EB755D" w:rsidRDefault="00DB1C47" w:rsidP="00FD7DCC">
            <w:pPr>
              <w:spacing w:after="0" w:line="240" w:lineRule="auto"/>
              <w:rPr>
                <w:rFonts w:ascii="Times New Roman" w:hAnsi="Times New Roman" w:cs="Times New Roman"/>
                <w:b/>
                <w:sz w:val="26"/>
                <w:szCs w:val="26"/>
              </w:rPr>
            </w:pPr>
            <w:r w:rsidRPr="00EB755D">
              <w:rPr>
                <w:rFonts w:ascii="Times New Roman" w:hAnsi="Times New Roman" w:cs="Times New Roman"/>
                <w:b/>
                <w:sz w:val="26"/>
                <w:szCs w:val="26"/>
              </w:rPr>
              <w:t>Federal Employee Hours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307A3E40" w14:textId="77777777" w:rsidR="00DB1C47" w:rsidRPr="00EB755D" w:rsidRDefault="00DB1C47" w:rsidP="00FD7DCC">
            <w:pPr>
              <w:spacing w:after="0" w:line="240" w:lineRule="auto"/>
              <w:rPr>
                <w:rFonts w:ascii="Times New Roman" w:hAnsi="Times New Roman" w:cs="Times New Roman"/>
                <w:b/>
                <w:sz w:val="26"/>
                <w:szCs w:val="26"/>
              </w:rPr>
            </w:pPr>
            <w:r w:rsidRPr="00EB755D">
              <w:rPr>
                <w:rFonts w:ascii="Times New Roman" w:hAnsi="Times New Roman" w:cs="Times New Roman"/>
                <w:b/>
                <w:sz w:val="26"/>
                <w:szCs w:val="26"/>
              </w:rPr>
              <w:t>Estimated Annual Federal Cost</w:t>
            </w:r>
            <w:r w:rsidRPr="00EB755D">
              <w:rPr>
                <w:rStyle w:val="FootnoteReference"/>
                <w:rFonts w:ascii="Times New Roman" w:hAnsi="Times New Roman" w:cs="Times New Roman"/>
                <w:b/>
                <w:sz w:val="26"/>
                <w:szCs w:val="26"/>
                <w:vertAlign w:val="superscript"/>
              </w:rPr>
              <w:footnoteReference w:id="8"/>
            </w:r>
          </w:p>
        </w:tc>
      </w:tr>
      <w:tr w:rsidR="00DB1C47" w:rsidRPr="00EB755D" w14:paraId="2A096048" w14:textId="77777777" w:rsidTr="00FD7DCC">
        <w:tc>
          <w:tcPr>
            <w:tcW w:w="9378" w:type="dxa"/>
            <w:gridSpan w:val="3"/>
            <w:tcBorders>
              <w:top w:val="single" w:sz="4" w:space="0" w:color="auto"/>
              <w:left w:val="single" w:sz="4" w:space="0" w:color="auto"/>
              <w:bottom w:val="single" w:sz="4" w:space="0" w:color="auto"/>
              <w:right w:val="single" w:sz="4" w:space="0" w:color="auto"/>
            </w:tcBorders>
          </w:tcPr>
          <w:p w14:paraId="55514679" w14:textId="77777777" w:rsidR="00DB1C47" w:rsidRPr="00EB755D" w:rsidRDefault="00DB1C47" w:rsidP="00FD7DCC">
            <w:pPr>
              <w:spacing w:after="0" w:line="240" w:lineRule="auto"/>
              <w:jc w:val="center"/>
              <w:rPr>
                <w:rFonts w:ascii="Times New Roman" w:hAnsi="Times New Roman" w:cs="Times New Roman"/>
                <w:b/>
                <w:sz w:val="26"/>
                <w:szCs w:val="26"/>
              </w:rPr>
            </w:pPr>
            <w:r w:rsidRPr="00EB755D">
              <w:rPr>
                <w:rFonts w:ascii="Times New Roman" w:hAnsi="Times New Roman" w:cs="Times New Roman"/>
                <w:b/>
                <w:sz w:val="26"/>
                <w:szCs w:val="26"/>
              </w:rPr>
              <w:t>FERC-519</w:t>
            </w:r>
          </w:p>
        </w:tc>
      </w:tr>
      <w:tr w:rsidR="00DB1C47" w:rsidRPr="00EB755D" w14:paraId="3149EA62" w14:textId="77777777" w:rsidTr="00FD7DCC">
        <w:tc>
          <w:tcPr>
            <w:tcW w:w="3182" w:type="dxa"/>
            <w:tcBorders>
              <w:top w:val="single" w:sz="4" w:space="0" w:color="auto"/>
              <w:left w:val="single" w:sz="4" w:space="0" w:color="auto"/>
              <w:bottom w:val="single" w:sz="4" w:space="0" w:color="auto"/>
              <w:right w:val="single" w:sz="4" w:space="0" w:color="auto"/>
            </w:tcBorders>
          </w:tcPr>
          <w:p w14:paraId="44BF7935" w14:textId="77777777" w:rsidR="00DB1C47" w:rsidRPr="00EB755D" w:rsidRDefault="00DB1C47" w:rsidP="00FD7DCC">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bottom"/>
          </w:tcPr>
          <w:p w14:paraId="0099B1F0" w14:textId="090C591A" w:rsidR="00DB1C47" w:rsidRPr="00EB755D" w:rsidRDefault="002E6E5E" w:rsidP="00FD7DCC">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No Change</w:t>
            </w:r>
          </w:p>
        </w:tc>
        <w:tc>
          <w:tcPr>
            <w:tcW w:w="2995" w:type="dxa"/>
            <w:tcBorders>
              <w:top w:val="single" w:sz="4" w:space="0" w:color="auto"/>
              <w:left w:val="single" w:sz="4" w:space="0" w:color="auto"/>
              <w:bottom w:val="single" w:sz="4" w:space="0" w:color="auto"/>
              <w:right w:val="single" w:sz="4" w:space="0" w:color="auto"/>
            </w:tcBorders>
            <w:vAlign w:val="bottom"/>
          </w:tcPr>
          <w:p w14:paraId="234BE2D6" w14:textId="39C30107" w:rsidR="00DB1C47" w:rsidRPr="00EB755D" w:rsidRDefault="002E6E5E" w:rsidP="00FD7DCC">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No Change</w:t>
            </w:r>
          </w:p>
        </w:tc>
      </w:tr>
      <w:tr w:rsidR="00DB1C47" w:rsidRPr="00EB755D" w14:paraId="6F53F474" w14:textId="77777777" w:rsidTr="00FD7DCC">
        <w:tc>
          <w:tcPr>
            <w:tcW w:w="3182" w:type="dxa"/>
            <w:tcBorders>
              <w:top w:val="single" w:sz="4" w:space="0" w:color="auto"/>
              <w:left w:val="single" w:sz="4" w:space="0" w:color="auto"/>
              <w:bottom w:val="single" w:sz="4" w:space="0" w:color="auto"/>
              <w:right w:val="single" w:sz="4" w:space="0" w:color="auto"/>
            </w:tcBorders>
          </w:tcPr>
          <w:p w14:paraId="7BB1913F" w14:textId="77777777" w:rsidR="00DB1C47" w:rsidRPr="00491A96" w:rsidRDefault="00DB1C47" w:rsidP="00FD7DCC">
            <w:pPr>
              <w:spacing w:after="0" w:line="240" w:lineRule="auto"/>
              <w:rPr>
                <w:rFonts w:ascii="Times New Roman" w:hAnsi="Times New Roman" w:cs="Times New Roman"/>
                <w:sz w:val="26"/>
                <w:szCs w:val="26"/>
              </w:rPr>
            </w:pPr>
            <w:r w:rsidRPr="00491A96">
              <w:rPr>
                <w:rFonts w:ascii="Times New Roman" w:hAnsi="Times New Roman" w:cs="Times New Roman"/>
                <w:sz w:val="26"/>
                <w:szCs w:val="26"/>
              </w:rPr>
              <w:t>PRA</w:t>
            </w:r>
            <w:r w:rsidRPr="00491A96">
              <w:rPr>
                <w:rStyle w:val="FootnoteReference"/>
                <w:rFonts w:ascii="Times New Roman" w:hAnsi="Times New Roman" w:cs="Times New Roman"/>
                <w:sz w:val="26"/>
                <w:szCs w:val="26"/>
                <w:vertAlign w:val="superscript"/>
              </w:rPr>
              <w:footnoteReference w:id="9"/>
            </w:r>
            <w:r w:rsidRPr="00491A96">
              <w:rPr>
                <w:rFonts w:ascii="Times New Roman" w:hAnsi="Times New Roman" w:cs="Times New Roman"/>
                <w:sz w:val="26"/>
                <w:szCs w:val="26"/>
              </w:rPr>
              <w:t xml:space="preserve"> Administrative Cost (for FERC-519)</w:t>
            </w:r>
            <w:r w:rsidRPr="00491A96">
              <w:rPr>
                <w:rStyle w:val="FootnoteReference"/>
                <w:rFonts w:ascii="Times New Roman" w:hAnsi="Times New Roman" w:cs="Times New Roman"/>
                <w:sz w:val="26"/>
                <w:szCs w:val="26"/>
                <w:vertAlign w:val="superscript"/>
              </w:rPr>
              <w:footnoteReference w:id="10"/>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bottom"/>
          </w:tcPr>
          <w:p w14:paraId="661E05B3" w14:textId="77777777" w:rsidR="00DB1C47" w:rsidRPr="00491A96" w:rsidRDefault="00DB1C47" w:rsidP="00FD7DCC">
            <w:pPr>
              <w:spacing w:after="0"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bottom"/>
          </w:tcPr>
          <w:p w14:paraId="28CD8429" w14:textId="77777777" w:rsidR="00DB1C47" w:rsidRPr="00491A96" w:rsidRDefault="00DB1C47" w:rsidP="001C61CB">
            <w:pPr>
              <w:spacing w:after="0" w:line="240" w:lineRule="auto"/>
              <w:jc w:val="right"/>
              <w:rPr>
                <w:rFonts w:ascii="Times New Roman" w:hAnsi="Times New Roman" w:cs="Times New Roman"/>
                <w:sz w:val="26"/>
                <w:szCs w:val="26"/>
              </w:rPr>
            </w:pPr>
            <w:r w:rsidRPr="00491A96">
              <w:rPr>
                <w:rFonts w:ascii="Times New Roman" w:hAnsi="Times New Roman" w:cs="Times New Roman"/>
                <w:sz w:val="26"/>
                <w:szCs w:val="26"/>
              </w:rPr>
              <w:t>$4,93</w:t>
            </w:r>
            <w:r w:rsidR="001C61CB">
              <w:rPr>
                <w:rFonts w:ascii="Times New Roman" w:hAnsi="Times New Roman" w:cs="Times New Roman"/>
                <w:sz w:val="26"/>
                <w:szCs w:val="26"/>
              </w:rPr>
              <w:t>1</w:t>
            </w:r>
          </w:p>
        </w:tc>
      </w:tr>
      <w:tr w:rsidR="00DB1C47" w:rsidRPr="00D84CBC" w14:paraId="26C0F891" w14:textId="77777777" w:rsidTr="00FD7DCC">
        <w:tc>
          <w:tcPr>
            <w:tcW w:w="3182" w:type="dxa"/>
            <w:tcBorders>
              <w:top w:val="single" w:sz="4" w:space="0" w:color="auto"/>
              <w:left w:val="single" w:sz="4" w:space="0" w:color="auto"/>
              <w:bottom w:val="single" w:sz="4" w:space="0" w:color="auto"/>
              <w:right w:val="single" w:sz="4" w:space="0" w:color="auto"/>
            </w:tcBorders>
          </w:tcPr>
          <w:p w14:paraId="02D60500" w14:textId="336424EB" w:rsidR="00DB1C47" w:rsidRPr="004B6B64" w:rsidRDefault="00DB1C47">
            <w:pPr>
              <w:spacing w:after="0" w:line="240" w:lineRule="auto"/>
              <w:rPr>
                <w:rFonts w:ascii="Times New Roman" w:hAnsi="Times New Roman" w:cs="Times New Roman"/>
                <w:i/>
                <w:sz w:val="26"/>
                <w:szCs w:val="26"/>
                <w:highlight w:val="green"/>
              </w:rPr>
            </w:pPr>
            <w:r w:rsidRPr="00A7609A">
              <w:rPr>
                <w:rFonts w:ascii="Times New Roman" w:hAnsi="Times New Roman" w:cs="Times New Roman"/>
                <w:i/>
                <w:sz w:val="26"/>
                <w:szCs w:val="26"/>
              </w:rPr>
              <w:t xml:space="preserve">Total for </w:t>
            </w:r>
            <w:r w:rsidR="00D84CBC" w:rsidRPr="004B6B64">
              <w:rPr>
                <w:rFonts w:ascii="Times New Roman" w:hAnsi="Times New Roman" w:cs="Times New Roman"/>
                <w:i/>
                <w:sz w:val="26"/>
                <w:szCs w:val="26"/>
              </w:rPr>
              <w:t>RM19-4</w:t>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bottom"/>
          </w:tcPr>
          <w:p w14:paraId="678A720B" w14:textId="77777777" w:rsidR="00DB1C47" w:rsidRPr="004B6B64" w:rsidRDefault="00DB1C47" w:rsidP="00FD7DCC">
            <w:pPr>
              <w:spacing w:after="0" w:line="240" w:lineRule="auto"/>
              <w:jc w:val="right"/>
              <w:rPr>
                <w:rFonts w:ascii="Times New Roman" w:hAnsi="Times New Roman" w:cs="Times New Roman"/>
                <w:sz w:val="26"/>
                <w:szCs w:val="26"/>
                <w:highlight w:val="green"/>
              </w:rPr>
            </w:pPr>
          </w:p>
        </w:tc>
        <w:tc>
          <w:tcPr>
            <w:tcW w:w="2995" w:type="dxa"/>
            <w:tcBorders>
              <w:top w:val="single" w:sz="4" w:space="0" w:color="auto"/>
              <w:left w:val="single" w:sz="4" w:space="0" w:color="auto"/>
              <w:bottom w:val="single" w:sz="4" w:space="0" w:color="auto"/>
              <w:right w:val="single" w:sz="4" w:space="0" w:color="auto"/>
            </w:tcBorders>
            <w:vAlign w:val="bottom"/>
          </w:tcPr>
          <w:p w14:paraId="4545EDCF" w14:textId="44F6C528" w:rsidR="00DB1C47" w:rsidRPr="004B6B64" w:rsidRDefault="00DB1C47">
            <w:pPr>
              <w:spacing w:after="0" w:line="240" w:lineRule="auto"/>
              <w:jc w:val="right"/>
              <w:rPr>
                <w:rFonts w:ascii="Times New Roman" w:hAnsi="Times New Roman" w:cs="Times New Roman"/>
                <w:sz w:val="26"/>
                <w:szCs w:val="26"/>
                <w:highlight w:val="green"/>
              </w:rPr>
            </w:pPr>
            <w:r w:rsidRPr="00A7609A">
              <w:rPr>
                <w:rFonts w:ascii="Times New Roman" w:hAnsi="Times New Roman" w:cs="Times New Roman"/>
                <w:sz w:val="26"/>
                <w:szCs w:val="26"/>
              </w:rPr>
              <w:t>$</w:t>
            </w:r>
            <w:r w:rsidR="008D5FE7" w:rsidRPr="00A7609A">
              <w:rPr>
                <w:rFonts w:ascii="Times New Roman" w:hAnsi="Times New Roman" w:cs="Times New Roman"/>
                <w:sz w:val="26"/>
                <w:szCs w:val="26"/>
              </w:rPr>
              <w:t>4,931</w:t>
            </w:r>
          </w:p>
        </w:tc>
      </w:tr>
    </w:tbl>
    <w:p w14:paraId="540C8866" w14:textId="77777777" w:rsidR="00DB1C47" w:rsidRPr="00EB755D" w:rsidRDefault="00DB1C47" w:rsidP="00DB1C47">
      <w:pPr>
        <w:spacing w:after="0" w:line="240" w:lineRule="auto"/>
        <w:rPr>
          <w:rFonts w:ascii="Times New Roman" w:hAnsi="Times New Roman" w:cs="Times New Roman"/>
          <w:sz w:val="26"/>
          <w:szCs w:val="26"/>
        </w:rPr>
      </w:pPr>
    </w:p>
    <w:p w14:paraId="7FD993F5" w14:textId="77777777" w:rsidR="00DB1C47" w:rsidRPr="00EB755D" w:rsidRDefault="00DB1C47" w:rsidP="00DB1C47">
      <w:pPr>
        <w:pStyle w:val="ListParagraph"/>
        <w:numPr>
          <w:ilvl w:val="0"/>
          <w:numId w:val="1"/>
        </w:numPr>
        <w:spacing w:after="0" w:line="240" w:lineRule="auto"/>
        <w:ind w:left="360"/>
        <w:rPr>
          <w:rFonts w:ascii="Times New Roman" w:hAnsi="Times New Roman" w:cs="Times New Roman"/>
          <w:b/>
          <w:sz w:val="26"/>
          <w:szCs w:val="26"/>
        </w:rPr>
      </w:pPr>
      <w:r w:rsidRPr="00EB755D">
        <w:rPr>
          <w:rFonts w:ascii="Times New Roman" w:hAnsi="Times New Roman" w:cs="Times New Roman"/>
          <w:b/>
          <w:sz w:val="26"/>
          <w:szCs w:val="26"/>
        </w:rPr>
        <w:t>REASONS FOR CHANGES IN BURDEN INCLUDING THE NEED FOR ANY INCREASE</w:t>
      </w:r>
      <w:r w:rsidR="005C0DAE">
        <w:rPr>
          <w:rFonts w:ascii="Times New Roman" w:hAnsi="Times New Roman" w:cs="Times New Roman"/>
          <w:b/>
          <w:sz w:val="26"/>
          <w:szCs w:val="26"/>
        </w:rPr>
        <w:t xml:space="preserve"> </w:t>
      </w:r>
    </w:p>
    <w:p w14:paraId="590E1537" w14:textId="77777777" w:rsidR="00DB1C47" w:rsidRPr="00EB755D" w:rsidRDefault="00DB1C47" w:rsidP="00DB1C47">
      <w:pPr>
        <w:pStyle w:val="ListParagraph"/>
        <w:spacing w:after="0" w:line="240" w:lineRule="auto"/>
        <w:ind w:left="360"/>
        <w:rPr>
          <w:rFonts w:ascii="Times New Roman" w:hAnsi="Times New Roman" w:cs="Times New Roman"/>
          <w:b/>
          <w:sz w:val="26"/>
          <w:szCs w:val="26"/>
        </w:rPr>
      </w:pPr>
    </w:p>
    <w:p w14:paraId="0C50B886" w14:textId="293B7013" w:rsidR="00DB1C47" w:rsidRPr="00EB755D" w:rsidRDefault="00DB1C47" w:rsidP="00DB1C4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Prior to the revisions in the</w:t>
      </w:r>
      <w:r w:rsidR="005F0295">
        <w:rPr>
          <w:rFonts w:ascii="Times New Roman" w:eastAsia="Times New Roman" w:hAnsi="Times New Roman" w:cs="Times New Roman"/>
          <w:sz w:val="26"/>
          <w:szCs w:val="26"/>
        </w:rPr>
        <w:t xml:space="preserve"> Final Rule in</w:t>
      </w:r>
      <w:r>
        <w:rPr>
          <w:rFonts w:ascii="Times New Roman" w:eastAsia="Times New Roman" w:hAnsi="Times New Roman" w:cs="Times New Roman"/>
          <w:sz w:val="26"/>
          <w:szCs w:val="26"/>
        </w:rPr>
        <w:t xml:space="preserve"> RM19-4-000, the Commission estimated that 141 respondents would file “full” applications under the requirements in FPA </w:t>
      </w:r>
      <w:r w:rsidR="00EA1CB5">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ection 203.  Due </w:t>
      </w:r>
      <w:r w:rsidR="002E6E5E">
        <w:rPr>
          <w:rFonts w:ascii="Times New Roman" w:eastAsia="Times New Roman" w:hAnsi="Times New Roman" w:cs="Times New Roman"/>
          <w:sz w:val="26"/>
          <w:szCs w:val="26"/>
        </w:rPr>
        <w:t xml:space="preserve">to </w:t>
      </w:r>
      <w:r>
        <w:rPr>
          <w:rFonts w:ascii="Times New Roman" w:eastAsia="Times New Roman" w:hAnsi="Times New Roman" w:cs="Times New Roman"/>
          <w:sz w:val="26"/>
          <w:szCs w:val="26"/>
        </w:rPr>
        <w:t xml:space="preserve">the revisions, </w:t>
      </w:r>
      <w:r w:rsidRPr="003E7AC8">
        <w:rPr>
          <w:rFonts w:ascii="Times New Roman" w:eastAsia="Times New Roman" w:hAnsi="Times New Roman" w:cs="Times New Roman"/>
          <w:sz w:val="26"/>
          <w:szCs w:val="26"/>
        </w:rPr>
        <w:t xml:space="preserve">an estimated 26 respondents </w:t>
      </w:r>
      <w:r w:rsidR="008F2062">
        <w:rPr>
          <w:rFonts w:ascii="Times New Roman" w:eastAsia="Times New Roman" w:hAnsi="Times New Roman" w:cs="Times New Roman"/>
          <w:sz w:val="26"/>
          <w:szCs w:val="26"/>
        </w:rPr>
        <w:t>that</w:t>
      </w:r>
      <w:r w:rsidRPr="003E7AC8">
        <w:rPr>
          <w:rFonts w:ascii="Times New Roman" w:eastAsia="Times New Roman" w:hAnsi="Times New Roman" w:cs="Times New Roman"/>
          <w:sz w:val="26"/>
          <w:szCs w:val="26"/>
        </w:rPr>
        <w:t xml:space="preserve"> </w:t>
      </w:r>
      <w:r w:rsidR="002E6E5E">
        <w:rPr>
          <w:rFonts w:ascii="Times New Roman" w:eastAsia="Times New Roman" w:hAnsi="Times New Roman" w:cs="Times New Roman"/>
          <w:sz w:val="26"/>
          <w:szCs w:val="26"/>
        </w:rPr>
        <w:t>w</w:t>
      </w:r>
      <w:r w:rsidRPr="003E7AC8">
        <w:rPr>
          <w:rFonts w:ascii="Times New Roman" w:eastAsia="Times New Roman" w:hAnsi="Times New Roman" w:cs="Times New Roman"/>
          <w:sz w:val="26"/>
          <w:szCs w:val="26"/>
        </w:rPr>
        <w:t xml:space="preserve">ould </w:t>
      </w:r>
      <w:r w:rsidR="002E6E5E">
        <w:rPr>
          <w:rFonts w:ascii="Times New Roman" w:eastAsia="Times New Roman" w:hAnsi="Times New Roman" w:cs="Times New Roman"/>
          <w:sz w:val="26"/>
          <w:szCs w:val="26"/>
        </w:rPr>
        <w:t xml:space="preserve">have filed </w:t>
      </w:r>
      <w:r w:rsidR="004B6B64">
        <w:rPr>
          <w:rFonts w:ascii="Times New Roman" w:eastAsia="Times New Roman" w:hAnsi="Times New Roman" w:cs="Times New Roman"/>
          <w:sz w:val="26"/>
          <w:szCs w:val="26"/>
        </w:rPr>
        <w:t>a</w:t>
      </w:r>
      <w:r w:rsidRPr="003E7AC8">
        <w:rPr>
          <w:rFonts w:ascii="Times New Roman" w:eastAsia="Times New Roman" w:hAnsi="Times New Roman" w:cs="Times New Roman"/>
          <w:sz w:val="26"/>
          <w:szCs w:val="26"/>
        </w:rPr>
        <w:t xml:space="preserve"> full application</w:t>
      </w:r>
      <w:r>
        <w:rPr>
          <w:rFonts w:ascii="Times New Roman" w:eastAsia="Times New Roman" w:hAnsi="Times New Roman" w:cs="Times New Roman"/>
          <w:sz w:val="26"/>
          <w:szCs w:val="26"/>
        </w:rPr>
        <w:t xml:space="preserve"> w</w:t>
      </w:r>
      <w:r w:rsidR="002E6E5E">
        <w:rPr>
          <w:rFonts w:ascii="Times New Roman" w:eastAsia="Times New Roman" w:hAnsi="Times New Roman" w:cs="Times New Roman"/>
          <w:sz w:val="26"/>
          <w:szCs w:val="26"/>
        </w:rPr>
        <w:t>ill now</w:t>
      </w:r>
      <w:r>
        <w:rPr>
          <w:rFonts w:ascii="Times New Roman" w:eastAsia="Times New Roman" w:hAnsi="Times New Roman" w:cs="Times New Roman"/>
          <w:sz w:val="26"/>
          <w:szCs w:val="26"/>
        </w:rPr>
        <w:t xml:space="preserve"> file</w:t>
      </w:r>
      <w:r w:rsidR="005F0295">
        <w:rPr>
          <w:rFonts w:ascii="Times New Roman" w:eastAsia="Times New Roman" w:hAnsi="Times New Roman" w:cs="Times New Roman"/>
          <w:sz w:val="26"/>
          <w:szCs w:val="26"/>
        </w:rPr>
        <w:t xml:space="preserve"> abbreviated</w:t>
      </w:r>
      <w:r>
        <w:rPr>
          <w:rFonts w:ascii="Times New Roman" w:eastAsia="Times New Roman" w:hAnsi="Times New Roman" w:cs="Times New Roman"/>
          <w:sz w:val="26"/>
          <w:szCs w:val="26"/>
        </w:rPr>
        <w:t xml:space="preserve"> notification</w:t>
      </w:r>
      <w:r w:rsidR="008F2062">
        <w:rPr>
          <w:rFonts w:ascii="Times New Roman" w:eastAsia="Times New Roman" w:hAnsi="Times New Roman" w:cs="Times New Roman"/>
          <w:sz w:val="26"/>
          <w:szCs w:val="26"/>
        </w:rPr>
        <w:t xml:space="preserve"> requirements under 18 CFR Part 33.12</w:t>
      </w:r>
      <w:r>
        <w:rPr>
          <w:rFonts w:ascii="Times New Roman" w:eastAsia="Times New Roman" w:hAnsi="Times New Roman" w:cs="Times New Roman"/>
          <w:sz w:val="26"/>
          <w:szCs w:val="26"/>
        </w:rPr>
        <w:t>.  Each of those</w:t>
      </w:r>
      <w:r w:rsidR="002E6E5E">
        <w:rPr>
          <w:rFonts w:ascii="Times New Roman" w:eastAsia="Times New Roman" w:hAnsi="Times New Roman" w:cs="Times New Roman"/>
          <w:sz w:val="26"/>
          <w:szCs w:val="26"/>
        </w:rPr>
        <w:t xml:space="preserve"> 26 respondents/</w:t>
      </w:r>
      <w:r>
        <w:rPr>
          <w:rFonts w:ascii="Times New Roman" w:eastAsia="Times New Roman" w:hAnsi="Times New Roman" w:cs="Times New Roman"/>
          <w:sz w:val="26"/>
          <w:szCs w:val="26"/>
        </w:rPr>
        <w:t>filers would have a drastically reduced burden per filing (from approximately 397</w:t>
      </w:r>
      <w:r w:rsidR="00CB1984">
        <w:rPr>
          <w:rFonts w:ascii="Times New Roman" w:eastAsia="Times New Roman" w:hAnsi="Times New Roman" w:cs="Times New Roman"/>
          <w:sz w:val="26"/>
          <w:szCs w:val="26"/>
        </w:rPr>
        <w:t>.55</w:t>
      </w:r>
      <w:r>
        <w:rPr>
          <w:rFonts w:ascii="Times New Roman" w:eastAsia="Times New Roman" w:hAnsi="Times New Roman" w:cs="Times New Roman"/>
          <w:sz w:val="26"/>
          <w:szCs w:val="26"/>
        </w:rPr>
        <w:t xml:space="preserve"> hours/response to 1 hour/response)</w:t>
      </w:r>
      <w:r w:rsidRPr="003E7AC8">
        <w:rPr>
          <w:rFonts w:ascii="Times New Roman" w:eastAsia="Times New Roman" w:hAnsi="Times New Roman" w:cs="Times New Roman"/>
          <w:sz w:val="26"/>
          <w:szCs w:val="26"/>
        </w:rPr>
        <w:t>.</w:t>
      </w:r>
      <w:r w:rsidR="008F2062">
        <w:rPr>
          <w:rFonts w:ascii="Times New Roman" w:eastAsia="Times New Roman" w:hAnsi="Times New Roman" w:cs="Times New Roman"/>
          <w:sz w:val="26"/>
          <w:szCs w:val="26"/>
        </w:rPr>
        <w:t xml:space="preserve">  </w:t>
      </w:r>
      <w:r w:rsidR="00677BB2">
        <w:rPr>
          <w:rFonts w:ascii="Times New Roman" w:eastAsia="Times New Roman" w:hAnsi="Times New Roman" w:cs="Times New Roman"/>
          <w:sz w:val="26"/>
          <w:szCs w:val="26"/>
        </w:rPr>
        <w:t xml:space="preserve">After </w:t>
      </w:r>
      <w:r w:rsidR="008D5FE7">
        <w:rPr>
          <w:rFonts w:ascii="Times New Roman" w:eastAsia="Times New Roman" w:hAnsi="Times New Roman" w:cs="Times New Roman"/>
          <w:sz w:val="26"/>
          <w:szCs w:val="26"/>
        </w:rPr>
        <w:t>implementation</w:t>
      </w:r>
      <w:r w:rsidR="00677BB2">
        <w:rPr>
          <w:rFonts w:ascii="Times New Roman" w:eastAsia="Times New Roman" w:hAnsi="Times New Roman" w:cs="Times New Roman"/>
          <w:sz w:val="26"/>
          <w:szCs w:val="26"/>
        </w:rPr>
        <w:t xml:space="preserve"> of the rule</w:t>
      </w:r>
      <w:r w:rsidR="008D5FE7">
        <w:rPr>
          <w:rFonts w:ascii="Times New Roman" w:eastAsia="Times New Roman" w:hAnsi="Times New Roman" w:cs="Times New Roman"/>
          <w:sz w:val="26"/>
          <w:szCs w:val="26"/>
        </w:rPr>
        <w:t>,</w:t>
      </w:r>
      <w:r w:rsidR="00677BB2">
        <w:rPr>
          <w:rFonts w:ascii="Times New Roman" w:eastAsia="Times New Roman" w:hAnsi="Times New Roman" w:cs="Times New Roman"/>
          <w:sz w:val="26"/>
          <w:szCs w:val="26"/>
        </w:rPr>
        <w:t xml:space="preserve"> 115 respondents will continue to file </w:t>
      </w:r>
      <w:r w:rsidR="004B6B64">
        <w:rPr>
          <w:rFonts w:ascii="Times New Roman" w:eastAsia="Times New Roman" w:hAnsi="Times New Roman" w:cs="Times New Roman"/>
          <w:sz w:val="26"/>
          <w:szCs w:val="26"/>
        </w:rPr>
        <w:t>full applications</w:t>
      </w:r>
      <w:r w:rsidR="00160710">
        <w:rPr>
          <w:rFonts w:ascii="Times New Roman" w:eastAsia="Times New Roman" w:hAnsi="Times New Roman" w:cs="Times New Roman"/>
          <w:sz w:val="26"/>
          <w:szCs w:val="26"/>
        </w:rPr>
        <w:t xml:space="preserve"> as filed prior to this final rule.</w:t>
      </w:r>
      <w:r w:rsidR="008F2062">
        <w:rPr>
          <w:rFonts w:ascii="Times New Roman" w:eastAsia="Times New Roman" w:hAnsi="Times New Roman" w:cs="Times New Roman"/>
          <w:sz w:val="26"/>
          <w:szCs w:val="26"/>
        </w:rPr>
        <w:t xml:space="preserve">  The results is a reduction of 10,337 hours (26 responses * 397.55 hours/response) and a subsequent addition of 26 hours (26 responses * 1 hour/response).</w:t>
      </w:r>
    </w:p>
    <w:p w14:paraId="0FC3A27B" w14:textId="77777777" w:rsidR="00DB1C47" w:rsidRPr="00EB755D" w:rsidRDefault="00DB1C47" w:rsidP="00DB1C47">
      <w:pPr>
        <w:spacing w:after="0" w:line="240" w:lineRule="auto"/>
        <w:rPr>
          <w:rFonts w:ascii="Times New Roman" w:hAnsi="Times New Roman" w:cs="Times New Roman"/>
          <w:sz w:val="26"/>
          <w:szCs w:val="26"/>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530"/>
        <w:gridCol w:w="1530"/>
        <w:gridCol w:w="1710"/>
        <w:gridCol w:w="1800"/>
        <w:gridCol w:w="1440"/>
      </w:tblGrid>
      <w:tr w:rsidR="004C047F" w:rsidRPr="00EB755D" w14:paraId="164E994E" w14:textId="77777777" w:rsidTr="004B6B64">
        <w:trPr>
          <w:trHeight w:val="870"/>
        </w:trPr>
        <w:tc>
          <w:tcPr>
            <w:tcW w:w="2137" w:type="dxa"/>
            <w:shd w:val="clear" w:color="auto" w:fill="D9D9D9"/>
            <w:vAlign w:val="bottom"/>
          </w:tcPr>
          <w:p w14:paraId="5F3D0C31" w14:textId="77777777" w:rsidR="004C047F" w:rsidRPr="00EB755D" w:rsidRDefault="004C047F" w:rsidP="00FD7DCC">
            <w:pPr>
              <w:spacing w:after="0" w:line="240" w:lineRule="auto"/>
              <w:rPr>
                <w:rFonts w:ascii="Times New Roman" w:hAnsi="Times New Roman" w:cs="Times New Roman"/>
                <w:b/>
                <w:sz w:val="26"/>
                <w:szCs w:val="26"/>
              </w:rPr>
            </w:pPr>
          </w:p>
        </w:tc>
        <w:tc>
          <w:tcPr>
            <w:tcW w:w="1530" w:type="dxa"/>
            <w:shd w:val="clear" w:color="auto" w:fill="D9D9D9"/>
            <w:vAlign w:val="bottom"/>
          </w:tcPr>
          <w:p w14:paraId="4409A6E4" w14:textId="77777777" w:rsidR="004C047F" w:rsidRPr="00EB755D" w:rsidRDefault="004C047F" w:rsidP="00FD7DCC">
            <w:pPr>
              <w:spacing w:after="0" w:line="240" w:lineRule="auto"/>
              <w:rPr>
                <w:rFonts w:ascii="Times New Roman" w:hAnsi="Times New Roman" w:cs="Times New Roman"/>
                <w:b/>
                <w:sz w:val="26"/>
                <w:szCs w:val="26"/>
              </w:rPr>
            </w:pPr>
            <w:r w:rsidRPr="00EB755D">
              <w:rPr>
                <w:rFonts w:ascii="Times New Roman" w:hAnsi="Times New Roman" w:cs="Times New Roman"/>
                <w:b/>
                <w:sz w:val="26"/>
                <w:szCs w:val="26"/>
              </w:rPr>
              <w:t>Total Request (rounded)</w:t>
            </w:r>
          </w:p>
        </w:tc>
        <w:tc>
          <w:tcPr>
            <w:tcW w:w="1530" w:type="dxa"/>
            <w:shd w:val="clear" w:color="auto" w:fill="D9D9D9"/>
            <w:vAlign w:val="bottom"/>
          </w:tcPr>
          <w:p w14:paraId="415452AB" w14:textId="77777777" w:rsidR="004C047F" w:rsidRPr="00EB755D" w:rsidRDefault="004C047F" w:rsidP="00FD7DCC">
            <w:pPr>
              <w:spacing w:after="0" w:line="240" w:lineRule="auto"/>
              <w:rPr>
                <w:rFonts w:ascii="Times New Roman" w:hAnsi="Times New Roman" w:cs="Times New Roman"/>
                <w:b/>
                <w:sz w:val="26"/>
                <w:szCs w:val="26"/>
              </w:rPr>
            </w:pPr>
            <w:r w:rsidRPr="00EB755D">
              <w:rPr>
                <w:rFonts w:ascii="Times New Roman" w:hAnsi="Times New Roman" w:cs="Times New Roman"/>
                <w:b/>
                <w:sz w:val="26"/>
                <w:szCs w:val="26"/>
              </w:rPr>
              <w:t>Previously Approved</w:t>
            </w:r>
          </w:p>
        </w:tc>
        <w:tc>
          <w:tcPr>
            <w:tcW w:w="1710" w:type="dxa"/>
            <w:shd w:val="clear" w:color="auto" w:fill="D9D9D9"/>
          </w:tcPr>
          <w:p w14:paraId="045BA8E4" w14:textId="77777777" w:rsidR="004B6B64" w:rsidRDefault="004B6B64" w:rsidP="00FD7DCC">
            <w:pPr>
              <w:spacing w:after="0" w:line="240" w:lineRule="auto"/>
              <w:rPr>
                <w:rFonts w:ascii="Times New Roman" w:hAnsi="Times New Roman" w:cs="Times New Roman"/>
                <w:b/>
                <w:sz w:val="26"/>
                <w:szCs w:val="26"/>
              </w:rPr>
            </w:pPr>
          </w:p>
          <w:p w14:paraId="4B6AF776" w14:textId="77777777" w:rsidR="004B6B64" w:rsidRDefault="004B6B64" w:rsidP="00FD7DCC">
            <w:pPr>
              <w:spacing w:after="0" w:line="240" w:lineRule="auto"/>
              <w:rPr>
                <w:rFonts w:ascii="Times New Roman" w:hAnsi="Times New Roman" w:cs="Times New Roman"/>
                <w:b/>
                <w:sz w:val="26"/>
                <w:szCs w:val="26"/>
              </w:rPr>
            </w:pPr>
          </w:p>
          <w:p w14:paraId="5AF43BCB" w14:textId="77777777" w:rsidR="004C047F" w:rsidRPr="00EB755D" w:rsidRDefault="00273BB0" w:rsidP="00FD7DCC">
            <w:pPr>
              <w:spacing w:after="0" w:line="240" w:lineRule="auto"/>
              <w:rPr>
                <w:rFonts w:ascii="Times New Roman" w:hAnsi="Times New Roman" w:cs="Times New Roman"/>
                <w:b/>
                <w:sz w:val="26"/>
                <w:szCs w:val="26"/>
              </w:rPr>
            </w:pPr>
            <w:r>
              <w:rPr>
                <w:rFonts w:ascii="Times New Roman" w:hAnsi="Times New Roman" w:cs="Times New Roman"/>
                <w:b/>
                <w:sz w:val="26"/>
                <w:szCs w:val="26"/>
              </w:rPr>
              <w:t>Change due to New Statute</w:t>
            </w:r>
          </w:p>
        </w:tc>
        <w:tc>
          <w:tcPr>
            <w:tcW w:w="1800" w:type="dxa"/>
            <w:shd w:val="clear" w:color="auto" w:fill="D9D9D9"/>
            <w:vAlign w:val="bottom"/>
          </w:tcPr>
          <w:p w14:paraId="66A6B422" w14:textId="77777777" w:rsidR="004C047F" w:rsidRPr="00EB755D" w:rsidRDefault="004C047F" w:rsidP="00FD7DCC">
            <w:pPr>
              <w:spacing w:after="0" w:line="240" w:lineRule="auto"/>
              <w:rPr>
                <w:rFonts w:ascii="Times New Roman" w:hAnsi="Times New Roman" w:cs="Times New Roman"/>
                <w:b/>
                <w:sz w:val="26"/>
                <w:szCs w:val="26"/>
              </w:rPr>
            </w:pPr>
            <w:r w:rsidRPr="00EB755D">
              <w:rPr>
                <w:rFonts w:ascii="Times New Roman" w:hAnsi="Times New Roman" w:cs="Times New Roman"/>
                <w:b/>
                <w:sz w:val="26"/>
                <w:szCs w:val="26"/>
              </w:rPr>
              <w:t>Change due to Adjustment in Estimate</w:t>
            </w:r>
          </w:p>
        </w:tc>
        <w:tc>
          <w:tcPr>
            <w:tcW w:w="1440" w:type="dxa"/>
            <w:shd w:val="clear" w:color="auto" w:fill="D9D9D9"/>
            <w:vAlign w:val="bottom"/>
          </w:tcPr>
          <w:p w14:paraId="245970F1" w14:textId="77777777" w:rsidR="004C047F" w:rsidRPr="00EB755D" w:rsidRDefault="004C047F" w:rsidP="00FD7DCC">
            <w:pPr>
              <w:spacing w:after="0" w:line="240" w:lineRule="auto"/>
              <w:rPr>
                <w:rFonts w:ascii="Times New Roman" w:hAnsi="Times New Roman" w:cs="Times New Roman"/>
                <w:b/>
                <w:sz w:val="26"/>
                <w:szCs w:val="26"/>
              </w:rPr>
            </w:pPr>
            <w:r w:rsidRPr="00EB755D">
              <w:rPr>
                <w:rFonts w:ascii="Times New Roman" w:hAnsi="Times New Roman" w:cs="Times New Roman"/>
                <w:b/>
                <w:sz w:val="26"/>
                <w:szCs w:val="26"/>
              </w:rPr>
              <w:t>Change Due to Agency Discretion (rounded)</w:t>
            </w:r>
          </w:p>
        </w:tc>
      </w:tr>
      <w:tr w:rsidR="004C047F" w:rsidRPr="00EB755D" w14:paraId="78CF30F4" w14:textId="77777777" w:rsidTr="00970DCF">
        <w:trPr>
          <w:trHeight w:val="295"/>
        </w:trPr>
        <w:tc>
          <w:tcPr>
            <w:tcW w:w="2137" w:type="dxa"/>
          </w:tcPr>
          <w:p w14:paraId="605C1150" w14:textId="77777777" w:rsidR="004C047F" w:rsidRPr="00EB755D" w:rsidRDefault="004C047F" w:rsidP="00FD7DCC">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Annual Number of Responses</w:t>
            </w:r>
          </w:p>
        </w:tc>
        <w:tc>
          <w:tcPr>
            <w:tcW w:w="1530" w:type="dxa"/>
            <w:vAlign w:val="bottom"/>
          </w:tcPr>
          <w:p w14:paraId="47110AF2" w14:textId="77777777" w:rsidR="004C047F" w:rsidRPr="00EB755D" w:rsidRDefault="004C047F" w:rsidP="008F2062">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141</w:t>
            </w:r>
          </w:p>
        </w:tc>
        <w:tc>
          <w:tcPr>
            <w:tcW w:w="1530" w:type="dxa"/>
            <w:vAlign w:val="bottom"/>
          </w:tcPr>
          <w:p w14:paraId="73DDBA6E" w14:textId="77777777" w:rsidR="004C047F" w:rsidRPr="00EB755D" w:rsidRDefault="004C047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141</w:t>
            </w:r>
          </w:p>
        </w:tc>
        <w:tc>
          <w:tcPr>
            <w:tcW w:w="1710" w:type="dxa"/>
            <w:vAlign w:val="bottom"/>
          </w:tcPr>
          <w:p w14:paraId="1C4609F8" w14:textId="77777777" w:rsidR="004C047F" w:rsidRPr="00EB755D" w:rsidRDefault="00273BB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0</w:t>
            </w:r>
          </w:p>
        </w:tc>
        <w:tc>
          <w:tcPr>
            <w:tcW w:w="1800" w:type="dxa"/>
            <w:vAlign w:val="bottom"/>
          </w:tcPr>
          <w:p w14:paraId="45F93A3F" w14:textId="77777777" w:rsidR="004C047F" w:rsidRPr="00EB755D" w:rsidRDefault="004C047F">
            <w:pPr>
              <w:spacing w:after="0" w:line="240" w:lineRule="auto"/>
              <w:jc w:val="right"/>
              <w:rPr>
                <w:rFonts w:ascii="Times New Roman" w:hAnsi="Times New Roman" w:cs="Times New Roman"/>
                <w:sz w:val="26"/>
                <w:szCs w:val="26"/>
              </w:rPr>
            </w:pPr>
            <w:r w:rsidRPr="00EB755D">
              <w:rPr>
                <w:rFonts w:ascii="Times New Roman" w:hAnsi="Times New Roman" w:cs="Times New Roman"/>
                <w:sz w:val="26"/>
                <w:szCs w:val="26"/>
              </w:rPr>
              <w:t>0</w:t>
            </w:r>
          </w:p>
        </w:tc>
        <w:tc>
          <w:tcPr>
            <w:tcW w:w="1440" w:type="dxa"/>
            <w:vAlign w:val="bottom"/>
          </w:tcPr>
          <w:p w14:paraId="053C63D9" w14:textId="77777777" w:rsidR="004C047F" w:rsidRPr="00EB755D" w:rsidRDefault="004C047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0</w:t>
            </w:r>
          </w:p>
        </w:tc>
      </w:tr>
      <w:tr w:rsidR="004C047F" w:rsidRPr="00EB755D" w14:paraId="7AF9EC99" w14:textId="77777777" w:rsidTr="00970DCF">
        <w:trPr>
          <w:trHeight w:val="295"/>
        </w:trPr>
        <w:tc>
          <w:tcPr>
            <w:tcW w:w="2137" w:type="dxa"/>
          </w:tcPr>
          <w:p w14:paraId="3F95F887" w14:textId="77777777" w:rsidR="004C047F" w:rsidRPr="00EB755D" w:rsidRDefault="004C047F" w:rsidP="00FD7DCC">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Annual Time Burden (Hr.)</w:t>
            </w:r>
          </w:p>
        </w:tc>
        <w:tc>
          <w:tcPr>
            <w:tcW w:w="1530" w:type="dxa"/>
            <w:vAlign w:val="bottom"/>
          </w:tcPr>
          <w:p w14:paraId="776C1E7E" w14:textId="77777777" w:rsidR="004C047F" w:rsidRPr="00EB755D" w:rsidRDefault="004C047F" w:rsidP="008F2062">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45,744</w:t>
            </w:r>
          </w:p>
        </w:tc>
        <w:tc>
          <w:tcPr>
            <w:tcW w:w="1530" w:type="dxa"/>
            <w:vAlign w:val="bottom"/>
          </w:tcPr>
          <w:p w14:paraId="09DAC49C" w14:textId="77777777" w:rsidR="004C047F" w:rsidRPr="00EB755D" w:rsidRDefault="004C047F" w:rsidP="008F2062">
            <w:pPr>
              <w:spacing w:after="0" w:line="240" w:lineRule="auto"/>
              <w:jc w:val="right"/>
              <w:rPr>
                <w:rFonts w:ascii="Times New Roman" w:hAnsi="Times New Roman" w:cs="Times New Roman"/>
                <w:sz w:val="26"/>
                <w:szCs w:val="26"/>
              </w:rPr>
            </w:pPr>
            <w:r w:rsidRPr="00EB755D">
              <w:rPr>
                <w:rFonts w:ascii="Times New Roman" w:hAnsi="Times New Roman" w:cs="Times New Roman"/>
                <w:sz w:val="26"/>
                <w:szCs w:val="26"/>
              </w:rPr>
              <w:t>5</w:t>
            </w:r>
            <w:r>
              <w:rPr>
                <w:rFonts w:ascii="Times New Roman" w:hAnsi="Times New Roman" w:cs="Times New Roman"/>
                <w:sz w:val="26"/>
                <w:szCs w:val="26"/>
              </w:rPr>
              <w:t>6,055</w:t>
            </w:r>
          </w:p>
        </w:tc>
        <w:tc>
          <w:tcPr>
            <w:tcW w:w="1710" w:type="dxa"/>
            <w:vAlign w:val="bottom"/>
          </w:tcPr>
          <w:p w14:paraId="28B53977" w14:textId="13CF6429" w:rsidR="004C047F" w:rsidDel="00677BB2" w:rsidRDefault="008F2062" w:rsidP="008F2062">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r w:rsidR="00273BB0">
              <w:rPr>
                <w:rFonts w:ascii="Times New Roman" w:hAnsi="Times New Roman" w:cs="Times New Roman"/>
                <w:sz w:val="26"/>
                <w:szCs w:val="26"/>
              </w:rPr>
              <w:t>10,311</w:t>
            </w:r>
          </w:p>
        </w:tc>
        <w:tc>
          <w:tcPr>
            <w:tcW w:w="1800" w:type="dxa"/>
            <w:vAlign w:val="bottom"/>
          </w:tcPr>
          <w:p w14:paraId="4B6A44D3" w14:textId="2902ECDE" w:rsidR="004C047F" w:rsidRPr="00EB755D" w:rsidRDefault="004C047F">
            <w:pPr>
              <w:spacing w:after="0" w:line="240" w:lineRule="auto"/>
              <w:jc w:val="right"/>
              <w:rPr>
                <w:rFonts w:ascii="Times New Roman" w:hAnsi="Times New Roman" w:cs="Times New Roman"/>
                <w:sz w:val="26"/>
                <w:szCs w:val="26"/>
              </w:rPr>
            </w:pPr>
          </w:p>
        </w:tc>
        <w:tc>
          <w:tcPr>
            <w:tcW w:w="1440" w:type="dxa"/>
            <w:vAlign w:val="bottom"/>
          </w:tcPr>
          <w:p w14:paraId="46DF2E24" w14:textId="7045C37B" w:rsidR="004C047F" w:rsidRPr="00EB755D" w:rsidRDefault="004C047F">
            <w:pPr>
              <w:spacing w:after="0" w:line="240" w:lineRule="auto"/>
              <w:jc w:val="right"/>
              <w:rPr>
                <w:rFonts w:ascii="Times New Roman" w:hAnsi="Times New Roman" w:cs="Times New Roman"/>
                <w:sz w:val="26"/>
                <w:szCs w:val="26"/>
              </w:rPr>
            </w:pPr>
          </w:p>
        </w:tc>
      </w:tr>
      <w:tr w:rsidR="004C047F" w:rsidRPr="00EB755D" w14:paraId="5CFF1C6B" w14:textId="77777777" w:rsidTr="00970DCF">
        <w:trPr>
          <w:trHeight w:val="295"/>
        </w:trPr>
        <w:tc>
          <w:tcPr>
            <w:tcW w:w="2137" w:type="dxa"/>
          </w:tcPr>
          <w:p w14:paraId="60F69B65" w14:textId="77777777" w:rsidR="004C047F" w:rsidRPr="00EB755D" w:rsidRDefault="004C047F" w:rsidP="00FD7DCC">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Annual Cost Burden ($)</w:t>
            </w:r>
          </w:p>
        </w:tc>
        <w:tc>
          <w:tcPr>
            <w:tcW w:w="1530" w:type="dxa"/>
            <w:vAlign w:val="bottom"/>
          </w:tcPr>
          <w:p w14:paraId="6FB46E98" w14:textId="77777777" w:rsidR="004C047F" w:rsidRPr="00EB755D" w:rsidRDefault="004C047F" w:rsidP="008F2062">
            <w:pPr>
              <w:spacing w:after="0" w:line="240" w:lineRule="auto"/>
              <w:jc w:val="right"/>
              <w:rPr>
                <w:rFonts w:ascii="Times New Roman" w:hAnsi="Times New Roman" w:cs="Times New Roman"/>
                <w:sz w:val="26"/>
                <w:szCs w:val="26"/>
              </w:rPr>
            </w:pPr>
            <w:r w:rsidRPr="00EB755D">
              <w:rPr>
                <w:rFonts w:ascii="Times New Roman" w:hAnsi="Times New Roman" w:cs="Times New Roman"/>
                <w:sz w:val="26"/>
                <w:szCs w:val="26"/>
              </w:rPr>
              <w:t>0</w:t>
            </w:r>
          </w:p>
        </w:tc>
        <w:tc>
          <w:tcPr>
            <w:tcW w:w="1530" w:type="dxa"/>
            <w:vAlign w:val="bottom"/>
          </w:tcPr>
          <w:p w14:paraId="7803B58D" w14:textId="77777777" w:rsidR="004C047F" w:rsidRPr="00EB755D" w:rsidRDefault="004C047F">
            <w:pPr>
              <w:spacing w:after="0" w:line="240" w:lineRule="auto"/>
              <w:jc w:val="right"/>
              <w:rPr>
                <w:rFonts w:ascii="Times New Roman" w:hAnsi="Times New Roman" w:cs="Times New Roman"/>
                <w:sz w:val="26"/>
                <w:szCs w:val="26"/>
              </w:rPr>
            </w:pPr>
            <w:r w:rsidRPr="00EB755D">
              <w:rPr>
                <w:rFonts w:ascii="Times New Roman" w:hAnsi="Times New Roman" w:cs="Times New Roman"/>
                <w:sz w:val="26"/>
                <w:szCs w:val="26"/>
              </w:rPr>
              <w:t>0</w:t>
            </w:r>
          </w:p>
        </w:tc>
        <w:tc>
          <w:tcPr>
            <w:tcW w:w="1710" w:type="dxa"/>
            <w:vAlign w:val="bottom"/>
          </w:tcPr>
          <w:p w14:paraId="4158D7A3" w14:textId="77777777" w:rsidR="004C047F" w:rsidRPr="00EB755D" w:rsidRDefault="004C047F">
            <w:pPr>
              <w:spacing w:after="0" w:line="240" w:lineRule="auto"/>
              <w:jc w:val="right"/>
              <w:rPr>
                <w:rFonts w:ascii="Times New Roman" w:hAnsi="Times New Roman" w:cs="Times New Roman"/>
                <w:sz w:val="26"/>
                <w:szCs w:val="26"/>
              </w:rPr>
            </w:pPr>
          </w:p>
        </w:tc>
        <w:tc>
          <w:tcPr>
            <w:tcW w:w="1800" w:type="dxa"/>
            <w:vAlign w:val="bottom"/>
          </w:tcPr>
          <w:p w14:paraId="085553F9" w14:textId="77777777" w:rsidR="004C047F" w:rsidRPr="00EB755D" w:rsidRDefault="004C047F">
            <w:pPr>
              <w:spacing w:after="0" w:line="240" w:lineRule="auto"/>
              <w:jc w:val="right"/>
              <w:rPr>
                <w:rFonts w:ascii="Times New Roman" w:hAnsi="Times New Roman" w:cs="Times New Roman"/>
                <w:sz w:val="26"/>
                <w:szCs w:val="26"/>
              </w:rPr>
            </w:pPr>
            <w:r w:rsidRPr="00EB755D">
              <w:rPr>
                <w:rFonts w:ascii="Times New Roman" w:hAnsi="Times New Roman" w:cs="Times New Roman"/>
                <w:sz w:val="26"/>
                <w:szCs w:val="26"/>
              </w:rPr>
              <w:t>0</w:t>
            </w:r>
          </w:p>
        </w:tc>
        <w:tc>
          <w:tcPr>
            <w:tcW w:w="1440" w:type="dxa"/>
            <w:vAlign w:val="bottom"/>
          </w:tcPr>
          <w:p w14:paraId="4C831D12" w14:textId="77777777" w:rsidR="004C047F" w:rsidRPr="00EB755D" w:rsidRDefault="004C047F">
            <w:pPr>
              <w:spacing w:after="0" w:line="240" w:lineRule="auto"/>
              <w:jc w:val="right"/>
              <w:rPr>
                <w:rFonts w:ascii="Times New Roman" w:hAnsi="Times New Roman" w:cs="Times New Roman"/>
                <w:sz w:val="26"/>
                <w:szCs w:val="26"/>
              </w:rPr>
            </w:pPr>
            <w:r w:rsidRPr="00EB755D">
              <w:rPr>
                <w:rFonts w:ascii="Times New Roman" w:hAnsi="Times New Roman" w:cs="Times New Roman"/>
                <w:sz w:val="26"/>
                <w:szCs w:val="26"/>
              </w:rPr>
              <w:t>0</w:t>
            </w:r>
          </w:p>
        </w:tc>
      </w:tr>
    </w:tbl>
    <w:p w14:paraId="41F22FC1" w14:textId="77777777" w:rsidR="00DB1C47" w:rsidRPr="00EB755D" w:rsidRDefault="00DB1C47" w:rsidP="00DB1C47">
      <w:pPr>
        <w:spacing w:after="0" w:line="240" w:lineRule="auto"/>
        <w:rPr>
          <w:rFonts w:ascii="Times New Roman" w:hAnsi="Times New Roman" w:cs="Times New Roman"/>
          <w:sz w:val="26"/>
          <w:szCs w:val="26"/>
        </w:rPr>
      </w:pPr>
    </w:p>
    <w:p w14:paraId="031ED4C3" w14:textId="77777777" w:rsidR="00DB1C47" w:rsidRPr="00EB755D" w:rsidRDefault="00DB1C47" w:rsidP="00DB1C47">
      <w:pPr>
        <w:pStyle w:val="ListParagraph"/>
        <w:numPr>
          <w:ilvl w:val="0"/>
          <w:numId w:val="1"/>
        </w:numPr>
        <w:spacing w:after="0" w:line="240" w:lineRule="auto"/>
        <w:ind w:left="360"/>
        <w:rPr>
          <w:rFonts w:ascii="Times New Roman" w:hAnsi="Times New Roman" w:cs="Times New Roman"/>
          <w:b/>
          <w:sz w:val="26"/>
          <w:szCs w:val="26"/>
        </w:rPr>
      </w:pPr>
      <w:r w:rsidRPr="00EB755D">
        <w:rPr>
          <w:rFonts w:ascii="Times New Roman" w:hAnsi="Times New Roman" w:cs="Times New Roman"/>
          <w:b/>
          <w:sz w:val="26"/>
          <w:szCs w:val="26"/>
        </w:rPr>
        <w:t>TIME SCHEDULE FOR PUBLICATION OF DATA</w:t>
      </w:r>
    </w:p>
    <w:p w14:paraId="50D4E18E" w14:textId="77777777" w:rsidR="00DB1C47" w:rsidRPr="00EB755D" w:rsidRDefault="00DB1C47" w:rsidP="00DB1C47">
      <w:pPr>
        <w:spacing w:after="0" w:line="240" w:lineRule="auto"/>
        <w:rPr>
          <w:rFonts w:ascii="Times New Roman" w:hAnsi="Times New Roman" w:cs="Times New Roman"/>
          <w:sz w:val="26"/>
          <w:szCs w:val="26"/>
        </w:rPr>
      </w:pPr>
    </w:p>
    <w:p w14:paraId="11DDDE95" w14:textId="77777777"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There are no publications of the information.</w:t>
      </w:r>
    </w:p>
    <w:p w14:paraId="07B0A405" w14:textId="77777777" w:rsidR="00DB1C47" w:rsidRPr="00EB755D" w:rsidRDefault="00DB1C47" w:rsidP="00DB1C47">
      <w:pPr>
        <w:spacing w:after="0" w:line="240" w:lineRule="auto"/>
        <w:rPr>
          <w:rFonts w:ascii="Times New Roman" w:hAnsi="Times New Roman" w:cs="Times New Roman"/>
          <w:sz w:val="26"/>
          <w:szCs w:val="26"/>
        </w:rPr>
      </w:pPr>
    </w:p>
    <w:p w14:paraId="1E90F589" w14:textId="77777777" w:rsidR="00DB1C47" w:rsidRPr="00EB755D" w:rsidRDefault="00DB1C47" w:rsidP="00DB1C47">
      <w:pPr>
        <w:pStyle w:val="ListParagraph"/>
        <w:numPr>
          <w:ilvl w:val="0"/>
          <w:numId w:val="1"/>
        </w:numPr>
        <w:spacing w:after="0" w:line="240" w:lineRule="auto"/>
        <w:ind w:left="360"/>
        <w:rPr>
          <w:rFonts w:ascii="Times New Roman" w:hAnsi="Times New Roman" w:cs="Times New Roman"/>
          <w:b/>
          <w:sz w:val="26"/>
          <w:szCs w:val="26"/>
        </w:rPr>
      </w:pPr>
      <w:r w:rsidRPr="00EB755D">
        <w:rPr>
          <w:rFonts w:ascii="Times New Roman" w:hAnsi="Times New Roman" w:cs="Times New Roman"/>
          <w:b/>
          <w:sz w:val="26"/>
          <w:szCs w:val="26"/>
        </w:rPr>
        <w:t>DISPLAY OF EXPIRATION DATE</w:t>
      </w:r>
    </w:p>
    <w:p w14:paraId="3A285892" w14:textId="77777777" w:rsidR="00DB1C47" w:rsidRPr="00EB755D" w:rsidRDefault="00DB1C47" w:rsidP="00DB1C47">
      <w:pPr>
        <w:spacing w:after="0" w:line="240" w:lineRule="auto"/>
        <w:rPr>
          <w:rFonts w:ascii="Times New Roman" w:hAnsi="Times New Roman" w:cs="Times New Roman"/>
          <w:sz w:val="26"/>
          <w:szCs w:val="26"/>
        </w:rPr>
      </w:pPr>
    </w:p>
    <w:p w14:paraId="38DA9DAD" w14:textId="77777777"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 xml:space="preserve">The clearance information and expiration dates are available at </w:t>
      </w:r>
      <w:hyperlink r:id="rId15" w:history="1">
        <w:r w:rsidRPr="00EB755D">
          <w:rPr>
            <w:rStyle w:val="Hyperlink"/>
            <w:rFonts w:ascii="Times New Roman" w:hAnsi="Times New Roman" w:cs="Times New Roman"/>
            <w:sz w:val="26"/>
            <w:szCs w:val="26"/>
          </w:rPr>
          <w:t>http://www.ferc.gov/docs-filing/info-collections.asp</w:t>
        </w:r>
      </w:hyperlink>
      <w:r w:rsidRPr="00EB755D">
        <w:rPr>
          <w:rFonts w:ascii="Times New Roman" w:hAnsi="Times New Roman" w:cs="Times New Roman"/>
          <w:sz w:val="26"/>
          <w:szCs w:val="26"/>
        </w:rPr>
        <w:t xml:space="preserve">. </w:t>
      </w:r>
    </w:p>
    <w:p w14:paraId="35DFB803" w14:textId="77777777" w:rsidR="00DB1C47" w:rsidRPr="00EB755D" w:rsidRDefault="00DB1C47" w:rsidP="00DB1C47">
      <w:pPr>
        <w:spacing w:after="0" w:line="240" w:lineRule="auto"/>
        <w:rPr>
          <w:rFonts w:ascii="Times New Roman" w:hAnsi="Times New Roman" w:cs="Times New Roman"/>
          <w:sz w:val="26"/>
          <w:szCs w:val="26"/>
        </w:rPr>
      </w:pPr>
    </w:p>
    <w:p w14:paraId="62A30D79" w14:textId="77777777" w:rsidR="00DB1C47" w:rsidRPr="00EB755D" w:rsidRDefault="00DB1C47" w:rsidP="00DB1C47">
      <w:pPr>
        <w:pStyle w:val="ListParagraph"/>
        <w:numPr>
          <w:ilvl w:val="0"/>
          <w:numId w:val="1"/>
        </w:numPr>
        <w:spacing w:after="0" w:line="240" w:lineRule="auto"/>
        <w:ind w:left="360"/>
        <w:rPr>
          <w:rFonts w:ascii="Times New Roman" w:hAnsi="Times New Roman" w:cs="Times New Roman"/>
          <w:b/>
          <w:sz w:val="26"/>
          <w:szCs w:val="26"/>
        </w:rPr>
      </w:pPr>
      <w:r w:rsidRPr="00EB755D">
        <w:rPr>
          <w:rFonts w:ascii="Times New Roman" w:hAnsi="Times New Roman" w:cs="Times New Roman"/>
          <w:b/>
          <w:sz w:val="26"/>
          <w:szCs w:val="26"/>
        </w:rPr>
        <w:t>EXCEPTIONS TO THE CERTIFICATION STATEMENT</w:t>
      </w:r>
    </w:p>
    <w:p w14:paraId="2448D89D" w14:textId="77777777" w:rsidR="00DB1C47" w:rsidRPr="00EB755D" w:rsidRDefault="00DB1C47" w:rsidP="00DB1C47">
      <w:pPr>
        <w:spacing w:after="0" w:line="240" w:lineRule="auto"/>
        <w:rPr>
          <w:rFonts w:ascii="Times New Roman" w:hAnsi="Times New Roman" w:cs="Times New Roman"/>
          <w:b/>
          <w:sz w:val="26"/>
          <w:szCs w:val="26"/>
        </w:rPr>
      </w:pPr>
    </w:p>
    <w:p w14:paraId="19AAC9F7" w14:textId="77777777" w:rsidR="00DB1C47" w:rsidRPr="00EB755D" w:rsidRDefault="00DB1C47" w:rsidP="00DB1C47">
      <w:pPr>
        <w:spacing w:after="0" w:line="240" w:lineRule="auto"/>
        <w:rPr>
          <w:rFonts w:ascii="Times New Roman" w:hAnsi="Times New Roman" w:cs="Times New Roman"/>
          <w:sz w:val="26"/>
          <w:szCs w:val="26"/>
        </w:rPr>
      </w:pPr>
      <w:r w:rsidRPr="00EB755D">
        <w:rPr>
          <w:rFonts w:ascii="Times New Roman" w:hAnsi="Times New Roman" w:cs="Times New Roman"/>
          <w:sz w:val="26"/>
          <w:szCs w:val="26"/>
        </w:rPr>
        <w:t xml:space="preserve">There are no exceptions. </w:t>
      </w:r>
    </w:p>
    <w:p w14:paraId="4812D4C8" w14:textId="77777777" w:rsidR="00DB1C47" w:rsidRPr="00EB755D" w:rsidRDefault="00DB1C47" w:rsidP="00DB1C47">
      <w:pPr>
        <w:rPr>
          <w:rFonts w:ascii="Times New Roman" w:hAnsi="Times New Roman" w:cs="Times New Roman"/>
          <w:sz w:val="26"/>
          <w:szCs w:val="26"/>
        </w:rPr>
      </w:pPr>
    </w:p>
    <w:p w14:paraId="1579E483" w14:textId="77777777" w:rsidR="00E073BD" w:rsidRDefault="00E073BD"/>
    <w:sectPr w:rsidR="00E073B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43958" w14:textId="77777777" w:rsidR="00B504ED" w:rsidRDefault="00B504ED" w:rsidP="00DB1C47">
      <w:pPr>
        <w:spacing w:after="0" w:line="240" w:lineRule="auto"/>
      </w:pPr>
      <w:r>
        <w:separator/>
      </w:r>
    </w:p>
  </w:endnote>
  <w:endnote w:type="continuationSeparator" w:id="0">
    <w:p w14:paraId="62610671" w14:textId="77777777" w:rsidR="00B504ED" w:rsidRDefault="00B504ED" w:rsidP="00DB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76411206"/>
      <w:docPartObj>
        <w:docPartGallery w:val="Page Numbers (Bottom of Page)"/>
        <w:docPartUnique/>
      </w:docPartObj>
    </w:sdtPr>
    <w:sdtEndPr>
      <w:rPr>
        <w:noProof/>
      </w:rPr>
    </w:sdtEndPr>
    <w:sdtContent>
      <w:p w14:paraId="61144A6D" w14:textId="77777777" w:rsidR="00F1498C" w:rsidRPr="00EA1CB5" w:rsidRDefault="00562738">
        <w:pPr>
          <w:pStyle w:val="Footer"/>
          <w:jc w:val="right"/>
          <w:rPr>
            <w:rFonts w:ascii="Times New Roman" w:hAnsi="Times New Roman" w:cs="Times New Roman"/>
          </w:rPr>
        </w:pPr>
        <w:r w:rsidRPr="00EA1CB5">
          <w:rPr>
            <w:rFonts w:ascii="Times New Roman" w:hAnsi="Times New Roman" w:cs="Times New Roman"/>
          </w:rPr>
          <w:fldChar w:fldCharType="begin"/>
        </w:r>
        <w:r w:rsidRPr="00EA1CB5">
          <w:rPr>
            <w:rFonts w:ascii="Times New Roman" w:hAnsi="Times New Roman" w:cs="Times New Roman"/>
          </w:rPr>
          <w:instrText xml:space="preserve"> PAGE   \* MERGEFORMAT </w:instrText>
        </w:r>
        <w:r w:rsidRPr="00EA1CB5">
          <w:rPr>
            <w:rFonts w:ascii="Times New Roman" w:hAnsi="Times New Roman" w:cs="Times New Roman"/>
          </w:rPr>
          <w:fldChar w:fldCharType="separate"/>
        </w:r>
        <w:r w:rsidR="001A6BFB">
          <w:rPr>
            <w:rFonts w:ascii="Times New Roman" w:hAnsi="Times New Roman" w:cs="Times New Roman"/>
            <w:noProof/>
          </w:rPr>
          <w:t>1</w:t>
        </w:r>
        <w:r w:rsidRPr="00EA1CB5">
          <w:rPr>
            <w:rFonts w:ascii="Times New Roman" w:hAnsi="Times New Roman" w:cs="Times New Roman"/>
            <w:noProof/>
          </w:rPr>
          <w:fldChar w:fldCharType="end"/>
        </w:r>
      </w:p>
    </w:sdtContent>
  </w:sdt>
  <w:p w14:paraId="62782823" w14:textId="77777777" w:rsidR="00F1498C" w:rsidRPr="00EA1CB5" w:rsidRDefault="001A6BFB">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E705A" w14:textId="77777777" w:rsidR="00B504ED" w:rsidRDefault="00B504ED" w:rsidP="00DB1C47">
      <w:pPr>
        <w:spacing w:after="0" w:line="240" w:lineRule="auto"/>
      </w:pPr>
      <w:r>
        <w:separator/>
      </w:r>
    </w:p>
  </w:footnote>
  <w:footnote w:type="continuationSeparator" w:id="0">
    <w:p w14:paraId="39546435" w14:textId="77777777" w:rsidR="00B504ED" w:rsidRDefault="00B504ED" w:rsidP="00DB1C47">
      <w:pPr>
        <w:spacing w:after="0" w:line="240" w:lineRule="auto"/>
      </w:pPr>
      <w:r>
        <w:continuationSeparator/>
      </w:r>
    </w:p>
  </w:footnote>
  <w:footnote w:id="1">
    <w:p w14:paraId="16C8003B" w14:textId="4C9DAB26" w:rsidR="00852FC5" w:rsidRPr="00A4612C" w:rsidRDefault="00852FC5">
      <w:pPr>
        <w:pStyle w:val="FootnoteText"/>
        <w:rPr>
          <w:sz w:val="26"/>
          <w:szCs w:val="26"/>
        </w:rPr>
      </w:pPr>
      <w:r>
        <w:rPr>
          <w:rStyle w:val="FootnoteReference"/>
        </w:rPr>
        <w:footnoteRef/>
      </w:r>
      <w:r>
        <w:t xml:space="preserve"> </w:t>
      </w:r>
      <w:r w:rsidRPr="00A4612C">
        <w:rPr>
          <w:sz w:val="26"/>
          <w:szCs w:val="26"/>
        </w:rPr>
        <w:t>Pub. L. No. 115-247, 132 Stat. 3152</w:t>
      </w:r>
      <w:r w:rsidR="0050111B">
        <w:rPr>
          <w:sz w:val="26"/>
          <w:szCs w:val="26"/>
        </w:rPr>
        <w:t xml:space="preserve"> </w:t>
      </w:r>
      <w:r w:rsidR="00273BB0" w:rsidRPr="00273BB0">
        <w:rPr>
          <w:sz w:val="26"/>
          <w:szCs w:val="26"/>
        </w:rPr>
        <w:t>“An Act to amend section 203 of the Federal Power Act” (Act)</w:t>
      </w:r>
    </w:p>
  </w:footnote>
  <w:footnote w:id="2">
    <w:p w14:paraId="11BD83F2" w14:textId="77777777" w:rsidR="00DB1C47" w:rsidRPr="00F945E5" w:rsidRDefault="00DB1C47" w:rsidP="00DB1C47">
      <w:pPr>
        <w:pStyle w:val="FootnoteText"/>
        <w:rPr>
          <w:sz w:val="26"/>
          <w:szCs w:val="26"/>
        </w:rPr>
      </w:pPr>
      <w:r w:rsidRPr="00EA1CB5">
        <w:rPr>
          <w:rStyle w:val="FootnoteReference"/>
          <w:sz w:val="26"/>
          <w:szCs w:val="26"/>
          <w:vertAlign w:val="superscript"/>
        </w:rPr>
        <w:footnoteRef/>
      </w:r>
      <w:r w:rsidRPr="00F945E5">
        <w:rPr>
          <w:sz w:val="26"/>
          <w:szCs w:val="26"/>
        </w:rPr>
        <w:t xml:space="preserve"> </w:t>
      </w:r>
      <w:r w:rsidRPr="00375F6B">
        <w:rPr>
          <w:sz w:val="26"/>
          <w:szCs w:val="26"/>
        </w:rPr>
        <w:t>Section 203(a)(1)(B) grants the Commission’s jurisdiction over mergers and consolidations (i.e.</w:t>
      </w:r>
      <w:r w:rsidR="00EA1CB5">
        <w:rPr>
          <w:sz w:val="26"/>
          <w:szCs w:val="26"/>
        </w:rPr>
        <w:t>,</w:t>
      </w:r>
      <w:r w:rsidRPr="00FB6FBE">
        <w:rPr>
          <w:sz w:val="26"/>
          <w:szCs w:val="26"/>
        </w:rPr>
        <w:t xml:space="preserve"> acquisitions), as opposed to other forms of corporate dispositions.  Prior to the new legislation, there was no dollar limit associated with mergers or consolidations that would come under th</w:t>
      </w:r>
      <w:r w:rsidRPr="00375F6B">
        <w:rPr>
          <w:sz w:val="26"/>
          <w:szCs w:val="26"/>
        </w:rPr>
        <w:t>e Commission’s jurisdiction, and the new legislation addressed that by adding a $10 million threshold.</w:t>
      </w:r>
      <w:r w:rsidRPr="00F945E5">
        <w:rPr>
          <w:sz w:val="26"/>
          <w:szCs w:val="26"/>
        </w:rPr>
        <w:t xml:space="preserve">     </w:t>
      </w:r>
    </w:p>
  </w:footnote>
  <w:footnote w:id="3">
    <w:p w14:paraId="2E7BA159" w14:textId="77777777" w:rsidR="00DB1C47" w:rsidRPr="00375F6B" w:rsidRDefault="00DB1C47" w:rsidP="00DB1C47">
      <w:pPr>
        <w:pStyle w:val="FootnoteText"/>
        <w:rPr>
          <w:sz w:val="26"/>
          <w:szCs w:val="26"/>
        </w:rPr>
      </w:pPr>
      <w:r w:rsidRPr="00EA1CB5">
        <w:rPr>
          <w:rStyle w:val="FootnoteReference"/>
          <w:sz w:val="26"/>
          <w:szCs w:val="26"/>
          <w:vertAlign w:val="superscript"/>
        </w:rPr>
        <w:footnoteRef/>
      </w:r>
      <w:r w:rsidRPr="00EA1CB5">
        <w:rPr>
          <w:sz w:val="26"/>
          <w:szCs w:val="26"/>
          <w:vertAlign w:val="superscript"/>
        </w:rPr>
        <w:t xml:space="preserve"> </w:t>
      </w:r>
      <w:r w:rsidRPr="00375F6B">
        <w:rPr>
          <w:sz w:val="26"/>
          <w:szCs w:val="26"/>
        </w:rPr>
        <w:t xml:space="preserve">13 CFR 121.201.  </w:t>
      </w:r>
      <w:r w:rsidRPr="00375F6B">
        <w:rPr>
          <w:i/>
          <w:sz w:val="26"/>
          <w:szCs w:val="26"/>
        </w:rPr>
        <w:t>See also</w:t>
      </w:r>
      <w:r w:rsidRPr="00375F6B">
        <w:rPr>
          <w:sz w:val="26"/>
          <w:szCs w:val="26"/>
        </w:rPr>
        <w:t xml:space="preserve"> U.S. Small Business Administration, </w:t>
      </w:r>
      <w:r w:rsidRPr="00375F6B">
        <w:rPr>
          <w:i/>
          <w:sz w:val="26"/>
          <w:szCs w:val="26"/>
        </w:rPr>
        <w:t>Table of Small Business Size Standards Matched to North American Industry Classification System Codes</w:t>
      </w:r>
      <w:r w:rsidRPr="00375F6B">
        <w:rPr>
          <w:sz w:val="26"/>
          <w:szCs w:val="26"/>
        </w:rPr>
        <w:t xml:space="preserve"> (effective Feb. 26, 2016), https://www.sba.gov/sites/default/files/files/Size_Standards_Table.pdf. </w:t>
      </w:r>
    </w:p>
  </w:footnote>
  <w:footnote w:id="4">
    <w:p w14:paraId="3929D3BA" w14:textId="77777777" w:rsidR="00A22DF8" w:rsidRDefault="00A22DF8" w:rsidP="00A22DF8">
      <w:pPr>
        <w:pStyle w:val="FootnoteText"/>
      </w:pPr>
      <w:r>
        <w:rPr>
          <w:rStyle w:val="FootnoteReference"/>
        </w:rPr>
        <w:footnoteRef/>
      </w:r>
      <w:r>
        <w:t xml:space="preserve"> </w:t>
      </w:r>
      <w:r w:rsidRPr="00BA068F">
        <w:rPr>
          <w:sz w:val="26"/>
          <w:szCs w:val="26"/>
        </w:rPr>
        <w:t>84 FR 6069</w:t>
      </w:r>
    </w:p>
  </w:footnote>
  <w:footnote w:id="5">
    <w:p w14:paraId="14AC66DB" w14:textId="77777777" w:rsidR="00DB1C47" w:rsidRPr="00375F6B" w:rsidRDefault="00DB1C47" w:rsidP="00DB1C47">
      <w:pPr>
        <w:pStyle w:val="FootnoteText"/>
        <w:rPr>
          <w:sz w:val="26"/>
          <w:szCs w:val="26"/>
        </w:rPr>
      </w:pPr>
      <w:r w:rsidRPr="00EA1CB5">
        <w:rPr>
          <w:rStyle w:val="FootnoteReference"/>
          <w:sz w:val="26"/>
          <w:szCs w:val="26"/>
          <w:vertAlign w:val="superscript"/>
        </w:rPr>
        <w:footnoteRef/>
      </w:r>
      <w:r w:rsidRPr="00375F6B">
        <w:rPr>
          <w:sz w:val="26"/>
          <w:szCs w:val="26"/>
        </w:rPr>
        <w:t xml:space="preserve"> Commission staff thinks that the average respondent for this collection is similarly situated to the Commission, in terms of salary plus benefits.  Based upon FERC’s 2018 annual average (for salary plus benefits) of $164,820,</w:t>
      </w:r>
      <w:r w:rsidRPr="00375F6B" w:rsidDel="00573AAE">
        <w:rPr>
          <w:sz w:val="26"/>
          <w:szCs w:val="26"/>
        </w:rPr>
        <w:t xml:space="preserve"> </w:t>
      </w:r>
      <w:r w:rsidRPr="00375F6B">
        <w:rPr>
          <w:sz w:val="26"/>
          <w:szCs w:val="26"/>
        </w:rPr>
        <w:t>the average hourly cost is $79/hour.</w:t>
      </w:r>
    </w:p>
  </w:footnote>
  <w:footnote w:id="6">
    <w:p w14:paraId="34F2A2B2" w14:textId="77777777" w:rsidR="00DB1C47" w:rsidRPr="00375F6B" w:rsidRDefault="00DB1C47" w:rsidP="00DB1C47">
      <w:pPr>
        <w:pStyle w:val="FootnoteText"/>
        <w:rPr>
          <w:sz w:val="26"/>
          <w:szCs w:val="26"/>
        </w:rPr>
      </w:pPr>
      <w:r w:rsidRPr="00EA1CB5">
        <w:rPr>
          <w:rStyle w:val="FootnoteReference"/>
          <w:sz w:val="26"/>
          <w:szCs w:val="26"/>
          <w:vertAlign w:val="superscript"/>
        </w:rPr>
        <w:footnoteRef/>
      </w:r>
      <w:r w:rsidRPr="00EA1CB5">
        <w:rPr>
          <w:sz w:val="26"/>
          <w:szCs w:val="26"/>
          <w:vertAlign w:val="superscript"/>
        </w:rPr>
        <w:t xml:space="preserve"> </w:t>
      </w:r>
      <w:r w:rsidRPr="00375F6B">
        <w:rPr>
          <w:sz w:val="26"/>
          <w:szCs w:val="26"/>
        </w:rPr>
        <w:t xml:space="preserve">Commission staff estimates that approximately </w:t>
      </w:r>
      <w:r>
        <w:rPr>
          <w:sz w:val="26"/>
          <w:szCs w:val="26"/>
        </w:rPr>
        <w:t xml:space="preserve">26 </w:t>
      </w:r>
      <w:r w:rsidR="00EA1CB5">
        <w:rPr>
          <w:sz w:val="26"/>
          <w:szCs w:val="26"/>
        </w:rPr>
        <w:t>s</w:t>
      </w:r>
      <w:r w:rsidRPr="00375F6B">
        <w:rPr>
          <w:sz w:val="26"/>
          <w:szCs w:val="26"/>
        </w:rPr>
        <w:t>ection 203</w:t>
      </w:r>
      <w:r>
        <w:rPr>
          <w:sz w:val="26"/>
          <w:szCs w:val="26"/>
        </w:rPr>
        <w:t xml:space="preserve"> filings will change from full </w:t>
      </w:r>
      <w:r w:rsidR="00EA1CB5">
        <w:rPr>
          <w:sz w:val="26"/>
          <w:szCs w:val="26"/>
        </w:rPr>
        <w:t>s</w:t>
      </w:r>
      <w:r w:rsidRPr="00375F6B">
        <w:rPr>
          <w:sz w:val="26"/>
          <w:szCs w:val="26"/>
        </w:rPr>
        <w:t>ection 203 filings to the notification filing described above, and will take one burden hour to complete.  The number of respondents and responses is based on Commission staff’s estimate that 13 percent of the approximately 200 section 203 fi</w:t>
      </w:r>
      <w:r w:rsidR="001C61CB">
        <w:rPr>
          <w:sz w:val="26"/>
          <w:szCs w:val="26"/>
        </w:rPr>
        <w:t>lings received will be affected. This</w:t>
      </w:r>
      <w:r w:rsidRPr="00375F6B">
        <w:rPr>
          <w:sz w:val="26"/>
          <w:szCs w:val="26"/>
        </w:rPr>
        <w:t xml:space="preserve"> represents a significant reduction in burden hours.</w:t>
      </w:r>
    </w:p>
  </w:footnote>
  <w:footnote w:id="7">
    <w:p w14:paraId="5B5856E9" w14:textId="0EB603FF" w:rsidR="00DB1C47" w:rsidRPr="00375F6B" w:rsidRDefault="00DB1C47" w:rsidP="00DB1C47">
      <w:pPr>
        <w:pStyle w:val="FootnoteText"/>
        <w:rPr>
          <w:sz w:val="26"/>
          <w:szCs w:val="26"/>
        </w:rPr>
      </w:pPr>
      <w:r w:rsidRPr="00EA1CB5">
        <w:rPr>
          <w:rStyle w:val="FootnoteReference"/>
          <w:sz w:val="26"/>
          <w:szCs w:val="26"/>
          <w:vertAlign w:val="superscript"/>
        </w:rPr>
        <w:footnoteRef/>
      </w:r>
      <w:r w:rsidRPr="00375F6B">
        <w:rPr>
          <w:sz w:val="26"/>
          <w:szCs w:val="26"/>
        </w:rPr>
        <w:t xml:space="preserve">.  With this amendment each </w:t>
      </w:r>
      <w:r w:rsidR="00F81CDC">
        <w:rPr>
          <w:sz w:val="26"/>
          <w:szCs w:val="26"/>
        </w:rPr>
        <w:t xml:space="preserve">of the 26 affected entities and their related filings (i.e., the entities that now only have to file the section 203 notification filings) </w:t>
      </w:r>
      <w:r w:rsidRPr="00375F6B">
        <w:rPr>
          <w:sz w:val="26"/>
          <w:szCs w:val="26"/>
        </w:rPr>
        <w:t xml:space="preserve">is </w:t>
      </w:r>
      <w:r w:rsidR="00AE08F8" w:rsidRPr="00375F6B">
        <w:rPr>
          <w:sz w:val="26"/>
          <w:szCs w:val="26"/>
        </w:rPr>
        <w:t>reduce</w:t>
      </w:r>
      <w:r w:rsidR="00AE08F8">
        <w:rPr>
          <w:sz w:val="26"/>
          <w:szCs w:val="26"/>
        </w:rPr>
        <w:t>d</w:t>
      </w:r>
      <w:r w:rsidR="00AE08F8" w:rsidRPr="00375F6B">
        <w:rPr>
          <w:sz w:val="26"/>
          <w:szCs w:val="26"/>
        </w:rPr>
        <w:t xml:space="preserve"> </w:t>
      </w:r>
      <w:r w:rsidRPr="00375F6B">
        <w:rPr>
          <w:sz w:val="26"/>
          <w:szCs w:val="26"/>
        </w:rPr>
        <w:t xml:space="preserve">to 1 hour </w:t>
      </w:r>
    </w:p>
    <w:p w14:paraId="670B1716" w14:textId="77777777" w:rsidR="00DB1C47" w:rsidRPr="00375F6B" w:rsidRDefault="00DB1C47" w:rsidP="00DB1C47">
      <w:pPr>
        <w:pStyle w:val="FootnoteText"/>
        <w:rPr>
          <w:sz w:val="26"/>
          <w:szCs w:val="26"/>
        </w:rPr>
      </w:pPr>
    </w:p>
  </w:footnote>
  <w:footnote w:id="8">
    <w:p w14:paraId="2F819D28" w14:textId="77777777" w:rsidR="00DB1C47" w:rsidRPr="00375F6B" w:rsidRDefault="00DB1C47" w:rsidP="00DB1C47">
      <w:pPr>
        <w:pStyle w:val="FootnoteText"/>
        <w:rPr>
          <w:sz w:val="26"/>
          <w:szCs w:val="26"/>
        </w:rPr>
      </w:pPr>
      <w:r w:rsidRPr="00EA1CB5">
        <w:rPr>
          <w:rStyle w:val="FootnoteReference"/>
          <w:sz w:val="26"/>
          <w:szCs w:val="26"/>
          <w:vertAlign w:val="superscript"/>
        </w:rPr>
        <w:footnoteRef/>
      </w:r>
      <w:r w:rsidRPr="00F945E5">
        <w:rPr>
          <w:sz w:val="26"/>
          <w:szCs w:val="26"/>
        </w:rPr>
        <w:t xml:space="preserve"> </w:t>
      </w:r>
      <w:r w:rsidRPr="00375F6B">
        <w:rPr>
          <w:sz w:val="26"/>
          <w:szCs w:val="26"/>
        </w:rPr>
        <w:t>Based on FERC’s Fiscal Year 2018 average cost per FTE (salary plus benefits) of $164,820 per year (or 2,080 work hours), rounded to $79.00 per hour.</w:t>
      </w:r>
    </w:p>
  </w:footnote>
  <w:footnote w:id="9">
    <w:p w14:paraId="1A76CC2B" w14:textId="77777777" w:rsidR="00DB1C47" w:rsidRPr="00375F6B" w:rsidRDefault="00DB1C47" w:rsidP="00DB1C47">
      <w:pPr>
        <w:pStyle w:val="FootnoteText"/>
        <w:rPr>
          <w:sz w:val="26"/>
          <w:szCs w:val="26"/>
        </w:rPr>
      </w:pPr>
      <w:r w:rsidRPr="00EA1CB5">
        <w:rPr>
          <w:rStyle w:val="FootnoteReference"/>
          <w:sz w:val="26"/>
          <w:szCs w:val="26"/>
          <w:vertAlign w:val="superscript"/>
        </w:rPr>
        <w:footnoteRef/>
      </w:r>
      <w:r w:rsidRPr="00375F6B">
        <w:rPr>
          <w:sz w:val="26"/>
          <w:szCs w:val="26"/>
        </w:rPr>
        <w:t xml:space="preserve"> Paperwork Reduction Act of 1995 (PRA).</w:t>
      </w:r>
    </w:p>
  </w:footnote>
  <w:footnote w:id="10">
    <w:p w14:paraId="5A834FC8" w14:textId="77C41364" w:rsidR="00DB1C47" w:rsidRPr="00375F6B" w:rsidRDefault="00DB1C47" w:rsidP="00DB1C47">
      <w:pPr>
        <w:pStyle w:val="FootnoteText"/>
        <w:rPr>
          <w:sz w:val="26"/>
          <w:szCs w:val="26"/>
        </w:rPr>
      </w:pPr>
      <w:r w:rsidRPr="00EA1CB5">
        <w:rPr>
          <w:rStyle w:val="FootnoteReference"/>
          <w:sz w:val="26"/>
          <w:szCs w:val="26"/>
          <w:vertAlign w:val="superscript"/>
        </w:rPr>
        <w:footnoteRef/>
      </w:r>
      <w:r w:rsidRPr="00375F6B">
        <w:rPr>
          <w:sz w:val="26"/>
          <w:szCs w:val="26"/>
        </w:rPr>
        <w:t xml:space="preserve"> The PRA Administration Cost is $4,</w:t>
      </w:r>
      <w:r w:rsidR="002E6E5E">
        <w:rPr>
          <w:sz w:val="26"/>
          <w:szCs w:val="26"/>
        </w:rPr>
        <w:t>931</w:t>
      </w:r>
      <w:r w:rsidRPr="00375F6B">
        <w:rPr>
          <w:sz w:val="26"/>
          <w:szCs w:val="26"/>
        </w:rPr>
        <w:t>, and includes preparing supporting statements, notices, and other activities associated with PRA compliance.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C9AD1" w14:textId="77777777" w:rsidR="00B24634" w:rsidRDefault="00562738" w:rsidP="00AD3DE5">
    <w:pPr>
      <w:pStyle w:val="Header"/>
      <w:rPr>
        <w:rFonts w:ascii="Times New Roman" w:hAnsi="Times New Roman" w:cs="Times New Roman"/>
        <w:sz w:val="24"/>
        <w:szCs w:val="24"/>
      </w:rPr>
    </w:pPr>
    <w:r w:rsidRPr="00C91306">
      <w:rPr>
        <w:rFonts w:ascii="Times New Roman" w:hAnsi="Times New Roman" w:cs="Times New Roman"/>
        <w:sz w:val="24"/>
        <w:szCs w:val="24"/>
      </w:rPr>
      <w:t>FERC-519 (OMB Control No.</w:t>
    </w:r>
    <w:r w:rsidR="00743ECB">
      <w:rPr>
        <w:rFonts w:ascii="Times New Roman" w:hAnsi="Times New Roman" w:cs="Times New Roman"/>
        <w:sz w:val="24"/>
        <w:szCs w:val="24"/>
      </w:rPr>
      <w:t xml:space="preserve"> </w:t>
    </w:r>
    <w:r w:rsidRPr="00C91306">
      <w:rPr>
        <w:rFonts w:ascii="Times New Roman" w:hAnsi="Times New Roman" w:cs="Times New Roman"/>
        <w:sz w:val="24"/>
        <w:szCs w:val="24"/>
      </w:rPr>
      <w:t>1902-0082)</w:t>
    </w:r>
  </w:p>
  <w:p w14:paraId="279C111B" w14:textId="77777777" w:rsidR="00F1498C" w:rsidRDefault="00AF64AA" w:rsidP="00AD3DE5">
    <w:pPr>
      <w:pStyle w:val="Header"/>
      <w:rPr>
        <w:rFonts w:ascii="Times New Roman" w:hAnsi="Times New Roman" w:cs="Times New Roman"/>
        <w:sz w:val="24"/>
        <w:szCs w:val="24"/>
      </w:rPr>
    </w:pPr>
    <w:r w:rsidRPr="00E50B28">
      <w:rPr>
        <w:rFonts w:ascii="Times New Roman" w:hAnsi="Times New Roman" w:cs="Times New Roman"/>
        <w:sz w:val="24"/>
        <w:szCs w:val="24"/>
      </w:rPr>
      <w:t>Final Rule</w:t>
    </w:r>
    <w:r w:rsidR="00C753AC" w:rsidRPr="00E50B28">
      <w:rPr>
        <w:rFonts w:ascii="Times New Roman" w:hAnsi="Times New Roman" w:cs="Times New Roman"/>
        <w:sz w:val="24"/>
        <w:szCs w:val="24"/>
      </w:rPr>
      <w:t xml:space="preserve"> </w:t>
    </w:r>
    <w:r w:rsidR="00562738" w:rsidRPr="00E50B28">
      <w:rPr>
        <w:rFonts w:ascii="Times New Roman" w:hAnsi="Times New Roman" w:cs="Times New Roman"/>
        <w:sz w:val="24"/>
        <w:szCs w:val="24"/>
      </w:rPr>
      <w:t xml:space="preserve">(issued </w:t>
    </w:r>
    <w:r w:rsidRPr="00E50B28">
      <w:rPr>
        <w:rFonts w:ascii="Times New Roman" w:hAnsi="Times New Roman" w:cs="Times New Roman"/>
        <w:sz w:val="24"/>
        <w:szCs w:val="24"/>
      </w:rPr>
      <w:t>2/21/2019</w:t>
    </w:r>
    <w:r w:rsidR="00562738" w:rsidRPr="00E50B28">
      <w:rPr>
        <w:rFonts w:ascii="Times New Roman" w:hAnsi="Times New Roman" w:cs="Times New Roman"/>
        <w:sz w:val="24"/>
        <w:szCs w:val="24"/>
      </w:rPr>
      <w:t>)</w:t>
    </w:r>
    <w:r w:rsidR="00562738">
      <w:rPr>
        <w:rFonts w:ascii="Times New Roman" w:hAnsi="Times New Roman" w:cs="Times New Roman"/>
        <w:sz w:val="24"/>
        <w:szCs w:val="24"/>
      </w:rPr>
      <w:t xml:space="preserve"> </w:t>
    </w:r>
    <w:r w:rsidR="00C753AC">
      <w:rPr>
        <w:rFonts w:ascii="Times New Roman" w:hAnsi="Times New Roman" w:cs="Times New Roman"/>
        <w:sz w:val="24"/>
        <w:szCs w:val="24"/>
      </w:rPr>
      <w:t xml:space="preserve">in </w:t>
    </w:r>
    <w:r w:rsidR="00562738" w:rsidRPr="00C91306">
      <w:rPr>
        <w:rFonts w:ascii="Times New Roman" w:hAnsi="Times New Roman" w:cs="Times New Roman"/>
        <w:sz w:val="24"/>
        <w:szCs w:val="24"/>
      </w:rPr>
      <w:t xml:space="preserve">Docket No. </w:t>
    </w:r>
    <w:r w:rsidR="00562738">
      <w:rPr>
        <w:rFonts w:ascii="Times New Roman" w:hAnsi="Times New Roman" w:cs="Times New Roman"/>
        <w:sz w:val="24"/>
        <w:szCs w:val="24"/>
      </w:rPr>
      <w:t>RM19-4-000</w:t>
    </w:r>
    <w:r w:rsidR="00562738" w:rsidRPr="00C91306">
      <w:rPr>
        <w:rFonts w:ascii="Times New Roman" w:hAnsi="Times New Roman" w:cs="Times New Roman"/>
        <w:sz w:val="24"/>
        <w:szCs w:val="24"/>
      </w:rPr>
      <w:t xml:space="preserve"> </w:t>
    </w:r>
  </w:p>
  <w:p w14:paraId="2948EFBC" w14:textId="77777777" w:rsidR="00B24634" w:rsidRDefault="00562738" w:rsidP="00AD3DE5">
    <w:pPr>
      <w:pStyle w:val="Header"/>
      <w:rPr>
        <w:rFonts w:ascii="Times New Roman" w:hAnsi="Times New Roman" w:cs="Times New Roman"/>
        <w:sz w:val="24"/>
        <w:szCs w:val="24"/>
      </w:rPr>
    </w:pPr>
    <w:r>
      <w:rPr>
        <w:rFonts w:ascii="Times New Roman" w:hAnsi="Times New Roman" w:cs="Times New Roman"/>
        <w:sz w:val="24"/>
        <w:szCs w:val="24"/>
      </w:rPr>
      <w:t>RIN: 1902-AF56</w:t>
    </w:r>
  </w:p>
  <w:p w14:paraId="6E21B83D" w14:textId="77777777" w:rsidR="00F1498C" w:rsidRDefault="001A6B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622D"/>
    <w:multiLevelType w:val="hybridMultilevel"/>
    <w:tmpl w:val="6238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D27EB0"/>
    <w:multiLevelType w:val="hybridMultilevel"/>
    <w:tmpl w:val="C390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8A7E9A"/>
    <w:multiLevelType w:val="hybridMultilevel"/>
    <w:tmpl w:val="756A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DE0157"/>
    <w:multiLevelType w:val="hybridMultilevel"/>
    <w:tmpl w:val="2240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4E4DD3"/>
    <w:multiLevelType w:val="hybridMultilevel"/>
    <w:tmpl w:val="024C69D0"/>
    <w:lvl w:ilvl="0" w:tplc="00BCA344">
      <w:start w:val="1"/>
      <w:numFmt w:val="decimal"/>
      <w:pStyle w:val="FERCparanumber"/>
      <w:lvlText w:val="%1."/>
      <w:lvlJc w:val="left"/>
      <w:pPr>
        <w:tabs>
          <w:tab w:val="num" w:pos="72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47"/>
    <w:rsid w:val="0002267C"/>
    <w:rsid w:val="00055713"/>
    <w:rsid w:val="000F2C89"/>
    <w:rsid w:val="00126915"/>
    <w:rsid w:val="00160710"/>
    <w:rsid w:val="0018133F"/>
    <w:rsid w:val="00186793"/>
    <w:rsid w:val="001A6BFB"/>
    <w:rsid w:val="001C61CB"/>
    <w:rsid w:val="001D0CE2"/>
    <w:rsid w:val="001E100B"/>
    <w:rsid w:val="00273BB0"/>
    <w:rsid w:val="002A3DBA"/>
    <w:rsid w:val="002A41EE"/>
    <w:rsid w:val="002E2FA8"/>
    <w:rsid w:val="002E6E5E"/>
    <w:rsid w:val="003803F0"/>
    <w:rsid w:val="003B59C6"/>
    <w:rsid w:val="003C10EB"/>
    <w:rsid w:val="004B6B64"/>
    <w:rsid w:val="004C047F"/>
    <w:rsid w:val="004D7B03"/>
    <w:rsid w:val="004E2141"/>
    <w:rsid w:val="004E4042"/>
    <w:rsid w:val="0050111B"/>
    <w:rsid w:val="00533CE0"/>
    <w:rsid w:val="00542EC3"/>
    <w:rsid w:val="00550F80"/>
    <w:rsid w:val="00562738"/>
    <w:rsid w:val="00564363"/>
    <w:rsid w:val="005C0DAE"/>
    <w:rsid w:val="005D784C"/>
    <w:rsid w:val="005F0295"/>
    <w:rsid w:val="005F338E"/>
    <w:rsid w:val="006104CE"/>
    <w:rsid w:val="00640DD2"/>
    <w:rsid w:val="00642CE2"/>
    <w:rsid w:val="00677BB2"/>
    <w:rsid w:val="006858FC"/>
    <w:rsid w:val="006F07AF"/>
    <w:rsid w:val="00711642"/>
    <w:rsid w:val="00743ECB"/>
    <w:rsid w:val="00755646"/>
    <w:rsid w:val="00761224"/>
    <w:rsid w:val="00765A7C"/>
    <w:rsid w:val="00793226"/>
    <w:rsid w:val="007F30E8"/>
    <w:rsid w:val="007F349E"/>
    <w:rsid w:val="00803DDF"/>
    <w:rsid w:val="00852FC5"/>
    <w:rsid w:val="008D1DC0"/>
    <w:rsid w:val="008D5FE7"/>
    <w:rsid w:val="008F2062"/>
    <w:rsid w:val="009251E1"/>
    <w:rsid w:val="00970DCF"/>
    <w:rsid w:val="00977E63"/>
    <w:rsid w:val="00984A2D"/>
    <w:rsid w:val="009952EE"/>
    <w:rsid w:val="009D08E2"/>
    <w:rsid w:val="009D5A53"/>
    <w:rsid w:val="009F7ABA"/>
    <w:rsid w:val="00A22DF8"/>
    <w:rsid w:val="00A319F9"/>
    <w:rsid w:val="00A4612C"/>
    <w:rsid w:val="00A7114D"/>
    <w:rsid w:val="00A7609A"/>
    <w:rsid w:val="00A83E59"/>
    <w:rsid w:val="00AB391E"/>
    <w:rsid w:val="00AB7B93"/>
    <w:rsid w:val="00AE08F8"/>
    <w:rsid w:val="00AF64AA"/>
    <w:rsid w:val="00B453EE"/>
    <w:rsid w:val="00B504ED"/>
    <w:rsid w:val="00B56E47"/>
    <w:rsid w:val="00BA068F"/>
    <w:rsid w:val="00BB1B74"/>
    <w:rsid w:val="00C33D27"/>
    <w:rsid w:val="00C753AC"/>
    <w:rsid w:val="00C936CA"/>
    <w:rsid w:val="00CA6BC9"/>
    <w:rsid w:val="00CB1984"/>
    <w:rsid w:val="00D0178E"/>
    <w:rsid w:val="00D70CFB"/>
    <w:rsid w:val="00D84CBC"/>
    <w:rsid w:val="00D869C2"/>
    <w:rsid w:val="00D92DCB"/>
    <w:rsid w:val="00D964D3"/>
    <w:rsid w:val="00DB1C47"/>
    <w:rsid w:val="00DE246B"/>
    <w:rsid w:val="00E033C9"/>
    <w:rsid w:val="00E073BD"/>
    <w:rsid w:val="00E14DC7"/>
    <w:rsid w:val="00E50B28"/>
    <w:rsid w:val="00E93775"/>
    <w:rsid w:val="00EA1CB5"/>
    <w:rsid w:val="00EE0714"/>
    <w:rsid w:val="00F05550"/>
    <w:rsid w:val="00F15B7F"/>
    <w:rsid w:val="00F4274E"/>
    <w:rsid w:val="00F5162A"/>
    <w:rsid w:val="00F5521C"/>
    <w:rsid w:val="00F81CDC"/>
    <w:rsid w:val="00F8323A"/>
    <w:rsid w:val="00FE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A1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C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C47"/>
  </w:style>
  <w:style w:type="paragraph" w:styleId="Footer">
    <w:name w:val="footer"/>
    <w:basedOn w:val="Normal"/>
    <w:link w:val="FooterChar"/>
    <w:uiPriority w:val="99"/>
    <w:unhideWhenUsed/>
    <w:rsid w:val="00DB1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C47"/>
  </w:style>
  <w:style w:type="paragraph" w:styleId="ListParagraph">
    <w:name w:val="List Paragraph"/>
    <w:basedOn w:val="Normal"/>
    <w:uiPriority w:val="34"/>
    <w:qFormat/>
    <w:rsid w:val="00DB1C47"/>
    <w:pPr>
      <w:ind w:left="720"/>
      <w:contextualSpacing/>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DB1C4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qFormat/>
    <w:rsid w:val="00DB1C4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DB1C4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1 Char"/>
    <w:link w:val="FootnoteText"/>
    <w:uiPriority w:val="99"/>
    <w:rsid w:val="00DB1C4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B1C47"/>
    <w:rPr>
      <w:color w:val="0563C1" w:themeColor="hyperlink"/>
      <w:u w:val="single"/>
    </w:rPr>
  </w:style>
  <w:style w:type="paragraph" w:customStyle="1" w:styleId="FERCparanumber">
    <w:name w:val="FERC paranumber"/>
    <w:basedOn w:val="Normal"/>
    <w:link w:val="FERCparanumberChar1"/>
    <w:qFormat/>
    <w:rsid w:val="00DB1C47"/>
    <w:pPr>
      <w:numPr>
        <w:numId w:val="2"/>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1">
    <w:name w:val="FERC paranumber Char1"/>
    <w:link w:val="FERCparanumber"/>
    <w:rsid w:val="00DB1C47"/>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DB1C47"/>
    <w:rPr>
      <w:color w:val="954F72" w:themeColor="followedHyperlink"/>
      <w:u w:val="single"/>
    </w:rPr>
  </w:style>
  <w:style w:type="paragraph" w:styleId="BalloonText">
    <w:name w:val="Balloon Text"/>
    <w:basedOn w:val="Normal"/>
    <w:link w:val="BalloonTextChar"/>
    <w:uiPriority w:val="99"/>
    <w:semiHidden/>
    <w:unhideWhenUsed/>
    <w:rsid w:val="00542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C3"/>
    <w:rPr>
      <w:rFonts w:ascii="Segoe UI" w:hAnsi="Segoe UI" w:cs="Segoe UI"/>
      <w:sz w:val="18"/>
      <w:szCs w:val="18"/>
    </w:rPr>
  </w:style>
  <w:style w:type="character" w:styleId="CommentReference">
    <w:name w:val="annotation reference"/>
    <w:basedOn w:val="DefaultParagraphFont"/>
    <w:uiPriority w:val="99"/>
    <w:semiHidden/>
    <w:unhideWhenUsed/>
    <w:rsid w:val="004D7B03"/>
    <w:rPr>
      <w:sz w:val="16"/>
      <w:szCs w:val="16"/>
    </w:rPr>
  </w:style>
  <w:style w:type="paragraph" w:styleId="CommentText">
    <w:name w:val="annotation text"/>
    <w:basedOn w:val="Normal"/>
    <w:link w:val="CommentTextChar"/>
    <w:uiPriority w:val="99"/>
    <w:semiHidden/>
    <w:unhideWhenUsed/>
    <w:rsid w:val="004D7B03"/>
    <w:pPr>
      <w:spacing w:line="240" w:lineRule="auto"/>
    </w:pPr>
    <w:rPr>
      <w:sz w:val="20"/>
      <w:szCs w:val="20"/>
    </w:rPr>
  </w:style>
  <w:style w:type="character" w:customStyle="1" w:styleId="CommentTextChar">
    <w:name w:val="Comment Text Char"/>
    <w:basedOn w:val="DefaultParagraphFont"/>
    <w:link w:val="CommentText"/>
    <w:uiPriority w:val="99"/>
    <w:semiHidden/>
    <w:rsid w:val="004D7B03"/>
    <w:rPr>
      <w:sz w:val="20"/>
      <w:szCs w:val="20"/>
    </w:rPr>
  </w:style>
  <w:style w:type="paragraph" w:styleId="CommentSubject">
    <w:name w:val="annotation subject"/>
    <w:basedOn w:val="CommentText"/>
    <w:next w:val="CommentText"/>
    <w:link w:val="CommentSubjectChar"/>
    <w:uiPriority w:val="99"/>
    <w:semiHidden/>
    <w:unhideWhenUsed/>
    <w:rsid w:val="004D7B03"/>
    <w:rPr>
      <w:b/>
      <w:bCs/>
    </w:rPr>
  </w:style>
  <w:style w:type="character" w:customStyle="1" w:styleId="CommentSubjectChar">
    <w:name w:val="Comment Subject Char"/>
    <w:basedOn w:val="CommentTextChar"/>
    <w:link w:val="CommentSubject"/>
    <w:uiPriority w:val="99"/>
    <w:semiHidden/>
    <w:rsid w:val="004D7B03"/>
    <w:rPr>
      <w:b/>
      <w:bCs/>
      <w:sz w:val="20"/>
      <w:szCs w:val="20"/>
    </w:rPr>
  </w:style>
  <w:style w:type="paragraph" w:styleId="Revision">
    <w:name w:val="Revision"/>
    <w:hidden/>
    <w:uiPriority w:val="99"/>
    <w:semiHidden/>
    <w:rsid w:val="00E937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C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C47"/>
  </w:style>
  <w:style w:type="paragraph" w:styleId="Footer">
    <w:name w:val="footer"/>
    <w:basedOn w:val="Normal"/>
    <w:link w:val="FooterChar"/>
    <w:uiPriority w:val="99"/>
    <w:unhideWhenUsed/>
    <w:rsid w:val="00DB1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C47"/>
  </w:style>
  <w:style w:type="paragraph" w:styleId="ListParagraph">
    <w:name w:val="List Paragraph"/>
    <w:basedOn w:val="Normal"/>
    <w:uiPriority w:val="34"/>
    <w:qFormat/>
    <w:rsid w:val="00DB1C47"/>
    <w:pPr>
      <w:ind w:left="720"/>
      <w:contextualSpacing/>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DB1C4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qFormat/>
    <w:rsid w:val="00DB1C4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DB1C4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1 Char"/>
    <w:link w:val="FootnoteText"/>
    <w:uiPriority w:val="99"/>
    <w:rsid w:val="00DB1C4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B1C47"/>
    <w:rPr>
      <w:color w:val="0563C1" w:themeColor="hyperlink"/>
      <w:u w:val="single"/>
    </w:rPr>
  </w:style>
  <w:style w:type="paragraph" w:customStyle="1" w:styleId="FERCparanumber">
    <w:name w:val="FERC paranumber"/>
    <w:basedOn w:val="Normal"/>
    <w:link w:val="FERCparanumberChar1"/>
    <w:qFormat/>
    <w:rsid w:val="00DB1C47"/>
    <w:pPr>
      <w:numPr>
        <w:numId w:val="2"/>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1">
    <w:name w:val="FERC paranumber Char1"/>
    <w:link w:val="FERCparanumber"/>
    <w:rsid w:val="00DB1C47"/>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DB1C47"/>
    <w:rPr>
      <w:color w:val="954F72" w:themeColor="followedHyperlink"/>
      <w:u w:val="single"/>
    </w:rPr>
  </w:style>
  <w:style w:type="paragraph" w:styleId="BalloonText">
    <w:name w:val="Balloon Text"/>
    <w:basedOn w:val="Normal"/>
    <w:link w:val="BalloonTextChar"/>
    <w:uiPriority w:val="99"/>
    <w:semiHidden/>
    <w:unhideWhenUsed/>
    <w:rsid w:val="00542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C3"/>
    <w:rPr>
      <w:rFonts w:ascii="Segoe UI" w:hAnsi="Segoe UI" w:cs="Segoe UI"/>
      <w:sz w:val="18"/>
      <w:szCs w:val="18"/>
    </w:rPr>
  </w:style>
  <w:style w:type="character" w:styleId="CommentReference">
    <w:name w:val="annotation reference"/>
    <w:basedOn w:val="DefaultParagraphFont"/>
    <w:uiPriority w:val="99"/>
    <w:semiHidden/>
    <w:unhideWhenUsed/>
    <w:rsid w:val="004D7B03"/>
    <w:rPr>
      <w:sz w:val="16"/>
      <w:szCs w:val="16"/>
    </w:rPr>
  </w:style>
  <w:style w:type="paragraph" w:styleId="CommentText">
    <w:name w:val="annotation text"/>
    <w:basedOn w:val="Normal"/>
    <w:link w:val="CommentTextChar"/>
    <w:uiPriority w:val="99"/>
    <w:semiHidden/>
    <w:unhideWhenUsed/>
    <w:rsid w:val="004D7B03"/>
    <w:pPr>
      <w:spacing w:line="240" w:lineRule="auto"/>
    </w:pPr>
    <w:rPr>
      <w:sz w:val="20"/>
      <w:szCs w:val="20"/>
    </w:rPr>
  </w:style>
  <w:style w:type="character" w:customStyle="1" w:styleId="CommentTextChar">
    <w:name w:val="Comment Text Char"/>
    <w:basedOn w:val="DefaultParagraphFont"/>
    <w:link w:val="CommentText"/>
    <w:uiPriority w:val="99"/>
    <w:semiHidden/>
    <w:rsid w:val="004D7B03"/>
    <w:rPr>
      <w:sz w:val="20"/>
      <w:szCs w:val="20"/>
    </w:rPr>
  </w:style>
  <w:style w:type="paragraph" w:styleId="CommentSubject">
    <w:name w:val="annotation subject"/>
    <w:basedOn w:val="CommentText"/>
    <w:next w:val="CommentText"/>
    <w:link w:val="CommentSubjectChar"/>
    <w:uiPriority w:val="99"/>
    <w:semiHidden/>
    <w:unhideWhenUsed/>
    <w:rsid w:val="004D7B03"/>
    <w:rPr>
      <w:b/>
      <w:bCs/>
    </w:rPr>
  </w:style>
  <w:style w:type="character" w:customStyle="1" w:styleId="CommentSubjectChar">
    <w:name w:val="Comment Subject Char"/>
    <w:basedOn w:val="CommentTextChar"/>
    <w:link w:val="CommentSubject"/>
    <w:uiPriority w:val="99"/>
    <w:semiHidden/>
    <w:rsid w:val="004D7B03"/>
    <w:rPr>
      <w:b/>
      <w:bCs/>
      <w:sz w:val="20"/>
      <w:szCs w:val="20"/>
    </w:rPr>
  </w:style>
  <w:style w:type="paragraph" w:styleId="Revision">
    <w:name w:val="Revision"/>
    <w:hidden/>
    <w:uiPriority w:val="99"/>
    <w:semiHidden/>
    <w:rsid w:val="00E937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erc.gov/docs-filing/info-collections.as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efil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519</_x0031__x002e__x0020_Collection_x0020_Number>
    <Date xmlns="d6eefc7d-9817-4fa6-84d5-3bc009be21b8">2019-02-28T00:00:00-05:00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RM19-4</_x0031__x002e__x0020_Docket_x0020_Number>
    <_x0033__x002e__x0020_Collection_x0020_Number xmlns="d6eefc7d-9817-4fa6-84d5-3bc009be21b8" xsi:nil="true"/>
  </documentManagement>
</p:properti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25DC3-522E-4555-B5AD-6DA911BC89E4}">
  <ds:schemaRefs>
    <ds:schemaRef ds:uri="http://schemas.microsoft.com/sharepoint/v3/contenttype/forms"/>
  </ds:schemaRefs>
</ds:datastoreItem>
</file>

<file path=customXml/itemProps2.xml><?xml version="1.0" encoding="utf-8"?>
<ds:datastoreItem xmlns:ds="http://schemas.openxmlformats.org/officeDocument/2006/customXml" ds:itemID="{44D8502D-6EF4-459B-B591-26BEA8A50303}">
  <ds:schemaRefs>
    <ds:schemaRef ds:uri="http://purl.org/dc/elements/1.1/"/>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d6eefc7d-9817-4fa6-84d5-3bc009be21b8"/>
  </ds:schemaRefs>
</ds:datastoreItem>
</file>

<file path=customXml/itemProps3.xml><?xml version="1.0" encoding="utf-8"?>
<ds:datastoreItem xmlns:ds="http://schemas.openxmlformats.org/officeDocument/2006/customXml" ds:itemID="{DF127C90-4C76-4FEF-AB8D-460C790B23E8}">
  <ds:schemaRefs>
    <ds:schemaRef ds:uri="Microsoft.SharePoint.Taxonomy.ContentTypeSync"/>
  </ds:schemaRefs>
</ds:datastoreItem>
</file>

<file path=customXml/itemProps4.xml><?xml version="1.0" encoding="utf-8"?>
<ds:datastoreItem xmlns:ds="http://schemas.openxmlformats.org/officeDocument/2006/customXml" ds:itemID="{473D0BE0-A0A7-44D6-9DC8-6CA1BDBC0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F844E4-67BE-469E-A494-97E87F7112DF}">
  <ds:schemaRefs>
    <ds:schemaRef ds:uri="http://schemas.microsoft.com/office/2006/metadata/customXsn"/>
  </ds:schemaRefs>
</ds:datastoreItem>
</file>

<file path=customXml/itemProps6.xml><?xml version="1.0" encoding="utf-8"?>
<ds:datastoreItem xmlns:ds="http://schemas.openxmlformats.org/officeDocument/2006/customXml" ds:itemID="{3381060B-1863-406A-97E8-8F8C5E59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SYSTEM</cp:lastModifiedBy>
  <cp:revision>2</cp:revision>
  <dcterms:created xsi:type="dcterms:W3CDTF">2019-03-01T17:28:00Z</dcterms:created>
  <dcterms:modified xsi:type="dcterms:W3CDTF">2019-03-01T17:28:00Z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