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CEEFD" w14:textId="77777777" w:rsidR="001C75B2" w:rsidRDefault="001C75B2" w:rsidP="008647BA">
      <w:pPr>
        <w:jc w:val="center"/>
      </w:pPr>
      <w:bookmarkStart w:id="0" w:name="_GoBack"/>
      <w:bookmarkEnd w:id="0"/>
      <w:smartTag w:uri="urn:schemas-microsoft-com:office:smarttags" w:element="country-region">
        <w:smartTag w:uri="urn:schemas-microsoft-com:office:smarttags" w:element="place">
          <w:r>
            <w:t>UNITED STATES OF AMERICA</w:t>
          </w:r>
        </w:smartTag>
      </w:smartTag>
    </w:p>
    <w:p w14:paraId="2CA927C5" w14:textId="77777777" w:rsidR="001C75B2" w:rsidRDefault="001C75B2" w:rsidP="008647BA">
      <w:pPr>
        <w:jc w:val="center"/>
      </w:pPr>
      <w:r>
        <w:t>FEDERAL ENERGY REGULATORY COMMISSION</w:t>
      </w:r>
    </w:p>
    <w:p w14:paraId="70676B75" w14:textId="77777777" w:rsidR="001C75B2" w:rsidRDefault="001C75B2" w:rsidP="001C75B2"/>
    <w:p w14:paraId="4A925EDD" w14:textId="77777777" w:rsidR="001C75B2" w:rsidRDefault="00DB2E6E" w:rsidP="008647BA">
      <w:pPr>
        <w:jc w:val="center"/>
      </w:pPr>
      <w:r>
        <w:t>[</w:t>
      </w:r>
      <w:r w:rsidRPr="00677263">
        <w:rPr>
          <w:szCs w:val="26"/>
        </w:rPr>
        <w:t xml:space="preserve">Docket No. </w:t>
      </w:r>
      <w:r>
        <w:rPr>
          <w:szCs w:val="26"/>
        </w:rPr>
        <w:t>RD18-</w:t>
      </w:r>
      <w:r w:rsidR="00C45D62">
        <w:rPr>
          <w:szCs w:val="26"/>
        </w:rPr>
        <w:t>7-000</w:t>
      </w:r>
      <w:r w:rsidR="001C75B2">
        <w:t>]</w:t>
      </w:r>
    </w:p>
    <w:p w14:paraId="6C4E2BC2" w14:textId="77777777" w:rsidR="001C75B2" w:rsidRDefault="001C75B2" w:rsidP="001C75B2"/>
    <w:p w14:paraId="0DF1ABC3" w14:textId="77777777" w:rsidR="001C75B2" w:rsidRDefault="001C75B2" w:rsidP="008024B2">
      <w:pPr>
        <w:jc w:val="center"/>
      </w:pPr>
      <w:r w:rsidRPr="00D049C2">
        <w:t>COMMISSION INFORMATION COLLECTION ACTIVITIES (FERC</w:t>
      </w:r>
      <w:r w:rsidR="0066069E" w:rsidRPr="00D049C2">
        <w:t>-</w:t>
      </w:r>
      <w:r w:rsidR="00C45D62">
        <w:t>725R</w:t>
      </w:r>
      <w:r w:rsidR="008024B2" w:rsidRPr="00D049C2">
        <w:t>);</w:t>
      </w:r>
      <w:r w:rsidR="00A049CA">
        <w:t xml:space="preserve"> COMMENT REQUEST;</w:t>
      </w:r>
      <w:r w:rsidR="00F95CBD">
        <w:t xml:space="preserve"> </w:t>
      </w:r>
      <w:r w:rsidR="00A16BCA">
        <w:t>REVISION</w:t>
      </w:r>
    </w:p>
    <w:p w14:paraId="0B571C1A" w14:textId="77777777" w:rsidR="001C75B2" w:rsidRDefault="001C75B2" w:rsidP="001C75B2"/>
    <w:p w14:paraId="27DDD721" w14:textId="54235C07" w:rsidR="001C75B2" w:rsidRDefault="00427023" w:rsidP="00427023">
      <w:pPr>
        <w:jc w:val="center"/>
      </w:pPr>
      <w:r w:rsidRPr="00427023">
        <w:t>(September 28, 2018</w:t>
      </w:r>
      <w:r w:rsidR="00F67F0F" w:rsidRPr="00427023">
        <w:t>)</w:t>
      </w:r>
    </w:p>
    <w:p w14:paraId="36E3B6A4" w14:textId="77777777" w:rsidR="00427023" w:rsidRPr="00427023" w:rsidRDefault="00427023" w:rsidP="00427023"/>
    <w:p w14:paraId="0492E3FC" w14:textId="77777777" w:rsidR="001C75B2" w:rsidRDefault="001C75B2" w:rsidP="001C75B2"/>
    <w:p w14:paraId="1240E99B" w14:textId="77777777" w:rsidR="001C75B2" w:rsidRDefault="008024B2" w:rsidP="00C0217E">
      <w:pPr>
        <w:spacing w:line="480" w:lineRule="auto"/>
      </w:pPr>
      <w:r w:rsidRPr="00C0217E">
        <w:rPr>
          <w:b/>
        </w:rPr>
        <w:t>AGENCY:</w:t>
      </w:r>
      <w:r>
        <w:t xml:space="preserve">  </w:t>
      </w:r>
      <w:r w:rsidR="001C75B2">
        <w:t>Federal Energy Regulatory Commission.</w:t>
      </w:r>
    </w:p>
    <w:p w14:paraId="5F4E957B" w14:textId="77777777" w:rsidR="001C75B2" w:rsidRDefault="008024B2" w:rsidP="00C0217E">
      <w:pPr>
        <w:spacing w:line="480" w:lineRule="auto"/>
      </w:pPr>
      <w:r w:rsidRPr="00C0217E">
        <w:rPr>
          <w:b/>
        </w:rPr>
        <w:t>ACTION:</w:t>
      </w:r>
      <w:r>
        <w:t xml:space="preserve">  </w:t>
      </w:r>
      <w:r w:rsidR="00B87F46">
        <w:t>C</w:t>
      </w:r>
      <w:r w:rsidR="00E94542">
        <w:t>omment request.</w:t>
      </w:r>
    </w:p>
    <w:p w14:paraId="64C97609" w14:textId="77777777" w:rsidR="00820C99" w:rsidRDefault="001C75B2" w:rsidP="00C0217E">
      <w:pPr>
        <w:spacing w:line="480" w:lineRule="auto"/>
      </w:pPr>
      <w:r w:rsidRPr="00C0217E">
        <w:rPr>
          <w:b/>
        </w:rPr>
        <w:t>SUMMARY:</w:t>
      </w:r>
      <w:r>
        <w:t xml:space="preserve">  In compliance with the requirements</w:t>
      </w:r>
      <w:r w:rsidR="00B87F46">
        <w:t xml:space="preserve"> of</w:t>
      </w:r>
      <w:r>
        <w:t xml:space="preserve"> the Paperwork Reduction Act of 1995</w:t>
      </w:r>
      <w:r w:rsidR="00D049C2">
        <w:t xml:space="preserve">, </w:t>
      </w:r>
      <w:r>
        <w:t xml:space="preserve">the Federal Energy Regulatory Commission (Commission or FERC) </w:t>
      </w:r>
      <w:r w:rsidR="00172C34">
        <w:t>is</w:t>
      </w:r>
      <w:r>
        <w:t xml:space="preserve"> submitt</w:t>
      </w:r>
      <w:r w:rsidR="00172C34">
        <w:t>ing</w:t>
      </w:r>
      <w:r>
        <w:t xml:space="preserve"> </w:t>
      </w:r>
      <w:r w:rsidR="001F0E50">
        <w:t>its</w:t>
      </w:r>
      <w:r>
        <w:t xml:space="preserve"> information collection</w:t>
      </w:r>
      <w:r w:rsidR="00CC2DF1">
        <w:t xml:space="preserve"> </w:t>
      </w:r>
      <w:r w:rsidR="0066069E" w:rsidRPr="00B242FC">
        <w:rPr>
          <w:szCs w:val="26"/>
        </w:rPr>
        <w:t>FERC-</w:t>
      </w:r>
      <w:r w:rsidR="00C45D62">
        <w:rPr>
          <w:szCs w:val="26"/>
        </w:rPr>
        <w:t>725R</w:t>
      </w:r>
      <w:r w:rsidR="0066069E" w:rsidRPr="00B242FC">
        <w:rPr>
          <w:szCs w:val="26"/>
        </w:rPr>
        <w:t xml:space="preserve"> (</w:t>
      </w:r>
      <w:r w:rsidR="00C45D62" w:rsidRPr="00C45D62">
        <w:rPr>
          <w:szCs w:val="26"/>
        </w:rPr>
        <w:t>Mandatory Reliability Standards: BAL Reliability Standards</w:t>
      </w:r>
      <w:r w:rsidR="0066069E" w:rsidRPr="00B242FC">
        <w:rPr>
          <w:szCs w:val="26"/>
        </w:rPr>
        <w:t>)</w:t>
      </w:r>
      <w:r>
        <w:t xml:space="preserve"> to the Office of Management and Budget (OMB) for review of the information collection requirements.  Any interested person may file comments </w:t>
      </w:r>
      <w:r w:rsidR="00450DFE">
        <w:t xml:space="preserve">with </w:t>
      </w:r>
      <w:r>
        <w:t>the Commissi</w:t>
      </w:r>
      <w:r w:rsidRPr="0066069E">
        <w:t>on as explained below</w:t>
      </w:r>
      <w:r w:rsidRPr="00820C99">
        <w:t xml:space="preserve">.  </w:t>
      </w:r>
    </w:p>
    <w:p w14:paraId="1FC215C2" w14:textId="487793D1" w:rsidR="001C75B2" w:rsidRPr="00820C99" w:rsidRDefault="003319D2" w:rsidP="00C0217E">
      <w:pPr>
        <w:spacing w:line="480" w:lineRule="auto"/>
      </w:pPr>
      <w:r>
        <w:t xml:space="preserve">The North American Electric Reliability Corporation submitted a petition (on August 17, 2018) requesting Commission approval of proposed Reliability Standard </w:t>
      </w:r>
      <w:r w:rsidR="00BC6175">
        <w:t xml:space="preserve">BAL-002-3 and the retirement of </w:t>
      </w:r>
      <w:r w:rsidR="0047099F">
        <w:t xml:space="preserve">currently effective </w:t>
      </w:r>
      <w:r w:rsidR="00BC6175">
        <w:t>Reliability Standard BAL-002-2</w:t>
      </w:r>
      <w:r>
        <w:t xml:space="preserve">.  </w:t>
      </w:r>
      <w:r w:rsidR="00F67F0F" w:rsidRPr="00352ECF">
        <w:t xml:space="preserve">On </w:t>
      </w:r>
      <w:r w:rsidR="00820C99">
        <w:t>August</w:t>
      </w:r>
      <w:r w:rsidR="00820C99" w:rsidRPr="00352ECF">
        <w:t xml:space="preserve"> </w:t>
      </w:r>
      <w:r w:rsidR="00820C99">
        <w:t>24</w:t>
      </w:r>
      <w:r w:rsidR="00F67F0F" w:rsidRPr="00352ECF">
        <w:t>, 2018, t</w:t>
      </w:r>
      <w:r w:rsidR="001C75B2" w:rsidRPr="00352ECF">
        <w:t>he Commission</w:t>
      </w:r>
      <w:r w:rsidR="00855620" w:rsidRPr="00352ECF">
        <w:t xml:space="preserve"> </w:t>
      </w:r>
      <w:r w:rsidR="001C75B2" w:rsidRPr="00352ECF">
        <w:t>issued a Notice in the Federal Register requesting public comment</w:t>
      </w:r>
      <w:r w:rsidR="00820C99">
        <w:t xml:space="preserve"> </w:t>
      </w:r>
      <w:r>
        <w:t>on the petiti</w:t>
      </w:r>
      <w:r w:rsidR="007161D3">
        <w:t>o</w:t>
      </w:r>
      <w:r>
        <w:t>n and proposed changes</w:t>
      </w:r>
      <w:r w:rsidR="00BC6175" w:rsidRPr="00BC6175">
        <w:t xml:space="preserve"> </w:t>
      </w:r>
      <w:r w:rsidR="00BC6175">
        <w:t>(which would affect the FERC-725R)</w:t>
      </w:r>
      <w:r w:rsidR="001C75B2" w:rsidRPr="00352ECF">
        <w:t xml:space="preserve">  </w:t>
      </w:r>
      <w:r w:rsidR="001F0E50" w:rsidRPr="00352ECF">
        <w:t>The Commission</w:t>
      </w:r>
      <w:r w:rsidR="001C75B2" w:rsidRPr="00352ECF">
        <w:t xml:space="preserve"> received no comments and </w:t>
      </w:r>
      <w:r w:rsidR="00172C34" w:rsidRPr="00352ECF">
        <w:t>is making</w:t>
      </w:r>
      <w:r w:rsidR="00B2244D" w:rsidRPr="00352ECF">
        <w:t xml:space="preserve"> this notation in its submittal</w:t>
      </w:r>
      <w:r w:rsidR="001C75B2" w:rsidRPr="00352ECF">
        <w:t xml:space="preserve"> </w:t>
      </w:r>
      <w:r>
        <w:t xml:space="preserve">of the FERC-725R </w:t>
      </w:r>
      <w:r w:rsidR="001C75B2" w:rsidRPr="00352ECF">
        <w:t>to OMB</w:t>
      </w:r>
      <w:r w:rsidR="0066069E" w:rsidRPr="00352ECF">
        <w:t>.</w:t>
      </w:r>
    </w:p>
    <w:p w14:paraId="73C968D3" w14:textId="77777777" w:rsidR="001C75B2" w:rsidRDefault="001C75B2" w:rsidP="00C0217E">
      <w:pPr>
        <w:spacing w:line="480" w:lineRule="auto"/>
      </w:pPr>
      <w:r w:rsidRPr="00F04F4C">
        <w:rPr>
          <w:b/>
        </w:rPr>
        <w:t>DATES:</w:t>
      </w:r>
      <w:r w:rsidR="00EA3F0A">
        <w:rPr>
          <w:b/>
        </w:rPr>
        <w:t xml:space="preserve"> </w:t>
      </w:r>
      <w:r>
        <w:t xml:space="preserve"> Comments on the collection of information are due by </w:t>
      </w:r>
      <w:r w:rsidRPr="00F67F0F">
        <w:rPr>
          <w:b/>
          <w:caps/>
        </w:rPr>
        <w:t>[</w:t>
      </w:r>
      <w:r w:rsidR="00F67F0F" w:rsidRPr="00F67F0F">
        <w:rPr>
          <w:b/>
          <w:caps/>
        </w:rPr>
        <w:t xml:space="preserve">INSERT DATE </w:t>
      </w:r>
      <w:r w:rsidR="00C45D62">
        <w:rPr>
          <w:b/>
          <w:caps/>
        </w:rPr>
        <w:t>6</w:t>
      </w:r>
      <w:r w:rsidR="00C45D62" w:rsidRPr="00F67F0F">
        <w:rPr>
          <w:b/>
          <w:caps/>
        </w:rPr>
        <w:t xml:space="preserve">0 </w:t>
      </w:r>
      <w:r w:rsidRPr="00F67F0F">
        <w:rPr>
          <w:b/>
          <w:caps/>
        </w:rPr>
        <w:t xml:space="preserve">days after </w:t>
      </w:r>
      <w:r w:rsidR="00F67F0F" w:rsidRPr="00F67F0F">
        <w:rPr>
          <w:b/>
          <w:caps/>
        </w:rPr>
        <w:t xml:space="preserve">DATE OF </w:t>
      </w:r>
      <w:r w:rsidRPr="00F67F0F">
        <w:rPr>
          <w:b/>
          <w:caps/>
        </w:rPr>
        <w:t>publication in the Federal Register]</w:t>
      </w:r>
      <w:r>
        <w:t xml:space="preserve">.   </w:t>
      </w:r>
    </w:p>
    <w:p w14:paraId="10C74D15" w14:textId="77777777" w:rsidR="00775D65" w:rsidRDefault="001C75B2" w:rsidP="00676E4A">
      <w:pPr>
        <w:spacing w:line="480" w:lineRule="auto"/>
      </w:pPr>
      <w:r w:rsidRPr="00F04F4C">
        <w:rPr>
          <w:b/>
        </w:rPr>
        <w:t>ADDRESSES:</w:t>
      </w:r>
      <w:r>
        <w:t xml:space="preserve"> </w:t>
      </w:r>
      <w:r w:rsidR="00EA3F0A">
        <w:t xml:space="preserve"> </w:t>
      </w:r>
      <w:r w:rsidR="00EA4BD0">
        <w:t xml:space="preserve">Comments </w:t>
      </w:r>
      <w:r w:rsidR="00095258">
        <w:t>should be sent to the Commission</w:t>
      </w:r>
      <w:r w:rsidR="003178F3">
        <w:t xml:space="preserve">, </w:t>
      </w:r>
      <w:r w:rsidR="001F0E50">
        <w:t>in</w:t>
      </w:r>
      <w:r w:rsidR="003178F3">
        <w:t xml:space="preserve"> </w:t>
      </w:r>
      <w:r w:rsidR="00172C34">
        <w:t>D</w:t>
      </w:r>
      <w:r w:rsidR="003178F3">
        <w:t xml:space="preserve">ocket </w:t>
      </w:r>
      <w:r w:rsidR="00172C34">
        <w:t>N</w:t>
      </w:r>
      <w:r w:rsidR="003178F3">
        <w:t xml:space="preserve">o. </w:t>
      </w:r>
      <w:r w:rsidR="0066069E" w:rsidRPr="0066069E">
        <w:t>RD18-</w:t>
      </w:r>
      <w:r w:rsidR="00C45D62">
        <w:t>7</w:t>
      </w:r>
      <w:r w:rsidR="003178F3" w:rsidRPr="0066069E">
        <w:t>-00</w:t>
      </w:r>
      <w:r w:rsidR="00172C34" w:rsidRPr="0066069E">
        <w:t>0</w:t>
      </w:r>
      <w:r w:rsidR="00095258">
        <w:t xml:space="preserve"> </w:t>
      </w:r>
      <w:r w:rsidR="00775D65">
        <w:t>by either of the following methods:</w:t>
      </w:r>
    </w:p>
    <w:p w14:paraId="48E4DDCB" w14:textId="77777777" w:rsidR="00775D65" w:rsidRDefault="00775D65" w:rsidP="00775D65">
      <w:pPr>
        <w:numPr>
          <w:ilvl w:val="0"/>
          <w:numId w:val="3"/>
        </w:numPr>
        <w:tabs>
          <w:tab w:val="clear" w:pos="1500"/>
          <w:tab w:val="num" w:pos="1080"/>
        </w:tabs>
        <w:spacing w:line="480" w:lineRule="auto"/>
        <w:ind w:left="720" w:firstLine="0"/>
      </w:pPr>
      <w:r>
        <w:t xml:space="preserve">eFiling at Commission’s Web Site: </w:t>
      </w:r>
      <w:hyperlink r:id="rId14" w:history="1">
        <w:r w:rsidRPr="0057675D">
          <w:rPr>
            <w:rStyle w:val="Hyperlink"/>
          </w:rPr>
          <w:t>http://www.ferc.gov/docs-filing/efiling.asp</w:t>
        </w:r>
      </w:hyperlink>
      <w:r>
        <w:t xml:space="preserve">.  </w:t>
      </w:r>
    </w:p>
    <w:p w14:paraId="0F1D934F" w14:textId="77777777" w:rsidR="00775D65" w:rsidRDefault="00775D65" w:rsidP="00775D65">
      <w:pPr>
        <w:numPr>
          <w:ilvl w:val="0"/>
          <w:numId w:val="3"/>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7CA8FA03" w14:textId="77777777" w:rsidR="00775D65" w:rsidRDefault="00775D65" w:rsidP="00775D65">
      <w:pPr>
        <w:spacing w:line="480" w:lineRule="auto"/>
      </w:pPr>
      <w:r>
        <w:rPr>
          <w:i/>
        </w:rPr>
        <w:t xml:space="preserve">Instructions: </w:t>
      </w:r>
      <w:r>
        <w:t xml:space="preserve">All submissions must be formatted and filed in accordance with submission guidelines at: </w:t>
      </w:r>
      <w:hyperlink r:id="rId15" w:history="1">
        <w:r w:rsidRPr="00866BB4">
          <w:rPr>
            <w:rStyle w:val="Hyperlink"/>
          </w:rPr>
          <w:t>http://www.ferc.gov/help/submission-guide.asp</w:t>
        </w:r>
      </w:hyperlink>
      <w:r>
        <w:t>.  For user assistance contact FERC Online Support by e-mail at ferconlinesupport@ferc.gov, or by phone at:  (866) 208-3676 (toll-free), or (202) 502-8659 for TTY.</w:t>
      </w:r>
    </w:p>
    <w:p w14:paraId="798C4DC1" w14:textId="77777777" w:rsidR="00775D65" w:rsidRDefault="00775D65" w:rsidP="00775D65">
      <w:pPr>
        <w:spacing w:line="480" w:lineRule="auto"/>
      </w:pPr>
      <w:r>
        <w:rPr>
          <w:i/>
        </w:rPr>
        <w:t>Docket:</w:t>
      </w:r>
      <w:r>
        <w:t xml:space="preserve"> Users interested in receiving automatic notification of activity in this docket or in viewing/downloading comments and issuances in this docket may do so at </w:t>
      </w:r>
      <w:hyperlink r:id="rId16" w:history="1">
        <w:r w:rsidRPr="0057675D">
          <w:rPr>
            <w:rStyle w:val="Hyperlink"/>
          </w:rPr>
          <w:t>http://www.ferc.gov/docs-filing/docs-filing.asp</w:t>
        </w:r>
      </w:hyperlink>
      <w:r>
        <w:t xml:space="preserve">. </w:t>
      </w:r>
      <w:r w:rsidR="00095258">
        <w:t xml:space="preserve"> </w:t>
      </w:r>
    </w:p>
    <w:p w14:paraId="168FF14F" w14:textId="67A64BF9" w:rsidR="001C75B2" w:rsidRDefault="001C75B2" w:rsidP="00C0217E">
      <w:pPr>
        <w:spacing w:line="480" w:lineRule="auto"/>
      </w:pPr>
      <w:r w:rsidRPr="00F04F4C">
        <w:rPr>
          <w:b/>
        </w:rPr>
        <w:t xml:space="preserve">FOR FURTHER </w:t>
      </w:r>
      <w:r w:rsidRPr="0066069E">
        <w:rPr>
          <w:b/>
        </w:rPr>
        <w:t>INFORMATION</w:t>
      </w:r>
      <w:r w:rsidR="00427023">
        <w:rPr>
          <w:b/>
        </w:rPr>
        <w:t xml:space="preserve"> CONTACT</w:t>
      </w:r>
      <w:r w:rsidRPr="0066069E">
        <w:rPr>
          <w:b/>
        </w:rPr>
        <w:t>:</w:t>
      </w:r>
      <w:r w:rsidRPr="0066069E">
        <w:t xml:space="preserve">   Ellen Brown may</w:t>
      </w:r>
      <w:r>
        <w:t xml:space="preserve"> be reached by e-mail at </w:t>
      </w:r>
      <w:hyperlink r:id="rId17" w:history="1">
        <w:r w:rsidR="00822C8E" w:rsidRPr="00006D4B">
          <w:rPr>
            <w:rStyle w:val="Hyperlink"/>
          </w:rPr>
          <w:t>DataClearance@FERC.gov</w:t>
        </w:r>
      </w:hyperlink>
      <w:r>
        <w:t xml:space="preserve">, by telephone at (202) 502-8663, and by fax at (202) 273-0873. </w:t>
      </w:r>
    </w:p>
    <w:p w14:paraId="2B29117B" w14:textId="77777777" w:rsidR="003820D6" w:rsidRDefault="003820D6" w:rsidP="003820D6">
      <w:pPr>
        <w:spacing w:line="480" w:lineRule="auto"/>
      </w:pPr>
      <w:r w:rsidRPr="001C3703">
        <w:rPr>
          <w:b/>
        </w:rPr>
        <w:t>SUPPLEMENTARY INFORMATION:</w:t>
      </w:r>
      <w:r>
        <w:t xml:space="preserve">  </w:t>
      </w:r>
    </w:p>
    <w:p w14:paraId="619074D9" w14:textId="77777777" w:rsidR="003820D6" w:rsidRDefault="003820D6" w:rsidP="003820D6">
      <w:pPr>
        <w:spacing w:line="480" w:lineRule="auto"/>
        <w:rPr>
          <w:i/>
        </w:rPr>
      </w:pPr>
      <w:r>
        <w:rPr>
          <w:i/>
        </w:rPr>
        <w:t xml:space="preserve">Title: </w:t>
      </w:r>
      <w:r w:rsidR="0066069E" w:rsidRPr="000027F9">
        <w:rPr>
          <w:szCs w:val="26"/>
        </w:rPr>
        <w:t>FERC-</w:t>
      </w:r>
      <w:r w:rsidR="00C45D62">
        <w:rPr>
          <w:szCs w:val="26"/>
        </w:rPr>
        <w:t>725R</w:t>
      </w:r>
      <w:r w:rsidR="0066069E" w:rsidRPr="000027F9">
        <w:rPr>
          <w:szCs w:val="26"/>
        </w:rPr>
        <w:t xml:space="preserve">, </w:t>
      </w:r>
      <w:r w:rsidR="00C45D62" w:rsidRPr="00C45D62">
        <w:rPr>
          <w:szCs w:val="26"/>
        </w:rPr>
        <w:t>Mandatory Reliability Standards: BAL Reliability Standards</w:t>
      </w:r>
    </w:p>
    <w:p w14:paraId="7DDF8883" w14:textId="77777777" w:rsidR="00FD3E49" w:rsidRDefault="003820D6" w:rsidP="003820D6">
      <w:pPr>
        <w:spacing w:line="480" w:lineRule="auto"/>
      </w:pPr>
      <w:r>
        <w:rPr>
          <w:i/>
        </w:rPr>
        <w:t>OMB Control No.:</w:t>
      </w:r>
      <w:r w:rsidR="003575F3">
        <w:rPr>
          <w:i/>
        </w:rPr>
        <w:t xml:space="preserve"> </w:t>
      </w:r>
      <w:r w:rsidR="00C45D62">
        <w:t>1902-0268</w:t>
      </w:r>
    </w:p>
    <w:p w14:paraId="03850813" w14:textId="77777777" w:rsidR="003820D6" w:rsidRDefault="003820D6" w:rsidP="003820D6">
      <w:pPr>
        <w:spacing w:line="480" w:lineRule="auto"/>
      </w:pPr>
      <w:r>
        <w:rPr>
          <w:i/>
        </w:rPr>
        <w:t>Type of Request:</w:t>
      </w:r>
      <w:r>
        <w:t xml:space="preserve"> </w:t>
      </w:r>
      <w:r w:rsidR="0066069E">
        <w:rPr>
          <w:szCs w:val="26"/>
        </w:rPr>
        <w:t>Revision to FERC-</w:t>
      </w:r>
      <w:r w:rsidR="00C45D62">
        <w:rPr>
          <w:szCs w:val="26"/>
        </w:rPr>
        <w:t>725R</w:t>
      </w:r>
      <w:r w:rsidR="0066069E">
        <w:rPr>
          <w:szCs w:val="26"/>
        </w:rPr>
        <w:t xml:space="preserve"> information collection requirements, as discussed in Docket No. RD18-</w:t>
      </w:r>
      <w:r w:rsidR="00C45D62">
        <w:rPr>
          <w:szCs w:val="26"/>
        </w:rPr>
        <w:t>7</w:t>
      </w:r>
      <w:r w:rsidR="0066069E">
        <w:rPr>
          <w:szCs w:val="26"/>
        </w:rPr>
        <w:t>-000</w:t>
      </w:r>
      <w:r w:rsidR="009E030D">
        <w:t>.</w:t>
      </w:r>
    </w:p>
    <w:p w14:paraId="4900A602" w14:textId="7A10E1A9" w:rsidR="00352ECF" w:rsidRDefault="003820D6" w:rsidP="008721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i/>
        </w:rPr>
        <w:t xml:space="preserve">Abstract: </w:t>
      </w:r>
      <w:r w:rsidR="004721F3">
        <w:rPr>
          <w:i/>
        </w:rPr>
        <w:t xml:space="preserve"> </w:t>
      </w:r>
      <w:r w:rsidR="008721A3" w:rsidRPr="008721A3">
        <w:t xml:space="preserve"> </w:t>
      </w:r>
      <w:r w:rsidR="008721A3" w:rsidRPr="00352ECF">
        <w:t>On August 17, 2018, the North American Electric Reliability Corporation (NERC) filed a petition seeking approval of proposed Reliability Standard BAL-002-3 (Disturbance Control Standard—Contingency Reserve for Recovery from a Balancing Contingency Event) and the retirement of currently-effective Reliability Standard BAL-002-2.  NERC submitted proposed Reliability Standard BAL-002-3 in response to the Commission’s directive in Order No. 835 to develop modifications to Reliability Standard BAL-002-2, Requirement R1 to require balancing authorities or reserve sharing groups:  (1) to notify the reliability coordinator of the conditions set forth in Requirement R1, Part 1.3.1 preventing it from complying with the 15-minute ACE recovery period; and (2) to provide the reliability coordinator with its ACE recovery plan, including a target recovery time.</w:t>
      </w:r>
      <w:r w:rsidR="008721A3">
        <w:rPr>
          <w:rStyle w:val="FootnoteReference"/>
        </w:rPr>
        <w:footnoteReference w:id="1"/>
      </w:r>
      <w:r w:rsidR="008721A3">
        <w:t xml:space="preserve">  The NERC petition states “</w:t>
      </w:r>
      <w:r w:rsidR="00313331">
        <w:t xml:space="preserve">the proposed modifications to Reliability Standard BAL-002-3 </w:t>
      </w:r>
      <w:r w:rsidR="008721A3">
        <w:t xml:space="preserve">also intend to clarify that communication with the </w:t>
      </w:r>
      <w:r w:rsidR="00313331">
        <w:t>reliability coordinator (</w:t>
      </w:r>
      <w:r w:rsidR="008721A3">
        <w:t>RC</w:t>
      </w:r>
      <w:r w:rsidR="00313331">
        <w:t>)</w:t>
      </w:r>
      <w:r w:rsidR="008721A3">
        <w:t xml:space="preserve"> should proceed in accordance with Energy Emergency Alert procedures within the EOP Reliability Standards.</w:t>
      </w:r>
      <w:r w:rsidR="00313331">
        <w:rPr>
          <w:rStyle w:val="FootnoteReference"/>
        </w:rPr>
        <w:footnoteReference w:id="2"/>
      </w:r>
      <w:r w:rsidR="00313331">
        <w:t xml:space="preserve">  This communication is done under the currently-effective Reliability Standard BAL-002-2.  </w:t>
      </w:r>
      <w:r w:rsidR="00851178">
        <w:t xml:space="preserve">The communications (and related burden) are already required, and the additional information is de minimis. </w:t>
      </w:r>
      <w:r w:rsidR="00352ECF">
        <w:t xml:space="preserve"> </w:t>
      </w:r>
      <w:r w:rsidR="00313331" w:rsidRPr="00313331">
        <w:t>The</w:t>
      </w:r>
      <w:r w:rsidR="00851178">
        <w:t>refore the</w:t>
      </w:r>
      <w:r w:rsidR="00313331" w:rsidRPr="00313331">
        <w:t xml:space="preserve"> Commission is not modifying the burden</w:t>
      </w:r>
      <w:r w:rsidR="00D23CFC">
        <w:t xml:space="preserve"> </w:t>
      </w:r>
      <w:r w:rsidR="00653307">
        <w:t xml:space="preserve">estimate </w:t>
      </w:r>
      <w:r w:rsidR="00D23CFC">
        <w:t xml:space="preserve">and is submitting this to OMB as </w:t>
      </w:r>
      <w:r w:rsidR="00313331" w:rsidRPr="00313331">
        <w:t>non-material or non-substantive change to a currently approved collection.</w:t>
      </w:r>
    </w:p>
    <w:p w14:paraId="12CD0FE5" w14:textId="68C0C62A" w:rsidR="00352ECF" w:rsidRPr="003F39D6" w:rsidRDefault="00352ECF" w:rsidP="008721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F39D6">
        <w:rPr>
          <w:szCs w:val="26"/>
        </w:rPr>
        <w:t>The Office of Electric Reliability approved the NERC proposal in a Delegated Order on September 25, 2018.</w:t>
      </w:r>
    </w:p>
    <w:p w14:paraId="2EA598C7" w14:textId="77777777" w:rsidR="003820D6" w:rsidRPr="003F39D6" w:rsidRDefault="003820D6" w:rsidP="003820D6">
      <w:pPr>
        <w:spacing w:line="480" w:lineRule="auto"/>
        <w:rPr>
          <w:szCs w:val="26"/>
        </w:rPr>
      </w:pPr>
      <w:r w:rsidRPr="003F39D6">
        <w:rPr>
          <w:i/>
          <w:szCs w:val="26"/>
        </w:rPr>
        <w:t xml:space="preserve">Type of Respondents: </w:t>
      </w:r>
      <w:r w:rsidR="00851178" w:rsidRPr="003F39D6">
        <w:rPr>
          <w:szCs w:val="26"/>
        </w:rPr>
        <w:t xml:space="preserve"> Balancing authorities </w:t>
      </w:r>
      <w:r w:rsidR="00AA2F95" w:rsidRPr="003F39D6">
        <w:rPr>
          <w:szCs w:val="26"/>
        </w:rPr>
        <w:t>and</w:t>
      </w:r>
      <w:r w:rsidR="00851178" w:rsidRPr="003F39D6">
        <w:rPr>
          <w:szCs w:val="26"/>
        </w:rPr>
        <w:t xml:space="preserve"> reserve sharing groups</w:t>
      </w:r>
    </w:p>
    <w:p w14:paraId="154EA0F2" w14:textId="3812CDFC" w:rsidR="009061AD" w:rsidRPr="003F39D6" w:rsidRDefault="005535D4" w:rsidP="0089668B">
      <w:pPr>
        <w:spacing w:line="480" w:lineRule="auto"/>
        <w:rPr>
          <w:rFonts w:eastAsia="Calibri"/>
          <w:szCs w:val="26"/>
        </w:rPr>
      </w:pPr>
      <w:r w:rsidRPr="003F39D6">
        <w:rPr>
          <w:i/>
          <w:szCs w:val="26"/>
        </w:rPr>
        <w:t>Estimate of Annual Burden</w:t>
      </w:r>
      <w:r w:rsidRPr="003F39D6">
        <w:rPr>
          <w:rStyle w:val="FootnoteReference"/>
          <w:i/>
        </w:rPr>
        <w:footnoteReference w:id="3"/>
      </w:r>
      <w:r w:rsidRPr="003F39D6">
        <w:rPr>
          <w:i/>
          <w:szCs w:val="26"/>
        </w:rPr>
        <w:t xml:space="preserve">: </w:t>
      </w:r>
      <w:r w:rsidR="009061AD" w:rsidRPr="003F39D6">
        <w:rPr>
          <w:rFonts w:eastAsia="Calibri"/>
          <w:szCs w:val="26"/>
        </w:rPr>
        <w:t xml:space="preserve">According to the NERC Compliance Registry as of </w:t>
      </w:r>
      <w:r w:rsidR="009A1677" w:rsidRPr="003F39D6">
        <w:rPr>
          <w:rFonts w:eastAsia="Calibri"/>
          <w:szCs w:val="26"/>
        </w:rPr>
        <w:t>8/24/2018</w:t>
      </w:r>
      <w:r w:rsidR="009061AD" w:rsidRPr="003F39D6">
        <w:rPr>
          <w:rFonts w:eastAsia="Calibri"/>
          <w:szCs w:val="26"/>
        </w:rPr>
        <w:t xml:space="preserve">, there are </w:t>
      </w:r>
      <w:r w:rsidR="009A1677" w:rsidRPr="003F39D6">
        <w:rPr>
          <w:rFonts w:eastAsia="Calibri"/>
          <w:szCs w:val="26"/>
        </w:rPr>
        <w:t>99</w:t>
      </w:r>
      <w:r w:rsidR="009061AD" w:rsidRPr="003F39D6">
        <w:rPr>
          <w:rFonts w:eastAsia="Calibri"/>
          <w:szCs w:val="26"/>
        </w:rPr>
        <w:t xml:space="preserve"> balancing authorities in the </w:t>
      </w:r>
      <w:r w:rsidR="009A1677" w:rsidRPr="003F39D6">
        <w:rPr>
          <w:rFonts w:eastAsia="Calibri"/>
          <w:szCs w:val="26"/>
        </w:rPr>
        <w:t>United States</w:t>
      </w:r>
      <w:r w:rsidR="009061AD" w:rsidRPr="003F39D6">
        <w:rPr>
          <w:rFonts w:eastAsia="Calibri"/>
          <w:szCs w:val="26"/>
        </w:rPr>
        <w:t xml:space="preserve">.  The Commission bases individual burden estimates on the time needed for balancing authorities to develop tools needed to facilitate reporting that are required in the Reliability Standard.  These burden estimates are consistent with estimates for similar tasks in other Commission-approved Reliability Standards.  </w:t>
      </w:r>
    </w:p>
    <w:tbl>
      <w:tblPr>
        <w:tblW w:w="103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1632"/>
        <w:gridCol w:w="1531"/>
        <w:gridCol w:w="1404"/>
        <w:gridCol w:w="1427"/>
        <w:gridCol w:w="1404"/>
        <w:gridCol w:w="1531"/>
      </w:tblGrid>
      <w:tr w:rsidR="009061AD" w:rsidRPr="009061AD" w14:paraId="5BF716D3" w14:textId="77777777" w:rsidTr="00F07C7A">
        <w:tc>
          <w:tcPr>
            <w:tcW w:w="10327" w:type="dxa"/>
            <w:gridSpan w:val="7"/>
            <w:tcBorders>
              <w:bottom w:val="single" w:sz="4" w:space="0" w:color="auto"/>
            </w:tcBorders>
            <w:shd w:val="clear" w:color="auto" w:fill="D9D9D9"/>
          </w:tcPr>
          <w:p w14:paraId="675FA984" w14:textId="3D51AB18" w:rsidR="009061AD" w:rsidRPr="009061AD" w:rsidRDefault="009061AD" w:rsidP="009061AD">
            <w:pPr>
              <w:widowControl w:val="0"/>
              <w:autoSpaceDE w:val="0"/>
              <w:autoSpaceDN w:val="0"/>
              <w:adjustRightInd w:val="0"/>
              <w:jc w:val="center"/>
              <w:rPr>
                <w:rFonts w:eastAsia="Calibri"/>
                <w:b/>
                <w:sz w:val="20"/>
                <w:szCs w:val="20"/>
              </w:rPr>
            </w:pPr>
            <w:r w:rsidRPr="009061AD">
              <w:rPr>
                <w:rFonts w:eastAsia="Calibri"/>
                <w:b/>
                <w:sz w:val="20"/>
                <w:szCs w:val="20"/>
              </w:rPr>
              <w:t>FERC-725R, as modified by RM16-7-000 Final Rule (BAL-002-2: Disturbance Control Standard—Contingency Reserve for Recovery from a Balancing Contingency Event</w:t>
            </w:r>
            <w:r w:rsidRPr="00352ECF">
              <w:rPr>
                <w:rFonts w:eastAsia="Calibri"/>
                <w:b/>
                <w:sz w:val="20"/>
                <w:szCs w:val="20"/>
              </w:rPr>
              <w:t>)</w:t>
            </w:r>
            <w:r w:rsidRPr="00352ECF">
              <w:rPr>
                <w:b/>
                <w:sz w:val="20"/>
                <w:szCs w:val="20"/>
                <w:vertAlign w:val="superscript"/>
              </w:rPr>
              <w:footnoteReference w:id="4"/>
            </w:r>
            <w:r w:rsidR="00DB67DE" w:rsidRPr="00352ECF">
              <w:rPr>
                <w:rFonts w:eastAsia="Calibri"/>
                <w:b/>
                <w:sz w:val="20"/>
                <w:szCs w:val="20"/>
                <w:vertAlign w:val="superscript"/>
              </w:rPr>
              <w:t xml:space="preserve">, </w:t>
            </w:r>
            <w:r w:rsidR="00DB67DE" w:rsidRPr="00352ECF">
              <w:rPr>
                <w:rStyle w:val="FootnoteReference"/>
                <w:rFonts w:eastAsia="Calibri"/>
                <w:sz w:val="20"/>
                <w:szCs w:val="20"/>
              </w:rPr>
              <w:footnoteReference w:id="5"/>
            </w:r>
          </w:p>
        </w:tc>
      </w:tr>
      <w:tr w:rsidR="009061AD" w:rsidRPr="009061AD" w14:paraId="02B36918" w14:textId="77777777" w:rsidTr="00F07C7A">
        <w:tc>
          <w:tcPr>
            <w:tcW w:w="1398" w:type="dxa"/>
            <w:shd w:val="clear" w:color="auto" w:fill="D9D9D9"/>
          </w:tcPr>
          <w:p w14:paraId="31338FBE" w14:textId="77777777" w:rsidR="009061AD" w:rsidRPr="009061AD" w:rsidRDefault="009061AD" w:rsidP="009061AD">
            <w:pPr>
              <w:widowControl w:val="0"/>
              <w:autoSpaceDE w:val="0"/>
              <w:autoSpaceDN w:val="0"/>
              <w:adjustRightInd w:val="0"/>
              <w:jc w:val="center"/>
              <w:rPr>
                <w:rFonts w:eastAsia="Calibri"/>
                <w:b/>
                <w:sz w:val="20"/>
                <w:szCs w:val="20"/>
              </w:rPr>
            </w:pPr>
          </w:p>
        </w:tc>
        <w:tc>
          <w:tcPr>
            <w:tcW w:w="1632" w:type="dxa"/>
            <w:shd w:val="clear" w:color="auto" w:fill="D9D9D9"/>
            <w:vAlign w:val="bottom"/>
          </w:tcPr>
          <w:p w14:paraId="221E45DD" w14:textId="77777777" w:rsidR="009061AD" w:rsidRPr="009061AD" w:rsidRDefault="009061AD" w:rsidP="009061AD">
            <w:pPr>
              <w:widowControl w:val="0"/>
              <w:autoSpaceDE w:val="0"/>
              <w:autoSpaceDN w:val="0"/>
              <w:adjustRightInd w:val="0"/>
              <w:jc w:val="center"/>
              <w:rPr>
                <w:rFonts w:eastAsia="Calibri"/>
                <w:b/>
                <w:sz w:val="20"/>
                <w:szCs w:val="20"/>
              </w:rPr>
            </w:pPr>
            <w:r w:rsidRPr="009061AD">
              <w:rPr>
                <w:rFonts w:eastAsia="Calibri"/>
                <w:b/>
                <w:sz w:val="20"/>
                <w:szCs w:val="20"/>
              </w:rPr>
              <w:t>Number of Respondents</w:t>
            </w:r>
            <w:r w:rsidRPr="009061AD">
              <w:rPr>
                <w:rFonts w:eastAsia="Calibri"/>
                <w:b/>
                <w:sz w:val="20"/>
                <w:szCs w:val="20"/>
              </w:rPr>
              <w:br/>
              <w:t>(1)</w:t>
            </w:r>
          </w:p>
        </w:tc>
        <w:tc>
          <w:tcPr>
            <w:tcW w:w="1531" w:type="dxa"/>
            <w:shd w:val="clear" w:color="auto" w:fill="D9D9D9"/>
            <w:vAlign w:val="bottom"/>
          </w:tcPr>
          <w:p w14:paraId="7E6B00F4" w14:textId="77777777" w:rsidR="009061AD" w:rsidRPr="009061AD" w:rsidRDefault="009061AD" w:rsidP="009061AD">
            <w:pPr>
              <w:widowControl w:val="0"/>
              <w:autoSpaceDE w:val="0"/>
              <w:autoSpaceDN w:val="0"/>
              <w:adjustRightInd w:val="0"/>
              <w:jc w:val="center"/>
              <w:rPr>
                <w:rFonts w:eastAsia="Calibri"/>
                <w:b/>
                <w:sz w:val="20"/>
                <w:szCs w:val="20"/>
              </w:rPr>
            </w:pPr>
            <w:r w:rsidRPr="009061AD">
              <w:rPr>
                <w:rFonts w:eastAsia="Calibri"/>
                <w:b/>
                <w:sz w:val="20"/>
                <w:szCs w:val="20"/>
              </w:rPr>
              <w:t>Annual Number of Responses per Respondent</w:t>
            </w:r>
          </w:p>
          <w:p w14:paraId="6A109064" w14:textId="77777777" w:rsidR="009061AD" w:rsidRPr="009061AD" w:rsidRDefault="009061AD" w:rsidP="009061AD">
            <w:pPr>
              <w:widowControl w:val="0"/>
              <w:autoSpaceDE w:val="0"/>
              <w:autoSpaceDN w:val="0"/>
              <w:adjustRightInd w:val="0"/>
              <w:jc w:val="center"/>
              <w:rPr>
                <w:rFonts w:eastAsia="Calibri"/>
                <w:b/>
                <w:sz w:val="20"/>
                <w:szCs w:val="20"/>
              </w:rPr>
            </w:pPr>
            <w:r w:rsidRPr="009061AD">
              <w:rPr>
                <w:rFonts w:eastAsia="Calibri"/>
                <w:b/>
                <w:sz w:val="20"/>
                <w:szCs w:val="20"/>
              </w:rPr>
              <w:t>(2)</w:t>
            </w:r>
          </w:p>
        </w:tc>
        <w:tc>
          <w:tcPr>
            <w:tcW w:w="1404" w:type="dxa"/>
            <w:shd w:val="clear" w:color="auto" w:fill="D9D9D9"/>
            <w:vAlign w:val="bottom"/>
          </w:tcPr>
          <w:p w14:paraId="188040FF" w14:textId="77777777" w:rsidR="009061AD" w:rsidRPr="009061AD" w:rsidRDefault="009061AD" w:rsidP="009061AD">
            <w:pPr>
              <w:widowControl w:val="0"/>
              <w:autoSpaceDE w:val="0"/>
              <w:autoSpaceDN w:val="0"/>
              <w:adjustRightInd w:val="0"/>
              <w:jc w:val="center"/>
              <w:rPr>
                <w:rFonts w:eastAsia="Calibri"/>
                <w:b/>
                <w:sz w:val="20"/>
                <w:szCs w:val="20"/>
              </w:rPr>
            </w:pPr>
            <w:r w:rsidRPr="009061AD">
              <w:rPr>
                <w:rFonts w:eastAsia="Calibri"/>
                <w:b/>
                <w:sz w:val="20"/>
                <w:szCs w:val="20"/>
              </w:rPr>
              <w:t>Total Number of Responses (1)*(2)=(3)</w:t>
            </w:r>
          </w:p>
        </w:tc>
        <w:tc>
          <w:tcPr>
            <w:tcW w:w="1427" w:type="dxa"/>
            <w:shd w:val="clear" w:color="auto" w:fill="D9D9D9"/>
            <w:vAlign w:val="bottom"/>
          </w:tcPr>
          <w:p w14:paraId="0B4A22FF" w14:textId="4DA4BA00" w:rsidR="009061AD" w:rsidRPr="009061AD" w:rsidRDefault="009061AD" w:rsidP="009061AD">
            <w:pPr>
              <w:widowControl w:val="0"/>
              <w:autoSpaceDE w:val="0"/>
              <w:autoSpaceDN w:val="0"/>
              <w:adjustRightInd w:val="0"/>
              <w:jc w:val="center"/>
              <w:rPr>
                <w:rFonts w:eastAsia="Calibri"/>
                <w:b/>
                <w:sz w:val="20"/>
                <w:szCs w:val="20"/>
              </w:rPr>
            </w:pPr>
            <w:r w:rsidRPr="009061AD">
              <w:rPr>
                <w:rFonts w:eastAsia="Calibri"/>
                <w:b/>
                <w:sz w:val="20"/>
                <w:szCs w:val="20"/>
              </w:rPr>
              <w:t>Average Burden Hours &amp; Cost</w:t>
            </w:r>
            <w:r w:rsidR="00DB67DE">
              <w:rPr>
                <w:rFonts w:eastAsia="Calibri"/>
                <w:b/>
                <w:sz w:val="20"/>
                <w:szCs w:val="20"/>
              </w:rPr>
              <w:t xml:space="preserve"> </w:t>
            </w:r>
            <w:r w:rsidRPr="009061AD">
              <w:rPr>
                <w:rFonts w:eastAsia="Calibri"/>
                <w:b/>
                <w:sz w:val="20"/>
                <w:szCs w:val="20"/>
              </w:rPr>
              <w:t>Per Response</w:t>
            </w:r>
            <w:r w:rsidR="00DB67DE">
              <w:rPr>
                <w:rFonts w:eastAsia="Calibri"/>
                <w:b/>
                <w:sz w:val="20"/>
                <w:szCs w:val="20"/>
              </w:rPr>
              <w:t xml:space="preserve"> ($)</w:t>
            </w:r>
          </w:p>
          <w:p w14:paraId="362D587E" w14:textId="77777777" w:rsidR="009061AD" w:rsidRPr="009061AD" w:rsidRDefault="009061AD" w:rsidP="009061AD">
            <w:pPr>
              <w:widowControl w:val="0"/>
              <w:autoSpaceDE w:val="0"/>
              <w:autoSpaceDN w:val="0"/>
              <w:adjustRightInd w:val="0"/>
              <w:jc w:val="center"/>
              <w:rPr>
                <w:rFonts w:eastAsia="Calibri"/>
                <w:b/>
                <w:sz w:val="20"/>
                <w:szCs w:val="20"/>
              </w:rPr>
            </w:pPr>
            <w:r w:rsidRPr="009061AD">
              <w:rPr>
                <w:rFonts w:eastAsia="Calibri"/>
                <w:b/>
                <w:sz w:val="20"/>
                <w:szCs w:val="20"/>
              </w:rPr>
              <w:t>(4)</w:t>
            </w:r>
          </w:p>
        </w:tc>
        <w:tc>
          <w:tcPr>
            <w:tcW w:w="1404" w:type="dxa"/>
            <w:shd w:val="clear" w:color="auto" w:fill="D9D9D9"/>
            <w:vAlign w:val="bottom"/>
          </w:tcPr>
          <w:p w14:paraId="04A8BB09" w14:textId="0D4977A5" w:rsidR="009061AD" w:rsidRPr="009061AD" w:rsidRDefault="009061AD" w:rsidP="009061AD">
            <w:pPr>
              <w:widowControl w:val="0"/>
              <w:autoSpaceDE w:val="0"/>
              <w:autoSpaceDN w:val="0"/>
              <w:adjustRightInd w:val="0"/>
              <w:jc w:val="center"/>
              <w:rPr>
                <w:rFonts w:eastAsia="Calibri"/>
                <w:b/>
                <w:sz w:val="20"/>
                <w:szCs w:val="20"/>
              </w:rPr>
            </w:pPr>
            <w:r w:rsidRPr="009061AD">
              <w:rPr>
                <w:rFonts w:eastAsia="Calibri"/>
                <w:b/>
                <w:sz w:val="20"/>
                <w:szCs w:val="20"/>
              </w:rPr>
              <w:t>Total Annual Burden Hours &amp; Total Annual Cost</w:t>
            </w:r>
            <w:r w:rsidR="00DB67DE">
              <w:rPr>
                <w:rFonts w:eastAsia="Calibri"/>
                <w:b/>
                <w:sz w:val="20"/>
                <w:szCs w:val="20"/>
              </w:rPr>
              <w:t xml:space="preserve"> ($) (rounded)</w:t>
            </w:r>
          </w:p>
          <w:p w14:paraId="581BF2E7" w14:textId="77777777" w:rsidR="009061AD" w:rsidRPr="009061AD" w:rsidRDefault="009061AD" w:rsidP="009061AD">
            <w:pPr>
              <w:widowControl w:val="0"/>
              <w:autoSpaceDE w:val="0"/>
              <w:autoSpaceDN w:val="0"/>
              <w:adjustRightInd w:val="0"/>
              <w:jc w:val="center"/>
              <w:rPr>
                <w:rFonts w:eastAsia="Calibri"/>
                <w:b/>
                <w:sz w:val="20"/>
                <w:szCs w:val="20"/>
              </w:rPr>
            </w:pPr>
            <w:r w:rsidRPr="009061AD">
              <w:rPr>
                <w:rFonts w:eastAsia="Calibri"/>
                <w:b/>
                <w:sz w:val="20"/>
                <w:szCs w:val="20"/>
              </w:rPr>
              <w:t>(3)*(4)=(5)</w:t>
            </w:r>
          </w:p>
        </w:tc>
        <w:tc>
          <w:tcPr>
            <w:tcW w:w="1531" w:type="dxa"/>
            <w:shd w:val="clear" w:color="auto" w:fill="D9D9D9"/>
            <w:vAlign w:val="bottom"/>
          </w:tcPr>
          <w:p w14:paraId="43426F52" w14:textId="77777777" w:rsidR="009061AD" w:rsidRPr="009061AD" w:rsidRDefault="009061AD" w:rsidP="009061AD">
            <w:pPr>
              <w:widowControl w:val="0"/>
              <w:autoSpaceDE w:val="0"/>
              <w:autoSpaceDN w:val="0"/>
              <w:adjustRightInd w:val="0"/>
              <w:jc w:val="center"/>
              <w:rPr>
                <w:rFonts w:eastAsia="Calibri"/>
                <w:b/>
                <w:sz w:val="20"/>
                <w:szCs w:val="20"/>
              </w:rPr>
            </w:pPr>
            <w:r w:rsidRPr="009061AD">
              <w:rPr>
                <w:rFonts w:eastAsia="Calibri"/>
                <w:b/>
                <w:sz w:val="20"/>
                <w:szCs w:val="20"/>
              </w:rPr>
              <w:t>Cost per Respondent</w:t>
            </w:r>
          </w:p>
          <w:p w14:paraId="66B569BD" w14:textId="2FF60C7A" w:rsidR="009061AD" w:rsidRPr="009061AD" w:rsidRDefault="009061AD" w:rsidP="009061AD">
            <w:pPr>
              <w:widowControl w:val="0"/>
              <w:autoSpaceDE w:val="0"/>
              <w:autoSpaceDN w:val="0"/>
              <w:adjustRightInd w:val="0"/>
              <w:jc w:val="center"/>
              <w:rPr>
                <w:rFonts w:eastAsia="Calibri"/>
                <w:b/>
                <w:sz w:val="20"/>
                <w:szCs w:val="20"/>
              </w:rPr>
            </w:pPr>
            <w:r w:rsidRPr="009061AD">
              <w:rPr>
                <w:rFonts w:eastAsia="Calibri"/>
                <w:b/>
                <w:sz w:val="20"/>
                <w:szCs w:val="20"/>
              </w:rPr>
              <w:t xml:space="preserve"> ($)</w:t>
            </w:r>
          </w:p>
          <w:p w14:paraId="58A66667" w14:textId="77777777" w:rsidR="009061AD" w:rsidRPr="009061AD" w:rsidRDefault="009061AD" w:rsidP="009061AD">
            <w:pPr>
              <w:widowControl w:val="0"/>
              <w:autoSpaceDE w:val="0"/>
              <w:autoSpaceDN w:val="0"/>
              <w:adjustRightInd w:val="0"/>
              <w:jc w:val="center"/>
              <w:rPr>
                <w:rFonts w:eastAsia="Calibri"/>
                <w:b/>
                <w:sz w:val="20"/>
                <w:szCs w:val="20"/>
              </w:rPr>
            </w:pPr>
            <w:r w:rsidRPr="009061AD">
              <w:rPr>
                <w:rFonts w:eastAsia="Calibri"/>
                <w:b/>
                <w:sz w:val="20"/>
                <w:szCs w:val="20"/>
              </w:rPr>
              <w:t>(5)÷(1)</w:t>
            </w:r>
          </w:p>
        </w:tc>
      </w:tr>
      <w:tr w:rsidR="009061AD" w:rsidRPr="009061AD" w14:paraId="7722EEC0" w14:textId="77777777" w:rsidTr="00F07C7A">
        <w:tc>
          <w:tcPr>
            <w:tcW w:w="1398" w:type="dxa"/>
          </w:tcPr>
          <w:p w14:paraId="37D371DF" w14:textId="77777777" w:rsidR="009061AD" w:rsidRPr="009061AD" w:rsidRDefault="009061AD" w:rsidP="009061AD">
            <w:pPr>
              <w:widowControl w:val="0"/>
              <w:autoSpaceDE w:val="0"/>
              <w:autoSpaceDN w:val="0"/>
              <w:adjustRightInd w:val="0"/>
              <w:rPr>
                <w:rFonts w:eastAsia="Calibri"/>
                <w:sz w:val="20"/>
                <w:szCs w:val="20"/>
              </w:rPr>
            </w:pPr>
            <w:r w:rsidRPr="009061AD">
              <w:rPr>
                <w:rFonts w:eastAsia="Calibri"/>
                <w:sz w:val="20"/>
                <w:szCs w:val="20"/>
              </w:rPr>
              <w:t>BA</w:t>
            </w:r>
            <w:bookmarkStart w:id="1" w:name="_Ref402532668"/>
            <w:r w:rsidRPr="009061AD">
              <w:rPr>
                <w:rFonts w:eastAsia="Calibri"/>
                <w:sz w:val="20"/>
                <w:szCs w:val="20"/>
              </w:rPr>
              <w:t>/RSG:</w:t>
            </w:r>
            <w:r w:rsidRPr="009061AD">
              <w:rPr>
                <w:rFonts w:eastAsia="Calibri"/>
                <w:sz w:val="20"/>
                <w:szCs w:val="20"/>
                <w:vertAlign w:val="superscript"/>
              </w:rPr>
              <w:footnoteReference w:id="6"/>
            </w:r>
            <w:bookmarkEnd w:id="1"/>
            <w:r w:rsidRPr="009061AD">
              <w:rPr>
                <w:rFonts w:eastAsia="Calibri"/>
                <w:sz w:val="20"/>
                <w:szCs w:val="20"/>
              </w:rPr>
              <w:t xml:space="preserve"> Develop and Maintain annually, Operating Process and Operating Plans</w:t>
            </w:r>
          </w:p>
        </w:tc>
        <w:tc>
          <w:tcPr>
            <w:tcW w:w="1632" w:type="dxa"/>
          </w:tcPr>
          <w:p w14:paraId="45C43BAD" w14:textId="43805FDA" w:rsidR="009061AD" w:rsidRPr="009061AD" w:rsidRDefault="009A1677" w:rsidP="00427023">
            <w:pPr>
              <w:widowControl w:val="0"/>
              <w:autoSpaceDE w:val="0"/>
              <w:autoSpaceDN w:val="0"/>
              <w:adjustRightInd w:val="0"/>
              <w:jc w:val="center"/>
              <w:rPr>
                <w:rFonts w:eastAsia="Calibri"/>
                <w:sz w:val="20"/>
                <w:szCs w:val="20"/>
              </w:rPr>
            </w:pPr>
            <w:r>
              <w:rPr>
                <w:rFonts w:eastAsia="Calibri"/>
                <w:sz w:val="20"/>
                <w:szCs w:val="20"/>
              </w:rPr>
              <w:t>99</w:t>
            </w:r>
          </w:p>
          <w:p w14:paraId="14322727" w14:textId="77777777" w:rsidR="009061AD" w:rsidRPr="009061AD" w:rsidRDefault="009061AD" w:rsidP="009061AD">
            <w:pPr>
              <w:widowControl w:val="0"/>
              <w:autoSpaceDE w:val="0"/>
              <w:autoSpaceDN w:val="0"/>
              <w:adjustRightInd w:val="0"/>
              <w:jc w:val="right"/>
              <w:rPr>
                <w:rFonts w:eastAsia="Calibri"/>
                <w:sz w:val="20"/>
                <w:szCs w:val="20"/>
              </w:rPr>
            </w:pPr>
          </w:p>
        </w:tc>
        <w:tc>
          <w:tcPr>
            <w:tcW w:w="1531" w:type="dxa"/>
          </w:tcPr>
          <w:p w14:paraId="6314CBB2" w14:textId="77777777" w:rsidR="009061AD" w:rsidRPr="009061AD" w:rsidRDefault="009061AD" w:rsidP="00427023">
            <w:pPr>
              <w:widowControl w:val="0"/>
              <w:autoSpaceDE w:val="0"/>
              <w:autoSpaceDN w:val="0"/>
              <w:adjustRightInd w:val="0"/>
              <w:jc w:val="center"/>
              <w:rPr>
                <w:rFonts w:eastAsia="Calibri"/>
                <w:sz w:val="20"/>
                <w:szCs w:val="20"/>
              </w:rPr>
            </w:pPr>
            <w:r w:rsidRPr="009061AD">
              <w:rPr>
                <w:rFonts w:eastAsia="Calibri"/>
                <w:sz w:val="20"/>
                <w:szCs w:val="20"/>
              </w:rPr>
              <w:t>1</w:t>
            </w:r>
          </w:p>
        </w:tc>
        <w:tc>
          <w:tcPr>
            <w:tcW w:w="1404" w:type="dxa"/>
          </w:tcPr>
          <w:p w14:paraId="2FD76546" w14:textId="2EE9FD79" w:rsidR="009061AD" w:rsidRPr="009061AD" w:rsidRDefault="009A1677" w:rsidP="00427023">
            <w:pPr>
              <w:widowControl w:val="0"/>
              <w:autoSpaceDE w:val="0"/>
              <w:autoSpaceDN w:val="0"/>
              <w:adjustRightInd w:val="0"/>
              <w:jc w:val="center"/>
              <w:rPr>
                <w:rFonts w:eastAsia="Calibri"/>
                <w:sz w:val="20"/>
                <w:szCs w:val="20"/>
              </w:rPr>
            </w:pPr>
            <w:r>
              <w:rPr>
                <w:rFonts w:eastAsia="Calibri"/>
                <w:sz w:val="20"/>
                <w:szCs w:val="20"/>
              </w:rPr>
              <w:t>99</w:t>
            </w:r>
          </w:p>
        </w:tc>
        <w:tc>
          <w:tcPr>
            <w:tcW w:w="1427" w:type="dxa"/>
          </w:tcPr>
          <w:p w14:paraId="755500B3" w14:textId="77777777" w:rsidR="009061AD" w:rsidRPr="00352ECF" w:rsidRDefault="009061AD" w:rsidP="00427023">
            <w:pPr>
              <w:widowControl w:val="0"/>
              <w:autoSpaceDE w:val="0"/>
              <w:autoSpaceDN w:val="0"/>
              <w:adjustRightInd w:val="0"/>
              <w:jc w:val="center"/>
              <w:rPr>
                <w:rFonts w:eastAsia="Calibri"/>
                <w:sz w:val="20"/>
                <w:szCs w:val="20"/>
              </w:rPr>
            </w:pPr>
            <w:r w:rsidRPr="00352ECF">
              <w:rPr>
                <w:rFonts w:eastAsia="Calibri"/>
                <w:sz w:val="20"/>
                <w:szCs w:val="20"/>
              </w:rPr>
              <w:t>8</w:t>
            </w:r>
            <w:r w:rsidRPr="00352ECF">
              <w:rPr>
                <w:rFonts w:eastAsia="Calibri"/>
                <w:sz w:val="20"/>
                <w:szCs w:val="20"/>
                <w:vertAlign w:val="superscript"/>
              </w:rPr>
              <w:footnoteReference w:id="7"/>
            </w:r>
            <w:r w:rsidRPr="00352ECF">
              <w:rPr>
                <w:rFonts w:eastAsia="Calibri"/>
                <w:sz w:val="20"/>
                <w:szCs w:val="20"/>
              </w:rPr>
              <w:t xml:space="preserve">  hrs.;</w:t>
            </w:r>
          </w:p>
          <w:p w14:paraId="5908BDCD" w14:textId="61ADC52D" w:rsidR="009061AD" w:rsidRPr="003F39D6" w:rsidRDefault="009061AD" w:rsidP="00427023">
            <w:pPr>
              <w:widowControl w:val="0"/>
              <w:autoSpaceDE w:val="0"/>
              <w:autoSpaceDN w:val="0"/>
              <w:adjustRightInd w:val="0"/>
              <w:jc w:val="center"/>
              <w:rPr>
                <w:rFonts w:eastAsia="Calibri"/>
                <w:sz w:val="20"/>
                <w:szCs w:val="20"/>
              </w:rPr>
            </w:pPr>
            <w:r w:rsidRPr="003F39D6">
              <w:rPr>
                <w:rFonts w:eastAsia="Calibri"/>
                <w:sz w:val="20"/>
                <w:szCs w:val="20"/>
              </w:rPr>
              <w:t>$</w:t>
            </w:r>
            <w:r w:rsidR="00DB67DE" w:rsidRPr="003F39D6">
              <w:rPr>
                <w:rFonts w:eastAsia="Calibri"/>
                <w:sz w:val="20"/>
                <w:szCs w:val="20"/>
              </w:rPr>
              <w:t>842.32</w:t>
            </w:r>
          </w:p>
        </w:tc>
        <w:tc>
          <w:tcPr>
            <w:tcW w:w="1404" w:type="dxa"/>
          </w:tcPr>
          <w:p w14:paraId="4F128857" w14:textId="0E03F1AD" w:rsidR="009061AD" w:rsidRPr="003F39D6" w:rsidRDefault="009A1677" w:rsidP="00427023">
            <w:pPr>
              <w:widowControl w:val="0"/>
              <w:autoSpaceDE w:val="0"/>
              <w:autoSpaceDN w:val="0"/>
              <w:adjustRightInd w:val="0"/>
              <w:jc w:val="center"/>
              <w:rPr>
                <w:rFonts w:eastAsia="Calibri"/>
                <w:sz w:val="20"/>
                <w:szCs w:val="20"/>
              </w:rPr>
            </w:pPr>
            <w:r w:rsidRPr="003F39D6">
              <w:rPr>
                <w:rFonts w:eastAsia="Calibri"/>
                <w:sz w:val="20"/>
                <w:szCs w:val="20"/>
              </w:rPr>
              <w:t xml:space="preserve">792 </w:t>
            </w:r>
            <w:r w:rsidR="009061AD" w:rsidRPr="003F39D6">
              <w:rPr>
                <w:rFonts w:eastAsia="Calibri"/>
                <w:sz w:val="20"/>
                <w:szCs w:val="20"/>
              </w:rPr>
              <w:t>hrs.;</w:t>
            </w:r>
            <w:r w:rsidR="00E40DC6" w:rsidRPr="003F39D6">
              <w:rPr>
                <w:rFonts w:eastAsia="Calibri"/>
                <w:sz w:val="20"/>
                <w:szCs w:val="20"/>
              </w:rPr>
              <w:t xml:space="preserve"> </w:t>
            </w:r>
            <w:r w:rsidR="009061AD" w:rsidRPr="003F39D6">
              <w:rPr>
                <w:rFonts w:eastAsia="Calibri"/>
                <w:sz w:val="20"/>
                <w:szCs w:val="20"/>
              </w:rPr>
              <w:t>$</w:t>
            </w:r>
            <w:r w:rsidR="00DB67DE" w:rsidRPr="003F39D6">
              <w:rPr>
                <w:rFonts w:eastAsia="Calibri"/>
                <w:sz w:val="20"/>
                <w:szCs w:val="20"/>
              </w:rPr>
              <w:t>83,390</w:t>
            </w:r>
          </w:p>
        </w:tc>
        <w:tc>
          <w:tcPr>
            <w:tcW w:w="1531" w:type="dxa"/>
          </w:tcPr>
          <w:p w14:paraId="150543A8" w14:textId="097B5EFD" w:rsidR="009061AD" w:rsidRPr="003F39D6" w:rsidRDefault="009061AD" w:rsidP="00427023">
            <w:pPr>
              <w:widowControl w:val="0"/>
              <w:autoSpaceDE w:val="0"/>
              <w:autoSpaceDN w:val="0"/>
              <w:adjustRightInd w:val="0"/>
              <w:jc w:val="center"/>
              <w:rPr>
                <w:rFonts w:eastAsia="Calibri"/>
                <w:sz w:val="20"/>
                <w:szCs w:val="20"/>
              </w:rPr>
            </w:pPr>
            <w:r w:rsidRPr="003F39D6">
              <w:rPr>
                <w:rFonts w:eastAsia="Calibri"/>
                <w:sz w:val="20"/>
                <w:szCs w:val="20"/>
              </w:rPr>
              <w:t>$</w:t>
            </w:r>
            <w:r w:rsidR="00E40DC6" w:rsidRPr="003F39D6">
              <w:rPr>
                <w:rFonts w:eastAsia="Calibri"/>
                <w:sz w:val="20"/>
                <w:szCs w:val="20"/>
              </w:rPr>
              <w:t>842.32</w:t>
            </w:r>
          </w:p>
          <w:p w14:paraId="0601338A" w14:textId="77777777" w:rsidR="009061AD" w:rsidRPr="003F39D6" w:rsidRDefault="009061AD" w:rsidP="009061AD">
            <w:pPr>
              <w:widowControl w:val="0"/>
              <w:autoSpaceDE w:val="0"/>
              <w:autoSpaceDN w:val="0"/>
              <w:adjustRightInd w:val="0"/>
              <w:jc w:val="right"/>
              <w:rPr>
                <w:rFonts w:eastAsia="Calibri"/>
                <w:sz w:val="20"/>
                <w:szCs w:val="20"/>
              </w:rPr>
            </w:pPr>
          </w:p>
        </w:tc>
      </w:tr>
      <w:tr w:rsidR="009061AD" w:rsidRPr="009061AD" w14:paraId="0BD34954" w14:textId="77777777" w:rsidTr="00F07C7A">
        <w:tc>
          <w:tcPr>
            <w:tcW w:w="1398" w:type="dxa"/>
          </w:tcPr>
          <w:p w14:paraId="122E2FBE" w14:textId="4B97858D" w:rsidR="009061AD" w:rsidRPr="009061AD" w:rsidRDefault="009061AD" w:rsidP="00352ECF">
            <w:pPr>
              <w:widowControl w:val="0"/>
              <w:autoSpaceDE w:val="0"/>
              <w:autoSpaceDN w:val="0"/>
              <w:adjustRightInd w:val="0"/>
              <w:rPr>
                <w:rFonts w:eastAsia="Calibri"/>
                <w:sz w:val="20"/>
                <w:szCs w:val="20"/>
              </w:rPr>
            </w:pPr>
            <w:r w:rsidRPr="009061AD">
              <w:rPr>
                <w:rFonts w:eastAsia="Calibri"/>
                <w:sz w:val="20"/>
                <w:szCs w:val="20"/>
              </w:rPr>
              <w:t>BA/RSG</w:t>
            </w:r>
            <w:r w:rsidRPr="009061AD">
              <w:rPr>
                <w:rFonts w:eastAsia="Calibri"/>
                <w:sz w:val="20"/>
                <w:szCs w:val="20"/>
                <w:vertAlign w:val="superscript"/>
              </w:rPr>
              <w:t>:</w:t>
            </w:r>
            <w:r w:rsidRPr="009061AD">
              <w:rPr>
                <w:rFonts w:eastAsia="Calibri"/>
                <w:sz w:val="20"/>
                <w:szCs w:val="20"/>
              </w:rPr>
              <w:t xml:space="preserve"> Record Retention</w:t>
            </w:r>
          </w:p>
        </w:tc>
        <w:tc>
          <w:tcPr>
            <w:tcW w:w="1632" w:type="dxa"/>
          </w:tcPr>
          <w:p w14:paraId="10EA4665" w14:textId="76869450" w:rsidR="009061AD" w:rsidRPr="009061AD" w:rsidRDefault="009A1677" w:rsidP="00427023">
            <w:pPr>
              <w:widowControl w:val="0"/>
              <w:autoSpaceDE w:val="0"/>
              <w:autoSpaceDN w:val="0"/>
              <w:adjustRightInd w:val="0"/>
              <w:jc w:val="center"/>
              <w:rPr>
                <w:rFonts w:eastAsia="Calibri"/>
                <w:sz w:val="20"/>
                <w:szCs w:val="20"/>
              </w:rPr>
            </w:pPr>
            <w:r>
              <w:rPr>
                <w:rFonts w:eastAsia="Calibri"/>
                <w:sz w:val="20"/>
                <w:szCs w:val="20"/>
              </w:rPr>
              <w:t>99</w:t>
            </w:r>
          </w:p>
        </w:tc>
        <w:tc>
          <w:tcPr>
            <w:tcW w:w="1531" w:type="dxa"/>
          </w:tcPr>
          <w:p w14:paraId="069B5747" w14:textId="77777777" w:rsidR="009061AD" w:rsidRPr="009061AD" w:rsidRDefault="009061AD" w:rsidP="00427023">
            <w:pPr>
              <w:widowControl w:val="0"/>
              <w:autoSpaceDE w:val="0"/>
              <w:autoSpaceDN w:val="0"/>
              <w:adjustRightInd w:val="0"/>
              <w:jc w:val="center"/>
              <w:rPr>
                <w:rFonts w:eastAsia="Calibri"/>
                <w:sz w:val="20"/>
                <w:szCs w:val="20"/>
              </w:rPr>
            </w:pPr>
            <w:r w:rsidRPr="009061AD">
              <w:rPr>
                <w:rFonts w:eastAsia="Calibri"/>
                <w:sz w:val="20"/>
                <w:szCs w:val="20"/>
              </w:rPr>
              <w:t>1</w:t>
            </w:r>
          </w:p>
        </w:tc>
        <w:tc>
          <w:tcPr>
            <w:tcW w:w="1404" w:type="dxa"/>
          </w:tcPr>
          <w:p w14:paraId="106FF651" w14:textId="23F4C517" w:rsidR="009061AD" w:rsidRPr="009061AD" w:rsidRDefault="009A1677" w:rsidP="00427023">
            <w:pPr>
              <w:widowControl w:val="0"/>
              <w:autoSpaceDE w:val="0"/>
              <w:autoSpaceDN w:val="0"/>
              <w:adjustRightInd w:val="0"/>
              <w:jc w:val="center"/>
              <w:rPr>
                <w:rFonts w:eastAsia="Calibri"/>
                <w:sz w:val="20"/>
                <w:szCs w:val="20"/>
              </w:rPr>
            </w:pPr>
            <w:r>
              <w:rPr>
                <w:rFonts w:eastAsia="Calibri"/>
                <w:sz w:val="20"/>
                <w:szCs w:val="20"/>
              </w:rPr>
              <w:t>99</w:t>
            </w:r>
          </w:p>
        </w:tc>
        <w:tc>
          <w:tcPr>
            <w:tcW w:w="1427" w:type="dxa"/>
          </w:tcPr>
          <w:p w14:paraId="32494BC1" w14:textId="77777777" w:rsidR="009061AD" w:rsidRPr="003F39D6" w:rsidRDefault="009061AD" w:rsidP="00427023">
            <w:pPr>
              <w:widowControl w:val="0"/>
              <w:autoSpaceDE w:val="0"/>
              <w:autoSpaceDN w:val="0"/>
              <w:adjustRightInd w:val="0"/>
              <w:jc w:val="center"/>
              <w:rPr>
                <w:rFonts w:eastAsia="Calibri"/>
                <w:sz w:val="20"/>
                <w:szCs w:val="20"/>
              </w:rPr>
            </w:pPr>
            <w:r w:rsidRPr="003F39D6">
              <w:rPr>
                <w:rFonts w:eastAsia="Calibri"/>
                <w:sz w:val="20"/>
                <w:szCs w:val="20"/>
              </w:rPr>
              <w:t>4 hrs.;</w:t>
            </w:r>
          </w:p>
          <w:p w14:paraId="40EC0C25" w14:textId="0039B8EF" w:rsidR="009061AD" w:rsidRPr="003F39D6" w:rsidRDefault="009061AD" w:rsidP="00427023">
            <w:pPr>
              <w:widowControl w:val="0"/>
              <w:autoSpaceDE w:val="0"/>
              <w:autoSpaceDN w:val="0"/>
              <w:adjustRightInd w:val="0"/>
              <w:jc w:val="center"/>
              <w:rPr>
                <w:rFonts w:eastAsia="Calibri"/>
                <w:sz w:val="20"/>
                <w:szCs w:val="20"/>
              </w:rPr>
            </w:pPr>
            <w:r w:rsidRPr="003F39D6">
              <w:rPr>
                <w:rFonts w:eastAsia="Calibri"/>
                <w:sz w:val="20"/>
                <w:szCs w:val="20"/>
              </w:rPr>
              <w:t>$</w:t>
            </w:r>
            <w:r w:rsidR="00227F6A" w:rsidRPr="003F39D6">
              <w:rPr>
                <w:rFonts w:eastAsia="Calibri"/>
                <w:sz w:val="20"/>
                <w:szCs w:val="20"/>
              </w:rPr>
              <w:t>158.72</w:t>
            </w:r>
          </w:p>
        </w:tc>
        <w:tc>
          <w:tcPr>
            <w:tcW w:w="1404" w:type="dxa"/>
          </w:tcPr>
          <w:p w14:paraId="5F4049F4" w14:textId="6ED360A8" w:rsidR="009061AD" w:rsidRPr="003F39D6" w:rsidRDefault="009A1677" w:rsidP="00427023">
            <w:pPr>
              <w:widowControl w:val="0"/>
              <w:autoSpaceDE w:val="0"/>
              <w:autoSpaceDN w:val="0"/>
              <w:adjustRightInd w:val="0"/>
              <w:jc w:val="center"/>
              <w:rPr>
                <w:rFonts w:eastAsia="Calibri"/>
                <w:sz w:val="20"/>
                <w:szCs w:val="20"/>
              </w:rPr>
            </w:pPr>
            <w:r w:rsidRPr="003F39D6">
              <w:rPr>
                <w:rFonts w:eastAsia="Calibri"/>
                <w:sz w:val="20"/>
                <w:szCs w:val="20"/>
              </w:rPr>
              <w:t>396</w:t>
            </w:r>
            <w:r w:rsidR="009061AD" w:rsidRPr="003F39D6">
              <w:rPr>
                <w:rFonts w:eastAsia="Calibri"/>
                <w:sz w:val="20"/>
                <w:szCs w:val="20"/>
              </w:rPr>
              <w:t xml:space="preserve"> hrs.;</w:t>
            </w:r>
            <w:r w:rsidR="00E40DC6" w:rsidRPr="003F39D6">
              <w:rPr>
                <w:rFonts w:eastAsia="Calibri"/>
                <w:sz w:val="20"/>
                <w:szCs w:val="20"/>
              </w:rPr>
              <w:t xml:space="preserve"> </w:t>
            </w:r>
            <w:r w:rsidR="009061AD" w:rsidRPr="003F39D6">
              <w:rPr>
                <w:rFonts w:eastAsia="Calibri"/>
                <w:sz w:val="20"/>
                <w:szCs w:val="20"/>
              </w:rPr>
              <w:t>$</w:t>
            </w:r>
            <w:r w:rsidR="00227F6A" w:rsidRPr="003F39D6">
              <w:rPr>
                <w:rFonts w:eastAsia="Calibri"/>
                <w:sz w:val="20"/>
                <w:szCs w:val="20"/>
              </w:rPr>
              <w:t>15,713</w:t>
            </w:r>
          </w:p>
        </w:tc>
        <w:tc>
          <w:tcPr>
            <w:tcW w:w="1531" w:type="dxa"/>
          </w:tcPr>
          <w:p w14:paraId="406207D5" w14:textId="3E2FFE2D" w:rsidR="009061AD" w:rsidRPr="003F39D6" w:rsidRDefault="009061AD" w:rsidP="00427023">
            <w:pPr>
              <w:widowControl w:val="0"/>
              <w:autoSpaceDE w:val="0"/>
              <w:autoSpaceDN w:val="0"/>
              <w:adjustRightInd w:val="0"/>
              <w:jc w:val="center"/>
              <w:rPr>
                <w:rFonts w:eastAsia="Calibri"/>
                <w:sz w:val="20"/>
                <w:szCs w:val="20"/>
              </w:rPr>
            </w:pPr>
            <w:r w:rsidRPr="003F39D6">
              <w:rPr>
                <w:rFonts w:eastAsia="Calibri"/>
                <w:sz w:val="20"/>
                <w:szCs w:val="20"/>
              </w:rPr>
              <w:t>$</w:t>
            </w:r>
            <w:r w:rsidR="00227F6A" w:rsidRPr="003F39D6">
              <w:rPr>
                <w:rFonts w:eastAsia="Calibri"/>
                <w:sz w:val="20"/>
                <w:szCs w:val="20"/>
              </w:rPr>
              <w:t>158.72</w:t>
            </w:r>
          </w:p>
        </w:tc>
      </w:tr>
      <w:tr w:rsidR="009061AD" w:rsidRPr="009061AD" w14:paraId="13B4E23F" w14:textId="77777777" w:rsidTr="00F07C7A">
        <w:trPr>
          <w:trHeight w:val="485"/>
        </w:trPr>
        <w:tc>
          <w:tcPr>
            <w:tcW w:w="1398" w:type="dxa"/>
            <w:tcBorders>
              <w:bottom w:val="single" w:sz="4" w:space="0" w:color="auto"/>
            </w:tcBorders>
          </w:tcPr>
          <w:p w14:paraId="43B0D1EA" w14:textId="77777777" w:rsidR="009061AD" w:rsidRPr="009061AD" w:rsidRDefault="009061AD" w:rsidP="009061AD">
            <w:pPr>
              <w:widowControl w:val="0"/>
              <w:autoSpaceDE w:val="0"/>
              <w:autoSpaceDN w:val="0"/>
              <w:adjustRightInd w:val="0"/>
              <w:rPr>
                <w:rFonts w:eastAsia="Calibri"/>
                <w:b/>
                <w:sz w:val="20"/>
                <w:szCs w:val="20"/>
              </w:rPr>
            </w:pPr>
            <w:r w:rsidRPr="009061AD">
              <w:rPr>
                <w:rFonts w:eastAsia="Calibri"/>
                <w:b/>
                <w:sz w:val="20"/>
                <w:szCs w:val="20"/>
              </w:rPr>
              <w:t>TOTAL</w:t>
            </w:r>
          </w:p>
        </w:tc>
        <w:tc>
          <w:tcPr>
            <w:tcW w:w="3163" w:type="dxa"/>
            <w:gridSpan w:val="2"/>
            <w:tcBorders>
              <w:bottom w:val="single" w:sz="4" w:space="0" w:color="auto"/>
            </w:tcBorders>
            <w:shd w:val="clear" w:color="auto" w:fill="D9D9D9"/>
          </w:tcPr>
          <w:p w14:paraId="7171D2E6" w14:textId="77777777" w:rsidR="009061AD" w:rsidRPr="009061AD" w:rsidRDefault="009061AD" w:rsidP="009061AD">
            <w:pPr>
              <w:widowControl w:val="0"/>
              <w:autoSpaceDE w:val="0"/>
              <w:autoSpaceDN w:val="0"/>
              <w:adjustRightInd w:val="0"/>
              <w:jc w:val="right"/>
              <w:rPr>
                <w:rFonts w:eastAsia="Calibri"/>
                <w:sz w:val="20"/>
                <w:szCs w:val="20"/>
              </w:rPr>
            </w:pPr>
          </w:p>
        </w:tc>
        <w:tc>
          <w:tcPr>
            <w:tcW w:w="1404" w:type="dxa"/>
            <w:tcBorders>
              <w:bottom w:val="single" w:sz="4" w:space="0" w:color="auto"/>
            </w:tcBorders>
            <w:shd w:val="clear" w:color="auto" w:fill="auto"/>
          </w:tcPr>
          <w:p w14:paraId="36B4BA0A" w14:textId="5236CE00" w:rsidR="009061AD" w:rsidRPr="009061AD" w:rsidRDefault="009A1677" w:rsidP="00427023">
            <w:pPr>
              <w:widowControl w:val="0"/>
              <w:autoSpaceDE w:val="0"/>
              <w:autoSpaceDN w:val="0"/>
              <w:adjustRightInd w:val="0"/>
              <w:jc w:val="center"/>
              <w:rPr>
                <w:rFonts w:eastAsia="Calibri"/>
                <w:b/>
                <w:sz w:val="20"/>
                <w:szCs w:val="20"/>
              </w:rPr>
            </w:pPr>
            <w:r>
              <w:rPr>
                <w:rFonts w:eastAsia="Calibri"/>
                <w:b/>
                <w:sz w:val="20"/>
                <w:szCs w:val="20"/>
              </w:rPr>
              <w:t>198</w:t>
            </w:r>
          </w:p>
        </w:tc>
        <w:tc>
          <w:tcPr>
            <w:tcW w:w="1427" w:type="dxa"/>
            <w:tcBorders>
              <w:bottom w:val="single" w:sz="4" w:space="0" w:color="auto"/>
            </w:tcBorders>
            <w:shd w:val="clear" w:color="auto" w:fill="D9D9D9"/>
          </w:tcPr>
          <w:p w14:paraId="4E51EE78" w14:textId="77777777" w:rsidR="009061AD" w:rsidRPr="009061AD" w:rsidRDefault="009061AD" w:rsidP="009061AD">
            <w:pPr>
              <w:widowControl w:val="0"/>
              <w:autoSpaceDE w:val="0"/>
              <w:autoSpaceDN w:val="0"/>
              <w:adjustRightInd w:val="0"/>
              <w:jc w:val="right"/>
              <w:rPr>
                <w:rFonts w:eastAsia="Calibri"/>
                <w:sz w:val="20"/>
                <w:szCs w:val="20"/>
              </w:rPr>
            </w:pPr>
          </w:p>
        </w:tc>
        <w:tc>
          <w:tcPr>
            <w:tcW w:w="1404" w:type="dxa"/>
            <w:tcBorders>
              <w:bottom w:val="single" w:sz="4" w:space="0" w:color="auto"/>
            </w:tcBorders>
          </w:tcPr>
          <w:p w14:paraId="16464F82" w14:textId="480BD304" w:rsidR="009061AD" w:rsidRPr="009061AD" w:rsidRDefault="009A1677" w:rsidP="00427023">
            <w:pPr>
              <w:widowControl w:val="0"/>
              <w:autoSpaceDE w:val="0"/>
              <w:autoSpaceDN w:val="0"/>
              <w:adjustRightInd w:val="0"/>
              <w:jc w:val="center"/>
              <w:rPr>
                <w:rFonts w:eastAsia="Calibri"/>
                <w:b/>
                <w:sz w:val="20"/>
                <w:szCs w:val="20"/>
              </w:rPr>
            </w:pPr>
            <w:r w:rsidRPr="003F39D6">
              <w:rPr>
                <w:rFonts w:eastAsia="Calibri"/>
                <w:b/>
                <w:sz w:val="20"/>
                <w:szCs w:val="20"/>
              </w:rPr>
              <w:t>1,188</w:t>
            </w:r>
            <w:r w:rsidR="009061AD" w:rsidRPr="003F39D6">
              <w:rPr>
                <w:rFonts w:eastAsia="Calibri"/>
                <w:b/>
                <w:sz w:val="20"/>
                <w:szCs w:val="20"/>
              </w:rPr>
              <w:t xml:space="preserve"> hrs.;</w:t>
            </w:r>
            <w:r w:rsidR="00E40DC6" w:rsidRPr="003F39D6">
              <w:rPr>
                <w:rFonts w:eastAsia="Calibri"/>
                <w:b/>
                <w:sz w:val="20"/>
                <w:szCs w:val="20"/>
              </w:rPr>
              <w:t xml:space="preserve"> </w:t>
            </w:r>
            <w:r w:rsidR="009061AD" w:rsidRPr="003F39D6">
              <w:rPr>
                <w:rFonts w:eastAsia="Calibri"/>
                <w:b/>
                <w:sz w:val="20"/>
                <w:szCs w:val="20"/>
              </w:rPr>
              <w:t>$</w:t>
            </w:r>
            <w:r w:rsidR="00227F6A" w:rsidRPr="003F39D6">
              <w:rPr>
                <w:rFonts w:eastAsia="Calibri"/>
                <w:b/>
                <w:sz w:val="20"/>
                <w:szCs w:val="20"/>
              </w:rPr>
              <w:t>99,103</w:t>
            </w:r>
          </w:p>
        </w:tc>
        <w:tc>
          <w:tcPr>
            <w:tcW w:w="1531" w:type="dxa"/>
            <w:tcBorders>
              <w:bottom w:val="single" w:sz="4" w:space="0" w:color="auto"/>
            </w:tcBorders>
            <w:shd w:val="clear" w:color="auto" w:fill="BFBFBF"/>
          </w:tcPr>
          <w:p w14:paraId="2264E514" w14:textId="77777777" w:rsidR="009061AD" w:rsidRPr="009061AD" w:rsidRDefault="009061AD" w:rsidP="009061AD">
            <w:pPr>
              <w:widowControl w:val="0"/>
              <w:autoSpaceDE w:val="0"/>
              <w:autoSpaceDN w:val="0"/>
              <w:adjustRightInd w:val="0"/>
              <w:jc w:val="right"/>
              <w:rPr>
                <w:rFonts w:eastAsia="Calibri"/>
                <w:b/>
                <w:sz w:val="20"/>
                <w:szCs w:val="20"/>
              </w:rPr>
            </w:pPr>
          </w:p>
        </w:tc>
      </w:tr>
    </w:tbl>
    <w:p w14:paraId="1D584449" w14:textId="77777777" w:rsidR="009061AD" w:rsidRPr="0066466C" w:rsidRDefault="009061AD" w:rsidP="00676E4A">
      <w:pPr>
        <w:spacing w:line="480" w:lineRule="auto"/>
        <w:rPr>
          <w:szCs w:val="26"/>
        </w:rPr>
      </w:pPr>
    </w:p>
    <w:p w14:paraId="5E405D3D" w14:textId="77777777" w:rsidR="001C75B2" w:rsidRDefault="003820D6" w:rsidP="00D225FB">
      <w:pPr>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w:t>
      </w:r>
      <w:r w:rsidR="00D225FB">
        <w:t xml:space="preserve"> and cost</w:t>
      </w:r>
      <w:r>
        <w:t xml:space="preserve">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14:paraId="6645DA41" w14:textId="77777777" w:rsidR="0078241C" w:rsidRDefault="0078241C" w:rsidP="00F67F0F"/>
    <w:p w14:paraId="20D2DB70" w14:textId="77777777" w:rsidR="00F67F0F" w:rsidRDefault="00F67F0F" w:rsidP="00F67F0F"/>
    <w:p w14:paraId="543919C6" w14:textId="77777777" w:rsidR="00F67F0F" w:rsidRDefault="00F67F0F" w:rsidP="00F67F0F"/>
    <w:p w14:paraId="2D9EA2B6" w14:textId="77777777" w:rsidR="00F67F0F" w:rsidRDefault="00F67F0F" w:rsidP="00F67F0F"/>
    <w:p w14:paraId="39D4FB88" w14:textId="77777777" w:rsidR="00F67F0F" w:rsidRPr="00F67F0F" w:rsidRDefault="00F67F0F" w:rsidP="00F67F0F">
      <w:pPr>
        <w:ind w:firstLine="2174"/>
        <w:jc w:val="center"/>
      </w:pPr>
      <w:r w:rsidRPr="00F67F0F">
        <w:t>Kimberly D. Bose,</w:t>
      </w:r>
    </w:p>
    <w:p w14:paraId="3AC25AF6" w14:textId="77777777" w:rsidR="00F67F0F" w:rsidRPr="00F67F0F" w:rsidRDefault="00F67F0F" w:rsidP="00F67F0F">
      <w:pPr>
        <w:ind w:firstLine="2174"/>
        <w:jc w:val="center"/>
      </w:pPr>
      <w:r w:rsidRPr="00F67F0F">
        <w:t>Secretary.</w:t>
      </w:r>
    </w:p>
    <w:p w14:paraId="4D285EF1" w14:textId="77777777" w:rsidR="00F67F0F" w:rsidRDefault="00F67F0F" w:rsidP="00F67F0F"/>
    <w:sectPr w:rsidR="00F67F0F" w:rsidSect="00190EB5">
      <w:headerReference w:type="even" r:id="rId18"/>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1C352" w14:textId="77777777" w:rsidR="0036579E" w:rsidRDefault="0036579E">
      <w:r>
        <w:separator/>
      </w:r>
    </w:p>
  </w:endnote>
  <w:endnote w:type="continuationSeparator" w:id="0">
    <w:p w14:paraId="2B2BE363" w14:textId="77777777" w:rsidR="0036579E" w:rsidRDefault="0036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4F98D" w14:textId="77777777" w:rsidR="0036579E" w:rsidRDefault="0036579E">
      <w:r>
        <w:separator/>
      </w:r>
    </w:p>
  </w:footnote>
  <w:footnote w:type="continuationSeparator" w:id="0">
    <w:p w14:paraId="20B0D5C9" w14:textId="77777777" w:rsidR="0036579E" w:rsidRDefault="0036579E">
      <w:r>
        <w:continuationSeparator/>
      </w:r>
    </w:p>
  </w:footnote>
  <w:footnote w:id="1">
    <w:p w14:paraId="6E3505E8" w14:textId="77777777" w:rsidR="008721A3" w:rsidRPr="00352ECF" w:rsidRDefault="008721A3">
      <w:pPr>
        <w:pStyle w:val="FootnoteText"/>
        <w:rPr>
          <w:sz w:val="26"/>
          <w:szCs w:val="26"/>
        </w:rPr>
      </w:pPr>
      <w:r w:rsidRPr="00851178">
        <w:rPr>
          <w:rStyle w:val="FootnoteReference"/>
        </w:rPr>
        <w:footnoteRef/>
      </w:r>
      <w:r w:rsidRPr="00352ECF">
        <w:rPr>
          <w:sz w:val="26"/>
          <w:szCs w:val="26"/>
        </w:rPr>
        <w:t xml:space="preserve"> Disturbance Control Standard—Contingency Reserve for Recovery from a Balancing Contingency Event Reliability Standard, Order No. 835, 158 FERC ¶ 61,030, at P 37 (2017).</w:t>
      </w:r>
    </w:p>
  </w:footnote>
  <w:footnote w:id="2">
    <w:p w14:paraId="03307737" w14:textId="77777777" w:rsidR="00313331" w:rsidRDefault="00313331">
      <w:pPr>
        <w:pStyle w:val="FootnoteText"/>
      </w:pPr>
      <w:r w:rsidRPr="00851178">
        <w:rPr>
          <w:rStyle w:val="FootnoteReference"/>
        </w:rPr>
        <w:footnoteRef/>
      </w:r>
      <w:r w:rsidRPr="00352ECF">
        <w:rPr>
          <w:sz w:val="26"/>
          <w:szCs w:val="26"/>
        </w:rPr>
        <w:t xml:space="preserve"> NERC Petition at 3.</w:t>
      </w:r>
    </w:p>
  </w:footnote>
  <w:footnote w:id="3">
    <w:p w14:paraId="755A3C0A" w14:textId="77777777" w:rsidR="005535D4" w:rsidRPr="0089668B" w:rsidRDefault="005535D4" w:rsidP="00D049C2">
      <w:pPr>
        <w:pStyle w:val="FootnoteText"/>
        <w:rPr>
          <w:sz w:val="26"/>
          <w:szCs w:val="26"/>
        </w:rPr>
      </w:pPr>
      <w:r w:rsidRPr="0089668B">
        <w:rPr>
          <w:rStyle w:val="FootnoteReference"/>
        </w:rPr>
        <w:footnoteRef/>
      </w:r>
      <w:r w:rsidRPr="0089668B">
        <w:rPr>
          <w:sz w:val="26"/>
          <w:szCs w:val="26"/>
        </w:rPr>
        <w:t xml:space="preserve"> </w:t>
      </w:r>
      <w:r w:rsidR="009061AD" w:rsidRPr="0089668B">
        <w:rPr>
          <w:sz w:val="26"/>
          <w:szCs w:val="26"/>
        </w:rPr>
        <w:t>B</w:t>
      </w:r>
      <w:r w:rsidRPr="0089668B">
        <w:rPr>
          <w:sz w:val="26"/>
          <w:szCs w:val="26"/>
        </w:rPr>
        <w:t xml:space="preserve">urden </w:t>
      </w:r>
      <w:r w:rsidR="009061AD" w:rsidRPr="0089668B">
        <w:rPr>
          <w:sz w:val="26"/>
          <w:szCs w:val="26"/>
        </w:rPr>
        <w:t xml:space="preserve">is defined </w:t>
      </w:r>
      <w:r w:rsidRPr="0089668B">
        <w:rPr>
          <w:sz w:val="26"/>
          <w:szCs w:val="26"/>
        </w:rPr>
        <w:t>as the total time, effort, or financial resources expended by persons to generate, maintain, retain, or disclose or provide information to or for a Federal agency. For further explanation of information collection burden, refer</w:t>
      </w:r>
      <w:r w:rsidR="009061AD" w:rsidRPr="0089668B">
        <w:rPr>
          <w:sz w:val="26"/>
          <w:szCs w:val="26"/>
        </w:rPr>
        <w:t xml:space="preserve"> to</w:t>
      </w:r>
      <w:r w:rsidRPr="0089668B">
        <w:rPr>
          <w:sz w:val="26"/>
          <w:szCs w:val="26"/>
        </w:rPr>
        <w:t xml:space="preserve"> 5 Code of Federal Regulations 1320.3.</w:t>
      </w:r>
    </w:p>
  </w:footnote>
  <w:footnote w:id="4">
    <w:p w14:paraId="21BE3B48" w14:textId="1D239993" w:rsidR="009061AD" w:rsidRPr="00352ECF" w:rsidRDefault="009061AD" w:rsidP="009061AD">
      <w:pPr>
        <w:pStyle w:val="FootnoteText"/>
        <w:rPr>
          <w:sz w:val="26"/>
          <w:szCs w:val="26"/>
        </w:rPr>
      </w:pPr>
      <w:r w:rsidRPr="00D72C2D">
        <w:rPr>
          <w:rStyle w:val="FootnoteReference"/>
        </w:rPr>
        <w:footnoteRef/>
      </w:r>
      <w:r w:rsidRPr="00D72C2D">
        <w:rPr>
          <w:sz w:val="26"/>
          <w:szCs w:val="26"/>
        </w:rPr>
        <w:t xml:space="preserve"> Reliability Standard BAL-002-2 applies to balancing authorities and reserve sharing groups.  However, the burden associated with the balancing authorities complying with Requirements R1and R3 is not included in this table because that burden doesn’t change and the Commission already accounted for it under Commission-approved </w:t>
      </w:r>
      <w:r w:rsidRPr="00352ECF">
        <w:rPr>
          <w:sz w:val="26"/>
          <w:szCs w:val="26"/>
        </w:rPr>
        <w:t>Reliability Standard BAL-002-1.</w:t>
      </w:r>
    </w:p>
  </w:footnote>
  <w:footnote w:id="5">
    <w:p w14:paraId="0F00F622" w14:textId="40E24F90" w:rsidR="00E40DC6" w:rsidRPr="00352ECF" w:rsidRDefault="00DB67DE">
      <w:pPr>
        <w:pStyle w:val="FootnoteText"/>
        <w:rPr>
          <w:sz w:val="26"/>
          <w:szCs w:val="26"/>
        </w:rPr>
      </w:pPr>
      <w:r w:rsidRPr="00352ECF">
        <w:rPr>
          <w:rStyle w:val="FootnoteReference"/>
        </w:rPr>
        <w:footnoteRef/>
      </w:r>
      <w:r w:rsidRPr="00352ECF">
        <w:t xml:space="preserve"> </w:t>
      </w:r>
      <w:r w:rsidRPr="00352ECF">
        <w:rPr>
          <w:sz w:val="26"/>
          <w:szCs w:val="26"/>
        </w:rPr>
        <w:t xml:space="preserve">The estimated hourly cost (wages plus benefits) </w:t>
      </w:r>
      <w:r w:rsidR="00E40DC6" w:rsidRPr="00352ECF">
        <w:rPr>
          <w:sz w:val="26"/>
          <w:szCs w:val="26"/>
        </w:rPr>
        <w:t xml:space="preserve">is </w:t>
      </w:r>
      <w:r w:rsidRPr="00352ECF">
        <w:rPr>
          <w:sz w:val="26"/>
          <w:szCs w:val="26"/>
        </w:rPr>
        <w:t xml:space="preserve">based on Bureau of Labor Statistics (BLS) information (available at </w:t>
      </w:r>
      <w:hyperlink r:id="rId1" w:history="1">
        <w:r w:rsidRPr="00352ECF">
          <w:rPr>
            <w:sz w:val="26"/>
            <w:szCs w:val="26"/>
          </w:rPr>
          <w:t>http://www.bls.gov/oes/current/naics2_22.htm</w:t>
        </w:r>
      </w:hyperlink>
      <w:r w:rsidRPr="00352ECF">
        <w:rPr>
          <w:sz w:val="26"/>
          <w:szCs w:val="26"/>
        </w:rPr>
        <w:t xml:space="preserve"> and, for benefits, </w:t>
      </w:r>
      <w:hyperlink r:id="rId2" w:history="1">
        <w:r w:rsidRPr="00352ECF">
          <w:rPr>
            <w:rStyle w:val="Hyperlink"/>
            <w:sz w:val="26"/>
            <w:szCs w:val="26"/>
          </w:rPr>
          <w:t>https://www.bls.gov/news.release/ecec.nr0.htm</w:t>
        </w:r>
      </w:hyperlink>
      <w:r w:rsidRPr="00352ECF">
        <w:rPr>
          <w:sz w:val="26"/>
          <w:szCs w:val="26"/>
        </w:rPr>
        <w:t xml:space="preserve"> )</w:t>
      </w:r>
      <w:r w:rsidR="00E40DC6" w:rsidRPr="00352ECF">
        <w:rPr>
          <w:sz w:val="26"/>
          <w:szCs w:val="26"/>
        </w:rPr>
        <w:t>.</w:t>
      </w:r>
      <w:r w:rsidRPr="00352ECF">
        <w:rPr>
          <w:sz w:val="26"/>
          <w:szCs w:val="26"/>
        </w:rPr>
        <w:t xml:space="preserve"> </w:t>
      </w:r>
    </w:p>
    <w:p w14:paraId="011D95E8" w14:textId="5BB643F1" w:rsidR="00DB67DE" w:rsidRPr="00352ECF" w:rsidRDefault="00E806FE">
      <w:pPr>
        <w:pStyle w:val="FootnoteText"/>
        <w:rPr>
          <w:sz w:val="26"/>
          <w:szCs w:val="26"/>
        </w:rPr>
      </w:pPr>
      <w:r w:rsidRPr="00352ECF">
        <w:rPr>
          <w:sz w:val="26"/>
          <w:szCs w:val="26"/>
        </w:rPr>
        <w:t>The hourly cost (wages plus benefits) for developing and maintaining operating process and plans is</w:t>
      </w:r>
      <w:r w:rsidR="00E40DC6" w:rsidRPr="00352ECF">
        <w:rPr>
          <w:sz w:val="26"/>
          <w:szCs w:val="26"/>
        </w:rPr>
        <w:t xml:space="preserve"> $105.29 </w:t>
      </w:r>
      <w:r w:rsidRPr="00352ECF">
        <w:rPr>
          <w:sz w:val="26"/>
          <w:szCs w:val="26"/>
        </w:rPr>
        <w:t xml:space="preserve">and </w:t>
      </w:r>
      <w:r w:rsidR="00E40DC6" w:rsidRPr="00352ECF">
        <w:rPr>
          <w:sz w:val="26"/>
          <w:szCs w:val="26"/>
        </w:rPr>
        <w:t xml:space="preserve">is an average </w:t>
      </w:r>
      <w:r w:rsidRPr="00352ECF">
        <w:rPr>
          <w:sz w:val="26"/>
          <w:szCs w:val="26"/>
        </w:rPr>
        <w:t>for</w:t>
      </w:r>
      <w:r w:rsidR="00DB67DE" w:rsidRPr="00352ECF">
        <w:rPr>
          <w:sz w:val="26"/>
          <w:szCs w:val="26"/>
        </w:rPr>
        <w:t xml:space="preserve"> an electrical engineer (Occupation code 17-2071, $66.90/hour) and Legal (Occupation code 23-0000, $</w:t>
      </w:r>
      <w:r w:rsidR="00DB67DE" w:rsidRPr="00352ECF">
        <w:t xml:space="preserve"> </w:t>
      </w:r>
      <w:r w:rsidR="00DB67DE" w:rsidRPr="00352ECF">
        <w:rPr>
          <w:sz w:val="26"/>
          <w:szCs w:val="26"/>
        </w:rPr>
        <w:t>$143.68).</w:t>
      </w:r>
    </w:p>
    <w:p w14:paraId="0E7B61F0" w14:textId="59E14F34" w:rsidR="00E806FE" w:rsidRDefault="00E806FE">
      <w:pPr>
        <w:pStyle w:val="FootnoteText"/>
      </w:pPr>
      <w:r w:rsidRPr="00352ECF">
        <w:rPr>
          <w:sz w:val="26"/>
          <w:szCs w:val="26"/>
        </w:rPr>
        <w:t>The hourly cost (wages plus benefits) for record retention is $39.68 for information and record clerks (Occupation code 43-4199).</w:t>
      </w:r>
    </w:p>
  </w:footnote>
  <w:footnote w:id="6">
    <w:p w14:paraId="6591043A" w14:textId="77777777" w:rsidR="009061AD" w:rsidRPr="00D72C2D" w:rsidRDefault="009061AD" w:rsidP="009061AD">
      <w:pPr>
        <w:pStyle w:val="FootnoteText"/>
        <w:rPr>
          <w:sz w:val="26"/>
          <w:szCs w:val="26"/>
        </w:rPr>
      </w:pPr>
      <w:r w:rsidRPr="00D72C2D">
        <w:rPr>
          <w:rStyle w:val="FootnoteReference"/>
        </w:rPr>
        <w:footnoteRef/>
      </w:r>
      <w:r w:rsidRPr="00D72C2D">
        <w:rPr>
          <w:sz w:val="26"/>
          <w:szCs w:val="26"/>
        </w:rPr>
        <w:t xml:space="preserve"> BA=Balancing Authority; RSG=Reserve Sharing Group.</w:t>
      </w:r>
    </w:p>
  </w:footnote>
  <w:footnote w:id="7">
    <w:p w14:paraId="075C104C" w14:textId="0570CB81" w:rsidR="009061AD" w:rsidRPr="00D72C2D" w:rsidRDefault="009061AD" w:rsidP="009061AD">
      <w:pPr>
        <w:pStyle w:val="FootnoteText"/>
        <w:rPr>
          <w:sz w:val="26"/>
          <w:szCs w:val="26"/>
        </w:rPr>
      </w:pPr>
      <w:r w:rsidRPr="00D72C2D">
        <w:rPr>
          <w:rStyle w:val="FootnoteReference"/>
        </w:rPr>
        <w:footnoteRef/>
      </w:r>
      <w:r w:rsidRPr="00D72C2D">
        <w:rPr>
          <w:sz w:val="26"/>
          <w:szCs w:val="26"/>
        </w:rPr>
        <w:t xml:space="preserve"> This figure of 8 hours/response is an average of the hourly burden per response for Years 1-3.  Year 1 burden: 12 hours per response; Years 2-3</w:t>
      </w:r>
      <w:r w:rsidR="00144902">
        <w:rPr>
          <w:sz w:val="26"/>
          <w:szCs w:val="26"/>
        </w:rPr>
        <w:t>, each</w:t>
      </w:r>
      <w:r w:rsidRPr="00D72C2D">
        <w:rPr>
          <w:sz w:val="26"/>
          <w:szCs w:val="26"/>
        </w:rPr>
        <w:t xml:space="preserve">: 6 hours/response. </w:t>
      </w:r>
      <w:r w:rsidR="00144902">
        <w:rPr>
          <w:sz w:val="26"/>
          <w:szCs w:val="26"/>
        </w:rPr>
        <w:t xml:space="preserve">The average annual burden for Years 1-3 is </w:t>
      </w:r>
      <w:r w:rsidR="00144902" w:rsidRPr="00D72C2D">
        <w:rPr>
          <w:sz w:val="26"/>
          <w:szCs w:val="26"/>
        </w:rPr>
        <w:t xml:space="preserve">8 hours/response </w:t>
      </w:r>
      <w:r w:rsidR="00144902">
        <w:rPr>
          <w:sz w:val="26"/>
          <w:szCs w:val="26"/>
        </w:rPr>
        <w:t>(or [</w:t>
      </w:r>
      <w:r w:rsidRPr="00D72C2D">
        <w:rPr>
          <w:sz w:val="26"/>
          <w:szCs w:val="26"/>
        </w:rPr>
        <w:t xml:space="preserve">12 hours + 6 hours + 6 hours </w:t>
      </w:r>
      <w:r w:rsidR="00144902">
        <w:rPr>
          <w:sz w:val="26"/>
          <w:szCs w:val="26"/>
        </w:rPr>
        <w:t>]</w:t>
      </w:r>
      <w:r w:rsidRPr="00D72C2D">
        <w:rPr>
          <w:sz w:val="26"/>
          <w:szCs w:val="26"/>
        </w:rPr>
        <w:t xml:space="preserve"> ÷ 3</w:t>
      </w:r>
      <w:r w:rsidR="00144902">
        <w:rPr>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6E624"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07B312" w14:textId="77777777" w:rsidR="009A6D11" w:rsidRDefault="009A6D11"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E3C1C"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1F86">
      <w:rPr>
        <w:rStyle w:val="PageNumber"/>
        <w:noProof/>
      </w:rPr>
      <w:t>2</w:t>
    </w:r>
    <w:r>
      <w:rPr>
        <w:rStyle w:val="PageNumber"/>
      </w:rPr>
      <w:fldChar w:fldCharType="end"/>
    </w:r>
  </w:p>
  <w:p w14:paraId="3644BE3D" w14:textId="77777777" w:rsidR="009A6D11" w:rsidRDefault="009A6D11" w:rsidP="00E56DEB">
    <w:pPr>
      <w:pStyle w:val="Header"/>
      <w:tabs>
        <w:tab w:val="clear" w:pos="4320"/>
        <w:tab w:val="clear" w:pos="8640"/>
        <w:tab w:val="left" w:pos="3756"/>
      </w:tabs>
      <w:ind w:right="360"/>
    </w:pPr>
    <w:r>
      <w:t>Docket No</w:t>
    </w:r>
    <w:r w:rsidRPr="0066069E">
      <w:t xml:space="preserve">. </w:t>
    </w:r>
    <w:r w:rsidR="0066069E" w:rsidRPr="0066069E">
      <w:t>RD18-</w:t>
    </w:r>
    <w:r w:rsidR="00E56DEB">
      <w:t>7</w:t>
    </w:r>
    <w:r w:rsidR="0066069E" w:rsidRPr="0066069E">
      <w:t>-000</w:t>
    </w:r>
    <w:r w:rsidR="00E56DE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7281"/>
    <w:multiLevelType w:val="hybridMultilevel"/>
    <w:tmpl w:val="FAF4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32E068CE"/>
    <w:multiLevelType w:val="hybridMultilevel"/>
    <w:tmpl w:val="02E0B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432C2F39"/>
    <w:multiLevelType w:val="hybridMultilevel"/>
    <w:tmpl w:val="B5EC8C5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D977DE"/>
    <w:multiLevelType w:val="hybridMultilevel"/>
    <w:tmpl w:val="AC5A9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6646310"/>
    <w:multiLevelType w:val="hybridMultilevel"/>
    <w:tmpl w:val="2984F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B2"/>
    <w:rsid w:val="0000007C"/>
    <w:rsid w:val="0000305D"/>
    <w:rsid w:val="00004D97"/>
    <w:rsid w:val="00011BBD"/>
    <w:rsid w:val="00014E36"/>
    <w:rsid w:val="000253DB"/>
    <w:rsid w:val="00036FEC"/>
    <w:rsid w:val="00041471"/>
    <w:rsid w:val="00043468"/>
    <w:rsid w:val="000436E9"/>
    <w:rsid w:val="000515B2"/>
    <w:rsid w:val="0006335A"/>
    <w:rsid w:val="00072256"/>
    <w:rsid w:val="00072448"/>
    <w:rsid w:val="00080D5F"/>
    <w:rsid w:val="000838BE"/>
    <w:rsid w:val="000854B7"/>
    <w:rsid w:val="00093E92"/>
    <w:rsid w:val="00095258"/>
    <w:rsid w:val="000A06AF"/>
    <w:rsid w:val="000A27CA"/>
    <w:rsid w:val="000A5308"/>
    <w:rsid w:val="000B723A"/>
    <w:rsid w:val="000C5468"/>
    <w:rsid w:val="000C56A4"/>
    <w:rsid w:val="000D3639"/>
    <w:rsid w:val="000D5216"/>
    <w:rsid w:val="000F3E00"/>
    <w:rsid w:val="00103D50"/>
    <w:rsid w:val="00114B14"/>
    <w:rsid w:val="00121C3B"/>
    <w:rsid w:val="001240FD"/>
    <w:rsid w:val="00125F00"/>
    <w:rsid w:val="00130B53"/>
    <w:rsid w:val="00141742"/>
    <w:rsid w:val="00144902"/>
    <w:rsid w:val="00146422"/>
    <w:rsid w:val="00146600"/>
    <w:rsid w:val="00146B5E"/>
    <w:rsid w:val="001470C0"/>
    <w:rsid w:val="00150CA6"/>
    <w:rsid w:val="00157960"/>
    <w:rsid w:val="00172C34"/>
    <w:rsid w:val="00176782"/>
    <w:rsid w:val="00176D66"/>
    <w:rsid w:val="00181F00"/>
    <w:rsid w:val="00190EB5"/>
    <w:rsid w:val="0019407A"/>
    <w:rsid w:val="0019691F"/>
    <w:rsid w:val="00197F14"/>
    <w:rsid w:val="001A29CA"/>
    <w:rsid w:val="001A4577"/>
    <w:rsid w:val="001A5E0A"/>
    <w:rsid w:val="001B40FA"/>
    <w:rsid w:val="001B49BD"/>
    <w:rsid w:val="001C3324"/>
    <w:rsid w:val="001C4D3A"/>
    <w:rsid w:val="001C5D46"/>
    <w:rsid w:val="001C75B2"/>
    <w:rsid w:val="001E3ECE"/>
    <w:rsid w:val="001E69DB"/>
    <w:rsid w:val="001F0B06"/>
    <w:rsid w:val="001F0E50"/>
    <w:rsid w:val="001F2664"/>
    <w:rsid w:val="001F47CB"/>
    <w:rsid w:val="00204D0F"/>
    <w:rsid w:val="002265E9"/>
    <w:rsid w:val="00227F6A"/>
    <w:rsid w:val="00252CD0"/>
    <w:rsid w:val="002677D6"/>
    <w:rsid w:val="00285E62"/>
    <w:rsid w:val="0028677A"/>
    <w:rsid w:val="0029476E"/>
    <w:rsid w:val="00296592"/>
    <w:rsid w:val="002A6174"/>
    <w:rsid w:val="002B62A0"/>
    <w:rsid w:val="002C0ECB"/>
    <w:rsid w:val="002C23E9"/>
    <w:rsid w:val="002D46EA"/>
    <w:rsid w:val="002E2667"/>
    <w:rsid w:val="002E3314"/>
    <w:rsid w:val="002F1283"/>
    <w:rsid w:val="002F5FB8"/>
    <w:rsid w:val="00313331"/>
    <w:rsid w:val="003178F3"/>
    <w:rsid w:val="00317A96"/>
    <w:rsid w:val="00321EB8"/>
    <w:rsid w:val="00323139"/>
    <w:rsid w:val="003319D2"/>
    <w:rsid w:val="00335092"/>
    <w:rsid w:val="00341866"/>
    <w:rsid w:val="00352ECF"/>
    <w:rsid w:val="00356E26"/>
    <w:rsid w:val="003575F3"/>
    <w:rsid w:val="0036579E"/>
    <w:rsid w:val="00366669"/>
    <w:rsid w:val="00370763"/>
    <w:rsid w:val="00374409"/>
    <w:rsid w:val="00381700"/>
    <w:rsid w:val="003820D6"/>
    <w:rsid w:val="00386BED"/>
    <w:rsid w:val="003A1D7A"/>
    <w:rsid w:val="003C1644"/>
    <w:rsid w:val="003C1F91"/>
    <w:rsid w:val="003D0480"/>
    <w:rsid w:val="003D6813"/>
    <w:rsid w:val="003F32A9"/>
    <w:rsid w:val="003F39D6"/>
    <w:rsid w:val="00414715"/>
    <w:rsid w:val="004230B0"/>
    <w:rsid w:val="00423C49"/>
    <w:rsid w:val="00427023"/>
    <w:rsid w:val="0042785C"/>
    <w:rsid w:val="00432C41"/>
    <w:rsid w:val="0044362C"/>
    <w:rsid w:val="00445DDF"/>
    <w:rsid w:val="00450DFE"/>
    <w:rsid w:val="00453F74"/>
    <w:rsid w:val="00455A33"/>
    <w:rsid w:val="00470106"/>
    <w:rsid w:val="0047099F"/>
    <w:rsid w:val="004721F3"/>
    <w:rsid w:val="0047321C"/>
    <w:rsid w:val="00473EC5"/>
    <w:rsid w:val="004757BF"/>
    <w:rsid w:val="004855F2"/>
    <w:rsid w:val="00487256"/>
    <w:rsid w:val="00490E50"/>
    <w:rsid w:val="004A51DF"/>
    <w:rsid w:val="004A6E59"/>
    <w:rsid w:val="004B58B3"/>
    <w:rsid w:val="004C3BB0"/>
    <w:rsid w:val="004D1EE5"/>
    <w:rsid w:val="004D4CD3"/>
    <w:rsid w:val="004D53C3"/>
    <w:rsid w:val="004D778A"/>
    <w:rsid w:val="004E1F43"/>
    <w:rsid w:val="004F3E67"/>
    <w:rsid w:val="0050437A"/>
    <w:rsid w:val="00515CA5"/>
    <w:rsid w:val="00517B18"/>
    <w:rsid w:val="00524B22"/>
    <w:rsid w:val="0053019B"/>
    <w:rsid w:val="00530BB4"/>
    <w:rsid w:val="005320C7"/>
    <w:rsid w:val="00534B97"/>
    <w:rsid w:val="00542E91"/>
    <w:rsid w:val="0054477B"/>
    <w:rsid w:val="00551B13"/>
    <w:rsid w:val="005521E7"/>
    <w:rsid w:val="005535D4"/>
    <w:rsid w:val="00556AC8"/>
    <w:rsid w:val="005665D1"/>
    <w:rsid w:val="0058734A"/>
    <w:rsid w:val="005916D2"/>
    <w:rsid w:val="00592AD7"/>
    <w:rsid w:val="00594550"/>
    <w:rsid w:val="005953A4"/>
    <w:rsid w:val="005A02C5"/>
    <w:rsid w:val="005A6D8E"/>
    <w:rsid w:val="005B0E46"/>
    <w:rsid w:val="005C7047"/>
    <w:rsid w:val="005D0272"/>
    <w:rsid w:val="005E6B6B"/>
    <w:rsid w:val="005F45CC"/>
    <w:rsid w:val="005F533D"/>
    <w:rsid w:val="00604B78"/>
    <w:rsid w:val="006070B9"/>
    <w:rsid w:val="00617E46"/>
    <w:rsid w:val="0062025E"/>
    <w:rsid w:val="00625882"/>
    <w:rsid w:val="006276C9"/>
    <w:rsid w:val="006400D4"/>
    <w:rsid w:val="006439BA"/>
    <w:rsid w:val="00644093"/>
    <w:rsid w:val="00653307"/>
    <w:rsid w:val="0065768D"/>
    <w:rsid w:val="0066069E"/>
    <w:rsid w:val="006615E1"/>
    <w:rsid w:val="0066466C"/>
    <w:rsid w:val="00676E4A"/>
    <w:rsid w:val="0068483B"/>
    <w:rsid w:val="0069001A"/>
    <w:rsid w:val="0069142C"/>
    <w:rsid w:val="00695504"/>
    <w:rsid w:val="006A2074"/>
    <w:rsid w:val="006A4D89"/>
    <w:rsid w:val="006B4821"/>
    <w:rsid w:val="006C57B1"/>
    <w:rsid w:val="006D4F8F"/>
    <w:rsid w:val="006D549E"/>
    <w:rsid w:val="006E6000"/>
    <w:rsid w:val="006E7FB0"/>
    <w:rsid w:val="006F4A80"/>
    <w:rsid w:val="006F53CD"/>
    <w:rsid w:val="006F77BE"/>
    <w:rsid w:val="0070048D"/>
    <w:rsid w:val="00703DFC"/>
    <w:rsid w:val="0070558B"/>
    <w:rsid w:val="00710A04"/>
    <w:rsid w:val="0071251E"/>
    <w:rsid w:val="00715454"/>
    <w:rsid w:val="007161D3"/>
    <w:rsid w:val="00720B54"/>
    <w:rsid w:val="00720E07"/>
    <w:rsid w:val="00725908"/>
    <w:rsid w:val="0072643A"/>
    <w:rsid w:val="00764A91"/>
    <w:rsid w:val="0076589D"/>
    <w:rsid w:val="00766823"/>
    <w:rsid w:val="007726D7"/>
    <w:rsid w:val="00773856"/>
    <w:rsid w:val="00775D65"/>
    <w:rsid w:val="0078241C"/>
    <w:rsid w:val="007957B9"/>
    <w:rsid w:val="007A46B4"/>
    <w:rsid w:val="007A5C4A"/>
    <w:rsid w:val="007B03E0"/>
    <w:rsid w:val="007B6091"/>
    <w:rsid w:val="007D2400"/>
    <w:rsid w:val="007D4A4A"/>
    <w:rsid w:val="007E52AC"/>
    <w:rsid w:val="007E6973"/>
    <w:rsid w:val="007E699A"/>
    <w:rsid w:val="007E7573"/>
    <w:rsid w:val="007F4F94"/>
    <w:rsid w:val="007F7E3C"/>
    <w:rsid w:val="008024B2"/>
    <w:rsid w:val="00804E53"/>
    <w:rsid w:val="00807335"/>
    <w:rsid w:val="00820C99"/>
    <w:rsid w:val="00822C8E"/>
    <w:rsid w:val="00827DA2"/>
    <w:rsid w:val="0083270A"/>
    <w:rsid w:val="00834B9E"/>
    <w:rsid w:val="00841CCE"/>
    <w:rsid w:val="008437BF"/>
    <w:rsid w:val="00851178"/>
    <w:rsid w:val="00852671"/>
    <w:rsid w:val="00855434"/>
    <w:rsid w:val="0085560E"/>
    <w:rsid w:val="00855620"/>
    <w:rsid w:val="008647BA"/>
    <w:rsid w:val="00865E72"/>
    <w:rsid w:val="008721A3"/>
    <w:rsid w:val="0087254C"/>
    <w:rsid w:val="008814F7"/>
    <w:rsid w:val="00891E91"/>
    <w:rsid w:val="00893FB3"/>
    <w:rsid w:val="008956A4"/>
    <w:rsid w:val="0089668B"/>
    <w:rsid w:val="008B5814"/>
    <w:rsid w:val="008D7DF2"/>
    <w:rsid w:val="008E4CB7"/>
    <w:rsid w:val="008F5806"/>
    <w:rsid w:val="00900709"/>
    <w:rsid w:val="009061AD"/>
    <w:rsid w:val="00906BFB"/>
    <w:rsid w:val="009124A0"/>
    <w:rsid w:val="009131BC"/>
    <w:rsid w:val="0091686D"/>
    <w:rsid w:val="00924B80"/>
    <w:rsid w:val="00937BCD"/>
    <w:rsid w:val="00944ACD"/>
    <w:rsid w:val="00956FF9"/>
    <w:rsid w:val="00961DAE"/>
    <w:rsid w:val="0096632C"/>
    <w:rsid w:val="00967943"/>
    <w:rsid w:val="0097434D"/>
    <w:rsid w:val="00977E05"/>
    <w:rsid w:val="00991D87"/>
    <w:rsid w:val="00994B38"/>
    <w:rsid w:val="009A1677"/>
    <w:rsid w:val="009A61E8"/>
    <w:rsid w:val="009A6D11"/>
    <w:rsid w:val="009B7DFA"/>
    <w:rsid w:val="009E030D"/>
    <w:rsid w:val="009E1DA1"/>
    <w:rsid w:val="009F0711"/>
    <w:rsid w:val="009F4AB4"/>
    <w:rsid w:val="009F71DC"/>
    <w:rsid w:val="00A049CA"/>
    <w:rsid w:val="00A0763E"/>
    <w:rsid w:val="00A15BF1"/>
    <w:rsid w:val="00A16BCA"/>
    <w:rsid w:val="00A23D5E"/>
    <w:rsid w:val="00A27433"/>
    <w:rsid w:val="00A34319"/>
    <w:rsid w:val="00A34518"/>
    <w:rsid w:val="00A35158"/>
    <w:rsid w:val="00A4355D"/>
    <w:rsid w:val="00A43DCA"/>
    <w:rsid w:val="00A51FCA"/>
    <w:rsid w:val="00A536DA"/>
    <w:rsid w:val="00A56980"/>
    <w:rsid w:val="00A60681"/>
    <w:rsid w:val="00A72F11"/>
    <w:rsid w:val="00A96311"/>
    <w:rsid w:val="00A9631E"/>
    <w:rsid w:val="00AA2F95"/>
    <w:rsid w:val="00AA4FDA"/>
    <w:rsid w:val="00AA7819"/>
    <w:rsid w:val="00AB0A99"/>
    <w:rsid w:val="00AB20D8"/>
    <w:rsid w:val="00AB58C3"/>
    <w:rsid w:val="00AC4CC5"/>
    <w:rsid w:val="00AC7480"/>
    <w:rsid w:val="00AE0995"/>
    <w:rsid w:val="00AF06CA"/>
    <w:rsid w:val="00AF1F86"/>
    <w:rsid w:val="00AF4F93"/>
    <w:rsid w:val="00B018B9"/>
    <w:rsid w:val="00B2244D"/>
    <w:rsid w:val="00B239D2"/>
    <w:rsid w:val="00B2517A"/>
    <w:rsid w:val="00B3254F"/>
    <w:rsid w:val="00B33628"/>
    <w:rsid w:val="00B337D1"/>
    <w:rsid w:val="00B4431A"/>
    <w:rsid w:val="00B460AF"/>
    <w:rsid w:val="00B62B35"/>
    <w:rsid w:val="00B710EA"/>
    <w:rsid w:val="00B75595"/>
    <w:rsid w:val="00B806DB"/>
    <w:rsid w:val="00B81BC5"/>
    <w:rsid w:val="00B835C5"/>
    <w:rsid w:val="00B87F46"/>
    <w:rsid w:val="00B97BC8"/>
    <w:rsid w:val="00BB0834"/>
    <w:rsid w:val="00BB1C54"/>
    <w:rsid w:val="00BC1B93"/>
    <w:rsid w:val="00BC6175"/>
    <w:rsid w:val="00BD0A6B"/>
    <w:rsid w:val="00BD15D4"/>
    <w:rsid w:val="00BF144D"/>
    <w:rsid w:val="00BF7982"/>
    <w:rsid w:val="00C01B8E"/>
    <w:rsid w:val="00C0217E"/>
    <w:rsid w:val="00C0487E"/>
    <w:rsid w:val="00C1080B"/>
    <w:rsid w:val="00C14CA1"/>
    <w:rsid w:val="00C209EA"/>
    <w:rsid w:val="00C20BA6"/>
    <w:rsid w:val="00C211B3"/>
    <w:rsid w:val="00C3310F"/>
    <w:rsid w:val="00C33BBC"/>
    <w:rsid w:val="00C41350"/>
    <w:rsid w:val="00C446C7"/>
    <w:rsid w:val="00C45D62"/>
    <w:rsid w:val="00C4788A"/>
    <w:rsid w:val="00C6230C"/>
    <w:rsid w:val="00C63FEE"/>
    <w:rsid w:val="00C70D6C"/>
    <w:rsid w:val="00C71F08"/>
    <w:rsid w:val="00C856C1"/>
    <w:rsid w:val="00C936A0"/>
    <w:rsid w:val="00C950B8"/>
    <w:rsid w:val="00C9728E"/>
    <w:rsid w:val="00CA0DAC"/>
    <w:rsid w:val="00CA5395"/>
    <w:rsid w:val="00CA582B"/>
    <w:rsid w:val="00CA5D25"/>
    <w:rsid w:val="00CB10EF"/>
    <w:rsid w:val="00CC084C"/>
    <w:rsid w:val="00CC2DF1"/>
    <w:rsid w:val="00CC312A"/>
    <w:rsid w:val="00CC5DDE"/>
    <w:rsid w:val="00CC74B4"/>
    <w:rsid w:val="00CD31E5"/>
    <w:rsid w:val="00CE0EF2"/>
    <w:rsid w:val="00CF0A7E"/>
    <w:rsid w:val="00CF5B9A"/>
    <w:rsid w:val="00D02D61"/>
    <w:rsid w:val="00D049C2"/>
    <w:rsid w:val="00D225FB"/>
    <w:rsid w:val="00D23599"/>
    <w:rsid w:val="00D23CFC"/>
    <w:rsid w:val="00D33436"/>
    <w:rsid w:val="00D43998"/>
    <w:rsid w:val="00D47828"/>
    <w:rsid w:val="00D579BC"/>
    <w:rsid w:val="00D63C82"/>
    <w:rsid w:val="00D67693"/>
    <w:rsid w:val="00D70310"/>
    <w:rsid w:val="00D77890"/>
    <w:rsid w:val="00D87C24"/>
    <w:rsid w:val="00D90CBF"/>
    <w:rsid w:val="00D90F48"/>
    <w:rsid w:val="00D9166B"/>
    <w:rsid w:val="00D92CB4"/>
    <w:rsid w:val="00D93E95"/>
    <w:rsid w:val="00D94313"/>
    <w:rsid w:val="00DA6F3C"/>
    <w:rsid w:val="00DB2E6E"/>
    <w:rsid w:val="00DB44CE"/>
    <w:rsid w:val="00DB67DE"/>
    <w:rsid w:val="00DC09DD"/>
    <w:rsid w:val="00DC0CCD"/>
    <w:rsid w:val="00DD02E8"/>
    <w:rsid w:val="00DD3E84"/>
    <w:rsid w:val="00DD4FFC"/>
    <w:rsid w:val="00DD7146"/>
    <w:rsid w:val="00DF281F"/>
    <w:rsid w:val="00DF3DC8"/>
    <w:rsid w:val="00DF57D1"/>
    <w:rsid w:val="00E027CE"/>
    <w:rsid w:val="00E0745C"/>
    <w:rsid w:val="00E102DA"/>
    <w:rsid w:val="00E2091C"/>
    <w:rsid w:val="00E310B1"/>
    <w:rsid w:val="00E35ECB"/>
    <w:rsid w:val="00E40DC6"/>
    <w:rsid w:val="00E4230F"/>
    <w:rsid w:val="00E436DC"/>
    <w:rsid w:val="00E43FF3"/>
    <w:rsid w:val="00E52021"/>
    <w:rsid w:val="00E521EB"/>
    <w:rsid w:val="00E56DEB"/>
    <w:rsid w:val="00E57F5B"/>
    <w:rsid w:val="00E57FC8"/>
    <w:rsid w:val="00E60318"/>
    <w:rsid w:val="00E6445A"/>
    <w:rsid w:val="00E6573E"/>
    <w:rsid w:val="00E806FE"/>
    <w:rsid w:val="00E92ACF"/>
    <w:rsid w:val="00E94542"/>
    <w:rsid w:val="00E9701C"/>
    <w:rsid w:val="00EA07A3"/>
    <w:rsid w:val="00EA26F9"/>
    <w:rsid w:val="00EA3F0A"/>
    <w:rsid w:val="00EA4BD0"/>
    <w:rsid w:val="00EA5739"/>
    <w:rsid w:val="00EB6628"/>
    <w:rsid w:val="00EB6EE6"/>
    <w:rsid w:val="00EC4610"/>
    <w:rsid w:val="00EC64DD"/>
    <w:rsid w:val="00EC7372"/>
    <w:rsid w:val="00EE4F64"/>
    <w:rsid w:val="00EE5F32"/>
    <w:rsid w:val="00F02B46"/>
    <w:rsid w:val="00F04F4C"/>
    <w:rsid w:val="00F04F98"/>
    <w:rsid w:val="00F05061"/>
    <w:rsid w:val="00F133AE"/>
    <w:rsid w:val="00F137D5"/>
    <w:rsid w:val="00F15EB8"/>
    <w:rsid w:val="00F1668E"/>
    <w:rsid w:val="00F168B6"/>
    <w:rsid w:val="00F17D46"/>
    <w:rsid w:val="00F2283B"/>
    <w:rsid w:val="00F239CB"/>
    <w:rsid w:val="00F252DC"/>
    <w:rsid w:val="00F31331"/>
    <w:rsid w:val="00F33CC9"/>
    <w:rsid w:val="00F34211"/>
    <w:rsid w:val="00F4212C"/>
    <w:rsid w:val="00F500B7"/>
    <w:rsid w:val="00F567F0"/>
    <w:rsid w:val="00F619B0"/>
    <w:rsid w:val="00F62C6E"/>
    <w:rsid w:val="00F63C6E"/>
    <w:rsid w:val="00F67F0F"/>
    <w:rsid w:val="00F72A15"/>
    <w:rsid w:val="00F730F8"/>
    <w:rsid w:val="00F75289"/>
    <w:rsid w:val="00F80272"/>
    <w:rsid w:val="00F95CBD"/>
    <w:rsid w:val="00FA1560"/>
    <w:rsid w:val="00FA2A52"/>
    <w:rsid w:val="00FB1597"/>
    <w:rsid w:val="00FB5088"/>
    <w:rsid w:val="00FC5E3E"/>
    <w:rsid w:val="00FD3E49"/>
    <w:rsid w:val="00FF6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165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ft,fn1,fn3"/>
    <w:basedOn w:val="Normal"/>
    <w:link w:val="FootnoteTextChar"/>
    <w:uiPriority w:val="99"/>
    <w:qFormat/>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 Char"/>
    <w:link w:val="FootnoteText"/>
    <w:uiPriority w:val="99"/>
    <w:rsid w:val="009A6D11"/>
    <w:rPr>
      <w:sz w:val="22"/>
    </w:rPr>
  </w:style>
  <w:style w:type="paragraph" w:styleId="ListParagraph">
    <w:name w:val="List Paragraph"/>
    <w:basedOn w:val="Normal"/>
    <w:uiPriority w:val="34"/>
    <w:qFormat/>
    <w:rsid w:val="0066069E"/>
    <w:pPr>
      <w:spacing w:after="160" w:line="259"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ft,fn1,fn3"/>
    <w:basedOn w:val="Normal"/>
    <w:link w:val="FootnoteTextChar"/>
    <w:uiPriority w:val="99"/>
    <w:qFormat/>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 Char"/>
    <w:link w:val="FootnoteText"/>
    <w:uiPriority w:val="99"/>
    <w:rsid w:val="009A6D11"/>
    <w:rPr>
      <w:sz w:val="22"/>
    </w:rPr>
  </w:style>
  <w:style w:type="paragraph" w:styleId="ListParagraph">
    <w:name w:val="List Paragraph"/>
    <w:basedOn w:val="Normal"/>
    <w:uiPriority w:val="34"/>
    <w:qFormat/>
    <w:rsid w:val="0066069E"/>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9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NOI, Policy Statements, and Rehearing</Rulemaking_x0020_Document_x0020_Type>
    <_x0033__x002e__x0020_Docket_x0020_Number xmlns="d6eefc7d-9817-4fa6-84d5-3bc009be21b8" xsi:nil="true"/>
    <_x0031__x002e__x0020_Collection_x0020_Number xmlns="d6eefc7d-9817-4fa6-84d5-3bc009be21b8">725R</_x0031__x002e__x0020_Collection_x0020_Number>
    <Date xmlns="d6eefc7d-9817-4fa6-84d5-3bc009be21b8">2018-09-28T04:00:00+00:00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RD18-7</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E493C-DE4E-4D30-B919-9228F1C91CF1}">
  <ds:schemaRefs>
    <ds:schemaRef ds:uri="Microsoft.SharePoint.Taxonomy.ContentTypeSync"/>
  </ds:schemaRefs>
</ds:datastoreItem>
</file>

<file path=customXml/itemProps2.xml><?xml version="1.0" encoding="utf-8"?>
<ds:datastoreItem xmlns:ds="http://schemas.openxmlformats.org/officeDocument/2006/customXml" ds:itemID="{E95AFF02-78C4-4422-BF2C-4335F834D354}">
  <ds:schemaRefs>
    <ds:schemaRef ds:uri="http://schemas.microsoft.com/office/2006/metadata/customXsn"/>
  </ds:schemaRefs>
</ds:datastoreItem>
</file>

<file path=customXml/itemProps3.xml><?xml version="1.0" encoding="utf-8"?>
<ds:datastoreItem xmlns:ds="http://schemas.openxmlformats.org/officeDocument/2006/customXml" ds:itemID="{DA03F27A-43D5-4FEB-B432-33398BE4C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4768C3-BE3B-4191-8372-9C5249EAB8F1}">
  <ds:schemaRefs>
    <ds:schemaRef ds:uri="http://schemas.microsoft.com/sharepoint/v3/contenttype/forms"/>
  </ds:schemaRefs>
</ds:datastoreItem>
</file>

<file path=customXml/itemProps5.xml><?xml version="1.0" encoding="utf-8"?>
<ds:datastoreItem xmlns:ds="http://schemas.openxmlformats.org/officeDocument/2006/customXml" ds:itemID="{64B0607B-9984-4F06-9559-189F4FC8C335}">
  <ds:schemaRefs>
    <ds:schemaRef ds:uri="d6eefc7d-9817-4fa6-84d5-3bc009be21b8"/>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http://schemas.microsoft.com/office/infopath/2007/PartnerControls"/>
    <ds:schemaRef ds:uri="http://purl.org/dc/terms/"/>
  </ds:schemaRefs>
</ds:datastoreItem>
</file>

<file path=customXml/itemProps6.xml><?xml version="1.0" encoding="utf-8"?>
<ds:datastoreItem xmlns:ds="http://schemas.openxmlformats.org/officeDocument/2006/customXml" ds:itemID="{733AA965-C0B2-4466-AD60-8E5971161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6384</CharactersWithSpaces>
  <SharedDoc>false</SharedDoc>
  <HyperlinkBase/>
  <HLinks>
    <vt:vector size="84" baseType="variant">
      <vt:variant>
        <vt:i4>5767268</vt:i4>
      </vt:variant>
      <vt:variant>
        <vt:i4>12</vt:i4>
      </vt:variant>
      <vt:variant>
        <vt:i4>0</vt:i4>
      </vt:variant>
      <vt:variant>
        <vt:i4>5</vt:i4>
      </vt:variant>
      <vt:variant>
        <vt:lpwstr>mailto:DataClearance@FERC.gov</vt:lpwstr>
      </vt:variant>
      <vt:variant>
        <vt:lpwstr/>
      </vt:variant>
      <vt:variant>
        <vt:i4>2293798</vt:i4>
      </vt:variant>
      <vt:variant>
        <vt:i4>9</vt:i4>
      </vt:variant>
      <vt:variant>
        <vt:i4>0</vt:i4>
      </vt:variant>
      <vt:variant>
        <vt:i4>5</vt:i4>
      </vt:variant>
      <vt:variant>
        <vt:lpwstr>http://www.ferc.gov/docs-filing/docs-filing.asp</vt:lpwstr>
      </vt:variant>
      <vt:variant>
        <vt:lpwstr/>
      </vt:variant>
      <vt:variant>
        <vt:i4>4259850</vt:i4>
      </vt:variant>
      <vt:variant>
        <vt:i4>6</vt:i4>
      </vt:variant>
      <vt:variant>
        <vt:i4>0</vt:i4>
      </vt:variant>
      <vt:variant>
        <vt:i4>5</vt:i4>
      </vt:variant>
      <vt:variant>
        <vt:lpwstr>http://www.ferc.gov/help/submission-guide.asp</vt:lpwstr>
      </vt:variant>
      <vt:variant>
        <vt:lpwstr/>
      </vt:variant>
      <vt:variant>
        <vt:i4>4128873</vt:i4>
      </vt:variant>
      <vt:variant>
        <vt:i4>3</vt:i4>
      </vt:variant>
      <vt:variant>
        <vt:i4>0</vt:i4>
      </vt:variant>
      <vt:variant>
        <vt:i4>5</vt:i4>
      </vt:variant>
      <vt:variant>
        <vt:lpwstr>http://www.ferc.gov/docs-filing/efiling.asp</vt:lpwstr>
      </vt:variant>
      <vt:variant>
        <vt:lpwstr/>
      </vt:variant>
      <vt:variant>
        <vt:i4>5242954</vt:i4>
      </vt:variant>
      <vt:variant>
        <vt:i4>0</vt:i4>
      </vt:variant>
      <vt:variant>
        <vt:i4>0</vt:i4>
      </vt:variant>
      <vt:variant>
        <vt:i4>5</vt:i4>
      </vt:variant>
      <vt:variant>
        <vt:lpwstr>mailto:oira_submission@omb.gov</vt:lpwstr>
      </vt:variant>
      <vt:variant>
        <vt:lpwstr/>
      </vt:variant>
      <vt:variant>
        <vt:i4>1769560</vt:i4>
      </vt:variant>
      <vt:variant>
        <vt:i4>24</vt:i4>
      </vt:variant>
      <vt:variant>
        <vt:i4>0</vt:i4>
      </vt:variant>
      <vt:variant>
        <vt:i4>5</vt:i4>
      </vt:variant>
      <vt:variant>
        <vt:lpwstr>http://www.bls.gov/news.release/ecec.nr0.htm</vt:lpwstr>
      </vt:variant>
      <vt:variant>
        <vt:lpwstr/>
      </vt:variant>
      <vt:variant>
        <vt:i4>2818143</vt:i4>
      </vt:variant>
      <vt:variant>
        <vt:i4>21</vt:i4>
      </vt:variant>
      <vt:variant>
        <vt:i4>0</vt:i4>
      </vt:variant>
      <vt:variant>
        <vt:i4>5</vt:i4>
      </vt:variant>
      <vt:variant>
        <vt:lpwstr>http://bls.gov/oes/current/naics2_22.htm</vt:lpwstr>
      </vt:variant>
      <vt:variant>
        <vt:lpwstr/>
      </vt:variant>
      <vt:variant>
        <vt:i4>1769560</vt:i4>
      </vt:variant>
      <vt:variant>
        <vt:i4>18</vt:i4>
      </vt:variant>
      <vt:variant>
        <vt:i4>0</vt:i4>
      </vt:variant>
      <vt:variant>
        <vt:i4>5</vt:i4>
      </vt:variant>
      <vt:variant>
        <vt:lpwstr>http://www.bls.gov/news.release/ecec.nr0.htm</vt:lpwstr>
      </vt:variant>
      <vt:variant>
        <vt:lpwstr/>
      </vt:variant>
      <vt:variant>
        <vt:i4>2818143</vt:i4>
      </vt:variant>
      <vt:variant>
        <vt:i4>15</vt:i4>
      </vt:variant>
      <vt:variant>
        <vt:i4>0</vt:i4>
      </vt:variant>
      <vt:variant>
        <vt:i4>5</vt:i4>
      </vt:variant>
      <vt:variant>
        <vt:lpwstr>http://bls.gov/oes/current/naics2_22.htm</vt:lpwstr>
      </vt:variant>
      <vt:variant>
        <vt:lpwstr/>
      </vt:variant>
      <vt:variant>
        <vt:i4>327774</vt:i4>
      </vt:variant>
      <vt:variant>
        <vt:i4>12</vt:i4>
      </vt:variant>
      <vt:variant>
        <vt:i4>0</vt:i4>
      </vt:variant>
      <vt:variant>
        <vt:i4>5</vt:i4>
      </vt:variant>
      <vt:variant>
        <vt:lpwstr>https://elibrary-backup.ferc.gov/idmws/common/OpenNat.asp?fileID=14842089</vt:lpwstr>
      </vt:variant>
      <vt:variant>
        <vt:lpwstr/>
      </vt:variant>
      <vt:variant>
        <vt:i4>65631</vt:i4>
      </vt:variant>
      <vt:variant>
        <vt:i4>9</vt:i4>
      </vt:variant>
      <vt:variant>
        <vt:i4>0</vt:i4>
      </vt:variant>
      <vt:variant>
        <vt:i4>5</vt:i4>
      </vt:variant>
      <vt:variant>
        <vt:lpwstr>https://elibrary-backup.ferc.gov/idmws/common/OpenNat.asp?fileID=14838666</vt:lpwstr>
      </vt:variant>
      <vt:variant>
        <vt:lpwstr/>
      </vt:variant>
      <vt:variant>
        <vt:i4>786523</vt:i4>
      </vt:variant>
      <vt:variant>
        <vt:i4>6</vt:i4>
      </vt:variant>
      <vt:variant>
        <vt:i4>0</vt:i4>
      </vt:variant>
      <vt:variant>
        <vt:i4>5</vt:i4>
      </vt:variant>
      <vt:variant>
        <vt:lpwstr>https://elibrary-backup.ferc.gov/idmws/common/OpenNat.asp?fileID=14850438</vt:lpwstr>
      </vt:variant>
      <vt:variant>
        <vt:lpwstr/>
      </vt:variant>
      <vt:variant>
        <vt:i4>65616</vt:i4>
      </vt:variant>
      <vt:variant>
        <vt:i4>3</vt:i4>
      </vt:variant>
      <vt:variant>
        <vt:i4>0</vt:i4>
      </vt:variant>
      <vt:variant>
        <vt:i4>5</vt:i4>
      </vt:variant>
      <vt:variant>
        <vt:lpwstr>https://elibrary-backup.ferc.gov/idmws/common/OpenNat.asp?fileID=14839975</vt:lpwstr>
      </vt:variant>
      <vt:variant>
        <vt:lpwstr/>
      </vt:variant>
      <vt:variant>
        <vt:i4>65616</vt:i4>
      </vt:variant>
      <vt:variant>
        <vt:i4>0</vt:i4>
      </vt:variant>
      <vt:variant>
        <vt:i4>0</vt:i4>
      </vt:variant>
      <vt:variant>
        <vt:i4>5</vt:i4>
      </vt:variant>
      <vt:variant>
        <vt:lpwstr>https://elibrary-backup.ferc.gov/idmws/common/OpenNat.asp?fileID=14839975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2019-02-12T20:22:00Z</dcterms:created>
  <dcterms:modified xsi:type="dcterms:W3CDTF">2019-02-12T20:22:00Z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