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C0080" w14:textId="77777777" w:rsidR="007E141A" w:rsidRDefault="007E141A" w:rsidP="007E141A">
      <w:pPr>
        <w:pStyle w:val="CM24"/>
        <w:spacing w:after="0" w:line="360" w:lineRule="atLeast"/>
        <w:jc w:val="center"/>
        <w:rPr>
          <w:b/>
          <w:bCs/>
          <w:color w:val="000000"/>
          <w:sz w:val="28"/>
          <w:szCs w:val="28"/>
        </w:rPr>
      </w:pPr>
      <w:bookmarkStart w:id="0" w:name="_GoBack"/>
      <w:bookmarkEnd w:id="0"/>
      <w:r w:rsidRPr="007E141A">
        <w:rPr>
          <w:b/>
          <w:bCs/>
          <w:color w:val="000000"/>
          <w:sz w:val="28"/>
          <w:szCs w:val="28"/>
        </w:rPr>
        <w:t xml:space="preserve"> </w:t>
      </w:r>
    </w:p>
    <w:p w14:paraId="2BBBF5FC" w14:textId="77777777" w:rsidR="007E141A" w:rsidRDefault="007E141A" w:rsidP="007E141A">
      <w:pPr>
        <w:pStyle w:val="CM24"/>
        <w:spacing w:after="0" w:line="360" w:lineRule="atLeast"/>
        <w:jc w:val="center"/>
        <w:rPr>
          <w:b/>
          <w:bCs/>
          <w:color w:val="000000"/>
          <w:sz w:val="28"/>
          <w:szCs w:val="28"/>
        </w:rPr>
      </w:pPr>
    </w:p>
    <w:p w14:paraId="64D882F6" w14:textId="77777777" w:rsidR="007E141A" w:rsidRDefault="007E141A" w:rsidP="007E141A">
      <w:pPr>
        <w:pStyle w:val="CM24"/>
        <w:spacing w:after="0" w:line="360" w:lineRule="atLeast"/>
        <w:jc w:val="center"/>
        <w:rPr>
          <w:b/>
          <w:bCs/>
          <w:color w:val="000000"/>
          <w:sz w:val="28"/>
          <w:szCs w:val="28"/>
        </w:rPr>
      </w:pPr>
    </w:p>
    <w:p w14:paraId="6124FCF8" w14:textId="77777777" w:rsidR="007E141A" w:rsidRDefault="007E141A" w:rsidP="007E141A">
      <w:pPr>
        <w:pStyle w:val="CM24"/>
        <w:spacing w:after="0" w:line="360" w:lineRule="atLeast"/>
        <w:jc w:val="center"/>
        <w:rPr>
          <w:b/>
          <w:bCs/>
          <w:color w:val="000000"/>
          <w:sz w:val="28"/>
          <w:szCs w:val="28"/>
        </w:rPr>
      </w:pPr>
    </w:p>
    <w:p w14:paraId="63099B9F" w14:textId="77777777" w:rsidR="007E141A" w:rsidRDefault="007E141A" w:rsidP="007E141A">
      <w:pPr>
        <w:pStyle w:val="CM24"/>
        <w:spacing w:after="0" w:line="360" w:lineRule="atLeast"/>
        <w:jc w:val="center"/>
        <w:rPr>
          <w:b/>
          <w:bCs/>
          <w:color w:val="000000"/>
          <w:sz w:val="28"/>
          <w:szCs w:val="28"/>
        </w:rPr>
      </w:pPr>
    </w:p>
    <w:p w14:paraId="02A40153" w14:textId="77777777" w:rsidR="007E141A" w:rsidRDefault="007E141A" w:rsidP="007E141A">
      <w:pPr>
        <w:pStyle w:val="CM24"/>
        <w:spacing w:after="0" w:line="360" w:lineRule="atLeast"/>
        <w:jc w:val="center"/>
        <w:rPr>
          <w:b/>
          <w:bCs/>
          <w:color w:val="000000"/>
          <w:sz w:val="28"/>
          <w:szCs w:val="28"/>
        </w:rPr>
      </w:pPr>
    </w:p>
    <w:p w14:paraId="68D38978" w14:textId="77777777" w:rsidR="007E141A" w:rsidRDefault="007E141A" w:rsidP="007E141A">
      <w:pPr>
        <w:pStyle w:val="CM24"/>
        <w:spacing w:after="0" w:line="360" w:lineRule="atLeast"/>
        <w:jc w:val="center"/>
        <w:rPr>
          <w:b/>
          <w:bCs/>
          <w:color w:val="000000"/>
          <w:sz w:val="28"/>
          <w:szCs w:val="28"/>
        </w:rPr>
      </w:pPr>
    </w:p>
    <w:p w14:paraId="164DA2E8" w14:textId="77777777" w:rsidR="007E141A" w:rsidRDefault="007E141A" w:rsidP="007E141A">
      <w:pPr>
        <w:pStyle w:val="CM24"/>
        <w:spacing w:after="0" w:line="360" w:lineRule="atLeast"/>
        <w:jc w:val="center"/>
        <w:rPr>
          <w:b/>
          <w:bCs/>
          <w:color w:val="000000"/>
          <w:sz w:val="28"/>
          <w:szCs w:val="28"/>
        </w:rPr>
      </w:pPr>
    </w:p>
    <w:p w14:paraId="3B6F4E63" w14:textId="77777777" w:rsidR="007E141A" w:rsidRDefault="007E141A" w:rsidP="007E141A">
      <w:pPr>
        <w:pStyle w:val="CM24"/>
        <w:spacing w:after="0" w:line="360" w:lineRule="atLeast"/>
        <w:jc w:val="center"/>
        <w:rPr>
          <w:b/>
          <w:bCs/>
          <w:color w:val="000000"/>
          <w:sz w:val="28"/>
          <w:szCs w:val="28"/>
        </w:rPr>
      </w:pPr>
    </w:p>
    <w:p w14:paraId="381EF6F8" w14:textId="77777777" w:rsidR="007E141A" w:rsidRDefault="007E141A" w:rsidP="007E141A">
      <w:pPr>
        <w:pStyle w:val="CM24"/>
        <w:spacing w:after="0" w:line="360" w:lineRule="atLeast"/>
        <w:jc w:val="center"/>
        <w:rPr>
          <w:b/>
          <w:bCs/>
          <w:color w:val="000000"/>
          <w:sz w:val="28"/>
          <w:szCs w:val="28"/>
        </w:rPr>
      </w:pPr>
    </w:p>
    <w:p w14:paraId="16F55B1E" w14:textId="77777777" w:rsidR="007E141A" w:rsidRDefault="007E141A" w:rsidP="007E141A">
      <w:pPr>
        <w:pStyle w:val="CM24"/>
        <w:spacing w:after="0" w:line="360" w:lineRule="atLeast"/>
        <w:jc w:val="center"/>
        <w:rPr>
          <w:b/>
          <w:bCs/>
          <w:color w:val="000000"/>
          <w:sz w:val="28"/>
          <w:szCs w:val="28"/>
        </w:rPr>
      </w:pPr>
    </w:p>
    <w:p w14:paraId="5DB54B43" w14:textId="77777777" w:rsidR="007E141A" w:rsidRDefault="007E141A" w:rsidP="007E141A">
      <w:pPr>
        <w:pStyle w:val="CM24"/>
        <w:spacing w:after="0" w:line="360" w:lineRule="atLeast"/>
        <w:jc w:val="center"/>
        <w:rPr>
          <w:b/>
          <w:bCs/>
          <w:color w:val="000000"/>
          <w:sz w:val="28"/>
          <w:szCs w:val="28"/>
        </w:rPr>
      </w:pPr>
    </w:p>
    <w:p w14:paraId="0F15407B" w14:textId="77777777" w:rsidR="007E141A" w:rsidRDefault="007E141A" w:rsidP="007E141A">
      <w:pPr>
        <w:pStyle w:val="CM24"/>
        <w:spacing w:after="0" w:line="360" w:lineRule="atLeast"/>
        <w:jc w:val="center"/>
        <w:rPr>
          <w:rFonts w:ascii="Times New Roman" w:hAnsi="Times New Roman" w:cs="Times New Roman"/>
          <w:b/>
          <w:bCs/>
          <w:color w:val="000000"/>
          <w:sz w:val="28"/>
          <w:szCs w:val="28"/>
        </w:rPr>
      </w:pPr>
      <w:r w:rsidRPr="00846704">
        <w:rPr>
          <w:rFonts w:ascii="Times New Roman" w:hAnsi="Times New Roman" w:cs="Times New Roman"/>
          <w:b/>
          <w:bCs/>
          <w:color w:val="000000"/>
          <w:sz w:val="28"/>
          <w:szCs w:val="28"/>
        </w:rPr>
        <w:t xml:space="preserve">SUPPORTING STATEMENT FOR </w:t>
      </w:r>
    </w:p>
    <w:p w14:paraId="3D575AD1" w14:textId="445CE8E4" w:rsidR="002C1CB7" w:rsidRDefault="007E141A" w:rsidP="007E141A">
      <w:pPr>
        <w:pStyle w:val="CM24"/>
        <w:spacing w:after="0" w:line="360" w:lineRule="atLeast"/>
        <w:jc w:val="center"/>
        <w:rPr>
          <w:rFonts w:ascii="Times New Roman" w:hAnsi="Times New Roman" w:cs="Times New Roman"/>
          <w:b/>
          <w:bCs/>
          <w:color w:val="000000"/>
          <w:sz w:val="28"/>
          <w:szCs w:val="28"/>
        </w:rPr>
      </w:pPr>
      <w:r w:rsidRPr="00846704">
        <w:rPr>
          <w:rFonts w:ascii="Times New Roman" w:hAnsi="Times New Roman" w:cs="Times New Roman"/>
          <w:b/>
          <w:bCs/>
          <w:color w:val="000000"/>
          <w:sz w:val="28"/>
          <w:szCs w:val="28"/>
        </w:rPr>
        <w:t xml:space="preserve">EPA INFORMATION COLLECTION REQUEST NUMBER </w:t>
      </w:r>
      <w:r w:rsidR="00A92C8A" w:rsidRPr="00FB1260">
        <w:rPr>
          <w:rFonts w:ascii="Times New Roman" w:hAnsi="Times New Roman" w:cs="Times New Roman"/>
          <w:b/>
          <w:bCs/>
          <w:color w:val="000000"/>
          <w:sz w:val="28"/>
          <w:szCs w:val="28"/>
        </w:rPr>
        <w:t>2486.0</w:t>
      </w:r>
      <w:r w:rsidR="00FB1260" w:rsidRPr="00FB1260">
        <w:rPr>
          <w:rFonts w:ascii="Times New Roman" w:hAnsi="Times New Roman" w:cs="Times New Roman"/>
          <w:b/>
          <w:bCs/>
          <w:color w:val="000000"/>
          <w:sz w:val="28"/>
          <w:szCs w:val="28"/>
        </w:rPr>
        <w:t>2</w:t>
      </w:r>
    </w:p>
    <w:p w14:paraId="5B43DD3D" w14:textId="77777777" w:rsidR="007B08FF" w:rsidRDefault="007E141A" w:rsidP="007E141A">
      <w:pPr>
        <w:pStyle w:val="CM24"/>
        <w:spacing w:after="0" w:line="360" w:lineRule="atLeast"/>
        <w:jc w:val="center"/>
        <w:rPr>
          <w:rFonts w:ascii="Times New Roman" w:hAnsi="Times New Roman" w:cs="Times New Roman"/>
          <w:b/>
          <w:bCs/>
          <w:color w:val="000000"/>
          <w:sz w:val="28"/>
          <w:szCs w:val="28"/>
        </w:rPr>
      </w:pPr>
      <w:r w:rsidRPr="00846704">
        <w:rPr>
          <w:rFonts w:ascii="Times New Roman" w:hAnsi="Times New Roman" w:cs="Times New Roman"/>
          <w:b/>
          <w:bCs/>
          <w:color w:val="000000"/>
          <w:sz w:val="28"/>
          <w:szCs w:val="28"/>
        </w:rPr>
        <w:t xml:space="preserve"> REPORTING AND RECORDKEEPING REQUIREMENTS FOR THE </w:t>
      </w:r>
      <w:r w:rsidR="00313D16">
        <w:rPr>
          <w:rFonts w:ascii="Times New Roman" w:hAnsi="Times New Roman" w:cs="Times New Roman"/>
          <w:b/>
          <w:bCs/>
          <w:color w:val="000000"/>
          <w:sz w:val="28"/>
          <w:szCs w:val="28"/>
        </w:rPr>
        <w:t>FINAL</w:t>
      </w:r>
      <w:r w:rsidR="00313D16" w:rsidRPr="00846704">
        <w:rPr>
          <w:rFonts w:ascii="Times New Roman" w:hAnsi="Times New Roman" w:cs="Times New Roman"/>
          <w:b/>
          <w:bCs/>
          <w:color w:val="000000"/>
          <w:sz w:val="28"/>
          <w:szCs w:val="28"/>
        </w:rPr>
        <w:t xml:space="preserve"> </w:t>
      </w:r>
      <w:r w:rsidRPr="00846704">
        <w:rPr>
          <w:rFonts w:ascii="Times New Roman" w:hAnsi="Times New Roman" w:cs="Times New Roman"/>
          <w:b/>
          <w:bCs/>
          <w:color w:val="000000"/>
          <w:sz w:val="28"/>
          <w:szCs w:val="28"/>
        </w:rPr>
        <w:t xml:space="preserve">RULE ON </w:t>
      </w:r>
      <w:r w:rsidR="007B08FF">
        <w:rPr>
          <w:rFonts w:ascii="Times New Roman" w:hAnsi="Times New Roman" w:cs="Times New Roman"/>
          <w:b/>
          <w:bCs/>
          <w:color w:val="000000"/>
          <w:sz w:val="28"/>
          <w:szCs w:val="28"/>
        </w:rPr>
        <w:t xml:space="preserve">MANAGEMENT STANDARDS FOR </w:t>
      </w:r>
    </w:p>
    <w:p w14:paraId="558B5AC7" w14:textId="77777777" w:rsidR="007E141A" w:rsidRPr="00846704" w:rsidRDefault="002C1CB7" w:rsidP="007E141A">
      <w:pPr>
        <w:pStyle w:val="CM24"/>
        <w:spacing w:after="0" w:line="360" w:lineRule="atLeast"/>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HAZARDOUS WASTE</w:t>
      </w:r>
      <w:r w:rsidR="007E141A" w:rsidRPr="00846704">
        <w:rPr>
          <w:rFonts w:ascii="Times New Roman" w:hAnsi="Times New Roman" w:cs="Times New Roman"/>
          <w:b/>
          <w:bCs/>
          <w:color w:val="000000"/>
          <w:sz w:val="28"/>
          <w:szCs w:val="28"/>
        </w:rPr>
        <w:t xml:space="preserve"> PHARMACEUTICALS </w:t>
      </w:r>
    </w:p>
    <w:p w14:paraId="5E267A87" w14:textId="77777777" w:rsidR="007E141A" w:rsidRPr="00846704" w:rsidRDefault="007E141A" w:rsidP="007E141A">
      <w:pPr>
        <w:pStyle w:val="CM1"/>
        <w:jc w:val="center"/>
        <w:rPr>
          <w:rFonts w:ascii="Times New Roman" w:hAnsi="Times New Roman" w:cs="Times New Roman"/>
          <w:b/>
          <w:bCs/>
          <w:color w:val="000000"/>
          <w:sz w:val="28"/>
          <w:szCs w:val="28"/>
        </w:rPr>
      </w:pPr>
    </w:p>
    <w:p w14:paraId="05377F03" w14:textId="77777777" w:rsidR="007E141A" w:rsidRPr="00846704" w:rsidRDefault="007E141A" w:rsidP="007E141A">
      <w:pPr>
        <w:pStyle w:val="Default"/>
        <w:jc w:val="center"/>
        <w:rPr>
          <w:rFonts w:ascii="Times New Roman" w:hAnsi="Times New Roman" w:cs="Times New Roman"/>
          <w:sz w:val="28"/>
          <w:szCs w:val="28"/>
        </w:rPr>
      </w:pPr>
    </w:p>
    <w:p w14:paraId="3D105422" w14:textId="77777777" w:rsidR="007E141A" w:rsidRPr="00846704" w:rsidRDefault="007E141A" w:rsidP="007E141A">
      <w:pPr>
        <w:pStyle w:val="Default"/>
        <w:jc w:val="center"/>
        <w:rPr>
          <w:rFonts w:ascii="Times New Roman" w:hAnsi="Times New Roman" w:cs="Times New Roman"/>
          <w:b/>
          <w:sz w:val="28"/>
          <w:szCs w:val="28"/>
        </w:rPr>
      </w:pPr>
    </w:p>
    <w:p w14:paraId="36785F1D" w14:textId="0AA83F75" w:rsidR="007E141A" w:rsidRPr="00100D7E" w:rsidRDefault="000E5800" w:rsidP="007E141A">
      <w:pPr>
        <w:pStyle w:val="CM1"/>
        <w:jc w:val="center"/>
        <w:rPr>
          <w:rFonts w:ascii="Times New Roman" w:hAnsi="Times New Roman" w:cs="Times New Roman"/>
          <w:color w:val="000000"/>
          <w:sz w:val="28"/>
          <w:szCs w:val="28"/>
        </w:rPr>
      </w:pPr>
      <w:r>
        <w:rPr>
          <w:rFonts w:ascii="Times New Roman" w:hAnsi="Times New Roman" w:cs="Times New Roman"/>
          <w:bCs/>
          <w:color w:val="000000"/>
          <w:sz w:val="28"/>
          <w:szCs w:val="28"/>
        </w:rPr>
        <w:t>June 2018</w:t>
      </w:r>
    </w:p>
    <w:p w14:paraId="42E5AF4E" w14:textId="77777777" w:rsidR="007E141A" w:rsidRDefault="007E141A" w:rsidP="007E141A"/>
    <w:p w14:paraId="00832007" w14:textId="77777777" w:rsidR="007E141A" w:rsidRDefault="007E141A" w:rsidP="007E141A"/>
    <w:p w14:paraId="4170541B" w14:textId="77777777" w:rsidR="007E141A" w:rsidRDefault="007E141A" w:rsidP="007E141A"/>
    <w:p w14:paraId="0D57660E" w14:textId="77777777" w:rsidR="007E141A" w:rsidRDefault="007E141A" w:rsidP="007E141A"/>
    <w:p w14:paraId="6CF2E8A5" w14:textId="77777777" w:rsidR="007E141A" w:rsidRDefault="007E141A" w:rsidP="007E141A"/>
    <w:p w14:paraId="3DD3FFAC" w14:textId="77777777" w:rsidR="007E141A" w:rsidRDefault="007E141A" w:rsidP="007E141A"/>
    <w:p w14:paraId="09043B89" w14:textId="77777777" w:rsidR="007E141A" w:rsidRDefault="007E141A" w:rsidP="007E141A"/>
    <w:p w14:paraId="026CA647" w14:textId="77777777" w:rsidR="007E141A" w:rsidRDefault="007E141A" w:rsidP="007E141A"/>
    <w:p w14:paraId="1D33AB6A" w14:textId="77777777" w:rsidR="007E141A" w:rsidRDefault="007E141A" w:rsidP="007E141A"/>
    <w:p w14:paraId="6243CF22" w14:textId="77777777" w:rsidR="007E141A" w:rsidRDefault="007E141A" w:rsidP="007E141A"/>
    <w:p w14:paraId="5E6E4316" w14:textId="77777777" w:rsidR="007E141A" w:rsidRDefault="007E141A" w:rsidP="007E141A"/>
    <w:p w14:paraId="471086DF" w14:textId="77777777" w:rsidR="007E141A" w:rsidRDefault="007E141A" w:rsidP="007E141A"/>
    <w:p w14:paraId="6012F7B8" w14:textId="77777777" w:rsidR="007E141A" w:rsidRDefault="007E141A" w:rsidP="007E141A"/>
    <w:p w14:paraId="52B63E76" w14:textId="77777777" w:rsidR="00B54B44" w:rsidRDefault="00B54B44" w:rsidP="007E141A"/>
    <w:p w14:paraId="34870EEF" w14:textId="77777777" w:rsidR="00E84308" w:rsidRDefault="00E84308" w:rsidP="007E141A"/>
    <w:p w14:paraId="3C54A70A" w14:textId="77777777" w:rsidR="00E84308" w:rsidRDefault="00E84308" w:rsidP="007E141A"/>
    <w:p w14:paraId="1698F7A9" w14:textId="77777777" w:rsidR="007E141A" w:rsidRDefault="007E141A" w:rsidP="007E141A"/>
    <w:p w14:paraId="0561DDBF" w14:textId="77777777" w:rsidR="00E84308" w:rsidRDefault="00E84308" w:rsidP="007E141A"/>
    <w:p w14:paraId="1684A994" w14:textId="77777777" w:rsidR="007E141A" w:rsidRDefault="007E141A" w:rsidP="007E141A"/>
    <w:p w14:paraId="7A6A474A" w14:textId="77777777" w:rsidR="007E141A" w:rsidRDefault="007E141A" w:rsidP="007E141A"/>
    <w:p w14:paraId="5A3DC862" w14:textId="77777777" w:rsidR="007E141A" w:rsidRDefault="007E141A" w:rsidP="007E141A">
      <w:pPr>
        <w:jc w:val="center"/>
        <w:rPr>
          <w:b/>
          <w:bCs/>
          <w:szCs w:val="28"/>
        </w:rPr>
      </w:pPr>
    </w:p>
    <w:p w14:paraId="0F3D4407" w14:textId="77777777" w:rsidR="007E141A" w:rsidRPr="00100D7E" w:rsidRDefault="007E141A" w:rsidP="007E141A">
      <w:pPr>
        <w:jc w:val="center"/>
        <w:rPr>
          <w:sz w:val="28"/>
          <w:szCs w:val="28"/>
        </w:rPr>
      </w:pPr>
      <w:r w:rsidRPr="00100D7E">
        <w:rPr>
          <w:b/>
          <w:bCs/>
          <w:sz w:val="28"/>
          <w:szCs w:val="28"/>
        </w:rPr>
        <w:t>Table of Contents</w:t>
      </w:r>
    </w:p>
    <w:p w14:paraId="3C676DA6" w14:textId="77777777" w:rsidR="007E141A" w:rsidRPr="00E17A70" w:rsidRDefault="007E141A" w:rsidP="007E141A">
      <w:r w:rsidRPr="00E17A70">
        <w:fldChar w:fldCharType="begin"/>
      </w:r>
      <w:r w:rsidRPr="00E17A70">
        <w:instrText>TOC \f</w:instrText>
      </w:r>
      <w:r w:rsidRPr="00E17A70">
        <w:fldChar w:fldCharType="separate"/>
      </w:r>
    </w:p>
    <w:p w14:paraId="66E6607B" w14:textId="77777777" w:rsidR="007E141A" w:rsidRPr="00E17A70" w:rsidRDefault="007E141A" w:rsidP="007E141A">
      <w:pPr>
        <w:pStyle w:val="TOC1"/>
        <w:ind w:left="0" w:firstLine="0"/>
      </w:pPr>
    </w:p>
    <w:p w14:paraId="2F102D18" w14:textId="77777777" w:rsidR="007E141A" w:rsidRPr="00E17A70" w:rsidRDefault="007E141A" w:rsidP="007E141A">
      <w:pPr>
        <w:pStyle w:val="TOC1"/>
        <w:tabs>
          <w:tab w:val="left" w:pos="-1440"/>
          <w:tab w:val="left" w:pos="-720"/>
          <w:tab w:val="left" w:pos="0"/>
          <w:tab w:val="left" w:pos="720"/>
          <w:tab w:val="right" w:leader="dot" w:pos="9360"/>
        </w:tabs>
      </w:pPr>
      <w:r w:rsidRPr="00E17A70">
        <w:t>1.</w:t>
      </w:r>
      <w:r w:rsidRPr="00E17A70">
        <w:tab/>
        <w:t>IDENTIFICATION OF THE INFORMATION COLLECTION</w:t>
      </w:r>
      <w:r w:rsidRPr="00E17A70">
        <w:tab/>
      </w:r>
      <w:r w:rsidR="001D4B0A">
        <w:t>1</w:t>
      </w:r>
    </w:p>
    <w:p w14:paraId="1A9EC677" w14:textId="77777777" w:rsidR="007E141A" w:rsidRPr="00E17A70" w:rsidRDefault="007E141A" w:rsidP="007E141A">
      <w:pPr>
        <w:pStyle w:val="TOC2"/>
        <w:tabs>
          <w:tab w:val="left" w:pos="-1440"/>
          <w:tab w:val="left" w:pos="-720"/>
          <w:tab w:val="left" w:pos="0"/>
          <w:tab w:val="left" w:pos="720"/>
          <w:tab w:val="left" w:pos="1440"/>
          <w:tab w:val="right" w:leader="dot" w:pos="9360"/>
        </w:tabs>
      </w:pPr>
      <w:r w:rsidRPr="00E17A70">
        <w:t>1(a)</w:t>
      </w:r>
      <w:r w:rsidRPr="00E17A70">
        <w:tab/>
        <w:t>Title and Number of the Information Collection</w:t>
      </w:r>
      <w:r w:rsidRPr="00E17A70">
        <w:tab/>
      </w:r>
      <w:r w:rsidR="001D4B0A">
        <w:t>1</w:t>
      </w:r>
    </w:p>
    <w:p w14:paraId="5830876A" w14:textId="77777777" w:rsidR="007E141A" w:rsidRPr="00E17A70" w:rsidRDefault="007E141A" w:rsidP="007E141A">
      <w:pPr>
        <w:pStyle w:val="TOC2"/>
        <w:tabs>
          <w:tab w:val="left" w:pos="-1440"/>
          <w:tab w:val="left" w:pos="-720"/>
          <w:tab w:val="left" w:pos="0"/>
          <w:tab w:val="left" w:pos="720"/>
          <w:tab w:val="left" w:pos="1440"/>
          <w:tab w:val="right" w:leader="dot" w:pos="9360"/>
        </w:tabs>
      </w:pPr>
      <w:r w:rsidRPr="00E17A70">
        <w:t>1(b)</w:t>
      </w:r>
      <w:r w:rsidRPr="00E17A70">
        <w:tab/>
        <w:t>Short Characterization</w:t>
      </w:r>
      <w:r w:rsidR="002F18B7">
        <w:t xml:space="preserve"> </w:t>
      </w:r>
      <w:r w:rsidRPr="00E17A70">
        <w:tab/>
      </w:r>
      <w:r w:rsidR="001D4B0A">
        <w:t>1</w:t>
      </w:r>
    </w:p>
    <w:p w14:paraId="58C7D296" w14:textId="77777777" w:rsidR="007E141A" w:rsidRPr="00E17A70" w:rsidRDefault="007E141A" w:rsidP="007E141A">
      <w:pPr>
        <w:pStyle w:val="TOC1"/>
        <w:ind w:left="0" w:firstLine="0"/>
      </w:pPr>
    </w:p>
    <w:p w14:paraId="04E69F9C" w14:textId="77777777" w:rsidR="007E141A" w:rsidRPr="00E17A70" w:rsidRDefault="007E141A" w:rsidP="007E141A">
      <w:pPr>
        <w:pStyle w:val="TOC1"/>
        <w:tabs>
          <w:tab w:val="left" w:pos="-1440"/>
          <w:tab w:val="left" w:pos="-720"/>
          <w:tab w:val="left" w:pos="0"/>
          <w:tab w:val="left" w:pos="720"/>
          <w:tab w:val="right" w:leader="dot" w:pos="9360"/>
        </w:tabs>
      </w:pPr>
      <w:r w:rsidRPr="00E17A70">
        <w:t>2.</w:t>
      </w:r>
      <w:r w:rsidRPr="00E17A70">
        <w:tab/>
        <w:t>NEED FOR AND USE OF THE COLLECTION</w:t>
      </w:r>
      <w:r w:rsidRPr="00E17A70">
        <w:tab/>
      </w:r>
      <w:r w:rsidR="00115AF9">
        <w:t>3</w:t>
      </w:r>
    </w:p>
    <w:p w14:paraId="1E85D25B" w14:textId="77777777" w:rsidR="007E141A" w:rsidRPr="00E17A70" w:rsidRDefault="007E141A" w:rsidP="007E141A">
      <w:pPr>
        <w:pStyle w:val="TOC2"/>
        <w:tabs>
          <w:tab w:val="left" w:pos="-1440"/>
          <w:tab w:val="left" w:pos="-720"/>
          <w:tab w:val="left" w:pos="0"/>
          <w:tab w:val="left" w:pos="720"/>
          <w:tab w:val="left" w:pos="1440"/>
          <w:tab w:val="right" w:leader="dot" w:pos="9360"/>
        </w:tabs>
      </w:pPr>
      <w:r w:rsidRPr="00E17A70">
        <w:t>2(a)</w:t>
      </w:r>
      <w:r w:rsidRPr="00E17A70">
        <w:tab/>
        <w:t>Need and Authority for the Collection</w:t>
      </w:r>
      <w:r w:rsidR="002F18B7">
        <w:t xml:space="preserve"> </w:t>
      </w:r>
      <w:r w:rsidRPr="00E17A70">
        <w:tab/>
      </w:r>
      <w:r w:rsidR="00115AF9">
        <w:t>3</w:t>
      </w:r>
    </w:p>
    <w:p w14:paraId="0EE3A6C2" w14:textId="77777777" w:rsidR="007E141A" w:rsidRPr="00E17A70" w:rsidRDefault="007E141A" w:rsidP="007E141A">
      <w:pPr>
        <w:pStyle w:val="TOC2"/>
        <w:tabs>
          <w:tab w:val="left" w:pos="-1440"/>
          <w:tab w:val="left" w:pos="-720"/>
          <w:tab w:val="left" w:pos="0"/>
          <w:tab w:val="left" w:pos="720"/>
          <w:tab w:val="left" w:pos="1440"/>
          <w:tab w:val="right" w:leader="dot" w:pos="9360"/>
        </w:tabs>
      </w:pPr>
      <w:r w:rsidRPr="00E17A70">
        <w:t>2(b)</w:t>
      </w:r>
      <w:r w:rsidRPr="00E17A70">
        <w:tab/>
        <w:t>Practical Utility and Users of the Data</w:t>
      </w:r>
      <w:r w:rsidR="002F18B7">
        <w:t xml:space="preserve"> </w:t>
      </w:r>
      <w:r w:rsidRPr="00E17A70">
        <w:tab/>
      </w:r>
      <w:r w:rsidR="00115AF9">
        <w:t>3</w:t>
      </w:r>
    </w:p>
    <w:p w14:paraId="4E810EB5" w14:textId="77777777" w:rsidR="007E141A" w:rsidRPr="00E17A70" w:rsidRDefault="007E141A" w:rsidP="007E141A">
      <w:pPr>
        <w:pStyle w:val="TOC1"/>
        <w:ind w:left="0" w:firstLine="0"/>
      </w:pPr>
    </w:p>
    <w:p w14:paraId="481E125D" w14:textId="77777777" w:rsidR="007E141A" w:rsidRPr="00E17A70" w:rsidRDefault="007E141A" w:rsidP="007E141A">
      <w:pPr>
        <w:pStyle w:val="TOC1"/>
        <w:tabs>
          <w:tab w:val="left" w:pos="-1440"/>
          <w:tab w:val="left" w:pos="-720"/>
          <w:tab w:val="left" w:pos="0"/>
          <w:tab w:val="left" w:pos="720"/>
          <w:tab w:val="right" w:leader="dot" w:pos="9360"/>
        </w:tabs>
      </w:pPr>
      <w:r w:rsidRPr="00E17A70">
        <w:t>3.</w:t>
      </w:r>
      <w:r w:rsidRPr="00E17A70">
        <w:tab/>
        <w:t xml:space="preserve">NONDUPLICATION, CONSULTATIONS, AND OTHER </w:t>
      </w:r>
    </w:p>
    <w:p w14:paraId="44B3671B" w14:textId="77777777" w:rsidR="007E141A" w:rsidRPr="00E17A70" w:rsidRDefault="007E141A" w:rsidP="007E141A">
      <w:pPr>
        <w:pStyle w:val="TOC1"/>
        <w:tabs>
          <w:tab w:val="left" w:pos="-1440"/>
          <w:tab w:val="left" w:pos="-720"/>
          <w:tab w:val="left" w:pos="0"/>
          <w:tab w:val="left" w:pos="720"/>
          <w:tab w:val="right" w:leader="dot" w:pos="9360"/>
        </w:tabs>
      </w:pPr>
      <w:r w:rsidRPr="00E17A70">
        <w:tab/>
        <w:t xml:space="preserve">COLLECTION CRITERIA </w:t>
      </w:r>
      <w:r w:rsidRPr="00E17A70">
        <w:tab/>
      </w:r>
      <w:r w:rsidR="001D4B0A">
        <w:t>3</w:t>
      </w:r>
      <w:r w:rsidRPr="00E17A70">
        <w:rPr>
          <w:rStyle w:val="Hypertext"/>
        </w:rPr>
        <w:t xml:space="preserve"> </w:t>
      </w:r>
    </w:p>
    <w:p w14:paraId="3187512C" w14:textId="77777777" w:rsidR="007E141A" w:rsidRPr="00E17A70" w:rsidRDefault="007E141A" w:rsidP="007E141A">
      <w:pPr>
        <w:pStyle w:val="TOC2"/>
        <w:tabs>
          <w:tab w:val="left" w:pos="-1440"/>
          <w:tab w:val="left" w:pos="-720"/>
          <w:tab w:val="left" w:pos="0"/>
          <w:tab w:val="left" w:pos="720"/>
          <w:tab w:val="left" w:pos="1440"/>
          <w:tab w:val="right" w:leader="dot" w:pos="9360"/>
        </w:tabs>
      </w:pPr>
      <w:r w:rsidRPr="00E17A70">
        <w:t>3(a)</w:t>
      </w:r>
      <w:r w:rsidRPr="00E17A70">
        <w:tab/>
        <w:t>Nonduplication</w:t>
      </w:r>
      <w:r w:rsidR="002F18B7">
        <w:t xml:space="preserve"> </w:t>
      </w:r>
      <w:r w:rsidRPr="00E17A70">
        <w:tab/>
      </w:r>
      <w:r w:rsidR="001D4B0A">
        <w:t>3</w:t>
      </w:r>
    </w:p>
    <w:p w14:paraId="2F41E113" w14:textId="77777777" w:rsidR="007E141A" w:rsidRPr="00E17A70" w:rsidRDefault="007E141A" w:rsidP="007E141A">
      <w:pPr>
        <w:pStyle w:val="TOC2"/>
        <w:tabs>
          <w:tab w:val="left" w:pos="-1440"/>
          <w:tab w:val="left" w:pos="-720"/>
          <w:tab w:val="left" w:pos="0"/>
          <w:tab w:val="left" w:pos="720"/>
          <w:tab w:val="left" w:pos="1440"/>
          <w:tab w:val="right" w:leader="dot" w:pos="9360"/>
        </w:tabs>
      </w:pPr>
      <w:r w:rsidRPr="00E17A70">
        <w:t>3(b)</w:t>
      </w:r>
      <w:r w:rsidRPr="00E17A70">
        <w:tab/>
        <w:t>Public Notice</w:t>
      </w:r>
      <w:r w:rsidRPr="00E17A70">
        <w:tab/>
      </w:r>
      <w:r w:rsidR="001D4B0A">
        <w:t>3</w:t>
      </w:r>
    </w:p>
    <w:p w14:paraId="0D645273" w14:textId="77777777" w:rsidR="007E141A" w:rsidRPr="00E17A70" w:rsidRDefault="007E141A" w:rsidP="007E141A">
      <w:pPr>
        <w:pStyle w:val="TOC2"/>
        <w:tabs>
          <w:tab w:val="left" w:pos="-1440"/>
          <w:tab w:val="left" w:pos="-720"/>
          <w:tab w:val="left" w:pos="0"/>
          <w:tab w:val="left" w:pos="720"/>
          <w:tab w:val="left" w:pos="1440"/>
          <w:tab w:val="right" w:leader="dot" w:pos="9360"/>
        </w:tabs>
      </w:pPr>
      <w:r w:rsidRPr="00E17A70">
        <w:t>3(c)</w:t>
      </w:r>
      <w:r w:rsidRPr="00E17A70">
        <w:tab/>
        <w:t>Consultations</w:t>
      </w:r>
      <w:r w:rsidR="002F18B7">
        <w:t xml:space="preserve"> </w:t>
      </w:r>
      <w:r w:rsidRPr="00E17A70">
        <w:tab/>
      </w:r>
      <w:r w:rsidR="00115AF9">
        <w:t>4</w:t>
      </w:r>
    </w:p>
    <w:p w14:paraId="5CBBB043" w14:textId="77777777" w:rsidR="007E141A" w:rsidRPr="00E17A70" w:rsidRDefault="007E141A" w:rsidP="007E141A">
      <w:pPr>
        <w:pStyle w:val="TOC2"/>
        <w:tabs>
          <w:tab w:val="left" w:pos="-1440"/>
          <w:tab w:val="left" w:pos="-720"/>
          <w:tab w:val="left" w:pos="0"/>
          <w:tab w:val="left" w:pos="720"/>
          <w:tab w:val="left" w:pos="1440"/>
          <w:tab w:val="right" w:leader="dot" w:pos="9360"/>
        </w:tabs>
      </w:pPr>
      <w:r w:rsidRPr="00E17A70">
        <w:t>3(d)</w:t>
      </w:r>
      <w:r w:rsidRPr="00E17A70">
        <w:tab/>
        <w:t>Effects of Less Frequent Collection</w:t>
      </w:r>
      <w:r w:rsidR="002F18B7">
        <w:t xml:space="preserve"> </w:t>
      </w:r>
      <w:r w:rsidRPr="00E17A70">
        <w:tab/>
      </w:r>
      <w:r w:rsidR="00115AF9">
        <w:t>4</w:t>
      </w:r>
    </w:p>
    <w:p w14:paraId="2765D3CE" w14:textId="77777777" w:rsidR="007E141A" w:rsidRPr="00E17A70" w:rsidRDefault="007E141A" w:rsidP="007E141A">
      <w:pPr>
        <w:pStyle w:val="TOC2"/>
        <w:tabs>
          <w:tab w:val="left" w:pos="-1440"/>
          <w:tab w:val="left" w:pos="-720"/>
          <w:tab w:val="left" w:pos="0"/>
          <w:tab w:val="left" w:pos="720"/>
          <w:tab w:val="left" w:pos="1440"/>
          <w:tab w:val="right" w:leader="dot" w:pos="9360"/>
        </w:tabs>
      </w:pPr>
      <w:r w:rsidRPr="00E17A70">
        <w:t>3(e)</w:t>
      </w:r>
      <w:r w:rsidRPr="00E17A70">
        <w:tab/>
        <w:t>General Guidelines</w:t>
      </w:r>
      <w:r w:rsidR="002F18B7">
        <w:t xml:space="preserve"> </w:t>
      </w:r>
      <w:r w:rsidRPr="00E17A70">
        <w:tab/>
      </w:r>
      <w:r w:rsidR="00115AF9">
        <w:t>4</w:t>
      </w:r>
    </w:p>
    <w:p w14:paraId="087B5B08" w14:textId="77777777" w:rsidR="007E141A" w:rsidRPr="00E17A70" w:rsidRDefault="007E141A" w:rsidP="007E141A">
      <w:pPr>
        <w:pStyle w:val="TOC2"/>
        <w:tabs>
          <w:tab w:val="left" w:pos="-1440"/>
          <w:tab w:val="left" w:pos="-720"/>
          <w:tab w:val="left" w:pos="0"/>
          <w:tab w:val="left" w:pos="720"/>
          <w:tab w:val="left" w:pos="1440"/>
          <w:tab w:val="right" w:leader="dot" w:pos="9360"/>
        </w:tabs>
      </w:pPr>
      <w:r w:rsidRPr="00E17A70">
        <w:t>3(f)</w:t>
      </w:r>
      <w:r w:rsidRPr="00E17A70">
        <w:tab/>
        <w:t>Confidentiality</w:t>
      </w:r>
      <w:r w:rsidRPr="00E17A70">
        <w:tab/>
      </w:r>
      <w:r w:rsidR="00100D7E">
        <w:t>4</w:t>
      </w:r>
    </w:p>
    <w:p w14:paraId="7F600989" w14:textId="77777777" w:rsidR="007E141A" w:rsidRPr="00E17A70" w:rsidRDefault="007E141A" w:rsidP="007E141A">
      <w:pPr>
        <w:pStyle w:val="TOC2"/>
        <w:tabs>
          <w:tab w:val="left" w:pos="-1440"/>
          <w:tab w:val="left" w:pos="-720"/>
          <w:tab w:val="left" w:pos="0"/>
          <w:tab w:val="left" w:pos="720"/>
          <w:tab w:val="left" w:pos="1440"/>
          <w:tab w:val="right" w:leader="dot" w:pos="9360"/>
        </w:tabs>
      </w:pPr>
      <w:r w:rsidRPr="00E17A70">
        <w:t>3(g)</w:t>
      </w:r>
      <w:r w:rsidRPr="00E17A70">
        <w:tab/>
        <w:t>Sensitive Questions</w:t>
      </w:r>
      <w:r w:rsidRPr="00E17A70">
        <w:tab/>
      </w:r>
      <w:r w:rsidR="00483FC6">
        <w:t>4</w:t>
      </w:r>
    </w:p>
    <w:p w14:paraId="225ABF7D" w14:textId="77777777" w:rsidR="007E141A" w:rsidRPr="00E17A70" w:rsidRDefault="007E141A" w:rsidP="007E141A">
      <w:pPr>
        <w:pStyle w:val="TOC1"/>
        <w:ind w:left="0" w:firstLine="0"/>
      </w:pPr>
    </w:p>
    <w:p w14:paraId="0E70D57C" w14:textId="77777777" w:rsidR="007E141A" w:rsidRPr="00E17A70" w:rsidRDefault="007E141A" w:rsidP="007E141A">
      <w:pPr>
        <w:pStyle w:val="TOC1"/>
        <w:tabs>
          <w:tab w:val="left" w:pos="-1440"/>
          <w:tab w:val="left" w:pos="-720"/>
          <w:tab w:val="left" w:pos="0"/>
          <w:tab w:val="left" w:pos="720"/>
          <w:tab w:val="right" w:leader="dot" w:pos="9360"/>
        </w:tabs>
      </w:pPr>
      <w:r w:rsidRPr="00E17A70">
        <w:t>4.</w:t>
      </w:r>
      <w:r w:rsidRPr="00E17A70">
        <w:tab/>
        <w:t>THE RESPONDENTS AND THE INFORMATION REQUESTED</w:t>
      </w:r>
      <w:r w:rsidRPr="00E17A70">
        <w:tab/>
      </w:r>
      <w:r w:rsidR="00115AF9">
        <w:t>5</w:t>
      </w:r>
    </w:p>
    <w:p w14:paraId="19BABCEF" w14:textId="77777777" w:rsidR="007E141A" w:rsidRPr="00E17A70" w:rsidRDefault="007E141A" w:rsidP="007E141A">
      <w:pPr>
        <w:pStyle w:val="TOC2"/>
        <w:tabs>
          <w:tab w:val="left" w:pos="-1440"/>
          <w:tab w:val="left" w:pos="-720"/>
          <w:tab w:val="left" w:pos="0"/>
          <w:tab w:val="left" w:pos="720"/>
          <w:tab w:val="left" w:pos="1440"/>
          <w:tab w:val="right" w:leader="dot" w:pos="9360"/>
        </w:tabs>
      </w:pPr>
      <w:r w:rsidRPr="00E17A70">
        <w:t>4(a)</w:t>
      </w:r>
      <w:r w:rsidRPr="00E17A70">
        <w:tab/>
        <w:t>Respondents and SIC/NAICS Codes</w:t>
      </w:r>
      <w:r w:rsidRPr="00E17A70">
        <w:tab/>
      </w:r>
      <w:r w:rsidR="00115AF9">
        <w:t>5</w:t>
      </w:r>
    </w:p>
    <w:p w14:paraId="2BEEC9DC" w14:textId="77777777" w:rsidR="007E141A" w:rsidRPr="00E17A70" w:rsidRDefault="007E141A" w:rsidP="007E141A">
      <w:pPr>
        <w:pStyle w:val="TOC2"/>
        <w:tabs>
          <w:tab w:val="left" w:pos="-1440"/>
          <w:tab w:val="left" w:pos="-720"/>
          <w:tab w:val="left" w:pos="0"/>
          <w:tab w:val="left" w:pos="720"/>
          <w:tab w:val="left" w:pos="1440"/>
          <w:tab w:val="right" w:leader="dot" w:pos="9360"/>
        </w:tabs>
      </w:pPr>
      <w:r w:rsidRPr="00E17A70">
        <w:t>4(b)</w:t>
      </w:r>
      <w:r w:rsidRPr="00E17A70">
        <w:tab/>
        <w:t>Information Requested</w:t>
      </w:r>
      <w:r w:rsidR="002F18B7">
        <w:t xml:space="preserve"> </w:t>
      </w:r>
      <w:r w:rsidRPr="00E17A70">
        <w:tab/>
      </w:r>
      <w:r w:rsidR="00115AF9">
        <w:t>5</w:t>
      </w:r>
    </w:p>
    <w:p w14:paraId="02C2B6C5" w14:textId="77777777" w:rsidR="007E141A" w:rsidRPr="00E17A70" w:rsidRDefault="007E141A" w:rsidP="007E141A">
      <w:pPr>
        <w:pStyle w:val="TOC1"/>
        <w:ind w:left="0" w:firstLine="0"/>
      </w:pPr>
    </w:p>
    <w:p w14:paraId="02EA5FBD" w14:textId="2BD17678" w:rsidR="007E141A" w:rsidRPr="00E17A70" w:rsidRDefault="007E141A" w:rsidP="007E141A">
      <w:pPr>
        <w:pStyle w:val="TOC1"/>
        <w:tabs>
          <w:tab w:val="left" w:pos="-1440"/>
          <w:tab w:val="left" w:pos="-720"/>
          <w:tab w:val="left" w:pos="0"/>
          <w:tab w:val="left" w:pos="720"/>
          <w:tab w:val="right" w:leader="dot" w:pos="9360"/>
        </w:tabs>
      </w:pPr>
      <w:r w:rsidRPr="00E17A70">
        <w:t>5.</w:t>
      </w:r>
      <w:r w:rsidRPr="00E17A70">
        <w:tab/>
        <w:t>THE INFORMATION COLLECTED</w:t>
      </w:r>
      <w:r w:rsidR="00820154">
        <w:t xml:space="preserve"> -</w:t>
      </w:r>
      <w:r w:rsidR="00DE40A9">
        <w:t xml:space="preserve">- </w:t>
      </w:r>
      <w:r w:rsidRPr="00E17A70">
        <w:t>AGENCY ACTIVITIES, COLLECTION METHODOLOGY, AND INFORMATION MANAGEMENT</w:t>
      </w:r>
      <w:r w:rsidRPr="00E17A70">
        <w:tab/>
      </w:r>
      <w:r w:rsidR="00115AF9">
        <w:t>1</w:t>
      </w:r>
      <w:r w:rsidR="000A74EF">
        <w:t>4</w:t>
      </w:r>
    </w:p>
    <w:p w14:paraId="746783AA" w14:textId="581553D6" w:rsidR="007E141A" w:rsidRPr="00E17A70" w:rsidRDefault="007E141A" w:rsidP="007E141A">
      <w:pPr>
        <w:pStyle w:val="TOC2"/>
        <w:tabs>
          <w:tab w:val="left" w:pos="-1440"/>
          <w:tab w:val="left" w:pos="-720"/>
          <w:tab w:val="left" w:pos="0"/>
          <w:tab w:val="left" w:pos="720"/>
          <w:tab w:val="left" w:pos="1440"/>
          <w:tab w:val="right" w:leader="dot" w:pos="9360"/>
        </w:tabs>
      </w:pPr>
      <w:r w:rsidRPr="00E17A70">
        <w:t>5(a)</w:t>
      </w:r>
      <w:r w:rsidRPr="00E17A70">
        <w:tab/>
        <w:t>Agency Activities</w:t>
      </w:r>
      <w:r w:rsidR="002F18B7">
        <w:t xml:space="preserve"> </w:t>
      </w:r>
      <w:r w:rsidRPr="00E17A70">
        <w:tab/>
      </w:r>
      <w:r w:rsidR="00115AF9">
        <w:t>1</w:t>
      </w:r>
      <w:r w:rsidR="000A74EF">
        <w:t>4</w:t>
      </w:r>
    </w:p>
    <w:p w14:paraId="423315D3" w14:textId="5169ED91" w:rsidR="007E141A" w:rsidRPr="00E17A70" w:rsidRDefault="007E141A" w:rsidP="007E141A">
      <w:pPr>
        <w:pStyle w:val="TOC2"/>
        <w:tabs>
          <w:tab w:val="left" w:pos="-1440"/>
          <w:tab w:val="left" w:pos="-720"/>
          <w:tab w:val="left" w:pos="0"/>
          <w:tab w:val="left" w:pos="720"/>
          <w:tab w:val="left" w:pos="1440"/>
          <w:tab w:val="right" w:leader="dot" w:pos="9360"/>
        </w:tabs>
      </w:pPr>
      <w:r w:rsidRPr="00E17A70">
        <w:t>5(b)</w:t>
      </w:r>
      <w:r w:rsidRPr="00E17A70">
        <w:tab/>
      </w:r>
      <w:r w:rsidR="002F18B7">
        <w:t xml:space="preserve">Collection Methodology and Management </w:t>
      </w:r>
      <w:r w:rsidRPr="00E17A70">
        <w:tab/>
      </w:r>
      <w:r w:rsidR="000A74EF">
        <w:t>15</w:t>
      </w:r>
    </w:p>
    <w:p w14:paraId="3CD928C7" w14:textId="0F64794C" w:rsidR="007E141A" w:rsidRDefault="002F18B7" w:rsidP="007E141A">
      <w:pPr>
        <w:pStyle w:val="TOC2"/>
      </w:pPr>
      <w:r>
        <w:t>5(c)</w:t>
      </w:r>
      <w:r>
        <w:tab/>
        <w:t>Small Entity Flexibility ………………………………………………………….1</w:t>
      </w:r>
      <w:r w:rsidR="000A74EF">
        <w:t>5</w:t>
      </w:r>
    </w:p>
    <w:p w14:paraId="71FE2E0F" w14:textId="18921191" w:rsidR="002F18B7" w:rsidRPr="002F18B7" w:rsidRDefault="002F18B7" w:rsidP="002F18B7">
      <w:r>
        <w:tab/>
        <w:t xml:space="preserve">5(d) </w:t>
      </w:r>
      <w:r>
        <w:tab/>
        <w:t>Collection Schedule</w:t>
      </w:r>
      <w:r w:rsidR="006B5165">
        <w:t xml:space="preserve"> ……………………………………………………………..1</w:t>
      </w:r>
      <w:r w:rsidR="000A74EF">
        <w:t>5</w:t>
      </w:r>
    </w:p>
    <w:p w14:paraId="3F39F880" w14:textId="77777777" w:rsidR="007E141A" w:rsidRPr="00E17A70" w:rsidRDefault="007E141A" w:rsidP="007E141A">
      <w:pPr>
        <w:pStyle w:val="TOC1"/>
        <w:ind w:left="0" w:firstLine="0"/>
      </w:pPr>
    </w:p>
    <w:p w14:paraId="2DFF1480" w14:textId="349FE484" w:rsidR="007E141A" w:rsidRPr="00E17A70" w:rsidRDefault="007E141A" w:rsidP="007E141A">
      <w:pPr>
        <w:pStyle w:val="TOC1"/>
        <w:tabs>
          <w:tab w:val="left" w:pos="-1440"/>
          <w:tab w:val="left" w:pos="-720"/>
          <w:tab w:val="left" w:pos="0"/>
          <w:tab w:val="left" w:pos="720"/>
          <w:tab w:val="right" w:leader="dot" w:pos="9360"/>
        </w:tabs>
      </w:pPr>
      <w:r w:rsidRPr="00E17A70">
        <w:t>6.</w:t>
      </w:r>
      <w:r w:rsidRPr="00E17A70">
        <w:tab/>
        <w:t>ESTIMATING THE HOUR AND COST BURDEN OF THE COLLECTION</w:t>
      </w:r>
      <w:r w:rsidRPr="00E17A70">
        <w:tab/>
      </w:r>
      <w:r w:rsidR="00115AF9">
        <w:t>1</w:t>
      </w:r>
      <w:r w:rsidR="000A74EF">
        <w:t>5</w:t>
      </w:r>
    </w:p>
    <w:p w14:paraId="2DC24FB6" w14:textId="53E725F7" w:rsidR="007E141A" w:rsidRPr="00E17A70" w:rsidRDefault="007E141A" w:rsidP="007E141A">
      <w:pPr>
        <w:pStyle w:val="TOC2"/>
        <w:tabs>
          <w:tab w:val="left" w:pos="-1440"/>
          <w:tab w:val="left" w:pos="-720"/>
          <w:tab w:val="left" w:pos="0"/>
          <w:tab w:val="left" w:pos="720"/>
          <w:tab w:val="left" w:pos="1440"/>
          <w:tab w:val="right" w:leader="dot" w:pos="9360"/>
        </w:tabs>
      </w:pPr>
      <w:r w:rsidRPr="00E17A70">
        <w:t>6(a)</w:t>
      </w:r>
      <w:r w:rsidRPr="00E17A70">
        <w:tab/>
        <w:t>Estimating Respondent Burden</w:t>
      </w:r>
      <w:r w:rsidR="006B5165">
        <w:t xml:space="preserve"> </w:t>
      </w:r>
      <w:r w:rsidRPr="00E17A70">
        <w:tab/>
      </w:r>
      <w:r w:rsidR="00115AF9">
        <w:t>1</w:t>
      </w:r>
      <w:r w:rsidR="000A74EF">
        <w:t>5</w:t>
      </w:r>
    </w:p>
    <w:p w14:paraId="1278D176" w14:textId="21906D2E" w:rsidR="007E141A" w:rsidRPr="00E17A70" w:rsidRDefault="007E141A" w:rsidP="007E141A">
      <w:pPr>
        <w:pStyle w:val="TOC2"/>
        <w:tabs>
          <w:tab w:val="left" w:pos="-1440"/>
          <w:tab w:val="left" w:pos="-720"/>
          <w:tab w:val="left" w:pos="0"/>
          <w:tab w:val="left" w:pos="720"/>
          <w:tab w:val="left" w:pos="1440"/>
          <w:tab w:val="right" w:leader="dot" w:pos="9360"/>
        </w:tabs>
      </w:pPr>
      <w:r w:rsidRPr="00E17A70">
        <w:t>6(b)</w:t>
      </w:r>
      <w:r w:rsidRPr="00E17A70">
        <w:tab/>
        <w:t>Estimating Respondent Costs</w:t>
      </w:r>
      <w:r w:rsidR="006B5165">
        <w:t xml:space="preserve"> </w:t>
      </w:r>
      <w:r w:rsidRPr="00E17A70">
        <w:tab/>
      </w:r>
      <w:r w:rsidR="00115AF9">
        <w:t>1</w:t>
      </w:r>
      <w:r w:rsidR="000A74EF">
        <w:t>5</w:t>
      </w:r>
    </w:p>
    <w:p w14:paraId="40085543" w14:textId="4B9A23E7" w:rsidR="007E141A" w:rsidRPr="00E17A70" w:rsidRDefault="007E141A" w:rsidP="007E141A">
      <w:pPr>
        <w:pStyle w:val="TOC2"/>
        <w:tabs>
          <w:tab w:val="left" w:pos="-1440"/>
          <w:tab w:val="left" w:pos="-720"/>
          <w:tab w:val="left" w:pos="0"/>
          <w:tab w:val="left" w:pos="720"/>
          <w:tab w:val="left" w:pos="1440"/>
          <w:tab w:val="right" w:leader="dot" w:pos="9360"/>
        </w:tabs>
      </w:pPr>
      <w:r w:rsidRPr="00E17A70">
        <w:t>6(c)</w:t>
      </w:r>
      <w:r w:rsidRPr="00E17A70">
        <w:tab/>
        <w:t>Estimating Agency Burden and Costs</w:t>
      </w:r>
      <w:r w:rsidRPr="00E17A70">
        <w:tab/>
      </w:r>
      <w:r w:rsidR="00115AF9">
        <w:t>1</w:t>
      </w:r>
      <w:r w:rsidR="000A74EF">
        <w:t>6</w:t>
      </w:r>
    </w:p>
    <w:p w14:paraId="1ABBCA6D" w14:textId="6FBC2838" w:rsidR="007E141A" w:rsidRPr="00E17A70" w:rsidRDefault="007E141A" w:rsidP="007E141A">
      <w:pPr>
        <w:pStyle w:val="TOC2"/>
        <w:tabs>
          <w:tab w:val="left" w:pos="-1440"/>
          <w:tab w:val="left" w:pos="-720"/>
          <w:tab w:val="left" w:pos="0"/>
          <w:tab w:val="left" w:pos="720"/>
          <w:tab w:val="left" w:pos="1440"/>
          <w:tab w:val="right" w:leader="dot" w:pos="9360"/>
        </w:tabs>
      </w:pPr>
      <w:r w:rsidRPr="00E17A70">
        <w:t>6(d)</w:t>
      </w:r>
      <w:r w:rsidRPr="00E17A70">
        <w:tab/>
        <w:t>Estimating the Respondent Universe and Total Burden and Costs</w:t>
      </w:r>
      <w:r w:rsidRPr="00E17A70">
        <w:tab/>
      </w:r>
      <w:r w:rsidR="00115AF9">
        <w:t>1</w:t>
      </w:r>
      <w:r w:rsidR="000A74EF">
        <w:t>6</w:t>
      </w:r>
    </w:p>
    <w:p w14:paraId="31517E55" w14:textId="356B24BF" w:rsidR="007E141A" w:rsidRPr="00E17A70" w:rsidRDefault="007E141A" w:rsidP="007E141A">
      <w:pPr>
        <w:pStyle w:val="TOC2"/>
        <w:tabs>
          <w:tab w:val="left" w:pos="-1440"/>
          <w:tab w:val="left" w:pos="-720"/>
          <w:tab w:val="left" w:pos="0"/>
          <w:tab w:val="left" w:pos="720"/>
          <w:tab w:val="left" w:pos="1440"/>
          <w:tab w:val="right" w:leader="dot" w:pos="9360"/>
        </w:tabs>
      </w:pPr>
      <w:r w:rsidRPr="00E17A70">
        <w:t>6(e)</w:t>
      </w:r>
      <w:r w:rsidRPr="00E17A70">
        <w:tab/>
        <w:t>Bottom Line Burden Hours and Costs</w:t>
      </w:r>
      <w:r w:rsidRPr="00E17A70">
        <w:tab/>
      </w:r>
      <w:r w:rsidR="00115AF9">
        <w:t>2</w:t>
      </w:r>
      <w:r w:rsidR="000A74EF">
        <w:t>3</w:t>
      </w:r>
    </w:p>
    <w:p w14:paraId="1E684857" w14:textId="4BA58273" w:rsidR="007E141A" w:rsidRPr="00E17A70" w:rsidRDefault="007E141A" w:rsidP="007E141A">
      <w:pPr>
        <w:pStyle w:val="TOC2"/>
        <w:tabs>
          <w:tab w:val="left" w:pos="-1440"/>
          <w:tab w:val="left" w:pos="-720"/>
          <w:tab w:val="left" w:pos="0"/>
          <w:tab w:val="left" w:pos="720"/>
          <w:tab w:val="left" w:pos="1440"/>
          <w:tab w:val="right" w:leader="dot" w:pos="9360"/>
        </w:tabs>
      </w:pPr>
      <w:r w:rsidRPr="00E17A70">
        <w:t>6(f)</w:t>
      </w:r>
      <w:r w:rsidRPr="00E17A70">
        <w:tab/>
        <w:t>Reasons for Change in Burden</w:t>
      </w:r>
      <w:r w:rsidR="006B5165">
        <w:t xml:space="preserve"> </w:t>
      </w:r>
      <w:r w:rsidRPr="00E17A70">
        <w:tab/>
      </w:r>
      <w:r w:rsidR="00115AF9">
        <w:t>2</w:t>
      </w:r>
      <w:r w:rsidR="000A74EF">
        <w:t>3</w:t>
      </w:r>
    </w:p>
    <w:p w14:paraId="21ABF3B2" w14:textId="72F9113C" w:rsidR="007E141A" w:rsidRPr="00E17A70" w:rsidRDefault="007E141A" w:rsidP="007E141A">
      <w:pPr>
        <w:pStyle w:val="TOC2"/>
        <w:tabs>
          <w:tab w:val="left" w:pos="-1440"/>
          <w:tab w:val="left" w:pos="-720"/>
          <w:tab w:val="left" w:pos="0"/>
          <w:tab w:val="left" w:pos="720"/>
          <w:tab w:val="left" w:pos="1440"/>
          <w:tab w:val="right" w:leader="dot" w:pos="9360"/>
        </w:tabs>
      </w:pPr>
      <w:r w:rsidRPr="00E17A70">
        <w:t>6(g)</w:t>
      </w:r>
      <w:r w:rsidRPr="00E17A70">
        <w:tab/>
        <w:t>Burden Statement</w:t>
      </w:r>
      <w:r w:rsidR="006B5165">
        <w:t xml:space="preserve"> </w:t>
      </w:r>
      <w:r w:rsidRPr="00E17A70">
        <w:tab/>
      </w:r>
      <w:r w:rsidR="00115AF9">
        <w:t>2</w:t>
      </w:r>
      <w:r w:rsidR="003C43A2">
        <w:t>4</w:t>
      </w:r>
    </w:p>
    <w:p w14:paraId="5CB0AF15" w14:textId="77777777" w:rsidR="007E141A" w:rsidRPr="00E17A70" w:rsidRDefault="007E141A" w:rsidP="007E141A">
      <w:pPr>
        <w:rPr>
          <w:vanish/>
        </w:rPr>
      </w:pPr>
    </w:p>
    <w:p w14:paraId="0139940C" w14:textId="77777777" w:rsidR="007E141A" w:rsidRPr="00E17A70" w:rsidRDefault="007E141A" w:rsidP="007E141A">
      <w:pPr>
        <w:pStyle w:val="CM1"/>
        <w:spacing w:after="93"/>
        <w:rPr>
          <w:rFonts w:ascii="Times New Roman" w:hAnsi="Times New Roman"/>
          <w:b/>
          <w:bCs/>
          <w:color w:val="000000"/>
          <w:szCs w:val="22"/>
        </w:rPr>
      </w:pPr>
      <w:r w:rsidRPr="00E17A70">
        <w:rPr>
          <w:rFonts w:ascii="Times New Roman" w:hAnsi="Times New Roman"/>
        </w:rPr>
        <w:fldChar w:fldCharType="end"/>
      </w:r>
    </w:p>
    <w:p w14:paraId="18F1348D" w14:textId="77777777" w:rsidR="007E141A" w:rsidRPr="00E17A70" w:rsidRDefault="007E141A" w:rsidP="007E141A">
      <w:pPr>
        <w:pStyle w:val="CM1"/>
        <w:spacing w:after="93"/>
        <w:rPr>
          <w:rFonts w:ascii="Times New Roman" w:hAnsi="Times New Roman"/>
          <w:b/>
          <w:bCs/>
          <w:color w:val="000000"/>
          <w:szCs w:val="22"/>
        </w:rPr>
      </w:pPr>
    </w:p>
    <w:p w14:paraId="7879D4CB" w14:textId="77777777" w:rsidR="007E141A" w:rsidRPr="00E17A70" w:rsidRDefault="007E141A" w:rsidP="007E141A">
      <w:pPr>
        <w:pStyle w:val="CM1"/>
        <w:spacing w:after="93"/>
        <w:rPr>
          <w:rFonts w:ascii="Times New Roman" w:hAnsi="Times New Roman"/>
          <w:b/>
          <w:bCs/>
          <w:color w:val="000000"/>
          <w:szCs w:val="22"/>
        </w:rPr>
      </w:pPr>
      <w:r w:rsidRPr="00E17A70">
        <w:rPr>
          <w:rFonts w:ascii="Times New Roman" w:hAnsi="Times New Roman"/>
          <w:b/>
          <w:bCs/>
          <w:color w:val="000000"/>
          <w:szCs w:val="22"/>
        </w:rPr>
        <w:br w:type="page"/>
      </w:r>
    </w:p>
    <w:p w14:paraId="74E577B3" w14:textId="77777777" w:rsidR="007E141A" w:rsidRPr="00E17A70" w:rsidRDefault="007E141A" w:rsidP="007E141A">
      <w:pPr>
        <w:tabs>
          <w:tab w:val="center" w:pos="4680"/>
        </w:tabs>
        <w:rPr>
          <w:b/>
          <w:bCs/>
          <w:szCs w:val="28"/>
        </w:rPr>
      </w:pPr>
      <w:r w:rsidRPr="00E17A70">
        <w:rPr>
          <w:b/>
          <w:bCs/>
        </w:rPr>
        <w:tab/>
      </w:r>
      <w:r w:rsidRPr="00E17A70">
        <w:rPr>
          <w:b/>
          <w:bCs/>
          <w:szCs w:val="28"/>
        </w:rPr>
        <w:t>EXHIBITS</w:t>
      </w:r>
    </w:p>
    <w:p w14:paraId="222E11AE" w14:textId="77777777" w:rsidR="007E141A" w:rsidRPr="00E17A70" w:rsidRDefault="007E141A" w:rsidP="007E141A">
      <w:pPr>
        <w:rPr>
          <w:b/>
          <w:bCs/>
        </w:rPr>
      </w:pPr>
    </w:p>
    <w:p w14:paraId="048D52B2" w14:textId="7792DFDA" w:rsidR="007E141A" w:rsidRDefault="007E141A" w:rsidP="007E141A">
      <w:r w:rsidRPr="00E17A70">
        <w:t>Estimated Annual Respondent Burden and Cost</w:t>
      </w:r>
      <w:r w:rsidR="00D92D40">
        <w:t>s</w:t>
      </w:r>
      <w:r w:rsidRPr="00E17A70">
        <w:t xml:space="preserve"> (Exhibit 1).........................................</w:t>
      </w:r>
      <w:r w:rsidR="00115AF9">
        <w:t>...2</w:t>
      </w:r>
      <w:r w:rsidR="003C43A2">
        <w:t>5</w:t>
      </w:r>
    </w:p>
    <w:p w14:paraId="3CAA3185" w14:textId="77777777" w:rsidR="00CA67CD" w:rsidRDefault="00CA67CD" w:rsidP="007B61E5">
      <w:pPr>
        <w:sectPr w:rsidR="00CA67CD" w:rsidSect="006C0E92">
          <w:headerReference w:type="even" r:id="rId13"/>
          <w:headerReference w:type="default" r:id="rId14"/>
          <w:pgSz w:w="12240" w:h="15840"/>
          <w:pgMar w:top="1440" w:right="1440" w:bottom="1440" w:left="1440" w:header="1440" w:footer="1440" w:gutter="0"/>
          <w:pgNumType w:fmt="lowerRoman" w:start="1"/>
          <w:cols w:space="720"/>
          <w:noEndnote/>
          <w:titlePg/>
        </w:sectPr>
      </w:pPr>
    </w:p>
    <w:p w14:paraId="683A9C02" w14:textId="77777777" w:rsidR="007B61E5" w:rsidRDefault="007B61E5" w:rsidP="007B61E5">
      <w:pPr>
        <w:rPr>
          <w:b/>
          <w:szCs w:val="28"/>
        </w:rPr>
      </w:pPr>
    </w:p>
    <w:p w14:paraId="2B7FF569" w14:textId="77777777" w:rsidR="007B61E5" w:rsidRDefault="007B61E5" w:rsidP="007B61E5">
      <w:pPr>
        <w:rPr>
          <w:b/>
          <w:szCs w:val="28"/>
        </w:rPr>
      </w:pPr>
    </w:p>
    <w:p w14:paraId="66F67A36" w14:textId="77777777" w:rsidR="007B61E5" w:rsidRPr="00E17A70" w:rsidRDefault="007B61E5" w:rsidP="007B61E5">
      <w:pPr>
        <w:rPr>
          <w:b/>
          <w:szCs w:val="28"/>
        </w:rPr>
      </w:pPr>
      <w:r w:rsidRPr="00E17A70">
        <w:rPr>
          <w:b/>
          <w:szCs w:val="28"/>
        </w:rPr>
        <w:t>1.</w:t>
      </w:r>
      <w:r w:rsidRPr="00E17A70">
        <w:rPr>
          <w:b/>
          <w:szCs w:val="28"/>
        </w:rPr>
        <w:tab/>
        <w:t>IDENTIFICATION OF THE INFORMATION COLLECTION</w:t>
      </w:r>
    </w:p>
    <w:p w14:paraId="18BB44E2" w14:textId="77777777" w:rsidR="007B61E5" w:rsidRPr="00E17A70" w:rsidRDefault="007B61E5" w:rsidP="007B61E5">
      <w:pPr>
        <w:rPr>
          <w:b/>
          <w:szCs w:val="28"/>
        </w:rPr>
      </w:pPr>
    </w:p>
    <w:p w14:paraId="634E4EB7" w14:textId="77777777" w:rsidR="007B61E5" w:rsidRPr="00E17A70" w:rsidRDefault="007B61E5" w:rsidP="007B61E5">
      <w:pPr>
        <w:ind w:firstLine="720"/>
        <w:rPr>
          <w:b/>
        </w:rPr>
      </w:pPr>
      <w:r w:rsidRPr="00E17A70">
        <w:rPr>
          <w:b/>
        </w:rPr>
        <w:t>1(a)</w:t>
      </w:r>
      <w:r w:rsidRPr="00E17A70">
        <w:rPr>
          <w:b/>
        </w:rPr>
        <w:tab/>
        <w:t>Title and Number of the Information Collection</w:t>
      </w:r>
    </w:p>
    <w:p w14:paraId="4E2EC0A9" w14:textId="77777777" w:rsidR="007B61E5" w:rsidRPr="00E17A70" w:rsidRDefault="007B61E5" w:rsidP="007B61E5">
      <w:pPr>
        <w:ind w:firstLine="720"/>
        <w:rPr>
          <w:b/>
        </w:rPr>
      </w:pPr>
    </w:p>
    <w:p w14:paraId="72A1E8BC" w14:textId="3B1E9883" w:rsidR="007B61E5" w:rsidRPr="00E17A70" w:rsidRDefault="007B61E5" w:rsidP="007B61E5">
      <w:pPr>
        <w:ind w:firstLine="720"/>
        <w:rPr>
          <w:bCs/>
        </w:rPr>
      </w:pPr>
      <w:r w:rsidRPr="00E17A70">
        <w:t>This information Collection Request (ICR) is entitled “</w:t>
      </w:r>
      <w:r w:rsidR="007B08FF">
        <w:rPr>
          <w:bCs/>
        </w:rPr>
        <w:t xml:space="preserve">Management Standards for </w:t>
      </w:r>
      <w:r w:rsidR="00E84308">
        <w:rPr>
          <w:bCs/>
        </w:rPr>
        <w:t>Hazardous</w:t>
      </w:r>
      <w:r w:rsidRPr="00E17A70">
        <w:rPr>
          <w:bCs/>
        </w:rPr>
        <w:t xml:space="preserve"> Waste </w:t>
      </w:r>
      <w:r w:rsidR="00E84308">
        <w:rPr>
          <w:bCs/>
        </w:rPr>
        <w:t>Pharmaceuticals</w:t>
      </w:r>
      <w:r w:rsidRPr="00E17A70">
        <w:rPr>
          <w:bCs/>
        </w:rPr>
        <w:t xml:space="preserve">,” EPA ICR </w:t>
      </w:r>
      <w:r w:rsidRPr="00FB1260">
        <w:rPr>
          <w:bCs/>
        </w:rPr>
        <w:t>Number</w:t>
      </w:r>
      <w:r w:rsidR="00A92C8A" w:rsidRPr="00FB1260">
        <w:rPr>
          <w:bCs/>
        </w:rPr>
        <w:t xml:space="preserve"> 2486.0</w:t>
      </w:r>
      <w:r w:rsidR="00FB1260" w:rsidRPr="00FB1260">
        <w:rPr>
          <w:bCs/>
        </w:rPr>
        <w:t>2</w:t>
      </w:r>
      <w:r w:rsidRPr="00FB1260">
        <w:rPr>
          <w:bCs/>
        </w:rPr>
        <w:t>.</w:t>
      </w:r>
    </w:p>
    <w:p w14:paraId="486A703A" w14:textId="77777777" w:rsidR="007B61E5" w:rsidRPr="00E17A70" w:rsidRDefault="007B61E5" w:rsidP="007B61E5">
      <w:pPr>
        <w:ind w:firstLine="720"/>
        <w:rPr>
          <w:bCs/>
        </w:rPr>
      </w:pPr>
    </w:p>
    <w:p w14:paraId="36604BB2" w14:textId="77777777" w:rsidR="007B61E5" w:rsidRPr="00E17A70" w:rsidRDefault="007B61E5" w:rsidP="007B61E5">
      <w:pPr>
        <w:ind w:firstLine="720"/>
        <w:rPr>
          <w:b/>
          <w:bCs/>
        </w:rPr>
      </w:pPr>
      <w:r w:rsidRPr="00E17A70">
        <w:rPr>
          <w:b/>
          <w:bCs/>
        </w:rPr>
        <w:t>1(b)</w:t>
      </w:r>
      <w:r w:rsidRPr="00E17A70">
        <w:rPr>
          <w:b/>
          <w:bCs/>
        </w:rPr>
        <w:tab/>
        <w:t>Short Characterization</w:t>
      </w:r>
    </w:p>
    <w:p w14:paraId="2744B159" w14:textId="77777777" w:rsidR="007B61E5" w:rsidRPr="00E17A70" w:rsidRDefault="007B61E5" w:rsidP="007B61E5">
      <w:pPr>
        <w:ind w:firstLine="720"/>
        <w:rPr>
          <w:bCs/>
        </w:rPr>
      </w:pPr>
    </w:p>
    <w:p w14:paraId="11547A54" w14:textId="7CDB266B" w:rsidR="007B61E5" w:rsidRDefault="007B61E5" w:rsidP="007B61E5">
      <w:pPr>
        <w:ind w:firstLine="720"/>
      </w:pPr>
      <w:r w:rsidRPr="00E17A70">
        <w:t>Section 3001 of the Resource Conservation and Recovery Act (RCRA) of 1976, as amended, requires the Environmental Protection Agency (EPA) to identify which solid wastes are hazardous wastes and therefore must be managed as hazardous waste during treatment, storage, or disposal.</w:t>
      </w:r>
      <w:r w:rsidR="009E136A">
        <w:t xml:space="preserve"> </w:t>
      </w:r>
      <w:r w:rsidRPr="00E17A70">
        <w:t>Under this authority, EPA established four hazardous waste characteristics (toxicity, reactivity, ignitability, and corrosivity), and listed specific wastes that must be managed as hazardous wastes.</w:t>
      </w:r>
      <w:r>
        <w:t xml:space="preserve"> </w:t>
      </w:r>
      <w:r w:rsidR="00487C6E">
        <w:t xml:space="preserve">A small portion of pharmaceuticals are regulated as hazardous waste under </w:t>
      </w:r>
      <w:r w:rsidR="004D0F84">
        <w:t xml:space="preserve">Subtitle C of </w:t>
      </w:r>
      <w:r w:rsidR="009E136A">
        <w:t xml:space="preserve">RCRA when discarded. </w:t>
      </w:r>
      <w:r w:rsidRPr="00E17A70">
        <w:t xml:space="preserve">However, healthcare </w:t>
      </w:r>
      <w:r w:rsidR="00487C6E">
        <w:t xml:space="preserve">(and associated) </w:t>
      </w:r>
      <w:r w:rsidRPr="00E17A70">
        <w:t xml:space="preserve">facilities </w:t>
      </w:r>
      <w:r w:rsidR="00487C6E">
        <w:t xml:space="preserve">that generate hazardous waste pharmaceuticals have </w:t>
      </w:r>
      <w:r w:rsidRPr="00E17A70">
        <w:t>report</w:t>
      </w:r>
      <w:r w:rsidR="00487C6E">
        <w:t>ed having difficulties complying with the manufacturing-oriented framework of the Subtitle C hazardous waste regulations</w:t>
      </w:r>
      <w:r w:rsidR="004D0F84">
        <w:t xml:space="preserve"> for several reasons, including the following:</w:t>
      </w:r>
      <w:r w:rsidRPr="00E17A70">
        <w:t xml:space="preserve"> </w:t>
      </w:r>
    </w:p>
    <w:p w14:paraId="70E59791" w14:textId="77777777" w:rsidR="004D0F84" w:rsidRDefault="004D0F84" w:rsidP="007B61E5">
      <w:pPr>
        <w:ind w:firstLine="720"/>
      </w:pPr>
    </w:p>
    <w:p w14:paraId="32F49894" w14:textId="77777777" w:rsidR="004D0F84" w:rsidRDefault="004D0F84" w:rsidP="004D0F84">
      <w:pPr>
        <w:numPr>
          <w:ilvl w:val="0"/>
          <w:numId w:val="13"/>
        </w:numPr>
      </w:pPr>
      <w:r>
        <w:t>Healthcare workers are typically unfamiliar with the hazardous waste regulations, as their primary focus is to provide healthcare to their patients.</w:t>
      </w:r>
    </w:p>
    <w:p w14:paraId="6C8E25D4" w14:textId="77777777" w:rsidR="004D0F84" w:rsidRDefault="004D0F84" w:rsidP="004D0F84"/>
    <w:p w14:paraId="244E1B78" w14:textId="77777777" w:rsidR="004D0F84" w:rsidRDefault="004D0F84" w:rsidP="004D0F84">
      <w:pPr>
        <w:numPr>
          <w:ilvl w:val="0"/>
          <w:numId w:val="13"/>
        </w:numPr>
      </w:pPr>
      <w:r>
        <w:t xml:space="preserve">Healthcare facilities </w:t>
      </w:r>
      <w:r w:rsidR="005D44A1">
        <w:t>stock</w:t>
      </w:r>
      <w:r>
        <w:t xml:space="preserve"> thousands of items in their </w:t>
      </w:r>
      <w:r w:rsidR="005D44A1">
        <w:t xml:space="preserve">drug </w:t>
      </w:r>
      <w:r>
        <w:t>formular</w:t>
      </w:r>
      <w:r w:rsidR="005D44A1">
        <w:t>ies</w:t>
      </w:r>
      <w:r>
        <w:t xml:space="preserve"> and may find it difficult to ascertain which </w:t>
      </w:r>
      <w:r w:rsidR="00CA0E7D">
        <w:t xml:space="preserve">items </w:t>
      </w:r>
      <w:r>
        <w:t>are hazardous wastes when disposed.</w:t>
      </w:r>
    </w:p>
    <w:p w14:paraId="6380A255" w14:textId="77777777" w:rsidR="004D0F84" w:rsidRDefault="004D0F84" w:rsidP="004D0F84">
      <w:pPr>
        <w:pStyle w:val="ListParagraph"/>
      </w:pPr>
    </w:p>
    <w:p w14:paraId="58E08B9E" w14:textId="77777777" w:rsidR="00CA0E7D" w:rsidRDefault="00CA0E7D" w:rsidP="00CA0E7D">
      <w:pPr>
        <w:numPr>
          <w:ilvl w:val="0"/>
          <w:numId w:val="13"/>
        </w:numPr>
      </w:pPr>
      <w:r>
        <w:t xml:space="preserve">Some pharmaceuticals are listed as acute hazardous wastes under RCRA, which are stringently regulated even in small amounts.  </w:t>
      </w:r>
    </w:p>
    <w:p w14:paraId="39590617" w14:textId="77777777" w:rsidR="00CA0E7D" w:rsidRPr="00E17A70" w:rsidRDefault="00CA0E7D" w:rsidP="00CA0E7D"/>
    <w:p w14:paraId="274B6418" w14:textId="0F79FAEC" w:rsidR="001D4C75" w:rsidRDefault="00CA0E7D" w:rsidP="00DC64D8">
      <w:pPr>
        <w:ind w:firstLine="720"/>
      </w:pPr>
      <w:r>
        <w:t xml:space="preserve">To facilitate compliance and to respond </w:t>
      </w:r>
      <w:r w:rsidR="00FC7EF8">
        <w:t>to the above concerns, EPA is revising</w:t>
      </w:r>
      <w:r w:rsidR="00DC64D8">
        <w:t xml:space="preserve"> the regulations to improve management and disposal of hazardous waste pharmaceuticals</w:t>
      </w:r>
      <w:r w:rsidR="007F6D84">
        <w:t xml:space="preserve"> and tailor them to address the specific issues that hospitals, pharmacies and other healthcare-related facilities face</w:t>
      </w:r>
      <w:r w:rsidR="00131F5C">
        <w:t>. T</w:t>
      </w:r>
      <w:r w:rsidR="00DC64D8">
        <w:t xml:space="preserve">he revisions are also intended to clarify regulation of </w:t>
      </w:r>
      <w:r w:rsidR="007F6D84">
        <w:t>the reverse distribution</w:t>
      </w:r>
      <w:r w:rsidR="00DC64D8">
        <w:t xml:space="preserve"> mechanism used by healthcare facilities for management of unused </w:t>
      </w:r>
      <w:r w:rsidR="00131F5C">
        <w:t>and/or expired pharmaceuticals.</w:t>
      </w:r>
      <w:r w:rsidR="00DC64D8">
        <w:t xml:space="preserve"> In 2008, the Agency proposed to address pharmaceutical hazardous waste management issues by adding them to the Universal Waste </w:t>
      </w:r>
      <w:r w:rsidR="005D44A1">
        <w:t>program</w:t>
      </w:r>
      <w:r w:rsidR="006C1E7C">
        <w:t xml:space="preserve"> </w:t>
      </w:r>
      <w:r w:rsidR="006C1E7C" w:rsidRPr="009F1650">
        <w:t>(73 FR 73520; December 2, 2008)</w:t>
      </w:r>
      <w:r w:rsidR="00131F5C">
        <w:t>.  I</w:t>
      </w:r>
      <w:r w:rsidR="00DC64D8">
        <w:t>n order to address the adverse comments receiv</w:t>
      </w:r>
      <w:r w:rsidR="00131F5C">
        <w:t xml:space="preserve">ed on the 2008 proposal, EPA </w:t>
      </w:r>
      <w:r w:rsidR="00131F5C" w:rsidRPr="00131F5C">
        <w:t>then re-proposed</w:t>
      </w:r>
      <w:r w:rsidR="00DC64D8">
        <w:t xml:space="preserve"> </w:t>
      </w:r>
      <w:r w:rsidR="005D44A1">
        <w:t xml:space="preserve">sector </w:t>
      </w:r>
      <w:r w:rsidR="00DC64D8">
        <w:t>specific regulations for the management of hazardous waste pharmaceuticals</w:t>
      </w:r>
      <w:r w:rsidR="00131F5C">
        <w:t xml:space="preserve"> (80 FR 58014; September 25, 2015)</w:t>
      </w:r>
      <w:r w:rsidR="00DC64D8">
        <w:t>.</w:t>
      </w:r>
      <w:r w:rsidR="00131F5C">
        <w:t xml:space="preserve"> EPA is no</w:t>
      </w:r>
      <w:r w:rsidR="009E136A">
        <w:t>w</w:t>
      </w:r>
      <w:r w:rsidR="00131F5C">
        <w:t xml:space="preserve"> finalizing the sector specific regulations for the management of hazardous waste pharmaceuticals.</w:t>
      </w:r>
    </w:p>
    <w:p w14:paraId="124BA7FD" w14:textId="77777777" w:rsidR="009F1650" w:rsidRDefault="009F1650" w:rsidP="00DC64D8">
      <w:pPr>
        <w:ind w:firstLine="720"/>
      </w:pPr>
    </w:p>
    <w:p w14:paraId="7B786262" w14:textId="19CBE81C" w:rsidR="009F1650" w:rsidRDefault="009F1650" w:rsidP="009F1650">
      <w:pPr>
        <w:ind w:firstLine="720"/>
      </w:pPr>
      <w:r w:rsidRPr="009F1650">
        <w:t>EPA is add</w:t>
      </w:r>
      <w:r w:rsidR="006C1E7C">
        <w:t>ing</w:t>
      </w:r>
      <w:r w:rsidRPr="009F1650">
        <w:t xml:space="preserve"> a new subpart P under part 266. This new subpart is a tailored, sector-specific regulatory framework for managing hazardous waste pharmaceuticals at healthcare facilities and reverse distributors.</w:t>
      </w:r>
      <w:r w:rsidR="006C1E7C">
        <w:t xml:space="preserve"> </w:t>
      </w:r>
      <w:r w:rsidR="00131F5C">
        <w:t>H</w:t>
      </w:r>
      <w:r w:rsidRPr="009F1650">
        <w:t xml:space="preserve">ealthcare facilities that are currently small quantity generators (SQGs) or large quantity generators (LQGs) and all reverse distributors, regardless of RCRA generator category, will be required to manage hazardous waste pharmaceuticals under this new subpart P of part 266, in lieu of part 262. That is, the </w:t>
      </w:r>
      <w:r w:rsidR="00131F5C">
        <w:t>final</w:t>
      </w:r>
      <w:r w:rsidRPr="009F1650">
        <w:t xml:space="preserve"> standards are not an optional alternative to managing hazardous waste pharmaceuticals under part 262, they are mandatory standards. </w:t>
      </w:r>
    </w:p>
    <w:p w14:paraId="546342C2" w14:textId="77777777" w:rsidR="006C1E7C" w:rsidRDefault="006C1E7C" w:rsidP="009F1650">
      <w:pPr>
        <w:ind w:firstLine="720"/>
      </w:pPr>
    </w:p>
    <w:p w14:paraId="7F0501BC" w14:textId="063CF5B3" w:rsidR="009F1650" w:rsidRDefault="009E136A" w:rsidP="009F1650">
      <w:pPr>
        <w:ind w:firstLine="720"/>
      </w:pPr>
      <w:r>
        <w:t>H</w:t>
      </w:r>
      <w:r w:rsidR="009F1650" w:rsidRPr="009F1650">
        <w:t xml:space="preserve">ealthcare facilities will have different management standards for their non-creditable and </w:t>
      </w:r>
      <w:r w:rsidR="00131F5C">
        <w:t xml:space="preserve">potentially </w:t>
      </w:r>
      <w:r w:rsidR="009F1650" w:rsidRPr="009F1650">
        <w:t>creditable hazardous waste pharmaceuticals.</w:t>
      </w:r>
      <w:r w:rsidR="006C1E7C">
        <w:t xml:space="preserve"> </w:t>
      </w:r>
      <w:r w:rsidR="009F1650" w:rsidRPr="009F1650">
        <w:t>Non-creditable hazardous waste pharmaceuticals will be managed on-site similar to how they would have been under the 2008 Universal Waste proposal for pharmaceutical waste. When they are shipped off-site, they must be transported as hazardous wastes and sent to a RCRA interim status or permitted hazardous waste facility.</w:t>
      </w:r>
      <w:r w:rsidR="006C1E7C">
        <w:t xml:space="preserve"> </w:t>
      </w:r>
      <w:r w:rsidR="009F1650" w:rsidRPr="009F1650">
        <w:t xml:space="preserve">On the other hand, healthcare facilities will continue to be allowed to send </w:t>
      </w:r>
      <w:r w:rsidR="00131F5C">
        <w:t xml:space="preserve">potentially </w:t>
      </w:r>
      <w:r w:rsidR="009F1650" w:rsidRPr="009F1650">
        <w:t xml:space="preserve">creditable hazardous waste pharmaceuticals to reverse distributors for </w:t>
      </w:r>
      <w:r w:rsidR="00131F5C">
        <w:t>verification of</w:t>
      </w:r>
      <w:r w:rsidR="000E5800">
        <w:t xml:space="preserve"> manufacturer</w:t>
      </w:r>
      <w:r w:rsidR="009F1650" w:rsidRPr="009F1650">
        <w:t xml:space="preserve"> credit. EPA is </w:t>
      </w:r>
      <w:r w:rsidR="00131F5C">
        <w:t>finalizing</w:t>
      </w:r>
      <w:r w:rsidR="009F1650" w:rsidRPr="009F1650">
        <w:t xml:space="preserve"> standards to ensure the safe and secure delivery of the</w:t>
      </w:r>
      <w:r w:rsidR="00A56B9E">
        <w:t xml:space="preserve"> potentially</w:t>
      </w:r>
      <w:r w:rsidR="009F1650" w:rsidRPr="009F1650">
        <w:t xml:space="preserve"> creditable hazardous waste pharmaceuticals to reverse distributors. </w:t>
      </w:r>
    </w:p>
    <w:p w14:paraId="7E2093C3" w14:textId="77777777" w:rsidR="006C1E7C" w:rsidRPr="009F1650" w:rsidRDefault="006C1E7C" w:rsidP="009F1650">
      <w:pPr>
        <w:ind w:firstLine="720"/>
      </w:pPr>
    </w:p>
    <w:p w14:paraId="42D19374" w14:textId="36BE3052" w:rsidR="009F1650" w:rsidRPr="009F1650" w:rsidRDefault="009F1650" w:rsidP="009F1650">
      <w:pPr>
        <w:ind w:firstLine="720"/>
      </w:pPr>
      <w:r w:rsidRPr="009F1650">
        <w:t xml:space="preserve">EPA is also </w:t>
      </w:r>
      <w:r w:rsidR="00A56B9E">
        <w:t>finalizing</w:t>
      </w:r>
      <w:r w:rsidRPr="009F1650">
        <w:t xml:space="preserve"> standards for the accumulation of the hazardous waste pharmaceuticals at reverse distributors. </w:t>
      </w:r>
      <w:r w:rsidR="00B70297">
        <w:t xml:space="preserve">The </w:t>
      </w:r>
      <w:r w:rsidR="00A56B9E">
        <w:t>standards</w:t>
      </w:r>
      <w:r w:rsidRPr="009F1650">
        <w:t xml:space="preserve"> </w:t>
      </w:r>
      <w:r w:rsidR="00A56B9E">
        <w:t>regard</w:t>
      </w:r>
      <w:r w:rsidR="005D44A1">
        <w:t xml:space="preserve"> reverse distributors as a new type of</w:t>
      </w:r>
      <w:r w:rsidRPr="009F1650">
        <w:t xml:space="preserve"> hazardous waste </w:t>
      </w:r>
      <w:r w:rsidR="005D44A1">
        <w:t>enti</w:t>
      </w:r>
      <w:r w:rsidRPr="009F1650">
        <w:t xml:space="preserve">ty called </w:t>
      </w:r>
      <w:r w:rsidR="00A56B9E">
        <w:t xml:space="preserve">reverse distributors. </w:t>
      </w:r>
      <w:r w:rsidRPr="009F1650">
        <w:t xml:space="preserve">The standards for reverse distributors are, in many respects, similar to the LQGs standards, with some supplementary standards that were added to respond to commenters’ concerns. </w:t>
      </w:r>
    </w:p>
    <w:p w14:paraId="7D12AD77" w14:textId="77777777" w:rsidR="009F1650" w:rsidRDefault="009F1650" w:rsidP="001D4C75">
      <w:pPr>
        <w:ind w:firstLine="720"/>
      </w:pPr>
    </w:p>
    <w:p w14:paraId="5095B6C0" w14:textId="6BA84D0E" w:rsidR="00457AB4" w:rsidRDefault="009F1650" w:rsidP="001D4C75">
      <w:pPr>
        <w:ind w:firstLine="720"/>
      </w:pPr>
      <w:r>
        <w:t xml:space="preserve">The key provisions of EPA’s </w:t>
      </w:r>
      <w:r w:rsidR="00A56B9E">
        <w:t>final rule</w:t>
      </w:r>
      <w:r>
        <w:t xml:space="preserve"> are:</w:t>
      </w:r>
    </w:p>
    <w:p w14:paraId="1D80F60F" w14:textId="40238EC8" w:rsidR="004E49AB" w:rsidRPr="00457AB4" w:rsidRDefault="004E49AB" w:rsidP="009E136A">
      <w:pPr>
        <w:rPr>
          <w:b/>
          <w:szCs w:val="28"/>
        </w:rPr>
      </w:pPr>
    </w:p>
    <w:p w14:paraId="776C62AE" w14:textId="77777777" w:rsidR="00457AB4" w:rsidRPr="004E49AB" w:rsidRDefault="00457AB4" w:rsidP="00457AB4">
      <w:pPr>
        <w:numPr>
          <w:ilvl w:val="0"/>
          <w:numId w:val="15"/>
        </w:numPr>
        <w:rPr>
          <w:b/>
          <w:szCs w:val="28"/>
        </w:rPr>
      </w:pPr>
      <w:r>
        <w:t>Hazardous waste pharmaceuticals managed under the new rule are not counted toward a facility’s RCRA generator status.</w:t>
      </w:r>
    </w:p>
    <w:p w14:paraId="301F2D72" w14:textId="3A2CA1AF" w:rsidR="004E49AB" w:rsidRPr="00457AB4" w:rsidRDefault="004E49AB" w:rsidP="009E136A">
      <w:pPr>
        <w:rPr>
          <w:b/>
          <w:szCs w:val="28"/>
        </w:rPr>
      </w:pPr>
    </w:p>
    <w:p w14:paraId="58F88CBB" w14:textId="22A340AD" w:rsidR="009E136A" w:rsidRPr="009E136A" w:rsidRDefault="00457AB4" w:rsidP="00457AB4">
      <w:pPr>
        <w:numPr>
          <w:ilvl w:val="0"/>
          <w:numId w:val="15"/>
        </w:numPr>
        <w:rPr>
          <w:b/>
          <w:szCs w:val="28"/>
        </w:rPr>
      </w:pPr>
      <w:r>
        <w:t>Reverse distributors must comply with LQG-like standards regardless of the quantit</w:t>
      </w:r>
      <w:r w:rsidR="004E49AB">
        <w:t>y of hazardous waste pharmaceuticals that they manage.</w:t>
      </w:r>
    </w:p>
    <w:p w14:paraId="656A6A02" w14:textId="77777777" w:rsidR="009E136A" w:rsidRDefault="009E136A" w:rsidP="009E136A">
      <w:pPr>
        <w:pStyle w:val="ListParagraph"/>
        <w:rPr>
          <w:b/>
          <w:szCs w:val="28"/>
        </w:rPr>
      </w:pPr>
    </w:p>
    <w:p w14:paraId="6BF4F560" w14:textId="21B9849E" w:rsidR="009E136A" w:rsidRPr="009E136A" w:rsidRDefault="009E136A" w:rsidP="00457AB4">
      <w:pPr>
        <w:numPr>
          <w:ilvl w:val="0"/>
          <w:numId w:val="15"/>
        </w:numPr>
        <w:rPr>
          <w:szCs w:val="28"/>
        </w:rPr>
      </w:pPr>
      <w:r w:rsidRPr="009E136A">
        <w:rPr>
          <w:szCs w:val="28"/>
        </w:rPr>
        <w:t>FDA approved</w:t>
      </w:r>
      <w:r>
        <w:rPr>
          <w:szCs w:val="28"/>
        </w:rPr>
        <w:t xml:space="preserve"> over-the-counter nicotine replacement therapies, such as patches, gums, and lozenges, will no longer by managed as hazardous waste.</w:t>
      </w:r>
    </w:p>
    <w:p w14:paraId="32B92062" w14:textId="77777777" w:rsidR="009E136A" w:rsidRDefault="009E136A" w:rsidP="009E136A">
      <w:pPr>
        <w:pStyle w:val="ListParagraph"/>
      </w:pPr>
    </w:p>
    <w:p w14:paraId="32640FAC" w14:textId="07CEE385" w:rsidR="009E136A" w:rsidRPr="00B70297" w:rsidRDefault="009E136A" w:rsidP="009E136A">
      <w:pPr>
        <w:numPr>
          <w:ilvl w:val="0"/>
          <w:numId w:val="15"/>
        </w:numPr>
        <w:rPr>
          <w:b/>
          <w:szCs w:val="28"/>
        </w:rPr>
      </w:pPr>
      <w:r>
        <w:t>Sewer disposal of hazardous waste pharmaceuticals is prohibited.</w:t>
      </w:r>
    </w:p>
    <w:p w14:paraId="6AC0406B" w14:textId="77777777" w:rsidR="00B70297" w:rsidRDefault="00B70297" w:rsidP="00B70297">
      <w:pPr>
        <w:pStyle w:val="ListParagraph"/>
        <w:rPr>
          <w:b/>
          <w:szCs w:val="28"/>
        </w:rPr>
      </w:pPr>
    </w:p>
    <w:p w14:paraId="26FB13D9" w14:textId="6A6DF14B" w:rsidR="00B70297" w:rsidRDefault="00B70297" w:rsidP="00B70297">
      <w:pPr>
        <w:ind w:left="720"/>
        <w:rPr>
          <w:b/>
          <w:szCs w:val="28"/>
        </w:rPr>
      </w:pPr>
    </w:p>
    <w:p w14:paraId="16CEBC97" w14:textId="14E51360" w:rsidR="00B70297" w:rsidRDefault="005F74DD" w:rsidP="00B70297">
      <w:pPr>
        <w:ind w:firstLine="360"/>
        <w:rPr>
          <w:szCs w:val="28"/>
        </w:rPr>
      </w:pPr>
      <w:r w:rsidRPr="00E17A70">
        <w:t xml:space="preserve">The requirements covered in this ICR are </w:t>
      </w:r>
      <w:r>
        <w:t xml:space="preserve">for the requirements that healthcare facilities (including retail facilities) and reverse distributors managing hazardous waste pharmaceuticals have under 40 CFR part 266 subpart P. </w:t>
      </w:r>
      <w:r>
        <w:rPr>
          <w:szCs w:val="28"/>
        </w:rPr>
        <w:t xml:space="preserve">The </w:t>
      </w:r>
      <w:r w:rsidR="00B70297">
        <w:rPr>
          <w:szCs w:val="28"/>
        </w:rPr>
        <w:t xml:space="preserve">final </w:t>
      </w:r>
      <w:r>
        <w:rPr>
          <w:szCs w:val="28"/>
        </w:rPr>
        <w:t>rule is expected to result in a</w:t>
      </w:r>
      <w:r w:rsidR="00B70297">
        <w:rPr>
          <w:szCs w:val="28"/>
        </w:rPr>
        <w:t xml:space="preserve"> reduction in paperwork burden for </w:t>
      </w:r>
      <w:r>
        <w:rPr>
          <w:szCs w:val="28"/>
        </w:rPr>
        <w:t>a subset of</w:t>
      </w:r>
      <w:r w:rsidR="0082318E">
        <w:rPr>
          <w:szCs w:val="28"/>
        </w:rPr>
        <w:t xml:space="preserve"> </w:t>
      </w:r>
      <w:r w:rsidR="00B70297">
        <w:rPr>
          <w:szCs w:val="28"/>
        </w:rPr>
        <w:t xml:space="preserve">facilities. For example, EPA expects that many facilities will be able to operate as very small quantity generators (VSQGs) rather than large quantity generators (LQGs) as a result of the exemption for FDA approved over-the-counter nicotine replacement therapies.  However, rather than estimating the burden reduction for the affected facilities under this ICR, EPA estimates the total burden </w:t>
      </w:r>
      <w:r w:rsidR="0082318E">
        <w:rPr>
          <w:szCs w:val="28"/>
        </w:rPr>
        <w:t>to</w:t>
      </w:r>
      <w:r w:rsidR="00B70297">
        <w:rPr>
          <w:szCs w:val="28"/>
        </w:rPr>
        <w:t xml:space="preserve"> reverse distributors and healthcare facilities </w:t>
      </w:r>
      <w:r w:rsidR="004C1C9F">
        <w:rPr>
          <w:szCs w:val="28"/>
        </w:rPr>
        <w:t>for the paperwork requirements under subpart P</w:t>
      </w:r>
      <w:r w:rsidR="00B70297">
        <w:rPr>
          <w:szCs w:val="28"/>
        </w:rPr>
        <w:t xml:space="preserve">. In a separate action, EPA will amend the base Hazardous Waste </w:t>
      </w:r>
      <w:r w:rsidR="004C1C9F">
        <w:rPr>
          <w:szCs w:val="28"/>
        </w:rPr>
        <w:t>Generator</w:t>
      </w:r>
      <w:r w:rsidR="0082318E">
        <w:rPr>
          <w:szCs w:val="28"/>
        </w:rPr>
        <w:t xml:space="preserve"> Standards</w:t>
      </w:r>
      <w:r w:rsidR="004C1C9F">
        <w:rPr>
          <w:szCs w:val="28"/>
        </w:rPr>
        <w:t xml:space="preserve"> ICR to reflect the burden reduction that results from this final rule.</w:t>
      </w:r>
      <w:r w:rsidR="0082318E" w:rsidRPr="00E06060">
        <w:rPr>
          <w:rStyle w:val="FootnoteReference"/>
          <w:szCs w:val="28"/>
          <w:vertAlign w:val="superscript"/>
        </w:rPr>
        <w:footnoteReference w:id="1"/>
      </w:r>
      <w:r w:rsidR="004C1C9F">
        <w:rPr>
          <w:szCs w:val="28"/>
        </w:rPr>
        <w:t xml:space="preserve"> The burden reduction from the final rule </w:t>
      </w:r>
      <w:r w:rsidR="0082318E">
        <w:rPr>
          <w:szCs w:val="28"/>
        </w:rPr>
        <w:t>is due to the fact that many</w:t>
      </w:r>
      <w:r w:rsidR="004C1C9F">
        <w:rPr>
          <w:szCs w:val="28"/>
        </w:rPr>
        <w:t xml:space="preserve"> facilities </w:t>
      </w:r>
      <w:r w:rsidR="0082318E">
        <w:rPr>
          <w:szCs w:val="28"/>
        </w:rPr>
        <w:t xml:space="preserve">will </w:t>
      </w:r>
      <w:r w:rsidR="00E06060">
        <w:rPr>
          <w:szCs w:val="28"/>
        </w:rPr>
        <w:t>experience a change in generator category from LQG to VSQG</w:t>
      </w:r>
      <w:r w:rsidR="004C1C9F">
        <w:rPr>
          <w:szCs w:val="28"/>
        </w:rPr>
        <w:t>, and therefore EPA will amend the base Hazardous Waste Generator ICR to remove the facilities</w:t>
      </w:r>
      <w:r w:rsidR="00364231">
        <w:rPr>
          <w:szCs w:val="28"/>
        </w:rPr>
        <w:t xml:space="preserve"> from the universe</w:t>
      </w:r>
      <w:r w:rsidR="004C1C9F">
        <w:rPr>
          <w:szCs w:val="28"/>
        </w:rPr>
        <w:t xml:space="preserve"> that are no longer expected to </w:t>
      </w:r>
      <w:r w:rsidR="00E06060">
        <w:rPr>
          <w:szCs w:val="28"/>
        </w:rPr>
        <w:t>comply with the standards for LQGs.</w:t>
      </w:r>
    </w:p>
    <w:p w14:paraId="2C2F2B55" w14:textId="77777777" w:rsidR="00B70297" w:rsidRDefault="00B70297" w:rsidP="00B70297">
      <w:pPr>
        <w:ind w:firstLine="360"/>
        <w:rPr>
          <w:szCs w:val="28"/>
        </w:rPr>
      </w:pPr>
    </w:p>
    <w:p w14:paraId="371F3B5E" w14:textId="1DB08EEE" w:rsidR="007B61E5" w:rsidRPr="00E17A70" w:rsidRDefault="007B61E5" w:rsidP="00B70297">
      <w:pPr>
        <w:ind w:firstLine="360"/>
        <w:rPr>
          <w:b/>
          <w:szCs w:val="28"/>
        </w:rPr>
      </w:pPr>
      <w:r w:rsidRPr="00E17A70">
        <w:rPr>
          <w:b/>
          <w:szCs w:val="28"/>
        </w:rPr>
        <w:t>2.</w:t>
      </w:r>
      <w:r w:rsidRPr="00E17A70">
        <w:rPr>
          <w:b/>
          <w:szCs w:val="28"/>
        </w:rPr>
        <w:tab/>
        <w:t>NEED FOR AND USE OF THE COLLECTION</w:t>
      </w:r>
    </w:p>
    <w:p w14:paraId="44354D87" w14:textId="77777777" w:rsidR="007B61E5" w:rsidRPr="00E17A70" w:rsidRDefault="007B61E5" w:rsidP="007B61E5">
      <w:pPr>
        <w:jc w:val="both"/>
        <w:rPr>
          <w:szCs w:val="28"/>
        </w:rPr>
      </w:pPr>
    </w:p>
    <w:p w14:paraId="4BEC1FB7" w14:textId="77777777" w:rsidR="007B61E5" w:rsidRPr="00E17A70" w:rsidRDefault="007B61E5" w:rsidP="007B61E5">
      <w:pPr>
        <w:ind w:firstLine="720"/>
        <w:jc w:val="both"/>
        <w:rPr>
          <w:b/>
          <w:bCs/>
          <w:u w:val="single"/>
        </w:rPr>
      </w:pPr>
      <w:r w:rsidRPr="00E17A70">
        <w:rPr>
          <w:b/>
          <w:bCs/>
        </w:rPr>
        <w:t xml:space="preserve">2(a) </w:t>
      </w:r>
      <w:r w:rsidRPr="00E17A70">
        <w:rPr>
          <w:b/>
          <w:bCs/>
        </w:rPr>
        <w:tab/>
        <w:t>Need and Authority for the Collection</w:t>
      </w:r>
      <w:r w:rsidRPr="00E17A70">
        <w:rPr>
          <w:b/>
          <w:bCs/>
          <w:u w:val="single"/>
        </w:rPr>
        <w:t xml:space="preserve"> </w:t>
      </w:r>
    </w:p>
    <w:p w14:paraId="3C8989FF" w14:textId="77777777" w:rsidR="007B61E5" w:rsidRPr="00E17A70" w:rsidRDefault="007B61E5" w:rsidP="007B61E5">
      <w:pPr>
        <w:ind w:firstLine="720"/>
        <w:jc w:val="both"/>
      </w:pPr>
    </w:p>
    <w:p w14:paraId="037FBF4D" w14:textId="4ED412CA" w:rsidR="007B61E5" w:rsidRPr="00E17A70" w:rsidRDefault="007B61E5" w:rsidP="007B61E5">
      <w:pPr>
        <w:ind w:firstLine="720"/>
      </w:pPr>
      <w:r w:rsidRPr="00E17A70">
        <w:t xml:space="preserve">The requirements covered in this ICR are necessary for EPA to </w:t>
      </w:r>
      <w:r w:rsidR="00343B2A">
        <w:t>identify the universe of healthcare facilities</w:t>
      </w:r>
      <w:r w:rsidR="00951615">
        <w:t xml:space="preserve"> (including retail facilities)</w:t>
      </w:r>
      <w:r w:rsidR="00343B2A">
        <w:t xml:space="preserve"> </w:t>
      </w:r>
      <w:r w:rsidR="005D44A1">
        <w:t xml:space="preserve">and reverse distributors </w:t>
      </w:r>
      <w:r w:rsidR="00343B2A">
        <w:t>managing hazardous waste pharmaceuticals under 40 CFR part 266 su</w:t>
      </w:r>
      <w:r w:rsidR="00B30986">
        <w:t>b</w:t>
      </w:r>
      <w:r w:rsidR="00343B2A">
        <w:t>part P.</w:t>
      </w:r>
      <w:r w:rsidR="00B30986">
        <w:t xml:space="preserve"> </w:t>
      </w:r>
      <w:r>
        <w:t xml:space="preserve"> </w:t>
      </w:r>
      <w:r w:rsidRPr="00E17A70">
        <w:t xml:space="preserve">The notification requirements are needed </w:t>
      </w:r>
      <w:r w:rsidR="00FF4739">
        <w:t xml:space="preserve">to </w:t>
      </w:r>
      <w:r w:rsidR="00863282">
        <w:t>assist the Agency</w:t>
      </w:r>
      <w:r w:rsidR="00FF4739">
        <w:t xml:space="preserve"> </w:t>
      </w:r>
      <w:r w:rsidR="00863282">
        <w:t xml:space="preserve">and regulated facilities </w:t>
      </w:r>
      <w:r w:rsidR="00FF4739">
        <w:t>in</w:t>
      </w:r>
      <w:r w:rsidR="000C1AA3">
        <w:t xml:space="preserve"> tracking hazardous waste pharmaceuticals</w:t>
      </w:r>
      <w:r w:rsidR="00863282">
        <w:t>.</w:t>
      </w:r>
      <w:r w:rsidR="004E49AB">
        <w:t xml:space="preserve"> </w:t>
      </w:r>
      <w:r w:rsidR="000C1AA3">
        <w:t xml:space="preserve"> </w:t>
      </w:r>
      <w:r w:rsidR="00951615" w:rsidRPr="00951615">
        <w:t xml:space="preserve">In addition, the </w:t>
      </w:r>
      <w:r w:rsidR="00951615">
        <w:t>tracking</w:t>
      </w:r>
      <w:r w:rsidR="00951615" w:rsidRPr="00951615">
        <w:t xml:space="preserve"> </w:t>
      </w:r>
      <w:r w:rsidR="00951615">
        <w:t>requirements will help EPA and facilities ensure that hazardous waste pharmaceuticals arrive at their intended destination rather than at facilities not equipped to manage these wastes.</w:t>
      </w:r>
    </w:p>
    <w:p w14:paraId="56DAA146" w14:textId="77777777" w:rsidR="007B61E5" w:rsidRPr="00E17A70" w:rsidRDefault="007B61E5" w:rsidP="007B61E5">
      <w:pPr>
        <w:ind w:firstLine="720"/>
        <w:jc w:val="both"/>
      </w:pPr>
    </w:p>
    <w:p w14:paraId="1C69CC07" w14:textId="77777777" w:rsidR="007B61E5" w:rsidRPr="00E17A70" w:rsidRDefault="007B61E5" w:rsidP="007B61E5">
      <w:pPr>
        <w:ind w:firstLine="720"/>
        <w:jc w:val="both"/>
        <w:rPr>
          <w:b/>
          <w:bCs/>
          <w:u w:val="single"/>
        </w:rPr>
      </w:pPr>
      <w:r w:rsidRPr="00E17A70">
        <w:rPr>
          <w:b/>
          <w:bCs/>
        </w:rPr>
        <w:t xml:space="preserve">2(b) </w:t>
      </w:r>
      <w:r w:rsidRPr="00E17A70">
        <w:rPr>
          <w:b/>
          <w:bCs/>
        </w:rPr>
        <w:tab/>
        <w:t>Practical Utility and Users of the Data</w:t>
      </w:r>
      <w:r w:rsidRPr="00E17A70">
        <w:rPr>
          <w:b/>
          <w:bCs/>
          <w:u w:val="single"/>
        </w:rPr>
        <w:t xml:space="preserve"> </w:t>
      </w:r>
    </w:p>
    <w:p w14:paraId="21C4FAF7" w14:textId="77777777" w:rsidR="007B61E5" w:rsidRPr="00E17A70" w:rsidRDefault="007B61E5" w:rsidP="007B61E5">
      <w:pPr>
        <w:ind w:firstLine="720"/>
        <w:jc w:val="both"/>
      </w:pPr>
    </w:p>
    <w:p w14:paraId="1CDCA814" w14:textId="792A45E6" w:rsidR="007B61E5" w:rsidRPr="00E17A70" w:rsidRDefault="007B61E5" w:rsidP="007B61E5">
      <w:pPr>
        <w:ind w:firstLine="720"/>
        <w:rPr>
          <w:szCs w:val="28"/>
        </w:rPr>
      </w:pPr>
      <w:r w:rsidRPr="00E17A70">
        <w:t xml:space="preserve">EPA will use the collected information to ensure that </w:t>
      </w:r>
      <w:r w:rsidR="00863282">
        <w:t>hazardous waste</w:t>
      </w:r>
      <w:r w:rsidRPr="00E17A70">
        <w:t xml:space="preserve"> </w:t>
      </w:r>
      <w:r w:rsidR="00863282">
        <w:t>pharmaceuticals</w:t>
      </w:r>
      <w:r w:rsidRPr="00E17A70">
        <w:t xml:space="preserve"> are being managed in a protective manner.</w:t>
      </w:r>
      <w:r>
        <w:t xml:space="preserve"> </w:t>
      </w:r>
      <w:r w:rsidR="00863282">
        <w:t xml:space="preserve">The tracking requirements ensure that these </w:t>
      </w:r>
      <w:r w:rsidR="005D44A1">
        <w:t xml:space="preserve">hazardous </w:t>
      </w:r>
      <w:r w:rsidR="00863282">
        <w:t xml:space="preserve">wastes arrive at their intended destinations rather than facilities not equipped to manage these </w:t>
      </w:r>
      <w:r w:rsidR="005D44A1">
        <w:t xml:space="preserve">hazardous </w:t>
      </w:r>
      <w:r w:rsidR="005F6A5F">
        <w:t xml:space="preserve">wastes. </w:t>
      </w:r>
      <w:r w:rsidR="00863282">
        <w:t>These tracking requirements will also help facilities identify shipments that do not arrive at their destination as planned, allowing generators to take corrective action that will ensure that future shipments are transported to the appropriate location.</w:t>
      </w:r>
      <w:r w:rsidR="001B6392">
        <w:t xml:space="preserve"> In a</w:t>
      </w:r>
      <w:r w:rsidRPr="00E17A70">
        <w:t>ddition,</w:t>
      </w:r>
      <w:r w:rsidR="00021518">
        <w:t xml:space="preserve"> during a facility inspection,</w:t>
      </w:r>
      <w:r w:rsidRPr="00E17A70">
        <w:t xml:space="preserve"> information kept in facility records will help </w:t>
      </w:r>
      <w:r w:rsidR="001B6392">
        <w:t xml:space="preserve">EPA and state environmental regulatory agencies determine </w:t>
      </w:r>
      <w:r w:rsidR="00021518">
        <w:t>whether or not</w:t>
      </w:r>
      <w:r w:rsidR="001B6392">
        <w:t xml:space="preserve"> regulatory requirements are </w:t>
      </w:r>
      <w:r w:rsidR="00021518">
        <w:t>being followed</w:t>
      </w:r>
      <w:r w:rsidRPr="00E17A70">
        <w:t>.</w:t>
      </w:r>
      <w:r>
        <w:t xml:space="preserve"> </w:t>
      </w:r>
      <w:r w:rsidRPr="00E17A70">
        <w:t>In</w:t>
      </w:r>
      <w:r w:rsidR="005F6A5F">
        <w:t xml:space="preserve">formation marked on </w:t>
      </w:r>
      <w:r>
        <w:t>containers will assist handlers</w:t>
      </w:r>
      <w:r w:rsidRPr="00E17A70">
        <w:t xml:space="preserve"> and transporters in ensuring proper management during storage and shipment.</w:t>
      </w:r>
      <w:r w:rsidRPr="00E17A70">
        <w:rPr>
          <w:szCs w:val="28"/>
        </w:rPr>
        <w:t xml:space="preserve"> </w:t>
      </w:r>
    </w:p>
    <w:p w14:paraId="5828D2A4" w14:textId="77777777" w:rsidR="007B61E5" w:rsidRPr="00E17A70" w:rsidRDefault="007B61E5" w:rsidP="007B61E5">
      <w:pPr>
        <w:ind w:firstLine="720"/>
        <w:jc w:val="both"/>
        <w:rPr>
          <w:szCs w:val="28"/>
        </w:rPr>
      </w:pPr>
    </w:p>
    <w:p w14:paraId="3125D371" w14:textId="77777777" w:rsidR="007B61E5" w:rsidRPr="00E17A70" w:rsidRDefault="007B61E5" w:rsidP="007B61E5">
      <w:pPr>
        <w:ind w:left="720" w:hanging="720"/>
        <w:rPr>
          <w:b/>
          <w:szCs w:val="28"/>
        </w:rPr>
      </w:pPr>
      <w:r w:rsidRPr="00E17A70">
        <w:rPr>
          <w:b/>
          <w:szCs w:val="28"/>
        </w:rPr>
        <w:t>3.</w:t>
      </w:r>
      <w:r w:rsidRPr="00E17A70">
        <w:rPr>
          <w:b/>
          <w:szCs w:val="28"/>
        </w:rPr>
        <w:tab/>
        <w:t xml:space="preserve">NONDUPLICATION, CONSULTATIONS, AND OTHER COLLECTION CRITERIA </w:t>
      </w:r>
    </w:p>
    <w:p w14:paraId="132D652E" w14:textId="77777777" w:rsidR="007B61E5" w:rsidRPr="00E17A70" w:rsidRDefault="007B61E5" w:rsidP="007B61E5">
      <w:pPr>
        <w:jc w:val="both"/>
        <w:rPr>
          <w:b/>
          <w:szCs w:val="28"/>
        </w:rPr>
      </w:pPr>
    </w:p>
    <w:p w14:paraId="4F8F41FE" w14:textId="77777777" w:rsidR="007B61E5" w:rsidRPr="00E17A70" w:rsidRDefault="007B61E5" w:rsidP="007B61E5">
      <w:pPr>
        <w:ind w:firstLine="720"/>
        <w:jc w:val="both"/>
        <w:rPr>
          <w:b/>
        </w:rPr>
      </w:pPr>
      <w:r w:rsidRPr="00E17A70">
        <w:rPr>
          <w:b/>
        </w:rPr>
        <w:t>3(a)</w:t>
      </w:r>
      <w:r w:rsidRPr="00E17A70">
        <w:rPr>
          <w:b/>
        </w:rPr>
        <w:tab/>
        <w:t>Nonduplication</w:t>
      </w:r>
    </w:p>
    <w:p w14:paraId="45E39486" w14:textId="77777777" w:rsidR="007B61E5" w:rsidRPr="00E17A70" w:rsidRDefault="007B61E5" w:rsidP="007B61E5">
      <w:pPr>
        <w:ind w:firstLine="720"/>
        <w:jc w:val="both"/>
        <w:rPr>
          <w:b/>
          <w:szCs w:val="28"/>
        </w:rPr>
      </w:pPr>
    </w:p>
    <w:p w14:paraId="46C5BE0F" w14:textId="77777777" w:rsidR="007B61E5" w:rsidRPr="00E17A70" w:rsidRDefault="007B61E5" w:rsidP="007B61E5">
      <w:pPr>
        <w:ind w:firstLine="720"/>
      </w:pPr>
      <w:r w:rsidRPr="00E17A70">
        <w:t xml:space="preserve">None of the information required by the </w:t>
      </w:r>
      <w:r w:rsidR="00313D16">
        <w:t>final</w:t>
      </w:r>
      <w:r w:rsidRPr="00E17A70">
        <w:t xml:space="preserve"> rule would duplicate information required by existing RCRA regulations.</w:t>
      </w:r>
    </w:p>
    <w:p w14:paraId="2B191613" w14:textId="77777777" w:rsidR="007B61E5" w:rsidRPr="00E17A70" w:rsidRDefault="007B61E5" w:rsidP="007B61E5">
      <w:pPr>
        <w:ind w:firstLine="720"/>
      </w:pPr>
    </w:p>
    <w:p w14:paraId="7C709B75" w14:textId="77777777" w:rsidR="007B61E5" w:rsidRPr="00E17A70" w:rsidRDefault="007B61E5" w:rsidP="007B61E5">
      <w:pPr>
        <w:ind w:firstLine="720"/>
        <w:rPr>
          <w:b/>
        </w:rPr>
      </w:pPr>
      <w:r w:rsidRPr="00E17A70">
        <w:rPr>
          <w:b/>
        </w:rPr>
        <w:t>3(b)</w:t>
      </w:r>
      <w:r w:rsidRPr="00E17A70">
        <w:rPr>
          <w:b/>
        </w:rPr>
        <w:tab/>
        <w:t>Public Notice</w:t>
      </w:r>
    </w:p>
    <w:p w14:paraId="0708DF6D" w14:textId="77777777" w:rsidR="007B61E5" w:rsidRPr="00E17A70" w:rsidRDefault="007B61E5" w:rsidP="007B61E5">
      <w:pPr>
        <w:ind w:firstLine="720"/>
        <w:rPr>
          <w:b/>
        </w:rPr>
      </w:pPr>
    </w:p>
    <w:p w14:paraId="7A701F40" w14:textId="151663D4" w:rsidR="00115AF9" w:rsidRDefault="007B61E5" w:rsidP="007B61E5">
      <w:pPr>
        <w:ind w:firstLine="720"/>
      </w:pPr>
      <w:r w:rsidRPr="00E17A70">
        <w:t xml:space="preserve">In compliance with the Paperwork Reduction Act of 1995, EPA </w:t>
      </w:r>
      <w:r w:rsidR="00290200">
        <w:t>open</w:t>
      </w:r>
      <w:r w:rsidR="00313D16">
        <w:t>ed</w:t>
      </w:r>
      <w:r w:rsidR="00290200">
        <w:t xml:space="preserve"> a </w:t>
      </w:r>
      <w:r w:rsidR="00E02E29">
        <w:t>9</w:t>
      </w:r>
      <w:r w:rsidR="00290200">
        <w:t xml:space="preserve">0-day </w:t>
      </w:r>
      <w:r w:rsidRPr="00E17A70">
        <w:t xml:space="preserve">public </w:t>
      </w:r>
      <w:r w:rsidR="00290200">
        <w:t xml:space="preserve">comment period </w:t>
      </w:r>
      <w:r w:rsidR="00313D16">
        <w:t xml:space="preserve">on September 25, 2015 when the </w:t>
      </w:r>
      <w:r w:rsidR="00290200">
        <w:t xml:space="preserve">proposed rule </w:t>
      </w:r>
      <w:r w:rsidR="00313D16">
        <w:t xml:space="preserve">was </w:t>
      </w:r>
      <w:r w:rsidR="00290200">
        <w:t xml:space="preserve">published </w:t>
      </w:r>
      <w:r w:rsidRPr="00E17A70">
        <w:t xml:space="preserve">in the </w:t>
      </w:r>
      <w:r w:rsidRPr="00E17A70">
        <w:rPr>
          <w:i/>
          <w:iCs/>
        </w:rPr>
        <w:t>Federal Register</w:t>
      </w:r>
      <w:r w:rsidRPr="00E17A70">
        <w:t xml:space="preserve">.  To assist the public in commenting on the proposal, EPA raised a </w:t>
      </w:r>
      <w:r w:rsidR="00016DAB">
        <w:t>number of</w:t>
      </w:r>
      <w:r w:rsidRPr="00E17A70">
        <w:t xml:space="preserve"> issues in the preamble to the proposed rule and asked for </w:t>
      </w:r>
      <w:r w:rsidR="005F6A5F">
        <w:t xml:space="preserve">the public to comment on them. </w:t>
      </w:r>
      <w:r w:rsidRPr="00E17A70">
        <w:t>At the end of the comment period,</w:t>
      </w:r>
      <w:r w:rsidR="004E49AB">
        <w:t xml:space="preserve"> </w:t>
      </w:r>
      <w:r w:rsidRPr="00E17A70">
        <w:t>EPA review</w:t>
      </w:r>
      <w:r w:rsidR="00313D16">
        <w:t>ed</w:t>
      </w:r>
      <w:r w:rsidRPr="00E17A70">
        <w:t xml:space="preserve"> public comments received in response to the notice and address</w:t>
      </w:r>
      <w:r w:rsidR="00313D16">
        <w:t>ed</w:t>
      </w:r>
      <w:r w:rsidRPr="00E17A70">
        <w:t xml:space="preserve"> comments received, as appropriate.</w:t>
      </w:r>
    </w:p>
    <w:p w14:paraId="55AC4A0F" w14:textId="77777777" w:rsidR="005D3779" w:rsidRDefault="005D3779" w:rsidP="005D3779"/>
    <w:p w14:paraId="3A6BE578" w14:textId="54E0F88E" w:rsidR="007B61E5" w:rsidRPr="00E17A70" w:rsidRDefault="00115AF9" w:rsidP="005D3779">
      <w:pPr>
        <w:ind w:firstLine="720"/>
      </w:pPr>
      <w:r>
        <w:t xml:space="preserve"> </w:t>
      </w:r>
      <w:r w:rsidR="007B61E5" w:rsidRPr="00E17A70">
        <w:rPr>
          <w:b/>
          <w:bCs/>
        </w:rPr>
        <w:t>3(c)</w:t>
      </w:r>
      <w:r w:rsidR="007B61E5" w:rsidRPr="00E17A70">
        <w:rPr>
          <w:b/>
          <w:bCs/>
        </w:rPr>
        <w:tab/>
        <w:t>Consultations</w:t>
      </w:r>
      <w:r w:rsidR="007B61E5" w:rsidRPr="00E17A70">
        <w:rPr>
          <w:b/>
          <w:bCs/>
        </w:rPr>
        <w:fldChar w:fldCharType="begin"/>
      </w:r>
      <w:r w:rsidR="007B61E5" w:rsidRPr="00E17A70">
        <w:rPr>
          <w:b/>
          <w:bCs/>
        </w:rPr>
        <w:instrText>tc \l2 "3(c)</w:instrText>
      </w:r>
      <w:r w:rsidR="007B61E5" w:rsidRPr="00E17A70">
        <w:rPr>
          <w:b/>
          <w:bCs/>
        </w:rPr>
        <w:tab/>
        <w:instrText>Consultations</w:instrText>
      </w:r>
      <w:r w:rsidR="007B61E5" w:rsidRPr="00E17A70">
        <w:rPr>
          <w:b/>
          <w:bCs/>
        </w:rPr>
        <w:fldChar w:fldCharType="end"/>
      </w:r>
    </w:p>
    <w:p w14:paraId="584EF2F3" w14:textId="77777777" w:rsidR="007B61E5" w:rsidRPr="00E17A70" w:rsidRDefault="007B61E5" w:rsidP="007B61E5">
      <w:pPr>
        <w:ind w:firstLine="720"/>
      </w:pPr>
    </w:p>
    <w:p w14:paraId="67CB439E" w14:textId="794A7718" w:rsidR="007B61E5" w:rsidRPr="00E17A70" w:rsidRDefault="007B61E5" w:rsidP="007B61E5">
      <w:pPr>
        <w:ind w:firstLine="720"/>
      </w:pPr>
      <w:r w:rsidRPr="00E17A70">
        <w:t xml:space="preserve">EPA consulted and collected information from interested parties over several years to support the </w:t>
      </w:r>
      <w:r w:rsidR="005D44A1">
        <w:t xml:space="preserve">proposed </w:t>
      </w:r>
      <w:r w:rsidRPr="00E17A70">
        <w:t>amendment to the U</w:t>
      </w:r>
      <w:r w:rsidR="005D44A1">
        <w:t xml:space="preserve">niversal </w:t>
      </w:r>
      <w:r w:rsidRPr="00E17A70">
        <w:t>W</w:t>
      </w:r>
      <w:r w:rsidR="005D44A1">
        <w:t xml:space="preserve">aste </w:t>
      </w:r>
      <w:r w:rsidRPr="00E17A70">
        <w:t>R</w:t>
      </w:r>
      <w:r w:rsidR="005D44A1">
        <w:t>ule</w:t>
      </w:r>
      <w:r w:rsidR="00271355">
        <w:t xml:space="preserve"> (the </w:t>
      </w:r>
      <w:r w:rsidR="00E02E29">
        <w:t>2008</w:t>
      </w:r>
      <w:r w:rsidR="00271355">
        <w:t xml:space="preserve"> proposal</w:t>
      </w:r>
      <w:r w:rsidR="00E02E29">
        <w:t>)</w:t>
      </w:r>
      <w:r w:rsidR="005F6A5F">
        <w:t xml:space="preserve">. </w:t>
      </w:r>
      <w:r w:rsidRPr="00E17A70">
        <w:t>EPA staff made site visits to hospitals</w:t>
      </w:r>
      <w:r w:rsidR="000E5800">
        <w:t>, reverse distributors,</w:t>
      </w:r>
      <w:r w:rsidRPr="00E17A70">
        <w:t xml:space="preserve"> and other pharmaceutical wa</w:t>
      </w:r>
      <w:r w:rsidR="000E5800">
        <w:t>ste generators, met with retailers</w:t>
      </w:r>
      <w:r w:rsidRPr="00E17A70">
        <w:t xml:space="preserve">, and communicated with states and other </w:t>
      </w:r>
      <w:r w:rsidR="005F6A5F">
        <w:t xml:space="preserve">interested parties. </w:t>
      </w:r>
      <w:r w:rsidRPr="00E17A70">
        <w:t xml:space="preserve">The summaries of the site visits, meetings, and telephone conversations with interested parties are available in the docket for the rule </w:t>
      </w:r>
      <w:r w:rsidRPr="00537BF3">
        <w:t>(Docket ID No.</w:t>
      </w:r>
      <w:r w:rsidR="00537BF3">
        <w:t xml:space="preserve"> </w:t>
      </w:r>
      <w:r w:rsidR="00537BF3" w:rsidRPr="00537BF3">
        <w:t>EPA-HQ-RCRA-2007-0932</w:t>
      </w:r>
      <w:r w:rsidRPr="00537BF3">
        <w:t>).</w:t>
      </w:r>
      <w:r w:rsidR="005F6A5F">
        <w:t xml:space="preserve"> </w:t>
      </w:r>
      <w:r w:rsidR="005D44A1">
        <w:t xml:space="preserve">Additional site visits and consultations </w:t>
      </w:r>
      <w:r w:rsidR="008A3AD2">
        <w:t xml:space="preserve">have been made to support </w:t>
      </w:r>
      <w:r w:rsidR="00E67928">
        <w:t xml:space="preserve">the 2015 </w:t>
      </w:r>
      <w:r w:rsidR="008A3AD2">
        <w:t>proposal</w:t>
      </w:r>
      <w:r w:rsidR="00E67928">
        <w:t xml:space="preserve"> and this final rule</w:t>
      </w:r>
      <w:r w:rsidR="005F6A5F">
        <w:t xml:space="preserve">. </w:t>
      </w:r>
    </w:p>
    <w:p w14:paraId="7BEE0173" w14:textId="77777777" w:rsidR="007B61E5" w:rsidRPr="00E17A70" w:rsidRDefault="007B61E5" w:rsidP="007B61E5">
      <w:pPr>
        <w:ind w:firstLine="720"/>
      </w:pPr>
    </w:p>
    <w:p w14:paraId="74BA9F0C" w14:textId="77777777" w:rsidR="007B61E5" w:rsidRPr="00E17A70" w:rsidRDefault="007B61E5" w:rsidP="007B61E5">
      <w:pPr>
        <w:ind w:firstLine="720"/>
      </w:pPr>
      <w:r w:rsidRPr="00E17A70">
        <w:rPr>
          <w:b/>
          <w:bCs/>
        </w:rPr>
        <w:t xml:space="preserve"> 3(d)</w:t>
      </w:r>
      <w:r w:rsidRPr="00E17A70">
        <w:rPr>
          <w:b/>
          <w:bCs/>
        </w:rPr>
        <w:tab/>
        <w:t>Effects of Less Frequent Collection</w:t>
      </w:r>
      <w:r w:rsidRPr="00E17A70">
        <w:rPr>
          <w:b/>
          <w:bCs/>
        </w:rPr>
        <w:fldChar w:fldCharType="begin"/>
      </w:r>
      <w:r w:rsidRPr="00E17A70">
        <w:rPr>
          <w:b/>
          <w:bCs/>
        </w:rPr>
        <w:instrText>tc \l2 "3(d)</w:instrText>
      </w:r>
      <w:r w:rsidRPr="00E17A70">
        <w:rPr>
          <w:b/>
          <w:bCs/>
        </w:rPr>
        <w:tab/>
        <w:instrText>Effects of Less Frequent Collection</w:instrText>
      </w:r>
      <w:r w:rsidRPr="00E17A70">
        <w:rPr>
          <w:b/>
          <w:bCs/>
        </w:rPr>
        <w:fldChar w:fldCharType="end"/>
      </w:r>
    </w:p>
    <w:p w14:paraId="36747C62" w14:textId="77777777" w:rsidR="007B61E5" w:rsidRPr="00E17A70" w:rsidRDefault="007B61E5" w:rsidP="007B61E5">
      <w:pPr>
        <w:ind w:firstLine="720"/>
      </w:pPr>
    </w:p>
    <w:p w14:paraId="2DD47A2B" w14:textId="284DB27F" w:rsidR="007B61E5" w:rsidRPr="00E17A70" w:rsidRDefault="007B61E5" w:rsidP="007B61E5">
      <w:pPr>
        <w:ind w:firstLine="720"/>
      </w:pPr>
      <w:r w:rsidRPr="00E17A70">
        <w:t xml:space="preserve">EPA has carefully considered the burden imposed upon the regulated community by the </w:t>
      </w:r>
      <w:r w:rsidR="00E67928">
        <w:t>final</w:t>
      </w:r>
      <w:r w:rsidR="00E67928" w:rsidRPr="00E17A70">
        <w:t xml:space="preserve"> </w:t>
      </w:r>
      <w:r w:rsidR="00951615">
        <w:t xml:space="preserve">rule. </w:t>
      </w:r>
      <w:r w:rsidRPr="00E17A70">
        <w:t>EPA is confident that those activities required of respondents are necessary, and to the extent possible, the Agency has attempted t</w:t>
      </w:r>
      <w:r w:rsidR="00951615">
        <w:t xml:space="preserve">o minimize the burden imposed. </w:t>
      </w:r>
      <w:r w:rsidRPr="00E17A70">
        <w:t xml:space="preserve">EPA believes strongly that, if the minimum information collection requirements of the </w:t>
      </w:r>
      <w:r w:rsidR="00E67928">
        <w:t>final</w:t>
      </w:r>
      <w:r w:rsidR="00E67928" w:rsidRPr="00E17A70">
        <w:t xml:space="preserve"> </w:t>
      </w:r>
      <w:r w:rsidRPr="00E17A70">
        <w:t>rule are not met, neither the industry nor EPA will be able to ensure that pharmaceutical wastes are being managed in a manner protective of human health and the environment.</w:t>
      </w:r>
    </w:p>
    <w:p w14:paraId="4B5F90CC" w14:textId="77777777" w:rsidR="007B61E5" w:rsidRPr="00E17A70" w:rsidRDefault="007B61E5" w:rsidP="007B61E5">
      <w:pPr>
        <w:ind w:firstLine="720"/>
      </w:pPr>
    </w:p>
    <w:p w14:paraId="2C42BF66" w14:textId="77777777" w:rsidR="007B61E5" w:rsidRPr="00E17A70" w:rsidRDefault="007B61E5" w:rsidP="007B61E5">
      <w:pPr>
        <w:ind w:firstLine="720"/>
      </w:pPr>
      <w:r w:rsidRPr="00E17A70">
        <w:rPr>
          <w:b/>
          <w:bCs/>
        </w:rPr>
        <w:t>3(e)</w:t>
      </w:r>
      <w:r w:rsidRPr="00E17A70">
        <w:rPr>
          <w:b/>
          <w:bCs/>
        </w:rPr>
        <w:tab/>
        <w:t>General Guidelines</w:t>
      </w:r>
      <w:r w:rsidRPr="00E17A70">
        <w:rPr>
          <w:b/>
          <w:bCs/>
        </w:rPr>
        <w:fldChar w:fldCharType="begin"/>
      </w:r>
      <w:r w:rsidRPr="00E17A70">
        <w:rPr>
          <w:b/>
          <w:bCs/>
        </w:rPr>
        <w:instrText>tc \l2 "3(e)</w:instrText>
      </w:r>
      <w:r w:rsidRPr="00E17A70">
        <w:rPr>
          <w:b/>
          <w:bCs/>
        </w:rPr>
        <w:tab/>
        <w:instrText>General Guidelines</w:instrText>
      </w:r>
      <w:r w:rsidRPr="00E17A70">
        <w:rPr>
          <w:b/>
          <w:bCs/>
        </w:rPr>
        <w:fldChar w:fldCharType="end"/>
      </w:r>
    </w:p>
    <w:p w14:paraId="17B56501" w14:textId="77777777" w:rsidR="007B61E5" w:rsidRPr="00E17A70" w:rsidRDefault="007B61E5" w:rsidP="007B61E5">
      <w:pPr>
        <w:ind w:firstLine="720"/>
      </w:pPr>
    </w:p>
    <w:p w14:paraId="24F08CA4" w14:textId="77777777" w:rsidR="007B61E5" w:rsidRPr="00E17A70" w:rsidRDefault="007B61E5" w:rsidP="007B61E5">
      <w:pPr>
        <w:ind w:firstLine="720"/>
      </w:pPr>
      <w:r w:rsidRPr="00E17A70">
        <w:t>This ICR adheres to the guidelines stated in the Paperwork Reduction Act of 1995,</w:t>
      </w:r>
      <w:r w:rsidR="003043E8">
        <w:t xml:space="preserve"> </w:t>
      </w:r>
      <w:r w:rsidRPr="00E17A70">
        <w:t>OMB’s implementing regulations, EPA’s ICR Handbook, and other applicable OMB guidance.</w:t>
      </w:r>
    </w:p>
    <w:p w14:paraId="3B5028AD" w14:textId="77777777" w:rsidR="007B61E5" w:rsidRDefault="007B61E5" w:rsidP="007B61E5"/>
    <w:p w14:paraId="0D353810" w14:textId="77777777" w:rsidR="007B61E5" w:rsidRPr="00E17A70" w:rsidRDefault="007B61E5" w:rsidP="007B61E5">
      <w:pPr>
        <w:ind w:firstLine="720"/>
      </w:pPr>
      <w:r w:rsidRPr="00E17A70">
        <w:rPr>
          <w:b/>
          <w:bCs/>
        </w:rPr>
        <w:t>3(f)</w:t>
      </w:r>
      <w:r w:rsidRPr="00E17A70">
        <w:rPr>
          <w:b/>
          <w:bCs/>
        </w:rPr>
        <w:tab/>
        <w:t>Confidentiality</w:t>
      </w:r>
      <w:r w:rsidRPr="00E17A70">
        <w:rPr>
          <w:b/>
          <w:bCs/>
        </w:rPr>
        <w:fldChar w:fldCharType="begin"/>
      </w:r>
      <w:r w:rsidRPr="00E17A70">
        <w:rPr>
          <w:b/>
          <w:bCs/>
        </w:rPr>
        <w:instrText>tc \l2 "3(f)</w:instrText>
      </w:r>
      <w:r w:rsidRPr="00E17A70">
        <w:rPr>
          <w:b/>
          <w:bCs/>
        </w:rPr>
        <w:tab/>
        <w:instrText>Confidentiality</w:instrText>
      </w:r>
      <w:r w:rsidRPr="00E17A70">
        <w:rPr>
          <w:b/>
          <w:bCs/>
        </w:rPr>
        <w:fldChar w:fldCharType="end"/>
      </w:r>
    </w:p>
    <w:p w14:paraId="4DB46EAA" w14:textId="77777777" w:rsidR="007B61E5" w:rsidRPr="00E17A70" w:rsidRDefault="007B61E5" w:rsidP="007B61E5">
      <w:pPr>
        <w:ind w:firstLine="720"/>
      </w:pPr>
    </w:p>
    <w:p w14:paraId="1E065A15" w14:textId="1B53CD04" w:rsidR="007B61E5" w:rsidRPr="00E17A70" w:rsidRDefault="007B61E5" w:rsidP="007B61E5">
      <w:pPr>
        <w:ind w:firstLine="720"/>
      </w:pPr>
      <w:r w:rsidRPr="00E17A70">
        <w:t xml:space="preserve">Section 3007(b) of RCRA and 40 </w:t>
      </w:r>
      <w:r w:rsidRPr="00E17A70">
        <w:rPr>
          <w:i/>
          <w:iCs/>
        </w:rPr>
        <w:t>CFR</w:t>
      </w:r>
      <w:r w:rsidRPr="00E17A70">
        <w:t xml:space="preserve"> Part 2, Subpart B, which defines EPA’s general policy on public disclosure of information, contain provisions for confidentiality.  However, the Agency does not anticipate that businesses will assert a claim of confidentiality covering all or part of the </w:t>
      </w:r>
      <w:r w:rsidR="00E67928">
        <w:t>final</w:t>
      </w:r>
      <w:r w:rsidR="00E67928" w:rsidRPr="00E17A70">
        <w:t xml:space="preserve"> </w:t>
      </w:r>
      <w:r w:rsidR="00951615">
        <w:t xml:space="preserve">rule. </w:t>
      </w:r>
      <w:r w:rsidRPr="00E17A70">
        <w:t>If such a claim were asserted, EPA must and will treat the information in accordance wit</w:t>
      </w:r>
      <w:r w:rsidR="00951615">
        <w:t xml:space="preserve">h the regulations cited above. </w:t>
      </w:r>
      <w:r w:rsidRPr="00E17A70">
        <w:t>EPA also will assure that this information collection complies with the Privacy Act of 1974 and OMB Circular 108.</w:t>
      </w:r>
    </w:p>
    <w:p w14:paraId="74BAA7CD" w14:textId="77777777" w:rsidR="007B61E5" w:rsidRPr="00E17A70" w:rsidRDefault="007B61E5" w:rsidP="007B61E5">
      <w:pPr>
        <w:ind w:firstLine="720"/>
      </w:pPr>
    </w:p>
    <w:p w14:paraId="37C44AF3" w14:textId="77777777" w:rsidR="007B61E5" w:rsidRPr="00E17A70" w:rsidRDefault="007B61E5" w:rsidP="007B61E5">
      <w:pPr>
        <w:ind w:firstLine="720"/>
      </w:pPr>
      <w:r w:rsidRPr="00E17A70">
        <w:rPr>
          <w:b/>
          <w:bCs/>
        </w:rPr>
        <w:t>3(g)</w:t>
      </w:r>
      <w:r w:rsidRPr="00E17A70">
        <w:rPr>
          <w:b/>
          <w:bCs/>
        </w:rPr>
        <w:tab/>
        <w:t>Sensitive Questions</w:t>
      </w:r>
      <w:r w:rsidRPr="00E17A70">
        <w:rPr>
          <w:b/>
          <w:bCs/>
        </w:rPr>
        <w:fldChar w:fldCharType="begin"/>
      </w:r>
      <w:r w:rsidRPr="00E17A70">
        <w:rPr>
          <w:b/>
          <w:bCs/>
        </w:rPr>
        <w:instrText>tc \l2 "3(g)</w:instrText>
      </w:r>
      <w:r w:rsidRPr="00E17A70">
        <w:rPr>
          <w:b/>
          <w:bCs/>
        </w:rPr>
        <w:tab/>
        <w:instrText>Sensitive Questions</w:instrText>
      </w:r>
      <w:r w:rsidRPr="00E17A70">
        <w:rPr>
          <w:b/>
          <w:bCs/>
        </w:rPr>
        <w:fldChar w:fldCharType="end"/>
      </w:r>
    </w:p>
    <w:p w14:paraId="007C2047" w14:textId="77777777" w:rsidR="007B61E5" w:rsidRPr="00E17A70" w:rsidRDefault="007B61E5" w:rsidP="007B61E5">
      <w:pPr>
        <w:ind w:firstLine="720"/>
      </w:pPr>
    </w:p>
    <w:p w14:paraId="34EEE8A9" w14:textId="77777777" w:rsidR="007B61E5" w:rsidRPr="00E17A70" w:rsidRDefault="007B61E5" w:rsidP="007B61E5">
      <w:pPr>
        <w:ind w:firstLine="720"/>
      </w:pPr>
      <w:r w:rsidRPr="00E17A70">
        <w:t xml:space="preserve">No questions of a sensitive nature are included in the information collection requirements associated with the </w:t>
      </w:r>
      <w:r w:rsidR="00E67928">
        <w:t>final</w:t>
      </w:r>
      <w:r w:rsidR="00E67928" w:rsidRPr="00E17A70">
        <w:t xml:space="preserve"> </w:t>
      </w:r>
      <w:r w:rsidRPr="00E17A70">
        <w:t>rule.</w:t>
      </w:r>
    </w:p>
    <w:p w14:paraId="4C605CF5" w14:textId="77777777" w:rsidR="007B61E5" w:rsidRPr="00E17A70" w:rsidRDefault="007B61E5" w:rsidP="007B61E5">
      <w:pPr>
        <w:ind w:firstLine="720"/>
      </w:pPr>
    </w:p>
    <w:p w14:paraId="27DB05E0" w14:textId="77777777" w:rsidR="007B61E5" w:rsidRPr="00E17A70" w:rsidRDefault="007B61E5" w:rsidP="007B61E5">
      <w:pPr>
        <w:keepNext/>
        <w:keepLines/>
        <w:tabs>
          <w:tab w:val="left" w:pos="-1440"/>
        </w:tabs>
        <w:ind w:left="720" w:hanging="720"/>
        <w:rPr>
          <w:b/>
          <w:bCs/>
        </w:rPr>
      </w:pPr>
      <w:r w:rsidRPr="00E17A70">
        <w:rPr>
          <w:b/>
          <w:bCs/>
        </w:rPr>
        <w:t>4.</w:t>
      </w:r>
      <w:r w:rsidRPr="00E17A70">
        <w:rPr>
          <w:b/>
          <w:bCs/>
        </w:rPr>
        <w:tab/>
        <w:t>THE RESPONDENTS AND THE INFORMATION REQUESTED</w:t>
      </w:r>
      <w:r w:rsidRPr="00E17A70">
        <w:rPr>
          <w:b/>
          <w:bCs/>
        </w:rPr>
        <w:fldChar w:fldCharType="begin"/>
      </w:r>
      <w:r w:rsidRPr="00E17A70">
        <w:rPr>
          <w:b/>
          <w:bCs/>
        </w:rPr>
        <w:instrText>tc \l1 "4.</w:instrText>
      </w:r>
      <w:r w:rsidRPr="00E17A70">
        <w:rPr>
          <w:b/>
          <w:bCs/>
        </w:rPr>
        <w:tab/>
        <w:instrText>THE RESPONDENTS AND THE INFORMATION REQUESTED</w:instrText>
      </w:r>
      <w:r w:rsidRPr="00E17A70">
        <w:rPr>
          <w:b/>
          <w:bCs/>
        </w:rPr>
        <w:fldChar w:fldCharType="end"/>
      </w:r>
    </w:p>
    <w:p w14:paraId="187D1C86" w14:textId="77777777" w:rsidR="007B61E5" w:rsidRPr="00E17A70" w:rsidRDefault="007B61E5" w:rsidP="007B61E5">
      <w:pPr>
        <w:keepNext/>
        <w:keepLines/>
        <w:rPr>
          <w:b/>
          <w:bCs/>
        </w:rPr>
      </w:pPr>
    </w:p>
    <w:p w14:paraId="12BBF25C" w14:textId="77777777" w:rsidR="007B61E5" w:rsidRPr="00E17A70" w:rsidRDefault="007B61E5" w:rsidP="007B61E5">
      <w:pPr>
        <w:keepNext/>
        <w:keepLines/>
        <w:tabs>
          <w:tab w:val="left" w:pos="-1440"/>
        </w:tabs>
        <w:ind w:left="1440" w:hanging="720"/>
      </w:pPr>
      <w:r w:rsidRPr="00E17A70">
        <w:rPr>
          <w:b/>
          <w:bCs/>
        </w:rPr>
        <w:t>4(a)</w:t>
      </w:r>
      <w:r w:rsidRPr="00E17A70">
        <w:rPr>
          <w:b/>
          <w:bCs/>
        </w:rPr>
        <w:tab/>
        <w:t>Respondents and NAICS Codes</w:t>
      </w:r>
      <w:r w:rsidRPr="00E17A70">
        <w:rPr>
          <w:b/>
          <w:bCs/>
        </w:rPr>
        <w:fldChar w:fldCharType="begin"/>
      </w:r>
      <w:r w:rsidRPr="00E17A70">
        <w:rPr>
          <w:b/>
          <w:bCs/>
        </w:rPr>
        <w:instrText>tc \l2 "4(a)</w:instrText>
      </w:r>
      <w:r w:rsidRPr="00E17A70">
        <w:rPr>
          <w:b/>
          <w:bCs/>
        </w:rPr>
        <w:tab/>
        <w:instrText>Respondents and SIC/NAICS Codes</w:instrText>
      </w:r>
      <w:r w:rsidRPr="00E17A70">
        <w:rPr>
          <w:b/>
          <w:bCs/>
        </w:rPr>
        <w:fldChar w:fldCharType="end"/>
      </w:r>
    </w:p>
    <w:p w14:paraId="4F4D774E" w14:textId="77777777" w:rsidR="007B61E5" w:rsidRPr="00E17A70" w:rsidRDefault="007B61E5" w:rsidP="007B61E5">
      <w:pPr>
        <w:keepNext/>
        <w:keepLines/>
      </w:pPr>
    </w:p>
    <w:p w14:paraId="69E6DAE7" w14:textId="77777777" w:rsidR="007B61E5" w:rsidRDefault="007B61E5" w:rsidP="007B61E5">
      <w:pPr>
        <w:keepNext/>
        <w:keepLines/>
        <w:ind w:firstLine="720"/>
      </w:pPr>
      <w:r w:rsidRPr="00E17A70">
        <w:t>The following is a list of North American Industrial Classification System (NAICS) codes associated with the facilities most likely to be affected by the information collection requirements covered in this ICR.</w:t>
      </w:r>
    </w:p>
    <w:p w14:paraId="5868BB84" w14:textId="77777777" w:rsidR="00EF0901" w:rsidRDefault="00EF0901" w:rsidP="007B61E5">
      <w:pPr>
        <w:keepNext/>
        <w:keepLines/>
        <w:ind w:firstLine="720"/>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6224"/>
      </w:tblGrid>
      <w:tr w:rsidR="00EF0901" w14:paraId="65645C71" w14:textId="77777777" w:rsidTr="00372333">
        <w:trPr>
          <w:trHeight w:val="287"/>
        </w:trPr>
        <w:tc>
          <w:tcPr>
            <w:tcW w:w="1876" w:type="dxa"/>
          </w:tcPr>
          <w:p w14:paraId="44EE8A80" w14:textId="77777777" w:rsidR="00EF0901" w:rsidRPr="00CB64CB" w:rsidRDefault="00EF0901" w:rsidP="00372333">
            <w:pPr>
              <w:keepNext/>
              <w:keepLines/>
              <w:rPr>
                <w:b/>
              </w:rPr>
            </w:pPr>
            <w:r w:rsidRPr="00CB64CB">
              <w:rPr>
                <w:b/>
              </w:rPr>
              <w:t>NAICS</w:t>
            </w:r>
          </w:p>
        </w:tc>
        <w:tc>
          <w:tcPr>
            <w:tcW w:w="6224" w:type="dxa"/>
          </w:tcPr>
          <w:p w14:paraId="0E441849" w14:textId="77777777" w:rsidR="00EF0901" w:rsidRPr="00CB64CB" w:rsidRDefault="005F63EC" w:rsidP="00372333">
            <w:pPr>
              <w:keepNext/>
              <w:keepLines/>
              <w:rPr>
                <w:b/>
              </w:rPr>
            </w:pPr>
            <w:r w:rsidRPr="00CB64CB">
              <w:rPr>
                <w:b/>
              </w:rPr>
              <w:t>Facility Type</w:t>
            </w:r>
          </w:p>
        </w:tc>
      </w:tr>
      <w:tr w:rsidR="00CB183F" w14:paraId="5A3C1D40" w14:textId="77777777" w:rsidTr="00372333">
        <w:tc>
          <w:tcPr>
            <w:tcW w:w="1876" w:type="dxa"/>
            <w:vAlign w:val="bottom"/>
          </w:tcPr>
          <w:p w14:paraId="1E3C3F0E" w14:textId="5EF5FF9B" w:rsidR="00CB183F" w:rsidRPr="001A7292" w:rsidRDefault="00CB183F" w:rsidP="00CB183F">
            <w:pPr>
              <w:keepNext/>
              <w:keepLines/>
            </w:pPr>
            <w:r w:rsidRPr="001A7292">
              <w:t>4242</w:t>
            </w:r>
          </w:p>
        </w:tc>
        <w:tc>
          <w:tcPr>
            <w:tcW w:w="6224" w:type="dxa"/>
          </w:tcPr>
          <w:p w14:paraId="084BAD18" w14:textId="1E5BBBF2" w:rsidR="00CB183F" w:rsidRPr="004D729A" w:rsidRDefault="00CB183F" w:rsidP="00CB183F">
            <w:pPr>
              <w:keepNext/>
              <w:keepLines/>
            </w:pPr>
            <w:r w:rsidRPr="00D01A28">
              <w:t>Drug Wholesalers</w:t>
            </w:r>
          </w:p>
        </w:tc>
      </w:tr>
      <w:tr w:rsidR="00CB183F" w14:paraId="0ECF79BF" w14:textId="77777777" w:rsidTr="00372333">
        <w:tc>
          <w:tcPr>
            <w:tcW w:w="1876" w:type="dxa"/>
            <w:vAlign w:val="bottom"/>
          </w:tcPr>
          <w:p w14:paraId="3F570BDF" w14:textId="5C44CB30" w:rsidR="00CB183F" w:rsidRPr="001A7292" w:rsidRDefault="00CB183F" w:rsidP="00CB183F">
            <w:pPr>
              <w:keepNext/>
              <w:keepLines/>
            </w:pPr>
            <w:r w:rsidRPr="001A7292">
              <w:t>44511</w:t>
            </w:r>
          </w:p>
        </w:tc>
        <w:tc>
          <w:tcPr>
            <w:tcW w:w="6224" w:type="dxa"/>
          </w:tcPr>
          <w:p w14:paraId="5633D3A4" w14:textId="77777777" w:rsidR="00CB183F" w:rsidRDefault="00CB183F" w:rsidP="00CB183F">
            <w:pPr>
              <w:keepNext/>
              <w:keepLines/>
            </w:pPr>
            <w:r>
              <w:t xml:space="preserve">Supermarkets and Other Grocery </w:t>
            </w:r>
          </w:p>
          <w:p w14:paraId="096F52FD" w14:textId="1D4B274D" w:rsidR="00CB183F" w:rsidRPr="004D729A" w:rsidRDefault="00CB183F" w:rsidP="00CB183F">
            <w:pPr>
              <w:keepNext/>
              <w:keepLines/>
            </w:pPr>
            <w:r>
              <w:t>(except convenience) Stores</w:t>
            </w:r>
          </w:p>
        </w:tc>
      </w:tr>
      <w:tr w:rsidR="00CB183F" w14:paraId="13F920CD" w14:textId="77777777" w:rsidTr="00372333">
        <w:tc>
          <w:tcPr>
            <w:tcW w:w="1876" w:type="dxa"/>
            <w:vAlign w:val="bottom"/>
          </w:tcPr>
          <w:p w14:paraId="563B5688" w14:textId="77777777" w:rsidR="00CB183F" w:rsidRDefault="00CB183F" w:rsidP="00CB183F">
            <w:pPr>
              <w:keepNext/>
              <w:keepLines/>
            </w:pPr>
            <w:r w:rsidRPr="001A7292">
              <w:t>44611</w:t>
            </w:r>
          </w:p>
        </w:tc>
        <w:tc>
          <w:tcPr>
            <w:tcW w:w="6224" w:type="dxa"/>
          </w:tcPr>
          <w:p w14:paraId="3D73866F" w14:textId="77777777" w:rsidR="00CB183F" w:rsidRDefault="00CB183F" w:rsidP="00CB183F">
            <w:pPr>
              <w:keepNext/>
              <w:keepLines/>
            </w:pPr>
            <w:r w:rsidRPr="004D729A">
              <w:t>Pharmacies and Drug Stores</w:t>
            </w:r>
          </w:p>
        </w:tc>
      </w:tr>
      <w:tr w:rsidR="00CB183F" w14:paraId="6648FD3E" w14:textId="77777777" w:rsidTr="00372333">
        <w:trPr>
          <w:trHeight w:val="58"/>
        </w:trPr>
        <w:tc>
          <w:tcPr>
            <w:tcW w:w="1876" w:type="dxa"/>
            <w:vAlign w:val="bottom"/>
          </w:tcPr>
          <w:p w14:paraId="4E9C2ABB" w14:textId="063FFF85" w:rsidR="00CB183F" w:rsidRDefault="00CB183F" w:rsidP="00CB183F">
            <w:pPr>
              <w:keepNext/>
              <w:keepLines/>
            </w:pPr>
            <w:r>
              <w:t>452311</w:t>
            </w:r>
          </w:p>
        </w:tc>
        <w:tc>
          <w:tcPr>
            <w:tcW w:w="6224" w:type="dxa"/>
          </w:tcPr>
          <w:p w14:paraId="582032C8" w14:textId="77777777" w:rsidR="00CB183F" w:rsidRDefault="00CB183F" w:rsidP="00CB183F">
            <w:pPr>
              <w:keepNext/>
              <w:keepLines/>
            </w:pPr>
            <w:r w:rsidRPr="00D01A28">
              <w:t>Warehouse Clubs and Supercenters</w:t>
            </w:r>
          </w:p>
        </w:tc>
      </w:tr>
      <w:tr w:rsidR="00CB183F" w14:paraId="0C85841D" w14:textId="77777777" w:rsidTr="00372333">
        <w:tc>
          <w:tcPr>
            <w:tcW w:w="1876" w:type="dxa"/>
            <w:vAlign w:val="bottom"/>
          </w:tcPr>
          <w:p w14:paraId="19282485" w14:textId="77777777" w:rsidR="00CB183F" w:rsidRDefault="00CB183F" w:rsidP="00CB183F">
            <w:pPr>
              <w:keepNext/>
              <w:keepLines/>
            </w:pPr>
            <w:r w:rsidRPr="001A7292">
              <w:t>54194</w:t>
            </w:r>
          </w:p>
        </w:tc>
        <w:tc>
          <w:tcPr>
            <w:tcW w:w="6224" w:type="dxa"/>
          </w:tcPr>
          <w:p w14:paraId="340DB27F" w14:textId="77777777" w:rsidR="00CB183F" w:rsidRDefault="00CB183F" w:rsidP="00CB183F">
            <w:pPr>
              <w:keepNext/>
              <w:keepLines/>
            </w:pPr>
            <w:r w:rsidRPr="00D01A28">
              <w:t>Veterinary Clinics</w:t>
            </w:r>
          </w:p>
        </w:tc>
      </w:tr>
      <w:tr w:rsidR="00CB183F" w14:paraId="26E56232" w14:textId="77777777" w:rsidTr="00372333">
        <w:trPr>
          <w:trHeight w:val="296"/>
        </w:trPr>
        <w:tc>
          <w:tcPr>
            <w:tcW w:w="1876" w:type="dxa"/>
            <w:vAlign w:val="bottom"/>
          </w:tcPr>
          <w:p w14:paraId="7929F511" w14:textId="77777777" w:rsidR="00CB183F" w:rsidRDefault="00CB183F" w:rsidP="00CB183F">
            <w:pPr>
              <w:keepNext/>
              <w:keepLines/>
            </w:pPr>
            <w:r w:rsidRPr="001A7292">
              <w:t>6211</w:t>
            </w:r>
          </w:p>
        </w:tc>
        <w:tc>
          <w:tcPr>
            <w:tcW w:w="6224" w:type="dxa"/>
          </w:tcPr>
          <w:p w14:paraId="59AB97A4" w14:textId="77777777" w:rsidR="00CB183F" w:rsidRDefault="00CB183F" w:rsidP="00CB183F">
            <w:pPr>
              <w:keepNext/>
              <w:keepLines/>
            </w:pPr>
            <w:r w:rsidRPr="00D01A28">
              <w:t>Physicians’ Offices</w:t>
            </w:r>
          </w:p>
        </w:tc>
      </w:tr>
      <w:tr w:rsidR="00CB183F" w14:paraId="5BF80371" w14:textId="77777777" w:rsidTr="00372333">
        <w:tc>
          <w:tcPr>
            <w:tcW w:w="1876" w:type="dxa"/>
            <w:vAlign w:val="bottom"/>
          </w:tcPr>
          <w:p w14:paraId="48F4D60E" w14:textId="77777777" w:rsidR="00CB183F" w:rsidRDefault="00CB183F" w:rsidP="00CB183F">
            <w:pPr>
              <w:keepNext/>
              <w:keepLines/>
            </w:pPr>
            <w:r w:rsidRPr="001A7292">
              <w:t>6212</w:t>
            </w:r>
          </w:p>
        </w:tc>
        <w:tc>
          <w:tcPr>
            <w:tcW w:w="6224" w:type="dxa"/>
          </w:tcPr>
          <w:p w14:paraId="73C4B245" w14:textId="77777777" w:rsidR="00CB183F" w:rsidRDefault="00CB183F" w:rsidP="00CB183F">
            <w:pPr>
              <w:keepNext/>
              <w:keepLines/>
            </w:pPr>
            <w:r w:rsidRPr="00D01A28">
              <w:t>Dentists’ Offices</w:t>
            </w:r>
          </w:p>
        </w:tc>
      </w:tr>
      <w:tr w:rsidR="00CB183F" w14:paraId="0A873FD5" w14:textId="77777777" w:rsidTr="00372333">
        <w:tc>
          <w:tcPr>
            <w:tcW w:w="1876" w:type="dxa"/>
            <w:vAlign w:val="bottom"/>
          </w:tcPr>
          <w:p w14:paraId="54A8E1FD" w14:textId="77777777" w:rsidR="00CB183F" w:rsidRDefault="00CB183F" w:rsidP="00CB183F">
            <w:pPr>
              <w:keepNext/>
              <w:keepLines/>
            </w:pPr>
            <w:r w:rsidRPr="001A7292">
              <w:t>6213</w:t>
            </w:r>
          </w:p>
        </w:tc>
        <w:tc>
          <w:tcPr>
            <w:tcW w:w="6224" w:type="dxa"/>
          </w:tcPr>
          <w:p w14:paraId="6DF27BE0" w14:textId="77777777" w:rsidR="00CB183F" w:rsidRDefault="00CB183F" w:rsidP="00CB183F">
            <w:pPr>
              <w:keepNext/>
              <w:keepLines/>
            </w:pPr>
            <w:r>
              <w:t>Other Health Practitioners</w:t>
            </w:r>
          </w:p>
        </w:tc>
      </w:tr>
      <w:tr w:rsidR="00CB183F" w14:paraId="2C8C665B" w14:textId="77777777" w:rsidTr="00372333">
        <w:tc>
          <w:tcPr>
            <w:tcW w:w="1876" w:type="dxa"/>
            <w:vAlign w:val="bottom"/>
          </w:tcPr>
          <w:p w14:paraId="01A880CF" w14:textId="77777777" w:rsidR="00CB183F" w:rsidRDefault="00CB183F" w:rsidP="00CB183F">
            <w:pPr>
              <w:keepNext/>
              <w:keepLines/>
            </w:pPr>
            <w:r w:rsidRPr="001A7292">
              <w:t>6214</w:t>
            </w:r>
          </w:p>
        </w:tc>
        <w:tc>
          <w:tcPr>
            <w:tcW w:w="6224" w:type="dxa"/>
          </w:tcPr>
          <w:p w14:paraId="3862420B" w14:textId="77777777" w:rsidR="00CB183F" w:rsidRDefault="00CB183F" w:rsidP="00CB183F">
            <w:pPr>
              <w:keepNext/>
              <w:keepLines/>
            </w:pPr>
            <w:r w:rsidRPr="00D01A28">
              <w:t>Outpatient Care Centers</w:t>
            </w:r>
          </w:p>
        </w:tc>
      </w:tr>
      <w:tr w:rsidR="00CB183F" w14:paraId="7610A154" w14:textId="77777777" w:rsidTr="00372333">
        <w:tc>
          <w:tcPr>
            <w:tcW w:w="1876" w:type="dxa"/>
            <w:vAlign w:val="bottom"/>
          </w:tcPr>
          <w:p w14:paraId="213F8581" w14:textId="77777777" w:rsidR="00CB183F" w:rsidRDefault="00CB183F" w:rsidP="00CB183F">
            <w:pPr>
              <w:keepNext/>
              <w:keepLines/>
            </w:pPr>
            <w:r w:rsidRPr="001A7292">
              <w:t>6219</w:t>
            </w:r>
          </w:p>
        </w:tc>
        <w:tc>
          <w:tcPr>
            <w:tcW w:w="6224" w:type="dxa"/>
          </w:tcPr>
          <w:p w14:paraId="1CF1748A" w14:textId="77777777" w:rsidR="00CB183F" w:rsidRDefault="00CB183F" w:rsidP="00CB183F">
            <w:pPr>
              <w:keepNext/>
              <w:keepLines/>
            </w:pPr>
            <w:r w:rsidRPr="00D01A28">
              <w:t>Other Ambulatory Health Care Services</w:t>
            </w:r>
          </w:p>
        </w:tc>
      </w:tr>
      <w:tr w:rsidR="00CB183F" w14:paraId="40C1A2BF" w14:textId="77777777" w:rsidTr="00372333">
        <w:tc>
          <w:tcPr>
            <w:tcW w:w="1876" w:type="dxa"/>
            <w:vAlign w:val="bottom"/>
          </w:tcPr>
          <w:p w14:paraId="770A137D" w14:textId="77777777" w:rsidR="00CB183F" w:rsidRDefault="00CB183F" w:rsidP="00CB183F">
            <w:pPr>
              <w:keepNext/>
              <w:keepLines/>
            </w:pPr>
            <w:r w:rsidRPr="001A7292">
              <w:t>622</w:t>
            </w:r>
          </w:p>
        </w:tc>
        <w:tc>
          <w:tcPr>
            <w:tcW w:w="6224" w:type="dxa"/>
          </w:tcPr>
          <w:p w14:paraId="589AABE7" w14:textId="77777777" w:rsidR="00CB183F" w:rsidRDefault="00CB183F" w:rsidP="00CB183F">
            <w:pPr>
              <w:keepNext/>
              <w:keepLines/>
            </w:pPr>
            <w:r w:rsidRPr="00D01A28">
              <w:t>Hospitals</w:t>
            </w:r>
          </w:p>
        </w:tc>
      </w:tr>
      <w:tr w:rsidR="00CB183F" w14:paraId="4154DDD5" w14:textId="77777777" w:rsidTr="00372333">
        <w:tc>
          <w:tcPr>
            <w:tcW w:w="1876" w:type="dxa"/>
            <w:vAlign w:val="bottom"/>
          </w:tcPr>
          <w:p w14:paraId="5F8D4D74" w14:textId="77777777" w:rsidR="00CB183F" w:rsidRDefault="00CB183F" w:rsidP="00CB183F">
            <w:pPr>
              <w:keepNext/>
              <w:keepLines/>
            </w:pPr>
            <w:r w:rsidRPr="001A7292">
              <w:t>6231</w:t>
            </w:r>
          </w:p>
        </w:tc>
        <w:tc>
          <w:tcPr>
            <w:tcW w:w="6224" w:type="dxa"/>
          </w:tcPr>
          <w:p w14:paraId="4AE153B3" w14:textId="77777777" w:rsidR="00CB183F" w:rsidRDefault="00CB183F" w:rsidP="00CB183F">
            <w:pPr>
              <w:keepNext/>
              <w:keepLines/>
            </w:pPr>
            <w:r w:rsidRPr="00D01A28">
              <w:t>Nursing Care Facilities (e.g., assisted living facilities, nursing homes, veterans domiciliary centers)</w:t>
            </w:r>
          </w:p>
        </w:tc>
      </w:tr>
      <w:tr w:rsidR="00CB183F" w14:paraId="20FA7A0E" w14:textId="77777777" w:rsidTr="00372333">
        <w:trPr>
          <w:trHeight w:val="58"/>
        </w:trPr>
        <w:tc>
          <w:tcPr>
            <w:tcW w:w="1876" w:type="dxa"/>
            <w:vAlign w:val="bottom"/>
          </w:tcPr>
          <w:p w14:paraId="6FCF0C1E" w14:textId="77777777" w:rsidR="00CB183F" w:rsidRDefault="00CB183F" w:rsidP="00CB183F">
            <w:pPr>
              <w:keepNext/>
              <w:keepLines/>
            </w:pPr>
            <w:r w:rsidRPr="001A7292">
              <w:t>623311</w:t>
            </w:r>
          </w:p>
        </w:tc>
        <w:tc>
          <w:tcPr>
            <w:tcW w:w="6224" w:type="dxa"/>
          </w:tcPr>
          <w:p w14:paraId="7510CFA2" w14:textId="77777777" w:rsidR="00CB183F" w:rsidRDefault="00CB183F" w:rsidP="00CB183F">
            <w:pPr>
              <w:keepNext/>
              <w:keepLines/>
            </w:pPr>
            <w:r w:rsidRPr="00D01A28">
              <w:t>Continuing Care Retirement Communities (e.g., assisted living facilities with on-site nursing facilities)</w:t>
            </w:r>
          </w:p>
        </w:tc>
      </w:tr>
      <w:tr w:rsidR="00CB183F" w14:paraId="2F670069" w14:textId="77777777" w:rsidTr="00372333">
        <w:trPr>
          <w:trHeight w:val="58"/>
        </w:trPr>
        <w:tc>
          <w:tcPr>
            <w:tcW w:w="1876" w:type="dxa"/>
            <w:vAlign w:val="bottom"/>
          </w:tcPr>
          <w:p w14:paraId="6FF9E667" w14:textId="77777777" w:rsidR="00CB183F" w:rsidRDefault="00CB183F" w:rsidP="00CB183F">
            <w:pPr>
              <w:keepNext/>
              <w:keepLines/>
            </w:pPr>
            <w:r w:rsidRPr="001A7292">
              <w:t>Various NAICS</w:t>
            </w:r>
          </w:p>
        </w:tc>
        <w:tc>
          <w:tcPr>
            <w:tcW w:w="6224" w:type="dxa"/>
          </w:tcPr>
          <w:p w14:paraId="6108F334" w14:textId="77777777" w:rsidR="00CB183F" w:rsidRDefault="00CB183F" w:rsidP="00CB183F">
            <w:pPr>
              <w:keepNext/>
              <w:keepLines/>
            </w:pPr>
            <w:r w:rsidRPr="00D01A28">
              <w:t>Reverse Distributors</w:t>
            </w:r>
          </w:p>
        </w:tc>
      </w:tr>
    </w:tbl>
    <w:p w14:paraId="1D8792EA" w14:textId="77777777" w:rsidR="007B61E5" w:rsidRPr="00E17A70" w:rsidRDefault="007B61E5" w:rsidP="007B61E5">
      <w:pPr>
        <w:keepNext/>
        <w:keepLines/>
        <w:ind w:firstLine="720"/>
      </w:pPr>
    </w:p>
    <w:p w14:paraId="751BDB85" w14:textId="77777777" w:rsidR="007B61E5" w:rsidRPr="00E17A70" w:rsidRDefault="007B61E5" w:rsidP="007B61E5">
      <w:pPr>
        <w:ind w:firstLine="720"/>
        <w:rPr>
          <w:b/>
        </w:rPr>
      </w:pPr>
      <w:r w:rsidRPr="00E17A70">
        <w:rPr>
          <w:b/>
        </w:rPr>
        <w:t>4(b)</w:t>
      </w:r>
      <w:r w:rsidRPr="00E17A70">
        <w:rPr>
          <w:b/>
        </w:rPr>
        <w:tab/>
        <w:t>Information Requested</w:t>
      </w:r>
    </w:p>
    <w:p w14:paraId="48C16637" w14:textId="77777777" w:rsidR="007B61E5" w:rsidRPr="00E17A70" w:rsidRDefault="007B61E5" w:rsidP="007B61E5">
      <w:pPr>
        <w:jc w:val="both"/>
        <w:rPr>
          <w:szCs w:val="28"/>
        </w:rPr>
      </w:pPr>
    </w:p>
    <w:p w14:paraId="3E7B3136" w14:textId="77777777" w:rsidR="00832804" w:rsidRDefault="007B61E5" w:rsidP="00832804">
      <w:pPr>
        <w:pStyle w:val="CM25"/>
        <w:tabs>
          <w:tab w:val="left" w:pos="8640"/>
          <w:tab w:val="left" w:pos="8730"/>
        </w:tabs>
        <w:spacing w:line="283" w:lineRule="atLeast"/>
        <w:ind w:firstLine="720"/>
        <w:rPr>
          <w:rFonts w:ascii="Times New Roman" w:hAnsi="Times New Roman"/>
        </w:rPr>
      </w:pPr>
      <w:r w:rsidRPr="00E17A70">
        <w:rPr>
          <w:rFonts w:ascii="Times New Roman" w:hAnsi="Times New Roman"/>
        </w:rPr>
        <w:t xml:space="preserve">This section describes </w:t>
      </w:r>
      <w:r w:rsidR="00880FAF">
        <w:rPr>
          <w:rFonts w:ascii="Times New Roman" w:hAnsi="Times New Roman"/>
        </w:rPr>
        <w:t>reporting and recordkeeping</w:t>
      </w:r>
      <w:r w:rsidR="005B1D0B">
        <w:rPr>
          <w:rFonts w:ascii="Times New Roman" w:hAnsi="Times New Roman"/>
        </w:rPr>
        <w:t xml:space="preserve"> </w:t>
      </w:r>
      <w:r w:rsidRPr="00E17A70">
        <w:rPr>
          <w:rFonts w:ascii="Times New Roman" w:hAnsi="Times New Roman"/>
        </w:rPr>
        <w:t xml:space="preserve">requirements </w:t>
      </w:r>
      <w:r w:rsidR="00032860">
        <w:rPr>
          <w:rFonts w:ascii="Times New Roman" w:hAnsi="Times New Roman"/>
        </w:rPr>
        <w:t>for facilities managing hazardous waste</w:t>
      </w:r>
      <w:r w:rsidRPr="00E17A70">
        <w:rPr>
          <w:rFonts w:ascii="Times New Roman" w:hAnsi="Times New Roman"/>
        </w:rPr>
        <w:t xml:space="preserve"> pharmaceutical</w:t>
      </w:r>
      <w:r w:rsidR="00032860">
        <w:rPr>
          <w:rFonts w:ascii="Times New Roman" w:hAnsi="Times New Roman"/>
        </w:rPr>
        <w:t xml:space="preserve">s under the </w:t>
      </w:r>
      <w:r w:rsidR="00E67928">
        <w:rPr>
          <w:rFonts w:ascii="Times New Roman" w:hAnsi="Times New Roman"/>
        </w:rPr>
        <w:t xml:space="preserve">final </w:t>
      </w:r>
      <w:r w:rsidRPr="00E17A70">
        <w:rPr>
          <w:rFonts w:ascii="Times New Roman" w:hAnsi="Times New Roman"/>
        </w:rPr>
        <w:t xml:space="preserve">rule. </w:t>
      </w:r>
    </w:p>
    <w:p w14:paraId="171BA74E" w14:textId="77777777" w:rsidR="008B37A2" w:rsidRPr="00832804" w:rsidRDefault="00832804" w:rsidP="002C286C">
      <w:pPr>
        <w:pStyle w:val="Default"/>
        <w:ind w:left="720" w:hanging="720"/>
        <w:rPr>
          <w:b/>
        </w:rPr>
      </w:pPr>
      <w:r w:rsidRPr="00832804">
        <w:rPr>
          <w:b/>
        </w:rPr>
        <w:t>(1</w:t>
      </w:r>
      <w:r>
        <w:rPr>
          <w:b/>
        </w:rPr>
        <w:t>)</w:t>
      </w:r>
      <w:r w:rsidR="003A4262">
        <w:rPr>
          <w:b/>
        </w:rPr>
        <w:tab/>
      </w:r>
      <w:r w:rsidR="008B37A2">
        <w:rPr>
          <w:b/>
        </w:rPr>
        <w:t xml:space="preserve">Healthcare Facilities Managing Non-Creditable Hazardous Waste </w:t>
      </w:r>
      <w:r>
        <w:rPr>
          <w:b/>
        </w:rPr>
        <w:t>Pharmaceuticals</w:t>
      </w:r>
      <w:r w:rsidR="00EF1CE1">
        <w:rPr>
          <w:b/>
        </w:rPr>
        <w:t xml:space="preserve"> Under 40 CFR</w:t>
      </w:r>
      <w:r w:rsidR="002C286C">
        <w:rPr>
          <w:b/>
        </w:rPr>
        <w:t xml:space="preserve"> </w:t>
      </w:r>
      <w:r w:rsidR="002C286C" w:rsidRPr="002C286C">
        <w:rPr>
          <w:b/>
        </w:rPr>
        <w:t>§</w:t>
      </w:r>
      <w:r w:rsidR="00A0043E">
        <w:rPr>
          <w:b/>
        </w:rPr>
        <w:t xml:space="preserve"> </w:t>
      </w:r>
      <w:r w:rsidR="002C286C" w:rsidRPr="002C286C">
        <w:rPr>
          <w:b/>
        </w:rPr>
        <w:t>266.502</w:t>
      </w:r>
      <w:r w:rsidR="007D6B8B">
        <w:rPr>
          <w:b/>
        </w:rPr>
        <w:t>.</w:t>
      </w:r>
    </w:p>
    <w:p w14:paraId="1AEE2824" w14:textId="77777777" w:rsidR="008B37A2" w:rsidRDefault="008B37A2" w:rsidP="008B37A2">
      <w:pPr>
        <w:pStyle w:val="NoSpacing"/>
        <w:ind w:firstLine="360"/>
        <w:rPr>
          <w:i/>
          <w:szCs w:val="24"/>
        </w:rPr>
      </w:pPr>
    </w:p>
    <w:p w14:paraId="3D86A786" w14:textId="0BB4C49F" w:rsidR="008B37A2" w:rsidRDefault="008B37A2" w:rsidP="003A4262">
      <w:pPr>
        <w:pStyle w:val="NoSpacing"/>
        <w:ind w:firstLine="720"/>
        <w:rPr>
          <w:szCs w:val="24"/>
        </w:rPr>
      </w:pPr>
      <w:r w:rsidRPr="00E96990">
        <w:rPr>
          <w:szCs w:val="24"/>
        </w:rPr>
        <w:t>(</w:t>
      </w:r>
      <w:r w:rsidR="00832804">
        <w:rPr>
          <w:szCs w:val="24"/>
        </w:rPr>
        <w:t>A</w:t>
      </w:r>
      <w:r w:rsidRPr="00E96990">
        <w:rPr>
          <w:szCs w:val="24"/>
        </w:rPr>
        <w:t xml:space="preserve">) </w:t>
      </w:r>
      <w:r w:rsidR="002A69DE">
        <w:rPr>
          <w:b/>
          <w:i/>
          <w:szCs w:val="24"/>
        </w:rPr>
        <w:t>Notification</w:t>
      </w:r>
      <w:r w:rsidRPr="003A4262">
        <w:rPr>
          <w:b/>
          <w:i/>
          <w:szCs w:val="24"/>
        </w:rPr>
        <w:t>.</w:t>
      </w:r>
      <w:r>
        <w:rPr>
          <w:szCs w:val="24"/>
        </w:rPr>
        <w:t xml:space="preserve">  A healthcare facility must notify the EPA Regional Administrator, using the Site Identification Form (EPA form 8700-12), that it is a healthcare facility operating under </w:t>
      </w:r>
      <w:r w:rsidR="002C286C">
        <w:rPr>
          <w:szCs w:val="24"/>
        </w:rPr>
        <w:t>this subpart</w:t>
      </w:r>
      <w:r w:rsidR="00175DC7">
        <w:rPr>
          <w:szCs w:val="24"/>
        </w:rPr>
        <w:t xml:space="preserve">. </w:t>
      </w:r>
      <w:r>
        <w:rPr>
          <w:szCs w:val="24"/>
        </w:rPr>
        <w:t>A healthcare facility is not required to fill out Box 11 (Description of Hazardous Waste) of the Site Identification Form with respect to its ha</w:t>
      </w:r>
      <w:r w:rsidR="00175DC7">
        <w:rPr>
          <w:szCs w:val="24"/>
        </w:rPr>
        <w:t xml:space="preserve">zardous waste pharmaceuticals. </w:t>
      </w:r>
      <w:r>
        <w:rPr>
          <w:szCs w:val="24"/>
        </w:rPr>
        <w:t>A healthcare facility must submit a separate notification (Site Identification Form) for each site or EPA Identification Number.</w:t>
      </w:r>
    </w:p>
    <w:p w14:paraId="71D58D3A" w14:textId="77777777" w:rsidR="008B37A2" w:rsidRDefault="008B37A2" w:rsidP="008B37A2">
      <w:pPr>
        <w:pStyle w:val="NoSpacing"/>
        <w:ind w:firstLine="360"/>
        <w:rPr>
          <w:szCs w:val="24"/>
        </w:rPr>
      </w:pPr>
    </w:p>
    <w:p w14:paraId="2897EA33" w14:textId="318CC2E8" w:rsidR="008B37A2" w:rsidRDefault="008B37A2" w:rsidP="003A4262">
      <w:pPr>
        <w:pStyle w:val="NoSpacing"/>
        <w:ind w:firstLine="720"/>
        <w:rPr>
          <w:szCs w:val="24"/>
        </w:rPr>
      </w:pPr>
      <w:r>
        <w:rPr>
          <w:szCs w:val="24"/>
        </w:rPr>
        <w:t>(i)  A healthcare facility that already has an EPA identification number</w:t>
      </w:r>
      <w:r w:rsidR="00E44405">
        <w:rPr>
          <w:szCs w:val="24"/>
        </w:rPr>
        <w:t xml:space="preserve"> must </w:t>
      </w:r>
      <w:r>
        <w:rPr>
          <w:szCs w:val="24"/>
        </w:rPr>
        <w:t>notify the EPA Regional Administrator, using the Site Identification Form (EPA form 8700-12), that it is a healthcare facility</w:t>
      </w:r>
      <w:r w:rsidR="00E44405">
        <w:rPr>
          <w:szCs w:val="24"/>
        </w:rPr>
        <w:t xml:space="preserve"> as part of its next Biennial Report</w:t>
      </w:r>
      <w:r>
        <w:rPr>
          <w:szCs w:val="24"/>
        </w:rPr>
        <w:t xml:space="preserve">, </w:t>
      </w:r>
      <w:r w:rsidR="00315ED1">
        <w:rPr>
          <w:szCs w:val="24"/>
        </w:rPr>
        <w:t xml:space="preserve">if it is required to submit one; or if it is not required to submit a Biennial Report, </w:t>
      </w:r>
      <w:r>
        <w:rPr>
          <w:szCs w:val="24"/>
        </w:rPr>
        <w:t>within 60 days of the</w:t>
      </w:r>
      <w:r w:rsidR="00E44405">
        <w:rPr>
          <w:szCs w:val="24"/>
        </w:rPr>
        <w:t xml:space="preserve"> effective date of this subpart, or within 60 days of becoming subject to his subpart.</w:t>
      </w:r>
    </w:p>
    <w:p w14:paraId="67007161" w14:textId="77777777" w:rsidR="008B37A2" w:rsidRDefault="008B37A2" w:rsidP="008B37A2">
      <w:pPr>
        <w:pStyle w:val="NoSpacing"/>
        <w:ind w:firstLine="360"/>
        <w:rPr>
          <w:szCs w:val="24"/>
        </w:rPr>
      </w:pPr>
    </w:p>
    <w:p w14:paraId="170A81B0" w14:textId="4FF1E65E" w:rsidR="008B37A2" w:rsidRDefault="008B37A2" w:rsidP="003A4262">
      <w:pPr>
        <w:pStyle w:val="NoSpacing"/>
        <w:ind w:firstLine="720"/>
        <w:rPr>
          <w:szCs w:val="24"/>
        </w:rPr>
      </w:pPr>
      <w:r>
        <w:rPr>
          <w:szCs w:val="24"/>
        </w:rPr>
        <w:t xml:space="preserve">(ii) A healthcare facility that does not have an EPA identification number must obtain one by notifying the EPA Regional Administrator, using the Site Identification form (EPA form 8700-12), that it is a healthcare facility, </w:t>
      </w:r>
      <w:r w:rsidR="00315ED1" w:rsidRPr="00802967">
        <w:rPr>
          <w:szCs w:val="24"/>
        </w:rPr>
        <w:t xml:space="preserve">as part of its next Biennial Report, if it is required to submit one; or if not required to submit a Biennial Report, </w:t>
      </w:r>
      <w:r>
        <w:rPr>
          <w:szCs w:val="24"/>
        </w:rPr>
        <w:t>within 60 days of the effective date of this subpart</w:t>
      </w:r>
      <w:r w:rsidR="00E44405">
        <w:rPr>
          <w:szCs w:val="24"/>
        </w:rPr>
        <w:t>, or within 60 days of becoming subject to this subpart</w:t>
      </w:r>
      <w:r>
        <w:rPr>
          <w:szCs w:val="24"/>
        </w:rPr>
        <w:t>.</w:t>
      </w:r>
    </w:p>
    <w:p w14:paraId="091E028D" w14:textId="77777777" w:rsidR="008B37A2" w:rsidRDefault="008B37A2" w:rsidP="008B37A2">
      <w:pPr>
        <w:pStyle w:val="NoSpacing"/>
        <w:ind w:firstLine="360"/>
        <w:rPr>
          <w:szCs w:val="24"/>
        </w:rPr>
      </w:pPr>
    </w:p>
    <w:p w14:paraId="5F5484E2" w14:textId="77777777" w:rsidR="008B37A2" w:rsidRDefault="008B37A2" w:rsidP="002C286C">
      <w:pPr>
        <w:pStyle w:val="NoSpacing"/>
        <w:ind w:firstLine="720"/>
        <w:rPr>
          <w:szCs w:val="24"/>
        </w:rPr>
      </w:pPr>
      <w:r>
        <w:rPr>
          <w:szCs w:val="24"/>
        </w:rPr>
        <w:t>(iii) A healthcare facility must keep a copy of its notification on file for as long as the facility is subject to this subpart.</w:t>
      </w:r>
    </w:p>
    <w:p w14:paraId="487AABA4" w14:textId="77777777" w:rsidR="008B37A2" w:rsidRDefault="008B37A2" w:rsidP="008B37A2">
      <w:pPr>
        <w:pStyle w:val="NoSpacing"/>
        <w:ind w:firstLine="360"/>
        <w:rPr>
          <w:szCs w:val="24"/>
        </w:rPr>
      </w:pPr>
    </w:p>
    <w:p w14:paraId="25178EBE" w14:textId="31A18EAA" w:rsidR="008B37A2" w:rsidRDefault="002C286C" w:rsidP="002C286C">
      <w:pPr>
        <w:pStyle w:val="ListParagraph"/>
        <w:spacing w:after="200"/>
        <w:ind w:left="0" w:firstLine="720"/>
        <w:contextualSpacing/>
      </w:pPr>
      <w:r>
        <w:t xml:space="preserve">(B) </w:t>
      </w:r>
      <w:r w:rsidRPr="002C286C">
        <w:rPr>
          <w:b/>
          <w:i/>
        </w:rPr>
        <w:t xml:space="preserve">Notification of </w:t>
      </w:r>
      <w:r w:rsidR="008B37A2" w:rsidRPr="002C286C">
        <w:rPr>
          <w:b/>
          <w:i/>
        </w:rPr>
        <w:t>Withdrawal.</w:t>
      </w:r>
      <w:r w:rsidR="008B37A2" w:rsidRPr="007E28E2">
        <w:rPr>
          <w:i/>
        </w:rPr>
        <w:t xml:space="preserve">  </w:t>
      </w:r>
      <w:r w:rsidR="008B37A2" w:rsidRPr="007E28E2">
        <w:t xml:space="preserve">A healthcare facility that operated under this subpart but is no longer subject to this subpart, because it is a </w:t>
      </w:r>
      <w:r w:rsidR="004B4B43">
        <w:t>very</w:t>
      </w:r>
      <w:r w:rsidR="008B37A2" w:rsidRPr="007E28E2">
        <w:t xml:space="preserve"> small quantity generator </w:t>
      </w:r>
      <w:r w:rsidR="008B37A2" w:rsidRPr="009066C2">
        <w:t xml:space="preserve">under </w:t>
      </w:r>
      <w:r w:rsidR="003A4262">
        <w:t xml:space="preserve">40 CFR </w:t>
      </w:r>
      <w:r w:rsidR="008B37A2">
        <w:t xml:space="preserve">§ </w:t>
      </w:r>
      <w:r w:rsidR="00315ED1">
        <w:t>262.14</w:t>
      </w:r>
      <w:r w:rsidR="008B37A2">
        <w:t>,</w:t>
      </w:r>
      <w:r w:rsidR="008B37A2" w:rsidRPr="007E28E2">
        <w:t xml:space="preserve"> and</w:t>
      </w:r>
      <w:r w:rsidR="008B37A2">
        <w:t xml:space="preserve"> </w:t>
      </w:r>
      <w:r w:rsidR="008B37A2" w:rsidRPr="007E28E2">
        <w:t xml:space="preserve">elects to withdraw from this subpart, must </w:t>
      </w:r>
      <w:r w:rsidR="008B37A2">
        <w:t xml:space="preserve">notify </w:t>
      </w:r>
      <w:r w:rsidR="008B37A2" w:rsidRPr="007E28E2">
        <w:t xml:space="preserve">the appropriate EPA Regional Administrator </w:t>
      </w:r>
      <w:r w:rsidR="008B37A2">
        <w:t xml:space="preserve">using </w:t>
      </w:r>
      <w:r w:rsidR="008B37A2" w:rsidRPr="007E28E2">
        <w:t>the Site Identification Form (EPA</w:t>
      </w:r>
      <w:r w:rsidR="008B37A2">
        <w:t xml:space="preserve"> f</w:t>
      </w:r>
      <w:r w:rsidR="008B37A2" w:rsidRPr="007E28E2">
        <w:t xml:space="preserve">orm 8700-12) that it is no longer operating under this </w:t>
      </w:r>
      <w:r w:rsidR="008B37A2" w:rsidRPr="009E2423">
        <w:t>subpart.</w:t>
      </w:r>
      <w:r w:rsidR="001A6C71">
        <w:t xml:space="preserve"> </w:t>
      </w:r>
      <w:r w:rsidR="008B37A2" w:rsidRPr="009E2423">
        <w:t>A healthcare facility is not required to fill out Box 11 (Description of Hazardous Waste) of the Site Identification Form</w:t>
      </w:r>
      <w:r w:rsidR="008B37A2">
        <w:t xml:space="preserve"> with respect to its hazardous waste pharmaceuticals</w:t>
      </w:r>
      <w:r w:rsidR="00332F1F">
        <w:t xml:space="preserve">. </w:t>
      </w:r>
      <w:r w:rsidR="008B37A2" w:rsidRPr="009E2423">
        <w:t>A</w:t>
      </w:r>
      <w:r w:rsidR="008B37A2" w:rsidRPr="007E28E2">
        <w:t xml:space="preserve"> healthcare facility must submit a separate notification (Site Identification Form) for each EPA Identification Number</w:t>
      </w:r>
      <w:r w:rsidR="008B37A2">
        <w:t>.</w:t>
      </w:r>
    </w:p>
    <w:p w14:paraId="13CBD289" w14:textId="77777777" w:rsidR="008B37A2" w:rsidRDefault="008B37A2" w:rsidP="008B37A2">
      <w:pPr>
        <w:pStyle w:val="ListParagraph"/>
        <w:ind w:left="360"/>
      </w:pPr>
    </w:p>
    <w:p w14:paraId="0D589E80" w14:textId="6FCFEBD6" w:rsidR="008B37A2" w:rsidRDefault="002C286C" w:rsidP="001A6C71">
      <w:pPr>
        <w:pStyle w:val="ListParagraph"/>
        <w:spacing w:after="200"/>
        <w:ind w:left="0" w:firstLine="720"/>
        <w:contextualSpacing/>
      </w:pPr>
      <w:r>
        <w:t>(i)</w:t>
      </w:r>
      <w:r w:rsidR="001A6C71">
        <w:t xml:space="preserve"> </w:t>
      </w:r>
      <w:r w:rsidR="008B37A2">
        <w:t>A healthcare facility</w:t>
      </w:r>
      <w:r w:rsidR="008B37A2" w:rsidRPr="007E28E2">
        <w:t xml:space="preserve"> must submit the Site Identification Form </w:t>
      </w:r>
      <w:r w:rsidR="008B37A2">
        <w:t xml:space="preserve">notifying that it is withdrawing from this subpart </w:t>
      </w:r>
      <w:r w:rsidR="008B37A2" w:rsidRPr="007E28E2">
        <w:t xml:space="preserve">before it begins operating under the conditional exemption of </w:t>
      </w:r>
      <w:r w:rsidR="008B37A2">
        <w:t xml:space="preserve">§ </w:t>
      </w:r>
      <w:r w:rsidR="00315ED1">
        <w:t>262.14</w:t>
      </w:r>
      <w:r w:rsidR="008B37A2" w:rsidRPr="007E28E2">
        <w:t xml:space="preserve">.  </w:t>
      </w:r>
    </w:p>
    <w:p w14:paraId="1BC547FA" w14:textId="77777777" w:rsidR="008B37A2" w:rsidRDefault="008B37A2" w:rsidP="008B37A2">
      <w:pPr>
        <w:pStyle w:val="ListParagraph"/>
        <w:ind w:left="360"/>
      </w:pPr>
    </w:p>
    <w:p w14:paraId="7A67137D" w14:textId="77777777" w:rsidR="008B37A2" w:rsidRDefault="001A6C71" w:rsidP="001A6C71">
      <w:pPr>
        <w:pStyle w:val="ListParagraph"/>
        <w:spacing w:after="200"/>
        <w:ind w:left="0" w:firstLine="720"/>
        <w:contextualSpacing/>
      </w:pPr>
      <w:r>
        <w:t xml:space="preserve">(ii) </w:t>
      </w:r>
      <w:r w:rsidR="008B37A2" w:rsidRPr="007E28E2">
        <w:t xml:space="preserve">A healthcare facility must keep a copy of its withdrawal on file for three years from the date of </w:t>
      </w:r>
      <w:r w:rsidR="008B37A2">
        <w:t xml:space="preserve">signature on the </w:t>
      </w:r>
      <w:r w:rsidR="008B37A2" w:rsidRPr="007E28E2">
        <w:t>notification of its withdrawal.</w:t>
      </w:r>
    </w:p>
    <w:p w14:paraId="5F63A229" w14:textId="297B8EFD" w:rsidR="00BF1FD6" w:rsidRDefault="002A69DE" w:rsidP="00BF1FD6">
      <w:pPr>
        <w:ind w:firstLine="720"/>
      </w:pPr>
      <w:r>
        <w:t>(C)</w:t>
      </w:r>
      <w:r w:rsidR="001A6C71">
        <w:rPr>
          <w:b/>
        </w:rPr>
        <w:t xml:space="preserve"> </w:t>
      </w:r>
      <w:r w:rsidR="001A6C71" w:rsidRPr="002A69DE">
        <w:rPr>
          <w:b/>
          <w:i/>
        </w:rPr>
        <w:t>Labeling</w:t>
      </w:r>
      <w:r>
        <w:rPr>
          <w:b/>
          <w:i/>
        </w:rPr>
        <w:t>.</w:t>
      </w:r>
      <w:r w:rsidR="001A6C71">
        <w:rPr>
          <w:i/>
        </w:rPr>
        <w:t xml:space="preserve"> </w:t>
      </w:r>
      <w:r w:rsidR="001A6C71">
        <w:t>A healthcare facility must label or clearly mark each container</w:t>
      </w:r>
      <w:r w:rsidR="001A6C71" w:rsidRPr="00A97EA6">
        <w:t xml:space="preserve"> of </w:t>
      </w:r>
      <w:r w:rsidR="00315ED1">
        <w:t xml:space="preserve">non-creditable </w:t>
      </w:r>
      <w:r w:rsidR="001A6C71" w:rsidRPr="00A97EA6">
        <w:t>hazardous waste pharmaceuticals with the phrase “</w:t>
      </w:r>
      <w:r w:rsidR="001A6C71">
        <w:t>H</w:t>
      </w:r>
      <w:r w:rsidR="001A6C71" w:rsidRPr="00A97EA6">
        <w:t xml:space="preserve">azardous </w:t>
      </w:r>
      <w:r w:rsidR="001A6C71">
        <w:t>W</w:t>
      </w:r>
      <w:r w:rsidR="001A6C71" w:rsidRPr="00A97EA6">
        <w:t xml:space="preserve">aste </w:t>
      </w:r>
      <w:r w:rsidR="001A6C71">
        <w:t>P</w:t>
      </w:r>
      <w:r w:rsidR="001A6C71" w:rsidRPr="00A97EA6">
        <w:t>harmaceuticals.”</w:t>
      </w:r>
      <w:r w:rsidR="001A6C71">
        <w:t xml:space="preserve">  </w:t>
      </w:r>
    </w:p>
    <w:p w14:paraId="0C50F390" w14:textId="77777777" w:rsidR="00BF1FD6" w:rsidRDefault="00BF1FD6" w:rsidP="00BF1FD6">
      <w:pPr>
        <w:ind w:firstLine="720"/>
      </w:pPr>
    </w:p>
    <w:p w14:paraId="189C87AC" w14:textId="5BCC4D09" w:rsidR="001A6C71" w:rsidRDefault="00BF1FD6" w:rsidP="00BF1FD6">
      <w:pPr>
        <w:ind w:firstLine="720"/>
      </w:pPr>
      <w:r>
        <w:t xml:space="preserve">(D) </w:t>
      </w:r>
      <w:r w:rsidR="00315ED1" w:rsidRPr="00BB0397">
        <w:rPr>
          <w:b/>
          <w:i/>
        </w:rPr>
        <w:t>Maximum</w:t>
      </w:r>
      <w:r w:rsidR="00315ED1">
        <w:rPr>
          <w:i/>
        </w:rPr>
        <w:t xml:space="preserve"> </w:t>
      </w:r>
      <w:r>
        <w:rPr>
          <w:b/>
          <w:i/>
        </w:rPr>
        <w:t>Accumulation Time.</w:t>
      </w:r>
      <w:r>
        <w:t xml:space="preserve"> A</w:t>
      </w:r>
      <w:r w:rsidR="001A6C71" w:rsidRPr="00E4067A">
        <w:t xml:space="preserve"> healthcare facility that accumulates </w:t>
      </w:r>
      <w:r w:rsidR="001A6C71">
        <w:t xml:space="preserve">non-creditable </w:t>
      </w:r>
      <w:r w:rsidR="001A6C71" w:rsidRPr="00E4067A">
        <w:t>hazardous waste pharmaceuticals on-site must demonstrate the length of time that the hazardous waste pharmaceuticals have been accumulating, starting from the date it first becomes a waste. A healthcare facility may make this demonstration by any of the following methods:</w:t>
      </w:r>
    </w:p>
    <w:p w14:paraId="480D9957" w14:textId="77777777" w:rsidR="00BF1FD6" w:rsidRDefault="00BF1FD6" w:rsidP="00BF1FD6">
      <w:pPr>
        <w:ind w:firstLine="720"/>
      </w:pPr>
    </w:p>
    <w:p w14:paraId="4CC07FDD" w14:textId="77777777" w:rsidR="001A6C71" w:rsidRDefault="00BF1FD6" w:rsidP="00BF1FD6">
      <w:pPr>
        <w:pStyle w:val="ListParagraph"/>
        <w:spacing w:after="200"/>
        <w:ind w:left="0" w:firstLine="720"/>
        <w:contextualSpacing/>
      </w:pPr>
      <w:r>
        <w:t xml:space="preserve">(i) </w:t>
      </w:r>
      <w:r w:rsidR="001A6C71" w:rsidRPr="0056556C">
        <w:t xml:space="preserve">Marking or labeling the container of </w:t>
      </w:r>
      <w:r w:rsidR="001A6C71">
        <w:t xml:space="preserve">non-creditable </w:t>
      </w:r>
      <w:r w:rsidR="001A6C71" w:rsidRPr="0056556C">
        <w:t>hazardous waste pharmaceuticals with the date that hazardous waste pharmaceuticals became a waste;</w:t>
      </w:r>
    </w:p>
    <w:p w14:paraId="0FF61249" w14:textId="77777777" w:rsidR="001A6C71" w:rsidRPr="0056556C" w:rsidRDefault="001A6C71" w:rsidP="001A6C71">
      <w:pPr>
        <w:pStyle w:val="ListParagraph"/>
        <w:ind w:left="360"/>
      </w:pPr>
    </w:p>
    <w:p w14:paraId="6E283B8E" w14:textId="77777777" w:rsidR="001A6C71" w:rsidRPr="00EE2727" w:rsidRDefault="00BF1FD6" w:rsidP="00BF1FD6">
      <w:pPr>
        <w:pStyle w:val="ListParagraph"/>
        <w:spacing w:after="200"/>
        <w:ind w:left="0" w:firstLine="720"/>
        <w:contextualSpacing/>
      </w:pPr>
      <w:r>
        <w:t xml:space="preserve">(ii) </w:t>
      </w:r>
      <w:r w:rsidR="001A6C71">
        <w:t>Maintaining an inventory system that identifies the date the non-creditable hazardous waste pharmaceutical being accumulated first became a waste;</w:t>
      </w:r>
    </w:p>
    <w:p w14:paraId="1881A9E7" w14:textId="77777777" w:rsidR="001A6C71" w:rsidRDefault="001A6C71" w:rsidP="001A6C71">
      <w:pPr>
        <w:pStyle w:val="ListParagraph"/>
        <w:ind w:left="360"/>
      </w:pPr>
    </w:p>
    <w:p w14:paraId="415FCB60" w14:textId="17D88F27" w:rsidR="001A6C71" w:rsidRPr="00EE2727" w:rsidRDefault="00BF1FD6" w:rsidP="00BF1FD6">
      <w:pPr>
        <w:pStyle w:val="ListParagraph"/>
        <w:spacing w:after="200"/>
        <w:ind w:left="0" w:firstLine="720"/>
        <w:contextualSpacing/>
      </w:pPr>
      <w:r>
        <w:t xml:space="preserve">(iii) </w:t>
      </w:r>
      <w:r w:rsidR="001A6C71" w:rsidRPr="00EE2727">
        <w:t xml:space="preserve">Placing the </w:t>
      </w:r>
      <w:r w:rsidR="001A6C71">
        <w:t xml:space="preserve">non-creditable </w:t>
      </w:r>
      <w:r w:rsidR="001A6C71" w:rsidRPr="00EE2727">
        <w:t xml:space="preserve">hazardous waste </w:t>
      </w:r>
      <w:r w:rsidR="001A6C71">
        <w:t xml:space="preserve">pharmaceuticals </w:t>
      </w:r>
      <w:r w:rsidR="001A6C71" w:rsidRPr="00EE2727">
        <w:t xml:space="preserve">in a specific area and identifying the earliest date that any of the </w:t>
      </w:r>
      <w:r w:rsidR="001A6C71">
        <w:t xml:space="preserve">non-creditable </w:t>
      </w:r>
      <w:r w:rsidR="001A6C71" w:rsidRPr="00EE2727">
        <w:t>hazardous waste pharmaceuticals in the area became a waste</w:t>
      </w:r>
      <w:r w:rsidR="00315ED1">
        <w:t>.</w:t>
      </w:r>
    </w:p>
    <w:p w14:paraId="1309EE28" w14:textId="77777777" w:rsidR="001A6C71" w:rsidRDefault="001A6C71" w:rsidP="001A6C71">
      <w:pPr>
        <w:pStyle w:val="ListParagraph"/>
        <w:ind w:left="360"/>
      </w:pPr>
    </w:p>
    <w:p w14:paraId="10416C5A" w14:textId="2AF85C91" w:rsidR="00010BE3" w:rsidRDefault="00315ED1" w:rsidP="00010BE3">
      <w:pPr>
        <w:pStyle w:val="NoSpacing"/>
        <w:ind w:firstLine="720"/>
        <w:rPr>
          <w:szCs w:val="24"/>
        </w:rPr>
      </w:pPr>
      <w:r w:rsidDel="00315ED1">
        <w:t xml:space="preserve"> </w:t>
      </w:r>
      <w:r w:rsidR="00010BE3">
        <w:rPr>
          <w:szCs w:val="24"/>
        </w:rPr>
        <w:t xml:space="preserve">(E) </w:t>
      </w:r>
      <w:r w:rsidR="00010BE3">
        <w:rPr>
          <w:b/>
          <w:i/>
          <w:szCs w:val="24"/>
        </w:rPr>
        <w:t xml:space="preserve">Tracking </w:t>
      </w:r>
      <w:r w:rsidR="00A87C5E">
        <w:rPr>
          <w:b/>
          <w:i/>
          <w:szCs w:val="24"/>
        </w:rPr>
        <w:t>Rejected</w:t>
      </w:r>
      <w:r w:rsidR="00010BE3">
        <w:rPr>
          <w:b/>
          <w:i/>
          <w:szCs w:val="24"/>
        </w:rPr>
        <w:t xml:space="preserve"> Shipment</w:t>
      </w:r>
      <w:r>
        <w:rPr>
          <w:b/>
          <w:i/>
          <w:szCs w:val="24"/>
        </w:rPr>
        <w:t>s</w:t>
      </w:r>
      <w:r w:rsidR="00010BE3">
        <w:rPr>
          <w:b/>
          <w:i/>
          <w:szCs w:val="24"/>
        </w:rPr>
        <w:t>.</w:t>
      </w:r>
      <w:r w:rsidR="00010BE3">
        <w:rPr>
          <w:szCs w:val="24"/>
        </w:rPr>
        <w:t xml:space="preserve"> </w:t>
      </w:r>
      <w:r w:rsidR="00010BE3" w:rsidRPr="00CE1D60">
        <w:rPr>
          <w:szCs w:val="24"/>
        </w:rPr>
        <w:t xml:space="preserve">Upon receipt of the returned shipment, the </w:t>
      </w:r>
      <w:r w:rsidR="00010BE3">
        <w:rPr>
          <w:szCs w:val="24"/>
        </w:rPr>
        <w:t xml:space="preserve">healthcare facility </w:t>
      </w:r>
      <w:r w:rsidR="00010BE3" w:rsidRPr="00CE1D60">
        <w:rPr>
          <w:szCs w:val="24"/>
        </w:rPr>
        <w:t>must:</w:t>
      </w:r>
    </w:p>
    <w:p w14:paraId="38E66979" w14:textId="77777777" w:rsidR="00010BE3" w:rsidRDefault="00010BE3" w:rsidP="00010BE3">
      <w:pPr>
        <w:pStyle w:val="NoSpacing"/>
        <w:ind w:firstLine="360"/>
        <w:rPr>
          <w:szCs w:val="24"/>
        </w:rPr>
      </w:pPr>
    </w:p>
    <w:p w14:paraId="7A692A4F" w14:textId="77777777" w:rsidR="008A3AD2" w:rsidRDefault="00010BE3" w:rsidP="00010BE3">
      <w:pPr>
        <w:pStyle w:val="NoSpacing"/>
        <w:ind w:firstLine="720"/>
        <w:rPr>
          <w:szCs w:val="24"/>
        </w:rPr>
      </w:pPr>
      <w:r>
        <w:rPr>
          <w:szCs w:val="24"/>
        </w:rPr>
        <w:t xml:space="preserve">(i) </w:t>
      </w:r>
      <w:r w:rsidR="008A3AD2">
        <w:rPr>
          <w:szCs w:val="24"/>
        </w:rPr>
        <w:t>sign either</w:t>
      </w:r>
    </w:p>
    <w:p w14:paraId="2F89135C" w14:textId="77777777" w:rsidR="008A3AD2" w:rsidRDefault="008A3AD2" w:rsidP="00010BE3">
      <w:pPr>
        <w:pStyle w:val="NoSpacing"/>
        <w:ind w:firstLine="720"/>
        <w:rPr>
          <w:szCs w:val="24"/>
        </w:rPr>
      </w:pPr>
    </w:p>
    <w:p w14:paraId="38B8713C" w14:textId="77777777" w:rsidR="00010BE3" w:rsidRDefault="008A3AD2" w:rsidP="008A3AD2">
      <w:pPr>
        <w:pStyle w:val="NoSpacing"/>
        <w:ind w:left="1440"/>
        <w:rPr>
          <w:szCs w:val="24"/>
        </w:rPr>
      </w:pPr>
      <w:r>
        <w:rPr>
          <w:szCs w:val="24"/>
        </w:rPr>
        <w:t xml:space="preserve">(a) </w:t>
      </w:r>
      <w:r w:rsidR="00010BE3">
        <w:rPr>
          <w:szCs w:val="24"/>
        </w:rPr>
        <w:t>Item 18c of the original manifest, if the original manifest was used for the returned shipment; or</w:t>
      </w:r>
    </w:p>
    <w:p w14:paraId="16DCE936" w14:textId="77777777" w:rsidR="00010BE3" w:rsidRDefault="00010BE3" w:rsidP="00010BE3">
      <w:pPr>
        <w:pStyle w:val="NoSpacing"/>
        <w:rPr>
          <w:szCs w:val="24"/>
        </w:rPr>
      </w:pPr>
    </w:p>
    <w:p w14:paraId="33EB6B00" w14:textId="77777777" w:rsidR="00010BE3" w:rsidRPr="00953FDE" w:rsidRDefault="00010BE3" w:rsidP="008A3AD2">
      <w:pPr>
        <w:pStyle w:val="NoSpacing"/>
        <w:ind w:left="1440"/>
        <w:rPr>
          <w:szCs w:val="24"/>
        </w:rPr>
      </w:pPr>
      <w:r>
        <w:rPr>
          <w:szCs w:val="24"/>
        </w:rPr>
        <w:t>(</w:t>
      </w:r>
      <w:r w:rsidR="008A3AD2">
        <w:rPr>
          <w:szCs w:val="24"/>
        </w:rPr>
        <w:t>b</w:t>
      </w:r>
      <w:r>
        <w:rPr>
          <w:szCs w:val="24"/>
        </w:rPr>
        <w:t xml:space="preserve">) </w:t>
      </w:r>
      <w:r w:rsidRPr="00953FDE">
        <w:rPr>
          <w:szCs w:val="24"/>
        </w:rPr>
        <w:t xml:space="preserve">Item 20 of the new manifest, if a new manifest was used for the returned shipment; </w:t>
      </w:r>
    </w:p>
    <w:p w14:paraId="6974A32F" w14:textId="77777777" w:rsidR="00010BE3" w:rsidRDefault="00010BE3" w:rsidP="00010BE3">
      <w:pPr>
        <w:pStyle w:val="NoSpacing"/>
        <w:rPr>
          <w:rFonts w:ascii="Calibri" w:eastAsia="Calibri" w:hAnsi="Calibri"/>
          <w:sz w:val="22"/>
          <w:szCs w:val="24"/>
        </w:rPr>
      </w:pPr>
    </w:p>
    <w:p w14:paraId="3AA52727" w14:textId="77777777" w:rsidR="00010BE3" w:rsidRDefault="00A87C5E" w:rsidP="00A87C5E">
      <w:pPr>
        <w:pStyle w:val="NoSpacing"/>
        <w:ind w:firstLine="720"/>
        <w:rPr>
          <w:szCs w:val="24"/>
        </w:rPr>
      </w:pPr>
      <w:r>
        <w:rPr>
          <w:szCs w:val="24"/>
        </w:rPr>
        <w:t xml:space="preserve">(ii) </w:t>
      </w:r>
      <w:r w:rsidR="00010BE3">
        <w:rPr>
          <w:szCs w:val="24"/>
        </w:rPr>
        <w:t xml:space="preserve">Provide the transporter a copy of the manifest; </w:t>
      </w:r>
    </w:p>
    <w:p w14:paraId="6CDBDE47" w14:textId="77777777" w:rsidR="00010BE3" w:rsidRDefault="00010BE3" w:rsidP="00010BE3">
      <w:pPr>
        <w:pStyle w:val="NoSpacing"/>
        <w:rPr>
          <w:szCs w:val="24"/>
        </w:rPr>
      </w:pPr>
    </w:p>
    <w:p w14:paraId="49EB4533" w14:textId="0F3EF943" w:rsidR="00010BE3" w:rsidRDefault="00A87C5E" w:rsidP="00A87C5E">
      <w:pPr>
        <w:pStyle w:val="NoSpacing"/>
        <w:ind w:firstLine="720"/>
        <w:rPr>
          <w:szCs w:val="24"/>
        </w:rPr>
      </w:pPr>
      <w:r>
        <w:rPr>
          <w:szCs w:val="24"/>
        </w:rPr>
        <w:t>(i</w:t>
      </w:r>
      <w:r w:rsidR="008A3AD2">
        <w:rPr>
          <w:szCs w:val="24"/>
        </w:rPr>
        <w:t>ii</w:t>
      </w:r>
      <w:r>
        <w:rPr>
          <w:szCs w:val="24"/>
        </w:rPr>
        <w:t xml:space="preserve">) </w:t>
      </w:r>
      <w:r w:rsidR="00010BE3">
        <w:rPr>
          <w:szCs w:val="24"/>
        </w:rPr>
        <w:t xml:space="preserve">Within 30 days of </w:t>
      </w:r>
      <w:r w:rsidR="004A61F5">
        <w:rPr>
          <w:szCs w:val="24"/>
        </w:rPr>
        <w:t>receipt</w:t>
      </w:r>
      <w:r w:rsidR="00010BE3">
        <w:rPr>
          <w:szCs w:val="24"/>
        </w:rPr>
        <w:t xml:space="preserve"> of the rejected shipment, send a copy of the manifest to the designated facility that returned the shipment to the healthcare facility; and</w:t>
      </w:r>
    </w:p>
    <w:p w14:paraId="61CA95A9" w14:textId="77777777" w:rsidR="00010BE3" w:rsidRPr="00CE1D60" w:rsidRDefault="00010BE3" w:rsidP="00010BE3">
      <w:pPr>
        <w:pStyle w:val="NoSpacing"/>
        <w:rPr>
          <w:szCs w:val="24"/>
        </w:rPr>
      </w:pPr>
    </w:p>
    <w:p w14:paraId="33DC4FF5" w14:textId="501DB265" w:rsidR="00010BE3" w:rsidRDefault="00A87C5E" w:rsidP="00A87C5E">
      <w:pPr>
        <w:pStyle w:val="NoSpacing"/>
        <w:ind w:left="720"/>
        <w:rPr>
          <w:szCs w:val="24"/>
        </w:rPr>
      </w:pPr>
      <w:r>
        <w:rPr>
          <w:szCs w:val="24"/>
        </w:rPr>
        <w:t>(</w:t>
      </w:r>
      <w:r w:rsidR="008A3AD2">
        <w:rPr>
          <w:szCs w:val="24"/>
        </w:rPr>
        <w:t>i</w:t>
      </w:r>
      <w:r>
        <w:rPr>
          <w:szCs w:val="24"/>
        </w:rPr>
        <w:t xml:space="preserve">v) </w:t>
      </w:r>
      <w:r w:rsidR="00315ED1">
        <w:rPr>
          <w:szCs w:val="24"/>
        </w:rPr>
        <w:t>Within 90 days of receipt of the rejected shipment, t</w:t>
      </w:r>
      <w:r w:rsidR="00010BE3">
        <w:rPr>
          <w:szCs w:val="24"/>
        </w:rPr>
        <w:t>ransport or offer for</w:t>
      </w:r>
      <w:r w:rsidR="00010BE3" w:rsidRPr="00CE1D60">
        <w:rPr>
          <w:szCs w:val="24"/>
        </w:rPr>
        <w:t xml:space="preserve"> transport the returned shipment in accordance with th</w:t>
      </w:r>
      <w:r w:rsidR="00010BE3">
        <w:rPr>
          <w:szCs w:val="24"/>
        </w:rPr>
        <w:t xml:space="preserve">e shipping standards of § </w:t>
      </w:r>
      <w:r w:rsidR="00010BE3" w:rsidRPr="00F46871">
        <w:rPr>
          <w:szCs w:val="24"/>
        </w:rPr>
        <w:t>266.508(</w:t>
      </w:r>
      <w:r w:rsidR="00010BE3">
        <w:rPr>
          <w:szCs w:val="24"/>
        </w:rPr>
        <w:t>a</w:t>
      </w:r>
      <w:r w:rsidR="00010BE3" w:rsidRPr="00F46871">
        <w:rPr>
          <w:szCs w:val="24"/>
        </w:rPr>
        <w:t>).</w:t>
      </w:r>
    </w:p>
    <w:p w14:paraId="2AD561D1" w14:textId="0A5DACE0" w:rsidR="004A61F5" w:rsidRPr="00092D44" w:rsidRDefault="004A61F5" w:rsidP="004A61F5">
      <w:pPr>
        <w:pStyle w:val="NoSpacing"/>
        <w:rPr>
          <w:szCs w:val="24"/>
        </w:rPr>
      </w:pPr>
    </w:p>
    <w:p w14:paraId="25F4427F" w14:textId="77777777" w:rsidR="008B37A2" w:rsidRDefault="008B37A2" w:rsidP="008B37A2">
      <w:pPr>
        <w:pStyle w:val="Default"/>
      </w:pPr>
    </w:p>
    <w:p w14:paraId="26A7C978" w14:textId="08B06431" w:rsidR="00A87C5E" w:rsidRPr="00085393" w:rsidRDefault="00A87C5E" w:rsidP="00086C4E">
      <w:pPr>
        <w:pStyle w:val="NormalWeb"/>
        <w:shd w:val="clear" w:color="auto" w:fill="FFFFFF"/>
        <w:ind w:firstLine="720"/>
        <w:rPr>
          <w:color w:val="000000"/>
        </w:rPr>
      </w:pPr>
      <w:r>
        <w:rPr>
          <w:color w:val="000000"/>
        </w:rPr>
        <w:t xml:space="preserve">(F) </w:t>
      </w:r>
      <w:r w:rsidRPr="00A87C5E">
        <w:rPr>
          <w:b/>
          <w:i/>
          <w:color w:val="000000"/>
        </w:rPr>
        <w:t>Exception report for a missing copy of the manifest</w:t>
      </w:r>
      <w:r w:rsidRPr="00A87C5E">
        <w:rPr>
          <w:b/>
          <w:color w:val="000000"/>
        </w:rPr>
        <w:t xml:space="preserve">. </w:t>
      </w:r>
      <w:r>
        <w:rPr>
          <w:color w:val="000000"/>
        </w:rPr>
        <w:t xml:space="preserve"> </w:t>
      </w:r>
      <w:r w:rsidRPr="00085393">
        <w:rPr>
          <w:color w:val="000000"/>
        </w:rPr>
        <w:t>For shipments from a healthcare facility to a designated facility</w:t>
      </w:r>
      <w:r>
        <w:rPr>
          <w:color w:val="000000"/>
        </w:rPr>
        <w:t>: I</w:t>
      </w:r>
      <w:r w:rsidRPr="00085393">
        <w:rPr>
          <w:color w:val="000000"/>
        </w:rPr>
        <w:t xml:space="preserve">f a healthcare facility does not receive a copy of the manifest with the signature of the owner or operator of the designated facility within 60 days of the date the </w:t>
      </w:r>
      <w:r>
        <w:rPr>
          <w:color w:val="000000"/>
        </w:rPr>
        <w:t xml:space="preserve">non-creditable </w:t>
      </w:r>
      <w:r w:rsidRPr="00085393">
        <w:rPr>
          <w:color w:val="000000"/>
        </w:rPr>
        <w:t xml:space="preserve">hazardous waste </w:t>
      </w:r>
      <w:r>
        <w:rPr>
          <w:color w:val="000000"/>
        </w:rPr>
        <w:t xml:space="preserve">pharmaceuticals were </w:t>
      </w:r>
      <w:r w:rsidRPr="00085393">
        <w:rPr>
          <w:color w:val="000000"/>
        </w:rPr>
        <w:t>accepted by the initial transporter, the healthcare facility must submit:</w:t>
      </w:r>
    </w:p>
    <w:p w14:paraId="0DE8D770" w14:textId="77777777" w:rsidR="00A87C5E" w:rsidRPr="0003190C" w:rsidRDefault="00A87C5E" w:rsidP="00A87C5E">
      <w:pPr>
        <w:pStyle w:val="NoSpacing"/>
        <w:ind w:left="1080"/>
        <w:rPr>
          <w:color w:val="000000"/>
        </w:rPr>
      </w:pPr>
    </w:p>
    <w:p w14:paraId="389DAB2B" w14:textId="77777777" w:rsidR="00086C4E" w:rsidRDefault="00086C4E" w:rsidP="00086C4E">
      <w:pPr>
        <w:pStyle w:val="NormalWeb"/>
        <w:spacing w:after="200" w:line="280" w:lineRule="atLeast"/>
        <w:ind w:firstLine="720"/>
        <w:rPr>
          <w:color w:val="000000"/>
        </w:rPr>
      </w:pPr>
      <w:r>
        <w:rPr>
          <w:color w:val="000000"/>
        </w:rPr>
        <w:t>(i) A</w:t>
      </w:r>
      <w:r w:rsidR="00A87C5E" w:rsidRPr="0003190C">
        <w:rPr>
          <w:color w:val="000000"/>
        </w:rPr>
        <w:t xml:space="preserve"> legible copy of the original manifest, </w:t>
      </w:r>
      <w:r w:rsidR="00A87C5E">
        <w:rPr>
          <w:color w:val="000000"/>
        </w:rPr>
        <w:t>indicating</w:t>
      </w:r>
      <w:r w:rsidR="00A87C5E" w:rsidRPr="0003190C">
        <w:rPr>
          <w:color w:val="000000"/>
        </w:rPr>
        <w:t xml:space="preserve"> that the </w:t>
      </w:r>
      <w:r w:rsidR="00A87C5E">
        <w:rPr>
          <w:color w:val="000000"/>
        </w:rPr>
        <w:t xml:space="preserve">healthcare facility </w:t>
      </w:r>
      <w:r w:rsidR="00A87C5E" w:rsidRPr="0003190C">
        <w:rPr>
          <w:color w:val="000000"/>
        </w:rPr>
        <w:t>has not received confirmation of delivery, to the EPA Regional Administrator for the Region in</w:t>
      </w:r>
      <w:r w:rsidR="00A87C5E">
        <w:rPr>
          <w:color w:val="000000"/>
        </w:rPr>
        <w:t xml:space="preserve"> which the healthcare facility is located, and</w:t>
      </w:r>
    </w:p>
    <w:p w14:paraId="13BC7567" w14:textId="77777777" w:rsidR="00A87C5E" w:rsidRPr="00DC648C" w:rsidRDefault="00086C4E" w:rsidP="00086C4E">
      <w:pPr>
        <w:pStyle w:val="NormalWeb"/>
        <w:spacing w:after="200" w:line="280" w:lineRule="atLeast"/>
        <w:ind w:firstLine="720"/>
        <w:rPr>
          <w:color w:val="000000"/>
        </w:rPr>
      </w:pPr>
      <w:r>
        <w:rPr>
          <w:color w:val="000000"/>
        </w:rPr>
        <w:t>(ii) A</w:t>
      </w:r>
      <w:r w:rsidR="00A87C5E" w:rsidRPr="0003190C">
        <w:rPr>
          <w:color w:val="000000"/>
        </w:rPr>
        <w:t xml:space="preserve"> handwritten or typed note on the manifest itself, or on an attached sheet of paper, </w:t>
      </w:r>
      <w:r w:rsidR="00A87C5E">
        <w:rPr>
          <w:color w:val="000000"/>
        </w:rPr>
        <w:t>stating that the return copy was not received and explaining the efforts taken to locate the non-creditable hazardous waste pharmaceuticals and the results of those efforts.</w:t>
      </w:r>
    </w:p>
    <w:p w14:paraId="3FF0AFA8" w14:textId="5B6CCACC" w:rsidR="00A87C5E" w:rsidRPr="00085393" w:rsidRDefault="00A87C5E" w:rsidP="00086C4E">
      <w:pPr>
        <w:pStyle w:val="NoSpacing"/>
        <w:ind w:firstLine="360"/>
        <w:rPr>
          <w:color w:val="000000"/>
        </w:rPr>
      </w:pPr>
      <w:r w:rsidRPr="00085393">
        <w:rPr>
          <w:color w:val="000000"/>
          <w:szCs w:val="24"/>
        </w:rPr>
        <w:t>For shipments rejected by the designated facility and shipped to an alternate facility</w:t>
      </w:r>
      <w:r>
        <w:rPr>
          <w:color w:val="000000"/>
          <w:szCs w:val="24"/>
        </w:rPr>
        <w:t>: I</w:t>
      </w:r>
      <w:r w:rsidRPr="00085393">
        <w:rPr>
          <w:color w:val="000000"/>
        </w:rPr>
        <w:t xml:space="preserve">f a </w:t>
      </w:r>
      <w:r>
        <w:rPr>
          <w:color w:val="000000"/>
        </w:rPr>
        <w:t>h</w:t>
      </w:r>
      <w:r w:rsidRPr="00085393">
        <w:rPr>
          <w:color w:val="000000"/>
        </w:rPr>
        <w:t>ealthcare facility does not receive a copy of the manifest for a rejected shipment</w:t>
      </w:r>
      <w:r>
        <w:rPr>
          <w:color w:val="000000"/>
        </w:rPr>
        <w:t xml:space="preserve"> of the non-creditable hazardous waste pharmaceuticals</w:t>
      </w:r>
      <w:r w:rsidRPr="00085393">
        <w:rPr>
          <w:color w:val="000000"/>
        </w:rPr>
        <w:t xml:space="preserve"> that is forwarded by the designated facility to an alternate facility (using appropriate manifest procedures), with the signature of the owner or operator of the alternate facility within 60 days of the date the waste was accepted by the initial transporter forwarding the </w:t>
      </w:r>
      <w:r>
        <w:rPr>
          <w:color w:val="000000"/>
        </w:rPr>
        <w:t xml:space="preserve">shipment of non-creditable </w:t>
      </w:r>
      <w:r w:rsidRPr="00085393">
        <w:rPr>
          <w:color w:val="000000"/>
        </w:rPr>
        <w:t xml:space="preserve">hazardous waste </w:t>
      </w:r>
      <w:r>
        <w:rPr>
          <w:color w:val="000000"/>
        </w:rPr>
        <w:t xml:space="preserve">pharmaceuticals </w:t>
      </w:r>
      <w:r w:rsidRPr="00085393">
        <w:rPr>
          <w:color w:val="000000"/>
        </w:rPr>
        <w:t>from the designated facility to the alternate facility, the healthcare facility must submit:</w:t>
      </w:r>
    </w:p>
    <w:p w14:paraId="0F8FA590" w14:textId="77777777" w:rsidR="00A87C5E" w:rsidRPr="0003190C" w:rsidRDefault="00A87C5E" w:rsidP="00A87C5E">
      <w:pPr>
        <w:pStyle w:val="NoSpacing"/>
        <w:ind w:left="1080"/>
        <w:rPr>
          <w:color w:val="000000"/>
        </w:rPr>
      </w:pPr>
    </w:p>
    <w:p w14:paraId="14CF3D83" w14:textId="77777777" w:rsidR="00086C4E" w:rsidRDefault="00086C4E" w:rsidP="00086C4E">
      <w:pPr>
        <w:pStyle w:val="NormalWeb"/>
        <w:spacing w:after="200" w:line="280" w:lineRule="atLeast"/>
        <w:ind w:firstLine="720"/>
        <w:rPr>
          <w:color w:val="000000"/>
        </w:rPr>
      </w:pPr>
      <w:r>
        <w:rPr>
          <w:color w:val="000000"/>
        </w:rPr>
        <w:t>(iii) A</w:t>
      </w:r>
      <w:r w:rsidR="00A87C5E" w:rsidRPr="0003190C">
        <w:rPr>
          <w:color w:val="000000"/>
        </w:rPr>
        <w:t xml:space="preserve"> legible copy of the original manifest, </w:t>
      </w:r>
      <w:r w:rsidR="00A87C5E">
        <w:rPr>
          <w:color w:val="000000"/>
        </w:rPr>
        <w:t>indicating</w:t>
      </w:r>
      <w:r w:rsidR="00A87C5E" w:rsidRPr="0003190C">
        <w:rPr>
          <w:color w:val="000000"/>
        </w:rPr>
        <w:t xml:space="preserve"> that the </w:t>
      </w:r>
      <w:r w:rsidR="00A87C5E">
        <w:rPr>
          <w:color w:val="000000"/>
        </w:rPr>
        <w:t xml:space="preserve">healthcare facility </w:t>
      </w:r>
      <w:r w:rsidR="00A87C5E" w:rsidRPr="0003190C">
        <w:rPr>
          <w:color w:val="000000"/>
        </w:rPr>
        <w:t>has not received confirmation of delivery, to the EPA Regional Administrator for the Region in</w:t>
      </w:r>
      <w:r w:rsidR="00A87C5E">
        <w:rPr>
          <w:color w:val="000000"/>
        </w:rPr>
        <w:t xml:space="preserve"> which the healthcare facility is located, and</w:t>
      </w:r>
    </w:p>
    <w:p w14:paraId="6D7786E8" w14:textId="77777777" w:rsidR="00A87C5E" w:rsidRPr="00DC648C" w:rsidRDefault="00086C4E" w:rsidP="00086C4E">
      <w:pPr>
        <w:pStyle w:val="NormalWeb"/>
        <w:spacing w:after="200" w:line="280" w:lineRule="atLeast"/>
        <w:ind w:firstLine="720"/>
        <w:rPr>
          <w:color w:val="000000"/>
        </w:rPr>
      </w:pPr>
      <w:r>
        <w:rPr>
          <w:color w:val="000000"/>
        </w:rPr>
        <w:t>(iv) A</w:t>
      </w:r>
      <w:r w:rsidR="00A87C5E" w:rsidRPr="0003190C">
        <w:rPr>
          <w:color w:val="000000"/>
        </w:rPr>
        <w:t xml:space="preserve"> handwritten or typed note on the manifest itself, or on an attached sheet of paper, </w:t>
      </w:r>
      <w:r w:rsidR="00A87C5E">
        <w:rPr>
          <w:color w:val="000000"/>
        </w:rPr>
        <w:t>stating that the return copy was not received and explaining the efforts taken to locate the non-creditable hazardous waste pharmaceuticals and the results of those efforts.</w:t>
      </w:r>
    </w:p>
    <w:p w14:paraId="1D7F5497" w14:textId="77777777" w:rsidR="00A87C5E" w:rsidRDefault="00086C4E" w:rsidP="00086C4E">
      <w:pPr>
        <w:ind w:firstLine="720"/>
        <w:rPr>
          <w:color w:val="000000"/>
          <w:shd w:val="clear" w:color="auto" w:fill="FFFFFF"/>
        </w:rPr>
      </w:pPr>
      <w:r>
        <w:rPr>
          <w:color w:val="000000"/>
          <w:shd w:val="clear" w:color="auto" w:fill="FFFFFF"/>
        </w:rPr>
        <w:t>(G</w:t>
      </w:r>
      <w:r w:rsidRPr="00086C4E">
        <w:rPr>
          <w:b/>
          <w:color w:val="000000"/>
          <w:shd w:val="clear" w:color="auto" w:fill="FFFFFF"/>
        </w:rPr>
        <w:t xml:space="preserve">) </w:t>
      </w:r>
      <w:r w:rsidR="00A87C5E" w:rsidRPr="00086C4E">
        <w:rPr>
          <w:b/>
          <w:i/>
          <w:color w:val="000000"/>
          <w:shd w:val="clear" w:color="auto" w:fill="FFFFFF"/>
        </w:rPr>
        <w:t>Additional reports.</w:t>
      </w:r>
      <w:r w:rsidR="00A87C5E">
        <w:rPr>
          <w:i/>
          <w:color w:val="000000"/>
          <w:shd w:val="clear" w:color="auto" w:fill="FFFFFF"/>
        </w:rPr>
        <w:t xml:space="preserve"> </w:t>
      </w:r>
      <w:r w:rsidR="00A87C5E" w:rsidRPr="00907E89">
        <w:rPr>
          <w:color w:val="000000"/>
          <w:shd w:val="clear" w:color="auto" w:fill="FFFFFF"/>
        </w:rPr>
        <w:t xml:space="preserve">The </w:t>
      </w:r>
      <w:r w:rsidR="00A87C5E">
        <w:rPr>
          <w:color w:val="000000"/>
          <w:shd w:val="clear" w:color="auto" w:fill="FFFFFF"/>
        </w:rPr>
        <w:t xml:space="preserve">EPA Regional Administrator </w:t>
      </w:r>
      <w:r>
        <w:rPr>
          <w:color w:val="000000"/>
          <w:shd w:val="clear" w:color="auto" w:fill="FFFFFF"/>
        </w:rPr>
        <w:t xml:space="preserve">may require healthcare </w:t>
      </w:r>
      <w:r w:rsidR="00A87C5E" w:rsidRPr="00907E89">
        <w:rPr>
          <w:color w:val="000000"/>
          <w:shd w:val="clear" w:color="auto" w:fill="FFFFFF"/>
        </w:rPr>
        <w:t xml:space="preserve">facilities to furnish additional reports concerning the quantities and disposition of </w:t>
      </w:r>
      <w:r w:rsidR="00A87C5E">
        <w:rPr>
          <w:color w:val="000000"/>
          <w:shd w:val="clear" w:color="auto" w:fill="FFFFFF"/>
        </w:rPr>
        <w:t>non-creditable hazardous waste pharmaceuticals</w:t>
      </w:r>
      <w:r w:rsidR="00A87C5E" w:rsidRPr="00907E89">
        <w:rPr>
          <w:color w:val="000000"/>
          <w:shd w:val="clear" w:color="auto" w:fill="FFFFFF"/>
        </w:rPr>
        <w:t>.</w:t>
      </w:r>
    </w:p>
    <w:p w14:paraId="38DCE452" w14:textId="77777777" w:rsidR="00086C4E" w:rsidRDefault="00086C4E" w:rsidP="00086C4E">
      <w:pPr>
        <w:ind w:firstLine="720"/>
      </w:pPr>
    </w:p>
    <w:p w14:paraId="0D2FF1DD" w14:textId="77777777" w:rsidR="005B1D0B" w:rsidRDefault="004B4B43" w:rsidP="005B1D0B">
      <w:pPr>
        <w:ind w:firstLine="720"/>
        <w:rPr>
          <w:b/>
        </w:rPr>
      </w:pPr>
      <w:r w:rsidDel="004B4B43">
        <w:t xml:space="preserve"> </w:t>
      </w:r>
      <w:r w:rsidR="005B1D0B">
        <w:t xml:space="preserve">(H) </w:t>
      </w:r>
      <w:r w:rsidR="005B1D0B" w:rsidRPr="005B1D0B">
        <w:rPr>
          <w:b/>
          <w:i/>
        </w:rPr>
        <w:t>Recordkeeping.</w:t>
      </w:r>
      <w:r w:rsidR="005B1D0B">
        <w:rPr>
          <w:b/>
        </w:rPr>
        <w:t xml:space="preserve"> </w:t>
      </w:r>
    </w:p>
    <w:p w14:paraId="035E571F" w14:textId="77777777" w:rsidR="005B1D0B" w:rsidRPr="004B4543" w:rsidRDefault="00EF1CE1" w:rsidP="00EF1CE1">
      <w:pPr>
        <w:spacing w:before="100" w:beforeAutospacing="1" w:after="100" w:afterAutospacing="1"/>
        <w:ind w:firstLine="720"/>
      </w:pPr>
      <w:r>
        <w:t xml:space="preserve">(i) </w:t>
      </w:r>
      <w:r w:rsidR="005B1D0B" w:rsidRPr="004B4543">
        <w:t xml:space="preserve">A </w:t>
      </w:r>
      <w:r w:rsidR="005B1D0B">
        <w:t xml:space="preserve">healthcare facility </w:t>
      </w:r>
      <w:r w:rsidR="005B1D0B" w:rsidRPr="004B4543">
        <w:t xml:space="preserve">must keep a copy of each manifest </w:t>
      </w:r>
      <w:r w:rsidR="005B1D0B">
        <w:t xml:space="preserve">signed in accordance with § 262.23(a) </w:t>
      </w:r>
      <w:r w:rsidR="005B1D0B" w:rsidRPr="004B4543">
        <w:t xml:space="preserve">for three years or until </w:t>
      </w:r>
      <w:r w:rsidR="005B1D0B">
        <w:t>it</w:t>
      </w:r>
      <w:r w:rsidR="005B1D0B" w:rsidRPr="004B4543">
        <w:t xml:space="preserve"> receives a signed copy from the designated facility which received the </w:t>
      </w:r>
      <w:r w:rsidR="005B1D0B">
        <w:t xml:space="preserve">non-creditable hazardous </w:t>
      </w:r>
      <w:r w:rsidR="005B1D0B" w:rsidRPr="004B4543">
        <w:t>waste</w:t>
      </w:r>
      <w:r w:rsidR="005B1D0B">
        <w:t xml:space="preserve"> pharmaceuticals</w:t>
      </w:r>
      <w:r w:rsidR="005B1D0B" w:rsidRPr="004B4543">
        <w:t>. This signed copy must be retained as a record for at least three years from the date the waste was accepted by the initial transporter.</w:t>
      </w:r>
    </w:p>
    <w:p w14:paraId="5540FDB4" w14:textId="77777777" w:rsidR="005B1D0B" w:rsidRPr="004B4543" w:rsidRDefault="00EF1CE1" w:rsidP="00EF1CE1">
      <w:pPr>
        <w:spacing w:before="100" w:beforeAutospacing="1" w:after="100" w:afterAutospacing="1"/>
        <w:ind w:firstLine="720"/>
      </w:pPr>
      <w:r>
        <w:t xml:space="preserve">(ii) </w:t>
      </w:r>
      <w:r w:rsidR="005B1D0B">
        <w:t>A healthcare facility must keep a copy of each exception r</w:t>
      </w:r>
      <w:r w:rsidR="005B1D0B" w:rsidRPr="004B4543">
        <w:t>eport for a period of at least three years from the date of the report.</w:t>
      </w:r>
    </w:p>
    <w:p w14:paraId="3951BA22" w14:textId="28152D7D" w:rsidR="005B1D0B" w:rsidRPr="004B4543" w:rsidRDefault="00EF1CE1" w:rsidP="00EF1CE1">
      <w:pPr>
        <w:spacing w:before="100" w:beforeAutospacing="1" w:after="100" w:afterAutospacing="1"/>
        <w:ind w:firstLine="720"/>
      </w:pPr>
      <w:r>
        <w:t xml:space="preserve">(iii) </w:t>
      </w:r>
      <w:r w:rsidR="005B1D0B" w:rsidRPr="004B4543">
        <w:t xml:space="preserve">A </w:t>
      </w:r>
      <w:r w:rsidR="005B1D0B">
        <w:t>healthcare facility</w:t>
      </w:r>
      <w:r w:rsidR="005B1D0B" w:rsidRPr="004B4543">
        <w:t xml:space="preserve"> must keep records of any test results, waste analyses, or other determinations made </w:t>
      </w:r>
      <w:r w:rsidR="005B1D0B">
        <w:t>to support its hazardous waste determination(s)</w:t>
      </w:r>
      <w:r w:rsidR="005B1D0B" w:rsidRPr="004B4543">
        <w:t xml:space="preserve"> for at least three years from the </w:t>
      </w:r>
      <w:r w:rsidR="00330371">
        <w:t>date the waste was last sent to on-site or off-site treatment, storage, or disposal.</w:t>
      </w:r>
      <w:r w:rsidR="008F03B5">
        <w:t xml:space="preserve"> </w:t>
      </w:r>
      <w:r w:rsidR="008F03B5" w:rsidRPr="00802967">
        <w:t>A healthcare facility that manages all of its non-creditable non-hazardous waste pharmaceuticals as non-creditable hazardous waste pharmaceuticals is not required to keep documentation of hazardous waste determinations.</w:t>
      </w:r>
    </w:p>
    <w:p w14:paraId="0F5E78BB" w14:textId="7C451C9B" w:rsidR="005B1D0B" w:rsidRDefault="00EF1CE1" w:rsidP="00EF1CE1">
      <w:pPr>
        <w:spacing w:before="100" w:beforeAutospacing="1" w:after="100" w:afterAutospacing="1"/>
        <w:ind w:firstLine="720"/>
      </w:pPr>
      <w:r>
        <w:t xml:space="preserve">(iv) </w:t>
      </w:r>
      <w:r w:rsidR="005B1D0B">
        <w:t>The periods of</w:t>
      </w:r>
      <w:r w:rsidR="005B1D0B" w:rsidRPr="004B4543">
        <w:t xml:space="preserve"> retention referred to in this </w:t>
      </w:r>
      <w:r w:rsidR="005B1D0B">
        <w:t xml:space="preserve">section </w:t>
      </w:r>
      <w:r w:rsidR="005B1D0B" w:rsidRPr="004B4543">
        <w:t>are extended automatically during the course of any unresolved enforcement action regarding the regulated activity</w:t>
      </w:r>
      <w:r w:rsidR="005B1D0B">
        <w:t>,</w:t>
      </w:r>
      <w:r w:rsidR="005B1D0B" w:rsidRPr="004B4543">
        <w:t xml:space="preserve"> or as requested by the </w:t>
      </w:r>
      <w:r w:rsidR="005B1D0B">
        <w:t xml:space="preserve">EPA Regional </w:t>
      </w:r>
      <w:r w:rsidR="005B1D0B" w:rsidRPr="004B4543">
        <w:t>Administrator.</w:t>
      </w:r>
    </w:p>
    <w:p w14:paraId="02676073" w14:textId="0660811A" w:rsidR="007D4855" w:rsidRDefault="007D4855" w:rsidP="00EF1CE1">
      <w:pPr>
        <w:spacing w:before="100" w:beforeAutospacing="1" w:after="100" w:afterAutospacing="1"/>
        <w:ind w:firstLine="720"/>
      </w:pPr>
      <w:r>
        <w:t xml:space="preserve">(v) A healthcare facility that accepts hazardous waste pharmaceuticals from off site VSQG healthcare facilities must keep records of the shipments it receives from off site for three years from the date the shipment is received. </w:t>
      </w:r>
    </w:p>
    <w:p w14:paraId="364A5143" w14:textId="77777777" w:rsidR="00311557" w:rsidRDefault="00311557" w:rsidP="00311557">
      <w:pPr>
        <w:spacing w:before="100" w:beforeAutospacing="1" w:after="100" w:afterAutospacing="1"/>
        <w:ind w:left="720" w:hanging="720"/>
        <w:rPr>
          <w:b/>
        </w:rPr>
      </w:pPr>
      <w:r>
        <w:rPr>
          <w:b/>
        </w:rPr>
        <w:t>(2)</w:t>
      </w:r>
      <w:r>
        <w:rPr>
          <w:b/>
        </w:rPr>
        <w:tab/>
        <w:t xml:space="preserve">Healthcare </w:t>
      </w:r>
      <w:r w:rsidRPr="000F28AA">
        <w:rPr>
          <w:b/>
        </w:rPr>
        <w:t>Facilities Managing</w:t>
      </w:r>
      <w:r>
        <w:rPr>
          <w:b/>
        </w:rPr>
        <w:t xml:space="preserve"> Potentially Creditable Hazardous Waste Pharmaceuticals Under 40 CFR </w:t>
      </w:r>
      <w:r w:rsidRPr="002C286C">
        <w:rPr>
          <w:b/>
        </w:rPr>
        <w:t>§</w:t>
      </w:r>
      <w:r w:rsidR="00A0043E">
        <w:rPr>
          <w:b/>
        </w:rPr>
        <w:t xml:space="preserve"> </w:t>
      </w:r>
      <w:r w:rsidRPr="002C286C">
        <w:rPr>
          <w:b/>
        </w:rPr>
        <w:t>266.50</w:t>
      </w:r>
      <w:r>
        <w:rPr>
          <w:b/>
        </w:rPr>
        <w:t>3.</w:t>
      </w:r>
    </w:p>
    <w:p w14:paraId="742D3A3E" w14:textId="163C2ABD" w:rsidR="00311557" w:rsidRPr="001F0E97" w:rsidRDefault="00311557" w:rsidP="001F0E97">
      <w:pPr>
        <w:ind w:firstLine="360"/>
        <w:rPr>
          <w:b/>
          <w:i/>
        </w:rPr>
      </w:pPr>
      <w:r>
        <w:t xml:space="preserve">(A) </w:t>
      </w:r>
      <w:r w:rsidRPr="005B1D0B">
        <w:rPr>
          <w:b/>
          <w:i/>
        </w:rPr>
        <w:t>Recordkeeping.</w:t>
      </w:r>
      <w:r w:rsidRPr="007D6B8B">
        <w:t xml:space="preserve"> </w:t>
      </w:r>
      <w:r>
        <w:t>A healthcare facility that initiates a shipment of potentially creditable hazardous waste pharmaceuticals to a reverse distributor must keep the following records (paper o</w:t>
      </w:r>
      <w:r w:rsidR="000F28AA">
        <w:t>r</w:t>
      </w:r>
      <w:r>
        <w:t xml:space="preserve"> electronic) for each shipment of potentially creditable hazardous waste pharmaceuticals to a reverse distributor, for 3 years from the date of shipment:</w:t>
      </w:r>
    </w:p>
    <w:p w14:paraId="5CA0AB0F" w14:textId="0C375EA4" w:rsidR="00311557" w:rsidRDefault="00311557" w:rsidP="00330371"/>
    <w:p w14:paraId="1ACF5211" w14:textId="4E01C702" w:rsidR="00311557" w:rsidRDefault="00311557" w:rsidP="00311557">
      <w:pPr>
        <w:ind w:firstLine="720"/>
      </w:pPr>
      <w:r w:rsidRPr="00795072">
        <w:t>(i)</w:t>
      </w:r>
      <w:r>
        <w:t xml:space="preserve"> the</w:t>
      </w:r>
      <w:r w:rsidR="003B17CD">
        <w:t xml:space="preserve"> confirmation </w:t>
      </w:r>
      <w:r w:rsidR="00447AE0">
        <w:t xml:space="preserve">of delivery </w:t>
      </w:r>
      <w:r>
        <w:t>and</w:t>
      </w:r>
    </w:p>
    <w:p w14:paraId="1E8C1412" w14:textId="77777777" w:rsidR="00311557" w:rsidRDefault="00311557" w:rsidP="00311557">
      <w:pPr>
        <w:ind w:firstLine="720"/>
      </w:pPr>
    </w:p>
    <w:p w14:paraId="7EEAAB5C" w14:textId="4E850C3D" w:rsidR="00311557" w:rsidRDefault="00311557" w:rsidP="00311557">
      <w:pPr>
        <w:ind w:firstLine="720"/>
      </w:pPr>
      <w:r w:rsidRPr="00795072">
        <w:t>(ii)</w:t>
      </w:r>
      <w:r>
        <w:t xml:space="preserve"> the shipping papers</w:t>
      </w:r>
      <w:r w:rsidR="00447AE0">
        <w:t>prepared in accordance with 49 CFR part 172 subpart C, if applicable.</w:t>
      </w:r>
      <w:r>
        <w:t>.</w:t>
      </w:r>
    </w:p>
    <w:p w14:paraId="0BBCEACD" w14:textId="5F125CBB" w:rsidR="00311557" w:rsidRDefault="00311557" w:rsidP="00311557">
      <w:pPr>
        <w:spacing w:before="100" w:beforeAutospacing="1" w:after="100" w:afterAutospacing="1"/>
        <w:ind w:firstLine="720"/>
      </w:pPr>
      <w:r>
        <w:t>The periods of</w:t>
      </w:r>
      <w:r w:rsidRPr="004B4543">
        <w:t xml:space="preserve"> retention referred to in this section are extended automatically during the course of any unresolved enforcement action regarding the regulated activity</w:t>
      </w:r>
      <w:r>
        <w:t>,</w:t>
      </w:r>
      <w:r w:rsidRPr="004B4543">
        <w:t xml:space="preserve"> or as requested by the </w:t>
      </w:r>
      <w:r>
        <w:t xml:space="preserve">EPA Regional </w:t>
      </w:r>
      <w:r w:rsidRPr="004B4543">
        <w:t>Administrator.</w:t>
      </w:r>
    </w:p>
    <w:p w14:paraId="5E7C6386" w14:textId="5703FD8B" w:rsidR="004A61F5" w:rsidRDefault="004A61F5" w:rsidP="00311557">
      <w:pPr>
        <w:spacing w:before="100" w:beforeAutospacing="1" w:after="100" w:afterAutospacing="1"/>
        <w:ind w:firstLine="720"/>
      </w:pPr>
    </w:p>
    <w:p w14:paraId="6988700B" w14:textId="436395AA" w:rsidR="00F863FA" w:rsidRDefault="0030433B" w:rsidP="00F863FA">
      <w:pPr>
        <w:pStyle w:val="NoSpacing"/>
        <w:ind w:left="720" w:hanging="720"/>
        <w:rPr>
          <w:b/>
          <w:szCs w:val="24"/>
        </w:rPr>
      </w:pPr>
      <w:r w:rsidDel="0030433B">
        <w:t xml:space="preserve"> </w:t>
      </w:r>
      <w:r w:rsidR="00F863FA">
        <w:rPr>
          <w:b/>
          <w:szCs w:val="24"/>
        </w:rPr>
        <w:t>(</w:t>
      </w:r>
      <w:r w:rsidR="00311557">
        <w:rPr>
          <w:b/>
          <w:szCs w:val="24"/>
        </w:rPr>
        <w:t>3</w:t>
      </w:r>
      <w:r w:rsidR="00F863FA">
        <w:rPr>
          <w:b/>
          <w:szCs w:val="24"/>
        </w:rPr>
        <w:t>)</w:t>
      </w:r>
      <w:r w:rsidR="00F863FA">
        <w:rPr>
          <w:b/>
          <w:szCs w:val="24"/>
        </w:rPr>
        <w:tab/>
      </w:r>
      <w:r w:rsidR="00F863FA" w:rsidRPr="00CE1D60">
        <w:rPr>
          <w:b/>
          <w:szCs w:val="24"/>
        </w:rPr>
        <w:t>Ship</w:t>
      </w:r>
      <w:r w:rsidR="00F863FA">
        <w:rPr>
          <w:b/>
          <w:szCs w:val="24"/>
        </w:rPr>
        <w:t>ping</w:t>
      </w:r>
      <w:r w:rsidR="00F863FA" w:rsidRPr="00CE1D60">
        <w:rPr>
          <w:b/>
          <w:szCs w:val="24"/>
        </w:rPr>
        <w:t xml:space="preserve"> </w:t>
      </w:r>
      <w:r w:rsidR="006C061A">
        <w:rPr>
          <w:b/>
          <w:szCs w:val="24"/>
        </w:rPr>
        <w:t>N</w:t>
      </w:r>
      <w:r w:rsidR="00F863FA">
        <w:rPr>
          <w:b/>
          <w:szCs w:val="24"/>
        </w:rPr>
        <w:t>on-</w:t>
      </w:r>
      <w:r w:rsidR="006C061A">
        <w:rPr>
          <w:b/>
          <w:szCs w:val="24"/>
        </w:rPr>
        <w:t>C</w:t>
      </w:r>
      <w:r w:rsidR="00F863FA">
        <w:rPr>
          <w:b/>
          <w:szCs w:val="24"/>
        </w:rPr>
        <w:t xml:space="preserve">reditable </w:t>
      </w:r>
      <w:r w:rsidR="006C061A">
        <w:rPr>
          <w:b/>
          <w:szCs w:val="24"/>
        </w:rPr>
        <w:t>H</w:t>
      </w:r>
      <w:r w:rsidR="00F863FA" w:rsidRPr="00CE1D60">
        <w:rPr>
          <w:b/>
          <w:szCs w:val="24"/>
        </w:rPr>
        <w:t xml:space="preserve">azardous </w:t>
      </w:r>
      <w:r w:rsidR="006C061A">
        <w:rPr>
          <w:b/>
          <w:szCs w:val="24"/>
        </w:rPr>
        <w:t>W</w:t>
      </w:r>
      <w:r w:rsidR="00F863FA" w:rsidRPr="00CE1D60">
        <w:rPr>
          <w:b/>
          <w:szCs w:val="24"/>
        </w:rPr>
        <w:t xml:space="preserve">aste </w:t>
      </w:r>
      <w:r w:rsidR="006C061A">
        <w:rPr>
          <w:b/>
          <w:szCs w:val="24"/>
        </w:rPr>
        <w:t>P</w:t>
      </w:r>
      <w:r w:rsidR="00F863FA" w:rsidRPr="00CE1D60">
        <w:rPr>
          <w:b/>
          <w:szCs w:val="24"/>
        </w:rPr>
        <w:t>harmaceuticals</w:t>
      </w:r>
      <w:r w:rsidR="00F863FA">
        <w:rPr>
          <w:b/>
          <w:szCs w:val="24"/>
        </w:rPr>
        <w:t xml:space="preserve"> </w:t>
      </w:r>
      <w:r w:rsidR="00F863FA" w:rsidRPr="00CE1D60">
        <w:rPr>
          <w:b/>
          <w:szCs w:val="24"/>
        </w:rPr>
        <w:t xml:space="preserve">from </w:t>
      </w:r>
      <w:r w:rsidR="00F863FA">
        <w:rPr>
          <w:b/>
          <w:szCs w:val="24"/>
        </w:rPr>
        <w:t xml:space="preserve">a </w:t>
      </w:r>
      <w:r w:rsidR="006C061A">
        <w:rPr>
          <w:b/>
          <w:szCs w:val="24"/>
        </w:rPr>
        <w:t>H</w:t>
      </w:r>
      <w:r w:rsidR="00F863FA" w:rsidRPr="00CE1D60">
        <w:rPr>
          <w:b/>
          <w:szCs w:val="24"/>
        </w:rPr>
        <w:t xml:space="preserve">ealthcare </w:t>
      </w:r>
      <w:r w:rsidR="006C061A">
        <w:rPr>
          <w:b/>
          <w:szCs w:val="24"/>
        </w:rPr>
        <w:t>F</w:t>
      </w:r>
      <w:r w:rsidR="00F863FA" w:rsidRPr="00CE1D60">
        <w:rPr>
          <w:b/>
          <w:szCs w:val="24"/>
        </w:rPr>
        <w:t>acilit</w:t>
      </w:r>
      <w:r w:rsidR="00F863FA">
        <w:rPr>
          <w:b/>
          <w:szCs w:val="24"/>
        </w:rPr>
        <w:t>y</w:t>
      </w:r>
      <w:r w:rsidR="00F863FA" w:rsidRPr="00CE1D60">
        <w:rPr>
          <w:b/>
          <w:szCs w:val="24"/>
        </w:rPr>
        <w:t xml:space="preserve"> </w:t>
      </w:r>
      <w:r w:rsidR="00F863FA">
        <w:rPr>
          <w:b/>
          <w:szCs w:val="24"/>
        </w:rPr>
        <w:t xml:space="preserve">or </w:t>
      </w:r>
      <w:r w:rsidR="006C061A">
        <w:rPr>
          <w:b/>
          <w:szCs w:val="24"/>
        </w:rPr>
        <w:t>E</w:t>
      </w:r>
      <w:r w:rsidR="00F863FA">
        <w:rPr>
          <w:b/>
          <w:szCs w:val="24"/>
        </w:rPr>
        <w:t xml:space="preserve">valuated </w:t>
      </w:r>
      <w:r w:rsidR="006C061A">
        <w:rPr>
          <w:b/>
          <w:szCs w:val="24"/>
        </w:rPr>
        <w:t>H</w:t>
      </w:r>
      <w:r w:rsidR="00F863FA">
        <w:rPr>
          <w:b/>
          <w:szCs w:val="24"/>
        </w:rPr>
        <w:t xml:space="preserve">azardous </w:t>
      </w:r>
      <w:r w:rsidR="006C061A">
        <w:rPr>
          <w:b/>
          <w:szCs w:val="24"/>
        </w:rPr>
        <w:t>W</w:t>
      </w:r>
      <w:r w:rsidR="00F863FA">
        <w:rPr>
          <w:b/>
          <w:szCs w:val="24"/>
        </w:rPr>
        <w:t xml:space="preserve">aste </w:t>
      </w:r>
      <w:r w:rsidR="006C061A">
        <w:rPr>
          <w:b/>
          <w:szCs w:val="24"/>
        </w:rPr>
        <w:t>P</w:t>
      </w:r>
      <w:r w:rsidR="00F863FA">
        <w:rPr>
          <w:b/>
          <w:szCs w:val="24"/>
        </w:rPr>
        <w:t>harmaceuticals</w:t>
      </w:r>
      <w:r w:rsidR="006C061A">
        <w:rPr>
          <w:b/>
          <w:szCs w:val="24"/>
        </w:rPr>
        <w:t xml:space="preserve"> </w:t>
      </w:r>
      <w:r w:rsidR="00F863FA">
        <w:rPr>
          <w:b/>
          <w:szCs w:val="24"/>
        </w:rPr>
        <w:t xml:space="preserve">from a </w:t>
      </w:r>
      <w:r w:rsidR="006C061A">
        <w:rPr>
          <w:b/>
          <w:szCs w:val="24"/>
        </w:rPr>
        <w:t>R</w:t>
      </w:r>
      <w:r w:rsidR="00F863FA">
        <w:rPr>
          <w:b/>
          <w:szCs w:val="24"/>
        </w:rPr>
        <w:t xml:space="preserve">everse </w:t>
      </w:r>
      <w:r w:rsidR="006C061A">
        <w:rPr>
          <w:b/>
          <w:szCs w:val="24"/>
        </w:rPr>
        <w:t>D</w:t>
      </w:r>
      <w:r w:rsidR="00F863FA">
        <w:rPr>
          <w:b/>
          <w:szCs w:val="24"/>
        </w:rPr>
        <w:t>istributor</w:t>
      </w:r>
      <w:r w:rsidR="00F863FA" w:rsidRPr="00CE1D60">
        <w:rPr>
          <w:b/>
          <w:szCs w:val="24"/>
        </w:rPr>
        <w:t xml:space="preserve"> </w:t>
      </w:r>
      <w:r w:rsidR="006C061A">
        <w:rPr>
          <w:b/>
          <w:szCs w:val="24"/>
        </w:rPr>
        <w:t xml:space="preserve">Under </w:t>
      </w:r>
      <w:r w:rsidR="001B1D34">
        <w:rPr>
          <w:b/>
          <w:szCs w:val="24"/>
        </w:rPr>
        <w:t xml:space="preserve">40 CFR </w:t>
      </w:r>
      <w:r w:rsidR="006C061A">
        <w:rPr>
          <w:b/>
          <w:szCs w:val="24"/>
        </w:rPr>
        <w:t>§</w:t>
      </w:r>
      <w:r w:rsidR="00A0043E">
        <w:rPr>
          <w:b/>
          <w:szCs w:val="24"/>
        </w:rPr>
        <w:t xml:space="preserve"> </w:t>
      </w:r>
      <w:r w:rsidR="006C061A">
        <w:rPr>
          <w:b/>
          <w:szCs w:val="24"/>
        </w:rPr>
        <w:t>266.508</w:t>
      </w:r>
      <w:r w:rsidR="000020AE">
        <w:rPr>
          <w:b/>
          <w:szCs w:val="24"/>
        </w:rPr>
        <w:t>.</w:t>
      </w:r>
    </w:p>
    <w:p w14:paraId="323F5154" w14:textId="77777777" w:rsidR="00F863FA" w:rsidRDefault="00F863FA" w:rsidP="00F863FA">
      <w:pPr>
        <w:pStyle w:val="NoSpacing"/>
        <w:ind w:left="720" w:hanging="720"/>
        <w:rPr>
          <w:b/>
          <w:szCs w:val="24"/>
        </w:rPr>
      </w:pPr>
    </w:p>
    <w:p w14:paraId="5B5EFF06" w14:textId="6745A1C8" w:rsidR="00F863FA" w:rsidRDefault="00F863FA" w:rsidP="001F0E97">
      <w:pPr>
        <w:pStyle w:val="NoSpacing"/>
        <w:ind w:firstLine="720"/>
      </w:pPr>
      <w:r>
        <w:rPr>
          <w:szCs w:val="24"/>
        </w:rPr>
        <w:t xml:space="preserve">(A) </w:t>
      </w:r>
      <w:r w:rsidRPr="000020AE">
        <w:rPr>
          <w:b/>
          <w:i/>
        </w:rPr>
        <w:t>Labeling.</w:t>
      </w:r>
      <w:r w:rsidR="006C061A">
        <w:rPr>
          <w:b/>
        </w:rPr>
        <w:t xml:space="preserve"> </w:t>
      </w:r>
      <w:r w:rsidR="001F0E97">
        <w:t>A healthcare facility or reverse distributor must label</w:t>
      </w:r>
      <w:r w:rsidRPr="007E43B5">
        <w:t xml:space="preserve"> each package in accordance with the applicable Department of Transportation regulations on hazardous materials under 49 CFR part 172</w:t>
      </w:r>
      <w:r w:rsidR="00A14CCA">
        <w:t xml:space="preserve"> subpart E</w:t>
      </w:r>
      <w:r w:rsidRPr="007E43B5">
        <w:t>.</w:t>
      </w:r>
    </w:p>
    <w:p w14:paraId="4D1CC504" w14:textId="77777777" w:rsidR="001F0E97" w:rsidRPr="001F0E97" w:rsidRDefault="001F0E97" w:rsidP="001F0E97">
      <w:pPr>
        <w:pStyle w:val="NoSpacing"/>
        <w:ind w:firstLine="720"/>
        <w:rPr>
          <w:b/>
          <w:i/>
        </w:rPr>
      </w:pPr>
    </w:p>
    <w:p w14:paraId="666A656A" w14:textId="75A35C0F" w:rsidR="00F863FA" w:rsidRPr="006C061A" w:rsidRDefault="00F863FA" w:rsidP="00950624">
      <w:pPr>
        <w:ind w:firstLine="720"/>
        <w:rPr>
          <w:bCs/>
          <w:i/>
        </w:rPr>
      </w:pPr>
      <w:r>
        <w:rPr>
          <w:bCs/>
        </w:rPr>
        <w:t>(</w:t>
      </w:r>
      <w:r w:rsidR="001F0E97">
        <w:rPr>
          <w:bCs/>
        </w:rPr>
        <w:t>B</w:t>
      </w:r>
      <w:r w:rsidRPr="007E43B5">
        <w:rPr>
          <w:bCs/>
        </w:rPr>
        <w:t>)</w:t>
      </w:r>
      <w:r w:rsidRPr="007E43B5">
        <w:rPr>
          <w:bCs/>
          <w:i/>
        </w:rPr>
        <w:t xml:space="preserve"> </w:t>
      </w:r>
      <w:r w:rsidRPr="000020AE">
        <w:rPr>
          <w:b/>
          <w:bCs/>
          <w:i/>
        </w:rPr>
        <w:t>Marking.</w:t>
      </w:r>
      <w:r w:rsidR="006C061A">
        <w:rPr>
          <w:b/>
          <w:bCs/>
        </w:rPr>
        <w:t xml:space="preserve"> </w:t>
      </w:r>
      <w:r>
        <w:t>Mark</w:t>
      </w:r>
      <w:r w:rsidRPr="007E43B5">
        <w:t xml:space="preserve"> each package of hazardous waste </w:t>
      </w:r>
      <w:r>
        <w:t xml:space="preserve">pharmaceuticals </w:t>
      </w:r>
      <w:r w:rsidRPr="007E43B5">
        <w:t>in accordance with the applicable Department of Transportation regulations on hazardous materials under 49 CFR part 172</w:t>
      </w:r>
      <w:r w:rsidR="00A94549">
        <w:t xml:space="preserve"> Subpart D</w:t>
      </w:r>
      <w:r w:rsidRPr="007E43B5">
        <w:t xml:space="preserve">; </w:t>
      </w:r>
      <w:r>
        <w:t xml:space="preserve">Mark </w:t>
      </w:r>
      <w:r w:rsidRPr="007E43B5">
        <w:t>each container of 119 gallons or less used in such transportation with the following words and information in accordance with the requirements of 49 CFR 172.304:</w:t>
      </w:r>
    </w:p>
    <w:p w14:paraId="1AC1845A" w14:textId="77777777" w:rsidR="00F863FA" w:rsidRPr="002B6121" w:rsidRDefault="00F863FA" w:rsidP="00F863FA">
      <w:pPr>
        <w:ind w:firstLine="360"/>
        <w:rPr>
          <w:sz w:val="20"/>
          <w:szCs w:val="20"/>
        </w:rPr>
      </w:pPr>
      <w:r w:rsidRPr="002B6121">
        <w:rPr>
          <w:sz w:val="20"/>
          <w:szCs w:val="20"/>
        </w:rPr>
        <w:t>HAZARDOUS WASTE—Federal Law Prohibits Improper Disposal. If found, contact the nearest police or public safety authority or the U.S. Environmental Protection Agency.</w:t>
      </w:r>
    </w:p>
    <w:p w14:paraId="0CFF394E" w14:textId="561D668A" w:rsidR="00F863FA" w:rsidRPr="002B6121" w:rsidRDefault="00F863FA" w:rsidP="00F863FA">
      <w:pPr>
        <w:rPr>
          <w:sz w:val="20"/>
          <w:szCs w:val="20"/>
        </w:rPr>
      </w:pPr>
      <w:r>
        <w:rPr>
          <w:sz w:val="20"/>
          <w:szCs w:val="20"/>
        </w:rPr>
        <w:t xml:space="preserve">Healthcare Facility’s or Reverse Distributor’s </w:t>
      </w:r>
      <w:r w:rsidRPr="002B6121">
        <w:rPr>
          <w:sz w:val="20"/>
          <w:szCs w:val="20"/>
        </w:rPr>
        <w:t>Name and Address _____.</w:t>
      </w:r>
    </w:p>
    <w:p w14:paraId="36461930" w14:textId="1024B36E" w:rsidR="00F863FA" w:rsidRPr="002B6121" w:rsidRDefault="00F863FA" w:rsidP="00F863FA">
      <w:pPr>
        <w:ind w:left="480" w:hanging="480"/>
        <w:rPr>
          <w:sz w:val="20"/>
          <w:szCs w:val="20"/>
        </w:rPr>
      </w:pPr>
      <w:r>
        <w:rPr>
          <w:sz w:val="20"/>
          <w:szCs w:val="20"/>
        </w:rPr>
        <w:t xml:space="preserve">Healthcare Facility’s or Reverse Distributor’s </w:t>
      </w:r>
      <w:r w:rsidRPr="002B6121">
        <w:rPr>
          <w:sz w:val="20"/>
          <w:szCs w:val="20"/>
        </w:rPr>
        <w:t>EPA Identification Number_____.</w:t>
      </w:r>
    </w:p>
    <w:p w14:paraId="3A411497" w14:textId="77777777" w:rsidR="00F863FA" w:rsidRPr="002B6121" w:rsidRDefault="00F863FA" w:rsidP="00F863FA">
      <w:pPr>
        <w:ind w:left="480" w:hanging="480"/>
        <w:rPr>
          <w:sz w:val="20"/>
          <w:szCs w:val="20"/>
        </w:rPr>
      </w:pPr>
      <w:r w:rsidRPr="002B6121">
        <w:rPr>
          <w:sz w:val="20"/>
          <w:szCs w:val="20"/>
        </w:rPr>
        <w:t>Manifest Tracking Number _____.</w:t>
      </w:r>
    </w:p>
    <w:p w14:paraId="6DBFA9A3" w14:textId="77777777" w:rsidR="00F863FA" w:rsidRPr="00FB6FE8" w:rsidRDefault="00F863FA" w:rsidP="00F863FA">
      <w:pPr>
        <w:ind w:left="480" w:hanging="480"/>
        <w:rPr>
          <w:sz w:val="22"/>
        </w:rPr>
      </w:pPr>
    </w:p>
    <w:p w14:paraId="46AE756E" w14:textId="18ACB913" w:rsidR="008A3AD2" w:rsidRDefault="00F863FA" w:rsidP="00BB0397">
      <w:pPr>
        <w:ind w:firstLine="720"/>
      </w:pPr>
      <w:r>
        <w:t>(</w:t>
      </w:r>
      <w:r w:rsidR="001F0E97">
        <w:t>C</w:t>
      </w:r>
      <w:r>
        <w:t xml:space="preserve">) </w:t>
      </w:r>
      <w:r w:rsidRPr="000020AE">
        <w:rPr>
          <w:b/>
          <w:i/>
        </w:rPr>
        <w:t>Placarding.</w:t>
      </w:r>
      <w:r>
        <w:rPr>
          <w:i/>
        </w:rPr>
        <w:t xml:space="preserve">  </w:t>
      </w:r>
      <w:r>
        <w:t>P</w:t>
      </w:r>
      <w:r w:rsidRPr="007E43B5">
        <w:t>lacard or offer the initial transporter the appropriate placards according to Department of Transportation regulations for hazardous materials under 49 CFR part</w:t>
      </w:r>
      <w:r w:rsidR="003043E8">
        <w:t xml:space="preserve"> 1</w:t>
      </w:r>
      <w:r w:rsidRPr="007E43B5">
        <w:t>72, subpart F.</w:t>
      </w:r>
    </w:p>
    <w:p w14:paraId="66957F17" w14:textId="77777777" w:rsidR="00F863FA" w:rsidRPr="00CE1D60" w:rsidRDefault="00F863FA" w:rsidP="00F863FA">
      <w:pPr>
        <w:pStyle w:val="NoSpacing"/>
        <w:ind w:left="180"/>
        <w:rPr>
          <w:szCs w:val="24"/>
        </w:rPr>
      </w:pPr>
    </w:p>
    <w:p w14:paraId="1039812E" w14:textId="2F46150C" w:rsidR="00F863FA" w:rsidRDefault="00F863FA" w:rsidP="006C061A">
      <w:pPr>
        <w:pStyle w:val="NoSpacing"/>
        <w:ind w:firstLine="720"/>
        <w:rPr>
          <w:szCs w:val="24"/>
        </w:rPr>
      </w:pPr>
      <w:r w:rsidRPr="00321A64">
        <w:rPr>
          <w:szCs w:val="24"/>
        </w:rPr>
        <w:t>(</w:t>
      </w:r>
      <w:r w:rsidR="00BB0397">
        <w:rPr>
          <w:szCs w:val="24"/>
        </w:rPr>
        <w:t>D</w:t>
      </w:r>
      <w:r w:rsidR="009775D5">
        <w:rPr>
          <w:szCs w:val="24"/>
        </w:rPr>
        <w:t>)</w:t>
      </w:r>
      <w:r>
        <w:rPr>
          <w:szCs w:val="24"/>
        </w:rPr>
        <w:t xml:space="preserve"> </w:t>
      </w:r>
      <w:r w:rsidR="006C061A" w:rsidRPr="000020AE">
        <w:rPr>
          <w:b/>
          <w:i/>
          <w:szCs w:val="24"/>
        </w:rPr>
        <w:t>M</w:t>
      </w:r>
      <w:r w:rsidRPr="000020AE">
        <w:rPr>
          <w:b/>
          <w:i/>
          <w:szCs w:val="24"/>
        </w:rPr>
        <w:t>anifest</w:t>
      </w:r>
      <w:r w:rsidR="006C061A" w:rsidRPr="000020AE">
        <w:rPr>
          <w:b/>
          <w:i/>
          <w:szCs w:val="24"/>
        </w:rPr>
        <w:t>ing.</w:t>
      </w:r>
      <w:r w:rsidR="006C061A">
        <w:rPr>
          <w:szCs w:val="24"/>
        </w:rPr>
        <w:t xml:space="preserve"> The </w:t>
      </w:r>
      <w:r>
        <w:rPr>
          <w:szCs w:val="24"/>
        </w:rPr>
        <w:t>requirements of part 262 s</w:t>
      </w:r>
      <w:r w:rsidRPr="00CE1D60">
        <w:rPr>
          <w:szCs w:val="24"/>
        </w:rPr>
        <w:t>ubpart B</w:t>
      </w:r>
      <w:r>
        <w:rPr>
          <w:szCs w:val="24"/>
        </w:rPr>
        <w:t>, except that:</w:t>
      </w:r>
    </w:p>
    <w:p w14:paraId="091D83CD" w14:textId="77777777" w:rsidR="00F863FA" w:rsidRDefault="00F863FA" w:rsidP="00F863FA">
      <w:pPr>
        <w:pStyle w:val="NoSpacing"/>
        <w:ind w:firstLine="360"/>
        <w:rPr>
          <w:szCs w:val="24"/>
        </w:rPr>
      </w:pPr>
    </w:p>
    <w:p w14:paraId="4C560AE4" w14:textId="43FD8C64" w:rsidR="00F863FA" w:rsidRDefault="00F863FA" w:rsidP="006C061A">
      <w:pPr>
        <w:pStyle w:val="NoSpacing"/>
        <w:ind w:firstLine="720"/>
        <w:rPr>
          <w:szCs w:val="24"/>
        </w:rPr>
      </w:pPr>
      <w:r w:rsidRPr="004712AE">
        <w:rPr>
          <w:szCs w:val="24"/>
        </w:rPr>
        <w:t>(i)</w:t>
      </w:r>
      <w:r>
        <w:rPr>
          <w:szCs w:val="24"/>
        </w:rPr>
        <w:t xml:space="preserve"> A healthcare facility shipping non-creditable hazardous waste pharmaceuticals is not required to</w:t>
      </w:r>
      <w:r w:rsidRPr="00CE1D60">
        <w:rPr>
          <w:szCs w:val="24"/>
        </w:rPr>
        <w:t xml:space="preserve"> list </w:t>
      </w:r>
      <w:r w:rsidR="00A94549">
        <w:rPr>
          <w:szCs w:val="24"/>
        </w:rPr>
        <w:t xml:space="preserve">all applicable </w:t>
      </w:r>
      <w:r>
        <w:rPr>
          <w:szCs w:val="24"/>
        </w:rPr>
        <w:t xml:space="preserve">hazardous </w:t>
      </w:r>
      <w:r w:rsidRPr="00CE1D60">
        <w:rPr>
          <w:szCs w:val="24"/>
        </w:rPr>
        <w:t xml:space="preserve">waste </w:t>
      </w:r>
      <w:r w:rsidR="00A94549">
        <w:rPr>
          <w:szCs w:val="24"/>
        </w:rPr>
        <w:t xml:space="preserve">numbers (i.e., hazardous waste </w:t>
      </w:r>
      <w:r w:rsidRPr="00CE1D60">
        <w:rPr>
          <w:szCs w:val="24"/>
        </w:rPr>
        <w:t>codes</w:t>
      </w:r>
      <w:r w:rsidR="00A94549">
        <w:rPr>
          <w:szCs w:val="24"/>
        </w:rPr>
        <w:t>)</w:t>
      </w:r>
      <w:r w:rsidRPr="00CE1D60">
        <w:rPr>
          <w:szCs w:val="24"/>
        </w:rPr>
        <w:t xml:space="preserve"> in </w:t>
      </w:r>
      <w:r w:rsidR="00A94549">
        <w:rPr>
          <w:szCs w:val="24"/>
        </w:rPr>
        <w:t xml:space="preserve">Item </w:t>
      </w:r>
      <w:r>
        <w:rPr>
          <w:szCs w:val="24"/>
        </w:rPr>
        <w:t>13 of EPA F</w:t>
      </w:r>
      <w:r w:rsidRPr="00CE1D60">
        <w:rPr>
          <w:szCs w:val="24"/>
        </w:rPr>
        <w:t>orm 8700-22</w:t>
      </w:r>
      <w:r>
        <w:rPr>
          <w:szCs w:val="24"/>
        </w:rPr>
        <w:t xml:space="preserve">.  </w:t>
      </w:r>
    </w:p>
    <w:p w14:paraId="1BECA83E" w14:textId="77777777" w:rsidR="00F863FA" w:rsidRDefault="00F863FA" w:rsidP="00F863FA">
      <w:pPr>
        <w:pStyle w:val="NoSpacing"/>
        <w:ind w:firstLine="360"/>
        <w:rPr>
          <w:szCs w:val="24"/>
        </w:rPr>
      </w:pPr>
    </w:p>
    <w:p w14:paraId="60FF1D13" w14:textId="15FC8C9E" w:rsidR="00F863FA" w:rsidRDefault="00F863FA" w:rsidP="006C061A">
      <w:pPr>
        <w:pStyle w:val="NoSpacing"/>
        <w:ind w:firstLine="720"/>
        <w:rPr>
          <w:szCs w:val="24"/>
        </w:rPr>
      </w:pPr>
      <w:r>
        <w:rPr>
          <w:szCs w:val="24"/>
        </w:rPr>
        <w:t>(ii) A healthcare facility shipping non-creditable hazardous waste pharmaceuticals must write the words</w:t>
      </w:r>
      <w:r w:rsidRPr="00CE1D60">
        <w:rPr>
          <w:szCs w:val="24"/>
        </w:rPr>
        <w:t xml:space="preserve"> “</w:t>
      </w:r>
      <w:r w:rsidR="00766052">
        <w:rPr>
          <w:szCs w:val="24"/>
        </w:rPr>
        <w:t>PHARMS</w:t>
      </w:r>
      <w:r w:rsidRPr="00CE1D60">
        <w:rPr>
          <w:szCs w:val="24"/>
        </w:rPr>
        <w:t xml:space="preserve">” in </w:t>
      </w:r>
      <w:r w:rsidR="00766052">
        <w:rPr>
          <w:szCs w:val="24"/>
        </w:rPr>
        <w:t>Item 13</w:t>
      </w:r>
      <w:r>
        <w:rPr>
          <w:szCs w:val="24"/>
        </w:rPr>
        <w:t xml:space="preserve"> of EPA F</w:t>
      </w:r>
      <w:r w:rsidRPr="00CE1D60">
        <w:rPr>
          <w:szCs w:val="24"/>
        </w:rPr>
        <w:t>orm 8700-22.</w:t>
      </w:r>
    </w:p>
    <w:p w14:paraId="360B57D7" w14:textId="77777777" w:rsidR="000020AE" w:rsidRDefault="000020AE" w:rsidP="000020AE">
      <w:pPr>
        <w:pStyle w:val="NoSpacing"/>
        <w:rPr>
          <w:szCs w:val="24"/>
        </w:rPr>
      </w:pPr>
    </w:p>
    <w:p w14:paraId="6C35A932" w14:textId="61772C77" w:rsidR="000020AE" w:rsidRDefault="000020AE" w:rsidP="000020AE">
      <w:pPr>
        <w:pStyle w:val="NoSpacing"/>
        <w:ind w:firstLine="720"/>
        <w:rPr>
          <w:szCs w:val="24"/>
        </w:rPr>
      </w:pPr>
      <w:r w:rsidRPr="00321A64">
        <w:rPr>
          <w:szCs w:val="24"/>
        </w:rPr>
        <w:t>(</w:t>
      </w:r>
      <w:r w:rsidR="00BB0397">
        <w:rPr>
          <w:szCs w:val="24"/>
        </w:rPr>
        <w:t>E</w:t>
      </w:r>
      <w:r w:rsidRPr="0066516F">
        <w:rPr>
          <w:i/>
          <w:szCs w:val="24"/>
        </w:rPr>
        <w:t xml:space="preserve">) </w:t>
      </w:r>
      <w:r w:rsidRPr="0066516F">
        <w:rPr>
          <w:b/>
          <w:i/>
          <w:szCs w:val="24"/>
        </w:rPr>
        <w:t xml:space="preserve">Exporting </w:t>
      </w:r>
      <w:r w:rsidR="0066516F" w:rsidRPr="0066516F">
        <w:rPr>
          <w:b/>
          <w:i/>
          <w:szCs w:val="24"/>
        </w:rPr>
        <w:t>Requirements</w:t>
      </w:r>
      <w:r w:rsidRPr="0066516F">
        <w:rPr>
          <w:b/>
          <w:i/>
          <w:szCs w:val="24"/>
        </w:rPr>
        <w:t>.</w:t>
      </w:r>
      <w:r>
        <w:rPr>
          <w:i/>
          <w:szCs w:val="24"/>
        </w:rPr>
        <w:t xml:space="preserve"> </w:t>
      </w:r>
      <w:r w:rsidRPr="00CE1D60">
        <w:rPr>
          <w:szCs w:val="24"/>
        </w:rPr>
        <w:t xml:space="preserve">A healthcare facility or </w:t>
      </w:r>
      <w:r>
        <w:rPr>
          <w:szCs w:val="24"/>
        </w:rPr>
        <w:t>reverse distributor</w:t>
      </w:r>
      <w:r w:rsidRPr="00CE1D60">
        <w:rPr>
          <w:szCs w:val="24"/>
        </w:rPr>
        <w:t xml:space="preserve"> that exports </w:t>
      </w:r>
      <w:r>
        <w:rPr>
          <w:szCs w:val="24"/>
        </w:rPr>
        <w:t xml:space="preserve">non-creditable </w:t>
      </w:r>
      <w:r w:rsidR="009775D5">
        <w:rPr>
          <w:szCs w:val="24"/>
        </w:rPr>
        <w:t xml:space="preserve">hazardous waste pharmaceuticals </w:t>
      </w:r>
      <w:r>
        <w:rPr>
          <w:szCs w:val="24"/>
        </w:rPr>
        <w:t xml:space="preserve">or evaluated </w:t>
      </w:r>
      <w:r w:rsidRPr="00CE1D60">
        <w:rPr>
          <w:szCs w:val="24"/>
        </w:rPr>
        <w:t xml:space="preserve">hazardous waste pharmaceuticals </w:t>
      </w:r>
      <w:r>
        <w:rPr>
          <w:szCs w:val="24"/>
        </w:rPr>
        <w:t>is subject to</w:t>
      </w:r>
      <w:r w:rsidRPr="00CE1D60">
        <w:rPr>
          <w:szCs w:val="24"/>
        </w:rPr>
        <w:t xml:space="preserve"> </w:t>
      </w:r>
      <w:r>
        <w:rPr>
          <w:szCs w:val="24"/>
        </w:rPr>
        <w:t>part 262 s</w:t>
      </w:r>
      <w:r w:rsidR="00856BB9">
        <w:rPr>
          <w:szCs w:val="24"/>
        </w:rPr>
        <w:t>ubpart H</w:t>
      </w:r>
      <w:r>
        <w:rPr>
          <w:szCs w:val="24"/>
        </w:rPr>
        <w:t>.</w:t>
      </w:r>
    </w:p>
    <w:p w14:paraId="61A8D80D" w14:textId="77777777" w:rsidR="000020AE" w:rsidRDefault="000020AE" w:rsidP="000020AE">
      <w:pPr>
        <w:pStyle w:val="NoSpacing"/>
        <w:ind w:left="180"/>
        <w:rPr>
          <w:szCs w:val="24"/>
        </w:rPr>
      </w:pPr>
    </w:p>
    <w:p w14:paraId="2575525A" w14:textId="5B2B1CA3" w:rsidR="000020AE" w:rsidRDefault="000020AE" w:rsidP="000020AE">
      <w:pPr>
        <w:pStyle w:val="NoSpacing"/>
        <w:ind w:firstLine="720"/>
        <w:rPr>
          <w:szCs w:val="24"/>
        </w:rPr>
      </w:pPr>
      <w:r w:rsidRPr="00321A64">
        <w:rPr>
          <w:szCs w:val="24"/>
        </w:rPr>
        <w:t>(</w:t>
      </w:r>
      <w:r w:rsidR="00BB0397">
        <w:rPr>
          <w:szCs w:val="24"/>
        </w:rPr>
        <w:t>F</w:t>
      </w:r>
      <w:r w:rsidRPr="00321A64">
        <w:rPr>
          <w:szCs w:val="24"/>
        </w:rPr>
        <w:t>)</w:t>
      </w:r>
      <w:r>
        <w:rPr>
          <w:szCs w:val="24"/>
        </w:rPr>
        <w:t xml:space="preserve"> </w:t>
      </w:r>
      <w:r w:rsidRPr="0066516F">
        <w:rPr>
          <w:b/>
          <w:i/>
          <w:szCs w:val="24"/>
        </w:rPr>
        <w:t xml:space="preserve">Importing </w:t>
      </w:r>
      <w:r w:rsidR="0066516F" w:rsidRPr="0066516F">
        <w:rPr>
          <w:b/>
          <w:i/>
          <w:szCs w:val="24"/>
        </w:rPr>
        <w:t>Requirement</w:t>
      </w:r>
      <w:r w:rsidRPr="0066516F">
        <w:rPr>
          <w:b/>
          <w:i/>
          <w:szCs w:val="24"/>
        </w:rPr>
        <w:t>s.</w:t>
      </w:r>
      <w:r>
        <w:rPr>
          <w:i/>
          <w:szCs w:val="24"/>
        </w:rPr>
        <w:t xml:space="preserve">  </w:t>
      </w:r>
      <w:r>
        <w:rPr>
          <w:szCs w:val="24"/>
        </w:rPr>
        <w:t xml:space="preserve">Any person that imports non-creditable </w:t>
      </w:r>
      <w:r w:rsidR="009775D5">
        <w:rPr>
          <w:szCs w:val="24"/>
        </w:rPr>
        <w:t xml:space="preserve">hazardous waste pharmaceuticals </w:t>
      </w:r>
      <w:r>
        <w:rPr>
          <w:szCs w:val="24"/>
        </w:rPr>
        <w:t xml:space="preserve">or evaluated hazardous waste pharmaceuticals </w:t>
      </w:r>
      <w:r w:rsidR="00856BB9">
        <w:rPr>
          <w:szCs w:val="24"/>
        </w:rPr>
        <w:t>is subject to part 262 subpart H</w:t>
      </w:r>
      <w:r>
        <w:rPr>
          <w:szCs w:val="24"/>
        </w:rPr>
        <w:t xml:space="preserve">.  </w:t>
      </w:r>
      <w:r w:rsidRPr="001911C9">
        <w:rPr>
          <w:szCs w:val="24"/>
        </w:rPr>
        <w:t xml:space="preserve">A </w:t>
      </w:r>
      <w:r>
        <w:rPr>
          <w:szCs w:val="24"/>
        </w:rPr>
        <w:t xml:space="preserve">healthcare facility or reverse distributor may not accept imported non-creditable </w:t>
      </w:r>
      <w:r w:rsidR="009775D5">
        <w:rPr>
          <w:szCs w:val="24"/>
        </w:rPr>
        <w:t xml:space="preserve">hazardous waste pharmaceuticals </w:t>
      </w:r>
      <w:r>
        <w:rPr>
          <w:szCs w:val="24"/>
        </w:rPr>
        <w:t xml:space="preserve">or evaluated hazardous waste pharmaceuticals, unless they have a permit or interim status that allows them to accept hazardous waste from off-site.  </w:t>
      </w:r>
    </w:p>
    <w:p w14:paraId="20E50231" w14:textId="77777777" w:rsidR="0066516F" w:rsidRDefault="0066516F" w:rsidP="000020AE">
      <w:pPr>
        <w:pStyle w:val="NoSpacing"/>
        <w:ind w:firstLine="720"/>
        <w:rPr>
          <w:szCs w:val="24"/>
        </w:rPr>
      </w:pPr>
    </w:p>
    <w:p w14:paraId="0C91CDD2" w14:textId="43EEDEE1" w:rsidR="0066516F" w:rsidRDefault="0066516F" w:rsidP="0016041B">
      <w:pPr>
        <w:pStyle w:val="NoSpacing"/>
        <w:ind w:left="720" w:hanging="720"/>
        <w:rPr>
          <w:b/>
          <w:szCs w:val="24"/>
        </w:rPr>
      </w:pPr>
      <w:r>
        <w:rPr>
          <w:b/>
          <w:szCs w:val="24"/>
        </w:rPr>
        <w:t>(</w:t>
      </w:r>
      <w:r w:rsidR="00311557">
        <w:rPr>
          <w:b/>
          <w:szCs w:val="24"/>
        </w:rPr>
        <w:t>4</w:t>
      </w:r>
      <w:r>
        <w:rPr>
          <w:b/>
          <w:szCs w:val="24"/>
        </w:rPr>
        <w:t xml:space="preserve">) </w:t>
      </w:r>
      <w:r>
        <w:rPr>
          <w:b/>
          <w:szCs w:val="24"/>
        </w:rPr>
        <w:tab/>
      </w:r>
      <w:r w:rsidRPr="004C665F">
        <w:rPr>
          <w:b/>
          <w:szCs w:val="24"/>
        </w:rPr>
        <w:t>Shipping P</w:t>
      </w:r>
      <w:r w:rsidRPr="00CE1D60">
        <w:rPr>
          <w:b/>
          <w:szCs w:val="24"/>
        </w:rPr>
        <w:t xml:space="preserve">otentially </w:t>
      </w:r>
      <w:r>
        <w:rPr>
          <w:b/>
          <w:szCs w:val="24"/>
        </w:rPr>
        <w:t>C</w:t>
      </w:r>
      <w:r w:rsidRPr="00CE1D60">
        <w:rPr>
          <w:b/>
          <w:szCs w:val="24"/>
        </w:rPr>
        <w:t xml:space="preserve">reditable </w:t>
      </w:r>
      <w:r>
        <w:rPr>
          <w:b/>
          <w:szCs w:val="24"/>
        </w:rPr>
        <w:t>H</w:t>
      </w:r>
      <w:r w:rsidRPr="00CE1D60">
        <w:rPr>
          <w:b/>
          <w:szCs w:val="24"/>
        </w:rPr>
        <w:t xml:space="preserve">azardous </w:t>
      </w:r>
      <w:r>
        <w:rPr>
          <w:b/>
          <w:szCs w:val="24"/>
        </w:rPr>
        <w:t>W</w:t>
      </w:r>
      <w:r w:rsidRPr="00CE1D60">
        <w:rPr>
          <w:b/>
          <w:szCs w:val="24"/>
        </w:rPr>
        <w:t xml:space="preserve">aste </w:t>
      </w:r>
      <w:r>
        <w:rPr>
          <w:b/>
          <w:szCs w:val="24"/>
        </w:rPr>
        <w:t>P</w:t>
      </w:r>
      <w:r w:rsidRPr="00CE1D60">
        <w:rPr>
          <w:b/>
          <w:szCs w:val="24"/>
        </w:rPr>
        <w:t>harmaceuticals</w:t>
      </w:r>
      <w:r>
        <w:rPr>
          <w:b/>
          <w:szCs w:val="24"/>
        </w:rPr>
        <w:t xml:space="preserve"> from a Healthcare Facility or a Reverse Distributor</w:t>
      </w:r>
      <w:r w:rsidR="001B1D34">
        <w:rPr>
          <w:b/>
          <w:szCs w:val="24"/>
        </w:rPr>
        <w:t xml:space="preserve"> </w:t>
      </w:r>
      <w:r>
        <w:rPr>
          <w:b/>
          <w:szCs w:val="24"/>
        </w:rPr>
        <w:t>to a Reverse Distributor</w:t>
      </w:r>
      <w:r w:rsidR="00957BCA">
        <w:rPr>
          <w:b/>
          <w:szCs w:val="24"/>
        </w:rPr>
        <w:t xml:space="preserve"> </w:t>
      </w:r>
      <w:r w:rsidR="006948D3">
        <w:rPr>
          <w:b/>
          <w:szCs w:val="24"/>
        </w:rPr>
        <w:t>Under</w:t>
      </w:r>
      <w:r w:rsidR="00957BCA">
        <w:rPr>
          <w:b/>
          <w:szCs w:val="24"/>
        </w:rPr>
        <w:t xml:space="preserve"> </w:t>
      </w:r>
      <w:r w:rsidR="001B1D34">
        <w:rPr>
          <w:b/>
          <w:szCs w:val="24"/>
        </w:rPr>
        <w:t xml:space="preserve">40 CFR </w:t>
      </w:r>
      <w:r w:rsidR="006948D3">
        <w:rPr>
          <w:b/>
          <w:szCs w:val="24"/>
        </w:rPr>
        <w:t>§</w:t>
      </w:r>
      <w:r w:rsidR="001B1D34">
        <w:rPr>
          <w:b/>
          <w:szCs w:val="24"/>
        </w:rPr>
        <w:t xml:space="preserve"> </w:t>
      </w:r>
      <w:r>
        <w:rPr>
          <w:b/>
          <w:szCs w:val="24"/>
        </w:rPr>
        <w:t>266.509.</w:t>
      </w:r>
    </w:p>
    <w:p w14:paraId="5091B7B9" w14:textId="77777777" w:rsidR="0066516F" w:rsidRPr="00CE1D60" w:rsidRDefault="0066516F" w:rsidP="0066516F">
      <w:pPr>
        <w:pStyle w:val="NoSpacing"/>
        <w:rPr>
          <w:b/>
          <w:szCs w:val="24"/>
        </w:rPr>
      </w:pPr>
    </w:p>
    <w:p w14:paraId="71B5D6BA" w14:textId="3760022D" w:rsidR="0066516F" w:rsidRDefault="0066516F" w:rsidP="003B17CD">
      <w:pPr>
        <w:pStyle w:val="NoSpacing"/>
        <w:ind w:firstLine="720"/>
        <w:rPr>
          <w:szCs w:val="24"/>
        </w:rPr>
      </w:pPr>
      <w:r w:rsidRPr="00321A64">
        <w:rPr>
          <w:szCs w:val="24"/>
        </w:rPr>
        <w:t>(</w:t>
      </w:r>
      <w:r>
        <w:rPr>
          <w:szCs w:val="24"/>
        </w:rPr>
        <w:t>A</w:t>
      </w:r>
      <w:r w:rsidRPr="00321A64">
        <w:rPr>
          <w:szCs w:val="24"/>
        </w:rPr>
        <w:t>)</w:t>
      </w:r>
      <w:r>
        <w:rPr>
          <w:szCs w:val="24"/>
        </w:rPr>
        <w:t xml:space="preserve">  </w:t>
      </w:r>
      <w:r w:rsidR="00CE1F49">
        <w:rPr>
          <w:b/>
          <w:i/>
          <w:szCs w:val="24"/>
        </w:rPr>
        <w:t>Delivery Confirmation.</w:t>
      </w:r>
      <w:r w:rsidR="00CE1F49">
        <w:rPr>
          <w:szCs w:val="24"/>
        </w:rPr>
        <w:t xml:space="preserve"> </w:t>
      </w:r>
      <w:r>
        <w:rPr>
          <w:szCs w:val="24"/>
        </w:rPr>
        <w:t>Upon receipt of each shipment of potentially creditable hazardous waste pharmaceuticals, t</w:t>
      </w:r>
      <w:r w:rsidRPr="00CE1D60">
        <w:rPr>
          <w:szCs w:val="24"/>
        </w:rPr>
        <w:t xml:space="preserve">he </w:t>
      </w:r>
      <w:r>
        <w:rPr>
          <w:szCs w:val="24"/>
        </w:rPr>
        <w:t>receiving</w:t>
      </w:r>
      <w:r w:rsidRPr="00CE1D60">
        <w:rPr>
          <w:szCs w:val="24"/>
        </w:rPr>
        <w:t xml:space="preserve"> </w:t>
      </w:r>
      <w:r>
        <w:rPr>
          <w:szCs w:val="24"/>
        </w:rPr>
        <w:t>reverse distributor</w:t>
      </w:r>
      <w:r w:rsidRPr="00CE1D60">
        <w:rPr>
          <w:szCs w:val="24"/>
        </w:rPr>
        <w:t xml:space="preserve"> must </w:t>
      </w:r>
      <w:r>
        <w:rPr>
          <w:szCs w:val="24"/>
        </w:rPr>
        <w:t>provide</w:t>
      </w:r>
      <w:r w:rsidRPr="00CE1D60">
        <w:rPr>
          <w:szCs w:val="24"/>
        </w:rPr>
        <w:t xml:space="preserve"> confirmation</w:t>
      </w:r>
      <w:r>
        <w:rPr>
          <w:szCs w:val="24"/>
        </w:rPr>
        <w:t xml:space="preserve"> (paper</w:t>
      </w:r>
      <w:r w:rsidRPr="00CE1D60">
        <w:rPr>
          <w:szCs w:val="24"/>
        </w:rPr>
        <w:t xml:space="preserve"> or electronic</w:t>
      </w:r>
      <w:r>
        <w:rPr>
          <w:szCs w:val="24"/>
        </w:rPr>
        <w:t>)</w:t>
      </w:r>
      <w:r w:rsidRPr="00CE1D60">
        <w:rPr>
          <w:szCs w:val="24"/>
        </w:rPr>
        <w:t xml:space="preserve"> </w:t>
      </w:r>
      <w:r>
        <w:rPr>
          <w:szCs w:val="24"/>
        </w:rPr>
        <w:t>to the healthcare facility or reverse distributor</w:t>
      </w:r>
      <w:r w:rsidRPr="00CE1D60">
        <w:rPr>
          <w:szCs w:val="24"/>
        </w:rPr>
        <w:t xml:space="preserve"> that</w:t>
      </w:r>
      <w:r>
        <w:rPr>
          <w:szCs w:val="24"/>
        </w:rPr>
        <w:t xml:space="preserve"> initiate</w:t>
      </w:r>
      <w:r w:rsidR="00974995">
        <w:rPr>
          <w:szCs w:val="24"/>
        </w:rPr>
        <w:t>d</w:t>
      </w:r>
      <w:r w:rsidRPr="00CE1D60">
        <w:rPr>
          <w:szCs w:val="24"/>
        </w:rPr>
        <w:t xml:space="preserve"> the shipment </w:t>
      </w:r>
      <w:r>
        <w:rPr>
          <w:szCs w:val="24"/>
        </w:rPr>
        <w:t xml:space="preserve">that the shipment of potentially creditable hazardous waste pharmaceuticals has </w:t>
      </w:r>
      <w:r w:rsidRPr="00CE1D60">
        <w:rPr>
          <w:szCs w:val="24"/>
        </w:rPr>
        <w:t>arri</w:t>
      </w:r>
      <w:r>
        <w:rPr>
          <w:szCs w:val="24"/>
        </w:rPr>
        <w:t>ved</w:t>
      </w:r>
      <w:r w:rsidR="00C60441">
        <w:rPr>
          <w:szCs w:val="24"/>
        </w:rPr>
        <w:t xml:space="preserve"> at its destination and is under the custody and control of the reverse distributor</w:t>
      </w:r>
      <w:r>
        <w:rPr>
          <w:szCs w:val="24"/>
        </w:rPr>
        <w:t>.</w:t>
      </w:r>
      <w:r w:rsidR="00CE1F49">
        <w:rPr>
          <w:szCs w:val="24"/>
        </w:rPr>
        <w:t xml:space="preserve"> </w:t>
      </w:r>
      <w:r>
        <w:rPr>
          <w:szCs w:val="24"/>
        </w:rPr>
        <w:t xml:space="preserve">If a healthcare facility or reverse distributor initiates a shipment of potentially creditable hazardous waste pharmaceuticals to a reverse distributor and does not receive delivery confirmation within </w:t>
      </w:r>
      <w:r w:rsidR="00C62A1B">
        <w:rPr>
          <w:szCs w:val="24"/>
        </w:rPr>
        <w:t>35</w:t>
      </w:r>
      <w:r>
        <w:rPr>
          <w:szCs w:val="24"/>
        </w:rPr>
        <w:t xml:space="preserve"> calendar days from the date that the shipment of potentially creditable hazardous waste pharmaceuticals was sent, the </w:t>
      </w:r>
      <w:r w:rsidR="007A35B2">
        <w:rPr>
          <w:szCs w:val="24"/>
        </w:rPr>
        <w:t xml:space="preserve">healthcare </w:t>
      </w:r>
      <w:r>
        <w:rPr>
          <w:szCs w:val="24"/>
        </w:rPr>
        <w:t xml:space="preserve">facility </w:t>
      </w:r>
      <w:r w:rsidR="007A35B2">
        <w:rPr>
          <w:szCs w:val="24"/>
        </w:rPr>
        <w:t xml:space="preserve">or reverse distributor </w:t>
      </w:r>
      <w:r>
        <w:rPr>
          <w:szCs w:val="24"/>
        </w:rPr>
        <w:t xml:space="preserve">that initiated the shipment must contact the </w:t>
      </w:r>
      <w:r w:rsidR="00C60441">
        <w:rPr>
          <w:szCs w:val="24"/>
        </w:rPr>
        <w:t xml:space="preserve">carrier </w:t>
      </w:r>
      <w:r>
        <w:rPr>
          <w:szCs w:val="24"/>
        </w:rPr>
        <w:t>and the intended recipient</w:t>
      </w:r>
      <w:r w:rsidR="007A35B2">
        <w:rPr>
          <w:szCs w:val="24"/>
        </w:rPr>
        <w:t xml:space="preserve"> (i.e., the reverse distributor</w:t>
      </w:r>
      <w:r w:rsidR="00C60441">
        <w:rPr>
          <w:szCs w:val="24"/>
        </w:rPr>
        <w:t>)</w:t>
      </w:r>
      <w:r>
        <w:rPr>
          <w:szCs w:val="24"/>
        </w:rPr>
        <w:t xml:space="preserve"> promptly to report that the </w:t>
      </w:r>
      <w:r w:rsidR="00C60441">
        <w:rPr>
          <w:szCs w:val="24"/>
        </w:rPr>
        <w:t xml:space="preserve">delivery </w:t>
      </w:r>
      <w:r>
        <w:rPr>
          <w:szCs w:val="24"/>
        </w:rPr>
        <w:t>confirmation was not received and to determine the status of the potentially creditable hazardous waste pharmaceuticals.</w:t>
      </w:r>
    </w:p>
    <w:p w14:paraId="67FB9288" w14:textId="77777777" w:rsidR="0066516F" w:rsidRDefault="0066516F" w:rsidP="0066516F">
      <w:pPr>
        <w:pStyle w:val="NoSpacing"/>
        <w:rPr>
          <w:szCs w:val="24"/>
        </w:rPr>
      </w:pPr>
    </w:p>
    <w:p w14:paraId="39315A13" w14:textId="741C7A54" w:rsidR="0066516F" w:rsidRDefault="0066516F" w:rsidP="0016041B">
      <w:pPr>
        <w:pStyle w:val="NoSpacing"/>
        <w:ind w:firstLine="720"/>
        <w:rPr>
          <w:szCs w:val="24"/>
        </w:rPr>
      </w:pPr>
      <w:r w:rsidRPr="00321A64">
        <w:rPr>
          <w:szCs w:val="24"/>
        </w:rPr>
        <w:t>(</w:t>
      </w:r>
      <w:r w:rsidR="003B17CD">
        <w:rPr>
          <w:szCs w:val="24"/>
        </w:rPr>
        <w:t>B</w:t>
      </w:r>
      <w:r w:rsidRPr="00321A64">
        <w:rPr>
          <w:szCs w:val="24"/>
        </w:rPr>
        <w:t>)</w:t>
      </w:r>
      <w:r>
        <w:rPr>
          <w:szCs w:val="24"/>
        </w:rPr>
        <w:t xml:space="preserve"> </w:t>
      </w:r>
      <w:r w:rsidRPr="00CE1F49">
        <w:rPr>
          <w:b/>
          <w:i/>
          <w:szCs w:val="24"/>
        </w:rPr>
        <w:t xml:space="preserve">Exporting </w:t>
      </w:r>
      <w:r w:rsidR="00CE1F49" w:rsidRPr="00CE1F49">
        <w:rPr>
          <w:b/>
          <w:i/>
          <w:szCs w:val="24"/>
        </w:rPr>
        <w:t>Requirements</w:t>
      </w:r>
      <w:r w:rsidRPr="00CE1F49">
        <w:rPr>
          <w:b/>
          <w:i/>
          <w:szCs w:val="24"/>
        </w:rPr>
        <w:t>.</w:t>
      </w:r>
      <w:r>
        <w:rPr>
          <w:i/>
          <w:szCs w:val="24"/>
        </w:rPr>
        <w:t xml:space="preserve"> </w:t>
      </w:r>
      <w:r>
        <w:rPr>
          <w:szCs w:val="24"/>
        </w:rPr>
        <w:t xml:space="preserve"> </w:t>
      </w:r>
      <w:r w:rsidRPr="00CE1D60">
        <w:rPr>
          <w:szCs w:val="24"/>
        </w:rPr>
        <w:t xml:space="preserve">A </w:t>
      </w:r>
      <w:r>
        <w:rPr>
          <w:szCs w:val="24"/>
        </w:rPr>
        <w:t>health</w:t>
      </w:r>
      <w:r w:rsidRPr="00CE1D60">
        <w:rPr>
          <w:szCs w:val="24"/>
        </w:rPr>
        <w:t xml:space="preserve">care facility or </w:t>
      </w:r>
      <w:r>
        <w:rPr>
          <w:szCs w:val="24"/>
        </w:rPr>
        <w:t>reverse distributor</w:t>
      </w:r>
      <w:r w:rsidRPr="00CE1D60">
        <w:rPr>
          <w:szCs w:val="24"/>
        </w:rPr>
        <w:t xml:space="preserve"> </w:t>
      </w:r>
      <w:r w:rsidR="007A35B2">
        <w:rPr>
          <w:szCs w:val="24"/>
        </w:rPr>
        <w:t>that</w:t>
      </w:r>
      <w:r>
        <w:rPr>
          <w:szCs w:val="24"/>
        </w:rPr>
        <w:t xml:space="preserve"> sends</w:t>
      </w:r>
      <w:r w:rsidRPr="00CE1D60">
        <w:rPr>
          <w:szCs w:val="24"/>
        </w:rPr>
        <w:t xml:space="preserve"> potentially creditable hazardous waste pharmaceuticals </w:t>
      </w:r>
      <w:r>
        <w:rPr>
          <w:szCs w:val="24"/>
        </w:rPr>
        <w:t xml:space="preserve">to a foreign destination </w:t>
      </w:r>
      <w:r w:rsidRPr="00CE1D60">
        <w:rPr>
          <w:szCs w:val="24"/>
        </w:rPr>
        <w:t>must</w:t>
      </w:r>
      <w:r>
        <w:rPr>
          <w:szCs w:val="24"/>
        </w:rPr>
        <w:t xml:space="preserve"> comply with</w:t>
      </w:r>
      <w:r w:rsidR="0005080C">
        <w:rPr>
          <w:szCs w:val="24"/>
        </w:rPr>
        <w:t xml:space="preserve"> the applicable sections of 40 CFR part 262 subpart H, except the manifesting requirements of </w:t>
      </w:r>
      <w:r w:rsidR="0005080C" w:rsidRPr="000520A9">
        <w:t>§ 262.83(</w:t>
      </w:r>
      <w:r w:rsidR="0005080C" w:rsidRPr="00DD5136">
        <w:t>c),</w:t>
      </w:r>
      <w:r w:rsidR="0005080C" w:rsidRPr="006B5BCA">
        <w:t xml:space="preserve"> </w:t>
      </w:r>
      <w:r w:rsidR="004C3BA4">
        <w:rPr>
          <w:szCs w:val="24"/>
        </w:rPr>
        <w:t>in addition to paragraph (A) of</w:t>
      </w:r>
      <w:r>
        <w:rPr>
          <w:szCs w:val="24"/>
        </w:rPr>
        <w:t xml:space="preserve"> </w:t>
      </w:r>
      <w:r w:rsidR="004C3BA4">
        <w:rPr>
          <w:szCs w:val="24"/>
        </w:rPr>
        <w:t xml:space="preserve">this section. </w:t>
      </w:r>
    </w:p>
    <w:p w14:paraId="1F175985" w14:textId="06401EAE" w:rsidR="0016041B" w:rsidRDefault="0016041B" w:rsidP="0016041B">
      <w:pPr>
        <w:pStyle w:val="NoSpacing"/>
        <w:rPr>
          <w:szCs w:val="24"/>
        </w:rPr>
      </w:pPr>
    </w:p>
    <w:p w14:paraId="5DD204A7" w14:textId="3395B134" w:rsidR="0066516F" w:rsidRDefault="0066516F" w:rsidP="0016041B">
      <w:pPr>
        <w:pStyle w:val="NoSpacing"/>
        <w:ind w:firstLine="720"/>
        <w:rPr>
          <w:szCs w:val="24"/>
        </w:rPr>
      </w:pPr>
      <w:r w:rsidRPr="00321A64">
        <w:rPr>
          <w:szCs w:val="24"/>
        </w:rPr>
        <w:t>(</w:t>
      </w:r>
      <w:r w:rsidR="007804F6">
        <w:rPr>
          <w:szCs w:val="24"/>
        </w:rPr>
        <w:t>C</w:t>
      </w:r>
      <w:r w:rsidRPr="00321A64">
        <w:rPr>
          <w:szCs w:val="24"/>
        </w:rPr>
        <w:t>)</w:t>
      </w:r>
      <w:r>
        <w:rPr>
          <w:szCs w:val="24"/>
        </w:rPr>
        <w:t xml:space="preserve"> </w:t>
      </w:r>
      <w:r w:rsidRPr="0016041B">
        <w:rPr>
          <w:b/>
          <w:i/>
          <w:szCs w:val="24"/>
        </w:rPr>
        <w:t xml:space="preserve">Importing </w:t>
      </w:r>
      <w:r w:rsidR="0016041B" w:rsidRPr="0016041B">
        <w:rPr>
          <w:b/>
          <w:i/>
          <w:szCs w:val="24"/>
        </w:rPr>
        <w:t>Requirement</w:t>
      </w:r>
      <w:r w:rsidRPr="0016041B">
        <w:rPr>
          <w:b/>
          <w:i/>
          <w:szCs w:val="24"/>
        </w:rPr>
        <w:t>s.</w:t>
      </w:r>
      <w:r>
        <w:rPr>
          <w:i/>
          <w:szCs w:val="24"/>
        </w:rPr>
        <w:t xml:space="preserve"> </w:t>
      </w:r>
      <w:r>
        <w:rPr>
          <w:szCs w:val="24"/>
        </w:rPr>
        <w:t xml:space="preserve">Any person that imports potentially creditable hazardous waste pharmaceuticals into the United States is subject </w:t>
      </w:r>
      <w:r w:rsidR="007A35B2">
        <w:rPr>
          <w:szCs w:val="24"/>
        </w:rPr>
        <w:t xml:space="preserve">to paragraphs </w:t>
      </w:r>
      <w:r w:rsidR="00C60441">
        <w:rPr>
          <w:szCs w:val="24"/>
        </w:rPr>
        <w:t>(A)</w:t>
      </w:r>
      <w:r w:rsidR="007A35B2">
        <w:rPr>
          <w:szCs w:val="24"/>
        </w:rPr>
        <w:t xml:space="preserve"> of </w:t>
      </w:r>
      <w:r>
        <w:rPr>
          <w:szCs w:val="24"/>
        </w:rPr>
        <w:t xml:space="preserve">this section in lieu of </w:t>
      </w:r>
      <w:r w:rsidR="007A35B2">
        <w:rPr>
          <w:szCs w:val="24"/>
        </w:rPr>
        <w:t xml:space="preserve">40 CFR </w:t>
      </w:r>
      <w:r>
        <w:rPr>
          <w:szCs w:val="24"/>
        </w:rPr>
        <w:t xml:space="preserve">part 262 subpart </w:t>
      </w:r>
      <w:r w:rsidR="008F1810">
        <w:rPr>
          <w:szCs w:val="24"/>
        </w:rPr>
        <w:t>H</w:t>
      </w:r>
      <w:r>
        <w:rPr>
          <w:szCs w:val="24"/>
        </w:rPr>
        <w:t>.</w:t>
      </w:r>
    </w:p>
    <w:p w14:paraId="5D09637E" w14:textId="77777777" w:rsidR="0016041B" w:rsidRDefault="0016041B" w:rsidP="0016041B">
      <w:pPr>
        <w:pStyle w:val="NoSpacing"/>
        <w:ind w:firstLine="720"/>
        <w:rPr>
          <w:szCs w:val="24"/>
        </w:rPr>
      </w:pPr>
    </w:p>
    <w:p w14:paraId="4C3AB708" w14:textId="2E8ED8E4" w:rsidR="007A6CBB" w:rsidRDefault="007A6CBB" w:rsidP="007A6CBB">
      <w:pPr>
        <w:pStyle w:val="NoSpacing"/>
        <w:ind w:left="720" w:hanging="720"/>
        <w:rPr>
          <w:b/>
          <w:szCs w:val="24"/>
        </w:rPr>
      </w:pPr>
      <w:r>
        <w:rPr>
          <w:b/>
          <w:szCs w:val="24"/>
        </w:rPr>
        <w:t>(5)</w:t>
      </w:r>
      <w:r>
        <w:rPr>
          <w:b/>
          <w:szCs w:val="24"/>
        </w:rPr>
        <w:tab/>
        <w:t>Reverse Distributors M</w:t>
      </w:r>
      <w:r w:rsidRPr="00CE1D60">
        <w:rPr>
          <w:b/>
          <w:szCs w:val="24"/>
        </w:rPr>
        <w:t>anag</w:t>
      </w:r>
      <w:r>
        <w:rPr>
          <w:b/>
          <w:szCs w:val="24"/>
        </w:rPr>
        <w:t>ing</w:t>
      </w:r>
      <w:r w:rsidRPr="00CE1D60">
        <w:rPr>
          <w:b/>
          <w:szCs w:val="24"/>
        </w:rPr>
        <w:t xml:space="preserve"> </w:t>
      </w:r>
      <w:r>
        <w:rPr>
          <w:b/>
          <w:szCs w:val="24"/>
        </w:rPr>
        <w:t>P</w:t>
      </w:r>
      <w:r w:rsidRPr="00CE1D60">
        <w:rPr>
          <w:b/>
          <w:szCs w:val="24"/>
        </w:rPr>
        <w:t xml:space="preserve">otentially </w:t>
      </w:r>
      <w:r>
        <w:rPr>
          <w:b/>
          <w:szCs w:val="24"/>
        </w:rPr>
        <w:t>C</w:t>
      </w:r>
      <w:r w:rsidRPr="00CE1D60">
        <w:rPr>
          <w:b/>
          <w:szCs w:val="24"/>
        </w:rPr>
        <w:t xml:space="preserve">reditable </w:t>
      </w:r>
      <w:r>
        <w:rPr>
          <w:b/>
          <w:szCs w:val="24"/>
        </w:rPr>
        <w:t>and Evaluated H</w:t>
      </w:r>
      <w:r w:rsidRPr="00CE1D60">
        <w:rPr>
          <w:b/>
          <w:szCs w:val="24"/>
        </w:rPr>
        <w:t xml:space="preserve">azardous </w:t>
      </w:r>
      <w:r>
        <w:rPr>
          <w:b/>
          <w:szCs w:val="24"/>
        </w:rPr>
        <w:t>W</w:t>
      </w:r>
      <w:r w:rsidRPr="00CE1D60">
        <w:rPr>
          <w:b/>
          <w:szCs w:val="24"/>
        </w:rPr>
        <w:t xml:space="preserve">aste </w:t>
      </w:r>
      <w:r>
        <w:rPr>
          <w:b/>
          <w:szCs w:val="24"/>
        </w:rPr>
        <w:t>P</w:t>
      </w:r>
      <w:r w:rsidRPr="00CE1D60">
        <w:rPr>
          <w:b/>
          <w:szCs w:val="24"/>
        </w:rPr>
        <w:t>harmaceuticals</w:t>
      </w:r>
      <w:r w:rsidR="006948D3">
        <w:rPr>
          <w:b/>
          <w:szCs w:val="24"/>
        </w:rPr>
        <w:t xml:space="preserve"> Under </w:t>
      </w:r>
      <w:r w:rsidR="001B1D34">
        <w:rPr>
          <w:b/>
          <w:szCs w:val="24"/>
        </w:rPr>
        <w:t xml:space="preserve">40 CFR </w:t>
      </w:r>
      <w:r w:rsidR="006948D3">
        <w:rPr>
          <w:b/>
          <w:szCs w:val="24"/>
        </w:rPr>
        <w:t>§</w:t>
      </w:r>
      <w:r w:rsidR="001B1D34">
        <w:rPr>
          <w:b/>
          <w:szCs w:val="24"/>
        </w:rPr>
        <w:t xml:space="preserve"> </w:t>
      </w:r>
      <w:r w:rsidR="006948D3">
        <w:rPr>
          <w:b/>
          <w:szCs w:val="24"/>
        </w:rPr>
        <w:t>266</w:t>
      </w:r>
      <w:r>
        <w:rPr>
          <w:b/>
          <w:szCs w:val="24"/>
        </w:rPr>
        <w:t>.</w:t>
      </w:r>
      <w:r w:rsidR="006948D3">
        <w:rPr>
          <w:b/>
          <w:szCs w:val="24"/>
        </w:rPr>
        <w:t>510.</w:t>
      </w:r>
    </w:p>
    <w:p w14:paraId="038C9B15" w14:textId="77777777" w:rsidR="007A6CBB" w:rsidRDefault="007A6CBB" w:rsidP="007A6CBB">
      <w:pPr>
        <w:pStyle w:val="NoSpacing"/>
        <w:rPr>
          <w:b/>
          <w:szCs w:val="24"/>
        </w:rPr>
      </w:pPr>
    </w:p>
    <w:p w14:paraId="44261AB1" w14:textId="7FB4FEDD" w:rsidR="007A6CBB" w:rsidRDefault="007A6CBB" w:rsidP="006948D3">
      <w:pPr>
        <w:pStyle w:val="NoSpacing"/>
        <w:ind w:firstLine="720"/>
        <w:rPr>
          <w:szCs w:val="24"/>
        </w:rPr>
      </w:pPr>
      <w:r w:rsidRPr="00321A64">
        <w:rPr>
          <w:szCs w:val="24"/>
        </w:rPr>
        <w:t>(</w:t>
      </w:r>
      <w:r w:rsidR="006948D3">
        <w:rPr>
          <w:szCs w:val="24"/>
        </w:rPr>
        <w:t>A</w:t>
      </w:r>
      <w:r w:rsidRPr="00321A64">
        <w:rPr>
          <w:szCs w:val="24"/>
        </w:rPr>
        <w:t>)</w:t>
      </w:r>
      <w:r w:rsidRPr="00321A64">
        <w:rPr>
          <w:i/>
          <w:szCs w:val="24"/>
        </w:rPr>
        <w:t xml:space="preserve"> </w:t>
      </w:r>
      <w:r w:rsidRPr="006948D3">
        <w:rPr>
          <w:b/>
          <w:i/>
          <w:szCs w:val="24"/>
        </w:rPr>
        <w:t>Notification.</w:t>
      </w:r>
      <w:r w:rsidRPr="00CE1D60">
        <w:rPr>
          <w:szCs w:val="24"/>
        </w:rPr>
        <w:t xml:space="preserve"> A </w:t>
      </w:r>
      <w:r>
        <w:rPr>
          <w:szCs w:val="24"/>
        </w:rPr>
        <w:t>reverse distributor</w:t>
      </w:r>
      <w:r w:rsidRPr="00CE1D60">
        <w:rPr>
          <w:szCs w:val="24"/>
        </w:rPr>
        <w:t xml:space="preserve"> must notify the EPA Regional Administrator</w:t>
      </w:r>
      <w:r>
        <w:rPr>
          <w:szCs w:val="24"/>
        </w:rPr>
        <w:t>,</w:t>
      </w:r>
      <w:r w:rsidRPr="00CE1D60">
        <w:rPr>
          <w:szCs w:val="24"/>
        </w:rPr>
        <w:t xml:space="preserve"> using the</w:t>
      </w:r>
      <w:r>
        <w:rPr>
          <w:szCs w:val="24"/>
        </w:rPr>
        <w:t xml:space="preserve"> Site Identification Form (EPA f</w:t>
      </w:r>
      <w:r w:rsidRPr="00CE1D60">
        <w:rPr>
          <w:szCs w:val="24"/>
        </w:rPr>
        <w:t>orm 8700-12)</w:t>
      </w:r>
      <w:r>
        <w:rPr>
          <w:szCs w:val="24"/>
        </w:rPr>
        <w:t xml:space="preserve">, </w:t>
      </w:r>
      <w:r w:rsidRPr="00CE1D60">
        <w:rPr>
          <w:szCs w:val="24"/>
        </w:rPr>
        <w:t xml:space="preserve">that it is a </w:t>
      </w:r>
      <w:r>
        <w:rPr>
          <w:szCs w:val="24"/>
        </w:rPr>
        <w:t>reverse distributor operating under this subpart.</w:t>
      </w:r>
    </w:p>
    <w:p w14:paraId="04DADCA2" w14:textId="77777777" w:rsidR="007A6CBB" w:rsidRPr="00CE1D60" w:rsidRDefault="007A6CBB" w:rsidP="007A6CBB">
      <w:pPr>
        <w:pStyle w:val="NoSpacing"/>
        <w:ind w:left="360"/>
        <w:rPr>
          <w:szCs w:val="24"/>
        </w:rPr>
      </w:pPr>
    </w:p>
    <w:p w14:paraId="5B4EEEA5" w14:textId="5446A39C" w:rsidR="007A6CBB" w:rsidRDefault="007A6CBB" w:rsidP="006948D3">
      <w:pPr>
        <w:pStyle w:val="NoSpacing"/>
        <w:ind w:firstLine="720"/>
        <w:rPr>
          <w:szCs w:val="24"/>
        </w:rPr>
      </w:pPr>
      <w:r>
        <w:rPr>
          <w:szCs w:val="24"/>
        </w:rPr>
        <w:t xml:space="preserve">(i) </w:t>
      </w:r>
      <w:r w:rsidRPr="00CE1D60">
        <w:rPr>
          <w:szCs w:val="24"/>
        </w:rPr>
        <w:t xml:space="preserve">A </w:t>
      </w:r>
      <w:r>
        <w:rPr>
          <w:szCs w:val="24"/>
        </w:rPr>
        <w:t>reverse distributor</w:t>
      </w:r>
      <w:r w:rsidRPr="00CE1D60">
        <w:rPr>
          <w:szCs w:val="24"/>
        </w:rPr>
        <w:t xml:space="preserve"> </w:t>
      </w:r>
      <w:r>
        <w:rPr>
          <w:szCs w:val="24"/>
        </w:rPr>
        <w:t>that already has an EP</w:t>
      </w:r>
      <w:r w:rsidR="00E44405">
        <w:rPr>
          <w:szCs w:val="24"/>
        </w:rPr>
        <w:t xml:space="preserve">A identification number must </w:t>
      </w:r>
      <w:r>
        <w:rPr>
          <w:szCs w:val="24"/>
        </w:rPr>
        <w:t>notify the EPA Regional Administrator, using the Site Identification Form (EPA form 8700-12), that it is a reverse distributor, as defined in §</w:t>
      </w:r>
      <w:r w:rsidR="001B1D34">
        <w:rPr>
          <w:szCs w:val="24"/>
        </w:rPr>
        <w:t xml:space="preserve"> </w:t>
      </w:r>
      <w:r w:rsidRPr="009A08D8">
        <w:rPr>
          <w:szCs w:val="24"/>
        </w:rPr>
        <w:t>266.</w:t>
      </w:r>
      <w:r>
        <w:rPr>
          <w:szCs w:val="24"/>
        </w:rPr>
        <w:t>500, within 60 days of the</w:t>
      </w:r>
      <w:r w:rsidR="00AF1613">
        <w:rPr>
          <w:szCs w:val="24"/>
        </w:rPr>
        <w:t xml:space="preserve"> effective date of this subpart, or within 60 days of becoming subject to this subpart.</w:t>
      </w:r>
    </w:p>
    <w:p w14:paraId="7E2607D4" w14:textId="77777777" w:rsidR="007A6CBB" w:rsidRPr="009A08D8" w:rsidRDefault="007A6CBB" w:rsidP="007A6CBB">
      <w:pPr>
        <w:pStyle w:val="NoSpacing"/>
        <w:ind w:firstLine="360"/>
        <w:rPr>
          <w:color w:val="FF0000"/>
          <w:szCs w:val="24"/>
        </w:rPr>
      </w:pPr>
    </w:p>
    <w:p w14:paraId="140752B2" w14:textId="4ED4942A" w:rsidR="00AF1613" w:rsidRDefault="007A6CBB" w:rsidP="00AF1613">
      <w:pPr>
        <w:pStyle w:val="NoSpacing"/>
        <w:ind w:firstLine="720"/>
        <w:rPr>
          <w:szCs w:val="24"/>
        </w:rPr>
      </w:pPr>
      <w:r>
        <w:rPr>
          <w:szCs w:val="24"/>
        </w:rPr>
        <w:t xml:space="preserve">(ii) </w:t>
      </w:r>
      <w:r w:rsidRPr="00CE1D60">
        <w:rPr>
          <w:szCs w:val="24"/>
        </w:rPr>
        <w:t xml:space="preserve">A </w:t>
      </w:r>
      <w:r>
        <w:rPr>
          <w:szCs w:val="24"/>
        </w:rPr>
        <w:t>reverse distributor</w:t>
      </w:r>
      <w:r w:rsidRPr="00CE1D60">
        <w:rPr>
          <w:szCs w:val="24"/>
        </w:rPr>
        <w:t xml:space="preserve"> </w:t>
      </w:r>
      <w:r>
        <w:rPr>
          <w:szCs w:val="24"/>
        </w:rPr>
        <w:t>that</w:t>
      </w:r>
      <w:r w:rsidRPr="009A08D8">
        <w:rPr>
          <w:szCs w:val="24"/>
        </w:rPr>
        <w:t xml:space="preserve"> does not have an EPA identification number must obtain one by </w:t>
      </w:r>
      <w:r>
        <w:rPr>
          <w:szCs w:val="24"/>
        </w:rPr>
        <w:t>notifying</w:t>
      </w:r>
      <w:r w:rsidRPr="009A08D8">
        <w:rPr>
          <w:szCs w:val="24"/>
        </w:rPr>
        <w:t xml:space="preserve"> the EPA Regional Administrator</w:t>
      </w:r>
      <w:r>
        <w:rPr>
          <w:szCs w:val="24"/>
        </w:rPr>
        <w:t>,</w:t>
      </w:r>
      <w:r w:rsidRPr="009A08D8">
        <w:rPr>
          <w:szCs w:val="24"/>
        </w:rPr>
        <w:t xml:space="preserve"> using</w:t>
      </w:r>
      <w:r>
        <w:rPr>
          <w:szCs w:val="24"/>
        </w:rPr>
        <w:t xml:space="preserve"> the Site Identification Form (</w:t>
      </w:r>
      <w:r w:rsidRPr="009A08D8">
        <w:rPr>
          <w:szCs w:val="24"/>
        </w:rPr>
        <w:t xml:space="preserve">EPA </w:t>
      </w:r>
      <w:r>
        <w:rPr>
          <w:szCs w:val="24"/>
        </w:rPr>
        <w:t>f</w:t>
      </w:r>
      <w:r w:rsidRPr="009A08D8">
        <w:rPr>
          <w:szCs w:val="24"/>
        </w:rPr>
        <w:t>orm 8700-12</w:t>
      </w:r>
      <w:r>
        <w:rPr>
          <w:szCs w:val="24"/>
        </w:rPr>
        <w:t>),</w:t>
      </w:r>
      <w:r w:rsidRPr="009A08D8">
        <w:rPr>
          <w:szCs w:val="24"/>
        </w:rPr>
        <w:t xml:space="preserve"> that it is a </w:t>
      </w:r>
      <w:r>
        <w:rPr>
          <w:szCs w:val="24"/>
        </w:rPr>
        <w:t>pharmaceutical reverse distributor,</w:t>
      </w:r>
      <w:r w:rsidRPr="009A08D8">
        <w:rPr>
          <w:szCs w:val="24"/>
        </w:rPr>
        <w:t xml:space="preserve"> as defin</w:t>
      </w:r>
      <w:r>
        <w:rPr>
          <w:szCs w:val="24"/>
        </w:rPr>
        <w:t>ed in § 266.50</w:t>
      </w:r>
      <w:r w:rsidRPr="009A08D8">
        <w:rPr>
          <w:szCs w:val="24"/>
        </w:rPr>
        <w:t>0</w:t>
      </w:r>
      <w:r>
        <w:rPr>
          <w:szCs w:val="24"/>
        </w:rPr>
        <w:t>, within 60 days of the effective</w:t>
      </w:r>
      <w:r w:rsidR="00AF1613">
        <w:rPr>
          <w:szCs w:val="24"/>
        </w:rPr>
        <w:t xml:space="preserve"> date of this subpart, or within 60 days of becoming subject to this subpart.</w:t>
      </w:r>
    </w:p>
    <w:p w14:paraId="77FC21BF" w14:textId="77777777" w:rsidR="00AF1613" w:rsidRPr="009A08D8" w:rsidRDefault="00AF1613" w:rsidP="00AF1613">
      <w:pPr>
        <w:pStyle w:val="NoSpacing"/>
        <w:ind w:firstLine="360"/>
        <w:rPr>
          <w:color w:val="FF0000"/>
          <w:szCs w:val="24"/>
        </w:rPr>
      </w:pPr>
    </w:p>
    <w:p w14:paraId="1EA7873D" w14:textId="082D25BE" w:rsidR="007A6CBB" w:rsidRDefault="007A6CBB" w:rsidP="00A0043E">
      <w:pPr>
        <w:pStyle w:val="NoSpacing"/>
        <w:ind w:firstLine="720"/>
        <w:rPr>
          <w:szCs w:val="24"/>
        </w:rPr>
      </w:pPr>
      <w:r w:rsidRPr="00321A64">
        <w:rPr>
          <w:szCs w:val="24"/>
        </w:rPr>
        <w:t>(</w:t>
      </w:r>
      <w:r w:rsidR="00A0043E">
        <w:rPr>
          <w:szCs w:val="24"/>
        </w:rPr>
        <w:t>B</w:t>
      </w:r>
      <w:r w:rsidRPr="00321A64">
        <w:rPr>
          <w:szCs w:val="24"/>
        </w:rPr>
        <w:t xml:space="preserve">) </w:t>
      </w:r>
      <w:r w:rsidRPr="00A0043E">
        <w:rPr>
          <w:b/>
          <w:i/>
          <w:szCs w:val="24"/>
        </w:rPr>
        <w:t>Inventory.</w:t>
      </w:r>
      <w:r w:rsidRPr="00CE1D60">
        <w:rPr>
          <w:szCs w:val="24"/>
        </w:rPr>
        <w:t xml:space="preserve"> A </w:t>
      </w:r>
      <w:r>
        <w:rPr>
          <w:szCs w:val="24"/>
        </w:rPr>
        <w:t>reverse distributor</w:t>
      </w:r>
      <w:r w:rsidRPr="00CE1D60">
        <w:rPr>
          <w:szCs w:val="24"/>
        </w:rPr>
        <w:t xml:space="preserve"> must maintain an inventory of all the potentially creditable</w:t>
      </w:r>
      <w:r>
        <w:rPr>
          <w:szCs w:val="24"/>
        </w:rPr>
        <w:t xml:space="preserve"> and evaluated</w:t>
      </w:r>
      <w:r w:rsidRPr="00CE1D60">
        <w:rPr>
          <w:szCs w:val="24"/>
        </w:rPr>
        <w:t xml:space="preserve"> hazardous waste pharmaceuticals</w:t>
      </w:r>
      <w:r>
        <w:rPr>
          <w:szCs w:val="24"/>
        </w:rPr>
        <w:t xml:space="preserve"> </w:t>
      </w:r>
      <w:r w:rsidRPr="00CE1D60">
        <w:rPr>
          <w:szCs w:val="24"/>
        </w:rPr>
        <w:t xml:space="preserve">that are </w:t>
      </w:r>
      <w:r>
        <w:rPr>
          <w:szCs w:val="24"/>
        </w:rPr>
        <w:t xml:space="preserve">accumulated </w:t>
      </w:r>
      <w:r w:rsidRPr="00CE1D60">
        <w:rPr>
          <w:szCs w:val="24"/>
        </w:rPr>
        <w:t>on-site</w:t>
      </w:r>
      <w:r>
        <w:rPr>
          <w:szCs w:val="24"/>
        </w:rPr>
        <w:t>.</w:t>
      </w:r>
    </w:p>
    <w:p w14:paraId="1BFBE38A" w14:textId="77777777" w:rsidR="007A6CBB" w:rsidRPr="00CE1D60" w:rsidRDefault="007A6CBB" w:rsidP="007A6CBB">
      <w:pPr>
        <w:pStyle w:val="NoSpacing"/>
        <w:ind w:firstLine="360"/>
        <w:rPr>
          <w:szCs w:val="24"/>
        </w:rPr>
      </w:pPr>
    </w:p>
    <w:p w14:paraId="2954D756" w14:textId="68E2AB52" w:rsidR="007A6CBB" w:rsidRDefault="007A6CBB" w:rsidP="00A0043E">
      <w:pPr>
        <w:pStyle w:val="NoSpacing"/>
        <w:ind w:firstLine="720"/>
        <w:rPr>
          <w:szCs w:val="24"/>
        </w:rPr>
      </w:pPr>
      <w:r>
        <w:rPr>
          <w:szCs w:val="24"/>
        </w:rPr>
        <w:t xml:space="preserve">(i) </w:t>
      </w:r>
      <w:r w:rsidRPr="00CE1D60">
        <w:rPr>
          <w:szCs w:val="24"/>
        </w:rPr>
        <w:t xml:space="preserve">A </w:t>
      </w:r>
      <w:r>
        <w:rPr>
          <w:szCs w:val="24"/>
        </w:rPr>
        <w:t>reverse distributor</w:t>
      </w:r>
      <w:r w:rsidRPr="00CE1D60">
        <w:rPr>
          <w:szCs w:val="24"/>
        </w:rPr>
        <w:t xml:space="preserve"> must </w:t>
      </w:r>
      <w:r w:rsidR="00C60441">
        <w:rPr>
          <w:szCs w:val="24"/>
        </w:rPr>
        <w:t xml:space="preserve">maintain a current </w:t>
      </w:r>
      <w:r w:rsidRPr="00CE1D60">
        <w:rPr>
          <w:szCs w:val="24"/>
        </w:rPr>
        <w:t>inventory</w:t>
      </w:r>
      <w:r>
        <w:rPr>
          <w:szCs w:val="24"/>
        </w:rPr>
        <w:t xml:space="preserve"> each</w:t>
      </w:r>
      <w:r w:rsidRPr="00CE1D60">
        <w:rPr>
          <w:szCs w:val="24"/>
        </w:rPr>
        <w:t xml:space="preserve"> potentially creditable</w:t>
      </w:r>
      <w:r>
        <w:rPr>
          <w:szCs w:val="24"/>
        </w:rPr>
        <w:t xml:space="preserve"> hazardous waste pharmaceutical </w:t>
      </w:r>
      <w:r w:rsidR="00066072">
        <w:rPr>
          <w:szCs w:val="24"/>
        </w:rPr>
        <w:t>within 30 calendar days of arriving</w:t>
      </w:r>
      <w:r w:rsidRPr="00CE1D60">
        <w:rPr>
          <w:szCs w:val="24"/>
        </w:rPr>
        <w:t xml:space="preserve"> at the </w:t>
      </w:r>
      <w:r>
        <w:rPr>
          <w:szCs w:val="24"/>
        </w:rPr>
        <w:t>reverse distributor</w:t>
      </w:r>
      <w:r w:rsidRPr="00CE1D60">
        <w:rPr>
          <w:szCs w:val="24"/>
        </w:rPr>
        <w:t>.</w:t>
      </w:r>
    </w:p>
    <w:p w14:paraId="36D5CC8B" w14:textId="77777777" w:rsidR="007A6CBB" w:rsidRDefault="007A6CBB" w:rsidP="007A6CBB">
      <w:pPr>
        <w:pStyle w:val="NoSpacing"/>
        <w:ind w:firstLine="360"/>
        <w:rPr>
          <w:szCs w:val="24"/>
        </w:rPr>
      </w:pPr>
    </w:p>
    <w:p w14:paraId="4314C338" w14:textId="77777777" w:rsidR="007A6CBB" w:rsidRDefault="007A6CBB" w:rsidP="00A0043E">
      <w:pPr>
        <w:pStyle w:val="NoSpacing"/>
        <w:ind w:firstLine="720"/>
        <w:rPr>
          <w:szCs w:val="24"/>
        </w:rPr>
      </w:pPr>
      <w:r>
        <w:rPr>
          <w:szCs w:val="24"/>
        </w:rPr>
        <w:t xml:space="preserve">(ii) The inventory must include the identity (e.g., name or national drug code (NDC)) and quantity of each potentially creditable </w:t>
      </w:r>
      <w:r w:rsidR="00AF1613">
        <w:rPr>
          <w:szCs w:val="24"/>
        </w:rPr>
        <w:t xml:space="preserve">hazardous waste pharmaceutical </w:t>
      </w:r>
      <w:r>
        <w:rPr>
          <w:szCs w:val="24"/>
        </w:rPr>
        <w:t>and evaluated hazardous waste pharmaceutical.</w:t>
      </w:r>
    </w:p>
    <w:p w14:paraId="0E920334" w14:textId="77777777" w:rsidR="007A6CBB" w:rsidRDefault="007A6CBB" w:rsidP="007A6CBB">
      <w:pPr>
        <w:pStyle w:val="NoSpacing"/>
        <w:rPr>
          <w:szCs w:val="24"/>
        </w:rPr>
      </w:pPr>
    </w:p>
    <w:p w14:paraId="65EABC0F" w14:textId="1E7C1522" w:rsidR="00597302" w:rsidRDefault="007A6CBB" w:rsidP="000A3E6C">
      <w:pPr>
        <w:pStyle w:val="NoSpacing"/>
        <w:ind w:firstLine="720"/>
      </w:pPr>
      <w:r w:rsidRPr="00321A64">
        <w:rPr>
          <w:szCs w:val="24"/>
        </w:rPr>
        <w:t>(</w:t>
      </w:r>
      <w:r w:rsidR="00A0043E">
        <w:rPr>
          <w:szCs w:val="24"/>
        </w:rPr>
        <w:t>C</w:t>
      </w:r>
      <w:r w:rsidRPr="00321A64">
        <w:rPr>
          <w:szCs w:val="24"/>
        </w:rPr>
        <w:t xml:space="preserve">) </w:t>
      </w:r>
      <w:r w:rsidR="00C60441">
        <w:rPr>
          <w:b/>
          <w:i/>
          <w:szCs w:val="24"/>
        </w:rPr>
        <w:t xml:space="preserve">Maximum </w:t>
      </w:r>
      <w:r w:rsidR="00A0043E" w:rsidRPr="00A0043E">
        <w:rPr>
          <w:b/>
          <w:szCs w:val="24"/>
        </w:rPr>
        <w:t>A</w:t>
      </w:r>
      <w:r w:rsidRPr="00A0043E">
        <w:rPr>
          <w:b/>
          <w:i/>
          <w:szCs w:val="24"/>
        </w:rPr>
        <w:t xml:space="preserve">ccumulation </w:t>
      </w:r>
      <w:r w:rsidR="00A0043E" w:rsidRPr="00A0043E">
        <w:rPr>
          <w:b/>
          <w:i/>
          <w:szCs w:val="24"/>
        </w:rPr>
        <w:t>T</w:t>
      </w:r>
      <w:r w:rsidRPr="00A0043E">
        <w:rPr>
          <w:b/>
          <w:i/>
          <w:szCs w:val="24"/>
        </w:rPr>
        <w:t>ime</w:t>
      </w:r>
      <w:r w:rsidRPr="00A0043E">
        <w:rPr>
          <w:b/>
          <w:szCs w:val="24"/>
        </w:rPr>
        <w:t>.</w:t>
      </w:r>
      <w:r w:rsidRPr="00CE1D60">
        <w:rPr>
          <w:szCs w:val="24"/>
        </w:rPr>
        <w:t xml:space="preserve"> </w:t>
      </w:r>
      <w:r w:rsidR="00066072">
        <w:t>A</w:t>
      </w:r>
      <w:r w:rsidR="00066072" w:rsidRPr="00E4067A">
        <w:t xml:space="preserve"> </w:t>
      </w:r>
      <w:r w:rsidR="00066072">
        <w:t>reverse distributor</w:t>
      </w:r>
      <w:r w:rsidR="00066072" w:rsidRPr="00E4067A">
        <w:t xml:space="preserve"> that accumulates </w:t>
      </w:r>
      <w:r w:rsidR="00066072">
        <w:rPr>
          <w:szCs w:val="24"/>
        </w:rPr>
        <w:t xml:space="preserve">potentially creditable </w:t>
      </w:r>
      <w:r w:rsidR="00066072">
        <w:t xml:space="preserve">hazardous waste </w:t>
      </w:r>
      <w:r w:rsidR="00066072">
        <w:rPr>
          <w:szCs w:val="24"/>
        </w:rPr>
        <w:t>pharmaceutical</w:t>
      </w:r>
      <w:r w:rsidR="00066072">
        <w:t>s</w:t>
      </w:r>
      <w:r w:rsidR="00066072">
        <w:rPr>
          <w:szCs w:val="24"/>
        </w:rPr>
        <w:t xml:space="preserve"> and evaluated hazardous waste pharmaceuticals</w:t>
      </w:r>
      <w:r w:rsidR="00066072">
        <w:t xml:space="preserve"> </w:t>
      </w:r>
      <w:r w:rsidR="00066072" w:rsidRPr="00E4067A">
        <w:t xml:space="preserve">on-site </w:t>
      </w:r>
      <w:r w:rsidR="000A3E6C">
        <w:t>may choose to</w:t>
      </w:r>
      <w:r w:rsidR="00066072" w:rsidRPr="00E4067A">
        <w:t xml:space="preserve"> demonstrate the length of time that the hazardous waste pharmac</w:t>
      </w:r>
      <w:r w:rsidR="000A3E6C">
        <w:t>euticals have been accumulating</w:t>
      </w:r>
      <w:r w:rsidR="00066072" w:rsidRPr="00E4067A">
        <w:t xml:space="preserve">. </w:t>
      </w:r>
      <w:r w:rsidR="000A3E6C">
        <w:t>EPA assumes they will use their inventory to keep track of how long</w:t>
      </w:r>
      <w:r w:rsidR="00066072">
        <w:t xml:space="preserve"> have been accumulating</w:t>
      </w:r>
      <w:r w:rsidR="00597302">
        <w:t>.</w:t>
      </w:r>
    </w:p>
    <w:p w14:paraId="6F56877E" w14:textId="77777777" w:rsidR="00597302" w:rsidRDefault="00597302" w:rsidP="00597302">
      <w:pPr>
        <w:pStyle w:val="ListParagraph"/>
        <w:spacing w:after="200"/>
        <w:ind w:left="0" w:firstLine="720"/>
        <w:contextualSpacing/>
      </w:pPr>
    </w:p>
    <w:p w14:paraId="0F3C0D9E" w14:textId="23484293" w:rsidR="00597302" w:rsidRPr="00597302" w:rsidRDefault="00597302" w:rsidP="00597302">
      <w:pPr>
        <w:pStyle w:val="ListParagraph"/>
        <w:spacing w:after="200"/>
        <w:ind w:left="0" w:firstLine="720"/>
        <w:contextualSpacing/>
        <w:rPr>
          <w:color w:val="000000"/>
        </w:rPr>
      </w:pPr>
      <w:r>
        <w:t>(D</w:t>
      </w:r>
      <w:r w:rsidRPr="00321A64">
        <w:t xml:space="preserve">) </w:t>
      </w:r>
      <w:r>
        <w:rPr>
          <w:b/>
          <w:i/>
        </w:rPr>
        <w:t>Contingency Planning</w:t>
      </w:r>
      <w:r w:rsidRPr="002327F3">
        <w:rPr>
          <w:b/>
          <w:i/>
        </w:rPr>
        <w:t>.</w:t>
      </w:r>
      <w:r w:rsidRPr="00321A64">
        <w:rPr>
          <w:i/>
        </w:rPr>
        <w:t xml:space="preserve"> </w:t>
      </w:r>
      <w:r>
        <w:rPr>
          <w:color w:val="000000"/>
        </w:rPr>
        <w:t>A reverse distributor must prepare a contingency plan and comply with the other requirements of 40 CFR 262 subpart M.</w:t>
      </w:r>
    </w:p>
    <w:p w14:paraId="51C62CDA" w14:textId="19D70463" w:rsidR="007A6CBB" w:rsidRPr="00535D66" w:rsidRDefault="007A6CBB" w:rsidP="00535D66">
      <w:pPr>
        <w:pStyle w:val="NoSpacing"/>
        <w:ind w:firstLine="720"/>
        <w:rPr>
          <w:szCs w:val="24"/>
        </w:rPr>
      </w:pPr>
      <w:r w:rsidRPr="00321A64">
        <w:rPr>
          <w:szCs w:val="24"/>
        </w:rPr>
        <w:t>(</w:t>
      </w:r>
      <w:r w:rsidR="00597302">
        <w:rPr>
          <w:szCs w:val="24"/>
        </w:rPr>
        <w:t>E</w:t>
      </w:r>
      <w:r w:rsidRPr="00321A64">
        <w:rPr>
          <w:szCs w:val="24"/>
        </w:rPr>
        <w:t xml:space="preserve">) </w:t>
      </w:r>
      <w:r w:rsidRPr="002327F3">
        <w:rPr>
          <w:b/>
          <w:i/>
          <w:szCs w:val="24"/>
        </w:rPr>
        <w:t>Reporting</w:t>
      </w:r>
      <w:r w:rsidR="002327F3" w:rsidRPr="002327F3">
        <w:rPr>
          <w:b/>
          <w:i/>
          <w:szCs w:val="24"/>
        </w:rPr>
        <w:t>.</w:t>
      </w:r>
      <w:r w:rsidRPr="00321A64">
        <w:rPr>
          <w:i/>
          <w:szCs w:val="24"/>
        </w:rPr>
        <w:t xml:space="preserve"> </w:t>
      </w:r>
      <w:r>
        <w:rPr>
          <w:color w:val="000000"/>
          <w:szCs w:val="24"/>
        </w:rPr>
        <w:t>A reverse distributor must submit an unauthorized haz</w:t>
      </w:r>
      <w:r w:rsidR="00597302">
        <w:rPr>
          <w:color w:val="000000"/>
          <w:szCs w:val="24"/>
        </w:rPr>
        <w:t>ardous waste report if the rever</w:t>
      </w:r>
      <w:r>
        <w:rPr>
          <w:color w:val="000000"/>
          <w:szCs w:val="24"/>
        </w:rPr>
        <w:t>se distributor receives waste from off-site that it is not authorized to receive (e.g., non-pharmaceutical hazardous waste</w:t>
      </w:r>
      <w:r w:rsidR="009B6A52">
        <w:rPr>
          <w:color w:val="000000"/>
          <w:szCs w:val="24"/>
        </w:rPr>
        <w:t>, regulated medical waste</w:t>
      </w:r>
      <w:r>
        <w:rPr>
          <w:color w:val="000000"/>
          <w:szCs w:val="24"/>
        </w:rPr>
        <w:t>).</w:t>
      </w:r>
      <w:r w:rsidR="00535D66">
        <w:rPr>
          <w:color w:val="000000"/>
          <w:szCs w:val="24"/>
        </w:rPr>
        <w:t xml:space="preserve"> </w:t>
      </w:r>
      <w:r>
        <w:rPr>
          <w:color w:val="000000"/>
          <w:szCs w:val="24"/>
        </w:rPr>
        <w:t xml:space="preserve"> The reverse distributor must prepare and submit a</w:t>
      </w:r>
      <w:r w:rsidR="002327F3">
        <w:rPr>
          <w:color w:val="000000"/>
          <w:szCs w:val="24"/>
        </w:rPr>
        <w:t>n</w:t>
      </w:r>
      <w:r>
        <w:rPr>
          <w:color w:val="000000"/>
          <w:szCs w:val="24"/>
        </w:rPr>
        <w:t xml:space="preserve"> unauthorized waste report to the EPA Regional Administrator within </w:t>
      </w:r>
      <w:r w:rsidR="00066072">
        <w:rPr>
          <w:color w:val="000000"/>
          <w:szCs w:val="24"/>
        </w:rPr>
        <w:t>45 calendar</w:t>
      </w:r>
      <w:r>
        <w:rPr>
          <w:color w:val="000000"/>
          <w:szCs w:val="24"/>
        </w:rPr>
        <w:t xml:space="preserve"> days after the unauthorized waste</w:t>
      </w:r>
      <w:r w:rsidR="00066072">
        <w:rPr>
          <w:color w:val="000000"/>
          <w:szCs w:val="24"/>
        </w:rPr>
        <w:t xml:space="preserve"> arrives at the reverse distributor</w:t>
      </w:r>
      <w:r>
        <w:rPr>
          <w:color w:val="000000"/>
          <w:szCs w:val="24"/>
        </w:rPr>
        <w:t xml:space="preserve"> and the reverse distributor must send a copy of the unauthorized waste report to the healthcare facility (or other entity) that sent the</w:t>
      </w:r>
      <w:r w:rsidR="00066072">
        <w:rPr>
          <w:color w:val="000000"/>
          <w:szCs w:val="24"/>
        </w:rPr>
        <w:t xml:space="preserve"> unauthorized waste. </w:t>
      </w:r>
      <w:r>
        <w:rPr>
          <w:color w:val="000000"/>
          <w:szCs w:val="24"/>
        </w:rPr>
        <w:t>The pharmaceutical reverse distributor must manage the unauthorized waste in accordance with all applicable regulations</w:t>
      </w:r>
      <w:r w:rsidR="009B6A52">
        <w:rPr>
          <w:color w:val="000000"/>
          <w:szCs w:val="24"/>
        </w:rPr>
        <w:t>.</w:t>
      </w:r>
      <w:r>
        <w:rPr>
          <w:color w:val="000000"/>
          <w:szCs w:val="24"/>
        </w:rPr>
        <w:t xml:space="preserve"> </w:t>
      </w:r>
      <w:r w:rsidR="00535D66">
        <w:rPr>
          <w:color w:val="000000"/>
          <w:szCs w:val="24"/>
        </w:rPr>
        <w:t xml:space="preserve"> </w:t>
      </w:r>
      <w:r>
        <w:rPr>
          <w:color w:val="000000"/>
          <w:szCs w:val="24"/>
        </w:rPr>
        <w:t xml:space="preserve">The unauthorized waste report must be signed by the owner or operator of the reverse distributor, or </w:t>
      </w:r>
      <w:r w:rsidR="00066072">
        <w:rPr>
          <w:color w:val="000000"/>
          <w:szCs w:val="24"/>
        </w:rPr>
        <w:t>its</w:t>
      </w:r>
      <w:r>
        <w:rPr>
          <w:color w:val="000000"/>
          <w:szCs w:val="24"/>
        </w:rPr>
        <w:t xml:space="preserve"> authorized representative, and contain the following information:</w:t>
      </w:r>
    </w:p>
    <w:p w14:paraId="3AB39A83" w14:textId="77777777" w:rsidR="007A6CBB" w:rsidRDefault="007A6CBB" w:rsidP="007A6CBB">
      <w:pPr>
        <w:pStyle w:val="NoSpacing"/>
        <w:ind w:firstLine="360"/>
        <w:rPr>
          <w:color w:val="000000"/>
          <w:szCs w:val="24"/>
        </w:rPr>
      </w:pPr>
    </w:p>
    <w:p w14:paraId="173B5BF9" w14:textId="23EB21CB" w:rsidR="007A6CBB" w:rsidRDefault="007A6CBB" w:rsidP="00535D66">
      <w:pPr>
        <w:pStyle w:val="NoSpacing"/>
        <w:ind w:firstLine="720"/>
        <w:rPr>
          <w:color w:val="000000"/>
          <w:szCs w:val="24"/>
        </w:rPr>
      </w:pPr>
      <w:r>
        <w:rPr>
          <w:color w:val="000000"/>
          <w:szCs w:val="24"/>
        </w:rPr>
        <w:t>(</w:t>
      </w:r>
      <w:r w:rsidR="00535D66">
        <w:rPr>
          <w:color w:val="000000"/>
          <w:szCs w:val="24"/>
        </w:rPr>
        <w:t>i</w:t>
      </w:r>
      <w:r>
        <w:rPr>
          <w:color w:val="000000"/>
          <w:szCs w:val="24"/>
        </w:rPr>
        <w:t>) The EPA identification number, name and address of the reverse distributor;</w:t>
      </w:r>
    </w:p>
    <w:p w14:paraId="5B4424C4" w14:textId="77777777" w:rsidR="007A6CBB" w:rsidRDefault="007A6CBB" w:rsidP="007A6CBB">
      <w:pPr>
        <w:pStyle w:val="NoSpacing"/>
        <w:ind w:firstLine="360"/>
        <w:rPr>
          <w:color w:val="000000"/>
          <w:szCs w:val="24"/>
        </w:rPr>
      </w:pPr>
    </w:p>
    <w:p w14:paraId="60434DB7" w14:textId="04BD7332" w:rsidR="007A6CBB" w:rsidRDefault="007A6CBB" w:rsidP="00535D66">
      <w:pPr>
        <w:pStyle w:val="NoSpacing"/>
        <w:ind w:left="360" w:firstLine="360"/>
        <w:rPr>
          <w:color w:val="000000"/>
          <w:szCs w:val="24"/>
        </w:rPr>
      </w:pPr>
      <w:r>
        <w:rPr>
          <w:color w:val="000000"/>
          <w:szCs w:val="24"/>
        </w:rPr>
        <w:t>(</w:t>
      </w:r>
      <w:r w:rsidR="00535D66">
        <w:rPr>
          <w:color w:val="000000"/>
          <w:szCs w:val="24"/>
        </w:rPr>
        <w:t>ii</w:t>
      </w:r>
      <w:r>
        <w:rPr>
          <w:color w:val="000000"/>
          <w:szCs w:val="24"/>
        </w:rPr>
        <w:t xml:space="preserve">) The date the reverse distributor received the </w:t>
      </w:r>
      <w:r w:rsidR="009B6A52">
        <w:rPr>
          <w:color w:val="000000"/>
          <w:szCs w:val="24"/>
        </w:rPr>
        <w:t xml:space="preserve">unauthorized </w:t>
      </w:r>
      <w:r>
        <w:rPr>
          <w:color w:val="000000"/>
          <w:szCs w:val="24"/>
        </w:rPr>
        <w:t>waste;</w:t>
      </w:r>
    </w:p>
    <w:p w14:paraId="11094F82" w14:textId="77777777" w:rsidR="007A6CBB" w:rsidRDefault="007A6CBB" w:rsidP="007A6CBB">
      <w:pPr>
        <w:pStyle w:val="NoSpacing"/>
        <w:ind w:left="360"/>
        <w:rPr>
          <w:color w:val="000000"/>
          <w:szCs w:val="24"/>
        </w:rPr>
      </w:pPr>
    </w:p>
    <w:p w14:paraId="2D3BE287" w14:textId="4C53F517" w:rsidR="007A6CBB" w:rsidRDefault="007A6CBB" w:rsidP="00535D66">
      <w:pPr>
        <w:pStyle w:val="NoSpacing"/>
        <w:ind w:firstLine="720"/>
        <w:rPr>
          <w:color w:val="000000"/>
          <w:szCs w:val="24"/>
        </w:rPr>
      </w:pPr>
      <w:r>
        <w:rPr>
          <w:color w:val="000000"/>
          <w:szCs w:val="24"/>
        </w:rPr>
        <w:t>(</w:t>
      </w:r>
      <w:r w:rsidR="00535D66">
        <w:rPr>
          <w:color w:val="000000"/>
          <w:szCs w:val="24"/>
        </w:rPr>
        <w:t>iii</w:t>
      </w:r>
      <w:r>
        <w:rPr>
          <w:color w:val="000000"/>
          <w:szCs w:val="24"/>
        </w:rPr>
        <w:t>)</w:t>
      </w:r>
      <w:r w:rsidR="00535D66">
        <w:rPr>
          <w:color w:val="000000"/>
          <w:szCs w:val="24"/>
        </w:rPr>
        <w:t xml:space="preserve"> </w:t>
      </w:r>
      <w:r>
        <w:rPr>
          <w:color w:val="000000"/>
          <w:szCs w:val="24"/>
        </w:rPr>
        <w:t xml:space="preserve">The EPA identification number, name and address of the healthcare facility that shipped the </w:t>
      </w:r>
      <w:r w:rsidR="009B6A52">
        <w:rPr>
          <w:color w:val="000000"/>
          <w:szCs w:val="24"/>
        </w:rPr>
        <w:t xml:space="preserve">unauthorized </w:t>
      </w:r>
      <w:r>
        <w:rPr>
          <w:color w:val="000000"/>
          <w:szCs w:val="24"/>
        </w:rPr>
        <w:t>waste, if available;</w:t>
      </w:r>
    </w:p>
    <w:p w14:paraId="6D6E26A3" w14:textId="77777777" w:rsidR="007A6CBB" w:rsidRDefault="007A6CBB" w:rsidP="007A6CBB">
      <w:pPr>
        <w:pStyle w:val="NoSpacing"/>
        <w:rPr>
          <w:color w:val="000000"/>
          <w:szCs w:val="24"/>
        </w:rPr>
      </w:pPr>
    </w:p>
    <w:p w14:paraId="35CD3400" w14:textId="597E0F71" w:rsidR="007A6CBB" w:rsidRDefault="007A6CBB" w:rsidP="00535D66">
      <w:pPr>
        <w:pStyle w:val="NoSpacing"/>
        <w:ind w:firstLine="720"/>
        <w:rPr>
          <w:color w:val="000000"/>
          <w:szCs w:val="24"/>
        </w:rPr>
      </w:pPr>
      <w:r>
        <w:rPr>
          <w:color w:val="000000"/>
          <w:szCs w:val="24"/>
        </w:rPr>
        <w:t>(</w:t>
      </w:r>
      <w:r w:rsidR="00535D66">
        <w:rPr>
          <w:color w:val="000000"/>
          <w:szCs w:val="24"/>
        </w:rPr>
        <w:t>iv</w:t>
      </w:r>
      <w:r>
        <w:rPr>
          <w:color w:val="000000"/>
          <w:szCs w:val="24"/>
        </w:rPr>
        <w:t>)</w:t>
      </w:r>
      <w:r w:rsidR="00535D66">
        <w:rPr>
          <w:color w:val="000000"/>
          <w:szCs w:val="24"/>
        </w:rPr>
        <w:t xml:space="preserve"> </w:t>
      </w:r>
      <w:r>
        <w:rPr>
          <w:color w:val="000000"/>
          <w:szCs w:val="24"/>
        </w:rPr>
        <w:t>A description and the quantity of each unauthorized waste the reverse distributor received;</w:t>
      </w:r>
    </w:p>
    <w:p w14:paraId="1C50B659" w14:textId="77777777" w:rsidR="007A6CBB" w:rsidRDefault="007A6CBB" w:rsidP="007A6CBB">
      <w:pPr>
        <w:pStyle w:val="NoSpacing"/>
        <w:ind w:left="360"/>
        <w:rPr>
          <w:color w:val="000000"/>
          <w:szCs w:val="24"/>
        </w:rPr>
      </w:pPr>
    </w:p>
    <w:p w14:paraId="5F703FB5" w14:textId="46E61966" w:rsidR="007A6CBB" w:rsidRDefault="007A6CBB" w:rsidP="00535D66">
      <w:pPr>
        <w:pStyle w:val="NoSpacing"/>
        <w:ind w:left="360" w:firstLine="360"/>
        <w:rPr>
          <w:color w:val="000000"/>
          <w:szCs w:val="24"/>
        </w:rPr>
      </w:pPr>
      <w:r>
        <w:rPr>
          <w:color w:val="000000"/>
          <w:szCs w:val="24"/>
        </w:rPr>
        <w:t>(</w:t>
      </w:r>
      <w:r w:rsidR="00535D66">
        <w:rPr>
          <w:color w:val="000000"/>
          <w:szCs w:val="24"/>
        </w:rPr>
        <w:t>v</w:t>
      </w:r>
      <w:r>
        <w:rPr>
          <w:color w:val="000000"/>
          <w:szCs w:val="24"/>
        </w:rPr>
        <w:t>)</w:t>
      </w:r>
      <w:r w:rsidR="00535D66">
        <w:rPr>
          <w:color w:val="000000"/>
          <w:szCs w:val="24"/>
        </w:rPr>
        <w:t xml:space="preserve"> </w:t>
      </w:r>
      <w:r>
        <w:rPr>
          <w:color w:val="000000"/>
          <w:szCs w:val="24"/>
        </w:rPr>
        <w:t>The method of treatment, storage, or disposal for each unauthorized waste; and</w:t>
      </w:r>
    </w:p>
    <w:p w14:paraId="7048F89D" w14:textId="77777777" w:rsidR="007A6CBB" w:rsidRDefault="007A6CBB" w:rsidP="007A6CBB">
      <w:pPr>
        <w:pStyle w:val="NoSpacing"/>
        <w:rPr>
          <w:color w:val="000000"/>
          <w:szCs w:val="24"/>
        </w:rPr>
      </w:pPr>
    </w:p>
    <w:p w14:paraId="3A769486" w14:textId="77777777" w:rsidR="007A6CBB" w:rsidRDefault="007A6CBB" w:rsidP="00535D66">
      <w:pPr>
        <w:pStyle w:val="NoSpacing"/>
        <w:ind w:left="360" w:firstLine="360"/>
        <w:rPr>
          <w:color w:val="000000"/>
          <w:szCs w:val="24"/>
        </w:rPr>
      </w:pPr>
      <w:r>
        <w:rPr>
          <w:color w:val="000000"/>
          <w:szCs w:val="24"/>
        </w:rPr>
        <w:t>(</w:t>
      </w:r>
      <w:r w:rsidR="00535D66">
        <w:rPr>
          <w:color w:val="000000"/>
          <w:szCs w:val="24"/>
        </w:rPr>
        <w:t>vi</w:t>
      </w:r>
      <w:r>
        <w:rPr>
          <w:color w:val="000000"/>
          <w:szCs w:val="24"/>
        </w:rPr>
        <w:t>)</w:t>
      </w:r>
      <w:r w:rsidR="00535D66">
        <w:rPr>
          <w:color w:val="000000"/>
          <w:szCs w:val="24"/>
        </w:rPr>
        <w:t xml:space="preserve"> </w:t>
      </w:r>
      <w:r>
        <w:rPr>
          <w:color w:val="000000"/>
          <w:szCs w:val="24"/>
        </w:rPr>
        <w:t>A brief explanation of why the waste was unauthorized, if known.</w:t>
      </w:r>
    </w:p>
    <w:p w14:paraId="722CAB53" w14:textId="77777777" w:rsidR="007A6CBB" w:rsidRDefault="007A6CBB" w:rsidP="007A6CBB">
      <w:pPr>
        <w:pStyle w:val="NoSpacing"/>
        <w:ind w:left="360"/>
        <w:rPr>
          <w:color w:val="000000"/>
          <w:szCs w:val="24"/>
        </w:rPr>
      </w:pPr>
    </w:p>
    <w:p w14:paraId="36B57668" w14:textId="5ED06A80" w:rsidR="007A6CBB" w:rsidRPr="005E47DF" w:rsidRDefault="007A6CBB" w:rsidP="00535D66">
      <w:pPr>
        <w:pStyle w:val="NoSpacing"/>
        <w:ind w:firstLine="720"/>
        <w:rPr>
          <w:color w:val="000000"/>
          <w:szCs w:val="24"/>
        </w:rPr>
      </w:pPr>
      <w:r>
        <w:rPr>
          <w:color w:val="000000"/>
          <w:szCs w:val="24"/>
        </w:rPr>
        <w:t>(</w:t>
      </w:r>
      <w:r w:rsidR="00E8705D">
        <w:rPr>
          <w:color w:val="000000"/>
          <w:szCs w:val="24"/>
        </w:rPr>
        <w:t>F</w:t>
      </w:r>
      <w:r>
        <w:rPr>
          <w:color w:val="000000"/>
          <w:szCs w:val="24"/>
        </w:rPr>
        <w:t xml:space="preserve">) </w:t>
      </w:r>
      <w:r w:rsidRPr="00535D66">
        <w:rPr>
          <w:b/>
          <w:i/>
          <w:color w:val="000000"/>
          <w:szCs w:val="24"/>
        </w:rPr>
        <w:t xml:space="preserve">Additional </w:t>
      </w:r>
      <w:r w:rsidR="00535D66" w:rsidRPr="00535D66">
        <w:rPr>
          <w:b/>
          <w:i/>
          <w:color w:val="000000"/>
          <w:szCs w:val="24"/>
        </w:rPr>
        <w:t>R</w:t>
      </w:r>
      <w:r w:rsidRPr="00535D66">
        <w:rPr>
          <w:b/>
          <w:i/>
          <w:color w:val="000000"/>
          <w:szCs w:val="24"/>
        </w:rPr>
        <w:t>eports.</w:t>
      </w:r>
      <w:r>
        <w:rPr>
          <w:i/>
          <w:color w:val="000000"/>
          <w:szCs w:val="24"/>
        </w:rPr>
        <w:t xml:space="preserve"> </w:t>
      </w:r>
      <w:r>
        <w:rPr>
          <w:color w:val="000000"/>
          <w:szCs w:val="24"/>
        </w:rPr>
        <w:t>The EPA Regional Administrator may require reverse distributors to furnish additional reports concerning the quantities and disposition of potentially creditable hazardous waste pharmaceuticals and evaluated hazardous waste pharmaceuticals.</w:t>
      </w:r>
    </w:p>
    <w:p w14:paraId="6A8C32F2" w14:textId="271F01D2" w:rsidR="007A6CBB" w:rsidRDefault="007A6CBB" w:rsidP="00535D66">
      <w:pPr>
        <w:spacing w:before="100" w:beforeAutospacing="1" w:after="100" w:afterAutospacing="1"/>
        <w:ind w:firstLine="720"/>
      </w:pPr>
      <w:r w:rsidRPr="00321A64">
        <w:t>(</w:t>
      </w:r>
      <w:r w:rsidR="00E8705D">
        <w:t>G</w:t>
      </w:r>
      <w:r w:rsidRPr="00321A64">
        <w:t xml:space="preserve">) </w:t>
      </w:r>
      <w:r w:rsidRPr="00535D66">
        <w:rPr>
          <w:b/>
          <w:i/>
        </w:rPr>
        <w:t>Recordkeeping.</w:t>
      </w:r>
      <w:r>
        <w:t xml:space="preserve">  A reverse distributor must keep the following records (paper or electronic):</w:t>
      </w:r>
    </w:p>
    <w:p w14:paraId="1F8B4C7A" w14:textId="77777777" w:rsidR="007A6CBB" w:rsidRPr="004B4543" w:rsidRDefault="007A6CBB" w:rsidP="00535D66">
      <w:pPr>
        <w:spacing w:before="100" w:beforeAutospacing="1" w:after="100" w:afterAutospacing="1"/>
        <w:ind w:firstLine="720"/>
      </w:pPr>
      <w:r>
        <w:t>(i) A copy of its notification on file for as long as the facility is subject to this subpart</w:t>
      </w:r>
    </w:p>
    <w:p w14:paraId="3E01A0A3" w14:textId="66049A69" w:rsidR="007A6CBB" w:rsidRDefault="007A6CBB" w:rsidP="00535D66">
      <w:pPr>
        <w:spacing w:before="100" w:beforeAutospacing="1" w:after="100" w:afterAutospacing="1"/>
        <w:ind w:firstLine="720"/>
      </w:pPr>
      <w:r>
        <w:t>(ii) A copy of the delivery confirmation and the shipping papers for each shipment of potentially creditable hazardous waste pharmaceuticals that it receives for at least three years from the date the shipment</w:t>
      </w:r>
      <w:r w:rsidR="002737AC">
        <w:t xml:space="preserve"> arrives at the reverse distributor</w:t>
      </w:r>
      <w:r>
        <w:t>.</w:t>
      </w:r>
    </w:p>
    <w:p w14:paraId="7D1D8A82" w14:textId="078F8BBC" w:rsidR="007A6CBB" w:rsidRDefault="00535D66" w:rsidP="002737AC">
      <w:pPr>
        <w:pStyle w:val="NoSpacing"/>
        <w:ind w:firstLine="720"/>
        <w:rPr>
          <w:szCs w:val="24"/>
        </w:rPr>
      </w:pPr>
      <w:r>
        <w:rPr>
          <w:szCs w:val="24"/>
        </w:rPr>
        <w:t>(iii)</w:t>
      </w:r>
      <w:r w:rsidR="007A6CBB">
        <w:rPr>
          <w:szCs w:val="24"/>
        </w:rPr>
        <w:t xml:space="preserve"> A copy of its</w:t>
      </w:r>
      <w:r w:rsidR="006F52F9">
        <w:rPr>
          <w:szCs w:val="24"/>
        </w:rPr>
        <w:t xml:space="preserve"> current</w:t>
      </w:r>
      <w:r w:rsidR="007A6CBB">
        <w:rPr>
          <w:szCs w:val="24"/>
        </w:rPr>
        <w:t xml:space="preserve"> </w:t>
      </w:r>
      <w:r w:rsidR="007A6CBB" w:rsidRPr="00CE1D60">
        <w:rPr>
          <w:szCs w:val="24"/>
        </w:rPr>
        <w:t>inventory</w:t>
      </w:r>
      <w:r w:rsidR="006F52F9">
        <w:rPr>
          <w:szCs w:val="24"/>
        </w:rPr>
        <w:t xml:space="preserve"> for as long as the facility is subject to this subpart</w:t>
      </w:r>
      <w:r w:rsidR="002737AC">
        <w:rPr>
          <w:szCs w:val="24"/>
        </w:rPr>
        <w:t>.</w:t>
      </w:r>
    </w:p>
    <w:p w14:paraId="715795C9" w14:textId="77777777" w:rsidR="007A6CBB" w:rsidRDefault="007A6CBB" w:rsidP="007A6CBB">
      <w:pPr>
        <w:pStyle w:val="NoSpacing"/>
        <w:ind w:firstLine="360"/>
        <w:rPr>
          <w:szCs w:val="24"/>
        </w:rPr>
      </w:pPr>
    </w:p>
    <w:p w14:paraId="481A23E6" w14:textId="633EB208" w:rsidR="007A6CBB" w:rsidRDefault="007A6CBB" w:rsidP="00D37E0C">
      <w:pPr>
        <w:pStyle w:val="NoSpacing"/>
        <w:ind w:firstLine="720"/>
        <w:rPr>
          <w:szCs w:val="24"/>
        </w:rPr>
      </w:pPr>
      <w:r w:rsidRPr="00321A64">
        <w:rPr>
          <w:szCs w:val="24"/>
        </w:rPr>
        <w:t>(</w:t>
      </w:r>
      <w:r w:rsidR="00E8705D">
        <w:rPr>
          <w:szCs w:val="24"/>
        </w:rPr>
        <w:t>H</w:t>
      </w:r>
      <w:r w:rsidRPr="00321A64">
        <w:rPr>
          <w:szCs w:val="24"/>
        </w:rPr>
        <w:t>)</w:t>
      </w:r>
      <w:r>
        <w:rPr>
          <w:szCs w:val="24"/>
        </w:rPr>
        <w:t xml:space="preserve"> </w:t>
      </w:r>
      <w:r w:rsidRPr="00D37E0C">
        <w:rPr>
          <w:b/>
          <w:i/>
          <w:szCs w:val="24"/>
        </w:rPr>
        <w:t xml:space="preserve">Additional </w:t>
      </w:r>
      <w:r w:rsidR="00D37E0C" w:rsidRPr="00D37E0C">
        <w:rPr>
          <w:b/>
          <w:i/>
          <w:szCs w:val="24"/>
        </w:rPr>
        <w:t>Record</w:t>
      </w:r>
      <w:r w:rsidR="00D37E0C">
        <w:rPr>
          <w:b/>
          <w:i/>
          <w:szCs w:val="24"/>
        </w:rPr>
        <w:t>s</w:t>
      </w:r>
      <w:r w:rsidRPr="00D37E0C">
        <w:rPr>
          <w:b/>
          <w:i/>
          <w:szCs w:val="24"/>
        </w:rPr>
        <w:t>.</w:t>
      </w:r>
      <w:r>
        <w:rPr>
          <w:i/>
          <w:szCs w:val="24"/>
        </w:rPr>
        <w:t xml:space="preserve"> </w:t>
      </w:r>
      <w:r>
        <w:rPr>
          <w:szCs w:val="24"/>
        </w:rPr>
        <w:t>A reverse distributor must keep the following records (paper or electronic) for each shipment of potentially creditable hazardous waste pharmaceuticals that it initiates to another reverse distributor, for at least three years from the date of shipment:</w:t>
      </w:r>
    </w:p>
    <w:p w14:paraId="2DE00D57" w14:textId="77777777" w:rsidR="007A6CBB" w:rsidRDefault="007A6CBB" w:rsidP="007A6CBB">
      <w:pPr>
        <w:pStyle w:val="NoSpacing"/>
        <w:ind w:left="720"/>
        <w:rPr>
          <w:szCs w:val="24"/>
        </w:rPr>
      </w:pPr>
    </w:p>
    <w:p w14:paraId="4307FAF5" w14:textId="19E742C1" w:rsidR="007A6CBB" w:rsidRDefault="00D37E0C" w:rsidP="006F52F9">
      <w:pPr>
        <w:pStyle w:val="NoSpacing"/>
        <w:ind w:firstLine="720"/>
        <w:rPr>
          <w:szCs w:val="24"/>
        </w:rPr>
      </w:pPr>
      <w:r>
        <w:rPr>
          <w:szCs w:val="24"/>
        </w:rPr>
        <w:t xml:space="preserve">(i) </w:t>
      </w:r>
      <w:r w:rsidR="007A6CBB">
        <w:rPr>
          <w:szCs w:val="24"/>
        </w:rPr>
        <w:t>t</w:t>
      </w:r>
      <w:r w:rsidR="007A6CBB" w:rsidRPr="00CE1D60">
        <w:rPr>
          <w:szCs w:val="24"/>
        </w:rPr>
        <w:t xml:space="preserve">he </w:t>
      </w:r>
      <w:r w:rsidR="007A6CBB">
        <w:rPr>
          <w:szCs w:val="24"/>
        </w:rPr>
        <w:t>confirmation of delivery,</w:t>
      </w:r>
      <w:r w:rsidR="007A6CBB" w:rsidRPr="00CE1D60">
        <w:rPr>
          <w:szCs w:val="24"/>
        </w:rPr>
        <w:t xml:space="preserve"> and</w:t>
      </w:r>
    </w:p>
    <w:p w14:paraId="243352A9" w14:textId="77777777" w:rsidR="007A6CBB" w:rsidRDefault="007A6CBB" w:rsidP="007A6CBB">
      <w:pPr>
        <w:pStyle w:val="NoSpacing"/>
        <w:ind w:left="720"/>
        <w:rPr>
          <w:szCs w:val="24"/>
        </w:rPr>
      </w:pPr>
    </w:p>
    <w:p w14:paraId="5FF6E613" w14:textId="16E5F45A" w:rsidR="007A6CBB" w:rsidRDefault="007A6CBB" w:rsidP="00D37E0C">
      <w:pPr>
        <w:pStyle w:val="NoSpacing"/>
        <w:ind w:firstLine="720"/>
        <w:rPr>
          <w:szCs w:val="24"/>
        </w:rPr>
      </w:pPr>
      <w:r>
        <w:rPr>
          <w:szCs w:val="24"/>
        </w:rPr>
        <w:t xml:space="preserve">(iii) </w:t>
      </w:r>
      <w:r w:rsidRPr="00CE1D60">
        <w:rPr>
          <w:szCs w:val="24"/>
        </w:rPr>
        <w:t>the shipping papers</w:t>
      </w:r>
      <w:r w:rsidR="002737AC">
        <w:rPr>
          <w:szCs w:val="24"/>
        </w:rPr>
        <w:t xml:space="preserve"> prepared in accordance with 49 CFR part 172 subpart C, if applicable</w:t>
      </w:r>
      <w:r>
        <w:rPr>
          <w:color w:val="FF0000"/>
          <w:szCs w:val="24"/>
        </w:rPr>
        <w:t>.</w:t>
      </w:r>
    </w:p>
    <w:p w14:paraId="1DE54816" w14:textId="77777777" w:rsidR="007A6CBB" w:rsidRDefault="007A6CBB" w:rsidP="007A6CBB">
      <w:pPr>
        <w:pStyle w:val="NoSpacing"/>
        <w:ind w:firstLine="360"/>
        <w:rPr>
          <w:szCs w:val="24"/>
        </w:rPr>
      </w:pPr>
    </w:p>
    <w:p w14:paraId="000B3E07" w14:textId="0A170EF1" w:rsidR="007A6CBB" w:rsidRDefault="007A6CBB" w:rsidP="00D37E0C">
      <w:pPr>
        <w:pStyle w:val="NoSpacing"/>
        <w:ind w:firstLine="720"/>
        <w:rPr>
          <w:szCs w:val="24"/>
        </w:rPr>
      </w:pPr>
      <w:r w:rsidRPr="00321A64">
        <w:rPr>
          <w:szCs w:val="24"/>
        </w:rPr>
        <w:t>(</w:t>
      </w:r>
      <w:r w:rsidR="00BA0935">
        <w:rPr>
          <w:szCs w:val="24"/>
        </w:rPr>
        <w:t>H</w:t>
      </w:r>
      <w:r w:rsidRPr="00321A64">
        <w:rPr>
          <w:szCs w:val="24"/>
        </w:rPr>
        <w:t xml:space="preserve">) </w:t>
      </w:r>
      <w:r w:rsidRPr="00D37E0C">
        <w:rPr>
          <w:b/>
          <w:i/>
          <w:szCs w:val="24"/>
        </w:rPr>
        <w:t>Labeling.</w:t>
      </w:r>
      <w:r w:rsidRPr="00CE1D60">
        <w:rPr>
          <w:szCs w:val="24"/>
        </w:rPr>
        <w:t xml:space="preserve"> A </w:t>
      </w:r>
      <w:r>
        <w:rPr>
          <w:szCs w:val="24"/>
        </w:rPr>
        <w:t>reverse distributor accumulating evaluated</w:t>
      </w:r>
      <w:r w:rsidRPr="00CE1D60">
        <w:rPr>
          <w:szCs w:val="24"/>
        </w:rPr>
        <w:t xml:space="preserve"> hazardous waste pharmaceuticals in </w:t>
      </w:r>
      <w:r>
        <w:rPr>
          <w:szCs w:val="24"/>
        </w:rPr>
        <w:t>containers in an</w:t>
      </w:r>
      <w:r w:rsidRPr="00CE1D60">
        <w:rPr>
          <w:szCs w:val="24"/>
        </w:rPr>
        <w:t xml:space="preserve"> </w:t>
      </w:r>
      <w:r>
        <w:rPr>
          <w:szCs w:val="24"/>
        </w:rPr>
        <w:t>on-site accumul</w:t>
      </w:r>
      <w:r w:rsidRPr="00CE1D60">
        <w:rPr>
          <w:szCs w:val="24"/>
        </w:rPr>
        <w:t>ation</w:t>
      </w:r>
      <w:r>
        <w:rPr>
          <w:szCs w:val="24"/>
        </w:rPr>
        <w:t xml:space="preserve"> area must</w:t>
      </w:r>
      <w:r w:rsidR="00D37E0C">
        <w:rPr>
          <w:szCs w:val="24"/>
        </w:rPr>
        <w:t xml:space="preserve"> l</w:t>
      </w:r>
      <w:r w:rsidRPr="00CE1D60">
        <w:rPr>
          <w:szCs w:val="24"/>
        </w:rPr>
        <w:t>abel</w:t>
      </w:r>
      <w:r>
        <w:rPr>
          <w:szCs w:val="24"/>
        </w:rPr>
        <w:t xml:space="preserve"> the containers with the words, "h</w:t>
      </w:r>
      <w:r w:rsidRPr="00CE1D60">
        <w:rPr>
          <w:szCs w:val="24"/>
        </w:rPr>
        <w:t>azard</w:t>
      </w:r>
      <w:r>
        <w:rPr>
          <w:szCs w:val="24"/>
        </w:rPr>
        <w:t>ous waste p</w:t>
      </w:r>
      <w:r w:rsidRPr="00CE1D60">
        <w:rPr>
          <w:szCs w:val="24"/>
        </w:rPr>
        <w:t>harmaceuticals";</w:t>
      </w:r>
    </w:p>
    <w:p w14:paraId="4A573157" w14:textId="77777777" w:rsidR="007A6CBB" w:rsidRPr="00CE1D60" w:rsidRDefault="007A6CBB" w:rsidP="007A6CBB">
      <w:pPr>
        <w:pStyle w:val="NoSpacing"/>
        <w:ind w:firstLine="360"/>
        <w:rPr>
          <w:szCs w:val="24"/>
        </w:rPr>
      </w:pPr>
    </w:p>
    <w:p w14:paraId="0E0CA330" w14:textId="3DE11E9E" w:rsidR="007A6CBB" w:rsidRDefault="007A6CBB" w:rsidP="00B021E0">
      <w:pPr>
        <w:pStyle w:val="NoSpacing"/>
        <w:ind w:firstLine="720"/>
        <w:rPr>
          <w:szCs w:val="24"/>
        </w:rPr>
      </w:pPr>
      <w:r w:rsidRPr="00321A64">
        <w:rPr>
          <w:szCs w:val="24"/>
        </w:rPr>
        <w:t>(</w:t>
      </w:r>
      <w:r w:rsidR="00BA0935">
        <w:rPr>
          <w:szCs w:val="24"/>
        </w:rPr>
        <w:t>I</w:t>
      </w:r>
      <w:r w:rsidRPr="00321A64">
        <w:rPr>
          <w:szCs w:val="24"/>
        </w:rPr>
        <w:t xml:space="preserve">) </w:t>
      </w:r>
      <w:r w:rsidR="007C5A85" w:rsidRPr="007C5A85">
        <w:rPr>
          <w:b/>
          <w:i/>
          <w:szCs w:val="24"/>
        </w:rPr>
        <w:t>Marking</w:t>
      </w:r>
      <w:r w:rsidRPr="007C5A85">
        <w:rPr>
          <w:b/>
          <w:i/>
          <w:szCs w:val="24"/>
        </w:rPr>
        <w:t>.</w:t>
      </w:r>
      <w:r>
        <w:rPr>
          <w:szCs w:val="24"/>
        </w:rPr>
        <w:t xml:space="preserve"> </w:t>
      </w:r>
      <w:r w:rsidR="002737AC">
        <w:rPr>
          <w:szCs w:val="24"/>
        </w:rPr>
        <w:t>Prior to shipping evaluated hazardous waste pharmaceuticals off site, all c</w:t>
      </w:r>
      <w:r>
        <w:rPr>
          <w:szCs w:val="24"/>
        </w:rPr>
        <w:t>ontainers</w:t>
      </w:r>
      <w:r w:rsidRPr="00CE1D60">
        <w:rPr>
          <w:szCs w:val="24"/>
        </w:rPr>
        <w:t xml:space="preserve"> </w:t>
      </w:r>
      <w:r>
        <w:rPr>
          <w:szCs w:val="24"/>
        </w:rPr>
        <w:t xml:space="preserve">must be marked </w:t>
      </w:r>
      <w:r w:rsidRPr="00CE1D60">
        <w:rPr>
          <w:szCs w:val="24"/>
        </w:rPr>
        <w:t>with the app</w:t>
      </w:r>
      <w:r>
        <w:rPr>
          <w:szCs w:val="24"/>
        </w:rPr>
        <w:t>licable</w:t>
      </w:r>
      <w:r w:rsidRPr="00CE1D60">
        <w:rPr>
          <w:szCs w:val="24"/>
        </w:rPr>
        <w:t xml:space="preserve"> hazardous waste </w:t>
      </w:r>
      <w:r>
        <w:rPr>
          <w:szCs w:val="24"/>
        </w:rPr>
        <w:t xml:space="preserve">numbers (i.e., hazardous waste </w:t>
      </w:r>
      <w:r w:rsidRPr="00CE1D60">
        <w:rPr>
          <w:szCs w:val="24"/>
        </w:rPr>
        <w:t>codes</w:t>
      </w:r>
      <w:r>
        <w:rPr>
          <w:szCs w:val="24"/>
        </w:rPr>
        <w:t>).</w:t>
      </w:r>
    </w:p>
    <w:p w14:paraId="15DD1B9E" w14:textId="77777777" w:rsidR="007A6CBB" w:rsidRDefault="007A6CBB" w:rsidP="007A6CBB">
      <w:pPr>
        <w:pStyle w:val="NoSpacing"/>
        <w:ind w:firstLine="360"/>
        <w:rPr>
          <w:szCs w:val="24"/>
        </w:rPr>
      </w:pPr>
    </w:p>
    <w:p w14:paraId="5E793232" w14:textId="7847CE6C" w:rsidR="007A6CBB" w:rsidRDefault="007A6CBB" w:rsidP="00B021E0">
      <w:pPr>
        <w:pStyle w:val="NoSpacing"/>
        <w:ind w:firstLine="720"/>
        <w:rPr>
          <w:szCs w:val="24"/>
        </w:rPr>
      </w:pPr>
      <w:r w:rsidRPr="00321A64">
        <w:rPr>
          <w:szCs w:val="24"/>
        </w:rPr>
        <w:t>(</w:t>
      </w:r>
      <w:r w:rsidR="00BA0935">
        <w:rPr>
          <w:szCs w:val="24"/>
        </w:rPr>
        <w:t>J</w:t>
      </w:r>
      <w:r w:rsidRPr="00321A64">
        <w:rPr>
          <w:szCs w:val="24"/>
        </w:rPr>
        <w:t xml:space="preserve">) </w:t>
      </w:r>
      <w:r w:rsidR="00352003" w:rsidRPr="002D1F9F">
        <w:rPr>
          <w:b/>
          <w:szCs w:val="24"/>
        </w:rPr>
        <w:t>M</w:t>
      </w:r>
      <w:r w:rsidRPr="002D1F9F">
        <w:rPr>
          <w:b/>
          <w:i/>
          <w:szCs w:val="24"/>
        </w:rPr>
        <w:t xml:space="preserve">anaging </w:t>
      </w:r>
      <w:r w:rsidR="00352003" w:rsidRPr="002D1F9F">
        <w:rPr>
          <w:b/>
          <w:i/>
          <w:szCs w:val="24"/>
        </w:rPr>
        <w:t>R</w:t>
      </w:r>
      <w:r w:rsidRPr="002D1F9F">
        <w:rPr>
          <w:b/>
          <w:i/>
          <w:szCs w:val="24"/>
        </w:rPr>
        <w:t xml:space="preserve">ejected </w:t>
      </w:r>
      <w:r w:rsidR="00352003" w:rsidRPr="002D1F9F">
        <w:rPr>
          <w:b/>
          <w:i/>
          <w:szCs w:val="24"/>
        </w:rPr>
        <w:t>S</w:t>
      </w:r>
      <w:r w:rsidRPr="002D1F9F">
        <w:rPr>
          <w:b/>
          <w:i/>
          <w:szCs w:val="24"/>
        </w:rPr>
        <w:t>hipments.</w:t>
      </w:r>
      <w:r w:rsidRPr="00CE1D60">
        <w:rPr>
          <w:szCs w:val="24"/>
        </w:rPr>
        <w:t xml:space="preserve"> Upon receipt of the returned shipment, the </w:t>
      </w:r>
      <w:r>
        <w:rPr>
          <w:szCs w:val="24"/>
        </w:rPr>
        <w:t>reverse distributor</w:t>
      </w:r>
      <w:r w:rsidRPr="00CE1D60">
        <w:rPr>
          <w:szCs w:val="24"/>
        </w:rPr>
        <w:t xml:space="preserve"> must:</w:t>
      </w:r>
    </w:p>
    <w:p w14:paraId="6A879209" w14:textId="77777777" w:rsidR="007A6CBB" w:rsidRDefault="007A6CBB" w:rsidP="007A6CBB">
      <w:pPr>
        <w:pStyle w:val="NoSpacing"/>
        <w:ind w:firstLine="360"/>
        <w:rPr>
          <w:szCs w:val="24"/>
        </w:rPr>
      </w:pPr>
    </w:p>
    <w:p w14:paraId="6DFA565B" w14:textId="0FBBF49D" w:rsidR="007A6CBB" w:rsidRDefault="007A6CBB" w:rsidP="002D1F9F">
      <w:pPr>
        <w:pStyle w:val="NoSpacing"/>
        <w:ind w:left="360" w:firstLine="720"/>
        <w:rPr>
          <w:szCs w:val="24"/>
        </w:rPr>
      </w:pPr>
      <w:r w:rsidRPr="00321A64">
        <w:rPr>
          <w:szCs w:val="24"/>
        </w:rPr>
        <w:t>(i)</w:t>
      </w:r>
      <w:r>
        <w:rPr>
          <w:szCs w:val="24"/>
        </w:rPr>
        <w:t xml:space="preserve"> </w:t>
      </w:r>
      <w:r w:rsidRPr="00CE1D60">
        <w:rPr>
          <w:szCs w:val="24"/>
        </w:rPr>
        <w:t xml:space="preserve">Sign </w:t>
      </w:r>
      <w:r w:rsidR="002D1F9F">
        <w:rPr>
          <w:szCs w:val="24"/>
        </w:rPr>
        <w:t>either i</w:t>
      </w:r>
      <w:r>
        <w:rPr>
          <w:szCs w:val="24"/>
        </w:rPr>
        <w:t>tem 18c of the original manifest if the original manifest was used for the returned shipment</w:t>
      </w:r>
      <w:r w:rsidR="006953FD">
        <w:rPr>
          <w:szCs w:val="24"/>
        </w:rPr>
        <w:t>;</w:t>
      </w:r>
      <w:r>
        <w:rPr>
          <w:szCs w:val="24"/>
        </w:rPr>
        <w:t xml:space="preserve"> or </w:t>
      </w:r>
      <w:r w:rsidR="00D31534">
        <w:rPr>
          <w:szCs w:val="24"/>
        </w:rPr>
        <w:t>item</w:t>
      </w:r>
      <w:r>
        <w:rPr>
          <w:szCs w:val="24"/>
        </w:rPr>
        <w:t xml:space="preserve"> 20 of the new manifest if a new manifest was used for the returned shipment;</w:t>
      </w:r>
    </w:p>
    <w:p w14:paraId="37CFE143" w14:textId="77777777" w:rsidR="007A6CBB" w:rsidRDefault="007A6CBB" w:rsidP="007A6CBB">
      <w:pPr>
        <w:pStyle w:val="NoSpacing"/>
        <w:ind w:firstLine="360"/>
        <w:rPr>
          <w:rFonts w:ascii="Calibri" w:eastAsia="Calibri" w:hAnsi="Calibri"/>
          <w:sz w:val="22"/>
          <w:szCs w:val="24"/>
        </w:rPr>
      </w:pPr>
    </w:p>
    <w:p w14:paraId="3D019916" w14:textId="77777777" w:rsidR="007A6CBB" w:rsidRDefault="007A6CBB" w:rsidP="002D1F9F">
      <w:pPr>
        <w:pStyle w:val="NoSpacing"/>
        <w:ind w:left="720" w:firstLine="360"/>
        <w:rPr>
          <w:szCs w:val="24"/>
        </w:rPr>
      </w:pPr>
      <w:r w:rsidRPr="00321A64">
        <w:rPr>
          <w:szCs w:val="24"/>
        </w:rPr>
        <w:t>(ii)</w:t>
      </w:r>
      <w:r>
        <w:rPr>
          <w:szCs w:val="24"/>
        </w:rPr>
        <w:t xml:space="preserve"> Provide the transporter a copy of the manifest;</w:t>
      </w:r>
    </w:p>
    <w:p w14:paraId="015AC15B" w14:textId="77777777" w:rsidR="007A6CBB" w:rsidRDefault="007A6CBB" w:rsidP="007A6CBB">
      <w:pPr>
        <w:pStyle w:val="NoSpacing"/>
        <w:rPr>
          <w:szCs w:val="24"/>
        </w:rPr>
      </w:pPr>
    </w:p>
    <w:p w14:paraId="11B863CD" w14:textId="2129B626" w:rsidR="007A6CBB" w:rsidRDefault="007A6CBB" w:rsidP="002D1F9F">
      <w:pPr>
        <w:pStyle w:val="NoSpacing"/>
        <w:ind w:left="360" w:firstLine="720"/>
        <w:rPr>
          <w:szCs w:val="24"/>
        </w:rPr>
      </w:pPr>
      <w:r w:rsidRPr="00321A64">
        <w:rPr>
          <w:szCs w:val="24"/>
        </w:rPr>
        <w:t>(iii)</w:t>
      </w:r>
      <w:r>
        <w:rPr>
          <w:szCs w:val="24"/>
        </w:rPr>
        <w:t xml:space="preserve"> Within 30 days of delivery of the rejected shipment of the evaluated hazardous waste pharmaceuticals, send a copy of the manifest to the designated facility that returned the shipment to the reverse distributor; and</w:t>
      </w:r>
    </w:p>
    <w:p w14:paraId="583D88C0" w14:textId="77777777" w:rsidR="00E8705D" w:rsidRDefault="00E8705D" w:rsidP="002D1F9F">
      <w:pPr>
        <w:pStyle w:val="NoSpacing"/>
        <w:ind w:left="360" w:firstLine="720"/>
        <w:rPr>
          <w:szCs w:val="24"/>
        </w:rPr>
      </w:pPr>
    </w:p>
    <w:p w14:paraId="53762545" w14:textId="4EC3D9CE" w:rsidR="00D31534" w:rsidRDefault="00D31534" w:rsidP="002D1F9F">
      <w:pPr>
        <w:pStyle w:val="NoSpacing"/>
        <w:ind w:left="360" w:firstLine="720"/>
        <w:rPr>
          <w:szCs w:val="24"/>
        </w:rPr>
      </w:pPr>
      <w:r>
        <w:rPr>
          <w:szCs w:val="24"/>
        </w:rPr>
        <w:t xml:space="preserve">(iv) Within 90 days of </w:t>
      </w:r>
      <w:r w:rsidR="006953FD">
        <w:rPr>
          <w:szCs w:val="24"/>
        </w:rPr>
        <w:t xml:space="preserve">receipt </w:t>
      </w:r>
      <w:r>
        <w:rPr>
          <w:szCs w:val="24"/>
        </w:rPr>
        <w:t>of the rejected shipment, transport or offer for transport the returned shipment of evaluated hazardous waste pharmaceuticals in accordance with the shipping standards of § 266.508</w:t>
      </w:r>
      <w:r w:rsidR="006953FD">
        <w:rPr>
          <w:szCs w:val="24"/>
        </w:rPr>
        <w:t xml:space="preserve">(a) or </w:t>
      </w:r>
      <w:r>
        <w:rPr>
          <w:szCs w:val="24"/>
        </w:rPr>
        <w:t xml:space="preserve">(b). </w:t>
      </w:r>
    </w:p>
    <w:p w14:paraId="69D97B99" w14:textId="77777777" w:rsidR="007A6CBB" w:rsidRPr="00CE1D60" w:rsidRDefault="007A6CBB" w:rsidP="007A6CBB">
      <w:pPr>
        <w:pStyle w:val="NoSpacing"/>
        <w:rPr>
          <w:szCs w:val="24"/>
        </w:rPr>
      </w:pPr>
    </w:p>
    <w:p w14:paraId="576796E7" w14:textId="4B2E624A" w:rsidR="007A6CBB" w:rsidRDefault="007A6CBB" w:rsidP="00B021E0">
      <w:pPr>
        <w:pStyle w:val="NoSpacing"/>
        <w:ind w:firstLine="720"/>
        <w:rPr>
          <w:szCs w:val="24"/>
        </w:rPr>
      </w:pPr>
      <w:r w:rsidRPr="00321A64">
        <w:rPr>
          <w:szCs w:val="24"/>
        </w:rPr>
        <w:t>(</w:t>
      </w:r>
      <w:r w:rsidR="00BA0935">
        <w:rPr>
          <w:szCs w:val="24"/>
        </w:rPr>
        <w:t>K</w:t>
      </w:r>
      <w:r w:rsidRPr="00321A64">
        <w:rPr>
          <w:szCs w:val="24"/>
        </w:rPr>
        <w:t>)</w:t>
      </w:r>
      <w:r w:rsidRPr="00321A64">
        <w:rPr>
          <w:i/>
          <w:szCs w:val="24"/>
        </w:rPr>
        <w:t xml:space="preserve"> </w:t>
      </w:r>
      <w:r w:rsidR="001F0E97" w:rsidRPr="001F0E97">
        <w:rPr>
          <w:b/>
          <w:i/>
          <w:szCs w:val="24"/>
        </w:rPr>
        <w:t>Biennial</w:t>
      </w:r>
      <w:r w:rsidR="001F0E97">
        <w:rPr>
          <w:i/>
          <w:szCs w:val="24"/>
        </w:rPr>
        <w:t xml:space="preserve"> </w:t>
      </w:r>
      <w:r w:rsidRPr="002D1F9F">
        <w:rPr>
          <w:b/>
          <w:i/>
          <w:szCs w:val="24"/>
        </w:rPr>
        <w:t xml:space="preserve">Reporting for </w:t>
      </w:r>
      <w:r w:rsidR="002D1F9F" w:rsidRPr="002D1F9F">
        <w:rPr>
          <w:b/>
          <w:i/>
          <w:szCs w:val="24"/>
        </w:rPr>
        <w:t>E</w:t>
      </w:r>
      <w:r w:rsidRPr="002D1F9F">
        <w:rPr>
          <w:b/>
          <w:i/>
          <w:szCs w:val="24"/>
        </w:rPr>
        <w:t xml:space="preserve">valuated </w:t>
      </w:r>
      <w:r w:rsidR="002D1F9F" w:rsidRPr="002D1F9F">
        <w:rPr>
          <w:b/>
          <w:i/>
          <w:szCs w:val="24"/>
        </w:rPr>
        <w:t>H</w:t>
      </w:r>
      <w:r w:rsidRPr="002D1F9F">
        <w:rPr>
          <w:b/>
          <w:i/>
          <w:szCs w:val="24"/>
        </w:rPr>
        <w:t xml:space="preserve">azardous </w:t>
      </w:r>
      <w:r w:rsidR="002D1F9F" w:rsidRPr="002D1F9F">
        <w:rPr>
          <w:b/>
          <w:i/>
          <w:szCs w:val="24"/>
        </w:rPr>
        <w:t>W</w:t>
      </w:r>
      <w:r w:rsidRPr="002D1F9F">
        <w:rPr>
          <w:b/>
          <w:i/>
          <w:szCs w:val="24"/>
        </w:rPr>
        <w:t xml:space="preserve">aste </w:t>
      </w:r>
      <w:r w:rsidR="002D1F9F" w:rsidRPr="002D1F9F">
        <w:rPr>
          <w:b/>
          <w:i/>
          <w:szCs w:val="24"/>
        </w:rPr>
        <w:t>P</w:t>
      </w:r>
      <w:r w:rsidRPr="002D1F9F">
        <w:rPr>
          <w:b/>
          <w:i/>
          <w:szCs w:val="24"/>
        </w:rPr>
        <w:t>harmaceuticals.</w:t>
      </w:r>
      <w:r w:rsidRPr="00321A64">
        <w:rPr>
          <w:szCs w:val="24"/>
        </w:rPr>
        <w:t xml:space="preserve"> </w:t>
      </w:r>
      <w:r w:rsidRPr="003C5794">
        <w:rPr>
          <w:szCs w:val="24"/>
        </w:rPr>
        <w:t xml:space="preserve">A </w:t>
      </w:r>
      <w:r>
        <w:rPr>
          <w:szCs w:val="24"/>
        </w:rPr>
        <w:t>reverse distributor</w:t>
      </w:r>
      <w:r w:rsidRPr="003C5794">
        <w:rPr>
          <w:szCs w:val="24"/>
        </w:rPr>
        <w:t xml:space="preserve"> </w:t>
      </w:r>
      <w:r>
        <w:rPr>
          <w:szCs w:val="24"/>
        </w:rPr>
        <w:t>that</w:t>
      </w:r>
      <w:r w:rsidRPr="003C5794">
        <w:rPr>
          <w:szCs w:val="24"/>
        </w:rPr>
        <w:t xml:space="preserve"> ships </w:t>
      </w:r>
      <w:r>
        <w:rPr>
          <w:szCs w:val="24"/>
        </w:rPr>
        <w:t xml:space="preserve">evaluated </w:t>
      </w:r>
      <w:r w:rsidRPr="003C5794">
        <w:rPr>
          <w:szCs w:val="24"/>
        </w:rPr>
        <w:t xml:space="preserve">hazardous waste pharmaceuticals off-site must prepare </w:t>
      </w:r>
      <w:r>
        <w:rPr>
          <w:szCs w:val="24"/>
        </w:rPr>
        <w:t>and submit a single copy of a biennial r</w:t>
      </w:r>
      <w:r w:rsidRPr="003C5794">
        <w:rPr>
          <w:szCs w:val="24"/>
        </w:rPr>
        <w:t xml:space="preserve">eport to the </w:t>
      </w:r>
      <w:r>
        <w:rPr>
          <w:szCs w:val="24"/>
        </w:rPr>
        <w:t xml:space="preserve">EPA </w:t>
      </w:r>
      <w:r w:rsidRPr="003C5794">
        <w:rPr>
          <w:szCs w:val="24"/>
        </w:rPr>
        <w:t xml:space="preserve">Regional Administrator by March 1 of each even numbered year in accordance with </w:t>
      </w:r>
      <w:r>
        <w:rPr>
          <w:szCs w:val="24"/>
        </w:rPr>
        <w:t xml:space="preserve">§ </w:t>
      </w:r>
      <w:r w:rsidR="00E8705D">
        <w:rPr>
          <w:szCs w:val="24"/>
        </w:rPr>
        <w:t>262.41</w:t>
      </w:r>
      <w:r>
        <w:rPr>
          <w:szCs w:val="24"/>
        </w:rPr>
        <w:t>.</w:t>
      </w:r>
    </w:p>
    <w:p w14:paraId="3C14F6E2" w14:textId="77777777" w:rsidR="007A6CBB" w:rsidRPr="003C5794" w:rsidRDefault="007A6CBB" w:rsidP="007A6CBB">
      <w:pPr>
        <w:pStyle w:val="NoSpacing"/>
        <w:ind w:left="360"/>
        <w:rPr>
          <w:szCs w:val="24"/>
        </w:rPr>
      </w:pPr>
    </w:p>
    <w:p w14:paraId="0B500336" w14:textId="1128237B" w:rsidR="007A6CBB" w:rsidRDefault="007A6CBB" w:rsidP="00B021E0">
      <w:pPr>
        <w:pStyle w:val="NoSpacing"/>
        <w:ind w:firstLine="720"/>
        <w:rPr>
          <w:color w:val="000000"/>
          <w:szCs w:val="24"/>
        </w:rPr>
      </w:pPr>
      <w:r w:rsidRPr="00321A64">
        <w:rPr>
          <w:color w:val="000000"/>
          <w:szCs w:val="24"/>
        </w:rPr>
        <w:t>(</w:t>
      </w:r>
      <w:r w:rsidR="00BA0935">
        <w:rPr>
          <w:color w:val="000000"/>
          <w:szCs w:val="24"/>
        </w:rPr>
        <w:t>L</w:t>
      </w:r>
      <w:r w:rsidRPr="00321A64">
        <w:rPr>
          <w:color w:val="000000"/>
          <w:szCs w:val="24"/>
        </w:rPr>
        <w:t>)</w:t>
      </w:r>
      <w:r w:rsidR="002F7926">
        <w:rPr>
          <w:color w:val="000000"/>
          <w:szCs w:val="24"/>
        </w:rPr>
        <w:t xml:space="preserve"> </w:t>
      </w:r>
      <w:r w:rsidRPr="002F7926">
        <w:rPr>
          <w:b/>
          <w:i/>
          <w:color w:val="000000"/>
          <w:szCs w:val="24"/>
        </w:rPr>
        <w:t>Exception reporting for a missing copy of the manifest.</w:t>
      </w:r>
      <w:r>
        <w:rPr>
          <w:i/>
          <w:color w:val="000000"/>
          <w:szCs w:val="24"/>
        </w:rPr>
        <w:t xml:space="preserve"> </w:t>
      </w:r>
      <w:r>
        <w:rPr>
          <w:color w:val="000000"/>
          <w:szCs w:val="24"/>
        </w:rPr>
        <w:t xml:space="preserve"> </w:t>
      </w:r>
      <w:r w:rsidRPr="00CE1D60">
        <w:rPr>
          <w:color w:val="000000"/>
          <w:szCs w:val="24"/>
        </w:rPr>
        <w:t xml:space="preserve">For shipments </w:t>
      </w:r>
      <w:r>
        <w:rPr>
          <w:color w:val="000000"/>
          <w:szCs w:val="24"/>
        </w:rPr>
        <w:t xml:space="preserve">from a reverse distributor </w:t>
      </w:r>
      <w:r w:rsidRPr="00CE1D60">
        <w:rPr>
          <w:color w:val="000000"/>
          <w:szCs w:val="24"/>
        </w:rPr>
        <w:t xml:space="preserve">to </w:t>
      </w:r>
      <w:r>
        <w:rPr>
          <w:color w:val="000000"/>
          <w:szCs w:val="24"/>
        </w:rPr>
        <w:t xml:space="preserve">a </w:t>
      </w:r>
      <w:r w:rsidRPr="00CE1D60">
        <w:rPr>
          <w:color w:val="000000"/>
          <w:szCs w:val="24"/>
        </w:rPr>
        <w:t>designated facility</w:t>
      </w:r>
      <w:r>
        <w:rPr>
          <w:color w:val="000000"/>
          <w:szCs w:val="24"/>
        </w:rPr>
        <w:t>:</w:t>
      </w:r>
    </w:p>
    <w:p w14:paraId="1797F08F" w14:textId="77777777" w:rsidR="007A6CBB" w:rsidRDefault="007A6CBB" w:rsidP="007A6CBB">
      <w:pPr>
        <w:pStyle w:val="NoSpacing"/>
        <w:ind w:firstLine="360"/>
        <w:rPr>
          <w:color w:val="000000"/>
          <w:szCs w:val="24"/>
        </w:rPr>
      </w:pPr>
    </w:p>
    <w:p w14:paraId="3AF44B6E" w14:textId="176C35B3" w:rsidR="007A6CBB" w:rsidRDefault="007A6CBB" w:rsidP="002F7926">
      <w:pPr>
        <w:pStyle w:val="NoSpacing"/>
        <w:ind w:left="360" w:firstLine="720"/>
        <w:rPr>
          <w:color w:val="000000"/>
          <w:szCs w:val="24"/>
        </w:rPr>
      </w:pPr>
      <w:r w:rsidRPr="002F7926">
        <w:rPr>
          <w:color w:val="000000"/>
          <w:szCs w:val="24"/>
        </w:rPr>
        <w:t>(</w:t>
      </w:r>
      <w:r w:rsidR="002F7926" w:rsidRPr="002F7926">
        <w:rPr>
          <w:color w:val="000000"/>
          <w:szCs w:val="24"/>
        </w:rPr>
        <w:t>i</w:t>
      </w:r>
      <w:r w:rsidRPr="002F7926">
        <w:rPr>
          <w:color w:val="000000"/>
          <w:szCs w:val="24"/>
        </w:rPr>
        <w:t>)</w:t>
      </w:r>
      <w:r>
        <w:rPr>
          <w:color w:val="000000"/>
          <w:szCs w:val="24"/>
        </w:rPr>
        <w:t xml:space="preserve"> If a reverse distributor</w:t>
      </w:r>
      <w:r w:rsidRPr="00A3232F">
        <w:rPr>
          <w:color w:val="000000"/>
          <w:szCs w:val="24"/>
        </w:rPr>
        <w:t xml:space="preserve"> does not receive a copy of the manifest with the signature of the owner or operator of the designated facility within 35 days of the date the </w:t>
      </w:r>
      <w:r>
        <w:rPr>
          <w:color w:val="000000"/>
          <w:szCs w:val="24"/>
        </w:rPr>
        <w:t xml:space="preserve">evaluated hazardous </w:t>
      </w:r>
      <w:r w:rsidRPr="00A3232F">
        <w:rPr>
          <w:color w:val="000000"/>
          <w:szCs w:val="24"/>
        </w:rPr>
        <w:t xml:space="preserve">waste </w:t>
      </w:r>
      <w:r>
        <w:rPr>
          <w:color w:val="000000"/>
          <w:szCs w:val="24"/>
        </w:rPr>
        <w:t>pharmaceuticals were</w:t>
      </w:r>
      <w:r w:rsidRPr="00A3232F">
        <w:rPr>
          <w:color w:val="000000"/>
          <w:szCs w:val="24"/>
        </w:rPr>
        <w:t xml:space="preserve"> accepted by the initial transporter</w:t>
      </w:r>
      <w:r>
        <w:rPr>
          <w:color w:val="000000"/>
          <w:szCs w:val="24"/>
        </w:rPr>
        <w:t>, the reverse distributor</w:t>
      </w:r>
      <w:r w:rsidRPr="00A3232F">
        <w:rPr>
          <w:color w:val="000000"/>
          <w:szCs w:val="24"/>
        </w:rPr>
        <w:t xml:space="preserve"> must</w:t>
      </w:r>
      <w:r>
        <w:rPr>
          <w:color w:val="000000"/>
          <w:szCs w:val="24"/>
        </w:rPr>
        <w:t xml:space="preserve"> contact the transporter or the owner or operator of the designated facility to determine the status of the evaluated hazardous waste pharmaceuticals.</w:t>
      </w:r>
    </w:p>
    <w:p w14:paraId="48FE9E9E" w14:textId="77777777" w:rsidR="007A6CBB" w:rsidRPr="00A3232F" w:rsidRDefault="007A6CBB" w:rsidP="007A6CBB">
      <w:pPr>
        <w:pStyle w:val="NoSpacing"/>
        <w:ind w:firstLine="360"/>
        <w:rPr>
          <w:color w:val="000000"/>
          <w:szCs w:val="24"/>
        </w:rPr>
      </w:pPr>
    </w:p>
    <w:p w14:paraId="6B17DD33" w14:textId="2811B13E" w:rsidR="007A6CBB" w:rsidRPr="00727EB7" w:rsidRDefault="007A6CBB" w:rsidP="002F7926">
      <w:pPr>
        <w:pStyle w:val="NoSpacing"/>
        <w:ind w:left="360" w:firstLine="720"/>
        <w:rPr>
          <w:color w:val="000000"/>
          <w:szCs w:val="24"/>
        </w:rPr>
      </w:pPr>
      <w:r w:rsidRPr="002F7926">
        <w:rPr>
          <w:color w:val="000000"/>
          <w:szCs w:val="24"/>
        </w:rPr>
        <w:t>(</w:t>
      </w:r>
      <w:r w:rsidR="002F7926" w:rsidRPr="002F7926">
        <w:rPr>
          <w:color w:val="000000"/>
          <w:szCs w:val="24"/>
        </w:rPr>
        <w:t>ii</w:t>
      </w:r>
      <w:r w:rsidRPr="002F7926">
        <w:rPr>
          <w:color w:val="000000"/>
          <w:szCs w:val="24"/>
        </w:rPr>
        <w:t xml:space="preserve">) </w:t>
      </w:r>
      <w:r w:rsidRPr="00CE1D60">
        <w:rPr>
          <w:color w:val="000000"/>
          <w:szCs w:val="24"/>
        </w:rPr>
        <w:t xml:space="preserve">A </w:t>
      </w:r>
      <w:r>
        <w:rPr>
          <w:color w:val="000000"/>
          <w:szCs w:val="24"/>
        </w:rPr>
        <w:t>reverse distributor</w:t>
      </w:r>
      <w:r w:rsidRPr="00CE1D60">
        <w:rPr>
          <w:color w:val="000000"/>
          <w:szCs w:val="24"/>
        </w:rPr>
        <w:t xml:space="preserve"> must submit an </w:t>
      </w:r>
      <w:r>
        <w:rPr>
          <w:color w:val="000000"/>
          <w:szCs w:val="24"/>
        </w:rPr>
        <w:t>exception r</w:t>
      </w:r>
      <w:r w:rsidRPr="00CE1D60">
        <w:rPr>
          <w:color w:val="000000"/>
          <w:szCs w:val="24"/>
        </w:rPr>
        <w:t xml:space="preserve">eport to the EPA Regional Administrator for the Region in which the </w:t>
      </w:r>
      <w:r>
        <w:rPr>
          <w:color w:val="000000"/>
          <w:szCs w:val="24"/>
        </w:rPr>
        <w:t xml:space="preserve">reverse distributor </w:t>
      </w:r>
      <w:r w:rsidRPr="00CE1D60">
        <w:rPr>
          <w:color w:val="000000"/>
          <w:szCs w:val="24"/>
        </w:rPr>
        <w:t xml:space="preserve">is located if </w:t>
      </w:r>
      <w:r>
        <w:rPr>
          <w:color w:val="000000"/>
          <w:szCs w:val="24"/>
        </w:rPr>
        <w:t>it</w:t>
      </w:r>
      <w:r w:rsidRPr="00CE1D60">
        <w:rPr>
          <w:color w:val="000000"/>
          <w:szCs w:val="24"/>
        </w:rPr>
        <w:t xml:space="preserve"> has not received a copy of the manifest with the signature of the owner or operator of the designated facility within 45 days of the date the </w:t>
      </w:r>
      <w:r>
        <w:rPr>
          <w:color w:val="000000"/>
          <w:szCs w:val="24"/>
        </w:rPr>
        <w:t xml:space="preserve">evaluated hazardous </w:t>
      </w:r>
      <w:r w:rsidRPr="00CE1D60">
        <w:rPr>
          <w:color w:val="000000"/>
          <w:szCs w:val="24"/>
        </w:rPr>
        <w:t xml:space="preserve">waste </w:t>
      </w:r>
      <w:r>
        <w:rPr>
          <w:color w:val="000000"/>
          <w:szCs w:val="24"/>
        </w:rPr>
        <w:t xml:space="preserve">pharmaceutical </w:t>
      </w:r>
      <w:r w:rsidRPr="00CE1D60">
        <w:rPr>
          <w:color w:val="000000"/>
          <w:szCs w:val="24"/>
        </w:rPr>
        <w:t>was accepted b</w:t>
      </w:r>
      <w:r>
        <w:rPr>
          <w:color w:val="000000"/>
          <w:szCs w:val="24"/>
        </w:rPr>
        <w:t>y the initial transporter. The exception r</w:t>
      </w:r>
      <w:r w:rsidRPr="00CE1D60">
        <w:rPr>
          <w:color w:val="000000"/>
          <w:szCs w:val="24"/>
        </w:rPr>
        <w:t>eport must include:</w:t>
      </w:r>
      <w:r w:rsidR="002F7926">
        <w:rPr>
          <w:color w:val="000000"/>
          <w:szCs w:val="24"/>
        </w:rPr>
        <w:t xml:space="preserve"> </w:t>
      </w:r>
      <w:r w:rsidRPr="002F7926">
        <w:rPr>
          <w:color w:val="000000"/>
          <w:szCs w:val="24"/>
        </w:rPr>
        <w:t>(</w:t>
      </w:r>
      <w:r w:rsidR="002F7926" w:rsidRPr="002F7926">
        <w:rPr>
          <w:color w:val="000000"/>
          <w:szCs w:val="24"/>
        </w:rPr>
        <w:t>a</w:t>
      </w:r>
      <w:r w:rsidRPr="002F7926">
        <w:rPr>
          <w:color w:val="000000"/>
          <w:szCs w:val="24"/>
        </w:rPr>
        <w:t>)</w:t>
      </w:r>
      <w:r>
        <w:rPr>
          <w:color w:val="000000"/>
          <w:szCs w:val="24"/>
        </w:rPr>
        <w:t xml:space="preserve"> A legible copy of the manifest for which the reverse distributor does not have confirmation of delivery; and</w:t>
      </w:r>
      <w:r w:rsidR="002F7926">
        <w:rPr>
          <w:color w:val="000000"/>
          <w:szCs w:val="24"/>
        </w:rPr>
        <w:t xml:space="preserve"> </w:t>
      </w:r>
      <w:r w:rsidRPr="002F7926">
        <w:rPr>
          <w:color w:val="000000"/>
          <w:szCs w:val="24"/>
        </w:rPr>
        <w:t>(</w:t>
      </w:r>
      <w:r w:rsidR="002F7926" w:rsidRPr="002F7926">
        <w:rPr>
          <w:color w:val="000000"/>
          <w:szCs w:val="24"/>
        </w:rPr>
        <w:t>b</w:t>
      </w:r>
      <w:r w:rsidRPr="002F7926">
        <w:rPr>
          <w:color w:val="000000"/>
          <w:szCs w:val="24"/>
        </w:rPr>
        <w:t>)</w:t>
      </w:r>
      <w:r w:rsidRPr="00727EB7">
        <w:rPr>
          <w:i/>
          <w:color w:val="000000"/>
          <w:szCs w:val="24"/>
        </w:rPr>
        <w:t xml:space="preserve"> </w:t>
      </w:r>
      <w:r>
        <w:rPr>
          <w:color w:val="000000"/>
          <w:szCs w:val="24"/>
        </w:rPr>
        <w:t>A cover letter signed by the reverse distributor, or its authorized representative, explaining the efforts taken to locate the evaluated hazardous waste pharmaceuticals and the results of those efforts.</w:t>
      </w:r>
    </w:p>
    <w:p w14:paraId="0D8DEA83" w14:textId="77777777" w:rsidR="007A6CBB" w:rsidRPr="00CE1D60" w:rsidRDefault="007A6CBB" w:rsidP="007A6CBB">
      <w:pPr>
        <w:pStyle w:val="NoSpacing"/>
        <w:ind w:firstLine="360"/>
        <w:rPr>
          <w:color w:val="000000"/>
          <w:szCs w:val="24"/>
        </w:rPr>
      </w:pPr>
    </w:p>
    <w:p w14:paraId="186A562B" w14:textId="77777777" w:rsidR="007A6CBB" w:rsidRDefault="007A6CBB" w:rsidP="00A05581">
      <w:pPr>
        <w:pStyle w:val="NoSpacing"/>
        <w:ind w:left="360" w:firstLine="720"/>
        <w:rPr>
          <w:color w:val="000000"/>
          <w:szCs w:val="24"/>
        </w:rPr>
      </w:pPr>
      <w:r w:rsidRPr="00321A64">
        <w:rPr>
          <w:color w:val="000000"/>
          <w:szCs w:val="24"/>
        </w:rPr>
        <w:t>(</w:t>
      </w:r>
      <w:r w:rsidR="00BA0935">
        <w:rPr>
          <w:color w:val="000000"/>
          <w:szCs w:val="24"/>
        </w:rPr>
        <w:t>M</w:t>
      </w:r>
      <w:r w:rsidRPr="00321A64">
        <w:rPr>
          <w:color w:val="000000"/>
          <w:szCs w:val="24"/>
        </w:rPr>
        <w:t>)</w:t>
      </w:r>
      <w:r>
        <w:rPr>
          <w:i/>
          <w:color w:val="000000"/>
          <w:szCs w:val="24"/>
        </w:rPr>
        <w:t xml:space="preserve"> </w:t>
      </w:r>
      <w:r w:rsidR="002F7926" w:rsidRPr="002F7926">
        <w:rPr>
          <w:b/>
          <w:i/>
          <w:color w:val="000000"/>
          <w:szCs w:val="24"/>
        </w:rPr>
        <w:t>Rejected Shipments.</w:t>
      </w:r>
      <w:r>
        <w:rPr>
          <w:color w:val="000000"/>
          <w:szCs w:val="24"/>
        </w:rPr>
        <w:t xml:space="preserve"> </w:t>
      </w:r>
      <w:r w:rsidR="002F7926">
        <w:rPr>
          <w:color w:val="000000"/>
          <w:szCs w:val="24"/>
        </w:rPr>
        <w:t xml:space="preserve"> </w:t>
      </w:r>
      <w:r w:rsidR="00A05581">
        <w:rPr>
          <w:color w:val="000000"/>
          <w:szCs w:val="24"/>
        </w:rPr>
        <w:t xml:space="preserve">For shipments rejected </w:t>
      </w:r>
      <w:r>
        <w:rPr>
          <w:color w:val="000000"/>
          <w:szCs w:val="24"/>
        </w:rPr>
        <w:t xml:space="preserve">by the </w:t>
      </w:r>
      <w:r w:rsidRPr="00CE1D60">
        <w:rPr>
          <w:color w:val="000000"/>
          <w:szCs w:val="24"/>
        </w:rPr>
        <w:t>designated facility</w:t>
      </w:r>
      <w:r>
        <w:rPr>
          <w:color w:val="000000"/>
          <w:szCs w:val="24"/>
        </w:rPr>
        <w:t xml:space="preserve"> and shipped to an alternate facility:</w:t>
      </w:r>
    </w:p>
    <w:p w14:paraId="42787A66" w14:textId="77777777" w:rsidR="007A6CBB" w:rsidRDefault="007A6CBB" w:rsidP="007A6CBB">
      <w:pPr>
        <w:pStyle w:val="NoSpacing"/>
        <w:ind w:firstLine="360"/>
        <w:rPr>
          <w:color w:val="000000"/>
          <w:szCs w:val="24"/>
        </w:rPr>
      </w:pPr>
    </w:p>
    <w:p w14:paraId="22FC7F89" w14:textId="5B33C266" w:rsidR="007A6CBB" w:rsidRDefault="007A6CBB" w:rsidP="00A05581">
      <w:pPr>
        <w:pStyle w:val="NoSpacing"/>
        <w:ind w:left="360" w:firstLine="720"/>
        <w:rPr>
          <w:color w:val="000000"/>
          <w:szCs w:val="24"/>
        </w:rPr>
      </w:pPr>
      <w:r w:rsidRPr="00A05581">
        <w:rPr>
          <w:color w:val="000000"/>
          <w:szCs w:val="24"/>
        </w:rPr>
        <w:t>(</w:t>
      </w:r>
      <w:r w:rsidR="00A05581" w:rsidRPr="00A05581">
        <w:rPr>
          <w:color w:val="000000"/>
          <w:szCs w:val="24"/>
        </w:rPr>
        <w:t>i</w:t>
      </w:r>
      <w:r w:rsidRPr="00A05581">
        <w:rPr>
          <w:color w:val="000000"/>
          <w:szCs w:val="24"/>
        </w:rPr>
        <w:t>)</w:t>
      </w:r>
      <w:r>
        <w:rPr>
          <w:color w:val="000000"/>
          <w:szCs w:val="24"/>
        </w:rPr>
        <w:t xml:space="preserve"> </w:t>
      </w:r>
      <w:r w:rsidRPr="00A3232F">
        <w:rPr>
          <w:color w:val="000000"/>
          <w:szCs w:val="24"/>
        </w:rPr>
        <w:t xml:space="preserve">A </w:t>
      </w:r>
      <w:r>
        <w:rPr>
          <w:color w:val="000000"/>
          <w:szCs w:val="24"/>
        </w:rPr>
        <w:t>reverse distributor</w:t>
      </w:r>
      <w:r w:rsidRPr="00A3232F">
        <w:rPr>
          <w:color w:val="000000"/>
          <w:szCs w:val="24"/>
        </w:rPr>
        <w:t xml:space="preserve"> </w:t>
      </w:r>
      <w:r>
        <w:rPr>
          <w:color w:val="000000"/>
          <w:szCs w:val="24"/>
        </w:rPr>
        <w:t>that</w:t>
      </w:r>
      <w:r w:rsidRPr="00A3232F">
        <w:rPr>
          <w:color w:val="000000"/>
          <w:szCs w:val="24"/>
        </w:rPr>
        <w:t xml:space="preserve"> does not receive a copy of the manifest with the signature of the owner or operator of the </w:t>
      </w:r>
      <w:r>
        <w:rPr>
          <w:color w:val="000000"/>
          <w:szCs w:val="24"/>
        </w:rPr>
        <w:t>alternate</w:t>
      </w:r>
      <w:r w:rsidRPr="00A3232F">
        <w:rPr>
          <w:color w:val="000000"/>
          <w:szCs w:val="24"/>
        </w:rPr>
        <w:t xml:space="preserve"> facility within 35 days of the date the </w:t>
      </w:r>
      <w:r>
        <w:rPr>
          <w:color w:val="000000"/>
          <w:szCs w:val="24"/>
        </w:rPr>
        <w:t xml:space="preserve">evaluated hazardous </w:t>
      </w:r>
      <w:r w:rsidRPr="00A3232F">
        <w:rPr>
          <w:color w:val="000000"/>
          <w:szCs w:val="24"/>
        </w:rPr>
        <w:t xml:space="preserve">waste </w:t>
      </w:r>
      <w:r>
        <w:rPr>
          <w:color w:val="000000"/>
          <w:szCs w:val="24"/>
        </w:rPr>
        <w:t>pharmaceutical</w:t>
      </w:r>
      <w:r w:rsidR="006953FD">
        <w:rPr>
          <w:color w:val="000000"/>
          <w:szCs w:val="24"/>
        </w:rPr>
        <w:t>s were</w:t>
      </w:r>
      <w:r w:rsidRPr="00A3232F">
        <w:rPr>
          <w:color w:val="000000"/>
          <w:szCs w:val="24"/>
        </w:rPr>
        <w:t xml:space="preserve"> accepted by the initial transporter must contact the transporter </w:t>
      </w:r>
      <w:r>
        <w:rPr>
          <w:color w:val="000000"/>
          <w:szCs w:val="24"/>
        </w:rPr>
        <w:t>or</w:t>
      </w:r>
      <w:r w:rsidRPr="00A3232F">
        <w:rPr>
          <w:color w:val="000000"/>
          <w:szCs w:val="24"/>
        </w:rPr>
        <w:t xml:space="preserve"> the owner or operator of the </w:t>
      </w:r>
      <w:r>
        <w:rPr>
          <w:color w:val="000000"/>
          <w:szCs w:val="24"/>
        </w:rPr>
        <w:t>alternate</w:t>
      </w:r>
      <w:r w:rsidRPr="00A3232F">
        <w:rPr>
          <w:color w:val="000000"/>
          <w:szCs w:val="24"/>
        </w:rPr>
        <w:t xml:space="preserve"> facility to determine the status of the </w:t>
      </w:r>
      <w:r>
        <w:rPr>
          <w:color w:val="000000"/>
          <w:szCs w:val="24"/>
        </w:rPr>
        <w:t xml:space="preserve">hazardous </w:t>
      </w:r>
      <w:r w:rsidRPr="00A3232F">
        <w:rPr>
          <w:color w:val="000000"/>
          <w:szCs w:val="24"/>
        </w:rPr>
        <w:t>waste.</w:t>
      </w:r>
      <w:r w:rsidR="00A534BA">
        <w:rPr>
          <w:color w:val="000000"/>
          <w:szCs w:val="24"/>
        </w:rPr>
        <w:t xml:space="preserve"> </w:t>
      </w:r>
      <w:r w:rsidRPr="00DB2835">
        <w:rPr>
          <w:color w:val="000000"/>
          <w:szCs w:val="24"/>
        </w:rPr>
        <w:t xml:space="preserve">The </w:t>
      </w:r>
      <w:r w:rsidR="00A534BA" w:rsidRPr="00DB2835">
        <w:rPr>
          <w:color w:val="000000"/>
          <w:szCs w:val="24"/>
        </w:rPr>
        <w:t>35-day</w:t>
      </w:r>
      <w:r w:rsidRPr="00DB2835">
        <w:rPr>
          <w:color w:val="000000"/>
          <w:szCs w:val="24"/>
        </w:rPr>
        <w:t xml:space="preserve"> timefr</w:t>
      </w:r>
      <w:r>
        <w:rPr>
          <w:color w:val="000000"/>
          <w:szCs w:val="24"/>
        </w:rPr>
        <w:t>ame</w:t>
      </w:r>
      <w:r w:rsidRPr="00DB2835">
        <w:rPr>
          <w:color w:val="000000"/>
          <w:szCs w:val="24"/>
        </w:rPr>
        <w:t xml:space="preserve"> begin</w:t>
      </w:r>
      <w:r>
        <w:rPr>
          <w:color w:val="000000"/>
          <w:szCs w:val="24"/>
        </w:rPr>
        <w:t>s</w:t>
      </w:r>
      <w:r w:rsidRPr="00DB2835">
        <w:rPr>
          <w:color w:val="000000"/>
          <w:szCs w:val="24"/>
        </w:rPr>
        <w:t xml:space="preserve"> the date the </w:t>
      </w:r>
      <w:r w:rsidR="006953FD">
        <w:rPr>
          <w:color w:val="000000"/>
          <w:szCs w:val="24"/>
        </w:rPr>
        <w:t xml:space="preserve">evaluated hazardous </w:t>
      </w:r>
      <w:r w:rsidRPr="00DB2835">
        <w:rPr>
          <w:color w:val="000000"/>
          <w:szCs w:val="24"/>
        </w:rPr>
        <w:t>waste</w:t>
      </w:r>
      <w:r w:rsidR="006953FD">
        <w:rPr>
          <w:color w:val="000000"/>
          <w:szCs w:val="24"/>
        </w:rPr>
        <w:t xml:space="preserve"> pharmaceuticals are</w:t>
      </w:r>
      <w:r w:rsidRPr="00DB2835">
        <w:rPr>
          <w:color w:val="000000"/>
          <w:szCs w:val="24"/>
        </w:rPr>
        <w:t xml:space="preserve"> accepted by the </w:t>
      </w:r>
      <w:r>
        <w:rPr>
          <w:color w:val="000000"/>
          <w:szCs w:val="24"/>
        </w:rPr>
        <w:t>t</w:t>
      </w:r>
      <w:r w:rsidRPr="00DB2835">
        <w:rPr>
          <w:color w:val="000000"/>
          <w:szCs w:val="24"/>
        </w:rPr>
        <w:t>ransporter forwarding the hazardous waste shipment from the designated facility to the alternate facility.</w:t>
      </w:r>
    </w:p>
    <w:p w14:paraId="4BB57480" w14:textId="77777777" w:rsidR="007A6CBB" w:rsidRPr="00A3232F" w:rsidRDefault="007A6CBB" w:rsidP="007A6CBB">
      <w:pPr>
        <w:pStyle w:val="NoSpacing"/>
        <w:ind w:firstLine="360"/>
        <w:rPr>
          <w:color w:val="000000"/>
          <w:szCs w:val="24"/>
        </w:rPr>
      </w:pPr>
    </w:p>
    <w:p w14:paraId="0B432227" w14:textId="09B14AF5" w:rsidR="002E2573" w:rsidRDefault="007A6CBB" w:rsidP="00A05581">
      <w:pPr>
        <w:pStyle w:val="NoSpacing"/>
        <w:ind w:left="360" w:firstLine="720"/>
        <w:rPr>
          <w:color w:val="000000"/>
          <w:szCs w:val="24"/>
        </w:rPr>
      </w:pPr>
      <w:r w:rsidRPr="00A05581">
        <w:rPr>
          <w:color w:val="000000"/>
          <w:szCs w:val="24"/>
        </w:rPr>
        <w:t>(</w:t>
      </w:r>
      <w:r w:rsidR="00A05581" w:rsidRPr="00A05581">
        <w:rPr>
          <w:color w:val="000000"/>
          <w:szCs w:val="24"/>
        </w:rPr>
        <w:t>ii</w:t>
      </w:r>
      <w:r w:rsidRPr="00A05581">
        <w:rPr>
          <w:color w:val="000000"/>
          <w:szCs w:val="24"/>
        </w:rPr>
        <w:t>)</w:t>
      </w:r>
      <w:r>
        <w:rPr>
          <w:color w:val="000000"/>
          <w:szCs w:val="24"/>
        </w:rPr>
        <w:t xml:space="preserve"> </w:t>
      </w:r>
      <w:r w:rsidRPr="00CE1D60">
        <w:rPr>
          <w:color w:val="000000"/>
          <w:szCs w:val="24"/>
        </w:rPr>
        <w:t xml:space="preserve">A </w:t>
      </w:r>
      <w:r>
        <w:rPr>
          <w:color w:val="000000"/>
          <w:szCs w:val="24"/>
        </w:rPr>
        <w:t>reverse distributor</w:t>
      </w:r>
      <w:r w:rsidRPr="00CE1D60">
        <w:rPr>
          <w:color w:val="000000"/>
          <w:szCs w:val="24"/>
        </w:rPr>
        <w:t xml:space="preserve"> must submit an Exception Report to the EPA Regional Administrator for the Region in which the </w:t>
      </w:r>
      <w:r>
        <w:rPr>
          <w:color w:val="000000"/>
          <w:szCs w:val="24"/>
        </w:rPr>
        <w:t xml:space="preserve">reverse distributor </w:t>
      </w:r>
      <w:r w:rsidRPr="00CE1D60">
        <w:rPr>
          <w:color w:val="000000"/>
          <w:szCs w:val="24"/>
        </w:rPr>
        <w:t xml:space="preserve">is located if </w:t>
      </w:r>
      <w:r>
        <w:rPr>
          <w:color w:val="000000"/>
          <w:szCs w:val="24"/>
        </w:rPr>
        <w:t>it</w:t>
      </w:r>
      <w:r w:rsidRPr="00CE1D60">
        <w:rPr>
          <w:color w:val="000000"/>
          <w:szCs w:val="24"/>
        </w:rPr>
        <w:t xml:space="preserve"> has not received a copy of the manifest with the signature of the owner or operator of the </w:t>
      </w:r>
      <w:r>
        <w:rPr>
          <w:color w:val="000000"/>
          <w:szCs w:val="24"/>
        </w:rPr>
        <w:t>alternate</w:t>
      </w:r>
      <w:r w:rsidRPr="00CE1D60">
        <w:rPr>
          <w:color w:val="000000"/>
          <w:szCs w:val="24"/>
        </w:rPr>
        <w:t xml:space="preserve"> facility within 45 days of the date the </w:t>
      </w:r>
      <w:r>
        <w:rPr>
          <w:color w:val="000000"/>
          <w:szCs w:val="24"/>
        </w:rPr>
        <w:t xml:space="preserve">hazardous </w:t>
      </w:r>
      <w:r w:rsidRPr="00CE1D60">
        <w:rPr>
          <w:color w:val="000000"/>
          <w:szCs w:val="24"/>
        </w:rPr>
        <w:t xml:space="preserve">waste was accepted by the initial transporter. </w:t>
      </w:r>
      <w:r>
        <w:rPr>
          <w:color w:val="000000"/>
          <w:szCs w:val="24"/>
        </w:rPr>
        <w:t>The</w:t>
      </w:r>
      <w:r w:rsidRPr="00DB2835">
        <w:rPr>
          <w:color w:val="000000"/>
          <w:szCs w:val="24"/>
        </w:rPr>
        <w:t xml:space="preserve"> 45</w:t>
      </w:r>
      <w:r w:rsidR="00B021E0">
        <w:rPr>
          <w:color w:val="000000"/>
          <w:szCs w:val="24"/>
        </w:rPr>
        <w:t>-</w:t>
      </w:r>
      <w:r w:rsidRPr="00DB2835">
        <w:rPr>
          <w:color w:val="000000"/>
          <w:szCs w:val="24"/>
        </w:rPr>
        <w:t>d</w:t>
      </w:r>
      <w:r>
        <w:rPr>
          <w:color w:val="000000"/>
          <w:szCs w:val="24"/>
        </w:rPr>
        <w:t>ay timeframe</w:t>
      </w:r>
      <w:r w:rsidRPr="00DB2835">
        <w:rPr>
          <w:color w:val="000000"/>
          <w:szCs w:val="24"/>
        </w:rPr>
        <w:t xml:space="preserve"> begin</w:t>
      </w:r>
      <w:r>
        <w:rPr>
          <w:color w:val="000000"/>
          <w:szCs w:val="24"/>
        </w:rPr>
        <w:t xml:space="preserve">s the date the </w:t>
      </w:r>
      <w:r w:rsidR="006953FD">
        <w:rPr>
          <w:color w:val="000000"/>
          <w:szCs w:val="24"/>
        </w:rPr>
        <w:t xml:space="preserve">evaluated </w:t>
      </w:r>
      <w:r>
        <w:rPr>
          <w:color w:val="000000"/>
          <w:szCs w:val="24"/>
        </w:rPr>
        <w:t xml:space="preserve">hazardous </w:t>
      </w:r>
      <w:r w:rsidRPr="00DB2835">
        <w:rPr>
          <w:color w:val="000000"/>
          <w:szCs w:val="24"/>
        </w:rPr>
        <w:t>waste</w:t>
      </w:r>
      <w:r w:rsidR="006953FD">
        <w:rPr>
          <w:color w:val="000000"/>
          <w:szCs w:val="24"/>
        </w:rPr>
        <w:t xml:space="preserve"> pharmaceuticals are</w:t>
      </w:r>
      <w:r w:rsidRPr="00DB2835">
        <w:rPr>
          <w:color w:val="000000"/>
          <w:szCs w:val="24"/>
        </w:rPr>
        <w:t xml:space="preserve"> accepted by the transporter forwarding the hazardous waste shipment from the designated facility to the alternate facility.</w:t>
      </w:r>
      <w:r w:rsidR="008564C8">
        <w:rPr>
          <w:color w:val="000000"/>
          <w:szCs w:val="24"/>
        </w:rPr>
        <w:t xml:space="preserve"> </w:t>
      </w:r>
      <w:r w:rsidRPr="00CE1D60">
        <w:rPr>
          <w:color w:val="000000"/>
          <w:szCs w:val="24"/>
        </w:rPr>
        <w:t>The Exception Report must include:</w:t>
      </w:r>
      <w:r w:rsidR="00A05581">
        <w:rPr>
          <w:color w:val="000000"/>
          <w:szCs w:val="24"/>
        </w:rPr>
        <w:t xml:space="preserve"> </w:t>
      </w:r>
      <w:r w:rsidRPr="00A05581">
        <w:rPr>
          <w:color w:val="000000"/>
          <w:szCs w:val="24"/>
        </w:rPr>
        <w:t>(</w:t>
      </w:r>
      <w:r w:rsidR="00A05581" w:rsidRPr="00A05581">
        <w:rPr>
          <w:color w:val="000000"/>
          <w:szCs w:val="24"/>
        </w:rPr>
        <w:t>a</w:t>
      </w:r>
      <w:r w:rsidRPr="00A05581">
        <w:rPr>
          <w:color w:val="000000"/>
          <w:szCs w:val="24"/>
        </w:rPr>
        <w:t>)</w:t>
      </w:r>
      <w:r>
        <w:rPr>
          <w:color w:val="000000"/>
          <w:szCs w:val="24"/>
        </w:rPr>
        <w:t xml:space="preserve"> </w:t>
      </w:r>
      <w:r w:rsidRPr="00CE1D60">
        <w:rPr>
          <w:color w:val="000000"/>
          <w:szCs w:val="24"/>
        </w:rPr>
        <w:t>A legible copy of the manifest for which the generator does not have confirmation of delivery;</w:t>
      </w:r>
      <w:r w:rsidR="00A05581">
        <w:rPr>
          <w:color w:val="000000"/>
          <w:szCs w:val="24"/>
        </w:rPr>
        <w:t xml:space="preserve"> </w:t>
      </w:r>
      <w:r w:rsidRPr="00A05581">
        <w:rPr>
          <w:color w:val="000000"/>
          <w:szCs w:val="24"/>
        </w:rPr>
        <w:t>(</w:t>
      </w:r>
      <w:r w:rsidR="00A05581" w:rsidRPr="00A05581">
        <w:rPr>
          <w:color w:val="000000"/>
          <w:szCs w:val="24"/>
        </w:rPr>
        <w:t>b</w:t>
      </w:r>
      <w:r w:rsidRPr="00A05581">
        <w:rPr>
          <w:color w:val="000000"/>
          <w:szCs w:val="24"/>
        </w:rPr>
        <w:t>)</w:t>
      </w:r>
      <w:r>
        <w:rPr>
          <w:color w:val="000000"/>
          <w:szCs w:val="24"/>
        </w:rPr>
        <w:t xml:space="preserve"> </w:t>
      </w:r>
      <w:r w:rsidRPr="00CE1D60">
        <w:rPr>
          <w:color w:val="000000"/>
          <w:szCs w:val="24"/>
        </w:rPr>
        <w:t xml:space="preserve">A cover letter signed by the </w:t>
      </w:r>
      <w:r>
        <w:rPr>
          <w:color w:val="000000"/>
          <w:szCs w:val="24"/>
        </w:rPr>
        <w:t xml:space="preserve">reverse distributor, </w:t>
      </w:r>
      <w:r w:rsidRPr="00CE1D60">
        <w:rPr>
          <w:color w:val="000000"/>
          <w:szCs w:val="24"/>
        </w:rPr>
        <w:t>o</w:t>
      </w:r>
      <w:r>
        <w:rPr>
          <w:color w:val="000000"/>
          <w:szCs w:val="24"/>
        </w:rPr>
        <w:t xml:space="preserve">r its authorized representative, </w:t>
      </w:r>
      <w:r w:rsidRPr="00CE1D60">
        <w:rPr>
          <w:color w:val="000000"/>
          <w:szCs w:val="24"/>
        </w:rPr>
        <w:t xml:space="preserve">explaining the efforts taken to locate the </w:t>
      </w:r>
      <w:r>
        <w:rPr>
          <w:color w:val="000000"/>
          <w:szCs w:val="24"/>
        </w:rPr>
        <w:t xml:space="preserve">evaluated </w:t>
      </w:r>
      <w:r w:rsidRPr="00CE1D60">
        <w:rPr>
          <w:color w:val="000000"/>
          <w:szCs w:val="24"/>
        </w:rPr>
        <w:t xml:space="preserve">hazardous waste </w:t>
      </w:r>
      <w:r>
        <w:rPr>
          <w:color w:val="000000"/>
          <w:szCs w:val="24"/>
        </w:rPr>
        <w:t xml:space="preserve">pharmaceuticals </w:t>
      </w:r>
      <w:r w:rsidRPr="00CE1D60">
        <w:rPr>
          <w:color w:val="000000"/>
          <w:szCs w:val="24"/>
        </w:rPr>
        <w:t>and the results of those efforts.</w:t>
      </w:r>
    </w:p>
    <w:p w14:paraId="2981E8DE" w14:textId="77777777" w:rsidR="00BA0935" w:rsidRDefault="00BA0935" w:rsidP="00A05581">
      <w:pPr>
        <w:pStyle w:val="NoSpacing"/>
        <w:ind w:left="360" w:firstLine="720"/>
        <w:rPr>
          <w:color w:val="000000"/>
          <w:szCs w:val="24"/>
        </w:rPr>
      </w:pPr>
    </w:p>
    <w:p w14:paraId="77CF570D" w14:textId="77777777" w:rsidR="007A6CBB" w:rsidRDefault="007A6CBB" w:rsidP="00A05581">
      <w:pPr>
        <w:pStyle w:val="NoSpacing"/>
        <w:ind w:left="360" w:firstLine="720"/>
        <w:rPr>
          <w:szCs w:val="24"/>
        </w:rPr>
      </w:pPr>
      <w:r w:rsidRPr="00321A64">
        <w:rPr>
          <w:szCs w:val="24"/>
        </w:rPr>
        <w:t>(</w:t>
      </w:r>
      <w:r w:rsidR="00BA0935">
        <w:rPr>
          <w:szCs w:val="24"/>
        </w:rPr>
        <w:t>N</w:t>
      </w:r>
      <w:r w:rsidRPr="00321A64">
        <w:rPr>
          <w:szCs w:val="24"/>
        </w:rPr>
        <w:t xml:space="preserve">) </w:t>
      </w:r>
      <w:r w:rsidRPr="00A05581">
        <w:rPr>
          <w:b/>
          <w:i/>
          <w:szCs w:val="24"/>
        </w:rPr>
        <w:t>Recordkeeping for evaluated hazardous waste pharmaceuticals.</w:t>
      </w:r>
    </w:p>
    <w:p w14:paraId="684B75B9" w14:textId="77777777" w:rsidR="007A6CBB" w:rsidRDefault="007A6CBB" w:rsidP="007A6CBB">
      <w:pPr>
        <w:pStyle w:val="NoSpacing"/>
        <w:ind w:firstLine="360"/>
        <w:rPr>
          <w:szCs w:val="24"/>
        </w:rPr>
      </w:pPr>
    </w:p>
    <w:p w14:paraId="31F0188B" w14:textId="16ABE7C2" w:rsidR="007A6CBB" w:rsidRDefault="007A6CBB" w:rsidP="00A05581">
      <w:pPr>
        <w:pStyle w:val="NoSpacing"/>
        <w:ind w:left="360" w:firstLine="720"/>
        <w:rPr>
          <w:szCs w:val="24"/>
        </w:rPr>
      </w:pPr>
      <w:r>
        <w:rPr>
          <w:szCs w:val="24"/>
        </w:rPr>
        <w:t>(i) A reverse distributor must keep a log (written or electronic) of the inspections of the on-site accumulation area, required by paragraph (c)(2) of this section.  This log must be retained as a record for at least three years from the date of the inspection.</w:t>
      </w:r>
    </w:p>
    <w:p w14:paraId="62EA5A45" w14:textId="7A997E19" w:rsidR="007A6CBB" w:rsidRDefault="007A6CBB" w:rsidP="00A05581">
      <w:pPr>
        <w:spacing w:before="100" w:beforeAutospacing="1" w:after="100" w:afterAutospacing="1"/>
        <w:ind w:left="360" w:firstLine="720"/>
      </w:pPr>
      <w:r>
        <w:t>(ii</w:t>
      </w:r>
      <w:r w:rsidRPr="004B4543">
        <w:t xml:space="preserve">) A </w:t>
      </w:r>
      <w:r>
        <w:t xml:space="preserve">reverse distributor </w:t>
      </w:r>
      <w:r w:rsidRPr="004B4543">
        <w:t xml:space="preserve">must keep a copy of each manifest </w:t>
      </w:r>
      <w:r>
        <w:t xml:space="preserve">signed in accordance with § 262.23(a) </w:t>
      </w:r>
      <w:r w:rsidRPr="004B4543">
        <w:t xml:space="preserve">for three years or until </w:t>
      </w:r>
      <w:r>
        <w:t>it</w:t>
      </w:r>
      <w:r w:rsidRPr="004B4543">
        <w:t xml:space="preserve"> receives a signed copy from the designated facility which received the </w:t>
      </w:r>
      <w:r>
        <w:t xml:space="preserve">evaluated hazardous </w:t>
      </w:r>
      <w:r w:rsidRPr="004B4543">
        <w:t>waste</w:t>
      </w:r>
      <w:r>
        <w:t xml:space="preserve"> pharmaceutical</w:t>
      </w:r>
      <w:r w:rsidRPr="004B4543">
        <w:t xml:space="preserve">. This signed copy must be retained as a record for at least three years from the date the </w:t>
      </w:r>
      <w:r>
        <w:t xml:space="preserve">evaluated hazardous </w:t>
      </w:r>
      <w:r w:rsidRPr="004B4543">
        <w:t xml:space="preserve">waste </w:t>
      </w:r>
      <w:r>
        <w:t xml:space="preserve">pharmaceutical </w:t>
      </w:r>
      <w:r w:rsidRPr="004B4543">
        <w:t>was accepted by the initial transporter.</w:t>
      </w:r>
    </w:p>
    <w:p w14:paraId="5395F7BC" w14:textId="6DD6C1A0" w:rsidR="007A6CBB" w:rsidRDefault="007A6CBB" w:rsidP="00A05581">
      <w:pPr>
        <w:spacing w:before="100" w:beforeAutospacing="1" w:after="100" w:afterAutospacing="1"/>
        <w:ind w:left="360" w:firstLine="720"/>
      </w:pPr>
      <w:r>
        <w:t>(iii) A reverse distributor must keep a copy of each biennial r</w:t>
      </w:r>
      <w:r w:rsidRPr="004B4543">
        <w:t xml:space="preserve">eport </w:t>
      </w:r>
      <w:r>
        <w:t>f</w:t>
      </w:r>
      <w:r w:rsidRPr="004B4543">
        <w:t>or at least three years from the due date of the report.</w:t>
      </w:r>
    </w:p>
    <w:p w14:paraId="3B4DCC00" w14:textId="235EF2C4" w:rsidR="007A6CBB" w:rsidRPr="004B4543" w:rsidRDefault="007A6CBB" w:rsidP="00A05581">
      <w:pPr>
        <w:spacing w:before="100" w:beforeAutospacing="1" w:after="100" w:afterAutospacing="1"/>
        <w:ind w:left="360" w:firstLine="720"/>
      </w:pPr>
      <w:r>
        <w:t xml:space="preserve">(iv) A reverse distributor </w:t>
      </w:r>
      <w:r w:rsidRPr="004B4543">
        <w:t xml:space="preserve">must keep a copy of </w:t>
      </w:r>
      <w:r>
        <w:t>each exception r</w:t>
      </w:r>
      <w:r w:rsidRPr="004B4543">
        <w:t xml:space="preserve">eport for at least three years from the </w:t>
      </w:r>
      <w:r>
        <w:t>submission</w:t>
      </w:r>
      <w:r w:rsidRPr="004B4543">
        <w:t xml:space="preserve"> of the report.</w:t>
      </w:r>
    </w:p>
    <w:p w14:paraId="3297FAA3" w14:textId="292B426B" w:rsidR="007A6CBB" w:rsidRPr="004B4543" w:rsidRDefault="007A6CBB" w:rsidP="00A05581">
      <w:pPr>
        <w:spacing w:before="100" w:beforeAutospacing="1" w:after="100" w:afterAutospacing="1"/>
        <w:ind w:left="360" w:firstLine="720"/>
      </w:pPr>
      <w:r>
        <w:t>(v) A reverse distributor must keep records to document personnel train</w:t>
      </w:r>
      <w:r w:rsidR="00684F33">
        <w:t>ing, in accordance with § 262.17(a)(7)(iv)</w:t>
      </w:r>
      <w:r>
        <w:t>.</w:t>
      </w:r>
    </w:p>
    <w:p w14:paraId="0B770281" w14:textId="77777777" w:rsidR="007B61E5" w:rsidRPr="00E17A70" w:rsidRDefault="007B61E5" w:rsidP="007B61E5">
      <w:pPr>
        <w:pStyle w:val="CM25"/>
        <w:tabs>
          <w:tab w:val="left" w:pos="8640"/>
        </w:tabs>
        <w:spacing w:line="283" w:lineRule="atLeast"/>
        <w:ind w:left="720" w:hanging="720"/>
        <w:rPr>
          <w:rFonts w:ascii="Times New Roman" w:hAnsi="Times New Roman"/>
        </w:rPr>
      </w:pPr>
      <w:r w:rsidRPr="00E17A70">
        <w:rPr>
          <w:rFonts w:ascii="Times New Roman" w:hAnsi="Times New Roman"/>
          <w:b/>
          <w:bCs/>
        </w:rPr>
        <w:t>5.</w:t>
      </w:r>
      <w:r w:rsidRPr="00E17A70">
        <w:rPr>
          <w:rFonts w:ascii="Times New Roman" w:hAnsi="Times New Roman"/>
          <w:b/>
          <w:bCs/>
        </w:rPr>
        <w:tab/>
        <w:t xml:space="preserve">THE INFORMATION COLLECTED --AGENCY ACTIVITIES, COLLECTION METHODOLOGY, AND INFORMATION MANAGEMENT </w:t>
      </w:r>
    </w:p>
    <w:p w14:paraId="6FA7C6AF" w14:textId="77777777" w:rsidR="007B61E5" w:rsidRPr="00E17A70" w:rsidRDefault="007B61E5" w:rsidP="007B61E5">
      <w:pPr>
        <w:pStyle w:val="CM25"/>
        <w:spacing w:line="278" w:lineRule="atLeast"/>
        <w:ind w:left="720"/>
        <w:rPr>
          <w:rFonts w:ascii="Times New Roman" w:hAnsi="Times New Roman" w:cs="Times New Roman"/>
        </w:rPr>
      </w:pPr>
      <w:r w:rsidRPr="00E17A70">
        <w:rPr>
          <w:rFonts w:ascii="Times New Roman" w:hAnsi="Times New Roman" w:cs="Times New Roman"/>
          <w:b/>
          <w:bCs/>
        </w:rPr>
        <w:t>5(a)</w:t>
      </w:r>
      <w:r w:rsidRPr="00E17A70">
        <w:rPr>
          <w:rFonts w:ascii="Times New Roman" w:hAnsi="Times New Roman" w:cs="Times New Roman"/>
          <w:b/>
          <w:bCs/>
        </w:rPr>
        <w:tab/>
        <w:t xml:space="preserve">Agency Activities </w:t>
      </w:r>
    </w:p>
    <w:p w14:paraId="127E0DC8" w14:textId="7DD62202" w:rsidR="007B61E5" w:rsidRDefault="007B61E5" w:rsidP="007B61E5">
      <w:pPr>
        <w:pStyle w:val="CM25"/>
        <w:spacing w:line="286" w:lineRule="atLeast"/>
        <w:ind w:firstLine="720"/>
        <w:rPr>
          <w:rFonts w:ascii="Times New Roman" w:hAnsi="Times New Roman"/>
        </w:rPr>
      </w:pPr>
      <w:r w:rsidRPr="00E17A70">
        <w:rPr>
          <w:rFonts w:ascii="Times New Roman" w:hAnsi="Times New Roman"/>
        </w:rPr>
        <w:t xml:space="preserve">Most of the information that is required of </w:t>
      </w:r>
      <w:r w:rsidR="00E17244">
        <w:rPr>
          <w:rFonts w:ascii="Times New Roman" w:hAnsi="Times New Roman"/>
        </w:rPr>
        <w:t xml:space="preserve">facilities managing </w:t>
      </w:r>
      <w:r w:rsidR="00BC2D94">
        <w:rPr>
          <w:rFonts w:ascii="Times New Roman" w:hAnsi="Times New Roman"/>
        </w:rPr>
        <w:t>hazardous waste</w:t>
      </w:r>
      <w:r w:rsidRPr="00E17A70">
        <w:rPr>
          <w:rFonts w:ascii="Times New Roman" w:hAnsi="Times New Roman"/>
        </w:rPr>
        <w:t xml:space="preserve"> pharmaceutical</w:t>
      </w:r>
      <w:r w:rsidR="00E17244">
        <w:rPr>
          <w:rFonts w:ascii="Times New Roman" w:hAnsi="Times New Roman"/>
        </w:rPr>
        <w:t>s</w:t>
      </w:r>
      <w:r w:rsidRPr="00E17A70">
        <w:rPr>
          <w:rFonts w:ascii="Times New Roman" w:hAnsi="Times New Roman"/>
        </w:rPr>
        <w:t xml:space="preserve"> would be kept on site and not be submitted to EPA for</w:t>
      </w:r>
      <w:r>
        <w:rPr>
          <w:rFonts w:ascii="Times New Roman" w:hAnsi="Times New Roman"/>
        </w:rPr>
        <w:t xml:space="preserve"> review</w:t>
      </w:r>
      <w:r w:rsidRPr="00E17A70">
        <w:rPr>
          <w:rFonts w:ascii="Times New Roman" w:hAnsi="Times New Roman"/>
        </w:rPr>
        <w:t xml:space="preserve">. </w:t>
      </w:r>
      <w:r w:rsidR="00980C69">
        <w:rPr>
          <w:rFonts w:ascii="Times New Roman" w:hAnsi="Times New Roman"/>
        </w:rPr>
        <w:t>T</w:t>
      </w:r>
      <w:r>
        <w:rPr>
          <w:rFonts w:ascii="Times New Roman" w:hAnsi="Times New Roman"/>
        </w:rPr>
        <w:t xml:space="preserve">he </w:t>
      </w:r>
      <w:r w:rsidR="00980C69">
        <w:rPr>
          <w:rFonts w:ascii="Times New Roman" w:hAnsi="Times New Roman"/>
        </w:rPr>
        <w:t>Agency will collect a limited amount of information from healthcare facilities and reverse distributors in states that are not authorized to operate their RCRA Subtitle C hazardous waste program</w:t>
      </w:r>
      <w:r w:rsidR="00E17244">
        <w:rPr>
          <w:rFonts w:ascii="Times New Roman" w:hAnsi="Times New Roman"/>
        </w:rPr>
        <w:t>.</w:t>
      </w:r>
      <w:r w:rsidR="00980C69">
        <w:rPr>
          <w:rFonts w:ascii="Times New Roman" w:hAnsi="Times New Roman"/>
        </w:rPr>
        <w:t xml:space="preserve"> In general, however, most authorized state programs will collect information in lieu of EPA.</w:t>
      </w:r>
      <w:r>
        <w:rPr>
          <w:rFonts w:ascii="Times New Roman" w:hAnsi="Times New Roman"/>
        </w:rPr>
        <w:t xml:space="preserve"> </w:t>
      </w:r>
      <w:r w:rsidR="00980C69">
        <w:rPr>
          <w:rFonts w:ascii="Times New Roman" w:hAnsi="Times New Roman"/>
        </w:rPr>
        <w:t xml:space="preserve">In states that are not authorized to operate their RCRA Subtitle C hazardous waste program, EPA will collect information related to notification, Biennial Reporting, and exception reporting. EPA will receive notifications from healthcare facilities and reverse distributors when they begin operating under subpart P. </w:t>
      </w:r>
      <w:r>
        <w:rPr>
          <w:rFonts w:ascii="Times New Roman" w:hAnsi="Times New Roman"/>
        </w:rPr>
        <w:t xml:space="preserve">However, as stated earlier, it is assumed that </w:t>
      </w:r>
      <w:r w:rsidR="000B6590">
        <w:rPr>
          <w:rFonts w:ascii="Times New Roman" w:hAnsi="Times New Roman"/>
        </w:rPr>
        <w:t>LQGs and SQGs</w:t>
      </w:r>
      <w:r w:rsidRPr="00E17A70">
        <w:rPr>
          <w:rFonts w:ascii="Times New Roman" w:hAnsi="Times New Roman"/>
        </w:rPr>
        <w:t xml:space="preserve"> have </w:t>
      </w:r>
      <w:r>
        <w:rPr>
          <w:rFonts w:ascii="Times New Roman" w:hAnsi="Times New Roman"/>
        </w:rPr>
        <w:t>previously</w:t>
      </w:r>
      <w:r w:rsidRPr="00E17A70">
        <w:rPr>
          <w:rFonts w:ascii="Times New Roman" w:hAnsi="Times New Roman"/>
        </w:rPr>
        <w:t xml:space="preserve"> notified EPA of their hazardous waste management activities under RCRA and have received an EPA Identification number</w:t>
      </w:r>
      <w:r w:rsidR="00980C69">
        <w:rPr>
          <w:rFonts w:ascii="Times New Roman" w:hAnsi="Times New Roman"/>
        </w:rPr>
        <w:t xml:space="preserve">. </w:t>
      </w:r>
      <w:r w:rsidR="002B15AC">
        <w:rPr>
          <w:rFonts w:ascii="Times New Roman" w:hAnsi="Times New Roman"/>
        </w:rPr>
        <w:t>Nevertheless</w:t>
      </w:r>
      <w:r>
        <w:rPr>
          <w:rFonts w:ascii="Times New Roman" w:hAnsi="Times New Roman"/>
        </w:rPr>
        <w:t xml:space="preserve">, they </w:t>
      </w:r>
      <w:r w:rsidR="00980C69">
        <w:rPr>
          <w:rFonts w:ascii="Times New Roman" w:hAnsi="Times New Roman"/>
        </w:rPr>
        <w:t>will</w:t>
      </w:r>
      <w:r>
        <w:rPr>
          <w:rFonts w:ascii="Times New Roman" w:hAnsi="Times New Roman"/>
        </w:rPr>
        <w:t xml:space="preserve"> be </w:t>
      </w:r>
      <w:r w:rsidR="00980C69">
        <w:rPr>
          <w:rFonts w:ascii="Times New Roman" w:hAnsi="Times New Roman"/>
        </w:rPr>
        <w:t>required to notify</w:t>
      </w:r>
      <w:r>
        <w:rPr>
          <w:rFonts w:ascii="Times New Roman" w:hAnsi="Times New Roman"/>
        </w:rPr>
        <w:t xml:space="preserve"> the Agency under the </w:t>
      </w:r>
      <w:r w:rsidR="00B96EBD">
        <w:rPr>
          <w:rFonts w:ascii="Times New Roman" w:hAnsi="Times New Roman"/>
        </w:rPr>
        <w:t xml:space="preserve">final </w:t>
      </w:r>
      <w:r>
        <w:rPr>
          <w:rFonts w:ascii="Times New Roman" w:hAnsi="Times New Roman"/>
        </w:rPr>
        <w:t>rule</w:t>
      </w:r>
      <w:r w:rsidR="002B15AC">
        <w:rPr>
          <w:rFonts w:ascii="Times New Roman" w:hAnsi="Times New Roman"/>
        </w:rPr>
        <w:t xml:space="preserve"> to indicate that they are operating under this new part 266 subpart </w:t>
      </w:r>
      <w:r w:rsidR="00980C69">
        <w:rPr>
          <w:rFonts w:ascii="Times New Roman" w:hAnsi="Times New Roman"/>
        </w:rPr>
        <w:t>P.</w:t>
      </w:r>
      <w:r w:rsidR="00632A0D">
        <w:rPr>
          <w:rFonts w:ascii="Times New Roman" w:hAnsi="Times New Roman"/>
        </w:rPr>
        <w:t xml:space="preserve"> This should not </w:t>
      </w:r>
      <w:r w:rsidR="00A11284">
        <w:rPr>
          <w:rFonts w:ascii="Times New Roman" w:hAnsi="Times New Roman"/>
        </w:rPr>
        <w:t xml:space="preserve">cause a significant increase in burden to </w:t>
      </w:r>
      <w:r>
        <w:rPr>
          <w:rFonts w:ascii="Times New Roman" w:hAnsi="Times New Roman"/>
        </w:rPr>
        <w:t>the Agency</w:t>
      </w:r>
      <w:r w:rsidR="00A11284">
        <w:rPr>
          <w:rFonts w:ascii="Times New Roman" w:hAnsi="Times New Roman"/>
        </w:rPr>
        <w:t xml:space="preserve"> compared to existing burden</w:t>
      </w:r>
      <w:r w:rsidR="00980C69">
        <w:rPr>
          <w:rFonts w:ascii="Times New Roman" w:hAnsi="Times New Roman"/>
        </w:rPr>
        <w:t>. EPA will also receive exception reports from healthcare facilities and reverse distributors when they do not receive a copy of the manifest with the signature of the owner or operating of the designated facility. EPA will also receive biennial reports from healthcare facilities and reverse distributors. However, these facilities are already estimated to be preparing biennial reports in the baseline, and thus it should not cause an increase in burden to the Agency.</w:t>
      </w:r>
    </w:p>
    <w:p w14:paraId="08E35BD8" w14:textId="77777777" w:rsidR="00A047FC" w:rsidRDefault="00A047FC" w:rsidP="00A047FC">
      <w:pPr>
        <w:pStyle w:val="Default"/>
      </w:pPr>
    </w:p>
    <w:p w14:paraId="15472B10" w14:textId="77777777" w:rsidR="00A047FC" w:rsidRDefault="00A047FC" w:rsidP="00A047FC">
      <w:pPr>
        <w:pStyle w:val="Default"/>
        <w:rPr>
          <w:b/>
        </w:rPr>
      </w:pPr>
      <w:r>
        <w:tab/>
      </w:r>
      <w:r>
        <w:rPr>
          <w:b/>
        </w:rPr>
        <w:t>5(b)</w:t>
      </w:r>
      <w:r>
        <w:rPr>
          <w:b/>
        </w:rPr>
        <w:tab/>
        <w:t>Collection Methodology and Management</w:t>
      </w:r>
    </w:p>
    <w:p w14:paraId="664BC420" w14:textId="77777777" w:rsidR="000F545A" w:rsidRDefault="000F545A" w:rsidP="00A047FC">
      <w:pPr>
        <w:pStyle w:val="Default"/>
        <w:rPr>
          <w:b/>
        </w:rPr>
      </w:pPr>
    </w:p>
    <w:p w14:paraId="03AFEC20" w14:textId="1DC4D339" w:rsidR="002E2573" w:rsidRDefault="000F545A" w:rsidP="00A047FC">
      <w:pPr>
        <w:pStyle w:val="Default"/>
      </w:pPr>
      <w:r>
        <w:rPr>
          <w:b/>
        </w:rPr>
        <w:tab/>
      </w:r>
      <w:r w:rsidR="00A1011A">
        <w:t xml:space="preserve">The information collected will be managed in a similar manner to previous </w:t>
      </w:r>
      <w:r w:rsidR="00980C69">
        <w:t xml:space="preserve">notifications and exception reporting received by EPA. </w:t>
      </w:r>
      <w:r w:rsidR="00A1011A">
        <w:t>EPA will use equipment such as personal computers and applicable database software.</w:t>
      </w:r>
      <w:r w:rsidR="00A047FC">
        <w:tab/>
      </w:r>
    </w:p>
    <w:p w14:paraId="0F023BB4" w14:textId="77777777" w:rsidR="00B96EBD" w:rsidRDefault="00B96EBD" w:rsidP="002E2573">
      <w:pPr>
        <w:pStyle w:val="Default"/>
        <w:ind w:firstLine="720"/>
      </w:pPr>
    </w:p>
    <w:p w14:paraId="63B92515" w14:textId="77777777" w:rsidR="007B61E5" w:rsidRDefault="007B61E5" w:rsidP="002E2573">
      <w:pPr>
        <w:pStyle w:val="Default"/>
        <w:ind w:firstLine="720"/>
        <w:rPr>
          <w:rFonts w:ascii="Times New Roman" w:hAnsi="Times New Roman" w:cs="Times New Roman"/>
          <w:b/>
          <w:bCs/>
        </w:rPr>
      </w:pPr>
      <w:r w:rsidRPr="00E17A70">
        <w:rPr>
          <w:rFonts w:ascii="Times New Roman" w:hAnsi="Times New Roman" w:cs="Times New Roman"/>
          <w:b/>
          <w:bCs/>
        </w:rPr>
        <w:t>5(</w:t>
      </w:r>
      <w:r w:rsidR="00A047FC">
        <w:rPr>
          <w:rFonts w:ascii="Times New Roman" w:hAnsi="Times New Roman" w:cs="Times New Roman"/>
          <w:b/>
          <w:bCs/>
        </w:rPr>
        <w:t>c</w:t>
      </w:r>
      <w:r w:rsidR="002E2573">
        <w:rPr>
          <w:rFonts w:ascii="Times New Roman" w:hAnsi="Times New Roman" w:cs="Times New Roman"/>
          <w:b/>
          <w:bCs/>
        </w:rPr>
        <w:t>)</w:t>
      </w:r>
      <w:r w:rsidR="002E2573">
        <w:rPr>
          <w:rFonts w:ascii="Times New Roman" w:hAnsi="Times New Roman" w:cs="Times New Roman"/>
          <w:b/>
          <w:bCs/>
        </w:rPr>
        <w:tab/>
      </w:r>
      <w:r w:rsidRPr="00E17A70">
        <w:rPr>
          <w:rFonts w:ascii="Times New Roman" w:hAnsi="Times New Roman" w:cs="Times New Roman"/>
          <w:b/>
          <w:bCs/>
        </w:rPr>
        <w:t xml:space="preserve">Small Entity Flexibility </w:t>
      </w:r>
    </w:p>
    <w:p w14:paraId="50D0756A" w14:textId="77777777" w:rsidR="002E2573" w:rsidRPr="00E17A70" w:rsidRDefault="002E2573" w:rsidP="002E2573">
      <w:pPr>
        <w:pStyle w:val="Default"/>
        <w:ind w:firstLine="720"/>
        <w:rPr>
          <w:rFonts w:ascii="Times New Roman" w:hAnsi="Times New Roman" w:cs="Times New Roman"/>
        </w:rPr>
      </w:pPr>
    </w:p>
    <w:p w14:paraId="683534BA" w14:textId="5B4F82EC" w:rsidR="007B61E5" w:rsidRDefault="00AB0764" w:rsidP="00A1011A">
      <w:pPr>
        <w:pStyle w:val="CM25"/>
        <w:spacing w:after="240" w:line="280" w:lineRule="atLeast"/>
        <w:ind w:firstLine="720"/>
        <w:rPr>
          <w:rFonts w:ascii="Times New Roman" w:hAnsi="Times New Roman"/>
        </w:rPr>
      </w:pPr>
      <w:r>
        <w:rPr>
          <w:rFonts w:ascii="Times New Roman" w:hAnsi="Times New Roman"/>
        </w:rPr>
        <w:t xml:space="preserve">The </w:t>
      </w:r>
      <w:r w:rsidR="00B96EBD">
        <w:rPr>
          <w:rFonts w:ascii="Times New Roman" w:hAnsi="Times New Roman"/>
        </w:rPr>
        <w:t xml:space="preserve">final </w:t>
      </w:r>
      <w:r>
        <w:rPr>
          <w:rFonts w:ascii="Times New Roman" w:hAnsi="Times New Roman"/>
        </w:rPr>
        <w:t>rule is not expected to cause a significant impact on</w:t>
      </w:r>
      <w:r w:rsidR="00481D79">
        <w:rPr>
          <w:rFonts w:ascii="Times New Roman" w:hAnsi="Times New Roman"/>
        </w:rPr>
        <w:t xml:space="preserve"> small entities. </w:t>
      </w:r>
      <w:r w:rsidR="00CF6151">
        <w:rPr>
          <w:rFonts w:ascii="Times New Roman" w:hAnsi="Times New Roman"/>
        </w:rPr>
        <w:t xml:space="preserve">Under the </w:t>
      </w:r>
      <w:r w:rsidR="00B96EBD">
        <w:rPr>
          <w:rFonts w:ascii="Times New Roman" w:hAnsi="Times New Roman"/>
        </w:rPr>
        <w:t xml:space="preserve">final </w:t>
      </w:r>
      <w:r w:rsidR="00CF6151">
        <w:rPr>
          <w:rFonts w:ascii="Times New Roman" w:hAnsi="Times New Roman"/>
        </w:rPr>
        <w:t xml:space="preserve">rule, </w:t>
      </w:r>
      <w:r w:rsidR="00481D79">
        <w:rPr>
          <w:rFonts w:ascii="Times New Roman" w:hAnsi="Times New Roman"/>
        </w:rPr>
        <w:t>healthcare facilities, including healthcare facilities currently operating as large quantity generators (LQGs) and small quantity generators (SQGs)</w:t>
      </w:r>
      <w:r w:rsidR="00166689">
        <w:rPr>
          <w:rFonts w:ascii="Times New Roman" w:hAnsi="Times New Roman"/>
        </w:rPr>
        <w:t xml:space="preserve"> will benefit due to greater flexibility in how they </w:t>
      </w:r>
      <w:r w:rsidR="00CF6151">
        <w:rPr>
          <w:rFonts w:ascii="Times New Roman" w:hAnsi="Times New Roman"/>
        </w:rPr>
        <w:t>manage</w:t>
      </w:r>
      <w:r w:rsidR="00166689">
        <w:rPr>
          <w:rFonts w:ascii="Times New Roman" w:hAnsi="Times New Roman"/>
        </w:rPr>
        <w:t xml:space="preserve"> </w:t>
      </w:r>
      <w:r w:rsidR="00CF6151">
        <w:rPr>
          <w:rFonts w:ascii="Times New Roman" w:hAnsi="Times New Roman"/>
        </w:rPr>
        <w:t xml:space="preserve">their </w:t>
      </w:r>
      <w:r w:rsidR="00166689">
        <w:rPr>
          <w:rFonts w:ascii="Times New Roman" w:hAnsi="Times New Roman"/>
        </w:rPr>
        <w:t>hazardous waste</w:t>
      </w:r>
      <w:r w:rsidR="00CF6151">
        <w:rPr>
          <w:rFonts w:ascii="Times New Roman" w:hAnsi="Times New Roman"/>
        </w:rPr>
        <w:t>.</w:t>
      </w:r>
      <w:r w:rsidR="00166689">
        <w:rPr>
          <w:rFonts w:ascii="Times New Roman" w:hAnsi="Times New Roman"/>
        </w:rPr>
        <w:t xml:space="preserve"> </w:t>
      </w:r>
      <w:r w:rsidR="00CF6151">
        <w:rPr>
          <w:rFonts w:ascii="Times New Roman" w:hAnsi="Times New Roman"/>
        </w:rPr>
        <w:t>H</w:t>
      </w:r>
      <w:r w:rsidR="00166689">
        <w:rPr>
          <w:rFonts w:ascii="Times New Roman" w:hAnsi="Times New Roman"/>
        </w:rPr>
        <w:t>azardous waste pharmaceuticals will no longer be counted</w:t>
      </w:r>
      <w:r w:rsidR="003433F9">
        <w:rPr>
          <w:rFonts w:ascii="Times New Roman" w:hAnsi="Times New Roman"/>
        </w:rPr>
        <w:t xml:space="preserve"> against a facility’s </w:t>
      </w:r>
      <w:r w:rsidR="00A11284">
        <w:rPr>
          <w:rFonts w:ascii="Times New Roman" w:hAnsi="Times New Roman"/>
        </w:rPr>
        <w:t xml:space="preserve">hazardous waste </w:t>
      </w:r>
      <w:r w:rsidR="003433F9">
        <w:rPr>
          <w:rFonts w:ascii="Times New Roman" w:hAnsi="Times New Roman"/>
        </w:rPr>
        <w:t xml:space="preserve">generator </w:t>
      </w:r>
      <w:r w:rsidR="00B96EBD">
        <w:rPr>
          <w:rFonts w:ascii="Times New Roman" w:hAnsi="Times New Roman"/>
        </w:rPr>
        <w:t>status</w:t>
      </w:r>
      <w:r w:rsidR="00A11284">
        <w:rPr>
          <w:rFonts w:ascii="Times New Roman" w:hAnsi="Times New Roman"/>
        </w:rPr>
        <w:t>.</w:t>
      </w:r>
      <w:r w:rsidR="00166689">
        <w:rPr>
          <w:rFonts w:ascii="Times New Roman" w:hAnsi="Times New Roman"/>
        </w:rPr>
        <w:t xml:space="preserve"> </w:t>
      </w:r>
      <w:r w:rsidR="007B61E5" w:rsidRPr="00E17A70">
        <w:rPr>
          <w:rFonts w:ascii="Times New Roman" w:hAnsi="Times New Roman"/>
        </w:rPr>
        <w:t xml:space="preserve">In addition, EPA allows </w:t>
      </w:r>
      <w:r w:rsidR="004B4B43">
        <w:rPr>
          <w:rFonts w:ascii="Times New Roman" w:hAnsi="Times New Roman"/>
        </w:rPr>
        <w:t>very</w:t>
      </w:r>
      <w:r w:rsidR="007B61E5" w:rsidRPr="00E17A70">
        <w:rPr>
          <w:rFonts w:ascii="Times New Roman" w:hAnsi="Times New Roman"/>
        </w:rPr>
        <w:t xml:space="preserve"> small quantity generators (</w:t>
      </w:r>
      <w:r w:rsidR="001812E1">
        <w:rPr>
          <w:rFonts w:ascii="Times New Roman" w:hAnsi="Times New Roman"/>
        </w:rPr>
        <w:t>VSQG</w:t>
      </w:r>
      <w:r w:rsidR="007B61E5" w:rsidRPr="00E17A70">
        <w:rPr>
          <w:rFonts w:ascii="Times New Roman" w:hAnsi="Times New Roman"/>
        </w:rPr>
        <w:t xml:space="preserve">s) to manage their hazardous </w:t>
      </w:r>
      <w:r w:rsidR="008357AF">
        <w:rPr>
          <w:rFonts w:ascii="Times New Roman" w:hAnsi="Times New Roman"/>
        </w:rPr>
        <w:t xml:space="preserve">waste </w:t>
      </w:r>
      <w:r w:rsidR="007B61E5" w:rsidRPr="00E17A70">
        <w:rPr>
          <w:rFonts w:ascii="Times New Roman" w:hAnsi="Times New Roman"/>
        </w:rPr>
        <w:t xml:space="preserve">pharmaceuticals either under the specific provisions of the </w:t>
      </w:r>
      <w:r w:rsidR="00B96EBD">
        <w:rPr>
          <w:rFonts w:ascii="Times New Roman" w:hAnsi="Times New Roman"/>
        </w:rPr>
        <w:t xml:space="preserve">final </w:t>
      </w:r>
      <w:r w:rsidR="007B61E5" w:rsidRPr="00E17A70">
        <w:rPr>
          <w:rFonts w:ascii="Times New Roman" w:hAnsi="Times New Roman"/>
        </w:rPr>
        <w:t xml:space="preserve">rule or under the existing </w:t>
      </w:r>
      <w:r w:rsidR="001812E1">
        <w:rPr>
          <w:rFonts w:ascii="Times New Roman" w:hAnsi="Times New Roman"/>
        </w:rPr>
        <w:t>VSQG</w:t>
      </w:r>
      <w:r w:rsidR="007B61E5" w:rsidRPr="00E17A70">
        <w:rPr>
          <w:rFonts w:ascii="Times New Roman" w:hAnsi="Times New Roman"/>
        </w:rPr>
        <w:t xml:space="preserve"> exemption in 40 CFR 261.5. </w:t>
      </w:r>
    </w:p>
    <w:p w14:paraId="5C34BFE0" w14:textId="77777777" w:rsidR="00A047FC" w:rsidRDefault="00A047FC" w:rsidP="00A047FC">
      <w:pPr>
        <w:pStyle w:val="Default"/>
        <w:rPr>
          <w:b/>
        </w:rPr>
      </w:pPr>
      <w:r>
        <w:tab/>
      </w:r>
      <w:r>
        <w:rPr>
          <w:b/>
        </w:rPr>
        <w:t>5(d)</w:t>
      </w:r>
      <w:r>
        <w:rPr>
          <w:b/>
        </w:rPr>
        <w:tab/>
        <w:t>Collection Schedule</w:t>
      </w:r>
    </w:p>
    <w:p w14:paraId="6EB1DB53" w14:textId="77777777" w:rsidR="00A047FC" w:rsidRDefault="00A047FC" w:rsidP="00A047FC">
      <w:pPr>
        <w:pStyle w:val="Default"/>
        <w:rPr>
          <w:b/>
        </w:rPr>
      </w:pPr>
    </w:p>
    <w:p w14:paraId="3837EF05" w14:textId="447FD049" w:rsidR="00A047FC" w:rsidRPr="0083526F" w:rsidRDefault="00A047FC" w:rsidP="00A047FC">
      <w:pPr>
        <w:pStyle w:val="Default"/>
      </w:pPr>
      <w:r>
        <w:rPr>
          <w:b/>
        </w:rPr>
        <w:tab/>
      </w:r>
      <w:r w:rsidR="0083526F">
        <w:t>As stated in 5(a) above, most of the information that is required of facilities managing hazardous waste pharmaceuticals would be kept on site and not be submitted to EPA for review.  Facilitie</w:t>
      </w:r>
      <w:r w:rsidR="00980C69">
        <w:t>s will be required to submit</w:t>
      </w:r>
      <w:r w:rsidR="0083526F">
        <w:t xml:space="preserve"> </w:t>
      </w:r>
      <w:r w:rsidR="00F36A38">
        <w:t xml:space="preserve">a </w:t>
      </w:r>
      <w:r w:rsidR="0083526F">
        <w:t>notification to EPA in order to indicate</w:t>
      </w:r>
      <w:r w:rsidR="00F36A38">
        <w:t xml:space="preserve"> that they are operating und</w:t>
      </w:r>
      <w:r w:rsidR="00980C69">
        <w:t xml:space="preserve">er the new part 266 subpart P. </w:t>
      </w:r>
      <w:r w:rsidR="00F36A38">
        <w:t>A notification must be submitted within 60 days of when a facil</w:t>
      </w:r>
      <w:r w:rsidR="00980C69">
        <w:t>ity becomes subject to the rule.</w:t>
      </w:r>
    </w:p>
    <w:p w14:paraId="54D973FF" w14:textId="77777777" w:rsidR="003433F9" w:rsidRPr="003433F9" w:rsidRDefault="003433F9" w:rsidP="003433F9">
      <w:pPr>
        <w:pStyle w:val="Default"/>
      </w:pPr>
    </w:p>
    <w:p w14:paraId="3543EE08" w14:textId="77777777" w:rsidR="007B61E5" w:rsidRPr="00E17A70" w:rsidRDefault="007B61E5" w:rsidP="007B61E5">
      <w:pPr>
        <w:pStyle w:val="CM25"/>
        <w:tabs>
          <w:tab w:val="left" w:pos="8640"/>
        </w:tabs>
        <w:spacing w:line="283" w:lineRule="atLeast"/>
        <w:ind w:left="720" w:hanging="720"/>
        <w:rPr>
          <w:rFonts w:ascii="Times New Roman" w:hAnsi="Times New Roman" w:cs="Times New Roman"/>
          <w:szCs w:val="28"/>
        </w:rPr>
      </w:pPr>
      <w:r w:rsidRPr="00E17A70">
        <w:rPr>
          <w:rFonts w:ascii="Times New Roman" w:hAnsi="Times New Roman"/>
          <w:b/>
          <w:bCs/>
        </w:rPr>
        <w:t>6.</w:t>
      </w:r>
      <w:r w:rsidRPr="00E17A70">
        <w:rPr>
          <w:rFonts w:ascii="Times New Roman" w:hAnsi="Times New Roman"/>
          <w:b/>
          <w:bCs/>
        </w:rPr>
        <w:tab/>
      </w:r>
      <w:r w:rsidRPr="00E17A70">
        <w:rPr>
          <w:rFonts w:ascii="Times New Roman" w:hAnsi="Times New Roman" w:cs="Times New Roman"/>
          <w:b/>
          <w:bCs/>
          <w:szCs w:val="28"/>
        </w:rPr>
        <w:t xml:space="preserve">ESTIMATING THE HOUR AND COST BURDEN OF THE COLLECTION  </w:t>
      </w:r>
    </w:p>
    <w:p w14:paraId="0A0F6E12" w14:textId="77777777" w:rsidR="007B61E5" w:rsidRPr="00E17A70" w:rsidRDefault="007B61E5" w:rsidP="007B61E5">
      <w:pPr>
        <w:ind w:firstLine="720"/>
        <w:jc w:val="both"/>
      </w:pPr>
      <w:r w:rsidRPr="00E17A70">
        <w:rPr>
          <w:b/>
        </w:rPr>
        <w:t>6(a)</w:t>
      </w:r>
      <w:r w:rsidRPr="00E17A70">
        <w:rPr>
          <w:b/>
        </w:rPr>
        <w:tab/>
        <w:t>Estimating Respondent Burden</w:t>
      </w:r>
      <w:r w:rsidR="008C4F7B">
        <w:rPr>
          <w:b/>
        </w:rPr>
        <w:t xml:space="preserve"> </w:t>
      </w:r>
    </w:p>
    <w:p w14:paraId="0CFE4EC2" w14:textId="77777777" w:rsidR="007B61E5" w:rsidRPr="00E17A70" w:rsidRDefault="007B61E5" w:rsidP="007B61E5">
      <w:pPr>
        <w:jc w:val="both"/>
        <w:rPr>
          <w:szCs w:val="28"/>
        </w:rPr>
      </w:pPr>
    </w:p>
    <w:p w14:paraId="13200E05" w14:textId="0C96052A" w:rsidR="001E5A12" w:rsidRDefault="007B61E5" w:rsidP="007B61E5">
      <w:r w:rsidRPr="00E17A70">
        <w:rPr>
          <w:szCs w:val="28"/>
        </w:rPr>
        <w:tab/>
      </w:r>
      <w:r w:rsidRPr="00693370">
        <w:t xml:space="preserve">In </w:t>
      </w:r>
      <w:r w:rsidR="008357AF" w:rsidRPr="00693370">
        <w:t>E</w:t>
      </w:r>
      <w:r w:rsidRPr="00693370">
        <w:t>xhibit</w:t>
      </w:r>
      <w:r w:rsidR="007E5011" w:rsidRPr="00693370">
        <w:t xml:space="preserve"> 1, </w:t>
      </w:r>
      <w:r w:rsidRPr="00693370">
        <w:t xml:space="preserve">EPA </w:t>
      </w:r>
      <w:r w:rsidR="00FD2F05" w:rsidRPr="00693370">
        <w:t xml:space="preserve">presents </w:t>
      </w:r>
      <w:r w:rsidR="007E5011" w:rsidRPr="00693370">
        <w:t xml:space="preserve">the estimates of </w:t>
      </w:r>
      <w:r w:rsidR="00FD2F05" w:rsidRPr="00693370">
        <w:t xml:space="preserve">the </w:t>
      </w:r>
      <w:r w:rsidR="007E5011" w:rsidRPr="00693370">
        <w:t>annual respondent</w:t>
      </w:r>
      <w:r w:rsidR="008C4F7B" w:rsidRPr="00693370">
        <w:t xml:space="preserve"> </w:t>
      </w:r>
      <w:r w:rsidRPr="00693370">
        <w:t xml:space="preserve">burden associated with the new </w:t>
      </w:r>
      <w:r w:rsidR="008C4F7B" w:rsidRPr="00693370">
        <w:t>information collection</w:t>
      </w:r>
      <w:r w:rsidRPr="00693370">
        <w:t xml:space="preserve"> requirements in the </w:t>
      </w:r>
      <w:r w:rsidR="00CC3EAF" w:rsidRPr="00693370">
        <w:t xml:space="preserve">final </w:t>
      </w:r>
      <w:r w:rsidR="0006075E" w:rsidRPr="00693370">
        <w:t xml:space="preserve">rule. </w:t>
      </w:r>
      <w:r w:rsidR="007E5011" w:rsidRPr="00693370">
        <w:t>As shown in the e</w:t>
      </w:r>
      <w:r w:rsidRPr="00693370">
        <w:t>xhibit</w:t>
      </w:r>
      <w:r w:rsidR="007E5011" w:rsidRPr="00693370">
        <w:t xml:space="preserve">, EPA estimates that the total </w:t>
      </w:r>
      <w:r w:rsidR="001C15EB" w:rsidRPr="00693370">
        <w:t xml:space="preserve">annual respondent burden for the paperwork requirements in the rule </w:t>
      </w:r>
      <w:r w:rsidR="001E5A12" w:rsidRPr="00693370">
        <w:t>is</w:t>
      </w:r>
      <w:r w:rsidR="001C15EB" w:rsidRPr="00693370">
        <w:t xml:space="preserve"> </w:t>
      </w:r>
      <w:r w:rsidR="00693370">
        <w:t>39,</w:t>
      </w:r>
      <w:r w:rsidR="00693370" w:rsidRPr="00693370">
        <w:t xml:space="preserve">255 – 43,350 </w:t>
      </w:r>
      <w:r w:rsidR="001C15EB" w:rsidRPr="00693370">
        <w:t>hours</w:t>
      </w:r>
      <w:r w:rsidR="00093A2D" w:rsidRPr="00693370">
        <w:t xml:space="preserve"> when averaged over three years</w:t>
      </w:r>
      <w:r w:rsidR="001E5A12" w:rsidRPr="00693370">
        <w:t>.</w:t>
      </w:r>
      <w:r w:rsidR="00EA0B55" w:rsidRPr="00693370">
        <w:t xml:space="preserve"> </w:t>
      </w:r>
    </w:p>
    <w:p w14:paraId="4FC6895E" w14:textId="77777777" w:rsidR="007B61E5" w:rsidRPr="00E17A70" w:rsidRDefault="001C15EB" w:rsidP="007B61E5">
      <w:r>
        <w:t xml:space="preserve"> </w:t>
      </w:r>
      <w:r w:rsidR="007E5011">
        <w:t xml:space="preserve"> </w:t>
      </w:r>
      <w:r w:rsidR="00FD2F05">
        <w:t xml:space="preserve">  </w:t>
      </w:r>
    </w:p>
    <w:p w14:paraId="0E90B3CB" w14:textId="77777777" w:rsidR="007B61E5" w:rsidRDefault="007B61E5" w:rsidP="007B61E5">
      <w:pPr>
        <w:rPr>
          <w:b/>
        </w:rPr>
      </w:pPr>
      <w:r w:rsidRPr="00E17A70">
        <w:t xml:space="preserve"> </w:t>
      </w:r>
      <w:r w:rsidRPr="00E17A70">
        <w:tab/>
      </w:r>
      <w:r w:rsidRPr="00E17A70">
        <w:rPr>
          <w:b/>
        </w:rPr>
        <w:t>6(b)</w:t>
      </w:r>
      <w:r w:rsidRPr="00E17A70">
        <w:rPr>
          <w:b/>
        </w:rPr>
        <w:tab/>
        <w:t>Estimating Respondent Costs</w:t>
      </w:r>
    </w:p>
    <w:p w14:paraId="604E21A6" w14:textId="77777777" w:rsidR="007B61E5" w:rsidRDefault="007B61E5" w:rsidP="007B61E5"/>
    <w:p w14:paraId="306DD245" w14:textId="7F07AB0F" w:rsidR="007B61E5" w:rsidRDefault="00693370" w:rsidP="007B61E5">
      <w:pPr>
        <w:ind w:firstLine="720"/>
      </w:pPr>
      <w:r w:rsidRPr="00693370">
        <w:t>In Exhibits 1</w:t>
      </w:r>
      <w:r w:rsidR="00FD207E" w:rsidRPr="00693370">
        <w:t xml:space="preserve">, </w:t>
      </w:r>
      <w:r w:rsidR="007B61E5" w:rsidRPr="00693370">
        <w:t xml:space="preserve">EPA also </w:t>
      </w:r>
      <w:r w:rsidR="001E5A12" w:rsidRPr="00693370">
        <w:t>presents estimates of</w:t>
      </w:r>
      <w:r w:rsidR="007B61E5" w:rsidRPr="00693370">
        <w:t xml:space="preserve"> the total annual respondent cost</w:t>
      </w:r>
      <w:r w:rsidRPr="00693370">
        <w:t xml:space="preserve">s </w:t>
      </w:r>
      <w:r w:rsidR="007B61E5" w:rsidRPr="00693370">
        <w:t xml:space="preserve">for the </w:t>
      </w:r>
      <w:r w:rsidR="00092790" w:rsidRPr="00693370">
        <w:t xml:space="preserve">changes in </w:t>
      </w:r>
      <w:r w:rsidR="007B61E5" w:rsidRPr="00693370">
        <w:t xml:space="preserve">paperwork requirements in the </w:t>
      </w:r>
      <w:r w:rsidR="00CC3EAF" w:rsidRPr="00693370">
        <w:t xml:space="preserve">final </w:t>
      </w:r>
      <w:r w:rsidR="007B61E5" w:rsidRPr="00693370">
        <w:t>rule</w:t>
      </w:r>
      <w:r w:rsidRPr="00693370">
        <w:t xml:space="preserve">. </w:t>
      </w:r>
      <w:r w:rsidR="00092790" w:rsidRPr="00693370">
        <w:t xml:space="preserve">EPA expects the </w:t>
      </w:r>
      <w:r w:rsidR="00B96EBD" w:rsidRPr="00693370">
        <w:t>final</w:t>
      </w:r>
      <w:r w:rsidRPr="00693370">
        <w:t xml:space="preserve"> rule will result in a</w:t>
      </w:r>
      <w:r w:rsidR="00092790" w:rsidRPr="00693370">
        <w:t xml:space="preserve"> total annual respondent </w:t>
      </w:r>
      <w:r w:rsidRPr="00693370">
        <w:t>cost of</w:t>
      </w:r>
      <w:r w:rsidR="00092790" w:rsidRPr="00693370">
        <w:t xml:space="preserve"> </w:t>
      </w:r>
      <w:r w:rsidRPr="00693370">
        <w:t>$2,290,488-$2,531,327</w:t>
      </w:r>
      <w:r w:rsidR="00B2636C" w:rsidRPr="00693370">
        <w:t xml:space="preserve"> (averaged over three years)</w:t>
      </w:r>
      <w:r w:rsidR="00092790" w:rsidRPr="00693370">
        <w:t>.</w:t>
      </w:r>
      <w:r w:rsidR="007B61E5" w:rsidRPr="00693370">
        <w:t xml:space="preserve"> This </w:t>
      </w:r>
      <w:r w:rsidR="00FD207E" w:rsidRPr="00693370">
        <w:t xml:space="preserve">change in </w:t>
      </w:r>
      <w:r w:rsidR="007B61E5" w:rsidRPr="00693370">
        <w:t>cost</w:t>
      </w:r>
      <w:r w:rsidR="00FD207E" w:rsidRPr="00693370">
        <w:t>s</w:t>
      </w:r>
      <w:r w:rsidR="007B61E5" w:rsidRPr="00693370">
        <w:t xml:space="preserve"> includes annual labor, capital, and operation and maintenance (O&amp;M) costs to be incurred </w:t>
      </w:r>
      <w:r w:rsidR="00B96EBD" w:rsidRPr="00693370">
        <w:t xml:space="preserve">or saved </w:t>
      </w:r>
      <w:r w:rsidR="007B61E5" w:rsidRPr="00693370">
        <w:t>by respondents affected by the information collection req</w:t>
      </w:r>
      <w:r w:rsidR="0006075E" w:rsidRPr="00693370">
        <w:t xml:space="preserve">uirements covered in this ICR. </w:t>
      </w:r>
      <w:r w:rsidR="007B61E5" w:rsidRPr="00693370">
        <w:t>Specific data and/or assumptions used in developing these costs are described below.</w:t>
      </w:r>
    </w:p>
    <w:p w14:paraId="0028694D" w14:textId="77777777" w:rsidR="007B61E5" w:rsidRPr="00E17A70" w:rsidRDefault="007B61E5" w:rsidP="007B61E5">
      <w:pPr>
        <w:rPr>
          <w:b/>
          <w:bCs/>
          <w:szCs w:val="28"/>
        </w:rPr>
      </w:pPr>
    </w:p>
    <w:p w14:paraId="295C6659" w14:textId="77777777" w:rsidR="007B61E5" w:rsidRPr="00E17A70" w:rsidRDefault="007B61E5" w:rsidP="007B61E5">
      <w:pPr>
        <w:ind w:firstLine="720"/>
      </w:pPr>
      <w:r w:rsidRPr="00E17A70">
        <w:rPr>
          <w:b/>
          <w:bCs/>
        </w:rPr>
        <w:t xml:space="preserve">Labor Costs </w:t>
      </w:r>
    </w:p>
    <w:p w14:paraId="58CF20B9" w14:textId="77777777" w:rsidR="007B61E5" w:rsidRPr="00E17A70" w:rsidRDefault="007B61E5" w:rsidP="007B61E5">
      <w:pPr>
        <w:rPr>
          <w:szCs w:val="28"/>
        </w:rPr>
      </w:pPr>
    </w:p>
    <w:p w14:paraId="1D2750DF" w14:textId="06413CAB" w:rsidR="007B61E5" w:rsidRPr="00E17A70" w:rsidRDefault="007B61E5" w:rsidP="007B61E5">
      <w:pPr>
        <w:ind w:firstLine="720"/>
      </w:pPr>
      <w:r w:rsidRPr="00E17A70">
        <w:t>For purposes of this analysis, EPA estimates an average hourly respondent labor cost of $</w:t>
      </w:r>
      <w:r w:rsidR="00B63EEA">
        <w:t>128</w:t>
      </w:r>
      <w:r w:rsidR="00B63EEA" w:rsidRPr="00E17A70">
        <w:t xml:space="preserve"> </w:t>
      </w:r>
      <w:r w:rsidRPr="00E17A70">
        <w:t>for legal staff, $</w:t>
      </w:r>
      <w:r w:rsidR="00B63EEA">
        <w:t>108</w:t>
      </w:r>
      <w:r w:rsidR="00B63EEA" w:rsidRPr="00E17A70">
        <w:t xml:space="preserve"> </w:t>
      </w:r>
      <w:r w:rsidRPr="00E17A70">
        <w:t>for managerial staff, $</w:t>
      </w:r>
      <w:r w:rsidR="00B63EEA">
        <w:t>53</w:t>
      </w:r>
      <w:r w:rsidR="00B63EEA" w:rsidRPr="00E17A70">
        <w:t xml:space="preserve"> </w:t>
      </w:r>
      <w:r w:rsidRPr="00E17A70">
        <w:t>for technical staff, and $</w:t>
      </w:r>
      <w:r w:rsidR="00B63EEA">
        <w:t>30</w:t>
      </w:r>
      <w:r w:rsidR="00B63EEA" w:rsidRPr="00E17A70">
        <w:t xml:space="preserve"> </w:t>
      </w:r>
      <w:r w:rsidRPr="00E17A70">
        <w:t xml:space="preserve">for clerical staff.  These hourly labor costs were obtained from the economics background document developed for the </w:t>
      </w:r>
      <w:r w:rsidR="00B96EBD">
        <w:t>final</w:t>
      </w:r>
      <w:r w:rsidR="00B96EBD" w:rsidRPr="00E17A70">
        <w:t xml:space="preserve"> </w:t>
      </w:r>
      <w:r w:rsidRPr="00E17A70">
        <w:t>rule</w:t>
      </w:r>
      <w:r w:rsidR="00674E8E">
        <w:t xml:space="preserve"> (see </w:t>
      </w:r>
      <w:r w:rsidR="00674E8E" w:rsidRPr="00674E8E">
        <w:t xml:space="preserve">“Regulatory Impact </w:t>
      </w:r>
      <w:r w:rsidR="008357AF">
        <w:t>A</w:t>
      </w:r>
      <w:r w:rsidR="00674E8E" w:rsidRPr="00674E8E">
        <w:t xml:space="preserve">nalysis for EPA’s </w:t>
      </w:r>
      <w:r w:rsidR="00B96EBD">
        <w:t>Final</w:t>
      </w:r>
      <w:r w:rsidR="00B96EBD" w:rsidRPr="00674E8E">
        <w:t xml:space="preserve"> </w:t>
      </w:r>
      <w:r w:rsidR="00F26171">
        <w:t>Regulations for the Management of Hazardous Waste Pharmaceuticals</w:t>
      </w:r>
      <w:r w:rsidR="00674E8E">
        <w:t>,</w:t>
      </w:r>
      <w:r w:rsidR="00674E8E" w:rsidRPr="00674E8E">
        <w:t>”</w:t>
      </w:r>
      <w:r w:rsidR="00674E8E">
        <w:t xml:space="preserve"> which is available in the public docket identified under Section 6(g))</w:t>
      </w:r>
      <w:r w:rsidRPr="00E17A70">
        <w:t>.</w:t>
      </w:r>
    </w:p>
    <w:p w14:paraId="08563190" w14:textId="77777777" w:rsidR="007B61E5" w:rsidRPr="00E17A70" w:rsidRDefault="007B61E5" w:rsidP="007B61E5">
      <w:pPr>
        <w:rPr>
          <w:szCs w:val="28"/>
        </w:rPr>
      </w:pPr>
      <w:r w:rsidRPr="00E17A70">
        <w:t xml:space="preserve"> </w:t>
      </w:r>
    </w:p>
    <w:p w14:paraId="6DB81DC7" w14:textId="77777777" w:rsidR="007B61E5" w:rsidRPr="00E17A70" w:rsidRDefault="007B61E5" w:rsidP="007B61E5">
      <w:pPr>
        <w:ind w:firstLine="720"/>
      </w:pPr>
      <w:r w:rsidRPr="00E17A70">
        <w:rPr>
          <w:b/>
          <w:bCs/>
        </w:rPr>
        <w:t>Annual Capital and Operation &amp; Maintenance Costs</w:t>
      </w:r>
    </w:p>
    <w:p w14:paraId="4B5B4B89" w14:textId="77777777" w:rsidR="007B61E5" w:rsidRPr="00E17A70" w:rsidRDefault="007B61E5" w:rsidP="007B61E5">
      <w:pPr>
        <w:rPr>
          <w:szCs w:val="28"/>
        </w:rPr>
      </w:pPr>
    </w:p>
    <w:p w14:paraId="086DA482" w14:textId="4C8D6112" w:rsidR="007B61E5" w:rsidRPr="00E17A70" w:rsidRDefault="007B61E5" w:rsidP="007B61E5">
      <w:pPr>
        <w:ind w:firstLine="720"/>
      </w:pPr>
      <w:r w:rsidRPr="00E17A70">
        <w:t>Capital costs usually include any produced physical good needed to provide the needed information, such as machinery, c</w:t>
      </w:r>
      <w:r w:rsidR="00F26171">
        <w:t xml:space="preserve">omputers, and other equipment. </w:t>
      </w:r>
      <w:r w:rsidRPr="00E17A70">
        <w:t xml:space="preserve">EPA does not anticipate that respondents will incur capital costs in carrying out the information collection requirements of the </w:t>
      </w:r>
      <w:r w:rsidR="00CC3EAF">
        <w:t>final</w:t>
      </w:r>
      <w:r w:rsidR="00CC3EAF" w:rsidRPr="00E17A70">
        <w:t xml:space="preserve"> </w:t>
      </w:r>
      <w:r w:rsidRPr="00E17A70">
        <w:t>rule.</w:t>
      </w:r>
    </w:p>
    <w:p w14:paraId="714CCB9E" w14:textId="77777777" w:rsidR="007B61E5" w:rsidRPr="00E17A70" w:rsidRDefault="007B61E5" w:rsidP="007B61E5"/>
    <w:p w14:paraId="2A2C55AD" w14:textId="5FF38263" w:rsidR="007B61E5" w:rsidRPr="00E17A70" w:rsidRDefault="007B61E5" w:rsidP="00693370">
      <w:pPr>
        <w:ind w:firstLine="720"/>
        <w:rPr>
          <w:szCs w:val="28"/>
        </w:rPr>
      </w:pPr>
      <w:r w:rsidRPr="00E17A70">
        <w:t>O&amp;M costs are those costs associated with paperwork requirements incurred contin</w:t>
      </w:r>
      <w:r w:rsidR="00F26171">
        <w:t>ually over the life of the ICR.</w:t>
      </w:r>
      <w:r w:rsidRPr="00E17A70">
        <w:t xml:space="preserve"> They are defined by the EPA as “the recurring dollar amount of costs associated with O&amp;M or purchasing services.” </w:t>
      </w:r>
      <w:r>
        <w:t>For this ICR,</w:t>
      </w:r>
      <w:r w:rsidRPr="00E17A70">
        <w:t xml:space="preserve"> O&amp;M costs </w:t>
      </w:r>
      <w:r w:rsidR="004C1673">
        <w:t>would be for mailing and</w:t>
      </w:r>
      <w:r>
        <w:t xml:space="preserve"> photocopying</w:t>
      </w:r>
      <w:r w:rsidRPr="00E17A70">
        <w:rPr>
          <w:szCs w:val="28"/>
        </w:rPr>
        <w:t>.</w:t>
      </w:r>
    </w:p>
    <w:p w14:paraId="01DF8945" w14:textId="77777777" w:rsidR="007B61E5" w:rsidRPr="00E17A70" w:rsidRDefault="007B61E5" w:rsidP="007B61E5">
      <w:pPr>
        <w:rPr>
          <w:szCs w:val="28"/>
        </w:rPr>
      </w:pPr>
    </w:p>
    <w:p w14:paraId="77A1D11D" w14:textId="77777777" w:rsidR="007B61E5" w:rsidRPr="00E17A70" w:rsidRDefault="007B61E5" w:rsidP="007B61E5">
      <w:pPr>
        <w:ind w:firstLine="720"/>
      </w:pPr>
      <w:r w:rsidRPr="00E17A70">
        <w:rPr>
          <w:b/>
          <w:bCs/>
        </w:rPr>
        <w:t>6(c)</w:t>
      </w:r>
      <w:r w:rsidRPr="00E17A70">
        <w:rPr>
          <w:b/>
          <w:bCs/>
        </w:rPr>
        <w:tab/>
        <w:t>Estimating Agency Burden and Costs</w:t>
      </w:r>
    </w:p>
    <w:p w14:paraId="15E03675" w14:textId="77777777" w:rsidR="007B61E5" w:rsidRPr="00E17A70" w:rsidRDefault="007B61E5" w:rsidP="007B61E5">
      <w:pPr>
        <w:rPr>
          <w:szCs w:val="28"/>
        </w:rPr>
      </w:pPr>
    </w:p>
    <w:p w14:paraId="4CF0D8F7" w14:textId="77777777" w:rsidR="00B96F43" w:rsidRDefault="00B96F43" w:rsidP="00B96F43">
      <w:pPr>
        <w:ind w:firstLine="720"/>
      </w:pPr>
      <w:r w:rsidRPr="00E17A70">
        <w:t>The annual burden and costs to the Agency for collecting information unde</w:t>
      </w:r>
      <w:r>
        <w:t>r the rule is negligible.</w:t>
      </w:r>
      <w:r w:rsidRPr="00E17A70">
        <w:t xml:space="preserve"> </w:t>
      </w:r>
      <w:r>
        <w:t>Generally, respondents would</w:t>
      </w:r>
      <w:r w:rsidRPr="00E17A70">
        <w:t xml:space="preserve"> keep all records required </w:t>
      </w:r>
      <w:r>
        <w:t>under the final rule on-site</w:t>
      </w:r>
      <w:r w:rsidRPr="00E17A70">
        <w:t>.</w:t>
      </w:r>
      <w:r w:rsidRPr="0059530C">
        <w:t xml:space="preserve"> </w:t>
      </w:r>
      <w:r>
        <w:t>There are minimal provisions that require</w:t>
      </w:r>
      <w:r w:rsidRPr="00E17A70">
        <w:t xml:space="preserve"> </w:t>
      </w:r>
      <w:r>
        <w:t>respondents</w:t>
      </w:r>
      <w:r w:rsidRPr="00E17A70">
        <w:t xml:space="preserve"> to submit any information for its review and approval under the </w:t>
      </w:r>
      <w:r>
        <w:t>final</w:t>
      </w:r>
      <w:r w:rsidRPr="00E17A70">
        <w:t xml:space="preserve"> </w:t>
      </w:r>
      <w:r>
        <w:t>rule.</w:t>
      </w:r>
    </w:p>
    <w:p w14:paraId="4EC05BB7" w14:textId="77777777" w:rsidR="00B96F43" w:rsidRDefault="00B96F43" w:rsidP="00B96F43">
      <w:pPr>
        <w:ind w:firstLine="720"/>
      </w:pPr>
    </w:p>
    <w:p w14:paraId="448B491B" w14:textId="77777777" w:rsidR="00B96F43" w:rsidRPr="00B14F6E" w:rsidRDefault="00B96F43" w:rsidP="00B96F43">
      <w:pPr>
        <w:ind w:firstLine="720"/>
        <w:rPr>
          <w:bCs/>
        </w:rPr>
      </w:pPr>
      <w:r w:rsidRPr="00B14F6E">
        <w:rPr>
          <w:bCs/>
        </w:rPr>
        <w:t>ICR uses the 2017 Federal Pay Schedule salary figures to estimate hourly compensation of EPA legal, managerial, technical, and clerical staff.</w:t>
      </w:r>
      <w:r w:rsidRPr="00D943DE">
        <w:rPr>
          <w:rStyle w:val="FootnoteReference"/>
          <w:bCs/>
          <w:vertAlign w:val="superscript"/>
        </w:rPr>
        <w:footnoteReference w:id="2"/>
      </w:r>
      <w:r w:rsidRPr="00B14F6E">
        <w:rPr>
          <w:bCs/>
        </w:rPr>
        <w:t xml:space="preserve">  For purposes of this ICR, the following government services levels were assigned:</w:t>
      </w:r>
    </w:p>
    <w:p w14:paraId="2E80718B" w14:textId="77777777" w:rsidR="00B96F43" w:rsidRPr="00B14F6E" w:rsidRDefault="00B96F43" w:rsidP="00B96F43">
      <w:pPr>
        <w:pStyle w:val="ListParagraph"/>
        <w:ind w:left="1440"/>
        <w:rPr>
          <w:bCs/>
        </w:rPr>
      </w:pPr>
    </w:p>
    <w:p w14:paraId="1090A815" w14:textId="77777777" w:rsidR="00B96F43" w:rsidRPr="00B14F6E" w:rsidRDefault="00B96F43" w:rsidP="00B96F43">
      <w:pPr>
        <w:pStyle w:val="ListParagraph"/>
        <w:numPr>
          <w:ilvl w:val="0"/>
          <w:numId w:val="30"/>
        </w:numPr>
        <w:contextualSpacing/>
        <w:rPr>
          <w:bCs/>
        </w:rPr>
      </w:pPr>
      <w:r w:rsidRPr="00B14F6E">
        <w:rPr>
          <w:bCs/>
        </w:rPr>
        <w:t>Legal Staff: GS-15, Step 5 ($115.31/hr)</w:t>
      </w:r>
    </w:p>
    <w:p w14:paraId="188CE527" w14:textId="77777777" w:rsidR="00B96F43" w:rsidRPr="00B14F6E" w:rsidRDefault="00B96F43" w:rsidP="00B96F43">
      <w:pPr>
        <w:pStyle w:val="ListParagraph"/>
        <w:numPr>
          <w:ilvl w:val="0"/>
          <w:numId w:val="30"/>
        </w:numPr>
        <w:contextualSpacing/>
        <w:rPr>
          <w:bCs/>
        </w:rPr>
      </w:pPr>
      <w:r w:rsidRPr="00B14F6E">
        <w:rPr>
          <w:bCs/>
        </w:rPr>
        <w:t xml:space="preserve">Managerial Staff: GS-13, Step 5 </w:t>
      </w:r>
      <w:r>
        <w:rPr>
          <w:bCs/>
        </w:rPr>
        <w:t>(</w:t>
      </w:r>
      <w:r w:rsidRPr="00B14F6E">
        <w:rPr>
          <w:bCs/>
        </w:rPr>
        <w:t>$82.95/hr)</w:t>
      </w:r>
    </w:p>
    <w:p w14:paraId="703FD37F" w14:textId="77777777" w:rsidR="00B96F43" w:rsidRPr="00B14F6E" w:rsidRDefault="00B96F43" w:rsidP="00B96F43">
      <w:pPr>
        <w:pStyle w:val="ListParagraph"/>
        <w:numPr>
          <w:ilvl w:val="0"/>
          <w:numId w:val="30"/>
        </w:numPr>
        <w:contextualSpacing/>
        <w:rPr>
          <w:bCs/>
        </w:rPr>
      </w:pPr>
      <w:r w:rsidRPr="00B14F6E">
        <w:rPr>
          <w:bCs/>
        </w:rPr>
        <w:t xml:space="preserve">Technical Staff: GS-11, Step 5 </w:t>
      </w:r>
      <w:r>
        <w:rPr>
          <w:bCs/>
        </w:rPr>
        <w:t>(</w:t>
      </w:r>
      <w:r w:rsidRPr="00B14F6E">
        <w:rPr>
          <w:bCs/>
        </w:rPr>
        <w:t>$58.21/hr)</w:t>
      </w:r>
    </w:p>
    <w:p w14:paraId="5BA1902B" w14:textId="77777777" w:rsidR="00B96F43" w:rsidRPr="00B14F6E" w:rsidRDefault="00B96F43" w:rsidP="00B96F43">
      <w:pPr>
        <w:pStyle w:val="ListParagraph"/>
        <w:numPr>
          <w:ilvl w:val="0"/>
          <w:numId w:val="30"/>
        </w:numPr>
        <w:contextualSpacing/>
        <w:rPr>
          <w:bCs/>
        </w:rPr>
      </w:pPr>
      <w:r>
        <w:rPr>
          <w:bCs/>
        </w:rPr>
        <w:t>Clerical Staff: GS-06, Step 5 (</w:t>
      </w:r>
      <w:r w:rsidRPr="00B14F6E">
        <w:rPr>
          <w:bCs/>
        </w:rPr>
        <w:t>$35.39/hr)</w:t>
      </w:r>
    </w:p>
    <w:p w14:paraId="6024A426" w14:textId="77777777" w:rsidR="00B96F43" w:rsidRPr="00B14F6E" w:rsidRDefault="00B96F43" w:rsidP="00B96F43">
      <w:pPr>
        <w:ind w:firstLine="720"/>
        <w:rPr>
          <w:bCs/>
        </w:rPr>
      </w:pPr>
    </w:p>
    <w:p w14:paraId="78BA4089" w14:textId="77777777" w:rsidR="00B96F43" w:rsidRDefault="00B96F43" w:rsidP="00B96F43">
      <w:pPr>
        <w:ind w:firstLine="720"/>
        <w:rPr>
          <w:bCs/>
        </w:rPr>
      </w:pPr>
      <w:r w:rsidRPr="00B14F6E">
        <w:rPr>
          <w:bCs/>
        </w:rPr>
        <w:t xml:space="preserve">The hourly rates above reflect base salary plus </w:t>
      </w:r>
      <w:r>
        <w:rPr>
          <w:bCs/>
        </w:rPr>
        <w:t xml:space="preserve">the </w:t>
      </w:r>
      <w:r w:rsidRPr="00B14F6E">
        <w:rPr>
          <w:bCs/>
        </w:rPr>
        <w:t>fringe benefit and overhead factors</w:t>
      </w:r>
      <w:r>
        <w:rPr>
          <w:bCs/>
        </w:rPr>
        <w:t xml:space="preserve"> cited above</w:t>
      </w:r>
      <w:r w:rsidRPr="00B14F6E">
        <w:rPr>
          <w:bCs/>
        </w:rPr>
        <w:t>.</w:t>
      </w:r>
    </w:p>
    <w:p w14:paraId="1C4AB5D7" w14:textId="77777777" w:rsidR="00B96F43" w:rsidRDefault="00B96F43" w:rsidP="00B96F43">
      <w:pPr>
        <w:ind w:firstLine="720"/>
        <w:rPr>
          <w:bCs/>
        </w:rPr>
      </w:pPr>
    </w:p>
    <w:p w14:paraId="792ECC7F" w14:textId="77777777" w:rsidR="00B96F43" w:rsidRDefault="00B96F43" w:rsidP="00B96F43">
      <w:pPr>
        <w:ind w:firstLine="720"/>
        <w:rPr>
          <w:bCs/>
        </w:rPr>
      </w:pPr>
      <w:r>
        <w:rPr>
          <w:bCs/>
        </w:rPr>
        <w:t>EPA estimates that the Agency will face a one-time burden for reviewing notifications submitted by healthcare facilities that were previously operating as SQGs in unauthorized states (Iowa and Alaska). EPA estimates that between 73 and 106 healthcare facilities will submit notifications to EPA for review. LQGs in these states can submit notifications during their next biennial report. EPA relies on the ICR for the proposed rule to add aerosol cans to universal waste to estimate the amount of time it takes the Agency to review notifications for completeness.</w:t>
      </w:r>
      <w:r w:rsidRPr="008856B6">
        <w:rPr>
          <w:rStyle w:val="FootnoteReference"/>
          <w:bCs/>
          <w:vertAlign w:val="superscript"/>
        </w:rPr>
        <w:footnoteReference w:id="3"/>
      </w:r>
      <w:r>
        <w:rPr>
          <w:bCs/>
        </w:rPr>
        <w:t xml:space="preserve"> EPA estimates that it will take 0.08 hours of manager time, 0.93 hours of technician time, and 0.08 hours of clerical time for the one-time burden of reviewing notification submitted by healthcare facilities. This results in a total estimated burden of </w:t>
      </w:r>
      <w:r>
        <w:t>73 – 106 hours at a total cost of $4,920 – $7,145 for the Agency, or an average annual cost of $1,640 to $2,382 over the first three years of the rule.</w:t>
      </w:r>
    </w:p>
    <w:p w14:paraId="13682AB6" w14:textId="77777777" w:rsidR="00B96F43" w:rsidRDefault="00B96F43" w:rsidP="00B96F43">
      <w:pPr>
        <w:rPr>
          <w:bCs/>
        </w:rPr>
      </w:pPr>
    </w:p>
    <w:p w14:paraId="1E3B4449" w14:textId="77777777" w:rsidR="00B96F43" w:rsidRPr="00190856" w:rsidRDefault="00B96F43" w:rsidP="00B96F43">
      <w:pPr>
        <w:ind w:firstLine="720"/>
        <w:rPr>
          <w:bCs/>
        </w:rPr>
      </w:pPr>
      <w:r>
        <w:rPr>
          <w:bCs/>
        </w:rPr>
        <w:t xml:space="preserve">Although the Agency will review biennial reports from reverse distributors for their hazardous waste pharmaceuticals in these states, EPA expects that the Agency will already review biennial reports from reverse distributors due to their non-pharmaceutical hazardous waste, and thus will not face an increase in burden under this rule. </w:t>
      </w:r>
    </w:p>
    <w:p w14:paraId="72C0EDDE" w14:textId="77777777" w:rsidR="007B61E5" w:rsidRPr="00E17A70" w:rsidRDefault="007B61E5" w:rsidP="007B61E5">
      <w:pPr>
        <w:rPr>
          <w:szCs w:val="28"/>
        </w:rPr>
      </w:pPr>
    </w:p>
    <w:p w14:paraId="6E72535C" w14:textId="77777777" w:rsidR="007B61E5" w:rsidRPr="00E17A70" w:rsidRDefault="007B61E5" w:rsidP="007B61E5">
      <w:pPr>
        <w:ind w:firstLine="720"/>
        <w:rPr>
          <w:b/>
          <w:bCs/>
        </w:rPr>
      </w:pPr>
      <w:r w:rsidRPr="00E17A70">
        <w:rPr>
          <w:b/>
          <w:bCs/>
        </w:rPr>
        <w:t>6(d)</w:t>
      </w:r>
      <w:r w:rsidRPr="00E17A70">
        <w:rPr>
          <w:b/>
          <w:bCs/>
        </w:rPr>
        <w:tab/>
        <w:t>Estimating the Respondent Universe and Total Burden and Costs</w:t>
      </w:r>
    </w:p>
    <w:p w14:paraId="32F4D80D" w14:textId="77777777" w:rsidR="007B61E5" w:rsidRPr="00E17A70" w:rsidRDefault="007B61E5" w:rsidP="007B61E5">
      <w:pPr>
        <w:rPr>
          <w:szCs w:val="28"/>
        </w:rPr>
      </w:pPr>
    </w:p>
    <w:p w14:paraId="7611264A" w14:textId="77777777" w:rsidR="007B61E5" w:rsidRDefault="007B61E5" w:rsidP="001F0E45">
      <w:pPr>
        <w:ind w:firstLine="720"/>
        <w:rPr>
          <w:b/>
        </w:rPr>
      </w:pPr>
      <w:r w:rsidRPr="00E17A70">
        <w:rPr>
          <w:b/>
        </w:rPr>
        <w:t xml:space="preserve">Respondent Universe </w:t>
      </w:r>
    </w:p>
    <w:p w14:paraId="0AF6CE3C" w14:textId="77777777" w:rsidR="007B61E5" w:rsidRDefault="007B61E5" w:rsidP="007B61E5">
      <w:pPr>
        <w:rPr>
          <w:b/>
        </w:rPr>
      </w:pPr>
    </w:p>
    <w:p w14:paraId="39529642" w14:textId="6C031B88" w:rsidR="002E2573" w:rsidRDefault="007B61E5" w:rsidP="007B61E5">
      <w:pPr>
        <w:ind w:firstLine="720"/>
      </w:pPr>
      <w:r w:rsidRPr="00E17A70">
        <w:t xml:space="preserve">In Exhibit 1, EPA provides estimates of the annual number of respondents that will </w:t>
      </w:r>
      <w:r w:rsidR="0061185E">
        <w:t>be required</w:t>
      </w:r>
      <w:r w:rsidRPr="00E17A70">
        <w:t xml:space="preserve"> to comply with the new paperwork requirements in the </w:t>
      </w:r>
      <w:r w:rsidR="0067057B">
        <w:t>final</w:t>
      </w:r>
      <w:r w:rsidR="0067057B" w:rsidRPr="00E17A70">
        <w:t xml:space="preserve"> </w:t>
      </w:r>
      <w:r w:rsidRPr="00E17A70">
        <w:t>rule.</w:t>
      </w:r>
      <w:r w:rsidR="00F26171">
        <w:t xml:space="preserve"> </w:t>
      </w:r>
      <w:r w:rsidR="00D41380">
        <w:t>T</w:t>
      </w:r>
      <w:r w:rsidR="0061185E">
        <w:t xml:space="preserve">he number of respondents varies </w:t>
      </w:r>
      <w:r w:rsidR="00501889">
        <w:t>based on type of paperwork requirement.</w:t>
      </w:r>
      <w:r w:rsidR="00F26171">
        <w:t xml:space="preserve"> </w:t>
      </w:r>
      <w:r w:rsidR="00D41380">
        <w:t>T</w:t>
      </w:r>
      <w:r>
        <w:t xml:space="preserve">his is because the paperwork requirements </w:t>
      </w:r>
      <w:r w:rsidR="00D41380">
        <w:t>are not the sam</w:t>
      </w:r>
      <w:r w:rsidR="00B13216">
        <w:t>e for all respondents (i.e., reverse distributors, healthcare facilities, and VSQGs</w:t>
      </w:r>
      <w:r w:rsidR="00D41380">
        <w:t xml:space="preserve">).  </w:t>
      </w:r>
      <w:r w:rsidRPr="00E17A70">
        <w:t xml:space="preserve">Table 1 presents the number of respondents that </w:t>
      </w:r>
      <w:r>
        <w:t>could potentially be affected</w:t>
      </w:r>
      <w:r w:rsidRPr="00E17A70">
        <w:t xml:space="preserve"> </w:t>
      </w:r>
      <w:r>
        <w:t xml:space="preserve">by the </w:t>
      </w:r>
      <w:r w:rsidR="0067057B">
        <w:t>final</w:t>
      </w:r>
      <w:r w:rsidR="0067057B" w:rsidRPr="00E17A70">
        <w:t xml:space="preserve"> </w:t>
      </w:r>
      <w:r w:rsidRPr="00E17A70">
        <w:t>rule.</w:t>
      </w:r>
      <w:r w:rsidRPr="00E17A70">
        <w:rPr>
          <w:vertAlign w:val="superscript"/>
        </w:rPr>
        <w:footnoteReference w:id="4"/>
      </w:r>
      <w:r w:rsidRPr="00E17A70">
        <w:t xml:space="preserve">  It shows that EPA estimates </w:t>
      </w:r>
      <w:r w:rsidR="00B13216">
        <w:t>11,916-13,373</w:t>
      </w:r>
      <w:r w:rsidR="00925BA7">
        <w:t xml:space="preserve"> </w:t>
      </w:r>
      <w:r w:rsidR="001148EC">
        <w:t>facilities</w:t>
      </w:r>
      <w:r w:rsidRPr="00E17A70">
        <w:t xml:space="preserve"> </w:t>
      </w:r>
      <w:r>
        <w:t>handle</w:t>
      </w:r>
      <w:r w:rsidRPr="00E17A70">
        <w:t xml:space="preserve"> </w:t>
      </w:r>
      <w:r>
        <w:t>hazardous</w:t>
      </w:r>
      <w:r w:rsidRPr="00E17A70">
        <w:t xml:space="preserve"> </w:t>
      </w:r>
      <w:r w:rsidR="008357AF">
        <w:t xml:space="preserve">waste </w:t>
      </w:r>
      <w:r w:rsidRPr="00E17A70">
        <w:t>pharmaceutical</w:t>
      </w:r>
      <w:r w:rsidR="008357AF">
        <w:t>s</w:t>
      </w:r>
      <w:r w:rsidR="00B13216">
        <w:t xml:space="preserve"> each year that will have paperwork burdens.</w:t>
      </w:r>
      <w:r w:rsidRPr="00E17A70">
        <w:t xml:space="preserve">  </w:t>
      </w:r>
      <w:r w:rsidR="00B13216">
        <w:t>There</w:t>
      </w:r>
      <w:r w:rsidR="006B4A87">
        <w:t xml:space="preserve"> are no paperwork requirements </w:t>
      </w:r>
      <w:r w:rsidR="001148EC">
        <w:t xml:space="preserve">in the </w:t>
      </w:r>
      <w:r w:rsidR="00CC3EAF">
        <w:t xml:space="preserve">final </w:t>
      </w:r>
      <w:r w:rsidR="001148EC">
        <w:t xml:space="preserve">rule </w:t>
      </w:r>
      <w:r w:rsidR="006B4A87">
        <w:t xml:space="preserve">for </w:t>
      </w:r>
      <w:r w:rsidR="00925BA7">
        <w:t xml:space="preserve">VSQGs </w:t>
      </w:r>
      <w:r w:rsidR="005D57B5">
        <w:t xml:space="preserve">(except for </w:t>
      </w:r>
      <w:r w:rsidR="00925BA7">
        <w:t xml:space="preserve">VSQG </w:t>
      </w:r>
      <w:r w:rsidR="005D57B5">
        <w:t>reverse distributors</w:t>
      </w:r>
      <w:r w:rsidR="00B13216">
        <w:t>, although EPA estimates all reverse distributors are LQGs</w:t>
      </w:r>
      <w:r w:rsidR="005D57B5">
        <w:t>)</w:t>
      </w:r>
      <w:r w:rsidR="006B4A87">
        <w:t>.</w:t>
      </w:r>
    </w:p>
    <w:p w14:paraId="305B403D" w14:textId="77777777" w:rsidR="00B96EBD" w:rsidRDefault="00B96EBD" w:rsidP="002E2573">
      <w:pPr>
        <w:jc w:val="center"/>
      </w:pPr>
    </w:p>
    <w:p w14:paraId="37BC2AF8" w14:textId="77777777" w:rsidR="007B61E5" w:rsidRDefault="007B61E5" w:rsidP="002E2573">
      <w:pPr>
        <w:jc w:val="center"/>
        <w:rPr>
          <w:b/>
        </w:rPr>
      </w:pPr>
      <w:r>
        <w:rPr>
          <w:b/>
        </w:rPr>
        <w:t>TABLE 1</w:t>
      </w:r>
    </w:p>
    <w:p w14:paraId="48C93885" w14:textId="77777777" w:rsidR="007B61E5" w:rsidRDefault="007B61E5" w:rsidP="002E2573">
      <w:pPr>
        <w:jc w:val="center"/>
        <w:rPr>
          <w:b/>
        </w:rPr>
      </w:pPr>
    </w:p>
    <w:p w14:paraId="6A8A2AA5" w14:textId="77777777" w:rsidR="007B61E5" w:rsidRPr="00E17A70" w:rsidRDefault="007B61E5" w:rsidP="002E2573">
      <w:pPr>
        <w:jc w:val="center"/>
        <w:rPr>
          <w:b/>
        </w:rPr>
      </w:pPr>
      <w:r w:rsidRPr="00E17A70">
        <w:rPr>
          <w:b/>
        </w:rPr>
        <w:t>NUMBER OF FACILITIES POTENTIALLY AFFECTED BY</w:t>
      </w:r>
    </w:p>
    <w:p w14:paraId="5192DE19" w14:textId="77777777" w:rsidR="007B61E5" w:rsidRPr="00E17A70" w:rsidRDefault="007B61E5" w:rsidP="002E2573">
      <w:pPr>
        <w:jc w:val="center"/>
        <w:rPr>
          <w:b/>
        </w:rPr>
      </w:pPr>
      <w:r w:rsidRPr="00E17A70">
        <w:rPr>
          <w:b/>
        </w:rPr>
        <w:t xml:space="preserve">THE </w:t>
      </w:r>
      <w:r w:rsidR="00CC3EAF">
        <w:rPr>
          <w:b/>
        </w:rPr>
        <w:t>FINAL</w:t>
      </w:r>
      <w:r w:rsidR="00CC3EAF" w:rsidRPr="00E17A70">
        <w:rPr>
          <w:b/>
        </w:rPr>
        <w:t xml:space="preserve"> </w:t>
      </w:r>
      <w:r w:rsidRPr="00E17A70">
        <w:rPr>
          <w:b/>
        </w:rPr>
        <w:t>RULE</w:t>
      </w:r>
    </w:p>
    <w:p w14:paraId="0A5F3CFA" w14:textId="77777777" w:rsidR="007B61E5" w:rsidRPr="00E17A70" w:rsidRDefault="007B61E5" w:rsidP="007B61E5">
      <w:pPr>
        <w:jc w:val="center"/>
        <w:rPr>
          <w:b/>
          <w:szCs w:val="28"/>
        </w:rPr>
      </w:pPr>
    </w:p>
    <w:tbl>
      <w:tblPr>
        <w:tblW w:w="8692" w:type="dxa"/>
        <w:tblLook w:val="0000" w:firstRow="0" w:lastRow="0" w:firstColumn="0" w:lastColumn="0" w:noHBand="0" w:noVBand="0"/>
      </w:tblPr>
      <w:tblGrid>
        <w:gridCol w:w="3708"/>
        <w:gridCol w:w="4984"/>
      </w:tblGrid>
      <w:tr w:rsidR="007B61E5" w:rsidRPr="00E17A70" w14:paraId="09F5B0F2" w14:textId="77777777" w:rsidTr="00D57CF2">
        <w:trPr>
          <w:trHeight w:val="993"/>
        </w:trPr>
        <w:tc>
          <w:tcPr>
            <w:tcW w:w="3708" w:type="dxa"/>
            <w:tcBorders>
              <w:top w:val="single" w:sz="10" w:space="0" w:color="000000"/>
              <w:left w:val="single" w:sz="10" w:space="0" w:color="000000"/>
              <w:bottom w:val="single" w:sz="10" w:space="0" w:color="000000"/>
              <w:right w:val="single" w:sz="10" w:space="0" w:color="000000"/>
            </w:tcBorders>
            <w:vAlign w:val="center"/>
          </w:tcPr>
          <w:p w14:paraId="02B2F8C6" w14:textId="77777777" w:rsidR="007B61E5" w:rsidRPr="00E17A70" w:rsidRDefault="007B61E5" w:rsidP="00D57CF2">
            <w:pPr>
              <w:pStyle w:val="Default"/>
              <w:jc w:val="center"/>
              <w:rPr>
                <w:rFonts w:ascii="Times New Roman" w:hAnsi="Times New Roman"/>
              </w:rPr>
            </w:pPr>
            <w:r w:rsidRPr="00E17A70">
              <w:rPr>
                <w:rFonts w:ascii="Times New Roman" w:hAnsi="Times New Roman"/>
                <w:b/>
                <w:bCs/>
              </w:rPr>
              <w:t>Type of Respondent</w:t>
            </w:r>
          </w:p>
        </w:tc>
        <w:tc>
          <w:tcPr>
            <w:tcW w:w="4984" w:type="dxa"/>
            <w:tcBorders>
              <w:top w:val="single" w:sz="10" w:space="0" w:color="000000"/>
              <w:left w:val="single" w:sz="10" w:space="0" w:color="000000"/>
              <w:bottom w:val="single" w:sz="10" w:space="0" w:color="000000"/>
              <w:right w:val="single" w:sz="10" w:space="0" w:color="000000"/>
            </w:tcBorders>
            <w:vAlign w:val="center"/>
          </w:tcPr>
          <w:p w14:paraId="26FE6F04" w14:textId="70B76E59" w:rsidR="007B61E5" w:rsidRPr="00E17A70" w:rsidRDefault="007B61E5" w:rsidP="00D57CF2">
            <w:pPr>
              <w:pStyle w:val="Default"/>
              <w:jc w:val="center"/>
              <w:rPr>
                <w:rFonts w:ascii="Times New Roman" w:hAnsi="Times New Roman"/>
              </w:rPr>
            </w:pPr>
            <w:r w:rsidRPr="00E17A70">
              <w:rPr>
                <w:rFonts w:ascii="Times New Roman" w:hAnsi="Times New Roman"/>
                <w:b/>
                <w:bCs/>
              </w:rPr>
              <w:t>Number of Facilities</w:t>
            </w:r>
            <w:r w:rsidR="00BF33D3">
              <w:rPr>
                <w:rFonts w:ascii="Times New Roman" w:hAnsi="Times New Roman"/>
                <w:b/>
                <w:bCs/>
              </w:rPr>
              <w:t xml:space="preserve"> </w:t>
            </w:r>
          </w:p>
        </w:tc>
      </w:tr>
      <w:tr w:rsidR="007B61E5" w:rsidRPr="00E17A70" w14:paraId="113165B7" w14:textId="77777777" w:rsidTr="00D57CF2">
        <w:trPr>
          <w:trHeight w:val="563"/>
        </w:trPr>
        <w:tc>
          <w:tcPr>
            <w:tcW w:w="3708" w:type="dxa"/>
            <w:tcBorders>
              <w:top w:val="single" w:sz="10" w:space="0" w:color="000000"/>
              <w:left w:val="single" w:sz="10" w:space="0" w:color="000000"/>
              <w:bottom w:val="single" w:sz="10" w:space="0" w:color="000000"/>
              <w:right w:val="single" w:sz="10" w:space="0" w:color="000000"/>
            </w:tcBorders>
            <w:vAlign w:val="center"/>
          </w:tcPr>
          <w:p w14:paraId="3191D8C8" w14:textId="4D73796C" w:rsidR="007B61E5" w:rsidRPr="00E17A70" w:rsidRDefault="00294DAF" w:rsidP="00CD2F31">
            <w:pPr>
              <w:pStyle w:val="Default"/>
              <w:rPr>
                <w:rFonts w:ascii="Times New Roman" w:hAnsi="Times New Roman"/>
              </w:rPr>
            </w:pPr>
            <w:r>
              <w:rPr>
                <w:rFonts w:ascii="Times New Roman" w:hAnsi="Times New Roman"/>
              </w:rPr>
              <w:t>Reverse Distributors</w:t>
            </w:r>
          </w:p>
        </w:tc>
        <w:tc>
          <w:tcPr>
            <w:tcW w:w="4984" w:type="dxa"/>
            <w:tcBorders>
              <w:top w:val="single" w:sz="10" w:space="0" w:color="000000"/>
              <w:left w:val="single" w:sz="10" w:space="0" w:color="000000"/>
              <w:bottom w:val="single" w:sz="10" w:space="0" w:color="000000"/>
              <w:right w:val="single" w:sz="10" w:space="0" w:color="000000"/>
            </w:tcBorders>
            <w:vAlign w:val="center"/>
          </w:tcPr>
          <w:p w14:paraId="43363238" w14:textId="1AFC73AA" w:rsidR="007B61E5" w:rsidRPr="009F56C1" w:rsidRDefault="00294DAF" w:rsidP="00D57CF2">
            <w:pPr>
              <w:pStyle w:val="Default"/>
              <w:jc w:val="center"/>
              <w:rPr>
                <w:rFonts w:ascii="Times New Roman" w:hAnsi="Times New Roman"/>
              </w:rPr>
            </w:pPr>
            <w:r>
              <w:rPr>
                <w:rFonts w:ascii="Times New Roman" w:hAnsi="Times New Roman"/>
              </w:rPr>
              <w:t>27</w:t>
            </w:r>
          </w:p>
        </w:tc>
      </w:tr>
      <w:tr w:rsidR="007B61E5" w:rsidRPr="00E17A70" w14:paraId="6B6FA5D3" w14:textId="77777777" w:rsidTr="00D57CF2">
        <w:trPr>
          <w:trHeight w:val="563"/>
        </w:trPr>
        <w:tc>
          <w:tcPr>
            <w:tcW w:w="3708" w:type="dxa"/>
            <w:tcBorders>
              <w:top w:val="single" w:sz="10" w:space="0" w:color="000000"/>
              <w:left w:val="single" w:sz="10" w:space="0" w:color="000000"/>
              <w:bottom w:val="single" w:sz="10" w:space="0" w:color="000000"/>
              <w:right w:val="single" w:sz="10" w:space="0" w:color="000000"/>
            </w:tcBorders>
            <w:vAlign w:val="center"/>
          </w:tcPr>
          <w:p w14:paraId="2F17C904" w14:textId="4B5409A5" w:rsidR="007B61E5" w:rsidRDefault="00294DAF" w:rsidP="00CD2F31">
            <w:pPr>
              <w:pStyle w:val="Default"/>
              <w:rPr>
                <w:rFonts w:ascii="Times New Roman" w:hAnsi="Times New Roman"/>
              </w:rPr>
            </w:pPr>
            <w:r>
              <w:rPr>
                <w:rFonts w:ascii="Times New Roman" w:hAnsi="Times New Roman"/>
              </w:rPr>
              <w:t>Healthcare Facilities</w:t>
            </w:r>
            <w:r w:rsidRPr="00294DAF">
              <w:rPr>
                <w:rFonts w:ascii="Times New Roman" w:hAnsi="Times New Roman"/>
                <w:vertAlign w:val="superscript"/>
              </w:rPr>
              <w:t>1</w:t>
            </w:r>
          </w:p>
        </w:tc>
        <w:tc>
          <w:tcPr>
            <w:tcW w:w="4984" w:type="dxa"/>
            <w:tcBorders>
              <w:top w:val="single" w:sz="10" w:space="0" w:color="000000"/>
              <w:left w:val="single" w:sz="10" w:space="0" w:color="000000"/>
              <w:bottom w:val="single" w:sz="10" w:space="0" w:color="000000"/>
              <w:right w:val="single" w:sz="10" w:space="0" w:color="000000"/>
            </w:tcBorders>
            <w:vAlign w:val="center"/>
          </w:tcPr>
          <w:p w14:paraId="3E876662" w14:textId="5EF71975" w:rsidR="007B61E5" w:rsidRPr="009F56C1" w:rsidRDefault="00BF33D3" w:rsidP="00BF33D3">
            <w:pPr>
              <w:pStyle w:val="Default"/>
              <w:jc w:val="center"/>
              <w:rPr>
                <w:rFonts w:ascii="Times New Roman" w:hAnsi="Times New Roman"/>
              </w:rPr>
            </w:pPr>
            <w:r>
              <w:rPr>
                <w:rFonts w:ascii="Times New Roman" w:hAnsi="Times New Roman"/>
              </w:rPr>
              <w:t>11,889-13,346</w:t>
            </w:r>
          </w:p>
        </w:tc>
      </w:tr>
      <w:tr w:rsidR="007B61E5" w:rsidRPr="00E17A70" w14:paraId="4560E2B8" w14:textId="77777777" w:rsidTr="00D57CF2">
        <w:trPr>
          <w:trHeight w:val="390"/>
        </w:trPr>
        <w:tc>
          <w:tcPr>
            <w:tcW w:w="3708" w:type="dxa"/>
            <w:tcBorders>
              <w:top w:val="single" w:sz="10" w:space="0" w:color="000000"/>
              <w:left w:val="single" w:sz="10" w:space="0" w:color="000000"/>
              <w:bottom w:val="single" w:sz="10" w:space="0" w:color="000000"/>
              <w:right w:val="single" w:sz="10" w:space="0" w:color="000000"/>
            </w:tcBorders>
            <w:vAlign w:val="center"/>
          </w:tcPr>
          <w:p w14:paraId="502BC3BB" w14:textId="77777777" w:rsidR="007B61E5" w:rsidRPr="00E17A70" w:rsidRDefault="007B61E5" w:rsidP="00D57CF2">
            <w:pPr>
              <w:pStyle w:val="Default"/>
              <w:jc w:val="center"/>
              <w:rPr>
                <w:rFonts w:ascii="Times New Roman" w:hAnsi="Times New Roman"/>
              </w:rPr>
            </w:pPr>
            <w:r w:rsidRPr="00E17A70">
              <w:rPr>
                <w:rFonts w:ascii="Times New Roman" w:hAnsi="Times New Roman"/>
                <w:b/>
                <w:bCs/>
              </w:rPr>
              <w:t xml:space="preserve">Total </w:t>
            </w:r>
          </w:p>
        </w:tc>
        <w:tc>
          <w:tcPr>
            <w:tcW w:w="4984" w:type="dxa"/>
            <w:tcBorders>
              <w:top w:val="single" w:sz="10" w:space="0" w:color="000000"/>
              <w:left w:val="single" w:sz="10" w:space="0" w:color="000000"/>
              <w:bottom w:val="single" w:sz="10" w:space="0" w:color="000000"/>
              <w:right w:val="single" w:sz="10" w:space="0" w:color="000000"/>
            </w:tcBorders>
            <w:vAlign w:val="center"/>
          </w:tcPr>
          <w:p w14:paraId="4E7A5021" w14:textId="42330D8B" w:rsidR="006A6045" w:rsidRPr="009F56C1" w:rsidRDefault="00FA545C" w:rsidP="00BF33D3">
            <w:pPr>
              <w:pStyle w:val="Default"/>
              <w:jc w:val="center"/>
              <w:rPr>
                <w:rFonts w:ascii="Times New Roman" w:hAnsi="Times New Roman"/>
              </w:rPr>
            </w:pPr>
            <w:r>
              <w:rPr>
                <w:rFonts w:ascii="Times New Roman" w:hAnsi="Times New Roman"/>
              </w:rPr>
              <w:t>11,916</w:t>
            </w:r>
            <w:r w:rsidR="00BF33D3">
              <w:rPr>
                <w:rFonts w:ascii="Times New Roman" w:hAnsi="Times New Roman"/>
              </w:rPr>
              <w:t>-13,373</w:t>
            </w:r>
          </w:p>
        </w:tc>
      </w:tr>
      <w:tr w:rsidR="00294DAF" w:rsidRPr="00E17A70" w14:paraId="7E5C73CA" w14:textId="77777777" w:rsidTr="00F5290B">
        <w:trPr>
          <w:trHeight w:val="390"/>
        </w:trPr>
        <w:tc>
          <w:tcPr>
            <w:tcW w:w="8692" w:type="dxa"/>
            <w:gridSpan w:val="2"/>
            <w:tcBorders>
              <w:top w:val="single" w:sz="10" w:space="0" w:color="000000"/>
              <w:left w:val="single" w:sz="10" w:space="0" w:color="000000"/>
              <w:bottom w:val="single" w:sz="10" w:space="0" w:color="000000"/>
              <w:right w:val="single" w:sz="10" w:space="0" w:color="000000"/>
            </w:tcBorders>
            <w:vAlign w:val="center"/>
          </w:tcPr>
          <w:p w14:paraId="7DFABAEE" w14:textId="7A35E9F6" w:rsidR="00294DAF" w:rsidRDefault="00294DAF" w:rsidP="00294DAF">
            <w:pPr>
              <w:pStyle w:val="Default"/>
              <w:rPr>
                <w:rFonts w:ascii="Times New Roman" w:hAnsi="Times New Roman"/>
                <w:sz w:val="20"/>
                <w:szCs w:val="20"/>
              </w:rPr>
            </w:pPr>
            <w:r w:rsidRPr="00294DAF">
              <w:rPr>
                <w:rFonts w:ascii="Times New Roman" w:hAnsi="Times New Roman"/>
                <w:sz w:val="20"/>
                <w:szCs w:val="20"/>
              </w:rPr>
              <w:t xml:space="preserve">1.) Includes healthcare facilities that are estimated to remain LQGs and SQGs under </w:t>
            </w:r>
            <w:r>
              <w:rPr>
                <w:rFonts w:ascii="Times New Roman" w:hAnsi="Times New Roman"/>
                <w:sz w:val="20"/>
                <w:szCs w:val="20"/>
              </w:rPr>
              <w:t xml:space="preserve">40 CFR </w:t>
            </w:r>
            <w:r w:rsidRPr="00294DAF">
              <w:rPr>
                <w:rFonts w:ascii="Times New Roman" w:hAnsi="Times New Roman"/>
                <w:sz w:val="20"/>
                <w:szCs w:val="20"/>
              </w:rPr>
              <w:t xml:space="preserve">part 262 and </w:t>
            </w:r>
            <w:r>
              <w:rPr>
                <w:rFonts w:ascii="Times New Roman" w:hAnsi="Times New Roman"/>
                <w:sz w:val="20"/>
                <w:szCs w:val="20"/>
              </w:rPr>
              <w:t>healthcare facilities that are estimated to drop down to VSQGs for their non-pharmaceutical hazardous waste but must still comply with the subpart P recordkeeping requirements. See “Regulatory Impact Analysis for EPA’s Final Regulations for the Management of Hazardous Waste Pharmaceuti</w:t>
            </w:r>
            <w:r w:rsidR="00BF33D3">
              <w:rPr>
                <w:rFonts w:ascii="Times New Roman" w:hAnsi="Times New Roman"/>
                <w:sz w:val="20"/>
                <w:szCs w:val="20"/>
              </w:rPr>
              <w:t>cals” for more detail on the universe of impacted facilities.</w:t>
            </w:r>
            <w:r w:rsidR="00B13216">
              <w:rPr>
                <w:rFonts w:ascii="Times New Roman" w:hAnsi="Times New Roman"/>
                <w:sz w:val="20"/>
                <w:szCs w:val="20"/>
              </w:rPr>
              <w:t xml:space="preserve"> EPA estimates that of these healthcare facilities, 6,337 were operating as LQGs</w:t>
            </w:r>
            <w:r w:rsidR="00AA3DE0">
              <w:rPr>
                <w:rFonts w:ascii="Times New Roman" w:hAnsi="Times New Roman"/>
                <w:sz w:val="20"/>
                <w:szCs w:val="20"/>
              </w:rPr>
              <w:t xml:space="preserve"> prior to subpart P</w:t>
            </w:r>
            <w:r w:rsidR="00B13216">
              <w:rPr>
                <w:rFonts w:ascii="Times New Roman" w:hAnsi="Times New Roman"/>
                <w:sz w:val="20"/>
                <w:szCs w:val="20"/>
              </w:rPr>
              <w:t xml:space="preserve"> </w:t>
            </w:r>
            <w:r w:rsidR="00AA3DE0">
              <w:rPr>
                <w:rFonts w:ascii="Times New Roman" w:hAnsi="Times New Roman"/>
                <w:sz w:val="20"/>
                <w:szCs w:val="20"/>
              </w:rPr>
              <w:t xml:space="preserve">and will either drop down a generator category </w:t>
            </w:r>
            <w:r w:rsidR="00B13216">
              <w:rPr>
                <w:rFonts w:ascii="Times New Roman" w:hAnsi="Times New Roman"/>
                <w:sz w:val="20"/>
                <w:szCs w:val="20"/>
              </w:rPr>
              <w:t>or will continue operating as LQGs in addition to operating as healthcare facilities under subpart P</w:t>
            </w:r>
            <w:r w:rsidR="00AA3DE0">
              <w:rPr>
                <w:rFonts w:ascii="Times New Roman" w:hAnsi="Times New Roman"/>
                <w:sz w:val="20"/>
                <w:szCs w:val="20"/>
              </w:rPr>
              <w:t xml:space="preserve">. </w:t>
            </w:r>
            <w:r w:rsidR="00B13216">
              <w:rPr>
                <w:rFonts w:ascii="Times New Roman" w:hAnsi="Times New Roman"/>
                <w:sz w:val="20"/>
                <w:szCs w:val="20"/>
              </w:rPr>
              <w:t xml:space="preserve">EPA estimates that 5,552-7,009 were operating as SQGs </w:t>
            </w:r>
            <w:r w:rsidR="00AA3DE0">
              <w:rPr>
                <w:rFonts w:ascii="Times New Roman" w:hAnsi="Times New Roman"/>
                <w:sz w:val="20"/>
                <w:szCs w:val="20"/>
              </w:rPr>
              <w:t>and will either drop down a generator category or</w:t>
            </w:r>
            <w:r w:rsidR="00B13216">
              <w:rPr>
                <w:rFonts w:ascii="Times New Roman" w:hAnsi="Times New Roman"/>
                <w:sz w:val="20"/>
                <w:szCs w:val="20"/>
              </w:rPr>
              <w:t xml:space="preserve"> will continue operating as SQGs in addition to operating as healthcare facilities under subpart P.</w:t>
            </w:r>
          </w:p>
          <w:p w14:paraId="4ECF3621" w14:textId="1E593E56" w:rsidR="007A47B7" w:rsidRPr="00294DAF" w:rsidRDefault="007A47B7" w:rsidP="00294DAF">
            <w:pPr>
              <w:pStyle w:val="Default"/>
              <w:rPr>
                <w:rFonts w:ascii="Times New Roman" w:hAnsi="Times New Roman"/>
                <w:sz w:val="20"/>
                <w:szCs w:val="20"/>
              </w:rPr>
            </w:pPr>
            <w:r>
              <w:rPr>
                <w:rFonts w:ascii="Times New Roman" w:hAnsi="Times New Roman"/>
                <w:sz w:val="20"/>
                <w:szCs w:val="20"/>
              </w:rPr>
              <w:t xml:space="preserve">2.) This assumes VSQGs, except </w:t>
            </w:r>
            <w:r w:rsidRPr="007A47B7">
              <w:rPr>
                <w:rFonts w:ascii="Times New Roman" w:hAnsi="Times New Roman"/>
                <w:sz w:val="20"/>
                <w:szCs w:val="20"/>
              </w:rPr>
              <w:t>for VSQG reverse distributors, are unlikely to read the rule because there are no new information collection requirements for VSQGs in the final rule</w:t>
            </w:r>
            <w:r>
              <w:rPr>
                <w:rFonts w:ascii="Times New Roman" w:hAnsi="Times New Roman"/>
                <w:sz w:val="20"/>
                <w:szCs w:val="20"/>
              </w:rPr>
              <w:t>.</w:t>
            </w:r>
          </w:p>
        </w:tc>
      </w:tr>
    </w:tbl>
    <w:p w14:paraId="30E699CA" w14:textId="77777777" w:rsidR="002E2573" w:rsidRDefault="002E2573" w:rsidP="00A36A0C">
      <w:pPr>
        <w:ind w:firstLine="720"/>
        <w:rPr>
          <w:b/>
          <w:bCs/>
        </w:rPr>
      </w:pPr>
    </w:p>
    <w:p w14:paraId="19A6B845" w14:textId="77777777" w:rsidR="007B61E5" w:rsidRPr="00E17A70" w:rsidRDefault="007B61E5" w:rsidP="00A36A0C">
      <w:pPr>
        <w:ind w:firstLine="720"/>
      </w:pPr>
      <w:r w:rsidRPr="00E17A70">
        <w:rPr>
          <w:b/>
          <w:bCs/>
        </w:rPr>
        <w:t>Respondent Burden and Cost</w:t>
      </w:r>
    </w:p>
    <w:p w14:paraId="2BF7F966" w14:textId="77777777" w:rsidR="007B61E5" w:rsidRDefault="007B61E5" w:rsidP="007B61E5">
      <w:pPr>
        <w:ind w:firstLine="720"/>
      </w:pPr>
    </w:p>
    <w:p w14:paraId="632778B9" w14:textId="500654EC" w:rsidR="007B61E5" w:rsidRPr="00E17A70" w:rsidRDefault="007B61E5" w:rsidP="007B61E5">
      <w:pPr>
        <w:ind w:firstLine="720"/>
      </w:pPr>
      <w:r w:rsidRPr="00E17A70">
        <w:t>Based on the universe data presented in Table 1</w:t>
      </w:r>
      <w:r w:rsidR="00E167E3">
        <w:t xml:space="preserve"> and information contained in</w:t>
      </w:r>
      <w:r w:rsidR="006A334A">
        <w:t xml:space="preserve"> the </w:t>
      </w:r>
      <w:r w:rsidR="00332BF4" w:rsidRPr="00E17A70">
        <w:t xml:space="preserve">economics background document developed for the </w:t>
      </w:r>
      <w:r w:rsidR="0067057B">
        <w:t>final</w:t>
      </w:r>
      <w:r w:rsidR="0067057B" w:rsidRPr="00E17A70">
        <w:t xml:space="preserve"> </w:t>
      </w:r>
      <w:r w:rsidR="00332BF4" w:rsidRPr="00E17A70">
        <w:t>rule</w:t>
      </w:r>
      <w:r w:rsidR="006A334A">
        <w:t>,</w:t>
      </w:r>
      <w:r w:rsidRPr="00E17A70">
        <w:t xml:space="preserve"> EPA estimated the </w:t>
      </w:r>
      <w:r w:rsidR="005A469A">
        <w:t xml:space="preserve">changes in </w:t>
      </w:r>
      <w:r w:rsidRPr="00E17A70">
        <w:t xml:space="preserve">respondent burden </w:t>
      </w:r>
      <w:r w:rsidR="00B6701B">
        <w:t xml:space="preserve">and cost </w:t>
      </w:r>
      <w:r w:rsidRPr="00E17A70">
        <w:t xml:space="preserve">associated with the </w:t>
      </w:r>
      <w:r w:rsidR="005A469A">
        <w:t>changes in</w:t>
      </w:r>
      <w:r w:rsidR="005A469A" w:rsidRPr="00E17A70">
        <w:t xml:space="preserve"> </w:t>
      </w:r>
      <w:r w:rsidRPr="00E17A70">
        <w:t>information collection r</w:t>
      </w:r>
      <w:r w:rsidR="002078B4">
        <w:t>equirements covered in this ICR.</w:t>
      </w:r>
      <w:r w:rsidRPr="00E17A70">
        <w:t xml:space="preserve"> A discussion of the assumptions used in developing these burden </w:t>
      </w:r>
      <w:r w:rsidR="00B6701B">
        <w:t xml:space="preserve">and cost </w:t>
      </w:r>
      <w:r w:rsidRPr="00E17A70">
        <w:t xml:space="preserve">estimates follows.  </w:t>
      </w:r>
    </w:p>
    <w:p w14:paraId="7C4F33A9" w14:textId="77777777" w:rsidR="007B61E5" w:rsidRPr="00E17A70" w:rsidRDefault="007B61E5" w:rsidP="007B61E5">
      <w:pPr>
        <w:rPr>
          <w:szCs w:val="28"/>
        </w:rPr>
      </w:pPr>
    </w:p>
    <w:p w14:paraId="057DCE2A" w14:textId="77777777" w:rsidR="007B61E5" w:rsidRPr="00E17A70" w:rsidRDefault="007B61E5" w:rsidP="007B61E5">
      <w:pPr>
        <w:ind w:firstLine="720"/>
      </w:pPr>
      <w:r w:rsidRPr="00E17A70">
        <w:rPr>
          <w:b/>
          <w:bCs/>
        </w:rPr>
        <w:t>Reading the Regulations</w:t>
      </w:r>
    </w:p>
    <w:p w14:paraId="465AC6CC" w14:textId="77777777" w:rsidR="007B61E5" w:rsidRPr="00E17A70" w:rsidRDefault="007B61E5" w:rsidP="007B61E5">
      <w:pPr>
        <w:rPr>
          <w:szCs w:val="28"/>
        </w:rPr>
      </w:pPr>
    </w:p>
    <w:p w14:paraId="23895A06" w14:textId="6B5ADE4A" w:rsidR="002E2573" w:rsidRDefault="007B61E5" w:rsidP="007B61E5">
      <w:pPr>
        <w:ind w:firstLine="720"/>
      </w:pPr>
      <w:r w:rsidRPr="00E17A70">
        <w:t xml:space="preserve">As shown in Exhibit 1, EPA estimates </w:t>
      </w:r>
      <w:r w:rsidRPr="0067057B">
        <w:t xml:space="preserve">that </w:t>
      </w:r>
      <w:r w:rsidR="007A47B7">
        <w:rPr>
          <w:szCs w:val="28"/>
        </w:rPr>
        <w:t>11,889</w:t>
      </w:r>
      <w:r w:rsidR="006A5A5B" w:rsidRPr="009F56C1">
        <w:rPr>
          <w:szCs w:val="28"/>
        </w:rPr>
        <w:t xml:space="preserve"> - 13,34</w:t>
      </w:r>
      <w:r w:rsidR="007A47B7">
        <w:rPr>
          <w:szCs w:val="28"/>
        </w:rPr>
        <w:t>6</w:t>
      </w:r>
      <w:r w:rsidR="006A5A5B" w:rsidRPr="009F56C1">
        <w:rPr>
          <w:szCs w:val="28"/>
        </w:rPr>
        <w:t xml:space="preserve"> </w:t>
      </w:r>
      <w:r w:rsidRPr="0067057B">
        <w:t>facilities</w:t>
      </w:r>
      <w:r w:rsidRPr="00E17A70">
        <w:t xml:space="preserve"> will </w:t>
      </w:r>
      <w:r w:rsidR="00A77F9E">
        <w:t xml:space="preserve">need to </w:t>
      </w:r>
      <w:r w:rsidRPr="00E17A70">
        <w:t xml:space="preserve">read the rule </w:t>
      </w:r>
      <w:r w:rsidR="00A77F9E">
        <w:t>in order to understand and comply with the new information collection requirements</w:t>
      </w:r>
      <w:r w:rsidR="002078B4">
        <w:t>.</w:t>
      </w:r>
      <w:r w:rsidR="00A77F9E">
        <w:t xml:space="preserve"> </w:t>
      </w:r>
      <w:r w:rsidR="00D176AC">
        <w:t xml:space="preserve">For purpose of this analysis, we assumed that the hours required for reading/reviewing this new rule would be similar to the hours used in EPA’s assessment of the impacts associated with reading/reviewing the 2009 </w:t>
      </w:r>
      <w:r w:rsidR="00F877A5">
        <w:t>Final Rule governing the Exporting of Sp</w:t>
      </w:r>
      <w:r w:rsidR="002078B4">
        <w:t>ent Lead-Acid Batteries (SLAB).</w:t>
      </w:r>
      <w:r w:rsidR="00F877A5">
        <w:t xml:space="preserve"> EPA estimate</w:t>
      </w:r>
      <w:r w:rsidR="00FD7656">
        <w:t>d</w:t>
      </w:r>
      <w:r w:rsidR="00F877A5">
        <w:t xml:space="preserve"> 3.5 hours per respondent for reading the rule for </w:t>
      </w:r>
      <w:r w:rsidR="00F877A5" w:rsidRPr="0067057B">
        <w:t xml:space="preserve">the </w:t>
      </w:r>
      <w:r w:rsidR="00C15E39">
        <w:rPr>
          <w:szCs w:val="28"/>
        </w:rPr>
        <w:t>11,8</w:t>
      </w:r>
      <w:r w:rsidR="00C15E39" w:rsidRPr="00FA545C">
        <w:rPr>
          <w:szCs w:val="28"/>
        </w:rPr>
        <w:t xml:space="preserve">89 - 13,346 </w:t>
      </w:r>
      <w:r w:rsidR="002078B4" w:rsidRPr="00FA545C">
        <w:t>respondents.</w:t>
      </w:r>
      <w:r w:rsidR="00F877A5" w:rsidRPr="00FA545C">
        <w:t xml:space="preserve"> This result</w:t>
      </w:r>
      <w:r w:rsidR="001669F2" w:rsidRPr="00FA545C">
        <w:t>ed</w:t>
      </w:r>
      <w:r w:rsidR="00F877A5" w:rsidRPr="00FA545C">
        <w:t xml:space="preserve"> in total </w:t>
      </w:r>
      <w:r w:rsidR="00FA6B7F" w:rsidRPr="00FA545C">
        <w:t xml:space="preserve">burden </w:t>
      </w:r>
      <w:r w:rsidR="00F877A5" w:rsidRPr="00FA545C">
        <w:t xml:space="preserve">of </w:t>
      </w:r>
      <w:r w:rsidR="00FA545C" w:rsidRPr="00FA545C">
        <w:t>41,706 – 46,806</w:t>
      </w:r>
      <w:r w:rsidR="00F877A5" w:rsidRPr="00FA545C">
        <w:t xml:space="preserve"> hours</w:t>
      </w:r>
      <w:r w:rsidR="00FA6B7F" w:rsidRPr="00FA545C">
        <w:t>, at</w:t>
      </w:r>
      <w:r w:rsidR="00B6701B" w:rsidRPr="00FA545C">
        <w:t xml:space="preserve"> total cost of $</w:t>
      </w:r>
      <w:r w:rsidR="006A5A5B" w:rsidRPr="00FA545C">
        <w:t>2,87</w:t>
      </w:r>
      <w:r w:rsidR="00FA545C" w:rsidRPr="00FA545C">
        <w:t>8</w:t>
      </w:r>
      <w:r w:rsidR="006A5A5B" w:rsidRPr="00FA545C">
        <w:t>,</w:t>
      </w:r>
      <w:r w:rsidR="00FA545C" w:rsidRPr="00FA545C">
        <w:t>012</w:t>
      </w:r>
      <w:r w:rsidR="006A5A5B" w:rsidRPr="00FA545C">
        <w:t xml:space="preserve"> - $3,22</w:t>
      </w:r>
      <w:r w:rsidR="00FA545C" w:rsidRPr="00FA545C">
        <w:t>9,914</w:t>
      </w:r>
      <w:r w:rsidR="00FA6B7F" w:rsidRPr="00FA545C">
        <w:t>,</w:t>
      </w:r>
      <w:r w:rsidR="00B6701B" w:rsidRPr="00FA545C">
        <w:t xml:space="preserve"> for all of the respondents reading the rule.</w:t>
      </w:r>
      <w:r w:rsidR="00B6701B">
        <w:t xml:space="preserve">  </w:t>
      </w:r>
    </w:p>
    <w:p w14:paraId="6DA7FD8E" w14:textId="573A66E2" w:rsidR="001C4982" w:rsidRDefault="001C4982" w:rsidP="00475B81">
      <w:pPr>
        <w:rPr>
          <w:b/>
          <w:bCs/>
          <w:szCs w:val="28"/>
        </w:rPr>
      </w:pPr>
    </w:p>
    <w:p w14:paraId="60B7258C" w14:textId="49AD2844" w:rsidR="006A6045" w:rsidRDefault="006A6045" w:rsidP="001F0E45">
      <w:pPr>
        <w:ind w:firstLine="720"/>
        <w:rPr>
          <w:b/>
          <w:bCs/>
          <w:szCs w:val="28"/>
        </w:rPr>
      </w:pPr>
      <w:r w:rsidRPr="00976E1E">
        <w:rPr>
          <w:b/>
          <w:bCs/>
          <w:szCs w:val="28"/>
        </w:rPr>
        <w:t>Notification</w:t>
      </w:r>
      <w:r w:rsidR="00273D08" w:rsidRPr="00976E1E">
        <w:rPr>
          <w:b/>
          <w:bCs/>
          <w:szCs w:val="28"/>
        </w:rPr>
        <w:t xml:space="preserve">s </w:t>
      </w:r>
      <w:r w:rsidR="00273D08">
        <w:rPr>
          <w:b/>
          <w:bCs/>
          <w:szCs w:val="28"/>
        </w:rPr>
        <w:t>to EPA</w:t>
      </w:r>
    </w:p>
    <w:p w14:paraId="6D285A87" w14:textId="77777777" w:rsidR="0019371F" w:rsidRDefault="0019371F" w:rsidP="001F0E45">
      <w:pPr>
        <w:ind w:firstLine="720"/>
        <w:rPr>
          <w:b/>
          <w:bCs/>
          <w:szCs w:val="28"/>
        </w:rPr>
      </w:pPr>
    </w:p>
    <w:p w14:paraId="4025D1BF" w14:textId="1CF58AD3" w:rsidR="00273D08" w:rsidRDefault="0019371F" w:rsidP="001F0E45">
      <w:pPr>
        <w:ind w:firstLine="720"/>
        <w:rPr>
          <w:bCs/>
          <w:szCs w:val="28"/>
        </w:rPr>
      </w:pPr>
      <w:r>
        <w:rPr>
          <w:bCs/>
          <w:szCs w:val="28"/>
        </w:rPr>
        <w:t xml:space="preserve">Under </w:t>
      </w:r>
      <w:r w:rsidR="00BC6DD6">
        <w:rPr>
          <w:bCs/>
          <w:szCs w:val="28"/>
        </w:rPr>
        <w:t xml:space="preserve">current </w:t>
      </w:r>
      <w:r>
        <w:rPr>
          <w:bCs/>
          <w:szCs w:val="28"/>
        </w:rPr>
        <w:t>RCRA Subtitle C</w:t>
      </w:r>
      <w:r w:rsidR="001610B4">
        <w:rPr>
          <w:bCs/>
          <w:szCs w:val="28"/>
        </w:rPr>
        <w:t xml:space="preserve"> regulations</w:t>
      </w:r>
      <w:r>
        <w:rPr>
          <w:bCs/>
          <w:szCs w:val="28"/>
        </w:rPr>
        <w:t>, LQGs and SQGs are required to notify EPA and obtain an EPA ID number prior</w:t>
      </w:r>
      <w:r w:rsidR="002078B4">
        <w:rPr>
          <w:bCs/>
          <w:szCs w:val="28"/>
        </w:rPr>
        <w:t xml:space="preserve"> to managing hazardous wastes. </w:t>
      </w:r>
      <w:r w:rsidR="009C5D91">
        <w:rPr>
          <w:bCs/>
          <w:szCs w:val="28"/>
        </w:rPr>
        <w:t>LQGs and some SQGs are also</w:t>
      </w:r>
      <w:r w:rsidR="002078B4">
        <w:rPr>
          <w:bCs/>
          <w:szCs w:val="28"/>
        </w:rPr>
        <w:t xml:space="preserve"> subject to biennial reporting.</w:t>
      </w:r>
      <w:r w:rsidR="009C5D91">
        <w:rPr>
          <w:bCs/>
          <w:szCs w:val="28"/>
        </w:rPr>
        <w:t xml:space="preserve"> </w:t>
      </w:r>
      <w:r w:rsidR="00D734E3">
        <w:rPr>
          <w:bCs/>
          <w:szCs w:val="28"/>
        </w:rPr>
        <w:t xml:space="preserve">Therefore, </w:t>
      </w:r>
      <w:r w:rsidR="008F5A3A">
        <w:rPr>
          <w:bCs/>
          <w:szCs w:val="28"/>
        </w:rPr>
        <w:t xml:space="preserve">there are no additional notification costs to generators that are already submitting a biennial report, since they can notify when they submit their biennial report. The </w:t>
      </w:r>
      <w:r w:rsidR="00135256" w:rsidRPr="009F56C1">
        <w:rPr>
          <w:bCs/>
          <w:szCs w:val="28"/>
        </w:rPr>
        <w:t xml:space="preserve">initial notification costs are estimated only for </w:t>
      </w:r>
      <w:r w:rsidR="00976E1E" w:rsidRPr="009F56C1">
        <w:rPr>
          <w:bCs/>
          <w:szCs w:val="28"/>
        </w:rPr>
        <w:t>SQGs</w:t>
      </w:r>
      <w:r w:rsidR="006A115C">
        <w:rPr>
          <w:bCs/>
          <w:szCs w:val="28"/>
        </w:rPr>
        <w:t xml:space="preserve"> that will also be healthcare facilities operating under subpart P</w:t>
      </w:r>
      <w:r w:rsidR="00976E1E" w:rsidRPr="009F56C1">
        <w:rPr>
          <w:bCs/>
          <w:szCs w:val="28"/>
        </w:rPr>
        <w:t xml:space="preserve"> located in states that do not require SQGs to submit biennial rep</w:t>
      </w:r>
      <w:r w:rsidR="00273643">
        <w:rPr>
          <w:bCs/>
          <w:szCs w:val="28"/>
        </w:rPr>
        <w:t xml:space="preserve">orts. </w:t>
      </w:r>
      <w:r w:rsidR="003620EC" w:rsidRPr="009F56C1">
        <w:rPr>
          <w:bCs/>
          <w:szCs w:val="28"/>
        </w:rPr>
        <w:t>EPA estimate</w:t>
      </w:r>
      <w:r w:rsidR="00913962" w:rsidRPr="009F56C1">
        <w:rPr>
          <w:bCs/>
          <w:szCs w:val="28"/>
        </w:rPr>
        <w:t>d</w:t>
      </w:r>
      <w:r w:rsidR="003620EC" w:rsidRPr="009F56C1">
        <w:rPr>
          <w:bCs/>
          <w:szCs w:val="28"/>
        </w:rPr>
        <w:t xml:space="preserve"> that there are </w:t>
      </w:r>
      <w:r w:rsidR="00A47CAE" w:rsidRPr="009F56C1">
        <w:rPr>
          <w:bCs/>
          <w:szCs w:val="28"/>
        </w:rPr>
        <w:t>4,586</w:t>
      </w:r>
      <w:r w:rsidR="00657767" w:rsidRPr="009F56C1">
        <w:rPr>
          <w:bCs/>
          <w:szCs w:val="28"/>
        </w:rPr>
        <w:t xml:space="preserve"> – 5,750</w:t>
      </w:r>
      <w:r w:rsidR="00976E1E" w:rsidRPr="009F56C1">
        <w:rPr>
          <w:bCs/>
          <w:szCs w:val="28"/>
        </w:rPr>
        <w:t xml:space="preserve"> </w:t>
      </w:r>
      <w:r w:rsidR="006A115C">
        <w:rPr>
          <w:bCs/>
          <w:szCs w:val="28"/>
        </w:rPr>
        <w:t>facilities</w:t>
      </w:r>
      <w:r w:rsidR="00D229A7" w:rsidRPr="009F56C1">
        <w:rPr>
          <w:bCs/>
          <w:szCs w:val="28"/>
        </w:rPr>
        <w:t xml:space="preserve"> in </w:t>
      </w:r>
      <w:r w:rsidR="00976E1E" w:rsidRPr="009F56C1">
        <w:rPr>
          <w:bCs/>
          <w:szCs w:val="28"/>
        </w:rPr>
        <w:t xml:space="preserve">such </w:t>
      </w:r>
      <w:r w:rsidR="00273643">
        <w:rPr>
          <w:bCs/>
          <w:szCs w:val="28"/>
        </w:rPr>
        <w:t>states.</w:t>
      </w:r>
      <w:r w:rsidR="00D229A7" w:rsidRPr="009F56C1">
        <w:rPr>
          <w:bCs/>
          <w:szCs w:val="28"/>
        </w:rPr>
        <w:t xml:space="preserve"> </w:t>
      </w:r>
      <w:r w:rsidR="008B2AD2" w:rsidRPr="009F56C1">
        <w:rPr>
          <w:bCs/>
          <w:szCs w:val="28"/>
        </w:rPr>
        <w:t>EPA</w:t>
      </w:r>
      <w:r w:rsidR="00502304" w:rsidRPr="009F56C1">
        <w:rPr>
          <w:bCs/>
          <w:szCs w:val="28"/>
        </w:rPr>
        <w:t xml:space="preserve"> </w:t>
      </w:r>
      <w:r w:rsidR="00913962" w:rsidRPr="009F56C1">
        <w:rPr>
          <w:bCs/>
          <w:szCs w:val="28"/>
        </w:rPr>
        <w:t xml:space="preserve">also </w:t>
      </w:r>
      <w:r w:rsidR="00502304" w:rsidRPr="009F56C1">
        <w:rPr>
          <w:bCs/>
          <w:szCs w:val="28"/>
        </w:rPr>
        <w:t>estimate</w:t>
      </w:r>
      <w:r w:rsidR="00913962" w:rsidRPr="009F56C1">
        <w:rPr>
          <w:bCs/>
          <w:szCs w:val="28"/>
        </w:rPr>
        <w:t>d</w:t>
      </w:r>
      <w:r w:rsidR="008B2AD2" w:rsidRPr="009F56C1">
        <w:rPr>
          <w:bCs/>
          <w:szCs w:val="28"/>
        </w:rPr>
        <w:t xml:space="preserve"> </w:t>
      </w:r>
      <w:r w:rsidR="00BC2F68" w:rsidRPr="009F56C1">
        <w:rPr>
          <w:bCs/>
          <w:szCs w:val="28"/>
        </w:rPr>
        <w:t>a one-time cost</w:t>
      </w:r>
      <w:r w:rsidR="00502304" w:rsidRPr="009F56C1">
        <w:rPr>
          <w:bCs/>
          <w:szCs w:val="28"/>
        </w:rPr>
        <w:t xml:space="preserve"> </w:t>
      </w:r>
      <w:r w:rsidR="007959CD" w:rsidRPr="009F56C1">
        <w:rPr>
          <w:bCs/>
          <w:szCs w:val="28"/>
        </w:rPr>
        <w:t xml:space="preserve">of </w:t>
      </w:r>
      <w:r w:rsidR="00D229A7" w:rsidRPr="009F56C1">
        <w:rPr>
          <w:bCs/>
          <w:szCs w:val="28"/>
        </w:rPr>
        <w:t xml:space="preserve">approximately </w:t>
      </w:r>
      <w:r w:rsidR="007959CD" w:rsidRPr="009F56C1">
        <w:rPr>
          <w:bCs/>
          <w:szCs w:val="28"/>
        </w:rPr>
        <w:t>$</w:t>
      </w:r>
      <w:r w:rsidR="00A47CAE" w:rsidRPr="009F56C1">
        <w:rPr>
          <w:bCs/>
          <w:szCs w:val="28"/>
        </w:rPr>
        <w:t xml:space="preserve">64.42 </w:t>
      </w:r>
      <w:r w:rsidR="00D229A7" w:rsidRPr="009F56C1">
        <w:rPr>
          <w:bCs/>
          <w:szCs w:val="28"/>
        </w:rPr>
        <w:t xml:space="preserve">for </w:t>
      </w:r>
      <w:r w:rsidR="00E430BD" w:rsidRPr="009F56C1">
        <w:rPr>
          <w:bCs/>
          <w:szCs w:val="28"/>
        </w:rPr>
        <w:t>initial notification</w:t>
      </w:r>
      <w:r w:rsidR="00273643">
        <w:rPr>
          <w:bCs/>
          <w:szCs w:val="28"/>
        </w:rPr>
        <w:t xml:space="preserve">. </w:t>
      </w:r>
      <w:r w:rsidR="00913962" w:rsidRPr="009F56C1">
        <w:rPr>
          <w:bCs/>
          <w:szCs w:val="28"/>
        </w:rPr>
        <w:t xml:space="preserve">Based on </w:t>
      </w:r>
      <w:r w:rsidR="00FC079F">
        <w:rPr>
          <w:bCs/>
          <w:szCs w:val="28"/>
        </w:rPr>
        <w:t>this information</w:t>
      </w:r>
      <w:r w:rsidR="00913962" w:rsidRPr="009F56C1">
        <w:rPr>
          <w:bCs/>
          <w:szCs w:val="28"/>
        </w:rPr>
        <w:t xml:space="preserve">, </w:t>
      </w:r>
      <w:r w:rsidR="007959CD" w:rsidRPr="009F56C1">
        <w:rPr>
          <w:bCs/>
          <w:szCs w:val="28"/>
        </w:rPr>
        <w:t xml:space="preserve">the total respondent burden </w:t>
      </w:r>
      <w:r w:rsidR="00BC6DD6" w:rsidRPr="009F56C1">
        <w:rPr>
          <w:bCs/>
          <w:szCs w:val="28"/>
        </w:rPr>
        <w:t xml:space="preserve">for notifications </w:t>
      </w:r>
      <w:r w:rsidR="007959CD" w:rsidRPr="009F56C1">
        <w:rPr>
          <w:bCs/>
          <w:szCs w:val="28"/>
        </w:rPr>
        <w:t>is estimated to be</w:t>
      </w:r>
      <w:r w:rsidR="003A6641" w:rsidRPr="009F56C1">
        <w:rPr>
          <w:bCs/>
          <w:szCs w:val="28"/>
        </w:rPr>
        <w:t xml:space="preserve"> </w:t>
      </w:r>
      <w:r w:rsidR="00FC079F">
        <w:rPr>
          <w:bCs/>
          <w:szCs w:val="28"/>
        </w:rPr>
        <w:t>4,999</w:t>
      </w:r>
      <w:r w:rsidR="00A47CAE" w:rsidRPr="009F56C1">
        <w:rPr>
          <w:bCs/>
          <w:szCs w:val="28"/>
        </w:rPr>
        <w:t xml:space="preserve"> – </w:t>
      </w:r>
      <w:r w:rsidR="00FC079F">
        <w:rPr>
          <w:bCs/>
          <w:szCs w:val="28"/>
        </w:rPr>
        <w:t>6,268</w:t>
      </w:r>
      <w:r w:rsidR="003A6641" w:rsidRPr="009F56C1">
        <w:rPr>
          <w:bCs/>
          <w:szCs w:val="28"/>
        </w:rPr>
        <w:t xml:space="preserve"> </w:t>
      </w:r>
      <w:r w:rsidR="007959CD" w:rsidRPr="009F56C1">
        <w:rPr>
          <w:bCs/>
          <w:szCs w:val="28"/>
        </w:rPr>
        <w:t xml:space="preserve">hours, at </w:t>
      </w:r>
      <w:r w:rsidR="00B038B7">
        <w:rPr>
          <w:bCs/>
          <w:szCs w:val="28"/>
        </w:rPr>
        <w:t xml:space="preserve">a </w:t>
      </w:r>
      <w:r w:rsidR="007959CD" w:rsidRPr="009F56C1">
        <w:rPr>
          <w:bCs/>
          <w:szCs w:val="28"/>
        </w:rPr>
        <w:t>cost of $</w:t>
      </w:r>
      <w:r w:rsidR="00FC079F">
        <w:rPr>
          <w:bCs/>
          <w:szCs w:val="28"/>
        </w:rPr>
        <w:t>295</w:t>
      </w:r>
      <w:r w:rsidR="00B038B7">
        <w:rPr>
          <w:bCs/>
          <w:szCs w:val="28"/>
        </w:rPr>
        <w:t>,</w:t>
      </w:r>
      <w:r w:rsidR="00FC079F">
        <w:rPr>
          <w:bCs/>
          <w:szCs w:val="28"/>
        </w:rPr>
        <w:t>410</w:t>
      </w:r>
      <w:r w:rsidR="00A47CAE" w:rsidRPr="009F56C1">
        <w:rPr>
          <w:bCs/>
          <w:szCs w:val="28"/>
        </w:rPr>
        <w:t xml:space="preserve"> – </w:t>
      </w:r>
      <w:r w:rsidR="00B038B7">
        <w:rPr>
          <w:bCs/>
          <w:szCs w:val="28"/>
        </w:rPr>
        <w:t>$</w:t>
      </w:r>
      <w:r w:rsidR="00FC079F">
        <w:rPr>
          <w:bCs/>
          <w:szCs w:val="28"/>
        </w:rPr>
        <w:t>370</w:t>
      </w:r>
      <w:r w:rsidR="00B038B7">
        <w:rPr>
          <w:bCs/>
          <w:szCs w:val="28"/>
        </w:rPr>
        <w:t>,</w:t>
      </w:r>
      <w:r w:rsidR="00FC079F">
        <w:rPr>
          <w:bCs/>
          <w:szCs w:val="28"/>
        </w:rPr>
        <w:t>389</w:t>
      </w:r>
      <w:r w:rsidR="00090EA2" w:rsidRPr="009F56C1">
        <w:rPr>
          <w:bCs/>
          <w:szCs w:val="28"/>
        </w:rPr>
        <w:t xml:space="preserve"> (see Exhibit</w:t>
      </w:r>
      <w:r w:rsidR="00090EA2">
        <w:rPr>
          <w:bCs/>
          <w:szCs w:val="28"/>
        </w:rPr>
        <w:t xml:space="preserve"> 1)</w:t>
      </w:r>
      <w:r w:rsidR="007959CD">
        <w:rPr>
          <w:bCs/>
          <w:szCs w:val="28"/>
        </w:rPr>
        <w:t>.</w:t>
      </w:r>
    </w:p>
    <w:p w14:paraId="05EC6B06" w14:textId="77777777" w:rsidR="00A57233" w:rsidRDefault="00A57233" w:rsidP="001F0E45">
      <w:pPr>
        <w:ind w:firstLine="720"/>
        <w:rPr>
          <w:b/>
          <w:bCs/>
          <w:szCs w:val="28"/>
        </w:rPr>
      </w:pPr>
    </w:p>
    <w:p w14:paraId="59D28877" w14:textId="77777777" w:rsidR="00273D08" w:rsidRDefault="00273D08" w:rsidP="001F0E45">
      <w:pPr>
        <w:ind w:firstLine="720"/>
        <w:rPr>
          <w:b/>
          <w:bCs/>
          <w:szCs w:val="28"/>
        </w:rPr>
      </w:pPr>
      <w:r>
        <w:rPr>
          <w:b/>
          <w:bCs/>
          <w:szCs w:val="28"/>
        </w:rPr>
        <w:t>Labeling</w:t>
      </w:r>
    </w:p>
    <w:p w14:paraId="7CCA1B69" w14:textId="77777777" w:rsidR="00A57233" w:rsidRDefault="00A57233" w:rsidP="001F0E45">
      <w:pPr>
        <w:ind w:firstLine="720"/>
        <w:rPr>
          <w:b/>
          <w:bCs/>
          <w:szCs w:val="28"/>
        </w:rPr>
      </w:pPr>
    </w:p>
    <w:p w14:paraId="708A97B5" w14:textId="4941C84F" w:rsidR="00273D08" w:rsidRDefault="00F5290B" w:rsidP="0015623F">
      <w:pPr>
        <w:ind w:firstLine="720"/>
        <w:rPr>
          <w:bCs/>
          <w:szCs w:val="28"/>
        </w:rPr>
      </w:pPr>
      <w:r>
        <w:rPr>
          <w:bCs/>
          <w:szCs w:val="28"/>
        </w:rPr>
        <w:t>Under the final rule,</w:t>
      </w:r>
      <w:r w:rsidRPr="003636C7">
        <w:rPr>
          <w:bCs/>
          <w:szCs w:val="28"/>
        </w:rPr>
        <w:t xml:space="preserve"> healthcare facilities </w:t>
      </w:r>
      <w:r>
        <w:rPr>
          <w:bCs/>
          <w:szCs w:val="28"/>
        </w:rPr>
        <w:t xml:space="preserve">and reverse distributors </w:t>
      </w:r>
      <w:r w:rsidRPr="003636C7">
        <w:rPr>
          <w:bCs/>
          <w:szCs w:val="28"/>
        </w:rPr>
        <w:t>are required to label containers holding non-creditable hazardous waste pharmaceuticals</w:t>
      </w:r>
      <w:r>
        <w:rPr>
          <w:bCs/>
          <w:szCs w:val="28"/>
        </w:rPr>
        <w:t xml:space="preserve"> and evaluated hazardous waste pharmaceuticals</w:t>
      </w:r>
      <w:r w:rsidRPr="003636C7">
        <w:rPr>
          <w:bCs/>
          <w:szCs w:val="28"/>
        </w:rPr>
        <w:t xml:space="preserve"> with the words “Hazardous Waste Pharmaceuticals,” but are not required to mark an indication of the hazards of the contents of the container or the accumulation start date on the container</w:t>
      </w:r>
      <w:r>
        <w:rPr>
          <w:bCs/>
          <w:szCs w:val="28"/>
        </w:rPr>
        <w:t xml:space="preserve"> (which is required under RCRA Subtitle C regulations for LQGs and SQGs)</w:t>
      </w:r>
      <w:r w:rsidR="00AA3DE0">
        <w:rPr>
          <w:bCs/>
          <w:szCs w:val="28"/>
        </w:rPr>
        <w:t>.</w:t>
      </w:r>
      <w:r w:rsidR="00F8698C">
        <w:rPr>
          <w:bCs/>
          <w:szCs w:val="28"/>
        </w:rPr>
        <w:t xml:space="preserve"> </w:t>
      </w:r>
      <w:r w:rsidR="00F8698C" w:rsidRPr="00D92625">
        <w:t xml:space="preserve">To ensure compliance with accumulation time limits, however, it is likely </w:t>
      </w:r>
      <w:r w:rsidR="00F8698C">
        <w:t>most facilities will label the accumulation start date on the container.</w:t>
      </w:r>
      <w:r w:rsidR="00AA3DE0">
        <w:rPr>
          <w:bCs/>
          <w:szCs w:val="28"/>
        </w:rPr>
        <w:t xml:space="preserve"> </w:t>
      </w:r>
      <w:r w:rsidR="00AA3DE0" w:rsidRPr="00AA3DE0">
        <w:rPr>
          <w:bCs/>
          <w:szCs w:val="28"/>
        </w:rPr>
        <w:t>EPA estimates that of these healthcare facilities, 6,337 were operating as LQGs prior to subpart P and will either drop down a generator category or will continue operating as LQGs in addition to operating as healthcare facilities under subpart P. EPA estimates that 5,552-7,009 were operating as SQGs and will either drop down a generator category or will continue operating as SQGs in addition to operating as healthcare facilities under subpart P.</w:t>
      </w:r>
      <w:r w:rsidR="003461F7">
        <w:rPr>
          <w:bCs/>
          <w:szCs w:val="28"/>
        </w:rPr>
        <w:t xml:space="preserve"> EPA estimates that reverse distributors and healthcare facilities that were operating as LQGs </w:t>
      </w:r>
      <w:r w:rsidR="003461F7" w:rsidRPr="00AA3DE0">
        <w:rPr>
          <w:bCs/>
          <w:szCs w:val="28"/>
        </w:rPr>
        <w:t>prior to subpart P and will either drop down a generator category or will continue operating as LQGs in addition to operating as healthcare facilities under subpart</w:t>
      </w:r>
      <w:r w:rsidR="003461F7">
        <w:rPr>
          <w:bCs/>
          <w:szCs w:val="28"/>
        </w:rPr>
        <w:t xml:space="preserve"> will spend 1 hour labeling containers in their primary storage area and .5 hours labeling containers in satellite storage areas.</w:t>
      </w:r>
      <w:r w:rsidR="00F8698C" w:rsidRPr="00C011CA">
        <w:rPr>
          <w:rStyle w:val="FootnoteReference"/>
          <w:bCs/>
          <w:szCs w:val="28"/>
          <w:vertAlign w:val="superscript"/>
        </w:rPr>
        <w:footnoteReference w:id="5"/>
      </w:r>
      <w:r w:rsidR="003461F7">
        <w:rPr>
          <w:bCs/>
          <w:szCs w:val="28"/>
        </w:rPr>
        <w:t xml:space="preserve"> EPA estimate that healthcare facilities that </w:t>
      </w:r>
      <w:r w:rsidR="003461F7" w:rsidRPr="00AA3DE0">
        <w:rPr>
          <w:bCs/>
          <w:szCs w:val="28"/>
        </w:rPr>
        <w:t>were operating as SQGs and will either drop down a generator category or will continue operating as SQGs in addition to operating as healthcare facilities under subpart P</w:t>
      </w:r>
      <w:r w:rsidR="003461F7">
        <w:rPr>
          <w:bCs/>
          <w:szCs w:val="28"/>
        </w:rPr>
        <w:t xml:space="preserve"> will spend .25 hours labeling containers in their primary storage area and .25 hours labeling containers in their satellite storage area.</w:t>
      </w:r>
      <w:r w:rsidR="0015623F">
        <w:rPr>
          <w:bCs/>
          <w:szCs w:val="28"/>
        </w:rPr>
        <w:t xml:space="preserve"> Based on this information, the total respondent burden </w:t>
      </w:r>
      <w:r w:rsidR="00B14764">
        <w:rPr>
          <w:bCs/>
          <w:szCs w:val="28"/>
        </w:rPr>
        <w:t xml:space="preserve">is estimated to be </w:t>
      </w:r>
      <w:r w:rsidR="0015623F">
        <w:rPr>
          <w:bCs/>
          <w:szCs w:val="28"/>
        </w:rPr>
        <w:t xml:space="preserve">12,282-13,010 hours at a cost of </w:t>
      </w:r>
      <w:r w:rsidR="008357AF">
        <w:rPr>
          <w:bCs/>
          <w:szCs w:val="28"/>
        </w:rPr>
        <w:t>$</w:t>
      </w:r>
      <w:r w:rsidR="0015623F">
        <w:rPr>
          <w:bCs/>
          <w:szCs w:val="28"/>
        </w:rPr>
        <w:t>653,990 - $692,783</w:t>
      </w:r>
      <w:r w:rsidR="00090EA2">
        <w:rPr>
          <w:bCs/>
          <w:szCs w:val="28"/>
        </w:rPr>
        <w:t xml:space="preserve"> (see Exhibit </w:t>
      </w:r>
      <w:r w:rsidR="0015623F">
        <w:rPr>
          <w:bCs/>
          <w:szCs w:val="28"/>
        </w:rPr>
        <w:t>1</w:t>
      </w:r>
      <w:r w:rsidR="00090EA2">
        <w:rPr>
          <w:bCs/>
          <w:szCs w:val="28"/>
        </w:rPr>
        <w:t>)</w:t>
      </w:r>
      <w:r w:rsidR="00B14764">
        <w:rPr>
          <w:bCs/>
          <w:szCs w:val="28"/>
        </w:rPr>
        <w:t>.</w:t>
      </w:r>
    </w:p>
    <w:p w14:paraId="0FEAF1AB" w14:textId="197A1AEE" w:rsidR="00B14764" w:rsidRDefault="00B14764" w:rsidP="00F8698C">
      <w:pPr>
        <w:rPr>
          <w:b/>
          <w:bCs/>
          <w:szCs w:val="28"/>
        </w:rPr>
      </w:pPr>
    </w:p>
    <w:p w14:paraId="549174D5" w14:textId="3DC7A457" w:rsidR="00F8698C" w:rsidRPr="0076607B" w:rsidRDefault="000A3E6C" w:rsidP="00F8698C">
      <w:pPr>
        <w:ind w:firstLine="720"/>
        <w:rPr>
          <w:b/>
          <w:bCs/>
          <w:szCs w:val="28"/>
        </w:rPr>
      </w:pPr>
      <w:r>
        <w:rPr>
          <w:b/>
          <w:bCs/>
          <w:szCs w:val="28"/>
        </w:rPr>
        <w:t>Rejected</w:t>
      </w:r>
      <w:r w:rsidR="0076607B">
        <w:rPr>
          <w:b/>
          <w:bCs/>
          <w:szCs w:val="28"/>
        </w:rPr>
        <w:t xml:space="preserve"> Shipment</w:t>
      </w:r>
      <w:r w:rsidR="00662725">
        <w:rPr>
          <w:b/>
          <w:bCs/>
          <w:szCs w:val="28"/>
        </w:rPr>
        <w:t>s</w:t>
      </w:r>
      <w:r w:rsidR="00C011CA" w:rsidRPr="00C011CA">
        <w:rPr>
          <w:b/>
          <w:bCs/>
          <w:szCs w:val="28"/>
        </w:rPr>
        <w:t xml:space="preserve"> </w:t>
      </w:r>
      <w:r w:rsidR="00C011CA">
        <w:rPr>
          <w:b/>
          <w:bCs/>
          <w:szCs w:val="28"/>
        </w:rPr>
        <w:t>and Exception Reporting</w:t>
      </w:r>
    </w:p>
    <w:p w14:paraId="6B3BF92D" w14:textId="77777777" w:rsidR="00F8698C" w:rsidRPr="0076607B" w:rsidRDefault="00F8698C" w:rsidP="00F8698C">
      <w:pPr>
        <w:ind w:firstLine="720"/>
        <w:rPr>
          <w:b/>
          <w:bCs/>
          <w:szCs w:val="28"/>
        </w:rPr>
      </w:pPr>
    </w:p>
    <w:p w14:paraId="6B9630F3" w14:textId="4D4010B3" w:rsidR="00C011CA" w:rsidRDefault="00F8698C" w:rsidP="00867113">
      <w:pPr>
        <w:ind w:firstLine="720"/>
        <w:rPr>
          <w:bCs/>
          <w:szCs w:val="28"/>
        </w:rPr>
      </w:pPr>
      <w:r w:rsidRPr="0076607B">
        <w:rPr>
          <w:bCs/>
          <w:szCs w:val="28"/>
        </w:rPr>
        <w:t>Under the final rule,</w:t>
      </w:r>
      <w:r w:rsidR="00662725">
        <w:rPr>
          <w:bCs/>
          <w:szCs w:val="28"/>
        </w:rPr>
        <w:t xml:space="preserve"> healthcare facilities and reverse distributors must t</w:t>
      </w:r>
      <w:r w:rsidR="000A3E6C">
        <w:rPr>
          <w:bCs/>
          <w:szCs w:val="28"/>
        </w:rPr>
        <w:t>rack or manage rejected</w:t>
      </w:r>
      <w:r w:rsidR="00662725">
        <w:rPr>
          <w:bCs/>
          <w:szCs w:val="28"/>
        </w:rPr>
        <w:t xml:space="preserve"> shipments by signing an item on the manifest, providing the transporter with a copy of the manifest, and send</w:t>
      </w:r>
      <w:r w:rsidR="00604702">
        <w:rPr>
          <w:bCs/>
          <w:szCs w:val="28"/>
        </w:rPr>
        <w:t>ing</w:t>
      </w:r>
      <w:r w:rsidR="00662725">
        <w:rPr>
          <w:bCs/>
          <w:szCs w:val="28"/>
        </w:rPr>
        <w:t xml:space="preserve"> a copy of the manifest to the </w:t>
      </w:r>
      <w:r w:rsidR="00166580">
        <w:rPr>
          <w:bCs/>
          <w:szCs w:val="28"/>
        </w:rPr>
        <w:t xml:space="preserve">designated facility that </w:t>
      </w:r>
      <w:r w:rsidR="00604702">
        <w:rPr>
          <w:bCs/>
          <w:szCs w:val="28"/>
        </w:rPr>
        <w:t>returned or rejected the shipment.</w:t>
      </w:r>
      <w:r w:rsidR="00014242">
        <w:rPr>
          <w:bCs/>
          <w:szCs w:val="28"/>
        </w:rPr>
        <w:t xml:space="preserve"> </w:t>
      </w:r>
      <w:r w:rsidR="00604702">
        <w:rPr>
          <w:bCs/>
          <w:szCs w:val="28"/>
        </w:rPr>
        <w:t xml:space="preserve">Additionally, healthcare facilities and reverse distributors must </w:t>
      </w:r>
      <w:r w:rsidR="00C011CA">
        <w:rPr>
          <w:bCs/>
          <w:szCs w:val="28"/>
        </w:rPr>
        <w:t>submit exception reports for a missing copy of a manifest. EPA assessment of the impacts for exception reporting is similar to the hours used in EPA’s assessment of the im</w:t>
      </w:r>
      <w:r w:rsidR="00FD4887">
        <w:rPr>
          <w:bCs/>
          <w:szCs w:val="28"/>
        </w:rPr>
        <w:t>pacts associated with the Requirements for Generators, Transporters, and Waste Management Facilities under the RCRA Hazardous Waste Manifest System – Final Fee Rule.</w:t>
      </w:r>
      <w:r w:rsidR="00FD4887" w:rsidRPr="00FD4887">
        <w:rPr>
          <w:rStyle w:val="FootnoteReference"/>
          <w:bCs/>
          <w:szCs w:val="28"/>
          <w:vertAlign w:val="superscript"/>
        </w:rPr>
        <w:footnoteReference w:id="6"/>
      </w:r>
      <w:r w:rsidR="00C011CA">
        <w:rPr>
          <w:bCs/>
          <w:szCs w:val="28"/>
        </w:rPr>
        <w:t xml:space="preserve"> EPA estimates it will take a healthcare facility and reverse distributor 1.10 hours to prepare and submit an exception report and 0.1 hours to keep a copy of the exception report. EPA assumes it will take a similar amount of time for a healthcare facility or reverse distributor to t</w:t>
      </w:r>
      <w:r w:rsidR="000A3E6C">
        <w:rPr>
          <w:bCs/>
          <w:szCs w:val="28"/>
        </w:rPr>
        <w:t>rack or manage rejected</w:t>
      </w:r>
      <w:r w:rsidR="00C011CA">
        <w:rPr>
          <w:bCs/>
          <w:szCs w:val="28"/>
        </w:rPr>
        <w:t xml:space="preserve"> shipments by signing an item on the manifest, providing the transporter with a copy of the manifest, and sending a copy of the manifest to the designated facility that returned or rejected the shipment.</w:t>
      </w:r>
      <w:r w:rsidR="00FD4887">
        <w:rPr>
          <w:bCs/>
          <w:szCs w:val="28"/>
        </w:rPr>
        <w:t xml:space="preserve"> In line with the Final Fee Rule ICR, </w:t>
      </w:r>
      <w:r w:rsidR="00C011CA">
        <w:rPr>
          <w:bCs/>
          <w:szCs w:val="28"/>
        </w:rPr>
        <w:t xml:space="preserve">EPA </w:t>
      </w:r>
      <w:r w:rsidR="0013712A">
        <w:rPr>
          <w:bCs/>
          <w:szCs w:val="28"/>
        </w:rPr>
        <w:t>estimates that 1% of the manifests sent offsite will require an exception report. EPA assumes a simi</w:t>
      </w:r>
      <w:r w:rsidR="000A3E6C">
        <w:rPr>
          <w:bCs/>
          <w:szCs w:val="28"/>
        </w:rPr>
        <w:t xml:space="preserve">lar number of rejected </w:t>
      </w:r>
      <w:r w:rsidR="0013712A">
        <w:rPr>
          <w:bCs/>
          <w:szCs w:val="28"/>
        </w:rPr>
        <w:t xml:space="preserve">shipments will need to be tracked or managed by healthcare facilities and reverse distributors. </w:t>
      </w:r>
      <w:r w:rsidR="00ED1B0E">
        <w:rPr>
          <w:bCs/>
          <w:szCs w:val="28"/>
        </w:rPr>
        <w:t>EPA as</w:t>
      </w:r>
      <w:r w:rsidR="00867113">
        <w:rPr>
          <w:bCs/>
          <w:szCs w:val="28"/>
        </w:rPr>
        <w:t>sumes that healthcare facilities will sen</w:t>
      </w:r>
      <w:r w:rsidR="0042666A">
        <w:rPr>
          <w:bCs/>
          <w:szCs w:val="28"/>
        </w:rPr>
        <w:t>d</w:t>
      </w:r>
      <w:r w:rsidR="00867113">
        <w:rPr>
          <w:bCs/>
          <w:szCs w:val="28"/>
        </w:rPr>
        <w:t xml:space="preserve"> one shipment of non-creditable hazardous waste pharmaceuticals to a designated facility annually that requires a manifest and a revere distributor will send 4 shipments of evaluated hazardous waste pharmaceuticals to a designated facility annually that require a manifest (assuming that facilities will accumulate hazardous waste pharmaceuticals on site for the maximum allowed time under subpart P). Thus, EPA estimates that there are 11,997 to 13,454 shipments annually that will require a manifest. EPA estimates that 120 to 135 shipments annually will require an exception report, and that 120 to 135 shipments an</w:t>
      </w:r>
      <w:r w:rsidR="000A3E6C">
        <w:rPr>
          <w:bCs/>
          <w:szCs w:val="28"/>
        </w:rPr>
        <w:t>nually will be rejected</w:t>
      </w:r>
      <w:r w:rsidR="00867113">
        <w:rPr>
          <w:bCs/>
          <w:szCs w:val="28"/>
        </w:rPr>
        <w:t xml:space="preserve"> and requiring managing or tracking. Based on this information, the total respondent burden is estimated to be 276-311 hours at a cost of $20,490 to $23,051 (see Exhibit 1).</w:t>
      </w:r>
    </w:p>
    <w:p w14:paraId="6E709861" w14:textId="77777777" w:rsidR="00F8698C" w:rsidRDefault="00F8698C" w:rsidP="00F8698C">
      <w:pPr>
        <w:rPr>
          <w:b/>
          <w:bCs/>
          <w:szCs w:val="28"/>
        </w:rPr>
      </w:pPr>
    </w:p>
    <w:p w14:paraId="4345EACA" w14:textId="77777777" w:rsidR="00273D08" w:rsidRDefault="00273D08" w:rsidP="001F0E45">
      <w:pPr>
        <w:ind w:firstLine="720"/>
        <w:rPr>
          <w:b/>
          <w:bCs/>
          <w:szCs w:val="28"/>
        </w:rPr>
      </w:pPr>
      <w:r>
        <w:rPr>
          <w:b/>
          <w:bCs/>
          <w:szCs w:val="28"/>
        </w:rPr>
        <w:t>Recordkeeping</w:t>
      </w:r>
    </w:p>
    <w:p w14:paraId="6C4D0DAA" w14:textId="77777777" w:rsidR="00B14764" w:rsidRDefault="00B14764" w:rsidP="001F0E45">
      <w:pPr>
        <w:ind w:firstLine="720"/>
        <w:rPr>
          <w:b/>
          <w:bCs/>
          <w:szCs w:val="28"/>
        </w:rPr>
      </w:pPr>
    </w:p>
    <w:p w14:paraId="48A7C23D" w14:textId="2E3902A6" w:rsidR="009A120C" w:rsidRDefault="00A369C0" w:rsidP="00C7091C">
      <w:pPr>
        <w:ind w:firstLine="720"/>
        <w:rPr>
          <w:bCs/>
          <w:szCs w:val="28"/>
        </w:rPr>
      </w:pPr>
      <w:r>
        <w:rPr>
          <w:bCs/>
          <w:szCs w:val="28"/>
        </w:rPr>
        <w:t>Under the final rule, reverse distributors and healthcare facilities must keep a signed copy of each manifest for t</w:t>
      </w:r>
      <w:r w:rsidR="001008C4">
        <w:rPr>
          <w:bCs/>
          <w:szCs w:val="28"/>
        </w:rPr>
        <w:t>hree years and a copy of their notification on file as long as they are subject to this subpart.</w:t>
      </w:r>
      <w:r>
        <w:rPr>
          <w:bCs/>
          <w:szCs w:val="28"/>
        </w:rPr>
        <w:t xml:space="preserve"> </w:t>
      </w:r>
      <w:r w:rsidR="001008C4">
        <w:rPr>
          <w:bCs/>
          <w:szCs w:val="28"/>
        </w:rPr>
        <w:t>Healthcare facilities</w:t>
      </w:r>
      <w:r>
        <w:rPr>
          <w:bCs/>
          <w:szCs w:val="28"/>
        </w:rPr>
        <w:t xml:space="preserve"> must keep records of any test results, waste analyses, or other determinations in support of hazardous waste determinations. </w:t>
      </w:r>
      <w:r w:rsidR="001008C4">
        <w:rPr>
          <w:bCs/>
          <w:szCs w:val="28"/>
        </w:rPr>
        <w:t xml:space="preserve">Reverse distributors must keep records of inspections of on-site accumulation areas for three years, a copy of each biennial report for three years from the submission of the report, and records documenting personnel training. </w:t>
      </w:r>
      <w:r w:rsidR="007D4855">
        <w:t>A healthcare facility that accepts hazardous waste pharmaceuticals from off site VSQG healthcare facilities must keep records of the shipments it receives from off site.</w:t>
      </w:r>
      <w:r w:rsidR="004F20EA">
        <w:t xml:space="preserve"> </w:t>
      </w:r>
      <w:r w:rsidR="007D60E7">
        <w:t>EPA relies on the Final Hazardous Waste Generator Improvements Rule ICR</w:t>
      </w:r>
      <w:r w:rsidR="004F20EA">
        <w:t xml:space="preserve"> to estimate the percentage of healthcare facilities that accept hazardous waste from off site and assumes it is the same as the percentage of LQGs receiving intra-organization transfers (17 percent).</w:t>
      </w:r>
      <w:r w:rsidR="008477F6" w:rsidRPr="008477F6">
        <w:rPr>
          <w:rStyle w:val="FootnoteReference"/>
          <w:vertAlign w:val="superscript"/>
        </w:rPr>
        <w:footnoteReference w:id="7"/>
      </w:r>
      <w:r w:rsidR="007D4855">
        <w:t xml:space="preserve"> </w:t>
      </w:r>
      <w:r w:rsidR="00090EA2">
        <w:rPr>
          <w:bCs/>
          <w:szCs w:val="28"/>
        </w:rPr>
        <w:t>EPA estimate</w:t>
      </w:r>
      <w:r w:rsidR="00C7091C">
        <w:rPr>
          <w:bCs/>
          <w:szCs w:val="28"/>
        </w:rPr>
        <w:t>s</w:t>
      </w:r>
      <w:r w:rsidR="00090EA2">
        <w:rPr>
          <w:bCs/>
          <w:szCs w:val="28"/>
        </w:rPr>
        <w:t xml:space="preserve"> the time </w:t>
      </w:r>
      <w:r w:rsidR="00090EA2" w:rsidRPr="00290BA3">
        <w:rPr>
          <w:bCs/>
          <w:szCs w:val="28"/>
        </w:rPr>
        <w:t>required for</w:t>
      </w:r>
      <w:r w:rsidR="001008C4" w:rsidRPr="00290BA3">
        <w:rPr>
          <w:bCs/>
          <w:szCs w:val="28"/>
        </w:rPr>
        <w:t xml:space="preserve"> each</w:t>
      </w:r>
      <w:r w:rsidR="00090EA2" w:rsidRPr="00290BA3">
        <w:rPr>
          <w:bCs/>
          <w:szCs w:val="28"/>
        </w:rPr>
        <w:t xml:space="preserve"> </w:t>
      </w:r>
      <w:r w:rsidR="00C05D4F" w:rsidRPr="00290BA3">
        <w:rPr>
          <w:bCs/>
          <w:szCs w:val="28"/>
        </w:rPr>
        <w:t>recordkeeping</w:t>
      </w:r>
      <w:r w:rsidR="00090EA2" w:rsidRPr="00290BA3">
        <w:rPr>
          <w:bCs/>
          <w:szCs w:val="28"/>
        </w:rPr>
        <w:t xml:space="preserve"> to be </w:t>
      </w:r>
      <w:r w:rsidR="00C05D4F" w:rsidRPr="00290BA3">
        <w:rPr>
          <w:bCs/>
          <w:szCs w:val="28"/>
        </w:rPr>
        <w:t>0.</w:t>
      </w:r>
      <w:r w:rsidR="00090EA2" w:rsidRPr="00290BA3">
        <w:rPr>
          <w:bCs/>
          <w:szCs w:val="28"/>
        </w:rPr>
        <w:t>1 hour</w:t>
      </w:r>
      <w:r w:rsidR="00126EE2" w:rsidRPr="00290BA3">
        <w:rPr>
          <w:bCs/>
          <w:szCs w:val="28"/>
        </w:rPr>
        <w:t>s</w:t>
      </w:r>
      <w:r w:rsidR="00090EA2" w:rsidRPr="00290BA3">
        <w:rPr>
          <w:bCs/>
          <w:szCs w:val="28"/>
        </w:rPr>
        <w:t xml:space="preserve"> </w:t>
      </w:r>
      <w:r w:rsidR="00C05D4F" w:rsidRPr="00290BA3">
        <w:rPr>
          <w:bCs/>
          <w:szCs w:val="28"/>
        </w:rPr>
        <w:t xml:space="preserve">annually </w:t>
      </w:r>
      <w:r w:rsidR="00090EA2" w:rsidRPr="00290BA3">
        <w:rPr>
          <w:bCs/>
          <w:szCs w:val="28"/>
        </w:rPr>
        <w:t>per respondent</w:t>
      </w:r>
      <w:r w:rsidRPr="00290BA3">
        <w:rPr>
          <w:bCs/>
          <w:szCs w:val="28"/>
        </w:rPr>
        <w:t xml:space="preserve"> per record</w:t>
      </w:r>
      <w:r w:rsidR="00090EA2" w:rsidRPr="00290BA3">
        <w:rPr>
          <w:bCs/>
          <w:szCs w:val="28"/>
        </w:rPr>
        <w:t>, at cost of $</w:t>
      </w:r>
      <w:r w:rsidR="00126EE2" w:rsidRPr="00290BA3">
        <w:rPr>
          <w:bCs/>
          <w:szCs w:val="28"/>
        </w:rPr>
        <w:t>5.32</w:t>
      </w:r>
      <w:r w:rsidR="00C05D4F" w:rsidRPr="00290BA3">
        <w:rPr>
          <w:bCs/>
          <w:szCs w:val="28"/>
        </w:rPr>
        <w:t>.</w:t>
      </w:r>
      <w:r w:rsidR="00C50DFA" w:rsidRPr="00290BA3">
        <w:rPr>
          <w:bCs/>
          <w:szCs w:val="28"/>
        </w:rPr>
        <w:t xml:space="preserve"> </w:t>
      </w:r>
      <w:r w:rsidR="007E6AF5" w:rsidRPr="00290BA3">
        <w:rPr>
          <w:bCs/>
          <w:szCs w:val="28"/>
        </w:rPr>
        <w:t>T</w:t>
      </w:r>
      <w:r w:rsidR="001008C4" w:rsidRPr="00290BA3">
        <w:rPr>
          <w:bCs/>
          <w:szCs w:val="28"/>
        </w:rPr>
        <w:t>he total</w:t>
      </w:r>
      <w:r w:rsidR="00531969" w:rsidRPr="00290BA3">
        <w:rPr>
          <w:bCs/>
          <w:szCs w:val="28"/>
        </w:rPr>
        <w:t xml:space="preserve"> </w:t>
      </w:r>
      <w:r w:rsidR="00090EA2" w:rsidRPr="00290BA3">
        <w:rPr>
          <w:bCs/>
          <w:szCs w:val="28"/>
        </w:rPr>
        <w:t xml:space="preserve">annual respondent burden for </w:t>
      </w:r>
      <w:r w:rsidR="0054009A" w:rsidRPr="00290BA3">
        <w:rPr>
          <w:bCs/>
          <w:szCs w:val="28"/>
        </w:rPr>
        <w:t>recordkeeping</w:t>
      </w:r>
      <w:r w:rsidR="00090EA2" w:rsidRPr="00290BA3">
        <w:rPr>
          <w:bCs/>
          <w:szCs w:val="28"/>
        </w:rPr>
        <w:t xml:space="preserve"> is estimated to </w:t>
      </w:r>
      <w:r w:rsidR="001008C4" w:rsidRPr="00290BA3">
        <w:rPr>
          <w:bCs/>
          <w:szCs w:val="28"/>
        </w:rPr>
        <w:t>be</w:t>
      </w:r>
      <w:r w:rsidR="00290BA3" w:rsidRPr="00290BA3">
        <w:rPr>
          <w:bCs/>
          <w:szCs w:val="28"/>
        </w:rPr>
        <w:t xml:space="preserve"> 3,782</w:t>
      </w:r>
      <w:r w:rsidR="001008C4" w:rsidRPr="00290BA3">
        <w:rPr>
          <w:bCs/>
          <w:szCs w:val="28"/>
        </w:rPr>
        <w:t>-</w:t>
      </w:r>
      <w:r w:rsidR="00290BA3" w:rsidRPr="00290BA3">
        <w:rPr>
          <w:bCs/>
          <w:szCs w:val="28"/>
        </w:rPr>
        <w:t>4,244</w:t>
      </w:r>
      <w:r w:rsidR="001008C4" w:rsidRPr="00290BA3">
        <w:rPr>
          <w:bCs/>
          <w:szCs w:val="28"/>
        </w:rPr>
        <w:t xml:space="preserve"> hours</w:t>
      </w:r>
      <w:r w:rsidR="00090EA2" w:rsidRPr="00290BA3">
        <w:rPr>
          <w:bCs/>
          <w:szCs w:val="28"/>
        </w:rPr>
        <w:t xml:space="preserve"> </w:t>
      </w:r>
      <w:r w:rsidR="001008C4" w:rsidRPr="00290BA3">
        <w:rPr>
          <w:bCs/>
          <w:szCs w:val="28"/>
        </w:rPr>
        <w:t>at a cost of $</w:t>
      </w:r>
      <w:r w:rsidR="00290BA3" w:rsidRPr="00290BA3">
        <w:rPr>
          <w:bCs/>
          <w:szCs w:val="28"/>
        </w:rPr>
        <w:t>201,407</w:t>
      </w:r>
      <w:r w:rsidR="006923E9" w:rsidRPr="00290BA3">
        <w:rPr>
          <w:bCs/>
          <w:szCs w:val="28"/>
        </w:rPr>
        <w:t xml:space="preserve"> to $</w:t>
      </w:r>
      <w:r w:rsidR="00290BA3" w:rsidRPr="00290BA3">
        <w:rPr>
          <w:bCs/>
          <w:szCs w:val="28"/>
        </w:rPr>
        <w:t>226,004</w:t>
      </w:r>
      <w:r w:rsidR="006923E9" w:rsidRPr="00290BA3">
        <w:rPr>
          <w:bCs/>
          <w:szCs w:val="28"/>
        </w:rPr>
        <w:t>.</w:t>
      </w:r>
      <w:r w:rsidR="007E6AF5" w:rsidRPr="00290BA3">
        <w:rPr>
          <w:bCs/>
          <w:szCs w:val="28"/>
        </w:rPr>
        <w:t xml:space="preserve"> </w:t>
      </w:r>
      <w:r w:rsidR="00090EA2" w:rsidRPr="00290BA3">
        <w:rPr>
          <w:bCs/>
          <w:szCs w:val="28"/>
        </w:rPr>
        <w:t xml:space="preserve">(see Exhibit </w:t>
      </w:r>
      <w:r w:rsidR="001008C4" w:rsidRPr="00290BA3">
        <w:rPr>
          <w:bCs/>
          <w:szCs w:val="28"/>
        </w:rPr>
        <w:t>1</w:t>
      </w:r>
      <w:r w:rsidR="00090EA2" w:rsidRPr="00290BA3">
        <w:rPr>
          <w:bCs/>
          <w:szCs w:val="28"/>
        </w:rPr>
        <w:t>).</w:t>
      </w:r>
    </w:p>
    <w:p w14:paraId="66D384A9" w14:textId="26B6F35F" w:rsidR="00A83139" w:rsidRDefault="00A83139" w:rsidP="001F0E45">
      <w:pPr>
        <w:ind w:firstLine="720"/>
        <w:rPr>
          <w:bCs/>
          <w:szCs w:val="28"/>
        </w:rPr>
      </w:pPr>
    </w:p>
    <w:p w14:paraId="53A346CC" w14:textId="075CCC24" w:rsidR="00A369C0" w:rsidRDefault="00A369C0" w:rsidP="001F0E45">
      <w:pPr>
        <w:ind w:firstLine="720"/>
        <w:rPr>
          <w:bCs/>
          <w:szCs w:val="28"/>
        </w:rPr>
      </w:pPr>
      <w:r>
        <w:rPr>
          <w:bCs/>
          <w:szCs w:val="28"/>
        </w:rPr>
        <w:t xml:space="preserve">Healthcare facilities </w:t>
      </w:r>
      <w:r w:rsidR="000F4CBA">
        <w:rPr>
          <w:bCs/>
          <w:szCs w:val="28"/>
        </w:rPr>
        <w:t xml:space="preserve">and reverse distributors </w:t>
      </w:r>
      <w:r>
        <w:rPr>
          <w:bCs/>
          <w:szCs w:val="28"/>
        </w:rPr>
        <w:t>that initiates a shipment of potentially creditable hazardous waste pharmaceuticals to a reverse distributor must keep</w:t>
      </w:r>
      <w:r w:rsidR="000F4CBA">
        <w:rPr>
          <w:bCs/>
          <w:szCs w:val="28"/>
        </w:rPr>
        <w:t xml:space="preserve"> records of</w:t>
      </w:r>
      <w:r>
        <w:rPr>
          <w:bCs/>
          <w:szCs w:val="28"/>
        </w:rPr>
        <w:t xml:space="preserve"> the delivery confirmation and the shipping papers</w:t>
      </w:r>
      <w:r w:rsidR="000F4CBA">
        <w:rPr>
          <w:bCs/>
          <w:szCs w:val="28"/>
        </w:rPr>
        <w:t xml:space="preserve"> under the final rule</w:t>
      </w:r>
      <w:r>
        <w:rPr>
          <w:bCs/>
          <w:szCs w:val="28"/>
        </w:rPr>
        <w:t>. As described in the preamble to the</w:t>
      </w:r>
      <w:r w:rsidR="000F4CBA">
        <w:rPr>
          <w:bCs/>
          <w:szCs w:val="28"/>
        </w:rPr>
        <w:t xml:space="preserve"> final</w:t>
      </w:r>
      <w:r>
        <w:rPr>
          <w:bCs/>
          <w:szCs w:val="28"/>
        </w:rPr>
        <w:t xml:space="preserve"> rule, </w:t>
      </w:r>
      <w:r w:rsidR="000F4CBA">
        <w:rPr>
          <w:bCs/>
          <w:szCs w:val="28"/>
        </w:rPr>
        <w:t>current carrier services generally used by healthcare facilities and reverse distributors meet the delivery confirmation requirements.</w:t>
      </w:r>
      <w:r>
        <w:rPr>
          <w:bCs/>
          <w:szCs w:val="28"/>
        </w:rPr>
        <w:t xml:space="preserve"> Thus, EPA assumes there will be no additional paperwork burden for healthcare facilities and reverse distributors as a result </w:t>
      </w:r>
      <w:r w:rsidR="000F4CBA">
        <w:rPr>
          <w:bCs/>
          <w:szCs w:val="28"/>
        </w:rPr>
        <w:t>of this provision, as they are assumed to be keeping electronic copies in the baseline. Under the final rule, reverse distributors are also required to keep records of their current inventory as long as the facility is subject to subpart P. As discussed in the preamble to the final rule, reverse distributors is aware that revere distributors generally inventory and evaluate potentially creditable hazardous waste pharmaceuticals at the same time using an electric system. Thus, EPA assumes there will be no additional paperwork burden for reverse distributors relative to the baseline as a result of the inventory requirements and the associated inventory recordkeeping requirement.</w:t>
      </w:r>
    </w:p>
    <w:p w14:paraId="5EDDB213" w14:textId="77777777" w:rsidR="00A369C0" w:rsidRDefault="00A369C0" w:rsidP="001F0E45">
      <w:pPr>
        <w:ind w:firstLine="720"/>
        <w:rPr>
          <w:bCs/>
          <w:szCs w:val="28"/>
        </w:rPr>
      </w:pPr>
    </w:p>
    <w:p w14:paraId="5B9533D0" w14:textId="0FE22168" w:rsidR="00273D08" w:rsidRDefault="00273D08" w:rsidP="001F0E45">
      <w:pPr>
        <w:ind w:firstLine="720"/>
        <w:rPr>
          <w:b/>
          <w:bCs/>
          <w:szCs w:val="28"/>
        </w:rPr>
      </w:pPr>
      <w:r>
        <w:rPr>
          <w:b/>
          <w:bCs/>
          <w:szCs w:val="28"/>
        </w:rPr>
        <w:t>Manifests</w:t>
      </w:r>
      <w:r w:rsidR="00250C8B">
        <w:rPr>
          <w:b/>
          <w:bCs/>
          <w:szCs w:val="28"/>
        </w:rPr>
        <w:t xml:space="preserve"> and Shipping</w:t>
      </w:r>
    </w:p>
    <w:p w14:paraId="2411210B" w14:textId="242A94D1" w:rsidR="009A509C" w:rsidRDefault="009A509C" w:rsidP="00250C8B">
      <w:pPr>
        <w:rPr>
          <w:bCs/>
          <w:szCs w:val="28"/>
        </w:rPr>
      </w:pPr>
    </w:p>
    <w:p w14:paraId="265557E3" w14:textId="6062261D" w:rsidR="0036148E" w:rsidRDefault="0054009A" w:rsidP="0036148E">
      <w:pPr>
        <w:ind w:firstLine="720"/>
        <w:rPr>
          <w:bCs/>
          <w:szCs w:val="28"/>
        </w:rPr>
      </w:pPr>
      <w:r>
        <w:rPr>
          <w:bCs/>
          <w:szCs w:val="28"/>
        </w:rPr>
        <w:t xml:space="preserve">Under </w:t>
      </w:r>
      <w:r w:rsidR="00223BF5">
        <w:rPr>
          <w:bCs/>
          <w:szCs w:val="28"/>
        </w:rPr>
        <w:t xml:space="preserve">the </w:t>
      </w:r>
      <w:r w:rsidR="00315082">
        <w:rPr>
          <w:bCs/>
          <w:szCs w:val="28"/>
        </w:rPr>
        <w:t xml:space="preserve">final </w:t>
      </w:r>
      <w:r w:rsidR="00223BF5">
        <w:rPr>
          <w:bCs/>
          <w:szCs w:val="28"/>
        </w:rPr>
        <w:t xml:space="preserve">rule, healthcare facilities must complete manifests for </w:t>
      </w:r>
      <w:r w:rsidR="00635127">
        <w:rPr>
          <w:bCs/>
          <w:szCs w:val="28"/>
        </w:rPr>
        <w:t>non-creditable</w:t>
      </w:r>
      <w:r w:rsidR="00223BF5">
        <w:rPr>
          <w:bCs/>
          <w:szCs w:val="28"/>
        </w:rPr>
        <w:t xml:space="preserve"> pharmaceuticals shipped to a TSDF, </w:t>
      </w:r>
      <w:r w:rsidR="00223BF5" w:rsidRPr="00250C8B">
        <w:rPr>
          <w:bCs/>
          <w:szCs w:val="28"/>
        </w:rPr>
        <w:t>but need not include RCRA waste codes on these manifests.</w:t>
      </w:r>
      <w:r w:rsidR="00BF6794" w:rsidRPr="00250C8B">
        <w:t xml:space="preserve"> This represents a </w:t>
      </w:r>
      <w:r w:rsidR="009A509C" w:rsidRPr="00250C8B">
        <w:t>burden</w:t>
      </w:r>
      <w:r w:rsidR="00BF6794" w:rsidRPr="00250C8B">
        <w:t xml:space="preserve"> of approximately 0.</w:t>
      </w:r>
      <w:r w:rsidR="00250C8B">
        <w:t>31</w:t>
      </w:r>
      <w:r w:rsidR="00BF6794" w:rsidRPr="00250C8B">
        <w:t xml:space="preserve"> hours per shipment </w:t>
      </w:r>
      <w:r w:rsidR="009A509C" w:rsidRPr="00250C8B">
        <w:t>for a technician to complete a manifest</w:t>
      </w:r>
      <w:r w:rsidR="00250C8B">
        <w:t xml:space="preserve"> and 0.21 hours of administrative time.</w:t>
      </w:r>
      <w:r w:rsidR="00250C8B" w:rsidRPr="00250C8B">
        <w:rPr>
          <w:rStyle w:val="FootnoteReference"/>
          <w:vertAlign w:val="superscript"/>
        </w:rPr>
        <w:footnoteReference w:id="8"/>
      </w:r>
      <w:r w:rsidR="009A509C" w:rsidRPr="00250C8B">
        <w:rPr>
          <w:vertAlign w:val="superscript"/>
        </w:rPr>
        <w:t xml:space="preserve"> </w:t>
      </w:r>
      <w:r w:rsidR="00BF6794" w:rsidRPr="00250C8B">
        <w:t xml:space="preserve">For reverse distributors, the final rule requires a full manifest (including waste codes) for </w:t>
      </w:r>
      <w:r w:rsidR="009A509C" w:rsidRPr="00250C8B">
        <w:t>evaluated</w:t>
      </w:r>
      <w:r w:rsidR="00BF6794" w:rsidRPr="00250C8B">
        <w:t xml:space="preserve"> hazardous waste pharmaceuticals shipped to a TSDF. </w:t>
      </w:r>
      <w:r w:rsidR="009A509C" w:rsidRPr="00250C8B">
        <w:t xml:space="preserve">This represents a burden of approximately </w:t>
      </w:r>
      <w:r w:rsidR="00250C8B" w:rsidRPr="00250C8B">
        <w:t>0.41</w:t>
      </w:r>
      <w:r w:rsidR="009A509C" w:rsidRPr="00250C8B">
        <w:t xml:space="preserve"> hours per shipment for a technician to complete a manifest</w:t>
      </w:r>
      <w:r w:rsidR="00250C8B" w:rsidRPr="00250C8B">
        <w:t xml:space="preserve"> and 0.21 hours of administrative time</w:t>
      </w:r>
      <w:r w:rsidR="009A509C" w:rsidRPr="00250C8B">
        <w:t>.</w:t>
      </w:r>
      <w:r w:rsidR="00250C8B">
        <w:t xml:space="preserve"> As discussed previously, EPA assumes </w:t>
      </w:r>
      <w:r w:rsidR="00250C8B">
        <w:rPr>
          <w:bCs/>
          <w:szCs w:val="28"/>
        </w:rPr>
        <w:t>that healthcare facilities will sent one shipment of non-creditable hazardous waste pharmaceuticals to a designated facility annually that requires a manifest and a rever</w:t>
      </w:r>
      <w:r w:rsidR="005268DD">
        <w:rPr>
          <w:bCs/>
          <w:szCs w:val="28"/>
        </w:rPr>
        <w:t>s</w:t>
      </w:r>
      <w:r w:rsidR="00250C8B">
        <w:rPr>
          <w:bCs/>
          <w:szCs w:val="28"/>
        </w:rPr>
        <w:t xml:space="preserve">e distributor will send 4 shipments of evaluated hazardous waste pharmaceuticals to a designated facility annually that require a manifest. Thus, because reverse distributors complete 4 manifests annually, this represents a burden of 1.64 </w:t>
      </w:r>
      <w:r w:rsidR="005268DD">
        <w:rPr>
          <w:bCs/>
          <w:szCs w:val="28"/>
        </w:rPr>
        <w:t>hours of</w:t>
      </w:r>
      <w:r w:rsidR="00250C8B">
        <w:rPr>
          <w:bCs/>
          <w:szCs w:val="28"/>
        </w:rPr>
        <w:t xml:space="preserve"> </w:t>
      </w:r>
      <w:r w:rsidR="005268DD">
        <w:rPr>
          <w:bCs/>
          <w:szCs w:val="28"/>
        </w:rPr>
        <w:t>technician time and 0.84 hours of administrative time.</w:t>
      </w:r>
      <w:r w:rsidR="00250C8B">
        <w:rPr>
          <w:bCs/>
          <w:szCs w:val="28"/>
        </w:rPr>
        <w:t xml:space="preserve"> </w:t>
      </w:r>
    </w:p>
    <w:p w14:paraId="305D0B77" w14:textId="77777777" w:rsidR="00D6760F" w:rsidRDefault="00D6760F" w:rsidP="0036148E">
      <w:pPr>
        <w:ind w:firstLine="720"/>
        <w:rPr>
          <w:bCs/>
          <w:szCs w:val="28"/>
        </w:rPr>
      </w:pPr>
    </w:p>
    <w:p w14:paraId="36C43832" w14:textId="28B2574F" w:rsidR="006A6045" w:rsidRPr="00027510" w:rsidRDefault="00600832" w:rsidP="00027510">
      <w:pPr>
        <w:ind w:firstLine="720"/>
        <w:rPr>
          <w:bCs/>
          <w:szCs w:val="28"/>
        </w:rPr>
      </w:pPr>
      <w:r>
        <w:rPr>
          <w:bCs/>
          <w:szCs w:val="28"/>
        </w:rPr>
        <w:t>In order to estimate the number of healthcare facilities and reve</w:t>
      </w:r>
      <w:r w:rsidR="00156C04">
        <w:rPr>
          <w:bCs/>
          <w:szCs w:val="28"/>
        </w:rPr>
        <w:t xml:space="preserve">rse distributors that export </w:t>
      </w:r>
      <w:r>
        <w:rPr>
          <w:bCs/>
          <w:szCs w:val="28"/>
        </w:rPr>
        <w:t>evaluated, or potentially creditable hazardous waste pharmaceuticals, EPA relies on the support</w:t>
      </w:r>
      <w:r w:rsidR="007A05A7">
        <w:rPr>
          <w:bCs/>
          <w:szCs w:val="28"/>
        </w:rPr>
        <w:t>ing</w:t>
      </w:r>
      <w:r>
        <w:rPr>
          <w:bCs/>
          <w:szCs w:val="28"/>
        </w:rPr>
        <w:t xml:space="preserve"> statement for the 2014 ICR renewal for the Hazardous Waste Generator Standards.</w:t>
      </w:r>
      <w:r w:rsidRPr="00B248F9">
        <w:rPr>
          <w:rStyle w:val="FootnoteReference"/>
          <w:bCs/>
          <w:szCs w:val="28"/>
          <w:vertAlign w:val="superscript"/>
        </w:rPr>
        <w:footnoteReference w:id="9"/>
      </w:r>
      <w:r>
        <w:rPr>
          <w:bCs/>
          <w:szCs w:val="28"/>
        </w:rPr>
        <w:t xml:space="preserve"> In </w:t>
      </w:r>
      <w:r w:rsidR="00156C04">
        <w:rPr>
          <w:bCs/>
          <w:szCs w:val="28"/>
        </w:rPr>
        <w:t>the 2014</w:t>
      </w:r>
      <w:r>
        <w:rPr>
          <w:bCs/>
          <w:szCs w:val="28"/>
        </w:rPr>
        <w:t xml:space="preserve"> ICR, EPA estimate</w:t>
      </w:r>
      <w:r w:rsidR="00156C04">
        <w:rPr>
          <w:bCs/>
          <w:szCs w:val="28"/>
        </w:rPr>
        <w:t>d</w:t>
      </w:r>
      <w:r>
        <w:rPr>
          <w:bCs/>
          <w:szCs w:val="28"/>
        </w:rPr>
        <w:t xml:space="preserve"> there are </w:t>
      </w:r>
      <w:r w:rsidR="00955D47">
        <w:rPr>
          <w:bCs/>
          <w:szCs w:val="28"/>
        </w:rPr>
        <w:t>67,288</w:t>
      </w:r>
      <w:r>
        <w:rPr>
          <w:bCs/>
          <w:szCs w:val="28"/>
        </w:rPr>
        <w:t xml:space="preserve"> generators total, and of them there </w:t>
      </w:r>
      <w:r w:rsidR="00156C04">
        <w:rPr>
          <w:bCs/>
          <w:szCs w:val="28"/>
        </w:rPr>
        <w:t>are</w:t>
      </w:r>
      <w:r>
        <w:rPr>
          <w:bCs/>
          <w:szCs w:val="28"/>
        </w:rPr>
        <w:t xml:space="preserve"> 702 that export hazardous waste</w:t>
      </w:r>
      <w:r w:rsidR="00156C04">
        <w:rPr>
          <w:bCs/>
          <w:szCs w:val="28"/>
        </w:rPr>
        <w:t xml:space="preserve">. </w:t>
      </w:r>
      <w:r w:rsidR="00FD663C">
        <w:rPr>
          <w:bCs/>
          <w:szCs w:val="28"/>
        </w:rPr>
        <w:t>Thus, EPA estimate</w:t>
      </w:r>
      <w:r w:rsidR="00156C04">
        <w:rPr>
          <w:bCs/>
          <w:szCs w:val="28"/>
        </w:rPr>
        <w:t>d</w:t>
      </w:r>
      <w:r w:rsidR="00FD663C">
        <w:rPr>
          <w:bCs/>
          <w:szCs w:val="28"/>
        </w:rPr>
        <w:t xml:space="preserve"> that approximately 1% of hazardous waste generators export hazardous waste.</w:t>
      </w:r>
      <w:r w:rsidR="00156C04">
        <w:rPr>
          <w:bCs/>
          <w:szCs w:val="28"/>
        </w:rPr>
        <w:t xml:space="preserve"> EPA applies this percentage to the estimated universe of healthcare facilities and reverse distributors to estimate the number that export non-creditable, evaluated, or potentially creditable hazardous waste pharmaceuticals. EPA estimates that one reverse distributor will export hazardous waste pharmaceuticals and 119 to 133 healthcare facilities will export hazardous waste pharmaceuticals.</w:t>
      </w:r>
      <w:r w:rsidR="007A05A7">
        <w:rPr>
          <w:bCs/>
          <w:szCs w:val="28"/>
        </w:rPr>
        <w:t xml:space="preserve"> This ICR accounts for the burden associated with completing a movement document for each export of non-creditable or evaluated hazardous waste pharmaceuticals. EPA uses the estimate from the 2016 ICR for the final Hazardous Waste Export-Import Revisions Rule.</w:t>
      </w:r>
      <w:r w:rsidR="007A05A7" w:rsidRPr="00027510">
        <w:rPr>
          <w:rStyle w:val="FootnoteReference"/>
          <w:bCs/>
          <w:szCs w:val="28"/>
          <w:vertAlign w:val="superscript"/>
        </w:rPr>
        <w:footnoteReference w:id="10"/>
      </w:r>
      <w:r w:rsidR="007A05A7" w:rsidRPr="00027510">
        <w:rPr>
          <w:bCs/>
          <w:szCs w:val="28"/>
          <w:vertAlign w:val="superscript"/>
        </w:rPr>
        <w:t xml:space="preserve"> </w:t>
      </w:r>
      <w:r w:rsidR="007A05A7">
        <w:rPr>
          <w:bCs/>
          <w:szCs w:val="28"/>
        </w:rPr>
        <w:t>EPA estimates it will take 0.5 hours of technical time and 0.5 hours of administrative time to complete a movement document.</w:t>
      </w:r>
      <w:r w:rsidR="00BF6794" w:rsidRPr="0011066D">
        <w:t xml:space="preserve"> </w:t>
      </w:r>
      <w:r w:rsidR="00E14A43">
        <w:rPr>
          <w:bCs/>
          <w:szCs w:val="28"/>
        </w:rPr>
        <w:t>As result of the manifest and shipping requirements in the final rule</w:t>
      </w:r>
      <w:r w:rsidR="00FD7656">
        <w:rPr>
          <w:bCs/>
          <w:szCs w:val="28"/>
        </w:rPr>
        <w:t>, EPA estimate</w:t>
      </w:r>
      <w:r w:rsidR="00BF6794">
        <w:rPr>
          <w:bCs/>
          <w:szCs w:val="28"/>
        </w:rPr>
        <w:t>s</w:t>
      </w:r>
      <w:r w:rsidR="00027510">
        <w:rPr>
          <w:bCs/>
          <w:szCs w:val="28"/>
        </w:rPr>
        <w:t xml:space="preserve"> that the</w:t>
      </w:r>
      <w:r w:rsidR="00BF6794">
        <w:rPr>
          <w:bCs/>
          <w:szCs w:val="28"/>
        </w:rPr>
        <w:t xml:space="preserve"> </w:t>
      </w:r>
      <w:r w:rsidR="00DA086E">
        <w:rPr>
          <w:bCs/>
          <w:szCs w:val="28"/>
        </w:rPr>
        <w:t xml:space="preserve">burden </w:t>
      </w:r>
      <w:r w:rsidR="00E14A43">
        <w:rPr>
          <w:bCs/>
          <w:szCs w:val="28"/>
        </w:rPr>
        <w:t>will</w:t>
      </w:r>
      <w:r w:rsidR="00DA086E">
        <w:rPr>
          <w:bCs/>
          <w:szCs w:val="28"/>
        </w:rPr>
        <w:t xml:space="preserve"> be </w:t>
      </w:r>
      <w:r w:rsidR="00027510">
        <w:rPr>
          <w:bCs/>
          <w:szCs w:val="28"/>
        </w:rPr>
        <w:t xml:space="preserve">6,369-7,141 </w:t>
      </w:r>
      <w:r w:rsidR="00DA086E" w:rsidRPr="00627182">
        <w:rPr>
          <w:bCs/>
          <w:szCs w:val="28"/>
        </w:rPr>
        <w:t>hours</w:t>
      </w:r>
      <w:r w:rsidR="00027510">
        <w:rPr>
          <w:bCs/>
          <w:szCs w:val="28"/>
        </w:rPr>
        <w:t xml:space="preserve">, resulting in a cost </w:t>
      </w:r>
      <w:r w:rsidR="00DA086E" w:rsidRPr="00627182">
        <w:rPr>
          <w:bCs/>
          <w:szCs w:val="28"/>
        </w:rPr>
        <w:t>of $</w:t>
      </w:r>
      <w:r w:rsidR="00027510">
        <w:rPr>
          <w:bCs/>
          <w:szCs w:val="28"/>
        </w:rPr>
        <w:t xml:space="preserve">280,017 to $2,600,329 </w:t>
      </w:r>
      <w:r w:rsidR="00DA086E" w:rsidRPr="00627182">
        <w:rPr>
          <w:bCs/>
          <w:szCs w:val="28"/>
        </w:rPr>
        <w:t>(see</w:t>
      </w:r>
      <w:r w:rsidR="00DA086E">
        <w:rPr>
          <w:bCs/>
          <w:szCs w:val="28"/>
        </w:rPr>
        <w:t xml:space="preserve"> Exhibit </w:t>
      </w:r>
      <w:r w:rsidR="00027510">
        <w:rPr>
          <w:bCs/>
          <w:szCs w:val="28"/>
        </w:rPr>
        <w:t>1</w:t>
      </w:r>
      <w:r w:rsidR="00DA086E">
        <w:rPr>
          <w:bCs/>
          <w:szCs w:val="28"/>
        </w:rPr>
        <w:t>).</w:t>
      </w:r>
    </w:p>
    <w:p w14:paraId="20AC9A5A" w14:textId="77777777" w:rsidR="000F41BF" w:rsidRDefault="000F41BF" w:rsidP="00BF6794">
      <w:pPr>
        <w:rPr>
          <w:bCs/>
          <w:szCs w:val="28"/>
        </w:rPr>
      </w:pPr>
    </w:p>
    <w:p w14:paraId="0A11AF26" w14:textId="28457838" w:rsidR="007D328C" w:rsidRDefault="007D328C" w:rsidP="007D328C">
      <w:pPr>
        <w:ind w:firstLine="720"/>
        <w:rPr>
          <w:b/>
          <w:bCs/>
          <w:szCs w:val="28"/>
        </w:rPr>
      </w:pPr>
      <w:r>
        <w:rPr>
          <w:b/>
          <w:bCs/>
          <w:szCs w:val="28"/>
        </w:rPr>
        <w:t>Contingency Planning</w:t>
      </w:r>
    </w:p>
    <w:p w14:paraId="6378E7F2" w14:textId="77777777" w:rsidR="007D328C" w:rsidRDefault="007D328C" w:rsidP="007D328C"/>
    <w:p w14:paraId="14B819F9" w14:textId="020F88A3" w:rsidR="00847628" w:rsidRDefault="007D328C" w:rsidP="007D328C">
      <w:pPr>
        <w:ind w:firstLine="720"/>
      </w:pPr>
      <w:r>
        <w:t xml:space="preserve">Under the final rule, a reverse distributor must comply will the contingency plan requirements of 40 CFR 262 subpart M. This ICR assumes that reverse distributors have already prepared contingency plans. Therefore, </w:t>
      </w:r>
      <w:r w:rsidR="00E900CA">
        <w:t>only reverse distributors that need to amend their contingency plans annually will have a paperwork burden under this provision of the final rule. In the 2014 ICR renewal for the Hazardous Waste Generator Standards, EPA estimated that 10 percent of their universe of LQGs will amend their contingency plan annually.</w:t>
      </w:r>
      <w:r w:rsidR="00E900CA" w:rsidRPr="0086703F">
        <w:rPr>
          <w:rStyle w:val="FootnoteReference"/>
          <w:vertAlign w:val="superscript"/>
        </w:rPr>
        <w:footnoteReference w:id="11"/>
      </w:r>
      <w:r w:rsidR="00E900CA">
        <w:t xml:space="preserve"> EPA uses the </w:t>
      </w:r>
      <w:r w:rsidR="00180BC8">
        <w:t>same percentage for this ICR, and estimates that 3 reverse distributors will amend their contingency plan annually. EPA also relies on the 2014 ICR renewal for the Hazardous Waste Generator Standards for the estimated burden, and estimates that it takes 1.5 hours of technician time and 1.5 hours of administrative time to amend a contingency plan.</w:t>
      </w:r>
      <w:r w:rsidR="00E14A43" w:rsidRPr="00E14A43">
        <w:rPr>
          <w:bCs/>
          <w:szCs w:val="28"/>
        </w:rPr>
        <w:t xml:space="preserve"> </w:t>
      </w:r>
      <w:r w:rsidR="00E14A43">
        <w:rPr>
          <w:bCs/>
          <w:szCs w:val="28"/>
        </w:rPr>
        <w:t xml:space="preserve">As result of the contingency planning requirements in the final rule, EPA estimates that the burden will be 9 </w:t>
      </w:r>
      <w:r w:rsidR="00E14A43" w:rsidRPr="00627182">
        <w:rPr>
          <w:bCs/>
          <w:szCs w:val="28"/>
        </w:rPr>
        <w:t>hours</w:t>
      </w:r>
      <w:r w:rsidR="00E14A43">
        <w:rPr>
          <w:bCs/>
          <w:szCs w:val="28"/>
        </w:rPr>
        <w:t xml:space="preserve">, resulting in a cost </w:t>
      </w:r>
      <w:r w:rsidR="00E14A43" w:rsidRPr="00627182">
        <w:rPr>
          <w:bCs/>
          <w:szCs w:val="28"/>
        </w:rPr>
        <w:t>of $</w:t>
      </w:r>
      <w:r w:rsidR="00E14A43">
        <w:rPr>
          <w:bCs/>
          <w:szCs w:val="28"/>
        </w:rPr>
        <w:t xml:space="preserve">376 </w:t>
      </w:r>
      <w:r w:rsidR="00E14A43" w:rsidRPr="00627182">
        <w:rPr>
          <w:bCs/>
          <w:szCs w:val="28"/>
        </w:rPr>
        <w:t>(see</w:t>
      </w:r>
      <w:r w:rsidR="00E14A43">
        <w:rPr>
          <w:bCs/>
          <w:szCs w:val="28"/>
        </w:rPr>
        <w:t xml:space="preserve"> Exhibit 1).</w:t>
      </w:r>
    </w:p>
    <w:p w14:paraId="5DB2D277" w14:textId="4704974F" w:rsidR="007D328C" w:rsidRDefault="007D328C" w:rsidP="0042666A">
      <w:pPr>
        <w:rPr>
          <w:b/>
          <w:bCs/>
          <w:szCs w:val="28"/>
        </w:rPr>
      </w:pPr>
    </w:p>
    <w:p w14:paraId="7D51FBB7" w14:textId="62E7FC58" w:rsidR="0042666A" w:rsidRDefault="0042666A" w:rsidP="0042666A">
      <w:pPr>
        <w:ind w:firstLine="720"/>
        <w:rPr>
          <w:b/>
          <w:bCs/>
          <w:szCs w:val="28"/>
        </w:rPr>
      </w:pPr>
      <w:r>
        <w:rPr>
          <w:b/>
          <w:bCs/>
          <w:szCs w:val="28"/>
        </w:rPr>
        <w:t>Unauthorized Waste Reporting</w:t>
      </w:r>
    </w:p>
    <w:p w14:paraId="4D329636" w14:textId="77777777" w:rsidR="0042666A" w:rsidRDefault="0042666A" w:rsidP="0042666A"/>
    <w:p w14:paraId="162D9715" w14:textId="32A4574A" w:rsidR="0042666A" w:rsidRDefault="0042666A" w:rsidP="0042666A">
      <w:pPr>
        <w:ind w:firstLine="720"/>
      </w:pPr>
      <w:r>
        <w:t xml:space="preserve">Under the final rule, a reverse distributor must submit an unauthorized hazardous waste report if it receives waste it is not authorized to receive. </w:t>
      </w:r>
      <w:r w:rsidR="00C1548B">
        <w:t>EPA estimates that 1% of the shipments that go from a healthcare facility to a reverse distributor will be waste that the reverse distributor is not authorized to receive. Using the</w:t>
      </w:r>
      <w:r w:rsidR="00C1548B" w:rsidRPr="00F8698C">
        <w:t xml:space="preserve"> assumptions </w:t>
      </w:r>
      <w:r w:rsidR="00C1548B">
        <w:t xml:space="preserve">from the RIA for the final rule, EPA estimates healthcare facilities </w:t>
      </w:r>
      <w:r w:rsidR="00EF311A">
        <w:t>send 4</w:t>
      </w:r>
      <w:r w:rsidR="00C1548B">
        <w:t xml:space="preserve"> shipments of hazardous waste pharmaceuticals to reverse distributors annually.</w:t>
      </w:r>
      <w:r w:rsidR="00C1548B" w:rsidRPr="00C1548B">
        <w:rPr>
          <w:rStyle w:val="FootnoteReference"/>
          <w:vertAlign w:val="superscript"/>
        </w:rPr>
        <w:footnoteReference w:id="12"/>
      </w:r>
      <w:r w:rsidR="00C1548B">
        <w:t xml:space="preserve"> Thus, EPA estimates in total that healthcare facilities will send </w:t>
      </w:r>
      <w:r w:rsidR="00EF311A">
        <w:t>between 47,556-52,384</w:t>
      </w:r>
      <w:r w:rsidR="00C1548B">
        <w:t xml:space="preserve"> shipments to the 27 reverse distributors annually, resulting in an estimated </w:t>
      </w:r>
      <w:r w:rsidR="00EF311A">
        <w:t>476</w:t>
      </w:r>
      <w:r w:rsidR="00C1548B">
        <w:t>-</w:t>
      </w:r>
      <w:r w:rsidR="00EF311A">
        <w:t>534</w:t>
      </w:r>
      <w:r w:rsidR="00C1548B">
        <w:t xml:space="preserve"> shipments that healthcare facilities send to the 27 reverse distributors annually that they are not authorized to receive. </w:t>
      </w:r>
      <w:r w:rsidR="00901902">
        <w:t xml:space="preserve">EPA estimates that each reverse distributor will therefore submit </w:t>
      </w:r>
      <w:r w:rsidR="00CF5C0F">
        <w:t>18</w:t>
      </w:r>
      <w:r w:rsidR="00C1548B">
        <w:t>-</w:t>
      </w:r>
      <w:r w:rsidR="00EF311A">
        <w:t>20</w:t>
      </w:r>
      <w:r w:rsidR="00C1548B">
        <w:t xml:space="preserve"> unauthorized waste reports per </w:t>
      </w:r>
      <w:r w:rsidR="00901902">
        <w:t>year.</w:t>
      </w:r>
      <w:r w:rsidR="00EF311A">
        <w:t xml:space="preserve"> EPA assumes it will a similar amount of time to submit an unauthorized waste report as it does to submit an exception report. Thus, EPA estimates it will take 0.5 hours of management time, 0.5 hours of technician time, and 0.1 hours of administrative time to submit an unauthorized waste report.</w:t>
      </w:r>
      <w:r w:rsidR="00CF5C0F">
        <w:t xml:space="preserve"> On average, each reverse distributor will therefore spend 9.5 hours of management time, 9.5 hours of technician time, and 1.9 hours of administrative time submitting unauthorized waste reports.</w:t>
      </w:r>
      <w:r w:rsidR="00EA6D50">
        <w:t xml:space="preserve"> As a result of the final rule, EPA estimates the burden associated with submitting unauthorized waste reports will </w:t>
      </w:r>
      <w:r w:rsidR="00FB6DB3">
        <w:t>result in</w:t>
      </w:r>
      <w:r w:rsidR="00EA6D50">
        <w:t xml:space="preserve"> a total </w:t>
      </w:r>
      <w:r w:rsidR="00FB6DB3">
        <w:t xml:space="preserve">burden </w:t>
      </w:r>
      <w:r w:rsidR="00EA6D50">
        <w:t xml:space="preserve">of 564 hours annually at a cost of $42,019 (see Exhibit 1). </w:t>
      </w:r>
    </w:p>
    <w:p w14:paraId="546A8F15" w14:textId="77777777" w:rsidR="0042666A" w:rsidRDefault="0042666A" w:rsidP="0042666A">
      <w:pPr>
        <w:rPr>
          <w:b/>
          <w:bCs/>
          <w:szCs w:val="28"/>
        </w:rPr>
      </w:pPr>
    </w:p>
    <w:p w14:paraId="75C91BB4" w14:textId="4BDFA467" w:rsidR="00847628" w:rsidRDefault="00847628" w:rsidP="00847628">
      <w:pPr>
        <w:ind w:firstLine="720"/>
        <w:rPr>
          <w:b/>
          <w:bCs/>
          <w:szCs w:val="28"/>
        </w:rPr>
      </w:pPr>
      <w:r w:rsidRPr="00913EA6">
        <w:rPr>
          <w:b/>
          <w:bCs/>
          <w:szCs w:val="28"/>
        </w:rPr>
        <w:t>Biennial Reports</w:t>
      </w:r>
    </w:p>
    <w:p w14:paraId="3F38B5B6" w14:textId="77777777" w:rsidR="00847628" w:rsidRDefault="00847628" w:rsidP="000F41BF"/>
    <w:p w14:paraId="3CD737B1" w14:textId="63702609" w:rsidR="004832C6" w:rsidRDefault="00847628" w:rsidP="004832C6">
      <w:pPr>
        <w:ind w:firstLine="720"/>
      </w:pPr>
      <w:r>
        <w:t xml:space="preserve">Under the final rule, hazardous waste pharmaceuticals will no longer count toward a </w:t>
      </w:r>
      <w:r w:rsidR="004832C6">
        <w:t>healthcare facility’s</w:t>
      </w:r>
      <w:r>
        <w:t xml:space="preserve"> generator status and need not be included in facilities’ Biennial Report </w:t>
      </w:r>
      <w:r w:rsidR="004832C6">
        <w:t xml:space="preserve">submissions. Reverse distributors will still be required to submit a biennial report if they ship evaluated hazardous waste pharmaceuticals off site. </w:t>
      </w:r>
      <w:r w:rsidR="004832C6" w:rsidRPr="00D92625">
        <w:t xml:space="preserve">The fixed costs of preparing a biennial report include the time to read the instructions, complete the site ID form, </w:t>
      </w:r>
      <w:r w:rsidR="001F1D99">
        <w:t xml:space="preserve">and </w:t>
      </w:r>
      <w:r w:rsidR="004832C6" w:rsidRPr="00D92625">
        <w:t>submit the report to st</w:t>
      </w:r>
      <w:r w:rsidR="001F1D99">
        <w:t>ate authorities or EPA</w:t>
      </w:r>
      <w:r w:rsidR="004832C6" w:rsidRPr="00D92625">
        <w:t xml:space="preserve">. </w:t>
      </w:r>
      <w:r w:rsidR="00FB6DB3">
        <w:t xml:space="preserve">However, EPA expects that reverse distributors will remain LQGs for their non-pharmaceutical hazardous waste generation and will continue to submit a biennial report as a result. Thus, they will incur the fixed costs of preparing a biennial report under part 262. The only costs they will incur for operating under subpart P will be </w:t>
      </w:r>
      <w:r w:rsidR="004832C6" w:rsidRPr="00D92625">
        <w:t xml:space="preserve">the variable costs </w:t>
      </w:r>
      <w:r w:rsidR="001F1D99">
        <w:t>include</w:t>
      </w:r>
      <w:r w:rsidR="004832C6" w:rsidRPr="00D92625">
        <w:t xml:space="preserve"> completing </w:t>
      </w:r>
      <w:r w:rsidR="001F1D99">
        <w:t>the</w:t>
      </w:r>
      <w:r w:rsidR="004832C6" w:rsidRPr="00D92625">
        <w:t xml:space="preserve"> Waste Generation and Management Form (GM form) for </w:t>
      </w:r>
      <w:r w:rsidR="001F1D99">
        <w:t>each waste stream</w:t>
      </w:r>
      <w:r w:rsidR="00FB6DB3">
        <w:t xml:space="preserve"> of evaluated hazardous waste pharmaceuticals</w:t>
      </w:r>
      <w:r w:rsidR="001F1D99">
        <w:t>.</w:t>
      </w:r>
      <w:r w:rsidR="004832C6" w:rsidRPr="00D92625">
        <w:t xml:space="preserve"> </w:t>
      </w:r>
      <w:r w:rsidR="00FB6DB3">
        <w:t xml:space="preserve">Based on the </w:t>
      </w:r>
      <w:r w:rsidR="00F47A82">
        <w:t xml:space="preserve">2018 ICR for the </w:t>
      </w:r>
      <w:r w:rsidR="00FB6DB3">
        <w:t xml:space="preserve">proposed </w:t>
      </w:r>
      <w:r w:rsidR="008000CC">
        <w:t>rule to designate aerosol cans as universal waste</w:t>
      </w:r>
      <w:r w:rsidR="00F47A82">
        <w:t>,</w:t>
      </w:r>
      <w:r w:rsidR="00FB6DB3">
        <w:t xml:space="preserve"> this</w:t>
      </w:r>
      <w:r w:rsidR="001F1D99">
        <w:t xml:space="preserve"> is estimated to take 0.13 hours of management time, 0.15 hours of technician time, and 0.04 hours of administrative time per GM form</w:t>
      </w:r>
      <w:r w:rsidR="00FB6DB3">
        <w:t xml:space="preserve"> on an annual basis</w:t>
      </w:r>
      <w:r w:rsidR="001F1D99">
        <w:t>.</w:t>
      </w:r>
      <w:r w:rsidR="008000CC">
        <w:rPr>
          <w:rStyle w:val="FootnoteReference"/>
        </w:rPr>
        <w:footnoteReference w:id="13"/>
      </w:r>
      <w:r w:rsidR="006013F6">
        <w:t xml:space="preserve"> Following the methodology used to estimate the number of GM forms submitted per facility in the RIA for the </w:t>
      </w:r>
      <w:r w:rsidR="00FB6DB3">
        <w:t>final rule, EPA estimates that reverse distributors will submit an average of 70 GM forms per biennial report.</w:t>
      </w:r>
      <w:r w:rsidR="00FB6DB3" w:rsidRPr="00FB6DB3">
        <w:rPr>
          <w:rStyle w:val="FootnoteReference"/>
          <w:vertAlign w:val="superscript"/>
        </w:rPr>
        <w:footnoteReference w:id="14"/>
      </w:r>
      <w:r w:rsidR="00FB6DB3">
        <w:t xml:space="preserve"> EPA estimate</w:t>
      </w:r>
      <w:r w:rsidR="000D0AE2">
        <w:t>s</w:t>
      </w:r>
      <w:r w:rsidR="00FB6DB3">
        <w:t xml:space="preserve"> that it will take 9.1 hours of management time, 10.5 hours of technician time, and 2.8 hours of administrative time to prepare the GM forms. EPA estimates this will result in a total burden of 605 hours at a cost of $44,022 (see Exhibit 1).</w:t>
      </w:r>
    </w:p>
    <w:p w14:paraId="2C8C7D7A" w14:textId="77777777" w:rsidR="001F1D99" w:rsidRDefault="001F1D99" w:rsidP="004832C6">
      <w:pPr>
        <w:ind w:firstLine="720"/>
        <w:rPr>
          <w:b/>
          <w:bCs/>
          <w:szCs w:val="28"/>
        </w:rPr>
      </w:pPr>
    </w:p>
    <w:p w14:paraId="598F51A2" w14:textId="2A52261A" w:rsidR="004832C6" w:rsidRDefault="004832C6" w:rsidP="004832C6">
      <w:pPr>
        <w:ind w:firstLine="720"/>
        <w:rPr>
          <w:b/>
          <w:bCs/>
          <w:szCs w:val="28"/>
        </w:rPr>
      </w:pPr>
      <w:r>
        <w:rPr>
          <w:b/>
          <w:bCs/>
          <w:szCs w:val="28"/>
        </w:rPr>
        <w:t>Containers</w:t>
      </w:r>
    </w:p>
    <w:p w14:paraId="6A3B92A2" w14:textId="77777777" w:rsidR="004832C6" w:rsidRDefault="004832C6" w:rsidP="004832C6"/>
    <w:p w14:paraId="1D73DC84" w14:textId="3BC4F277" w:rsidR="004832C6" w:rsidRDefault="000D0AE2" w:rsidP="000D0AE2">
      <w:pPr>
        <w:ind w:firstLine="720"/>
      </w:pPr>
      <w:r>
        <w:t>Under the final rule, reverse distributors must mark containers of evaluated hazardous waste pharmaceuticals with the applicable hazardous waste codes prior to being shipped off site. EPA estimates it takes a similar amount of time to mark the containers with the hazardous waste code as it does to mark the containers with an indication of the hazards of the contents. Based on the RIA for the final rule, EPA estimates it takes 0.08 hours (5 minutes) of a technician’s time to make the labels. EPA estimates this will result in a total burden of 2 hours at a cost of $115 (see Exhibit 1).</w:t>
      </w:r>
    </w:p>
    <w:p w14:paraId="799CE7A3" w14:textId="77777777" w:rsidR="006A6045" w:rsidRDefault="006A6045" w:rsidP="001F0E45">
      <w:pPr>
        <w:ind w:firstLine="720"/>
        <w:rPr>
          <w:b/>
          <w:bCs/>
          <w:szCs w:val="28"/>
        </w:rPr>
      </w:pPr>
    </w:p>
    <w:p w14:paraId="136F5D84" w14:textId="77777777" w:rsidR="007B61E5" w:rsidRPr="00E17A70" w:rsidRDefault="007B61E5" w:rsidP="00A36A0C">
      <w:pPr>
        <w:ind w:firstLine="720"/>
        <w:rPr>
          <w:szCs w:val="28"/>
        </w:rPr>
      </w:pPr>
      <w:r w:rsidRPr="00E17A70">
        <w:rPr>
          <w:b/>
          <w:bCs/>
          <w:szCs w:val="28"/>
        </w:rPr>
        <w:t>6(e)</w:t>
      </w:r>
      <w:r w:rsidRPr="00E17A70">
        <w:rPr>
          <w:b/>
          <w:bCs/>
          <w:szCs w:val="28"/>
        </w:rPr>
        <w:tab/>
        <w:t>Bottom Line Burden Hours and Costs</w:t>
      </w:r>
    </w:p>
    <w:p w14:paraId="326349D3" w14:textId="77777777" w:rsidR="007B61E5" w:rsidRPr="00E17A70" w:rsidRDefault="007B61E5" w:rsidP="007B61E5">
      <w:pPr>
        <w:rPr>
          <w:szCs w:val="28"/>
        </w:rPr>
      </w:pPr>
    </w:p>
    <w:p w14:paraId="2613F853" w14:textId="77777777" w:rsidR="007B61E5" w:rsidRPr="00E17A70" w:rsidRDefault="007B61E5" w:rsidP="00A36A0C">
      <w:pPr>
        <w:ind w:firstLine="720"/>
        <w:rPr>
          <w:szCs w:val="28"/>
        </w:rPr>
      </w:pPr>
      <w:r w:rsidRPr="00E17A70">
        <w:rPr>
          <w:b/>
          <w:bCs/>
          <w:szCs w:val="28"/>
        </w:rPr>
        <w:t>Respondent Tally</w:t>
      </w:r>
    </w:p>
    <w:p w14:paraId="672A455E" w14:textId="77777777" w:rsidR="007B61E5" w:rsidRPr="00E17A70" w:rsidRDefault="007B61E5" w:rsidP="007B61E5">
      <w:pPr>
        <w:rPr>
          <w:szCs w:val="28"/>
        </w:rPr>
      </w:pPr>
    </w:p>
    <w:p w14:paraId="5BB41059" w14:textId="25E9CAC6" w:rsidR="007B61E5" w:rsidRPr="00E17A70" w:rsidRDefault="007B61E5" w:rsidP="00A36A0C">
      <w:pPr>
        <w:ind w:firstLine="720"/>
        <w:rPr>
          <w:szCs w:val="28"/>
        </w:rPr>
      </w:pPr>
      <w:r w:rsidRPr="00E17A70">
        <w:rPr>
          <w:szCs w:val="28"/>
        </w:rPr>
        <w:t xml:space="preserve">In Exhibit </w:t>
      </w:r>
      <w:r w:rsidR="00C477A8">
        <w:rPr>
          <w:szCs w:val="28"/>
        </w:rPr>
        <w:t>1</w:t>
      </w:r>
      <w:r w:rsidRPr="00E17A70">
        <w:rPr>
          <w:szCs w:val="28"/>
        </w:rPr>
        <w:t xml:space="preserve">, EPA presents the annual respondent burden </w:t>
      </w:r>
      <w:r w:rsidR="00C768AB">
        <w:rPr>
          <w:szCs w:val="28"/>
        </w:rPr>
        <w:t xml:space="preserve">hours </w:t>
      </w:r>
      <w:r w:rsidRPr="00E17A70">
        <w:rPr>
          <w:szCs w:val="28"/>
        </w:rPr>
        <w:t>and cost</w:t>
      </w:r>
      <w:r w:rsidR="00C768AB">
        <w:rPr>
          <w:szCs w:val="28"/>
        </w:rPr>
        <w:t xml:space="preserve">s associated </w:t>
      </w:r>
      <w:r w:rsidRPr="00E17A70">
        <w:rPr>
          <w:szCs w:val="28"/>
        </w:rPr>
        <w:t xml:space="preserve">  </w:t>
      </w:r>
      <w:r w:rsidRPr="00F2734F">
        <w:rPr>
          <w:szCs w:val="28"/>
        </w:rPr>
        <w:t xml:space="preserve">with the </w:t>
      </w:r>
      <w:r w:rsidR="00C768AB" w:rsidRPr="00F2734F">
        <w:rPr>
          <w:szCs w:val="28"/>
        </w:rPr>
        <w:t xml:space="preserve">new information collection requirements in the </w:t>
      </w:r>
      <w:r w:rsidR="00CC3EAF" w:rsidRPr="00F2734F">
        <w:rPr>
          <w:szCs w:val="28"/>
        </w:rPr>
        <w:t xml:space="preserve">final </w:t>
      </w:r>
      <w:r w:rsidRPr="00F2734F">
        <w:rPr>
          <w:szCs w:val="28"/>
        </w:rPr>
        <w:t xml:space="preserve">rule.  As described specifically in Section 6(d) above, the </w:t>
      </w:r>
      <w:r w:rsidR="00E52F06" w:rsidRPr="00F2734F">
        <w:rPr>
          <w:szCs w:val="28"/>
        </w:rPr>
        <w:t>information collection requirements</w:t>
      </w:r>
      <w:r w:rsidRPr="00F2734F">
        <w:rPr>
          <w:szCs w:val="28"/>
        </w:rPr>
        <w:t xml:space="preserve"> </w:t>
      </w:r>
      <w:r w:rsidR="00F2734F" w:rsidRPr="00F2734F">
        <w:rPr>
          <w:szCs w:val="28"/>
        </w:rPr>
        <w:t>apply to</w:t>
      </w:r>
      <w:r w:rsidR="00E52F06" w:rsidRPr="00F2734F">
        <w:rPr>
          <w:szCs w:val="28"/>
        </w:rPr>
        <w:t xml:space="preserve"> </w:t>
      </w:r>
      <w:r w:rsidR="00F2734F" w:rsidRPr="00F2734F">
        <w:t>11,916-13,373</w:t>
      </w:r>
      <w:r w:rsidR="00F2734F">
        <w:t xml:space="preserve"> </w:t>
      </w:r>
      <w:r w:rsidR="00E52F06" w:rsidRPr="00F2734F">
        <w:rPr>
          <w:szCs w:val="28"/>
        </w:rPr>
        <w:t>affected facilities (respondents)</w:t>
      </w:r>
      <w:r w:rsidR="00F2734F">
        <w:rPr>
          <w:szCs w:val="28"/>
        </w:rPr>
        <w:t xml:space="preserve">. </w:t>
      </w:r>
      <w:r w:rsidRPr="00F2734F">
        <w:rPr>
          <w:szCs w:val="28"/>
        </w:rPr>
        <w:t xml:space="preserve">As shown in Exhibit </w:t>
      </w:r>
      <w:r w:rsidR="00C477A8" w:rsidRPr="00F2734F">
        <w:rPr>
          <w:szCs w:val="28"/>
        </w:rPr>
        <w:t>1</w:t>
      </w:r>
      <w:r w:rsidRPr="00F2734F">
        <w:rPr>
          <w:szCs w:val="28"/>
        </w:rPr>
        <w:t xml:space="preserve">, the </w:t>
      </w:r>
      <w:r w:rsidR="00851966" w:rsidRPr="00F2734F">
        <w:rPr>
          <w:szCs w:val="28"/>
        </w:rPr>
        <w:t>total</w:t>
      </w:r>
      <w:r w:rsidRPr="00F2734F">
        <w:rPr>
          <w:szCs w:val="28"/>
        </w:rPr>
        <w:t xml:space="preserve"> annual respondent burden for these paperwork requirements is </w:t>
      </w:r>
      <w:r w:rsidRPr="00701C61">
        <w:rPr>
          <w:szCs w:val="28"/>
        </w:rPr>
        <w:t xml:space="preserve">approximately </w:t>
      </w:r>
      <w:r w:rsidR="00701C61" w:rsidRPr="00701C61">
        <w:rPr>
          <w:szCs w:val="28"/>
        </w:rPr>
        <w:t>39,458-43,577</w:t>
      </w:r>
      <w:r w:rsidR="008C1028" w:rsidRPr="00701C61" w:rsidDel="008C1028">
        <w:rPr>
          <w:szCs w:val="28"/>
        </w:rPr>
        <w:t xml:space="preserve"> </w:t>
      </w:r>
      <w:r w:rsidRPr="00701C61">
        <w:rPr>
          <w:szCs w:val="28"/>
        </w:rPr>
        <w:t>hours</w:t>
      </w:r>
      <w:r w:rsidR="00C477A8" w:rsidRPr="00701C61">
        <w:rPr>
          <w:szCs w:val="28"/>
        </w:rPr>
        <w:t xml:space="preserve"> averaged over the first three years of the rule</w:t>
      </w:r>
      <w:r w:rsidRPr="00701C61">
        <w:rPr>
          <w:szCs w:val="28"/>
        </w:rPr>
        <w:t xml:space="preserve">, at an annual cost of approximately </w:t>
      </w:r>
      <w:r w:rsidR="00701C61" w:rsidRPr="00701C61">
        <w:rPr>
          <w:szCs w:val="28"/>
        </w:rPr>
        <w:t>$2,301,250-$2,543,409</w:t>
      </w:r>
      <w:r w:rsidR="00F2734F" w:rsidRPr="00701C61">
        <w:rPr>
          <w:szCs w:val="28"/>
        </w:rPr>
        <w:t>.</w:t>
      </w:r>
      <w:r w:rsidR="00F2734F" w:rsidRPr="00F2734F">
        <w:rPr>
          <w:szCs w:val="28"/>
        </w:rPr>
        <w:t xml:space="preserve"> </w:t>
      </w:r>
    </w:p>
    <w:p w14:paraId="25E40112" w14:textId="77777777" w:rsidR="007B61E5" w:rsidRPr="00E17A70" w:rsidRDefault="007B61E5" w:rsidP="007B61E5">
      <w:pPr>
        <w:rPr>
          <w:szCs w:val="28"/>
        </w:rPr>
      </w:pPr>
    </w:p>
    <w:p w14:paraId="3709E81B" w14:textId="77777777" w:rsidR="007B61E5" w:rsidRDefault="007B61E5" w:rsidP="00A36A0C">
      <w:pPr>
        <w:ind w:firstLine="720"/>
        <w:rPr>
          <w:b/>
          <w:bCs/>
          <w:szCs w:val="28"/>
        </w:rPr>
      </w:pPr>
      <w:r w:rsidRPr="00E17A70">
        <w:rPr>
          <w:b/>
          <w:bCs/>
          <w:szCs w:val="28"/>
        </w:rPr>
        <w:t>6(f)</w:t>
      </w:r>
      <w:r w:rsidRPr="00E17A70">
        <w:rPr>
          <w:b/>
          <w:bCs/>
          <w:szCs w:val="28"/>
        </w:rPr>
        <w:tab/>
        <w:t xml:space="preserve">Reasons for Change in Burden </w:t>
      </w:r>
    </w:p>
    <w:p w14:paraId="121A221D" w14:textId="77777777" w:rsidR="007B61E5" w:rsidRDefault="007B61E5" w:rsidP="007B61E5">
      <w:pPr>
        <w:rPr>
          <w:b/>
          <w:bCs/>
          <w:szCs w:val="28"/>
        </w:rPr>
      </w:pPr>
    </w:p>
    <w:p w14:paraId="0F9B5EE5" w14:textId="3E0D2734" w:rsidR="00B20E9A" w:rsidRDefault="00904537" w:rsidP="00A36A0C">
      <w:pPr>
        <w:ind w:firstLine="720"/>
        <w:rPr>
          <w:szCs w:val="28"/>
        </w:rPr>
      </w:pPr>
      <w:r>
        <w:rPr>
          <w:szCs w:val="28"/>
        </w:rPr>
        <w:t xml:space="preserve">EPA is </w:t>
      </w:r>
      <w:r w:rsidR="00CC3EAF">
        <w:rPr>
          <w:szCs w:val="28"/>
        </w:rPr>
        <w:t xml:space="preserve">finalizing </w:t>
      </w:r>
      <w:r w:rsidR="006E3CCE">
        <w:rPr>
          <w:szCs w:val="28"/>
        </w:rPr>
        <w:t>a new set of sector-specific regulations for healthcare facilities and reverse distributors in 40 CFR part 266 subpart P in lieu of the standard RCRA generator regulations</w:t>
      </w:r>
      <w:r w:rsidR="00635127">
        <w:rPr>
          <w:szCs w:val="28"/>
        </w:rPr>
        <w:t xml:space="preserve"> of 40 CFR part 262</w:t>
      </w:r>
      <w:r w:rsidR="006E3CCE">
        <w:rPr>
          <w:szCs w:val="28"/>
        </w:rPr>
        <w:t>.</w:t>
      </w:r>
      <w:r w:rsidR="00D6760F">
        <w:rPr>
          <w:szCs w:val="28"/>
        </w:rPr>
        <w:t xml:space="preserve"> </w:t>
      </w:r>
      <w:r w:rsidR="001D5DAB">
        <w:rPr>
          <w:szCs w:val="28"/>
        </w:rPr>
        <w:t xml:space="preserve">Specifically, the </w:t>
      </w:r>
      <w:r w:rsidR="00CC3EAF">
        <w:rPr>
          <w:szCs w:val="28"/>
        </w:rPr>
        <w:t xml:space="preserve">final </w:t>
      </w:r>
      <w:r w:rsidR="001D5DAB">
        <w:rPr>
          <w:szCs w:val="28"/>
        </w:rPr>
        <w:t>rule includes several requirements to ensure the responsible management of ha</w:t>
      </w:r>
      <w:r w:rsidR="00D6760F">
        <w:rPr>
          <w:szCs w:val="28"/>
        </w:rPr>
        <w:t xml:space="preserve">zardous waste pharmaceuticals. </w:t>
      </w:r>
      <w:r w:rsidR="001D5DAB">
        <w:rPr>
          <w:szCs w:val="28"/>
        </w:rPr>
        <w:t>Th</w:t>
      </w:r>
      <w:r w:rsidR="00B958C1">
        <w:rPr>
          <w:szCs w:val="28"/>
        </w:rPr>
        <w:t xml:space="preserve">e key provisions of the </w:t>
      </w:r>
      <w:r w:rsidR="00CC3EAF">
        <w:rPr>
          <w:szCs w:val="28"/>
        </w:rPr>
        <w:t xml:space="preserve">final </w:t>
      </w:r>
      <w:r w:rsidR="00B958C1">
        <w:rPr>
          <w:szCs w:val="28"/>
        </w:rPr>
        <w:t>rule have been described earlier in Section 1(b).</w:t>
      </w:r>
      <w:r w:rsidR="006E3CCE">
        <w:rPr>
          <w:szCs w:val="28"/>
        </w:rPr>
        <w:t xml:space="preserve"> </w:t>
      </w:r>
    </w:p>
    <w:p w14:paraId="56943F0C" w14:textId="77777777" w:rsidR="007B61E5" w:rsidRDefault="007B61E5" w:rsidP="007B61E5">
      <w:pPr>
        <w:rPr>
          <w:szCs w:val="28"/>
        </w:rPr>
      </w:pPr>
    </w:p>
    <w:p w14:paraId="1043909F" w14:textId="77777777" w:rsidR="007B61E5" w:rsidRDefault="007B61E5" w:rsidP="00A36A0C">
      <w:pPr>
        <w:ind w:firstLine="720"/>
        <w:rPr>
          <w:b/>
          <w:bCs/>
          <w:szCs w:val="28"/>
        </w:rPr>
      </w:pPr>
      <w:r w:rsidRPr="00E17A70">
        <w:rPr>
          <w:b/>
          <w:bCs/>
          <w:szCs w:val="28"/>
        </w:rPr>
        <w:t>6(g)</w:t>
      </w:r>
      <w:r w:rsidRPr="00E17A70">
        <w:rPr>
          <w:b/>
          <w:bCs/>
          <w:szCs w:val="28"/>
        </w:rPr>
        <w:tab/>
        <w:t>Burden Statement</w:t>
      </w:r>
    </w:p>
    <w:p w14:paraId="0B0FCE66" w14:textId="77777777" w:rsidR="007B61E5" w:rsidRDefault="007B61E5" w:rsidP="007B61E5">
      <w:pPr>
        <w:rPr>
          <w:b/>
          <w:bCs/>
          <w:szCs w:val="28"/>
        </w:rPr>
      </w:pPr>
    </w:p>
    <w:p w14:paraId="2BBE1FF1" w14:textId="5A4BBB2A" w:rsidR="00BD5EEA" w:rsidRPr="00D96BF7" w:rsidRDefault="00525D0B" w:rsidP="00D96B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sectPr w:rsidR="00BD5EEA" w:rsidRPr="00D96BF7" w:rsidSect="007F5803">
          <w:pgSz w:w="12240" w:h="15840"/>
          <w:pgMar w:top="1440" w:right="1440" w:bottom="1440" w:left="1440" w:header="1440" w:footer="1440" w:gutter="0"/>
          <w:pgNumType w:start="1"/>
          <w:cols w:space="720"/>
          <w:noEndnote/>
        </w:sectPr>
      </w:pPr>
      <w:r>
        <w:tab/>
      </w:r>
      <w:r w:rsidR="007B61E5">
        <w:t xml:space="preserve">The </w:t>
      </w:r>
      <w:r w:rsidR="00B958C1" w:rsidRPr="00806372">
        <w:t xml:space="preserve">estimated </w:t>
      </w:r>
      <w:r w:rsidR="00093A2D" w:rsidRPr="00806372">
        <w:t xml:space="preserve">average annual burden over three years for </w:t>
      </w:r>
      <w:r w:rsidR="00E36EA2" w:rsidRPr="00806372">
        <w:t xml:space="preserve">this </w:t>
      </w:r>
      <w:r w:rsidR="007B61E5" w:rsidRPr="00806372">
        <w:t xml:space="preserve">collection of information </w:t>
      </w:r>
      <w:r w:rsidR="00E36EA2" w:rsidRPr="00806372">
        <w:t xml:space="preserve">ranges </w:t>
      </w:r>
      <w:r w:rsidR="00E36EA2" w:rsidRPr="00CD4FB2">
        <w:t xml:space="preserve">from </w:t>
      </w:r>
      <w:r w:rsidR="00CD4FB2" w:rsidRPr="00CD4FB2">
        <w:t>39,458</w:t>
      </w:r>
      <w:r w:rsidR="00093A2D" w:rsidRPr="00CD4FB2">
        <w:t xml:space="preserve"> to </w:t>
      </w:r>
      <w:r w:rsidR="00CD4FB2" w:rsidRPr="00CD4FB2">
        <w:t>43,577</w:t>
      </w:r>
      <w:r w:rsidR="00806372" w:rsidRPr="00CD4FB2">
        <w:t xml:space="preserve"> hours</w:t>
      </w:r>
      <w:r w:rsidR="00093A2D" w:rsidRPr="00CD4FB2">
        <w:t>.</w:t>
      </w:r>
      <w:r w:rsidR="00806372">
        <w:t xml:space="preserve"> </w:t>
      </w:r>
      <w:r>
        <w:t>B</w:t>
      </w:r>
      <w:r w:rsidR="007B61E5">
        <w:rPr>
          <w:color w:val="000000"/>
        </w:rPr>
        <w:t>urden means the total time, effort, or financial resources expended by persons to generate, maintain, retain, or disclose or provide informati</w:t>
      </w:r>
      <w:r w:rsidR="00806372">
        <w:rPr>
          <w:color w:val="000000"/>
        </w:rPr>
        <w:t xml:space="preserve">on to or for a Federal agency. </w:t>
      </w:r>
      <w:r w:rsidR="007B61E5">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w:t>
      </w:r>
      <w:r w:rsidR="00806372">
        <w:rPr>
          <w:color w:val="000000"/>
        </w:rPr>
        <w:t xml:space="preserve">ntly valid OMB control number. </w:t>
      </w:r>
      <w:r w:rsidR="007B61E5">
        <w:rPr>
          <w:color w:val="000000"/>
        </w:rPr>
        <w:t xml:space="preserve">The OMB control numbers for EPA's regulations are listed in 40 CFR part 9 and 48 CFR chapter 15.   </w:t>
      </w:r>
    </w:p>
    <w:p w14:paraId="0BBAA36B" w14:textId="3E3F4012" w:rsidR="00D96BF7" w:rsidRDefault="00D96BF7" w:rsidP="00014D13">
      <w:pPr>
        <w:rPr>
          <w:vanish/>
          <w:sz w:val="20"/>
          <w:szCs w:val="20"/>
        </w:rPr>
      </w:pPr>
    </w:p>
    <w:tbl>
      <w:tblPr>
        <w:tblW w:w="5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2"/>
        <w:gridCol w:w="698"/>
        <w:gridCol w:w="659"/>
        <w:gridCol w:w="754"/>
        <w:gridCol w:w="852"/>
        <w:gridCol w:w="852"/>
        <w:gridCol w:w="662"/>
        <w:gridCol w:w="566"/>
        <w:gridCol w:w="670"/>
        <w:gridCol w:w="757"/>
        <w:gridCol w:w="757"/>
        <w:gridCol w:w="662"/>
        <w:gridCol w:w="762"/>
        <w:gridCol w:w="1236"/>
        <w:gridCol w:w="1027"/>
      </w:tblGrid>
      <w:tr w:rsidR="00D96BF7" w14:paraId="70B1CEE1" w14:textId="77777777" w:rsidTr="0070240F">
        <w:trPr>
          <w:trHeight w:val="301"/>
        </w:trPr>
        <w:tc>
          <w:tcPr>
            <w:tcW w:w="992" w:type="pct"/>
            <w:vMerge w:val="restart"/>
            <w:shd w:val="clear" w:color="auto" w:fill="auto"/>
            <w:noWrap/>
            <w:vAlign w:val="bottom"/>
            <w:hideMark/>
          </w:tcPr>
          <w:p w14:paraId="121BF73F" w14:textId="77777777" w:rsidR="00D96BF7" w:rsidRPr="00D96BF7" w:rsidRDefault="00D96BF7">
            <w:pPr>
              <w:jc w:val="center"/>
              <w:rPr>
                <w:b/>
                <w:bCs/>
                <w:color w:val="000000"/>
                <w:sz w:val="18"/>
                <w:szCs w:val="18"/>
              </w:rPr>
            </w:pPr>
            <w:r w:rsidRPr="00D96BF7">
              <w:rPr>
                <w:b/>
                <w:bCs/>
                <w:color w:val="000000"/>
                <w:sz w:val="18"/>
                <w:szCs w:val="18"/>
              </w:rPr>
              <w:t>Information Activity</w:t>
            </w:r>
          </w:p>
        </w:tc>
        <w:tc>
          <w:tcPr>
            <w:tcW w:w="4008" w:type="pct"/>
            <w:gridSpan w:val="14"/>
            <w:shd w:val="clear" w:color="auto" w:fill="auto"/>
            <w:noWrap/>
            <w:vAlign w:val="bottom"/>
            <w:hideMark/>
          </w:tcPr>
          <w:p w14:paraId="6323D511" w14:textId="171D2EA5" w:rsidR="00D96BF7" w:rsidRPr="00D96BF7" w:rsidRDefault="00D96BF7">
            <w:pPr>
              <w:jc w:val="center"/>
              <w:rPr>
                <w:b/>
                <w:bCs/>
                <w:color w:val="000000"/>
              </w:rPr>
            </w:pPr>
            <w:r w:rsidRPr="00D96BF7">
              <w:rPr>
                <w:b/>
                <w:bCs/>
                <w:color w:val="000000"/>
              </w:rPr>
              <w:t xml:space="preserve">Exhibit 1. </w:t>
            </w:r>
            <w:r w:rsidRPr="00D96BF7">
              <w:rPr>
                <w:b/>
                <w:color w:val="000000"/>
              </w:rPr>
              <w:t>Estimated Annual Respondent Burden and Costs</w:t>
            </w:r>
          </w:p>
        </w:tc>
      </w:tr>
      <w:tr w:rsidR="00D96BF7" w14:paraId="5DDDD5E6" w14:textId="77777777" w:rsidTr="0070240F">
        <w:trPr>
          <w:trHeight w:val="301"/>
        </w:trPr>
        <w:tc>
          <w:tcPr>
            <w:tcW w:w="992" w:type="pct"/>
            <w:vMerge/>
            <w:shd w:val="clear" w:color="auto" w:fill="auto"/>
            <w:noWrap/>
            <w:vAlign w:val="bottom"/>
          </w:tcPr>
          <w:p w14:paraId="7A281CFA" w14:textId="77777777" w:rsidR="00D96BF7" w:rsidRPr="00D96BF7" w:rsidRDefault="00D96BF7" w:rsidP="00D96BF7">
            <w:pPr>
              <w:jc w:val="center"/>
              <w:rPr>
                <w:b/>
                <w:bCs/>
                <w:color w:val="000000"/>
                <w:sz w:val="18"/>
                <w:szCs w:val="18"/>
              </w:rPr>
            </w:pPr>
          </w:p>
        </w:tc>
        <w:tc>
          <w:tcPr>
            <w:tcW w:w="2098" w:type="pct"/>
            <w:gridSpan w:val="8"/>
            <w:shd w:val="clear" w:color="auto" w:fill="auto"/>
            <w:noWrap/>
            <w:vAlign w:val="bottom"/>
          </w:tcPr>
          <w:p w14:paraId="6FEC9B3A" w14:textId="484DC3F8" w:rsidR="00D96BF7" w:rsidRPr="00D96BF7" w:rsidRDefault="00D96BF7" w:rsidP="00D96BF7">
            <w:pPr>
              <w:jc w:val="center"/>
              <w:rPr>
                <w:bCs/>
                <w:color w:val="000000"/>
                <w:sz w:val="18"/>
                <w:szCs w:val="18"/>
              </w:rPr>
            </w:pPr>
            <w:r w:rsidRPr="00D96BF7">
              <w:rPr>
                <w:bCs/>
                <w:color w:val="000000"/>
                <w:sz w:val="18"/>
                <w:szCs w:val="18"/>
              </w:rPr>
              <w:t>Hours and Cost per Respondent</w:t>
            </w:r>
          </w:p>
        </w:tc>
        <w:tc>
          <w:tcPr>
            <w:tcW w:w="1911" w:type="pct"/>
            <w:gridSpan w:val="6"/>
            <w:shd w:val="clear" w:color="auto" w:fill="auto"/>
            <w:noWrap/>
            <w:vAlign w:val="bottom"/>
          </w:tcPr>
          <w:p w14:paraId="630BFC60" w14:textId="6A63ED23" w:rsidR="00D96BF7" w:rsidRPr="00D96BF7" w:rsidRDefault="00D96BF7" w:rsidP="00D96BF7">
            <w:pPr>
              <w:jc w:val="center"/>
              <w:rPr>
                <w:b/>
                <w:bCs/>
                <w:color w:val="000000"/>
                <w:sz w:val="18"/>
                <w:szCs w:val="18"/>
              </w:rPr>
            </w:pPr>
            <w:r w:rsidRPr="00D96BF7">
              <w:rPr>
                <w:b/>
                <w:bCs/>
                <w:color w:val="000000"/>
                <w:sz w:val="18"/>
                <w:szCs w:val="18"/>
              </w:rPr>
              <w:t>Total Hours and Costs</w:t>
            </w:r>
          </w:p>
        </w:tc>
      </w:tr>
      <w:tr w:rsidR="0070240F" w14:paraId="50476765" w14:textId="77777777" w:rsidTr="0070240F">
        <w:trPr>
          <w:trHeight w:val="782"/>
        </w:trPr>
        <w:tc>
          <w:tcPr>
            <w:tcW w:w="992" w:type="pct"/>
            <w:vMerge/>
            <w:vAlign w:val="center"/>
            <w:hideMark/>
          </w:tcPr>
          <w:p w14:paraId="705A888B" w14:textId="77777777" w:rsidR="00D96BF7" w:rsidRPr="00D96BF7" w:rsidRDefault="00D96BF7">
            <w:pPr>
              <w:rPr>
                <w:b/>
                <w:bCs/>
                <w:color w:val="000000"/>
                <w:sz w:val="18"/>
                <w:szCs w:val="18"/>
              </w:rPr>
            </w:pPr>
          </w:p>
        </w:tc>
        <w:tc>
          <w:tcPr>
            <w:tcW w:w="256" w:type="pct"/>
            <w:shd w:val="clear" w:color="auto" w:fill="auto"/>
            <w:vAlign w:val="bottom"/>
            <w:hideMark/>
          </w:tcPr>
          <w:p w14:paraId="5C35319C" w14:textId="77777777" w:rsidR="00D96BF7" w:rsidRPr="00D96BF7" w:rsidRDefault="00D96BF7">
            <w:pPr>
              <w:rPr>
                <w:bCs/>
                <w:color w:val="000000"/>
                <w:sz w:val="18"/>
                <w:szCs w:val="18"/>
              </w:rPr>
            </w:pPr>
            <w:r w:rsidRPr="00D96BF7">
              <w:rPr>
                <w:bCs/>
                <w:color w:val="000000"/>
                <w:sz w:val="18"/>
                <w:szCs w:val="18"/>
              </w:rPr>
              <w:t>Leg. $128.48/Hr</w:t>
            </w:r>
          </w:p>
        </w:tc>
        <w:tc>
          <w:tcPr>
            <w:tcW w:w="242" w:type="pct"/>
            <w:shd w:val="clear" w:color="auto" w:fill="auto"/>
            <w:vAlign w:val="bottom"/>
            <w:hideMark/>
          </w:tcPr>
          <w:p w14:paraId="7FBD03E9" w14:textId="77777777" w:rsidR="00D96BF7" w:rsidRPr="00D96BF7" w:rsidRDefault="00D96BF7">
            <w:pPr>
              <w:rPr>
                <w:bCs/>
                <w:color w:val="000000"/>
                <w:sz w:val="18"/>
                <w:szCs w:val="18"/>
              </w:rPr>
            </w:pPr>
            <w:r w:rsidRPr="00D96BF7">
              <w:rPr>
                <w:bCs/>
                <w:color w:val="000000"/>
                <w:sz w:val="18"/>
                <w:szCs w:val="18"/>
              </w:rPr>
              <w:t>Mgr. $108.40/Hr</w:t>
            </w:r>
          </w:p>
        </w:tc>
        <w:tc>
          <w:tcPr>
            <w:tcW w:w="277" w:type="pct"/>
            <w:shd w:val="clear" w:color="auto" w:fill="auto"/>
            <w:vAlign w:val="bottom"/>
            <w:hideMark/>
          </w:tcPr>
          <w:p w14:paraId="114C0479" w14:textId="77777777" w:rsidR="00D96BF7" w:rsidRPr="00D96BF7" w:rsidRDefault="00D96BF7">
            <w:pPr>
              <w:rPr>
                <w:bCs/>
                <w:color w:val="000000"/>
                <w:sz w:val="18"/>
                <w:szCs w:val="18"/>
              </w:rPr>
            </w:pPr>
            <w:r w:rsidRPr="00D96BF7">
              <w:rPr>
                <w:bCs/>
                <w:color w:val="000000"/>
                <w:sz w:val="18"/>
                <w:szCs w:val="18"/>
              </w:rPr>
              <w:t>Tech. $53.25/Hr</w:t>
            </w:r>
          </w:p>
        </w:tc>
        <w:tc>
          <w:tcPr>
            <w:tcW w:w="313" w:type="pct"/>
            <w:shd w:val="clear" w:color="auto" w:fill="auto"/>
            <w:vAlign w:val="bottom"/>
            <w:hideMark/>
          </w:tcPr>
          <w:p w14:paraId="2C544F21" w14:textId="77777777" w:rsidR="00D96BF7" w:rsidRPr="00D96BF7" w:rsidRDefault="00D96BF7">
            <w:pPr>
              <w:rPr>
                <w:bCs/>
                <w:color w:val="000000"/>
                <w:sz w:val="18"/>
                <w:szCs w:val="18"/>
              </w:rPr>
            </w:pPr>
            <w:r w:rsidRPr="00D96BF7">
              <w:rPr>
                <w:bCs/>
                <w:color w:val="000000"/>
                <w:sz w:val="18"/>
                <w:szCs w:val="18"/>
              </w:rPr>
              <w:t>Cler. $30.32/Hr</w:t>
            </w:r>
          </w:p>
        </w:tc>
        <w:tc>
          <w:tcPr>
            <w:tcW w:w="313" w:type="pct"/>
            <w:shd w:val="clear" w:color="auto" w:fill="auto"/>
            <w:vAlign w:val="bottom"/>
            <w:hideMark/>
          </w:tcPr>
          <w:p w14:paraId="396C6F2B" w14:textId="77777777" w:rsidR="00D96BF7" w:rsidRPr="00D96BF7" w:rsidRDefault="00D96BF7">
            <w:pPr>
              <w:rPr>
                <w:bCs/>
                <w:color w:val="000000"/>
                <w:sz w:val="18"/>
                <w:szCs w:val="18"/>
              </w:rPr>
            </w:pPr>
            <w:r w:rsidRPr="00D96BF7">
              <w:rPr>
                <w:bCs/>
                <w:color w:val="000000"/>
                <w:sz w:val="18"/>
                <w:szCs w:val="18"/>
              </w:rPr>
              <w:t>Resp. Hours/Yr</w:t>
            </w:r>
          </w:p>
        </w:tc>
        <w:tc>
          <w:tcPr>
            <w:tcW w:w="243" w:type="pct"/>
            <w:shd w:val="clear" w:color="auto" w:fill="auto"/>
            <w:vAlign w:val="bottom"/>
            <w:hideMark/>
          </w:tcPr>
          <w:p w14:paraId="0FF197B8" w14:textId="77777777" w:rsidR="00D96BF7" w:rsidRPr="00D96BF7" w:rsidRDefault="00D96BF7">
            <w:pPr>
              <w:rPr>
                <w:bCs/>
                <w:color w:val="000000"/>
                <w:sz w:val="18"/>
                <w:szCs w:val="18"/>
              </w:rPr>
            </w:pPr>
            <w:r w:rsidRPr="00D96BF7">
              <w:rPr>
                <w:bCs/>
                <w:color w:val="000000"/>
                <w:sz w:val="18"/>
                <w:szCs w:val="18"/>
              </w:rPr>
              <w:t>Labor Cost/Yr</w:t>
            </w:r>
          </w:p>
        </w:tc>
        <w:tc>
          <w:tcPr>
            <w:tcW w:w="208" w:type="pct"/>
            <w:shd w:val="clear" w:color="auto" w:fill="auto"/>
            <w:vAlign w:val="bottom"/>
            <w:hideMark/>
          </w:tcPr>
          <w:p w14:paraId="4256322E" w14:textId="77777777" w:rsidR="00D96BF7" w:rsidRPr="00D96BF7" w:rsidRDefault="00D96BF7">
            <w:pPr>
              <w:rPr>
                <w:bCs/>
                <w:color w:val="000000"/>
                <w:sz w:val="18"/>
                <w:szCs w:val="18"/>
              </w:rPr>
            </w:pPr>
            <w:r w:rsidRPr="00D96BF7">
              <w:rPr>
                <w:bCs/>
                <w:color w:val="000000"/>
                <w:sz w:val="18"/>
                <w:szCs w:val="18"/>
              </w:rPr>
              <w:t>Capital/ Startup Cost</w:t>
            </w:r>
          </w:p>
        </w:tc>
        <w:tc>
          <w:tcPr>
            <w:tcW w:w="244" w:type="pct"/>
            <w:shd w:val="clear" w:color="auto" w:fill="auto"/>
            <w:vAlign w:val="bottom"/>
            <w:hideMark/>
          </w:tcPr>
          <w:p w14:paraId="7FCFDB5C" w14:textId="77777777" w:rsidR="00D96BF7" w:rsidRPr="00D96BF7" w:rsidRDefault="00D96BF7">
            <w:pPr>
              <w:rPr>
                <w:bCs/>
                <w:color w:val="000000"/>
                <w:sz w:val="18"/>
                <w:szCs w:val="18"/>
              </w:rPr>
            </w:pPr>
            <w:r w:rsidRPr="00D96BF7">
              <w:rPr>
                <w:bCs/>
                <w:color w:val="000000"/>
                <w:sz w:val="18"/>
                <w:szCs w:val="18"/>
              </w:rPr>
              <w:t>O&amp;M Cost</w:t>
            </w:r>
          </w:p>
        </w:tc>
        <w:tc>
          <w:tcPr>
            <w:tcW w:w="278" w:type="pct"/>
            <w:shd w:val="clear" w:color="auto" w:fill="auto"/>
            <w:vAlign w:val="bottom"/>
            <w:hideMark/>
          </w:tcPr>
          <w:p w14:paraId="641F51A7" w14:textId="77777777" w:rsidR="00D96BF7" w:rsidRPr="00D96BF7" w:rsidRDefault="00D96BF7">
            <w:pPr>
              <w:rPr>
                <w:b/>
                <w:bCs/>
                <w:color w:val="000000"/>
                <w:sz w:val="18"/>
                <w:szCs w:val="18"/>
              </w:rPr>
            </w:pPr>
            <w:r w:rsidRPr="00D96BF7">
              <w:rPr>
                <w:b/>
                <w:bCs/>
                <w:color w:val="000000"/>
                <w:sz w:val="18"/>
                <w:szCs w:val="18"/>
              </w:rPr>
              <w:t>Number of Resp. (Low)</w:t>
            </w:r>
          </w:p>
        </w:tc>
        <w:tc>
          <w:tcPr>
            <w:tcW w:w="278" w:type="pct"/>
            <w:shd w:val="clear" w:color="auto" w:fill="auto"/>
            <w:vAlign w:val="bottom"/>
            <w:hideMark/>
          </w:tcPr>
          <w:p w14:paraId="208C6FFA" w14:textId="77777777" w:rsidR="00D96BF7" w:rsidRPr="00D96BF7" w:rsidRDefault="00D96BF7">
            <w:pPr>
              <w:rPr>
                <w:b/>
                <w:bCs/>
                <w:color w:val="000000"/>
                <w:sz w:val="18"/>
                <w:szCs w:val="18"/>
              </w:rPr>
            </w:pPr>
            <w:r w:rsidRPr="00D96BF7">
              <w:rPr>
                <w:b/>
                <w:bCs/>
                <w:color w:val="000000"/>
                <w:sz w:val="18"/>
                <w:szCs w:val="18"/>
              </w:rPr>
              <w:t>Number of Resp. (High)</w:t>
            </w:r>
          </w:p>
        </w:tc>
        <w:tc>
          <w:tcPr>
            <w:tcW w:w="243" w:type="pct"/>
            <w:shd w:val="clear" w:color="auto" w:fill="auto"/>
            <w:vAlign w:val="bottom"/>
            <w:hideMark/>
          </w:tcPr>
          <w:p w14:paraId="46B08A69" w14:textId="77777777" w:rsidR="00D96BF7" w:rsidRPr="00D96BF7" w:rsidRDefault="00D96BF7">
            <w:pPr>
              <w:rPr>
                <w:b/>
                <w:bCs/>
                <w:color w:val="000000"/>
                <w:sz w:val="18"/>
                <w:szCs w:val="18"/>
              </w:rPr>
            </w:pPr>
            <w:r w:rsidRPr="00D96BF7">
              <w:rPr>
                <w:b/>
                <w:bCs/>
                <w:color w:val="000000"/>
                <w:sz w:val="18"/>
                <w:szCs w:val="18"/>
              </w:rPr>
              <w:t>Total Hours/Yr (Low)</w:t>
            </w:r>
          </w:p>
        </w:tc>
        <w:tc>
          <w:tcPr>
            <w:tcW w:w="280" w:type="pct"/>
            <w:shd w:val="clear" w:color="auto" w:fill="auto"/>
            <w:vAlign w:val="bottom"/>
            <w:hideMark/>
          </w:tcPr>
          <w:p w14:paraId="7DBAA7A5" w14:textId="77777777" w:rsidR="00D96BF7" w:rsidRPr="00D96BF7" w:rsidRDefault="00D96BF7">
            <w:pPr>
              <w:rPr>
                <w:b/>
                <w:bCs/>
                <w:color w:val="000000"/>
                <w:sz w:val="18"/>
                <w:szCs w:val="18"/>
              </w:rPr>
            </w:pPr>
            <w:r w:rsidRPr="00D96BF7">
              <w:rPr>
                <w:b/>
                <w:bCs/>
                <w:color w:val="000000"/>
                <w:sz w:val="18"/>
                <w:szCs w:val="18"/>
              </w:rPr>
              <w:t>Total Hours/Yr (High)</w:t>
            </w:r>
          </w:p>
        </w:tc>
        <w:tc>
          <w:tcPr>
            <w:tcW w:w="454" w:type="pct"/>
            <w:shd w:val="clear" w:color="auto" w:fill="auto"/>
            <w:vAlign w:val="bottom"/>
            <w:hideMark/>
          </w:tcPr>
          <w:p w14:paraId="7CBE6C69" w14:textId="77777777" w:rsidR="00D96BF7" w:rsidRPr="00D96BF7" w:rsidRDefault="00D96BF7">
            <w:pPr>
              <w:rPr>
                <w:b/>
                <w:bCs/>
                <w:color w:val="000000"/>
                <w:sz w:val="18"/>
                <w:szCs w:val="18"/>
              </w:rPr>
            </w:pPr>
            <w:r w:rsidRPr="00D96BF7">
              <w:rPr>
                <w:b/>
                <w:bCs/>
                <w:color w:val="000000"/>
                <w:sz w:val="18"/>
                <w:szCs w:val="18"/>
              </w:rPr>
              <w:t>Total Cost/Yr (Low)</w:t>
            </w:r>
          </w:p>
        </w:tc>
        <w:tc>
          <w:tcPr>
            <w:tcW w:w="376" w:type="pct"/>
            <w:shd w:val="clear" w:color="auto" w:fill="auto"/>
            <w:vAlign w:val="bottom"/>
            <w:hideMark/>
          </w:tcPr>
          <w:p w14:paraId="3051E192" w14:textId="77777777" w:rsidR="00D96BF7" w:rsidRPr="00D96BF7" w:rsidRDefault="00D96BF7">
            <w:pPr>
              <w:rPr>
                <w:b/>
                <w:bCs/>
                <w:color w:val="000000"/>
                <w:sz w:val="18"/>
                <w:szCs w:val="18"/>
              </w:rPr>
            </w:pPr>
            <w:r w:rsidRPr="00D96BF7">
              <w:rPr>
                <w:b/>
                <w:bCs/>
                <w:color w:val="000000"/>
                <w:sz w:val="18"/>
                <w:szCs w:val="18"/>
              </w:rPr>
              <w:t>Total Cost/Yr (High)</w:t>
            </w:r>
          </w:p>
        </w:tc>
      </w:tr>
      <w:tr w:rsidR="0070240F" w14:paraId="1AA8EF21" w14:textId="77777777" w:rsidTr="0070240F">
        <w:trPr>
          <w:trHeight w:val="255"/>
        </w:trPr>
        <w:tc>
          <w:tcPr>
            <w:tcW w:w="992" w:type="pct"/>
            <w:shd w:val="clear" w:color="000000" w:fill="D9D9D9"/>
            <w:noWrap/>
            <w:vAlign w:val="bottom"/>
            <w:hideMark/>
          </w:tcPr>
          <w:p w14:paraId="294D86CB" w14:textId="77777777" w:rsidR="00D96BF7" w:rsidRPr="00D96BF7" w:rsidRDefault="00D96BF7">
            <w:pPr>
              <w:rPr>
                <w:color w:val="000000"/>
                <w:sz w:val="18"/>
                <w:szCs w:val="18"/>
              </w:rPr>
            </w:pPr>
            <w:r w:rsidRPr="00D96BF7">
              <w:rPr>
                <w:color w:val="000000"/>
                <w:sz w:val="18"/>
                <w:szCs w:val="18"/>
              </w:rPr>
              <w:t>Reading the Rule</w:t>
            </w:r>
          </w:p>
        </w:tc>
        <w:tc>
          <w:tcPr>
            <w:tcW w:w="256" w:type="pct"/>
            <w:shd w:val="clear" w:color="000000" w:fill="D9D9D9"/>
            <w:noWrap/>
            <w:vAlign w:val="bottom"/>
            <w:hideMark/>
          </w:tcPr>
          <w:p w14:paraId="1E38EDBE" w14:textId="77777777" w:rsidR="00D96BF7" w:rsidRPr="00D96BF7" w:rsidRDefault="00D96BF7">
            <w:pPr>
              <w:rPr>
                <w:color w:val="000000"/>
                <w:sz w:val="18"/>
                <w:szCs w:val="18"/>
              </w:rPr>
            </w:pPr>
            <w:r w:rsidRPr="00D96BF7">
              <w:rPr>
                <w:color w:val="000000"/>
                <w:sz w:val="18"/>
                <w:szCs w:val="18"/>
              </w:rPr>
              <w:t> </w:t>
            </w:r>
          </w:p>
        </w:tc>
        <w:tc>
          <w:tcPr>
            <w:tcW w:w="242" w:type="pct"/>
            <w:shd w:val="clear" w:color="000000" w:fill="D9D9D9"/>
            <w:noWrap/>
            <w:vAlign w:val="bottom"/>
            <w:hideMark/>
          </w:tcPr>
          <w:p w14:paraId="09055D41" w14:textId="77777777" w:rsidR="00D96BF7" w:rsidRPr="00D96BF7" w:rsidRDefault="00D96BF7">
            <w:pPr>
              <w:rPr>
                <w:color w:val="000000"/>
                <w:sz w:val="18"/>
                <w:szCs w:val="18"/>
              </w:rPr>
            </w:pPr>
            <w:r w:rsidRPr="00D96BF7">
              <w:rPr>
                <w:color w:val="000000"/>
                <w:sz w:val="18"/>
                <w:szCs w:val="18"/>
              </w:rPr>
              <w:t> </w:t>
            </w:r>
          </w:p>
        </w:tc>
        <w:tc>
          <w:tcPr>
            <w:tcW w:w="277" w:type="pct"/>
            <w:shd w:val="clear" w:color="000000" w:fill="D9D9D9"/>
            <w:noWrap/>
            <w:vAlign w:val="bottom"/>
            <w:hideMark/>
          </w:tcPr>
          <w:p w14:paraId="2DD7482D" w14:textId="77777777" w:rsidR="00D96BF7" w:rsidRPr="00D96BF7" w:rsidRDefault="00D96BF7">
            <w:pPr>
              <w:rPr>
                <w:color w:val="000000"/>
                <w:sz w:val="18"/>
                <w:szCs w:val="18"/>
              </w:rPr>
            </w:pPr>
            <w:r w:rsidRPr="00D96BF7">
              <w:rPr>
                <w:color w:val="000000"/>
                <w:sz w:val="18"/>
                <w:szCs w:val="18"/>
              </w:rPr>
              <w:t> </w:t>
            </w:r>
          </w:p>
        </w:tc>
        <w:tc>
          <w:tcPr>
            <w:tcW w:w="313" w:type="pct"/>
            <w:shd w:val="clear" w:color="000000" w:fill="D9D9D9"/>
            <w:noWrap/>
            <w:vAlign w:val="bottom"/>
            <w:hideMark/>
          </w:tcPr>
          <w:p w14:paraId="36F8BDB7" w14:textId="77777777" w:rsidR="00D96BF7" w:rsidRPr="00D96BF7" w:rsidRDefault="00D96BF7">
            <w:pPr>
              <w:rPr>
                <w:color w:val="000000"/>
                <w:sz w:val="18"/>
                <w:szCs w:val="18"/>
              </w:rPr>
            </w:pPr>
            <w:r w:rsidRPr="00D96BF7">
              <w:rPr>
                <w:color w:val="000000"/>
                <w:sz w:val="18"/>
                <w:szCs w:val="18"/>
              </w:rPr>
              <w:t> </w:t>
            </w:r>
          </w:p>
        </w:tc>
        <w:tc>
          <w:tcPr>
            <w:tcW w:w="313" w:type="pct"/>
            <w:shd w:val="clear" w:color="000000" w:fill="D9D9D9"/>
            <w:noWrap/>
            <w:vAlign w:val="bottom"/>
            <w:hideMark/>
          </w:tcPr>
          <w:p w14:paraId="7F92E760" w14:textId="77777777" w:rsidR="00D96BF7" w:rsidRPr="00D96BF7" w:rsidRDefault="00D96BF7">
            <w:pPr>
              <w:rPr>
                <w:color w:val="000000"/>
                <w:sz w:val="18"/>
                <w:szCs w:val="18"/>
              </w:rPr>
            </w:pPr>
            <w:r w:rsidRPr="00D96BF7">
              <w:rPr>
                <w:color w:val="000000"/>
                <w:sz w:val="18"/>
                <w:szCs w:val="18"/>
              </w:rPr>
              <w:t> </w:t>
            </w:r>
          </w:p>
        </w:tc>
        <w:tc>
          <w:tcPr>
            <w:tcW w:w="243" w:type="pct"/>
            <w:shd w:val="clear" w:color="000000" w:fill="D9D9D9"/>
            <w:noWrap/>
            <w:vAlign w:val="bottom"/>
            <w:hideMark/>
          </w:tcPr>
          <w:p w14:paraId="41C33C2B" w14:textId="77777777" w:rsidR="00D96BF7" w:rsidRPr="00D96BF7" w:rsidRDefault="00D96BF7">
            <w:pPr>
              <w:rPr>
                <w:color w:val="000000"/>
                <w:sz w:val="18"/>
                <w:szCs w:val="18"/>
              </w:rPr>
            </w:pPr>
            <w:r w:rsidRPr="00D96BF7">
              <w:rPr>
                <w:color w:val="000000"/>
                <w:sz w:val="18"/>
                <w:szCs w:val="18"/>
              </w:rPr>
              <w:t> </w:t>
            </w:r>
          </w:p>
        </w:tc>
        <w:tc>
          <w:tcPr>
            <w:tcW w:w="208" w:type="pct"/>
            <w:shd w:val="clear" w:color="000000" w:fill="D9D9D9"/>
            <w:vAlign w:val="center"/>
            <w:hideMark/>
          </w:tcPr>
          <w:p w14:paraId="79E825D8" w14:textId="77777777" w:rsidR="00D96BF7" w:rsidRPr="00D96BF7" w:rsidRDefault="00D96BF7">
            <w:pPr>
              <w:jc w:val="right"/>
              <w:rPr>
                <w:color w:val="000000"/>
                <w:sz w:val="18"/>
                <w:szCs w:val="18"/>
              </w:rPr>
            </w:pPr>
            <w:r w:rsidRPr="00D96BF7">
              <w:rPr>
                <w:color w:val="000000"/>
                <w:sz w:val="18"/>
                <w:szCs w:val="18"/>
              </w:rPr>
              <w:t> </w:t>
            </w:r>
          </w:p>
        </w:tc>
        <w:tc>
          <w:tcPr>
            <w:tcW w:w="244" w:type="pct"/>
            <w:shd w:val="clear" w:color="000000" w:fill="D9D9D9"/>
            <w:noWrap/>
            <w:vAlign w:val="bottom"/>
            <w:hideMark/>
          </w:tcPr>
          <w:p w14:paraId="5A00C2B5" w14:textId="77777777" w:rsidR="00D96BF7" w:rsidRPr="00D96BF7" w:rsidRDefault="00D96BF7">
            <w:pPr>
              <w:rPr>
                <w:color w:val="000000"/>
                <w:sz w:val="18"/>
                <w:szCs w:val="18"/>
              </w:rPr>
            </w:pPr>
            <w:r w:rsidRPr="00D96BF7">
              <w:rPr>
                <w:color w:val="000000"/>
                <w:sz w:val="18"/>
                <w:szCs w:val="18"/>
              </w:rPr>
              <w:t> </w:t>
            </w:r>
          </w:p>
        </w:tc>
        <w:tc>
          <w:tcPr>
            <w:tcW w:w="278" w:type="pct"/>
            <w:shd w:val="clear" w:color="000000" w:fill="D9D9D9"/>
            <w:noWrap/>
            <w:vAlign w:val="bottom"/>
            <w:hideMark/>
          </w:tcPr>
          <w:p w14:paraId="6A3A81AD" w14:textId="77777777" w:rsidR="00D96BF7" w:rsidRPr="00D96BF7" w:rsidRDefault="00D96BF7">
            <w:pPr>
              <w:rPr>
                <w:color w:val="000000"/>
                <w:sz w:val="18"/>
                <w:szCs w:val="18"/>
              </w:rPr>
            </w:pPr>
            <w:r w:rsidRPr="00D96BF7">
              <w:rPr>
                <w:color w:val="000000"/>
                <w:sz w:val="18"/>
                <w:szCs w:val="18"/>
              </w:rPr>
              <w:t> </w:t>
            </w:r>
          </w:p>
        </w:tc>
        <w:tc>
          <w:tcPr>
            <w:tcW w:w="278" w:type="pct"/>
            <w:shd w:val="clear" w:color="000000" w:fill="D9D9D9"/>
            <w:noWrap/>
            <w:vAlign w:val="bottom"/>
            <w:hideMark/>
          </w:tcPr>
          <w:p w14:paraId="618DC793" w14:textId="77777777" w:rsidR="00D96BF7" w:rsidRPr="00D96BF7" w:rsidRDefault="00D96BF7">
            <w:pPr>
              <w:rPr>
                <w:color w:val="000000"/>
                <w:sz w:val="18"/>
                <w:szCs w:val="18"/>
              </w:rPr>
            </w:pPr>
            <w:r w:rsidRPr="00D96BF7">
              <w:rPr>
                <w:color w:val="000000"/>
                <w:sz w:val="18"/>
                <w:szCs w:val="18"/>
              </w:rPr>
              <w:t> </w:t>
            </w:r>
          </w:p>
        </w:tc>
        <w:tc>
          <w:tcPr>
            <w:tcW w:w="243" w:type="pct"/>
            <w:shd w:val="clear" w:color="000000" w:fill="D9D9D9"/>
            <w:noWrap/>
            <w:vAlign w:val="bottom"/>
            <w:hideMark/>
          </w:tcPr>
          <w:p w14:paraId="172E4AAA" w14:textId="77777777" w:rsidR="00D96BF7" w:rsidRPr="00D96BF7" w:rsidRDefault="00D96BF7">
            <w:pPr>
              <w:rPr>
                <w:color w:val="000000"/>
                <w:sz w:val="18"/>
                <w:szCs w:val="18"/>
              </w:rPr>
            </w:pPr>
            <w:r w:rsidRPr="00D96BF7">
              <w:rPr>
                <w:color w:val="000000"/>
                <w:sz w:val="18"/>
                <w:szCs w:val="18"/>
              </w:rPr>
              <w:t> </w:t>
            </w:r>
          </w:p>
        </w:tc>
        <w:tc>
          <w:tcPr>
            <w:tcW w:w="280" w:type="pct"/>
            <w:shd w:val="clear" w:color="000000" w:fill="D9D9D9"/>
            <w:noWrap/>
            <w:vAlign w:val="bottom"/>
            <w:hideMark/>
          </w:tcPr>
          <w:p w14:paraId="65F323B0" w14:textId="77777777" w:rsidR="00D96BF7" w:rsidRPr="00D96BF7" w:rsidRDefault="00D96BF7">
            <w:pPr>
              <w:rPr>
                <w:color w:val="000000"/>
                <w:sz w:val="18"/>
                <w:szCs w:val="18"/>
              </w:rPr>
            </w:pPr>
            <w:r w:rsidRPr="00D96BF7">
              <w:rPr>
                <w:color w:val="000000"/>
                <w:sz w:val="18"/>
                <w:szCs w:val="18"/>
              </w:rPr>
              <w:t> </w:t>
            </w:r>
          </w:p>
        </w:tc>
        <w:tc>
          <w:tcPr>
            <w:tcW w:w="454" w:type="pct"/>
            <w:shd w:val="clear" w:color="000000" w:fill="D9D9D9"/>
            <w:noWrap/>
            <w:vAlign w:val="bottom"/>
            <w:hideMark/>
          </w:tcPr>
          <w:p w14:paraId="3BACFF2A" w14:textId="77777777" w:rsidR="00D96BF7" w:rsidRPr="00D96BF7" w:rsidRDefault="00D96BF7">
            <w:pPr>
              <w:rPr>
                <w:color w:val="000000"/>
                <w:sz w:val="18"/>
                <w:szCs w:val="18"/>
              </w:rPr>
            </w:pPr>
            <w:r w:rsidRPr="00D96BF7">
              <w:rPr>
                <w:color w:val="000000"/>
                <w:sz w:val="18"/>
                <w:szCs w:val="18"/>
              </w:rPr>
              <w:t> </w:t>
            </w:r>
          </w:p>
        </w:tc>
        <w:tc>
          <w:tcPr>
            <w:tcW w:w="376" w:type="pct"/>
            <w:shd w:val="clear" w:color="000000" w:fill="D9D9D9"/>
            <w:noWrap/>
            <w:vAlign w:val="bottom"/>
            <w:hideMark/>
          </w:tcPr>
          <w:p w14:paraId="76C5BB22" w14:textId="77777777" w:rsidR="00D96BF7" w:rsidRPr="00D96BF7" w:rsidRDefault="00D96BF7">
            <w:pPr>
              <w:rPr>
                <w:color w:val="000000"/>
                <w:sz w:val="18"/>
                <w:szCs w:val="18"/>
              </w:rPr>
            </w:pPr>
            <w:r w:rsidRPr="00D96BF7">
              <w:rPr>
                <w:color w:val="000000"/>
                <w:sz w:val="18"/>
                <w:szCs w:val="18"/>
              </w:rPr>
              <w:t> </w:t>
            </w:r>
          </w:p>
        </w:tc>
      </w:tr>
      <w:tr w:rsidR="0070240F" w14:paraId="76E53C78" w14:textId="77777777" w:rsidTr="0070240F">
        <w:trPr>
          <w:trHeight w:val="301"/>
        </w:trPr>
        <w:tc>
          <w:tcPr>
            <w:tcW w:w="992" w:type="pct"/>
            <w:shd w:val="clear" w:color="auto" w:fill="auto"/>
            <w:vAlign w:val="center"/>
            <w:hideMark/>
          </w:tcPr>
          <w:p w14:paraId="5DEA8E7E" w14:textId="77777777" w:rsidR="00D96BF7" w:rsidRPr="00D96BF7" w:rsidRDefault="00D96BF7">
            <w:pPr>
              <w:rPr>
                <w:color w:val="000000"/>
                <w:sz w:val="18"/>
                <w:szCs w:val="18"/>
              </w:rPr>
            </w:pPr>
            <w:r w:rsidRPr="00D96BF7">
              <w:rPr>
                <w:color w:val="000000"/>
                <w:sz w:val="18"/>
                <w:szCs w:val="18"/>
              </w:rPr>
              <w:t>Reading the Rule</w:t>
            </w:r>
          </w:p>
        </w:tc>
        <w:tc>
          <w:tcPr>
            <w:tcW w:w="256" w:type="pct"/>
            <w:shd w:val="clear" w:color="auto" w:fill="auto"/>
            <w:vAlign w:val="center"/>
            <w:hideMark/>
          </w:tcPr>
          <w:p w14:paraId="0A6958E2" w14:textId="77777777" w:rsidR="00D96BF7" w:rsidRPr="00D96BF7" w:rsidRDefault="00D96BF7">
            <w:pPr>
              <w:jc w:val="right"/>
              <w:rPr>
                <w:color w:val="000000"/>
                <w:sz w:val="18"/>
                <w:szCs w:val="18"/>
              </w:rPr>
            </w:pPr>
            <w:r w:rsidRPr="00D96BF7">
              <w:rPr>
                <w:color w:val="000000"/>
                <w:sz w:val="18"/>
                <w:szCs w:val="18"/>
              </w:rPr>
              <w:t>0</w:t>
            </w:r>
          </w:p>
        </w:tc>
        <w:tc>
          <w:tcPr>
            <w:tcW w:w="242" w:type="pct"/>
            <w:shd w:val="clear" w:color="auto" w:fill="auto"/>
            <w:vAlign w:val="center"/>
            <w:hideMark/>
          </w:tcPr>
          <w:p w14:paraId="0683992B" w14:textId="77777777" w:rsidR="00D96BF7" w:rsidRPr="00D96BF7" w:rsidRDefault="00D96BF7">
            <w:pPr>
              <w:jc w:val="right"/>
              <w:rPr>
                <w:color w:val="000000"/>
                <w:sz w:val="18"/>
                <w:szCs w:val="18"/>
              </w:rPr>
            </w:pPr>
            <w:r w:rsidRPr="00D96BF7">
              <w:rPr>
                <w:color w:val="000000"/>
                <w:sz w:val="18"/>
                <w:szCs w:val="18"/>
              </w:rPr>
              <w:t>1.00</w:t>
            </w:r>
          </w:p>
        </w:tc>
        <w:tc>
          <w:tcPr>
            <w:tcW w:w="277" w:type="pct"/>
            <w:shd w:val="clear" w:color="auto" w:fill="auto"/>
            <w:vAlign w:val="center"/>
            <w:hideMark/>
          </w:tcPr>
          <w:p w14:paraId="0197A98B" w14:textId="77777777" w:rsidR="00D96BF7" w:rsidRPr="00D96BF7" w:rsidRDefault="00D96BF7">
            <w:pPr>
              <w:jc w:val="right"/>
              <w:rPr>
                <w:color w:val="000000"/>
                <w:sz w:val="18"/>
                <w:szCs w:val="18"/>
              </w:rPr>
            </w:pPr>
            <w:r w:rsidRPr="00D96BF7">
              <w:rPr>
                <w:color w:val="000000"/>
                <w:sz w:val="18"/>
                <w:szCs w:val="18"/>
              </w:rPr>
              <w:t>2.50</w:t>
            </w:r>
          </w:p>
        </w:tc>
        <w:tc>
          <w:tcPr>
            <w:tcW w:w="313" w:type="pct"/>
            <w:shd w:val="clear" w:color="auto" w:fill="auto"/>
            <w:vAlign w:val="center"/>
            <w:hideMark/>
          </w:tcPr>
          <w:p w14:paraId="324FDF56" w14:textId="77777777" w:rsidR="00D96BF7" w:rsidRPr="00D96BF7" w:rsidRDefault="00D96BF7">
            <w:pPr>
              <w:jc w:val="right"/>
              <w:rPr>
                <w:color w:val="000000"/>
                <w:sz w:val="18"/>
                <w:szCs w:val="18"/>
              </w:rPr>
            </w:pPr>
            <w:r w:rsidRPr="00D96BF7">
              <w:rPr>
                <w:color w:val="000000"/>
                <w:sz w:val="18"/>
                <w:szCs w:val="18"/>
              </w:rPr>
              <w:t>0</w:t>
            </w:r>
          </w:p>
        </w:tc>
        <w:tc>
          <w:tcPr>
            <w:tcW w:w="313" w:type="pct"/>
            <w:shd w:val="clear" w:color="auto" w:fill="auto"/>
            <w:vAlign w:val="center"/>
            <w:hideMark/>
          </w:tcPr>
          <w:p w14:paraId="3D37B5AB" w14:textId="77777777" w:rsidR="00D96BF7" w:rsidRPr="00D96BF7" w:rsidRDefault="00D96BF7">
            <w:pPr>
              <w:jc w:val="right"/>
              <w:rPr>
                <w:color w:val="000000"/>
                <w:sz w:val="18"/>
                <w:szCs w:val="18"/>
              </w:rPr>
            </w:pPr>
            <w:r w:rsidRPr="00D96BF7">
              <w:rPr>
                <w:color w:val="000000"/>
                <w:sz w:val="18"/>
                <w:szCs w:val="18"/>
              </w:rPr>
              <w:t>3.50</w:t>
            </w:r>
          </w:p>
        </w:tc>
        <w:tc>
          <w:tcPr>
            <w:tcW w:w="243" w:type="pct"/>
            <w:shd w:val="clear" w:color="auto" w:fill="auto"/>
            <w:vAlign w:val="center"/>
            <w:hideMark/>
          </w:tcPr>
          <w:p w14:paraId="1D4134C8" w14:textId="77777777" w:rsidR="00D96BF7" w:rsidRPr="00D96BF7" w:rsidRDefault="00D96BF7">
            <w:pPr>
              <w:jc w:val="right"/>
              <w:rPr>
                <w:color w:val="000000"/>
                <w:sz w:val="18"/>
                <w:szCs w:val="18"/>
              </w:rPr>
            </w:pPr>
            <w:r w:rsidRPr="00D96BF7">
              <w:rPr>
                <w:color w:val="000000"/>
                <w:sz w:val="18"/>
                <w:szCs w:val="18"/>
              </w:rPr>
              <w:t xml:space="preserve">$242 </w:t>
            </w:r>
          </w:p>
        </w:tc>
        <w:tc>
          <w:tcPr>
            <w:tcW w:w="208" w:type="pct"/>
            <w:shd w:val="clear" w:color="auto" w:fill="auto"/>
            <w:vAlign w:val="center"/>
            <w:hideMark/>
          </w:tcPr>
          <w:p w14:paraId="69929BBE" w14:textId="77777777" w:rsidR="00D96BF7" w:rsidRPr="00D96BF7" w:rsidRDefault="00D96BF7">
            <w:pPr>
              <w:jc w:val="right"/>
              <w:rPr>
                <w:color w:val="000000"/>
                <w:sz w:val="18"/>
                <w:szCs w:val="18"/>
              </w:rPr>
            </w:pPr>
            <w:r w:rsidRPr="00D96BF7">
              <w:rPr>
                <w:color w:val="000000"/>
                <w:sz w:val="18"/>
                <w:szCs w:val="18"/>
              </w:rPr>
              <w:t xml:space="preserve">$0 </w:t>
            </w:r>
          </w:p>
        </w:tc>
        <w:tc>
          <w:tcPr>
            <w:tcW w:w="244" w:type="pct"/>
            <w:shd w:val="clear" w:color="auto" w:fill="auto"/>
            <w:vAlign w:val="center"/>
            <w:hideMark/>
          </w:tcPr>
          <w:p w14:paraId="386DC5FB" w14:textId="77777777" w:rsidR="00D96BF7" w:rsidRPr="00D96BF7" w:rsidRDefault="00D96BF7">
            <w:pPr>
              <w:jc w:val="right"/>
              <w:rPr>
                <w:color w:val="000000"/>
                <w:sz w:val="18"/>
                <w:szCs w:val="18"/>
              </w:rPr>
            </w:pPr>
            <w:r w:rsidRPr="00D96BF7">
              <w:rPr>
                <w:color w:val="000000"/>
                <w:sz w:val="18"/>
                <w:szCs w:val="18"/>
              </w:rPr>
              <w:t>0</w:t>
            </w:r>
          </w:p>
        </w:tc>
        <w:tc>
          <w:tcPr>
            <w:tcW w:w="278" w:type="pct"/>
            <w:shd w:val="clear" w:color="auto" w:fill="auto"/>
            <w:vAlign w:val="center"/>
            <w:hideMark/>
          </w:tcPr>
          <w:p w14:paraId="6650EE9F" w14:textId="77777777" w:rsidR="00D96BF7" w:rsidRPr="00D96BF7" w:rsidRDefault="00D96BF7">
            <w:pPr>
              <w:jc w:val="right"/>
              <w:rPr>
                <w:color w:val="000000"/>
                <w:sz w:val="18"/>
                <w:szCs w:val="18"/>
              </w:rPr>
            </w:pPr>
            <w:r w:rsidRPr="00D96BF7">
              <w:rPr>
                <w:color w:val="000000"/>
                <w:sz w:val="18"/>
                <w:szCs w:val="18"/>
              </w:rPr>
              <w:t>11,916</w:t>
            </w:r>
          </w:p>
        </w:tc>
        <w:tc>
          <w:tcPr>
            <w:tcW w:w="278" w:type="pct"/>
            <w:shd w:val="clear" w:color="auto" w:fill="auto"/>
            <w:vAlign w:val="center"/>
            <w:hideMark/>
          </w:tcPr>
          <w:p w14:paraId="49DF2BB1" w14:textId="77777777" w:rsidR="00D96BF7" w:rsidRPr="00D96BF7" w:rsidRDefault="00D96BF7">
            <w:pPr>
              <w:jc w:val="right"/>
              <w:rPr>
                <w:color w:val="000000"/>
                <w:sz w:val="18"/>
                <w:szCs w:val="18"/>
              </w:rPr>
            </w:pPr>
            <w:r w:rsidRPr="00D96BF7">
              <w:rPr>
                <w:color w:val="000000"/>
                <w:sz w:val="18"/>
                <w:szCs w:val="18"/>
              </w:rPr>
              <w:t>13,373</w:t>
            </w:r>
          </w:p>
        </w:tc>
        <w:tc>
          <w:tcPr>
            <w:tcW w:w="243" w:type="pct"/>
            <w:shd w:val="clear" w:color="auto" w:fill="auto"/>
            <w:vAlign w:val="center"/>
            <w:hideMark/>
          </w:tcPr>
          <w:p w14:paraId="119C0EA7" w14:textId="77777777" w:rsidR="00D96BF7" w:rsidRPr="00D96BF7" w:rsidRDefault="00D96BF7">
            <w:pPr>
              <w:jc w:val="right"/>
              <w:rPr>
                <w:color w:val="000000"/>
                <w:sz w:val="18"/>
                <w:szCs w:val="18"/>
              </w:rPr>
            </w:pPr>
            <w:r w:rsidRPr="00D96BF7">
              <w:rPr>
                <w:color w:val="000000"/>
                <w:sz w:val="18"/>
                <w:szCs w:val="18"/>
              </w:rPr>
              <w:t>41,706</w:t>
            </w:r>
          </w:p>
        </w:tc>
        <w:tc>
          <w:tcPr>
            <w:tcW w:w="280" w:type="pct"/>
            <w:shd w:val="clear" w:color="auto" w:fill="auto"/>
            <w:vAlign w:val="center"/>
            <w:hideMark/>
          </w:tcPr>
          <w:p w14:paraId="2AEADEFB" w14:textId="77777777" w:rsidR="00D96BF7" w:rsidRPr="00D96BF7" w:rsidRDefault="00D96BF7">
            <w:pPr>
              <w:jc w:val="right"/>
              <w:rPr>
                <w:color w:val="000000"/>
                <w:sz w:val="18"/>
                <w:szCs w:val="18"/>
              </w:rPr>
            </w:pPr>
            <w:r w:rsidRPr="00D96BF7">
              <w:rPr>
                <w:color w:val="000000"/>
                <w:sz w:val="18"/>
                <w:szCs w:val="18"/>
              </w:rPr>
              <w:t>46,806</w:t>
            </w:r>
          </w:p>
        </w:tc>
        <w:tc>
          <w:tcPr>
            <w:tcW w:w="454" w:type="pct"/>
            <w:shd w:val="clear" w:color="auto" w:fill="auto"/>
            <w:vAlign w:val="center"/>
            <w:hideMark/>
          </w:tcPr>
          <w:p w14:paraId="0F791383" w14:textId="77777777" w:rsidR="00D96BF7" w:rsidRPr="00D96BF7" w:rsidRDefault="00D96BF7">
            <w:pPr>
              <w:jc w:val="right"/>
              <w:rPr>
                <w:sz w:val="18"/>
                <w:szCs w:val="18"/>
              </w:rPr>
            </w:pPr>
            <w:r w:rsidRPr="00D96BF7">
              <w:rPr>
                <w:sz w:val="18"/>
                <w:szCs w:val="18"/>
              </w:rPr>
              <w:t xml:space="preserve">$2,878,012 </w:t>
            </w:r>
          </w:p>
        </w:tc>
        <w:tc>
          <w:tcPr>
            <w:tcW w:w="376" w:type="pct"/>
            <w:shd w:val="clear" w:color="auto" w:fill="auto"/>
            <w:vAlign w:val="center"/>
            <w:hideMark/>
          </w:tcPr>
          <w:p w14:paraId="32EE3147" w14:textId="77777777" w:rsidR="00D96BF7" w:rsidRPr="00D96BF7" w:rsidRDefault="00D96BF7">
            <w:pPr>
              <w:jc w:val="right"/>
              <w:rPr>
                <w:sz w:val="18"/>
                <w:szCs w:val="18"/>
              </w:rPr>
            </w:pPr>
            <w:r w:rsidRPr="00D96BF7">
              <w:rPr>
                <w:sz w:val="18"/>
                <w:szCs w:val="18"/>
              </w:rPr>
              <w:t xml:space="preserve">$3,229,913.83 </w:t>
            </w:r>
          </w:p>
        </w:tc>
      </w:tr>
      <w:tr w:rsidR="0070240F" w14:paraId="3322BECF" w14:textId="77777777" w:rsidTr="0070240F">
        <w:trPr>
          <w:trHeight w:val="255"/>
        </w:trPr>
        <w:tc>
          <w:tcPr>
            <w:tcW w:w="992" w:type="pct"/>
            <w:shd w:val="clear" w:color="000000" w:fill="D9D9D9"/>
            <w:noWrap/>
            <w:vAlign w:val="bottom"/>
            <w:hideMark/>
          </w:tcPr>
          <w:p w14:paraId="534DB2F7" w14:textId="77777777" w:rsidR="00D96BF7" w:rsidRPr="00D96BF7" w:rsidRDefault="00D96BF7">
            <w:pPr>
              <w:rPr>
                <w:color w:val="000000"/>
                <w:sz w:val="18"/>
                <w:szCs w:val="18"/>
              </w:rPr>
            </w:pPr>
            <w:r w:rsidRPr="00D96BF7">
              <w:rPr>
                <w:color w:val="000000"/>
                <w:sz w:val="18"/>
                <w:szCs w:val="18"/>
              </w:rPr>
              <w:t>Notification</w:t>
            </w:r>
          </w:p>
        </w:tc>
        <w:tc>
          <w:tcPr>
            <w:tcW w:w="256" w:type="pct"/>
            <w:shd w:val="clear" w:color="000000" w:fill="D9D9D9"/>
            <w:noWrap/>
            <w:vAlign w:val="bottom"/>
            <w:hideMark/>
          </w:tcPr>
          <w:p w14:paraId="66D792CF" w14:textId="77777777" w:rsidR="00D96BF7" w:rsidRPr="00D96BF7" w:rsidRDefault="00D96BF7">
            <w:pPr>
              <w:rPr>
                <w:color w:val="000000"/>
                <w:sz w:val="18"/>
                <w:szCs w:val="18"/>
              </w:rPr>
            </w:pPr>
            <w:r w:rsidRPr="00D96BF7">
              <w:rPr>
                <w:color w:val="000000"/>
                <w:sz w:val="18"/>
                <w:szCs w:val="18"/>
              </w:rPr>
              <w:t> </w:t>
            </w:r>
          </w:p>
        </w:tc>
        <w:tc>
          <w:tcPr>
            <w:tcW w:w="242" w:type="pct"/>
            <w:shd w:val="clear" w:color="000000" w:fill="D9D9D9"/>
            <w:noWrap/>
            <w:vAlign w:val="bottom"/>
            <w:hideMark/>
          </w:tcPr>
          <w:p w14:paraId="7727EA4F" w14:textId="77777777" w:rsidR="00D96BF7" w:rsidRPr="00D96BF7" w:rsidRDefault="00D96BF7">
            <w:pPr>
              <w:rPr>
                <w:color w:val="000000"/>
                <w:sz w:val="18"/>
                <w:szCs w:val="18"/>
              </w:rPr>
            </w:pPr>
            <w:r w:rsidRPr="00D96BF7">
              <w:rPr>
                <w:color w:val="000000"/>
                <w:sz w:val="18"/>
                <w:szCs w:val="18"/>
              </w:rPr>
              <w:t> </w:t>
            </w:r>
          </w:p>
        </w:tc>
        <w:tc>
          <w:tcPr>
            <w:tcW w:w="277" w:type="pct"/>
            <w:shd w:val="clear" w:color="000000" w:fill="D9D9D9"/>
            <w:noWrap/>
            <w:vAlign w:val="bottom"/>
            <w:hideMark/>
          </w:tcPr>
          <w:p w14:paraId="5154D41B" w14:textId="77777777" w:rsidR="00D96BF7" w:rsidRPr="00D96BF7" w:rsidRDefault="00D96BF7">
            <w:pPr>
              <w:rPr>
                <w:color w:val="000000"/>
                <w:sz w:val="18"/>
                <w:szCs w:val="18"/>
              </w:rPr>
            </w:pPr>
            <w:r w:rsidRPr="00D96BF7">
              <w:rPr>
                <w:color w:val="000000"/>
                <w:sz w:val="18"/>
                <w:szCs w:val="18"/>
              </w:rPr>
              <w:t> </w:t>
            </w:r>
          </w:p>
        </w:tc>
        <w:tc>
          <w:tcPr>
            <w:tcW w:w="313" w:type="pct"/>
            <w:shd w:val="clear" w:color="000000" w:fill="D9D9D9"/>
            <w:noWrap/>
            <w:vAlign w:val="bottom"/>
            <w:hideMark/>
          </w:tcPr>
          <w:p w14:paraId="3E59EFF1" w14:textId="77777777" w:rsidR="00D96BF7" w:rsidRPr="00D96BF7" w:rsidRDefault="00D96BF7">
            <w:pPr>
              <w:rPr>
                <w:color w:val="000000"/>
                <w:sz w:val="18"/>
                <w:szCs w:val="18"/>
              </w:rPr>
            </w:pPr>
            <w:r w:rsidRPr="00D96BF7">
              <w:rPr>
                <w:color w:val="000000"/>
                <w:sz w:val="18"/>
                <w:szCs w:val="18"/>
              </w:rPr>
              <w:t> </w:t>
            </w:r>
          </w:p>
        </w:tc>
        <w:tc>
          <w:tcPr>
            <w:tcW w:w="313" w:type="pct"/>
            <w:shd w:val="clear" w:color="000000" w:fill="D9D9D9"/>
            <w:noWrap/>
            <w:vAlign w:val="bottom"/>
            <w:hideMark/>
          </w:tcPr>
          <w:p w14:paraId="1B56CC1E" w14:textId="77777777" w:rsidR="00D96BF7" w:rsidRPr="00D96BF7" w:rsidRDefault="00D96BF7">
            <w:pPr>
              <w:rPr>
                <w:color w:val="000000"/>
                <w:sz w:val="18"/>
                <w:szCs w:val="18"/>
              </w:rPr>
            </w:pPr>
            <w:r w:rsidRPr="00D96BF7">
              <w:rPr>
                <w:color w:val="000000"/>
                <w:sz w:val="18"/>
                <w:szCs w:val="18"/>
              </w:rPr>
              <w:t> </w:t>
            </w:r>
          </w:p>
        </w:tc>
        <w:tc>
          <w:tcPr>
            <w:tcW w:w="243" w:type="pct"/>
            <w:shd w:val="clear" w:color="000000" w:fill="D9D9D9"/>
            <w:noWrap/>
            <w:vAlign w:val="bottom"/>
            <w:hideMark/>
          </w:tcPr>
          <w:p w14:paraId="6BE14D06" w14:textId="77777777" w:rsidR="00D96BF7" w:rsidRPr="00D96BF7" w:rsidRDefault="00D96BF7">
            <w:pPr>
              <w:rPr>
                <w:color w:val="000000"/>
                <w:sz w:val="18"/>
                <w:szCs w:val="18"/>
              </w:rPr>
            </w:pPr>
            <w:r w:rsidRPr="00D96BF7">
              <w:rPr>
                <w:color w:val="000000"/>
                <w:sz w:val="18"/>
                <w:szCs w:val="18"/>
              </w:rPr>
              <w:t> </w:t>
            </w:r>
          </w:p>
        </w:tc>
        <w:tc>
          <w:tcPr>
            <w:tcW w:w="208" w:type="pct"/>
            <w:shd w:val="clear" w:color="000000" w:fill="D9D9D9"/>
            <w:vAlign w:val="center"/>
            <w:hideMark/>
          </w:tcPr>
          <w:p w14:paraId="3D54CCE0" w14:textId="77777777" w:rsidR="00D96BF7" w:rsidRPr="00D96BF7" w:rsidRDefault="00D96BF7">
            <w:pPr>
              <w:jc w:val="right"/>
              <w:rPr>
                <w:color w:val="000000"/>
                <w:sz w:val="18"/>
                <w:szCs w:val="18"/>
              </w:rPr>
            </w:pPr>
            <w:r w:rsidRPr="00D96BF7">
              <w:rPr>
                <w:color w:val="000000"/>
                <w:sz w:val="18"/>
                <w:szCs w:val="18"/>
              </w:rPr>
              <w:t> </w:t>
            </w:r>
          </w:p>
        </w:tc>
        <w:tc>
          <w:tcPr>
            <w:tcW w:w="244" w:type="pct"/>
            <w:shd w:val="clear" w:color="000000" w:fill="D9D9D9"/>
            <w:noWrap/>
            <w:vAlign w:val="bottom"/>
            <w:hideMark/>
          </w:tcPr>
          <w:p w14:paraId="79448437" w14:textId="77777777" w:rsidR="00D96BF7" w:rsidRPr="00D96BF7" w:rsidRDefault="00D96BF7">
            <w:pPr>
              <w:rPr>
                <w:color w:val="000000"/>
                <w:sz w:val="18"/>
                <w:szCs w:val="18"/>
              </w:rPr>
            </w:pPr>
            <w:r w:rsidRPr="00D96BF7">
              <w:rPr>
                <w:color w:val="000000"/>
                <w:sz w:val="18"/>
                <w:szCs w:val="18"/>
              </w:rPr>
              <w:t> </w:t>
            </w:r>
          </w:p>
        </w:tc>
        <w:tc>
          <w:tcPr>
            <w:tcW w:w="278" w:type="pct"/>
            <w:shd w:val="clear" w:color="000000" w:fill="D9D9D9"/>
            <w:noWrap/>
            <w:vAlign w:val="bottom"/>
            <w:hideMark/>
          </w:tcPr>
          <w:p w14:paraId="54911FD3" w14:textId="77777777" w:rsidR="00D96BF7" w:rsidRPr="00D96BF7" w:rsidRDefault="00D96BF7">
            <w:pPr>
              <w:rPr>
                <w:color w:val="000000"/>
                <w:sz w:val="18"/>
                <w:szCs w:val="18"/>
              </w:rPr>
            </w:pPr>
            <w:r w:rsidRPr="00D96BF7">
              <w:rPr>
                <w:color w:val="000000"/>
                <w:sz w:val="18"/>
                <w:szCs w:val="18"/>
              </w:rPr>
              <w:t> </w:t>
            </w:r>
          </w:p>
        </w:tc>
        <w:tc>
          <w:tcPr>
            <w:tcW w:w="278" w:type="pct"/>
            <w:shd w:val="clear" w:color="000000" w:fill="D9D9D9"/>
            <w:noWrap/>
            <w:vAlign w:val="bottom"/>
            <w:hideMark/>
          </w:tcPr>
          <w:p w14:paraId="5E7EC694" w14:textId="77777777" w:rsidR="00D96BF7" w:rsidRPr="00D96BF7" w:rsidRDefault="00D96BF7">
            <w:pPr>
              <w:rPr>
                <w:color w:val="000000"/>
                <w:sz w:val="18"/>
                <w:szCs w:val="18"/>
              </w:rPr>
            </w:pPr>
            <w:r w:rsidRPr="00D96BF7">
              <w:rPr>
                <w:color w:val="000000"/>
                <w:sz w:val="18"/>
                <w:szCs w:val="18"/>
              </w:rPr>
              <w:t> </w:t>
            </w:r>
          </w:p>
        </w:tc>
        <w:tc>
          <w:tcPr>
            <w:tcW w:w="243" w:type="pct"/>
            <w:shd w:val="clear" w:color="000000" w:fill="D9D9D9"/>
            <w:noWrap/>
            <w:vAlign w:val="bottom"/>
            <w:hideMark/>
          </w:tcPr>
          <w:p w14:paraId="40950F4E" w14:textId="77777777" w:rsidR="00D96BF7" w:rsidRPr="00D96BF7" w:rsidRDefault="00D96BF7">
            <w:pPr>
              <w:rPr>
                <w:color w:val="000000"/>
                <w:sz w:val="18"/>
                <w:szCs w:val="18"/>
              </w:rPr>
            </w:pPr>
            <w:r w:rsidRPr="00D96BF7">
              <w:rPr>
                <w:color w:val="000000"/>
                <w:sz w:val="18"/>
                <w:szCs w:val="18"/>
              </w:rPr>
              <w:t> </w:t>
            </w:r>
          </w:p>
        </w:tc>
        <w:tc>
          <w:tcPr>
            <w:tcW w:w="280" w:type="pct"/>
            <w:shd w:val="clear" w:color="000000" w:fill="D9D9D9"/>
            <w:noWrap/>
            <w:vAlign w:val="bottom"/>
            <w:hideMark/>
          </w:tcPr>
          <w:p w14:paraId="3179009F" w14:textId="77777777" w:rsidR="00D96BF7" w:rsidRPr="00D96BF7" w:rsidRDefault="00D96BF7">
            <w:pPr>
              <w:rPr>
                <w:color w:val="000000"/>
                <w:sz w:val="18"/>
                <w:szCs w:val="18"/>
              </w:rPr>
            </w:pPr>
            <w:r w:rsidRPr="00D96BF7">
              <w:rPr>
                <w:color w:val="000000"/>
                <w:sz w:val="18"/>
                <w:szCs w:val="18"/>
              </w:rPr>
              <w:t> </w:t>
            </w:r>
          </w:p>
        </w:tc>
        <w:tc>
          <w:tcPr>
            <w:tcW w:w="454" w:type="pct"/>
            <w:shd w:val="clear" w:color="000000" w:fill="D9D9D9"/>
            <w:noWrap/>
            <w:vAlign w:val="bottom"/>
            <w:hideMark/>
          </w:tcPr>
          <w:p w14:paraId="0A19B313" w14:textId="77777777" w:rsidR="00D96BF7" w:rsidRPr="00D96BF7" w:rsidRDefault="00D96BF7">
            <w:pPr>
              <w:rPr>
                <w:color w:val="000000"/>
                <w:sz w:val="18"/>
                <w:szCs w:val="18"/>
              </w:rPr>
            </w:pPr>
            <w:r w:rsidRPr="00D96BF7">
              <w:rPr>
                <w:color w:val="000000"/>
                <w:sz w:val="18"/>
                <w:szCs w:val="18"/>
              </w:rPr>
              <w:t> </w:t>
            </w:r>
          </w:p>
        </w:tc>
        <w:tc>
          <w:tcPr>
            <w:tcW w:w="376" w:type="pct"/>
            <w:shd w:val="clear" w:color="000000" w:fill="D9D9D9"/>
            <w:noWrap/>
            <w:vAlign w:val="bottom"/>
            <w:hideMark/>
          </w:tcPr>
          <w:p w14:paraId="16F7952E" w14:textId="77777777" w:rsidR="00D96BF7" w:rsidRPr="00D96BF7" w:rsidRDefault="00D96BF7">
            <w:pPr>
              <w:rPr>
                <w:color w:val="000000"/>
                <w:sz w:val="18"/>
                <w:szCs w:val="18"/>
              </w:rPr>
            </w:pPr>
            <w:r w:rsidRPr="00D96BF7">
              <w:rPr>
                <w:color w:val="000000"/>
                <w:sz w:val="18"/>
                <w:szCs w:val="18"/>
              </w:rPr>
              <w:t> </w:t>
            </w:r>
          </w:p>
        </w:tc>
      </w:tr>
      <w:tr w:rsidR="0070240F" w14:paraId="1441D84B" w14:textId="77777777" w:rsidTr="0070240F">
        <w:trPr>
          <w:trHeight w:val="511"/>
        </w:trPr>
        <w:tc>
          <w:tcPr>
            <w:tcW w:w="992" w:type="pct"/>
            <w:shd w:val="clear" w:color="auto" w:fill="auto"/>
            <w:vAlign w:val="bottom"/>
            <w:hideMark/>
          </w:tcPr>
          <w:p w14:paraId="56FECE69" w14:textId="77777777" w:rsidR="00D96BF7" w:rsidRPr="00D96BF7" w:rsidRDefault="00D96BF7">
            <w:pPr>
              <w:rPr>
                <w:color w:val="000000"/>
                <w:sz w:val="18"/>
                <w:szCs w:val="18"/>
              </w:rPr>
            </w:pPr>
            <w:r w:rsidRPr="00D96BF7">
              <w:rPr>
                <w:color w:val="000000"/>
                <w:sz w:val="18"/>
                <w:szCs w:val="18"/>
              </w:rPr>
              <w:t>Initial Notification - Complete and submit EPA Form 8700-12</w:t>
            </w:r>
          </w:p>
        </w:tc>
        <w:tc>
          <w:tcPr>
            <w:tcW w:w="256" w:type="pct"/>
            <w:shd w:val="clear" w:color="auto" w:fill="auto"/>
            <w:vAlign w:val="center"/>
            <w:hideMark/>
          </w:tcPr>
          <w:p w14:paraId="0841695D" w14:textId="77777777" w:rsidR="00D96BF7" w:rsidRPr="00D96BF7" w:rsidRDefault="00D96BF7">
            <w:pPr>
              <w:jc w:val="right"/>
              <w:rPr>
                <w:color w:val="000000"/>
                <w:sz w:val="18"/>
                <w:szCs w:val="18"/>
              </w:rPr>
            </w:pPr>
            <w:r w:rsidRPr="00D96BF7">
              <w:rPr>
                <w:color w:val="000000"/>
                <w:sz w:val="18"/>
                <w:szCs w:val="18"/>
              </w:rPr>
              <w:t>0</w:t>
            </w:r>
          </w:p>
        </w:tc>
        <w:tc>
          <w:tcPr>
            <w:tcW w:w="242" w:type="pct"/>
            <w:shd w:val="clear" w:color="auto" w:fill="auto"/>
            <w:vAlign w:val="center"/>
            <w:hideMark/>
          </w:tcPr>
          <w:p w14:paraId="5073D8BF" w14:textId="77777777" w:rsidR="00D96BF7" w:rsidRPr="00D96BF7" w:rsidRDefault="00D96BF7">
            <w:pPr>
              <w:jc w:val="right"/>
              <w:rPr>
                <w:color w:val="000000"/>
                <w:sz w:val="18"/>
                <w:szCs w:val="18"/>
              </w:rPr>
            </w:pPr>
            <w:r w:rsidRPr="00D96BF7">
              <w:rPr>
                <w:color w:val="000000"/>
                <w:sz w:val="18"/>
                <w:szCs w:val="18"/>
              </w:rPr>
              <w:t>0.08</w:t>
            </w:r>
          </w:p>
        </w:tc>
        <w:tc>
          <w:tcPr>
            <w:tcW w:w="277" w:type="pct"/>
            <w:shd w:val="clear" w:color="auto" w:fill="auto"/>
            <w:vAlign w:val="center"/>
            <w:hideMark/>
          </w:tcPr>
          <w:p w14:paraId="074EE790" w14:textId="77777777" w:rsidR="00D96BF7" w:rsidRPr="00D96BF7" w:rsidRDefault="00D96BF7">
            <w:pPr>
              <w:jc w:val="right"/>
              <w:rPr>
                <w:color w:val="000000"/>
                <w:sz w:val="18"/>
                <w:szCs w:val="18"/>
              </w:rPr>
            </w:pPr>
            <w:r w:rsidRPr="00D96BF7">
              <w:rPr>
                <w:color w:val="000000"/>
                <w:sz w:val="18"/>
                <w:szCs w:val="18"/>
              </w:rPr>
              <w:t>0.93</w:t>
            </w:r>
          </w:p>
        </w:tc>
        <w:tc>
          <w:tcPr>
            <w:tcW w:w="313" w:type="pct"/>
            <w:shd w:val="clear" w:color="auto" w:fill="auto"/>
            <w:vAlign w:val="center"/>
            <w:hideMark/>
          </w:tcPr>
          <w:p w14:paraId="7916406C" w14:textId="77777777" w:rsidR="00D96BF7" w:rsidRPr="00D96BF7" w:rsidRDefault="00D96BF7">
            <w:pPr>
              <w:jc w:val="right"/>
              <w:rPr>
                <w:color w:val="000000"/>
                <w:sz w:val="18"/>
                <w:szCs w:val="18"/>
              </w:rPr>
            </w:pPr>
            <w:r w:rsidRPr="00D96BF7">
              <w:rPr>
                <w:color w:val="000000"/>
                <w:sz w:val="18"/>
                <w:szCs w:val="18"/>
              </w:rPr>
              <w:t>0.08</w:t>
            </w:r>
          </w:p>
        </w:tc>
        <w:tc>
          <w:tcPr>
            <w:tcW w:w="313" w:type="pct"/>
            <w:shd w:val="clear" w:color="auto" w:fill="auto"/>
            <w:vAlign w:val="center"/>
            <w:hideMark/>
          </w:tcPr>
          <w:p w14:paraId="65B26984" w14:textId="77777777" w:rsidR="00D96BF7" w:rsidRPr="00D96BF7" w:rsidRDefault="00D96BF7">
            <w:pPr>
              <w:jc w:val="right"/>
              <w:rPr>
                <w:color w:val="000000"/>
                <w:sz w:val="18"/>
                <w:szCs w:val="18"/>
              </w:rPr>
            </w:pPr>
            <w:r w:rsidRPr="00D96BF7">
              <w:rPr>
                <w:color w:val="000000"/>
                <w:sz w:val="18"/>
                <w:szCs w:val="18"/>
              </w:rPr>
              <w:t>1.09</w:t>
            </w:r>
          </w:p>
        </w:tc>
        <w:tc>
          <w:tcPr>
            <w:tcW w:w="243" w:type="pct"/>
            <w:shd w:val="clear" w:color="auto" w:fill="auto"/>
            <w:vAlign w:val="center"/>
            <w:hideMark/>
          </w:tcPr>
          <w:p w14:paraId="0886D794" w14:textId="77777777" w:rsidR="00D96BF7" w:rsidRPr="00D96BF7" w:rsidRDefault="00D96BF7">
            <w:pPr>
              <w:jc w:val="right"/>
              <w:rPr>
                <w:color w:val="000000"/>
                <w:sz w:val="18"/>
                <w:szCs w:val="18"/>
              </w:rPr>
            </w:pPr>
            <w:r w:rsidRPr="00D96BF7">
              <w:rPr>
                <w:color w:val="000000"/>
                <w:sz w:val="18"/>
                <w:szCs w:val="18"/>
              </w:rPr>
              <w:t xml:space="preserve">$60.62 </w:t>
            </w:r>
          </w:p>
        </w:tc>
        <w:tc>
          <w:tcPr>
            <w:tcW w:w="208" w:type="pct"/>
            <w:shd w:val="clear" w:color="auto" w:fill="auto"/>
            <w:vAlign w:val="center"/>
            <w:hideMark/>
          </w:tcPr>
          <w:p w14:paraId="38090E73" w14:textId="77777777" w:rsidR="00D96BF7" w:rsidRPr="00D96BF7" w:rsidRDefault="00D96BF7">
            <w:pPr>
              <w:jc w:val="right"/>
              <w:rPr>
                <w:color w:val="000000"/>
                <w:sz w:val="18"/>
                <w:szCs w:val="18"/>
              </w:rPr>
            </w:pPr>
            <w:r w:rsidRPr="00D96BF7">
              <w:rPr>
                <w:color w:val="000000"/>
                <w:sz w:val="18"/>
                <w:szCs w:val="18"/>
              </w:rPr>
              <w:t xml:space="preserve">$0 </w:t>
            </w:r>
          </w:p>
        </w:tc>
        <w:tc>
          <w:tcPr>
            <w:tcW w:w="244" w:type="pct"/>
            <w:shd w:val="clear" w:color="auto" w:fill="auto"/>
            <w:vAlign w:val="center"/>
            <w:hideMark/>
          </w:tcPr>
          <w:p w14:paraId="4E7C28C5" w14:textId="77777777" w:rsidR="00D96BF7" w:rsidRPr="00D96BF7" w:rsidRDefault="00D96BF7">
            <w:pPr>
              <w:jc w:val="right"/>
              <w:rPr>
                <w:color w:val="000000"/>
                <w:sz w:val="18"/>
                <w:szCs w:val="18"/>
              </w:rPr>
            </w:pPr>
            <w:r w:rsidRPr="00D96BF7">
              <w:rPr>
                <w:color w:val="000000"/>
                <w:sz w:val="18"/>
                <w:szCs w:val="18"/>
              </w:rPr>
              <w:t xml:space="preserve">$3.80 </w:t>
            </w:r>
          </w:p>
        </w:tc>
        <w:tc>
          <w:tcPr>
            <w:tcW w:w="278" w:type="pct"/>
            <w:shd w:val="clear" w:color="auto" w:fill="auto"/>
            <w:vAlign w:val="center"/>
            <w:hideMark/>
          </w:tcPr>
          <w:p w14:paraId="0C34E2FD" w14:textId="77777777" w:rsidR="00D96BF7" w:rsidRPr="00D96BF7" w:rsidRDefault="00D96BF7">
            <w:pPr>
              <w:jc w:val="right"/>
              <w:rPr>
                <w:color w:val="000000"/>
                <w:sz w:val="18"/>
                <w:szCs w:val="18"/>
              </w:rPr>
            </w:pPr>
            <w:r w:rsidRPr="00D96BF7">
              <w:rPr>
                <w:color w:val="000000"/>
                <w:sz w:val="18"/>
                <w:szCs w:val="18"/>
              </w:rPr>
              <w:t>4,586</w:t>
            </w:r>
          </w:p>
        </w:tc>
        <w:tc>
          <w:tcPr>
            <w:tcW w:w="278" w:type="pct"/>
            <w:shd w:val="clear" w:color="auto" w:fill="auto"/>
            <w:vAlign w:val="center"/>
            <w:hideMark/>
          </w:tcPr>
          <w:p w14:paraId="63F4BA15" w14:textId="77777777" w:rsidR="00D96BF7" w:rsidRPr="00D96BF7" w:rsidRDefault="00D96BF7">
            <w:pPr>
              <w:jc w:val="right"/>
              <w:rPr>
                <w:color w:val="000000"/>
                <w:sz w:val="18"/>
                <w:szCs w:val="18"/>
              </w:rPr>
            </w:pPr>
            <w:r w:rsidRPr="00D96BF7">
              <w:rPr>
                <w:color w:val="000000"/>
                <w:sz w:val="18"/>
                <w:szCs w:val="18"/>
              </w:rPr>
              <w:t>5,750</w:t>
            </w:r>
          </w:p>
        </w:tc>
        <w:tc>
          <w:tcPr>
            <w:tcW w:w="243" w:type="pct"/>
            <w:shd w:val="clear" w:color="auto" w:fill="auto"/>
            <w:vAlign w:val="center"/>
            <w:hideMark/>
          </w:tcPr>
          <w:p w14:paraId="3E939DFB" w14:textId="77777777" w:rsidR="00D96BF7" w:rsidRPr="00D96BF7" w:rsidRDefault="00D96BF7">
            <w:pPr>
              <w:jc w:val="right"/>
              <w:rPr>
                <w:color w:val="000000"/>
                <w:sz w:val="18"/>
                <w:szCs w:val="18"/>
              </w:rPr>
            </w:pPr>
            <w:r w:rsidRPr="00D96BF7">
              <w:rPr>
                <w:color w:val="000000"/>
                <w:sz w:val="18"/>
                <w:szCs w:val="18"/>
              </w:rPr>
              <w:t>4,999</w:t>
            </w:r>
          </w:p>
        </w:tc>
        <w:tc>
          <w:tcPr>
            <w:tcW w:w="280" w:type="pct"/>
            <w:shd w:val="clear" w:color="auto" w:fill="auto"/>
            <w:vAlign w:val="center"/>
            <w:hideMark/>
          </w:tcPr>
          <w:p w14:paraId="402084AB" w14:textId="77777777" w:rsidR="00D96BF7" w:rsidRPr="00D96BF7" w:rsidRDefault="00D96BF7">
            <w:pPr>
              <w:jc w:val="right"/>
              <w:rPr>
                <w:color w:val="000000"/>
                <w:sz w:val="18"/>
                <w:szCs w:val="18"/>
              </w:rPr>
            </w:pPr>
            <w:r w:rsidRPr="00D96BF7">
              <w:rPr>
                <w:color w:val="000000"/>
                <w:sz w:val="18"/>
                <w:szCs w:val="18"/>
              </w:rPr>
              <w:t>6,268</w:t>
            </w:r>
          </w:p>
        </w:tc>
        <w:tc>
          <w:tcPr>
            <w:tcW w:w="454" w:type="pct"/>
            <w:shd w:val="clear" w:color="auto" w:fill="auto"/>
            <w:vAlign w:val="center"/>
            <w:hideMark/>
          </w:tcPr>
          <w:p w14:paraId="3A8E6FD5" w14:textId="77777777" w:rsidR="00D96BF7" w:rsidRPr="00D96BF7" w:rsidRDefault="00D96BF7">
            <w:pPr>
              <w:jc w:val="right"/>
              <w:rPr>
                <w:sz w:val="18"/>
                <w:szCs w:val="18"/>
              </w:rPr>
            </w:pPr>
            <w:r w:rsidRPr="00D96BF7">
              <w:rPr>
                <w:sz w:val="18"/>
                <w:szCs w:val="18"/>
              </w:rPr>
              <w:t xml:space="preserve">$295,431 </w:t>
            </w:r>
          </w:p>
        </w:tc>
        <w:tc>
          <w:tcPr>
            <w:tcW w:w="376" w:type="pct"/>
            <w:shd w:val="clear" w:color="auto" w:fill="auto"/>
            <w:vAlign w:val="center"/>
            <w:hideMark/>
          </w:tcPr>
          <w:p w14:paraId="056524CF" w14:textId="77777777" w:rsidR="00D96BF7" w:rsidRPr="00D96BF7" w:rsidRDefault="00D96BF7">
            <w:pPr>
              <w:jc w:val="right"/>
              <w:rPr>
                <w:sz w:val="18"/>
                <w:szCs w:val="18"/>
              </w:rPr>
            </w:pPr>
            <w:r w:rsidRPr="00D96BF7">
              <w:rPr>
                <w:sz w:val="18"/>
                <w:szCs w:val="18"/>
              </w:rPr>
              <w:t xml:space="preserve">$370,415.58 </w:t>
            </w:r>
          </w:p>
        </w:tc>
      </w:tr>
      <w:tr w:rsidR="0070240F" w14:paraId="71FAA584" w14:textId="77777777" w:rsidTr="0070240F">
        <w:trPr>
          <w:trHeight w:val="511"/>
        </w:trPr>
        <w:tc>
          <w:tcPr>
            <w:tcW w:w="992" w:type="pct"/>
            <w:shd w:val="clear" w:color="auto" w:fill="auto"/>
            <w:vAlign w:val="bottom"/>
            <w:hideMark/>
          </w:tcPr>
          <w:p w14:paraId="3D136679" w14:textId="77777777" w:rsidR="00D96BF7" w:rsidRPr="00D96BF7" w:rsidRDefault="00D96BF7">
            <w:pPr>
              <w:rPr>
                <w:color w:val="000000"/>
                <w:sz w:val="18"/>
                <w:szCs w:val="18"/>
              </w:rPr>
            </w:pPr>
            <w:r w:rsidRPr="00D96BF7">
              <w:rPr>
                <w:color w:val="000000"/>
                <w:sz w:val="18"/>
                <w:szCs w:val="18"/>
              </w:rPr>
              <w:t>Subsequent Notification - Complete and submit EPA Form 8700-12</w:t>
            </w:r>
          </w:p>
        </w:tc>
        <w:tc>
          <w:tcPr>
            <w:tcW w:w="256" w:type="pct"/>
            <w:shd w:val="clear" w:color="auto" w:fill="auto"/>
            <w:vAlign w:val="center"/>
            <w:hideMark/>
          </w:tcPr>
          <w:p w14:paraId="2C4F16C3" w14:textId="77777777" w:rsidR="00D96BF7" w:rsidRPr="00D96BF7" w:rsidRDefault="00D96BF7">
            <w:pPr>
              <w:jc w:val="right"/>
              <w:rPr>
                <w:color w:val="000000"/>
                <w:sz w:val="18"/>
                <w:szCs w:val="18"/>
              </w:rPr>
            </w:pPr>
            <w:r w:rsidRPr="00D96BF7">
              <w:rPr>
                <w:color w:val="000000"/>
                <w:sz w:val="18"/>
                <w:szCs w:val="18"/>
              </w:rPr>
              <w:t>0</w:t>
            </w:r>
          </w:p>
        </w:tc>
        <w:tc>
          <w:tcPr>
            <w:tcW w:w="242" w:type="pct"/>
            <w:shd w:val="clear" w:color="auto" w:fill="auto"/>
            <w:vAlign w:val="center"/>
            <w:hideMark/>
          </w:tcPr>
          <w:p w14:paraId="7128F268" w14:textId="77777777" w:rsidR="00D96BF7" w:rsidRPr="00D96BF7" w:rsidRDefault="00D96BF7">
            <w:pPr>
              <w:jc w:val="right"/>
              <w:rPr>
                <w:color w:val="000000"/>
                <w:sz w:val="18"/>
                <w:szCs w:val="18"/>
              </w:rPr>
            </w:pPr>
            <w:r w:rsidRPr="00D96BF7">
              <w:rPr>
                <w:color w:val="000000"/>
                <w:sz w:val="18"/>
                <w:szCs w:val="18"/>
              </w:rPr>
              <w:t>0</w:t>
            </w:r>
          </w:p>
        </w:tc>
        <w:tc>
          <w:tcPr>
            <w:tcW w:w="277" w:type="pct"/>
            <w:shd w:val="clear" w:color="auto" w:fill="auto"/>
            <w:vAlign w:val="center"/>
            <w:hideMark/>
          </w:tcPr>
          <w:p w14:paraId="4AE86921" w14:textId="77777777" w:rsidR="00D96BF7" w:rsidRPr="00D96BF7" w:rsidRDefault="00D96BF7">
            <w:pPr>
              <w:jc w:val="right"/>
              <w:rPr>
                <w:color w:val="000000"/>
                <w:sz w:val="18"/>
                <w:szCs w:val="18"/>
              </w:rPr>
            </w:pPr>
            <w:r w:rsidRPr="00D96BF7">
              <w:rPr>
                <w:color w:val="000000"/>
                <w:sz w:val="18"/>
                <w:szCs w:val="18"/>
              </w:rPr>
              <w:t>0</w:t>
            </w:r>
          </w:p>
        </w:tc>
        <w:tc>
          <w:tcPr>
            <w:tcW w:w="313" w:type="pct"/>
            <w:shd w:val="clear" w:color="auto" w:fill="auto"/>
            <w:vAlign w:val="center"/>
            <w:hideMark/>
          </w:tcPr>
          <w:p w14:paraId="5115FFD0" w14:textId="77777777" w:rsidR="00D96BF7" w:rsidRPr="00D96BF7" w:rsidRDefault="00D96BF7">
            <w:pPr>
              <w:jc w:val="right"/>
              <w:rPr>
                <w:color w:val="000000"/>
                <w:sz w:val="18"/>
                <w:szCs w:val="18"/>
              </w:rPr>
            </w:pPr>
            <w:r w:rsidRPr="00D96BF7">
              <w:rPr>
                <w:color w:val="000000"/>
                <w:sz w:val="18"/>
                <w:szCs w:val="18"/>
              </w:rPr>
              <w:t>0</w:t>
            </w:r>
          </w:p>
        </w:tc>
        <w:tc>
          <w:tcPr>
            <w:tcW w:w="313" w:type="pct"/>
            <w:shd w:val="clear" w:color="auto" w:fill="auto"/>
            <w:vAlign w:val="center"/>
            <w:hideMark/>
          </w:tcPr>
          <w:p w14:paraId="5403ACD2" w14:textId="77777777" w:rsidR="00D96BF7" w:rsidRPr="00D96BF7" w:rsidRDefault="00D96BF7">
            <w:pPr>
              <w:jc w:val="right"/>
              <w:rPr>
                <w:color w:val="000000"/>
                <w:sz w:val="18"/>
                <w:szCs w:val="18"/>
              </w:rPr>
            </w:pPr>
            <w:r w:rsidRPr="00D96BF7">
              <w:rPr>
                <w:color w:val="000000"/>
                <w:sz w:val="18"/>
                <w:szCs w:val="18"/>
              </w:rPr>
              <w:t>0</w:t>
            </w:r>
          </w:p>
        </w:tc>
        <w:tc>
          <w:tcPr>
            <w:tcW w:w="243" w:type="pct"/>
            <w:shd w:val="clear" w:color="auto" w:fill="auto"/>
            <w:vAlign w:val="center"/>
            <w:hideMark/>
          </w:tcPr>
          <w:p w14:paraId="2C09E176" w14:textId="77777777" w:rsidR="00D96BF7" w:rsidRPr="00D96BF7" w:rsidRDefault="00D96BF7">
            <w:pPr>
              <w:jc w:val="right"/>
              <w:rPr>
                <w:color w:val="000000"/>
                <w:sz w:val="18"/>
                <w:szCs w:val="18"/>
              </w:rPr>
            </w:pPr>
            <w:r w:rsidRPr="00D96BF7">
              <w:rPr>
                <w:color w:val="000000"/>
                <w:sz w:val="18"/>
                <w:szCs w:val="18"/>
              </w:rPr>
              <w:t>0</w:t>
            </w:r>
          </w:p>
        </w:tc>
        <w:tc>
          <w:tcPr>
            <w:tcW w:w="208" w:type="pct"/>
            <w:shd w:val="clear" w:color="auto" w:fill="auto"/>
            <w:vAlign w:val="center"/>
            <w:hideMark/>
          </w:tcPr>
          <w:p w14:paraId="121B384C" w14:textId="77777777" w:rsidR="00D96BF7" w:rsidRPr="00D96BF7" w:rsidRDefault="00D96BF7">
            <w:pPr>
              <w:jc w:val="right"/>
              <w:rPr>
                <w:color w:val="000000"/>
                <w:sz w:val="18"/>
                <w:szCs w:val="18"/>
              </w:rPr>
            </w:pPr>
            <w:r w:rsidRPr="00D96BF7">
              <w:rPr>
                <w:color w:val="000000"/>
                <w:sz w:val="18"/>
                <w:szCs w:val="18"/>
              </w:rPr>
              <w:t xml:space="preserve">$0 </w:t>
            </w:r>
          </w:p>
        </w:tc>
        <w:tc>
          <w:tcPr>
            <w:tcW w:w="244" w:type="pct"/>
            <w:shd w:val="clear" w:color="auto" w:fill="auto"/>
            <w:vAlign w:val="center"/>
            <w:hideMark/>
          </w:tcPr>
          <w:p w14:paraId="394B7993" w14:textId="77777777" w:rsidR="00D96BF7" w:rsidRPr="00D96BF7" w:rsidRDefault="00D96BF7">
            <w:pPr>
              <w:jc w:val="right"/>
              <w:rPr>
                <w:color w:val="000000"/>
                <w:sz w:val="18"/>
                <w:szCs w:val="18"/>
              </w:rPr>
            </w:pPr>
            <w:r w:rsidRPr="00D96BF7">
              <w:rPr>
                <w:color w:val="000000"/>
                <w:sz w:val="18"/>
                <w:szCs w:val="18"/>
              </w:rPr>
              <w:t xml:space="preserve">$0.00 </w:t>
            </w:r>
          </w:p>
        </w:tc>
        <w:tc>
          <w:tcPr>
            <w:tcW w:w="278" w:type="pct"/>
            <w:shd w:val="clear" w:color="auto" w:fill="auto"/>
            <w:vAlign w:val="center"/>
            <w:hideMark/>
          </w:tcPr>
          <w:p w14:paraId="1F83DE90" w14:textId="77777777" w:rsidR="00D96BF7" w:rsidRPr="00D96BF7" w:rsidRDefault="00D96BF7">
            <w:pPr>
              <w:jc w:val="right"/>
              <w:rPr>
                <w:color w:val="000000"/>
                <w:sz w:val="18"/>
                <w:szCs w:val="18"/>
              </w:rPr>
            </w:pPr>
            <w:r w:rsidRPr="00D96BF7">
              <w:rPr>
                <w:color w:val="000000"/>
                <w:sz w:val="18"/>
                <w:szCs w:val="18"/>
              </w:rPr>
              <w:t>7,330</w:t>
            </w:r>
          </w:p>
        </w:tc>
        <w:tc>
          <w:tcPr>
            <w:tcW w:w="278" w:type="pct"/>
            <w:shd w:val="clear" w:color="auto" w:fill="auto"/>
            <w:vAlign w:val="center"/>
            <w:hideMark/>
          </w:tcPr>
          <w:p w14:paraId="20FDEBD8" w14:textId="77777777" w:rsidR="00D96BF7" w:rsidRPr="00D96BF7" w:rsidRDefault="00D96BF7">
            <w:pPr>
              <w:jc w:val="right"/>
              <w:rPr>
                <w:color w:val="000000"/>
                <w:sz w:val="18"/>
                <w:szCs w:val="18"/>
              </w:rPr>
            </w:pPr>
            <w:r w:rsidRPr="00D96BF7">
              <w:rPr>
                <w:color w:val="000000"/>
                <w:sz w:val="18"/>
                <w:szCs w:val="18"/>
              </w:rPr>
              <w:t>7,623</w:t>
            </w:r>
          </w:p>
        </w:tc>
        <w:tc>
          <w:tcPr>
            <w:tcW w:w="243" w:type="pct"/>
            <w:shd w:val="clear" w:color="auto" w:fill="auto"/>
            <w:vAlign w:val="center"/>
            <w:hideMark/>
          </w:tcPr>
          <w:p w14:paraId="484D736B" w14:textId="77777777" w:rsidR="00D96BF7" w:rsidRPr="00D96BF7" w:rsidRDefault="00D96BF7">
            <w:pPr>
              <w:jc w:val="right"/>
              <w:rPr>
                <w:color w:val="000000"/>
                <w:sz w:val="18"/>
                <w:szCs w:val="18"/>
              </w:rPr>
            </w:pPr>
            <w:r w:rsidRPr="00D96BF7">
              <w:rPr>
                <w:color w:val="000000"/>
                <w:sz w:val="18"/>
                <w:szCs w:val="18"/>
              </w:rPr>
              <w:t>0</w:t>
            </w:r>
          </w:p>
        </w:tc>
        <w:tc>
          <w:tcPr>
            <w:tcW w:w="280" w:type="pct"/>
            <w:shd w:val="clear" w:color="auto" w:fill="auto"/>
            <w:vAlign w:val="center"/>
            <w:hideMark/>
          </w:tcPr>
          <w:p w14:paraId="5E51A151" w14:textId="77777777" w:rsidR="00D96BF7" w:rsidRPr="00D96BF7" w:rsidRDefault="00D96BF7">
            <w:pPr>
              <w:jc w:val="right"/>
              <w:rPr>
                <w:color w:val="000000"/>
                <w:sz w:val="18"/>
                <w:szCs w:val="18"/>
              </w:rPr>
            </w:pPr>
            <w:r w:rsidRPr="00D96BF7">
              <w:rPr>
                <w:color w:val="000000"/>
                <w:sz w:val="18"/>
                <w:szCs w:val="18"/>
              </w:rPr>
              <w:t>0</w:t>
            </w:r>
          </w:p>
        </w:tc>
        <w:tc>
          <w:tcPr>
            <w:tcW w:w="454" w:type="pct"/>
            <w:shd w:val="clear" w:color="auto" w:fill="auto"/>
            <w:vAlign w:val="center"/>
            <w:hideMark/>
          </w:tcPr>
          <w:p w14:paraId="7CA68B45" w14:textId="77777777" w:rsidR="00D96BF7" w:rsidRPr="00D96BF7" w:rsidRDefault="00D96BF7">
            <w:pPr>
              <w:jc w:val="right"/>
              <w:rPr>
                <w:sz w:val="18"/>
                <w:szCs w:val="18"/>
              </w:rPr>
            </w:pPr>
            <w:r w:rsidRPr="00D96BF7">
              <w:rPr>
                <w:sz w:val="18"/>
                <w:szCs w:val="18"/>
              </w:rPr>
              <w:t xml:space="preserve">$0 </w:t>
            </w:r>
          </w:p>
        </w:tc>
        <w:tc>
          <w:tcPr>
            <w:tcW w:w="376" w:type="pct"/>
            <w:shd w:val="clear" w:color="auto" w:fill="auto"/>
            <w:vAlign w:val="center"/>
            <w:hideMark/>
          </w:tcPr>
          <w:p w14:paraId="1C39D705" w14:textId="77777777" w:rsidR="00D96BF7" w:rsidRPr="00D96BF7" w:rsidRDefault="00D96BF7">
            <w:pPr>
              <w:jc w:val="right"/>
              <w:rPr>
                <w:sz w:val="18"/>
                <w:szCs w:val="18"/>
              </w:rPr>
            </w:pPr>
            <w:r w:rsidRPr="00D96BF7">
              <w:rPr>
                <w:sz w:val="18"/>
                <w:szCs w:val="18"/>
              </w:rPr>
              <w:t xml:space="preserve">$0.00 </w:t>
            </w:r>
          </w:p>
        </w:tc>
      </w:tr>
      <w:tr w:rsidR="0070240F" w14:paraId="524BB7A4" w14:textId="77777777" w:rsidTr="0070240F">
        <w:trPr>
          <w:trHeight w:val="255"/>
        </w:trPr>
        <w:tc>
          <w:tcPr>
            <w:tcW w:w="992" w:type="pct"/>
            <w:shd w:val="clear" w:color="000000" w:fill="D9D9D9"/>
            <w:noWrap/>
            <w:vAlign w:val="bottom"/>
            <w:hideMark/>
          </w:tcPr>
          <w:p w14:paraId="37ACBCD4" w14:textId="77777777" w:rsidR="00D96BF7" w:rsidRPr="00D96BF7" w:rsidRDefault="00D96BF7">
            <w:pPr>
              <w:rPr>
                <w:color w:val="000000"/>
                <w:sz w:val="18"/>
                <w:szCs w:val="18"/>
              </w:rPr>
            </w:pPr>
            <w:r w:rsidRPr="00D96BF7">
              <w:rPr>
                <w:color w:val="000000"/>
                <w:sz w:val="18"/>
                <w:szCs w:val="18"/>
              </w:rPr>
              <w:t xml:space="preserve">Labeling </w:t>
            </w:r>
          </w:p>
        </w:tc>
        <w:tc>
          <w:tcPr>
            <w:tcW w:w="256" w:type="pct"/>
            <w:shd w:val="clear" w:color="000000" w:fill="D9D9D9"/>
            <w:noWrap/>
            <w:vAlign w:val="bottom"/>
            <w:hideMark/>
          </w:tcPr>
          <w:p w14:paraId="78D4DEDD" w14:textId="77777777" w:rsidR="00D96BF7" w:rsidRPr="00D96BF7" w:rsidRDefault="00D96BF7">
            <w:pPr>
              <w:rPr>
                <w:color w:val="000000"/>
                <w:sz w:val="18"/>
                <w:szCs w:val="18"/>
              </w:rPr>
            </w:pPr>
            <w:r w:rsidRPr="00D96BF7">
              <w:rPr>
                <w:color w:val="000000"/>
                <w:sz w:val="18"/>
                <w:szCs w:val="18"/>
              </w:rPr>
              <w:t> </w:t>
            </w:r>
          </w:p>
        </w:tc>
        <w:tc>
          <w:tcPr>
            <w:tcW w:w="242" w:type="pct"/>
            <w:shd w:val="clear" w:color="000000" w:fill="D9D9D9"/>
            <w:noWrap/>
            <w:vAlign w:val="bottom"/>
            <w:hideMark/>
          </w:tcPr>
          <w:p w14:paraId="1976B9ED" w14:textId="77777777" w:rsidR="00D96BF7" w:rsidRPr="00D96BF7" w:rsidRDefault="00D96BF7">
            <w:pPr>
              <w:rPr>
                <w:color w:val="000000"/>
                <w:sz w:val="18"/>
                <w:szCs w:val="18"/>
              </w:rPr>
            </w:pPr>
            <w:r w:rsidRPr="00D96BF7">
              <w:rPr>
                <w:color w:val="000000"/>
                <w:sz w:val="18"/>
                <w:szCs w:val="18"/>
              </w:rPr>
              <w:t> </w:t>
            </w:r>
          </w:p>
        </w:tc>
        <w:tc>
          <w:tcPr>
            <w:tcW w:w="277" w:type="pct"/>
            <w:shd w:val="clear" w:color="000000" w:fill="D9D9D9"/>
            <w:noWrap/>
            <w:vAlign w:val="bottom"/>
            <w:hideMark/>
          </w:tcPr>
          <w:p w14:paraId="7AC77377" w14:textId="77777777" w:rsidR="00D96BF7" w:rsidRPr="00D96BF7" w:rsidRDefault="00D96BF7">
            <w:pPr>
              <w:rPr>
                <w:color w:val="000000"/>
                <w:sz w:val="18"/>
                <w:szCs w:val="18"/>
              </w:rPr>
            </w:pPr>
            <w:r w:rsidRPr="00D96BF7">
              <w:rPr>
                <w:color w:val="000000"/>
                <w:sz w:val="18"/>
                <w:szCs w:val="18"/>
              </w:rPr>
              <w:t> </w:t>
            </w:r>
          </w:p>
        </w:tc>
        <w:tc>
          <w:tcPr>
            <w:tcW w:w="313" w:type="pct"/>
            <w:shd w:val="clear" w:color="000000" w:fill="D9D9D9"/>
            <w:noWrap/>
            <w:vAlign w:val="bottom"/>
            <w:hideMark/>
          </w:tcPr>
          <w:p w14:paraId="50A5892D" w14:textId="77777777" w:rsidR="00D96BF7" w:rsidRPr="00D96BF7" w:rsidRDefault="00D96BF7">
            <w:pPr>
              <w:rPr>
                <w:color w:val="000000"/>
                <w:sz w:val="18"/>
                <w:szCs w:val="18"/>
              </w:rPr>
            </w:pPr>
            <w:r w:rsidRPr="00D96BF7">
              <w:rPr>
                <w:color w:val="000000"/>
                <w:sz w:val="18"/>
                <w:szCs w:val="18"/>
              </w:rPr>
              <w:t> </w:t>
            </w:r>
          </w:p>
        </w:tc>
        <w:tc>
          <w:tcPr>
            <w:tcW w:w="313" w:type="pct"/>
            <w:shd w:val="clear" w:color="000000" w:fill="D9D9D9"/>
            <w:noWrap/>
            <w:vAlign w:val="bottom"/>
            <w:hideMark/>
          </w:tcPr>
          <w:p w14:paraId="798C6161" w14:textId="77777777" w:rsidR="00D96BF7" w:rsidRPr="00D96BF7" w:rsidRDefault="00D96BF7">
            <w:pPr>
              <w:rPr>
                <w:color w:val="000000"/>
                <w:sz w:val="18"/>
                <w:szCs w:val="18"/>
              </w:rPr>
            </w:pPr>
            <w:r w:rsidRPr="00D96BF7">
              <w:rPr>
                <w:color w:val="000000"/>
                <w:sz w:val="18"/>
                <w:szCs w:val="18"/>
              </w:rPr>
              <w:t> </w:t>
            </w:r>
          </w:p>
        </w:tc>
        <w:tc>
          <w:tcPr>
            <w:tcW w:w="243" w:type="pct"/>
            <w:shd w:val="clear" w:color="000000" w:fill="D9D9D9"/>
            <w:noWrap/>
            <w:vAlign w:val="bottom"/>
            <w:hideMark/>
          </w:tcPr>
          <w:p w14:paraId="1980C4DF" w14:textId="77777777" w:rsidR="00D96BF7" w:rsidRPr="00D96BF7" w:rsidRDefault="00D96BF7">
            <w:pPr>
              <w:rPr>
                <w:color w:val="000000"/>
                <w:sz w:val="18"/>
                <w:szCs w:val="18"/>
              </w:rPr>
            </w:pPr>
            <w:r w:rsidRPr="00D96BF7">
              <w:rPr>
                <w:color w:val="000000"/>
                <w:sz w:val="18"/>
                <w:szCs w:val="18"/>
              </w:rPr>
              <w:t> </w:t>
            </w:r>
          </w:p>
        </w:tc>
        <w:tc>
          <w:tcPr>
            <w:tcW w:w="208" w:type="pct"/>
            <w:shd w:val="clear" w:color="000000" w:fill="D9D9D9"/>
            <w:vAlign w:val="center"/>
            <w:hideMark/>
          </w:tcPr>
          <w:p w14:paraId="7C0D5196" w14:textId="77777777" w:rsidR="00D96BF7" w:rsidRPr="00D96BF7" w:rsidRDefault="00D96BF7">
            <w:pPr>
              <w:jc w:val="right"/>
              <w:rPr>
                <w:color w:val="000000"/>
                <w:sz w:val="18"/>
                <w:szCs w:val="18"/>
              </w:rPr>
            </w:pPr>
            <w:r w:rsidRPr="00D96BF7">
              <w:rPr>
                <w:color w:val="000000"/>
                <w:sz w:val="18"/>
                <w:szCs w:val="18"/>
              </w:rPr>
              <w:t> </w:t>
            </w:r>
          </w:p>
        </w:tc>
        <w:tc>
          <w:tcPr>
            <w:tcW w:w="244" w:type="pct"/>
            <w:shd w:val="clear" w:color="000000" w:fill="D9D9D9"/>
            <w:noWrap/>
            <w:vAlign w:val="bottom"/>
            <w:hideMark/>
          </w:tcPr>
          <w:p w14:paraId="25FFD8A3" w14:textId="77777777" w:rsidR="00D96BF7" w:rsidRPr="00D96BF7" w:rsidRDefault="00D96BF7">
            <w:pPr>
              <w:rPr>
                <w:color w:val="000000"/>
                <w:sz w:val="18"/>
                <w:szCs w:val="18"/>
              </w:rPr>
            </w:pPr>
            <w:r w:rsidRPr="00D96BF7">
              <w:rPr>
                <w:color w:val="000000"/>
                <w:sz w:val="18"/>
                <w:szCs w:val="18"/>
              </w:rPr>
              <w:t> </w:t>
            </w:r>
          </w:p>
        </w:tc>
        <w:tc>
          <w:tcPr>
            <w:tcW w:w="278" w:type="pct"/>
            <w:shd w:val="clear" w:color="000000" w:fill="D9D9D9"/>
            <w:noWrap/>
            <w:vAlign w:val="bottom"/>
            <w:hideMark/>
          </w:tcPr>
          <w:p w14:paraId="6326A37A" w14:textId="77777777" w:rsidR="00D96BF7" w:rsidRPr="00D96BF7" w:rsidRDefault="00D96BF7">
            <w:pPr>
              <w:rPr>
                <w:color w:val="000000"/>
                <w:sz w:val="18"/>
                <w:szCs w:val="18"/>
              </w:rPr>
            </w:pPr>
            <w:r w:rsidRPr="00D96BF7">
              <w:rPr>
                <w:color w:val="000000"/>
                <w:sz w:val="18"/>
                <w:szCs w:val="18"/>
              </w:rPr>
              <w:t> </w:t>
            </w:r>
          </w:p>
        </w:tc>
        <w:tc>
          <w:tcPr>
            <w:tcW w:w="278" w:type="pct"/>
            <w:shd w:val="clear" w:color="000000" w:fill="D9D9D9"/>
            <w:noWrap/>
            <w:vAlign w:val="bottom"/>
            <w:hideMark/>
          </w:tcPr>
          <w:p w14:paraId="5C5A7D59" w14:textId="77777777" w:rsidR="00D96BF7" w:rsidRPr="00D96BF7" w:rsidRDefault="00D96BF7">
            <w:pPr>
              <w:rPr>
                <w:color w:val="000000"/>
                <w:sz w:val="18"/>
                <w:szCs w:val="18"/>
              </w:rPr>
            </w:pPr>
            <w:r w:rsidRPr="00D96BF7">
              <w:rPr>
                <w:color w:val="000000"/>
                <w:sz w:val="18"/>
                <w:szCs w:val="18"/>
              </w:rPr>
              <w:t> </w:t>
            </w:r>
          </w:p>
        </w:tc>
        <w:tc>
          <w:tcPr>
            <w:tcW w:w="243" w:type="pct"/>
            <w:shd w:val="clear" w:color="000000" w:fill="D9D9D9"/>
            <w:noWrap/>
            <w:vAlign w:val="bottom"/>
            <w:hideMark/>
          </w:tcPr>
          <w:p w14:paraId="1687AD1B" w14:textId="77777777" w:rsidR="00D96BF7" w:rsidRPr="00D96BF7" w:rsidRDefault="00D96BF7">
            <w:pPr>
              <w:rPr>
                <w:color w:val="000000"/>
                <w:sz w:val="18"/>
                <w:szCs w:val="18"/>
              </w:rPr>
            </w:pPr>
            <w:r w:rsidRPr="00D96BF7">
              <w:rPr>
                <w:color w:val="000000"/>
                <w:sz w:val="18"/>
                <w:szCs w:val="18"/>
              </w:rPr>
              <w:t> </w:t>
            </w:r>
          </w:p>
        </w:tc>
        <w:tc>
          <w:tcPr>
            <w:tcW w:w="280" w:type="pct"/>
            <w:shd w:val="clear" w:color="000000" w:fill="D9D9D9"/>
            <w:noWrap/>
            <w:vAlign w:val="bottom"/>
            <w:hideMark/>
          </w:tcPr>
          <w:p w14:paraId="6E089C41" w14:textId="77777777" w:rsidR="00D96BF7" w:rsidRPr="00D96BF7" w:rsidRDefault="00D96BF7">
            <w:pPr>
              <w:rPr>
                <w:color w:val="000000"/>
                <w:sz w:val="18"/>
                <w:szCs w:val="18"/>
              </w:rPr>
            </w:pPr>
            <w:r w:rsidRPr="00D96BF7">
              <w:rPr>
                <w:color w:val="000000"/>
                <w:sz w:val="18"/>
                <w:szCs w:val="18"/>
              </w:rPr>
              <w:t> </w:t>
            </w:r>
          </w:p>
        </w:tc>
        <w:tc>
          <w:tcPr>
            <w:tcW w:w="454" w:type="pct"/>
            <w:shd w:val="clear" w:color="000000" w:fill="D9D9D9"/>
            <w:noWrap/>
            <w:vAlign w:val="bottom"/>
            <w:hideMark/>
          </w:tcPr>
          <w:p w14:paraId="5B5F5356" w14:textId="77777777" w:rsidR="00D96BF7" w:rsidRPr="00D96BF7" w:rsidRDefault="00D96BF7">
            <w:pPr>
              <w:rPr>
                <w:color w:val="000000"/>
                <w:sz w:val="18"/>
                <w:szCs w:val="18"/>
              </w:rPr>
            </w:pPr>
            <w:r w:rsidRPr="00D96BF7">
              <w:rPr>
                <w:color w:val="000000"/>
                <w:sz w:val="18"/>
                <w:szCs w:val="18"/>
              </w:rPr>
              <w:t> </w:t>
            </w:r>
          </w:p>
        </w:tc>
        <w:tc>
          <w:tcPr>
            <w:tcW w:w="376" w:type="pct"/>
            <w:shd w:val="clear" w:color="000000" w:fill="D9D9D9"/>
            <w:noWrap/>
            <w:vAlign w:val="bottom"/>
            <w:hideMark/>
          </w:tcPr>
          <w:p w14:paraId="730CEF78" w14:textId="77777777" w:rsidR="00D96BF7" w:rsidRPr="00D96BF7" w:rsidRDefault="00D96BF7">
            <w:pPr>
              <w:rPr>
                <w:color w:val="000000"/>
                <w:sz w:val="18"/>
                <w:szCs w:val="18"/>
              </w:rPr>
            </w:pPr>
            <w:r w:rsidRPr="00D96BF7">
              <w:rPr>
                <w:color w:val="000000"/>
                <w:sz w:val="18"/>
                <w:szCs w:val="18"/>
              </w:rPr>
              <w:t> </w:t>
            </w:r>
          </w:p>
        </w:tc>
      </w:tr>
      <w:tr w:rsidR="0070240F" w14:paraId="0AF91C2E" w14:textId="77777777" w:rsidTr="0070240F">
        <w:trPr>
          <w:trHeight w:val="526"/>
        </w:trPr>
        <w:tc>
          <w:tcPr>
            <w:tcW w:w="992" w:type="pct"/>
            <w:shd w:val="clear" w:color="auto" w:fill="auto"/>
            <w:vAlign w:val="bottom"/>
            <w:hideMark/>
          </w:tcPr>
          <w:p w14:paraId="3DD101E5" w14:textId="77777777" w:rsidR="00D96BF7" w:rsidRPr="00D96BF7" w:rsidRDefault="00D96BF7">
            <w:pPr>
              <w:rPr>
                <w:color w:val="000000"/>
                <w:sz w:val="18"/>
                <w:szCs w:val="18"/>
              </w:rPr>
            </w:pPr>
            <w:r w:rsidRPr="00D96BF7">
              <w:rPr>
                <w:color w:val="000000"/>
                <w:sz w:val="18"/>
                <w:szCs w:val="18"/>
              </w:rPr>
              <w:t>Label containers in primary storage area (LQG)</w:t>
            </w:r>
          </w:p>
        </w:tc>
        <w:tc>
          <w:tcPr>
            <w:tcW w:w="256" w:type="pct"/>
            <w:shd w:val="clear" w:color="auto" w:fill="auto"/>
            <w:vAlign w:val="center"/>
            <w:hideMark/>
          </w:tcPr>
          <w:p w14:paraId="16427693" w14:textId="77777777" w:rsidR="00D96BF7" w:rsidRPr="00D96BF7" w:rsidRDefault="00D96BF7">
            <w:pPr>
              <w:jc w:val="right"/>
              <w:rPr>
                <w:color w:val="000000"/>
                <w:sz w:val="18"/>
                <w:szCs w:val="18"/>
              </w:rPr>
            </w:pPr>
            <w:r w:rsidRPr="00D96BF7">
              <w:rPr>
                <w:color w:val="000000"/>
                <w:sz w:val="18"/>
                <w:szCs w:val="18"/>
              </w:rPr>
              <w:t>0</w:t>
            </w:r>
          </w:p>
        </w:tc>
        <w:tc>
          <w:tcPr>
            <w:tcW w:w="242" w:type="pct"/>
            <w:shd w:val="clear" w:color="auto" w:fill="auto"/>
            <w:vAlign w:val="center"/>
            <w:hideMark/>
          </w:tcPr>
          <w:p w14:paraId="0ECBAAB7" w14:textId="77777777" w:rsidR="00D96BF7" w:rsidRPr="00D96BF7" w:rsidRDefault="00D96BF7">
            <w:pPr>
              <w:jc w:val="right"/>
              <w:rPr>
                <w:color w:val="000000"/>
                <w:sz w:val="18"/>
                <w:szCs w:val="18"/>
              </w:rPr>
            </w:pPr>
            <w:r w:rsidRPr="00D96BF7">
              <w:rPr>
                <w:color w:val="000000"/>
                <w:sz w:val="18"/>
                <w:szCs w:val="18"/>
              </w:rPr>
              <w:t>0</w:t>
            </w:r>
          </w:p>
        </w:tc>
        <w:tc>
          <w:tcPr>
            <w:tcW w:w="277" w:type="pct"/>
            <w:shd w:val="clear" w:color="auto" w:fill="auto"/>
            <w:vAlign w:val="center"/>
            <w:hideMark/>
          </w:tcPr>
          <w:p w14:paraId="3660E2A2" w14:textId="77777777" w:rsidR="00D96BF7" w:rsidRPr="00D96BF7" w:rsidRDefault="00D96BF7">
            <w:pPr>
              <w:jc w:val="right"/>
              <w:rPr>
                <w:color w:val="000000"/>
                <w:sz w:val="18"/>
                <w:szCs w:val="18"/>
              </w:rPr>
            </w:pPr>
            <w:r w:rsidRPr="00D96BF7">
              <w:rPr>
                <w:color w:val="000000"/>
                <w:sz w:val="18"/>
                <w:szCs w:val="18"/>
              </w:rPr>
              <w:t>1</w:t>
            </w:r>
          </w:p>
        </w:tc>
        <w:tc>
          <w:tcPr>
            <w:tcW w:w="313" w:type="pct"/>
            <w:shd w:val="clear" w:color="auto" w:fill="auto"/>
            <w:vAlign w:val="center"/>
            <w:hideMark/>
          </w:tcPr>
          <w:p w14:paraId="3DE32483" w14:textId="77777777" w:rsidR="00D96BF7" w:rsidRPr="00D96BF7" w:rsidRDefault="00D96BF7">
            <w:pPr>
              <w:jc w:val="right"/>
              <w:rPr>
                <w:color w:val="000000"/>
                <w:sz w:val="18"/>
                <w:szCs w:val="18"/>
              </w:rPr>
            </w:pPr>
            <w:r w:rsidRPr="00D96BF7">
              <w:rPr>
                <w:color w:val="000000"/>
                <w:sz w:val="18"/>
                <w:szCs w:val="18"/>
              </w:rPr>
              <w:t>0</w:t>
            </w:r>
          </w:p>
        </w:tc>
        <w:tc>
          <w:tcPr>
            <w:tcW w:w="313" w:type="pct"/>
            <w:shd w:val="clear" w:color="auto" w:fill="auto"/>
            <w:vAlign w:val="center"/>
            <w:hideMark/>
          </w:tcPr>
          <w:p w14:paraId="4DFC9041" w14:textId="77777777" w:rsidR="00D96BF7" w:rsidRPr="00D96BF7" w:rsidRDefault="00D96BF7">
            <w:pPr>
              <w:jc w:val="right"/>
              <w:rPr>
                <w:color w:val="000000"/>
                <w:sz w:val="18"/>
                <w:szCs w:val="18"/>
              </w:rPr>
            </w:pPr>
            <w:r w:rsidRPr="00D96BF7">
              <w:rPr>
                <w:color w:val="000000"/>
                <w:sz w:val="18"/>
                <w:szCs w:val="18"/>
              </w:rPr>
              <w:t>1.00</w:t>
            </w:r>
          </w:p>
        </w:tc>
        <w:tc>
          <w:tcPr>
            <w:tcW w:w="243" w:type="pct"/>
            <w:shd w:val="clear" w:color="auto" w:fill="auto"/>
            <w:vAlign w:val="center"/>
            <w:hideMark/>
          </w:tcPr>
          <w:p w14:paraId="6D36DF35" w14:textId="77777777" w:rsidR="00D96BF7" w:rsidRPr="00D96BF7" w:rsidRDefault="00D96BF7">
            <w:pPr>
              <w:jc w:val="right"/>
              <w:rPr>
                <w:color w:val="000000"/>
                <w:sz w:val="18"/>
                <w:szCs w:val="18"/>
              </w:rPr>
            </w:pPr>
            <w:r w:rsidRPr="00D96BF7">
              <w:rPr>
                <w:color w:val="000000"/>
                <w:sz w:val="18"/>
                <w:szCs w:val="18"/>
              </w:rPr>
              <w:t xml:space="preserve">$53 </w:t>
            </w:r>
          </w:p>
        </w:tc>
        <w:tc>
          <w:tcPr>
            <w:tcW w:w="208" w:type="pct"/>
            <w:shd w:val="clear" w:color="auto" w:fill="auto"/>
            <w:vAlign w:val="center"/>
            <w:hideMark/>
          </w:tcPr>
          <w:p w14:paraId="6D1DED09" w14:textId="77777777" w:rsidR="00D96BF7" w:rsidRPr="00D96BF7" w:rsidRDefault="00D96BF7">
            <w:pPr>
              <w:jc w:val="right"/>
              <w:rPr>
                <w:color w:val="000000"/>
                <w:sz w:val="18"/>
                <w:szCs w:val="18"/>
              </w:rPr>
            </w:pPr>
            <w:r w:rsidRPr="00D96BF7">
              <w:rPr>
                <w:color w:val="000000"/>
                <w:sz w:val="18"/>
                <w:szCs w:val="18"/>
              </w:rPr>
              <w:t xml:space="preserve">$0 </w:t>
            </w:r>
          </w:p>
        </w:tc>
        <w:tc>
          <w:tcPr>
            <w:tcW w:w="244" w:type="pct"/>
            <w:shd w:val="clear" w:color="auto" w:fill="auto"/>
            <w:vAlign w:val="center"/>
            <w:hideMark/>
          </w:tcPr>
          <w:p w14:paraId="301B6AFB" w14:textId="77777777" w:rsidR="00D96BF7" w:rsidRPr="00D96BF7" w:rsidRDefault="00D96BF7">
            <w:pPr>
              <w:jc w:val="right"/>
              <w:rPr>
                <w:color w:val="000000"/>
                <w:sz w:val="18"/>
                <w:szCs w:val="18"/>
              </w:rPr>
            </w:pPr>
            <w:r w:rsidRPr="00D96BF7">
              <w:rPr>
                <w:color w:val="000000"/>
                <w:sz w:val="18"/>
                <w:szCs w:val="18"/>
              </w:rPr>
              <w:t xml:space="preserve">$0 </w:t>
            </w:r>
          </w:p>
        </w:tc>
        <w:tc>
          <w:tcPr>
            <w:tcW w:w="278" w:type="pct"/>
            <w:shd w:val="clear" w:color="auto" w:fill="auto"/>
            <w:vAlign w:val="center"/>
            <w:hideMark/>
          </w:tcPr>
          <w:p w14:paraId="26E3EAA3" w14:textId="77777777" w:rsidR="00D96BF7" w:rsidRPr="00D96BF7" w:rsidRDefault="00D96BF7">
            <w:pPr>
              <w:jc w:val="right"/>
              <w:rPr>
                <w:color w:val="000000"/>
                <w:sz w:val="18"/>
                <w:szCs w:val="18"/>
              </w:rPr>
            </w:pPr>
            <w:r w:rsidRPr="00D96BF7">
              <w:rPr>
                <w:color w:val="000000"/>
                <w:sz w:val="18"/>
                <w:szCs w:val="18"/>
              </w:rPr>
              <w:t>6,337</w:t>
            </w:r>
          </w:p>
        </w:tc>
        <w:tc>
          <w:tcPr>
            <w:tcW w:w="278" w:type="pct"/>
            <w:shd w:val="clear" w:color="auto" w:fill="auto"/>
            <w:vAlign w:val="center"/>
            <w:hideMark/>
          </w:tcPr>
          <w:p w14:paraId="10AD45AF" w14:textId="77777777" w:rsidR="00D96BF7" w:rsidRPr="00D96BF7" w:rsidRDefault="00D96BF7">
            <w:pPr>
              <w:jc w:val="right"/>
              <w:rPr>
                <w:color w:val="000000"/>
                <w:sz w:val="18"/>
                <w:szCs w:val="18"/>
              </w:rPr>
            </w:pPr>
            <w:r w:rsidRPr="00D96BF7">
              <w:rPr>
                <w:color w:val="000000"/>
                <w:sz w:val="18"/>
                <w:szCs w:val="18"/>
              </w:rPr>
              <w:t>6,337</w:t>
            </w:r>
          </w:p>
        </w:tc>
        <w:tc>
          <w:tcPr>
            <w:tcW w:w="243" w:type="pct"/>
            <w:shd w:val="clear" w:color="auto" w:fill="auto"/>
            <w:vAlign w:val="center"/>
            <w:hideMark/>
          </w:tcPr>
          <w:p w14:paraId="62571593" w14:textId="77777777" w:rsidR="00D96BF7" w:rsidRPr="00D96BF7" w:rsidRDefault="00D96BF7">
            <w:pPr>
              <w:jc w:val="right"/>
              <w:rPr>
                <w:color w:val="000000"/>
                <w:sz w:val="18"/>
                <w:szCs w:val="18"/>
              </w:rPr>
            </w:pPr>
            <w:r w:rsidRPr="00D96BF7">
              <w:rPr>
                <w:color w:val="000000"/>
                <w:sz w:val="18"/>
                <w:szCs w:val="18"/>
              </w:rPr>
              <w:t>6,337</w:t>
            </w:r>
          </w:p>
        </w:tc>
        <w:tc>
          <w:tcPr>
            <w:tcW w:w="280" w:type="pct"/>
            <w:shd w:val="clear" w:color="auto" w:fill="auto"/>
            <w:vAlign w:val="center"/>
            <w:hideMark/>
          </w:tcPr>
          <w:p w14:paraId="41E3A1C9" w14:textId="77777777" w:rsidR="00D96BF7" w:rsidRPr="00D96BF7" w:rsidRDefault="00D96BF7">
            <w:pPr>
              <w:jc w:val="right"/>
              <w:rPr>
                <w:color w:val="000000"/>
                <w:sz w:val="18"/>
                <w:szCs w:val="18"/>
              </w:rPr>
            </w:pPr>
            <w:r w:rsidRPr="00D96BF7">
              <w:rPr>
                <w:color w:val="000000"/>
                <w:sz w:val="18"/>
                <w:szCs w:val="18"/>
              </w:rPr>
              <w:t>6,337</w:t>
            </w:r>
          </w:p>
        </w:tc>
        <w:tc>
          <w:tcPr>
            <w:tcW w:w="454" w:type="pct"/>
            <w:shd w:val="clear" w:color="auto" w:fill="auto"/>
            <w:vAlign w:val="center"/>
            <w:hideMark/>
          </w:tcPr>
          <w:p w14:paraId="54C27FC0" w14:textId="77777777" w:rsidR="00D96BF7" w:rsidRPr="00D96BF7" w:rsidRDefault="00D96BF7">
            <w:pPr>
              <w:jc w:val="right"/>
              <w:rPr>
                <w:sz w:val="18"/>
                <w:szCs w:val="18"/>
              </w:rPr>
            </w:pPr>
            <w:r w:rsidRPr="00D96BF7">
              <w:rPr>
                <w:sz w:val="18"/>
                <w:szCs w:val="18"/>
              </w:rPr>
              <w:t xml:space="preserve">$337,445 </w:t>
            </w:r>
          </w:p>
        </w:tc>
        <w:tc>
          <w:tcPr>
            <w:tcW w:w="376" w:type="pct"/>
            <w:shd w:val="clear" w:color="auto" w:fill="auto"/>
            <w:vAlign w:val="center"/>
            <w:hideMark/>
          </w:tcPr>
          <w:p w14:paraId="44ABB986" w14:textId="77777777" w:rsidR="00D96BF7" w:rsidRPr="00D96BF7" w:rsidRDefault="00D96BF7">
            <w:pPr>
              <w:jc w:val="right"/>
              <w:rPr>
                <w:sz w:val="18"/>
                <w:szCs w:val="18"/>
              </w:rPr>
            </w:pPr>
            <w:r w:rsidRPr="00D96BF7">
              <w:rPr>
                <w:sz w:val="18"/>
                <w:szCs w:val="18"/>
              </w:rPr>
              <w:t xml:space="preserve">$337,445 </w:t>
            </w:r>
          </w:p>
        </w:tc>
      </w:tr>
      <w:tr w:rsidR="0070240F" w14:paraId="7B44C0B9" w14:textId="77777777" w:rsidTr="0070240F">
        <w:trPr>
          <w:trHeight w:val="526"/>
        </w:trPr>
        <w:tc>
          <w:tcPr>
            <w:tcW w:w="992" w:type="pct"/>
            <w:shd w:val="clear" w:color="auto" w:fill="auto"/>
            <w:vAlign w:val="bottom"/>
            <w:hideMark/>
          </w:tcPr>
          <w:p w14:paraId="11BAC3AA" w14:textId="77777777" w:rsidR="00D96BF7" w:rsidRPr="00D96BF7" w:rsidRDefault="00D96BF7">
            <w:pPr>
              <w:rPr>
                <w:color w:val="000000"/>
                <w:sz w:val="18"/>
                <w:szCs w:val="18"/>
              </w:rPr>
            </w:pPr>
            <w:r w:rsidRPr="00D96BF7">
              <w:rPr>
                <w:color w:val="000000"/>
                <w:sz w:val="18"/>
                <w:szCs w:val="18"/>
              </w:rPr>
              <w:t>Label containers in primary storage area (SQG)</w:t>
            </w:r>
          </w:p>
        </w:tc>
        <w:tc>
          <w:tcPr>
            <w:tcW w:w="256" w:type="pct"/>
            <w:shd w:val="clear" w:color="auto" w:fill="auto"/>
            <w:vAlign w:val="center"/>
            <w:hideMark/>
          </w:tcPr>
          <w:p w14:paraId="44F11804" w14:textId="77777777" w:rsidR="00D96BF7" w:rsidRPr="00D96BF7" w:rsidRDefault="00D96BF7">
            <w:pPr>
              <w:jc w:val="right"/>
              <w:rPr>
                <w:color w:val="000000"/>
                <w:sz w:val="18"/>
                <w:szCs w:val="18"/>
              </w:rPr>
            </w:pPr>
            <w:r w:rsidRPr="00D96BF7">
              <w:rPr>
                <w:color w:val="000000"/>
                <w:sz w:val="18"/>
                <w:szCs w:val="18"/>
              </w:rPr>
              <w:t>0</w:t>
            </w:r>
          </w:p>
        </w:tc>
        <w:tc>
          <w:tcPr>
            <w:tcW w:w="242" w:type="pct"/>
            <w:shd w:val="clear" w:color="auto" w:fill="auto"/>
            <w:vAlign w:val="center"/>
            <w:hideMark/>
          </w:tcPr>
          <w:p w14:paraId="70332153" w14:textId="77777777" w:rsidR="00D96BF7" w:rsidRPr="00D96BF7" w:rsidRDefault="00D96BF7">
            <w:pPr>
              <w:jc w:val="right"/>
              <w:rPr>
                <w:color w:val="000000"/>
                <w:sz w:val="18"/>
                <w:szCs w:val="18"/>
              </w:rPr>
            </w:pPr>
            <w:r w:rsidRPr="00D96BF7">
              <w:rPr>
                <w:color w:val="000000"/>
                <w:sz w:val="18"/>
                <w:szCs w:val="18"/>
              </w:rPr>
              <w:t>0</w:t>
            </w:r>
          </w:p>
        </w:tc>
        <w:tc>
          <w:tcPr>
            <w:tcW w:w="277" w:type="pct"/>
            <w:shd w:val="clear" w:color="auto" w:fill="auto"/>
            <w:vAlign w:val="center"/>
            <w:hideMark/>
          </w:tcPr>
          <w:p w14:paraId="74925F1E" w14:textId="77777777" w:rsidR="00D96BF7" w:rsidRPr="00D96BF7" w:rsidRDefault="00D96BF7">
            <w:pPr>
              <w:jc w:val="right"/>
              <w:rPr>
                <w:color w:val="000000"/>
                <w:sz w:val="18"/>
                <w:szCs w:val="18"/>
              </w:rPr>
            </w:pPr>
            <w:r w:rsidRPr="00D96BF7">
              <w:rPr>
                <w:color w:val="000000"/>
                <w:sz w:val="18"/>
                <w:szCs w:val="18"/>
              </w:rPr>
              <w:t>0.25</w:t>
            </w:r>
          </w:p>
        </w:tc>
        <w:tc>
          <w:tcPr>
            <w:tcW w:w="313" w:type="pct"/>
            <w:shd w:val="clear" w:color="auto" w:fill="auto"/>
            <w:vAlign w:val="center"/>
            <w:hideMark/>
          </w:tcPr>
          <w:p w14:paraId="2E57E661" w14:textId="77777777" w:rsidR="00D96BF7" w:rsidRPr="00D96BF7" w:rsidRDefault="00D96BF7">
            <w:pPr>
              <w:jc w:val="right"/>
              <w:rPr>
                <w:color w:val="000000"/>
                <w:sz w:val="18"/>
                <w:szCs w:val="18"/>
              </w:rPr>
            </w:pPr>
            <w:r w:rsidRPr="00D96BF7">
              <w:rPr>
                <w:color w:val="000000"/>
                <w:sz w:val="18"/>
                <w:szCs w:val="18"/>
              </w:rPr>
              <w:t>0</w:t>
            </w:r>
          </w:p>
        </w:tc>
        <w:tc>
          <w:tcPr>
            <w:tcW w:w="313" w:type="pct"/>
            <w:shd w:val="clear" w:color="auto" w:fill="auto"/>
            <w:vAlign w:val="center"/>
            <w:hideMark/>
          </w:tcPr>
          <w:p w14:paraId="7D2DE10A" w14:textId="77777777" w:rsidR="00D96BF7" w:rsidRPr="00D96BF7" w:rsidRDefault="00D96BF7">
            <w:pPr>
              <w:jc w:val="right"/>
              <w:rPr>
                <w:color w:val="000000"/>
                <w:sz w:val="18"/>
                <w:szCs w:val="18"/>
              </w:rPr>
            </w:pPr>
            <w:r w:rsidRPr="00D96BF7">
              <w:rPr>
                <w:color w:val="000000"/>
                <w:sz w:val="18"/>
                <w:szCs w:val="18"/>
              </w:rPr>
              <w:t>0.25</w:t>
            </w:r>
          </w:p>
        </w:tc>
        <w:tc>
          <w:tcPr>
            <w:tcW w:w="243" w:type="pct"/>
            <w:shd w:val="clear" w:color="auto" w:fill="auto"/>
            <w:vAlign w:val="center"/>
            <w:hideMark/>
          </w:tcPr>
          <w:p w14:paraId="641F399C" w14:textId="77777777" w:rsidR="00D96BF7" w:rsidRPr="00D96BF7" w:rsidRDefault="00D96BF7">
            <w:pPr>
              <w:jc w:val="right"/>
              <w:rPr>
                <w:color w:val="000000"/>
                <w:sz w:val="18"/>
                <w:szCs w:val="18"/>
              </w:rPr>
            </w:pPr>
            <w:r w:rsidRPr="00D96BF7">
              <w:rPr>
                <w:color w:val="000000"/>
                <w:sz w:val="18"/>
                <w:szCs w:val="18"/>
              </w:rPr>
              <w:t xml:space="preserve">$13 </w:t>
            </w:r>
          </w:p>
        </w:tc>
        <w:tc>
          <w:tcPr>
            <w:tcW w:w="208" w:type="pct"/>
            <w:shd w:val="clear" w:color="auto" w:fill="auto"/>
            <w:vAlign w:val="center"/>
            <w:hideMark/>
          </w:tcPr>
          <w:p w14:paraId="1CF214FA" w14:textId="77777777" w:rsidR="00D96BF7" w:rsidRPr="00D96BF7" w:rsidRDefault="00D96BF7">
            <w:pPr>
              <w:jc w:val="right"/>
              <w:rPr>
                <w:color w:val="000000"/>
                <w:sz w:val="18"/>
                <w:szCs w:val="18"/>
              </w:rPr>
            </w:pPr>
            <w:r w:rsidRPr="00D96BF7">
              <w:rPr>
                <w:color w:val="000000"/>
                <w:sz w:val="18"/>
                <w:szCs w:val="18"/>
              </w:rPr>
              <w:t xml:space="preserve">$0 </w:t>
            </w:r>
          </w:p>
        </w:tc>
        <w:tc>
          <w:tcPr>
            <w:tcW w:w="244" w:type="pct"/>
            <w:shd w:val="clear" w:color="auto" w:fill="auto"/>
            <w:vAlign w:val="center"/>
            <w:hideMark/>
          </w:tcPr>
          <w:p w14:paraId="0E1B859A" w14:textId="77777777" w:rsidR="00D96BF7" w:rsidRPr="00D96BF7" w:rsidRDefault="00D96BF7">
            <w:pPr>
              <w:jc w:val="right"/>
              <w:rPr>
                <w:color w:val="000000"/>
                <w:sz w:val="18"/>
                <w:szCs w:val="18"/>
              </w:rPr>
            </w:pPr>
            <w:r w:rsidRPr="00D96BF7">
              <w:rPr>
                <w:color w:val="000000"/>
                <w:sz w:val="18"/>
                <w:szCs w:val="18"/>
              </w:rPr>
              <w:t xml:space="preserve">$0 </w:t>
            </w:r>
          </w:p>
        </w:tc>
        <w:tc>
          <w:tcPr>
            <w:tcW w:w="278" w:type="pct"/>
            <w:shd w:val="clear" w:color="auto" w:fill="auto"/>
            <w:vAlign w:val="center"/>
            <w:hideMark/>
          </w:tcPr>
          <w:p w14:paraId="50E1230F" w14:textId="77777777" w:rsidR="00D96BF7" w:rsidRPr="00D96BF7" w:rsidRDefault="00D96BF7">
            <w:pPr>
              <w:jc w:val="right"/>
              <w:rPr>
                <w:color w:val="000000"/>
                <w:sz w:val="18"/>
                <w:szCs w:val="18"/>
              </w:rPr>
            </w:pPr>
            <w:r w:rsidRPr="00D96BF7">
              <w:rPr>
                <w:color w:val="000000"/>
                <w:sz w:val="18"/>
                <w:szCs w:val="18"/>
              </w:rPr>
              <w:t>5,552</w:t>
            </w:r>
          </w:p>
        </w:tc>
        <w:tc>
          <w:tcPr>
            <w:tcW w:w="278" w:type="pct"/>
            <w:shd w:val="clear" w:color="auto" w:fill="auto"/>
            <w:vAlign w:val="center"/>
            <w:hideMark/>
          </w:tcPr>
          <w:p w14:paraId="680AE68A" w14:textId="77777777" w:rsidR="00D96BF7" w:rsidRPr="00D96BF7" w:rsidRDefault="00D96BF7">
            <w:pPr>
              <w:jc w:val="right"/>
              <w:rPr>
                <w:color w:val="000000"/>
                <w:sz w:val="18"/>
                <w:szCs w:val="18"/>
              </w:rPr>
            </w:pPr>
            <w:r w:rsidRPr="00D96BF7">
              <w:rPr>
                <w:color w:val="000000"/>
                <w:sz w:val="18"/>
                <w:szCs w:val="18"/>
              </w:rPr>
              <w:t>7,009</w:t>
            </w:r>
          </w:p>
        </w:tc>
        <w:tc>
          <w:tcPr>
            <w:tcW w:w="243" w:type="pct"/>
            <w:shd w:val="clear" w:color="auto" w:fill="auto"/>
            <w:vAlign w:val="center"/>
            <w:hideMark/>
          </w:tcPr>
          <w:p w14:paraId="053B3226" w14:textId="77777777" w:rsidR="00D96BF7" w:rsidRPr="00D96BF7" w:rsidRDefault="00D96BF7">
            <w:pPr>
              <w:jc w:val="right"/>
              <w:rPr>
                <w:color w:val="000000"/>
                <w:sz w:val="18"/>
                <w:szCs w:val="18"/>
              </w:rPr>
            </w:pPr>
            <w:r w:rsidRPr="00D96BF7">
              <w:rPr>
                <w:color w:val="000000"/>
                <w:sz w:val="18"/>
                <w:szCs w:val="18"/>
              </w:rPr>
              <w:t>1,388</w:t>
            </w:r>
          </w:p>
        </w:tc>
        <w:tc>
          <w:tcPr>
            <w:tcW w:w="280" w:type="pct"/>
            <w:shd w:val="clear" w:color="auto" w:fill="auto"/>
            <w:vAlign w:val="center"/>
            <w:hideMark/>
          </w:tcPr>
          <w:p w14:paraId="4AFF9281" w14:textId="77777777" w:rsidR="00D96BF7" w:rsidRPr="00D96BF7" w:rsidRDefault="00D96BF7">
            <w:pPr>
              <w:jc w:val="right"/>
              <w:rPr>
                <w:color w:val="000000"/>
                <w:sz w:val="18"/>
                <w:szCs w:val="18"/>
              </w:rPr>
            </w:pPr>
            <w:r w:rsidRPr="00D96BF7">
              <w:rPr>
                <w:color w:val="000000"/>
                <w:sz w:val="18"/>
                <w:szCs w:val="18"/>
              </w:rPr>
              <w:t>1,752</w:t>
            </w:r>
          </w:p>
        </w:tc>
        <w:tc>
          <w:tcPr>
            <w:tcW w:w="454" w:type="pct"/>
            <w:shd w:val="clear" w:color="auto" w:fill="auto"/>
            <w:vAlign w:val="center"/>
            <w:hideMark/>
          </w:tcPr>
          <w:p w14:paraId="49A42944" w14:textId="77777777" w:rsidR="00D96BF7" w:rsidRPr="00D96BF7" w:rsidRDefault="00D96BF7">
            <w:pPr>
              <w:jc w:val="right"/>
              <w:rPr>
                <w:sz w:val="18"/>
                <w:szCs w:val="18"/>
              </w:rPr>
            </w:pPr>
            <w:r w:rsidRPr="00D96BF7">
              <w:rPr>
                <w:sz w:val="18"/>
                <w:szCs w:val="18"/>
              </w:rPr>
              <w:t xml:space="preserve">$73,911 </w:t>
            </w:r>
          </w:p>
        </w:tc>
        <w:tc>
          <w:tcPr>
            <w:tcW w:w="376" w:type="pct"/>
            <w:shd w:val="clear" w:color="auto" w:fill="auto"/>
            <w:vAlign w:val="center"/>
            <w:hideMark/>
          </w:tcPr>
          <w:p w14:paraId="39CFFDB4" w14:textId="77777777" w:rsidR="00D96BF7" w:rsidRPr="00D96BF7" w:rsidRDefault="00D96BF7">
            <w:pPr>
              <w:jc w:val="right"/>
              <w:rPr>
                <w:sz w:val="18"/>
                <w:szCs w:val="18"/>
              </w:rPr>
            </w:pPr>
            <w:r w:rsidRPr="00D96BF7">
              <w:rPr>
                <w:sz w:val="18"/>
                <w:szCs w:val="18"/>
              </w:rPr>
              <w:t xml:space="preserve">$93,307 </w:t>
            </w:r>
          </w:p>
        </w:tc>
      </w:tr>
      <w:tr w:rsidR="0070240F" w14:paraId="71097F97" w14:textId="77777777" w:rsidTr="0070240F">
        <w:trPr>
          <w:trHeight w:val="526"/>
        </w:trPr>
        <w:tc>
          <w:tcPr>
            <w:tcW w:w="992" w:type="pct"/>
            <w:shd w:val="clear" w:color="auto" w:fill="auto"/>
            <w:vAlign w:val="bottom"/>
            <w:hideMark/>
          </w:tcPr>
          <w:p w14:paraId="17A26D59" w14:textId="77777777" w:rsidR="00D96BF7" w:rsidRPr="00D96BF7" w:rsidRDefault="00D96BF7">
            <w:pPr>
              <w:rPr>
                <w:color w:val="000000"/>
                <w:sz w:val="18"/>
                <w:szCs w:val="18"/>
              </w:rPr>
            </w:pPr>
            <w:r w:rsidRPr="00D96BF7">
              <w:rPr>
                <w:color w:val="000000"/>
                <w:sz w:val="18"/>
                <w:szCs w:val="18"/>
              </w:rPr>
              <w:t>Label containers in satellite storage area (LQG)</w:t>
            </w:r>
          </w:p>
        </w:tc>
        <w:tc>
          <w:tcPr>
            <w:tcW w:w="256" w:type="pct"/>
            <w:shd w:val="clear" w:color="auto" w:fill="auto"/>
            <w:vAlign w:val="center"/>
            <w:hideMark/>
          </w:tcPr>
          <w:p w14:paraId="4D49B7CA" w14:textId="77777777" w:rsidR="00D96BF7" w:rsidRPr="00D96BF7" w:rsidRDefault="00D96BF7">
            <w:pPr>
              <w:jc w:val="right"/>
              <w:rPr>
                <w:color w:val="000000"/>
                <w:sz w:val="18"/>
                <w:szCs w:val="18"/>
              </w:rPr>
            </w:pPr>
            <w:r w:rsidRPr="00D96BF7">
              <w:rPr>
                <w:color w:val="000000"/>
                <w:sz w:val="18"/>
                <w:szCs w:val="18"/>
              </w:rPr>
              <w:t>0</w:t>
            </w:r>
          </w:p>
        </w:tc>
        <w:tc>
          <w:tcPr>
            <w:tcW w:w="242" w:type="pct"/>
            <w:shd w:val="clear" w:color="auto" w:fill="auto"/>
            <w:vAlign w:val="center"/>
            <w:hideMark/>
          </w:tcPr>
          <w:p w14:paraId="201C8CA9" w14:textId="77777777" w:rsidR="00D96BF7" w:rsidRPr="00D96BF7" w:rsidRDefault="00D96BF7">
            <w:pPr>
              <w:jc w:val="right"/>
              <w:rPr>
                <w:color w:val="000000"/>
                <w:sz w:val="18"/>
                <w:szCs w:val="18"/>
              </w:rPr>
            </w:pPr>
            <w:r w:rsidRPr="00D96BF7">
              <w:rPr>
                <w:color w:val="000000"/>
                <w:sz w:val="18"/>
                <w:szCs w:val="18"/>
              </w:rPr>
              <w:t>0</w:t>
            </w:r>
          </w:p>
        </w:tc>
        <w:tc>
          <w:tcPr>
            <w:tcW w:w="277" w:type="pct"/>
            <w:shd w:val="clear" w:color="auto" w:fill="auto"/>
            <w:vAlign w:val="center"/>
            <w:hideMark/>
          </w:tcPr>
          <w:p w14:paraId="024D05CA" w14:textId="77777777" w:rsidR="00D96BF7" w:rsidRPr="00D96BF7" w:rsidRDefault="00D96BF7">
            <w:pPr>
              <w:jc w:val="right"/>
              <w:rPr>
                <w:color w:val="000000"/>
                <w:sz w:val="18"/>
                <w:szCs w:val="18"/>
              </w:rPr>
            </w:pPr>
            <w:r w:rsidRPr="00D96BF7">
              <w:rPr>
                <w:color w:val="000000"/>
                <w:sz w:val="18"/>
                <w:szCs w:val="18"/>
              </w:rPr>
              <w:t>0.5</w:t>
            </w:r>
          </w:p>
        </w:tc>
        <w:tc>
          <w:tcPr>
            <w:tcW w:w="313" w:type="pct"/>
            <w:shd w:val="clear" w:color="auto" w:fill="auto"/>
            <w:vAlign w:val="center"/>
            <w:hideMark/>
          </w:tcPr>
          <w:p w14:paraId="5FE3DA6B" w14:textId="77777777" w:rsidR="00D96BF7" w:rsidRPr="00D96BF7" w:rsidRDefault="00D96BF7">
            <w:pPr>
              <w:jc w:val="right"/>
              <w:rPr>
                <w:color w:val="000000"/>
                <w:sz w:val="18"/>
                <w:szCs w:val="18"/>
              </w:rPr>
            </w:pPr>
            <w:r w:rsidRPr="00D96BF7">
              <w:rPr>
                <w:color w:val="000000"/>
                <w:sz w:val="18"/>
                <w:szCs w:val="18"/>
              </w:rPr>
              <w:t>0</w:t>
            </w:r>
          </w:p>
        </w:tc>
        <w:tc>
          <w:tcPr>
            <w:tcW w:w="313" w:type="pct"/>
            <w:shd w:val="clear" w:color="auto" w:fill="auto"/>
            <w:vAlign w:val="center"/>
            <w:hideMark/>
          </w:tcPr>
          <w:p w14:paraId="433F1204" w14:textId="77777777" w:rsidR="00D96BF7" w:rsidRPr="00D96BF7" w:rsidRDefault="00D96BF7">
            <w:pPr>
              <w:jc w:val="right"/>
              <w:rPr>
                <w:color w:val="000000"/>
                <w:sz w:val="18"/>
                <w:szCs w:val="18"/>
              </w:rPr>
            </w:pPr>
            <w:r w:rsidRPr="00D96BF7">
              <w:rPr>
                <w:color w:val="000000"/>
                <w:sz w:val="18"/>
                <w:szCs w:val="18"/>
              </w:rPr>
              <w:t>0.50</w:t>
            </w:r>
          </w:p>
        </w:tc>
        <w:tc>
          <w:tcPr>
            <w:tcW w:w="243" w:type="pct"/>
            <w:shd w:val="clear" w:color="auto" w:fill="auto"/>
            <w:vAlign w:val="center"/>
            <w:hideMark/>
          </w:tcPr>
          <w:p w14:paraId="65A2F772" w14:textId="77777777" w:rsidR="00D96BF7" w:rsidRPr="00D96BF7" w:rsidRDefault="00D96BF7">
            <w:pPr>
              <w:jc w:val="right"/>
              <w:rPr>
                <w:color w:val="000000"/>
                <w:sz w:val="18"/>
                <w:szCs w:val="18"/>
              </w:rPr>
            </w:pPr>
            <w:r w:rsidRPr="00D96BF7">
              <w:rPr>
                <w:color w:val="000000"/>
                <w:sz w:val="18"/>
                <w:szCs w:val="18"/>
              </w:rPr>
              <w:t xml:space="preserve">$27 </w:t>
            </w:r>
          </w:p>
        </w:tc>
        <w:tc>
          <w:tcPr>
            <w:tcW w:w="208" w:type="pct"/>
            <w:shd w:val="clear" w:color="auto" w:fill="auto"/>
            <w:vAlign w:val="center"/>
            <w:hideMark/>
          </w:tcPr>
          <w:p w14:paraId="37FBC202" w14:textId="77777777" w:rsidR="00D96BF7" w:rsidRPr="00D96BF7" w:rsidRDefault="00D96BF7">
            <w:pPr>
              <w:jc w:val="right"/>
              <w:rPr>
                <w:color w:val="000000"/>
                <w:sz w:val="18"/>
                <w:szCs w:val="18"/>
              </w:rPr>
            </w:pPr>
            <w:r w:rsidRPr="00D96BF7">
              <w:rPr>
                <w:color w:val="000000"/>
                <w:sz w:val="18"/>
                <w:szCs w:val="18"/>
              </w:rPr>
              <w:t xml:space="preserve">$0 </w:t>
            </w:r>
          </w:p>
        </w:tc>
        <w:tc>
          <w:tcPr>
            <w:tcW w:w="244" w:type="pct"/>
            <w:shd w:val="clear" w:color="auto" w:fill="auto"/>
            <w:vAlign w:val="center"/>
            <w:hideMark/>
          </w:tcPr>
          <w:p w14:paraId="504E884A" w14:textId="77777777" w:rsidR="00D96BF7" w:rsidRPr="00D96BF7" w:rsidRDefault="00D96BF7">
            <w:pPr>
              <w:jc w:val="right"/>
              <w:rPr>
                <w:color w:val="000000"/>
                <w:sz w:val="18"/>
                <w:szCs w:val="18"/>
              </w:rPr>
            </w:pPr>
            <w:r w:rsidRPr="00D96BF7">
              <w:rPr>
                <w:color w:val="000000"/>
                <w:sz w:val="18"/>
                <w:szCs w:val="18"/>
              </w:rPr>
              <w:t xml:space="preserve">$0 </w:t>
            </w:r>
          </w:p>
        </w:tc>
        <w:tc>
          <w:tcPr>
            <w:tcW w:w="278" w:type="pct"/>
            <w:shd w:val="clear" w:color="auto" w:fill="auto"/>
            <w:vAlign w:val="center"/>
            <w:hideMark/>
          </w:tcPr>
          <w:p w14:paraId="6FCF563F" w14:textId="77777777" w:rsidR="00D96BF7" w:rsidRPr="00D96BF7" w:rsidRDefault="00D96BF7">
            <w:pPr>
              <w:jc w:val="right"/>
              <w:rPr>
                <w:color w:val="000000"/>
                <w:sz w:val="18"/>
                <w:szCs w:val="18"/>
              </w:rPr>
            </w:pPr>
            <w:r w:rsidRPr="00D96BF7">
              <w:rPr>
                <w:color w:val="000000"/>
                <w:sz w:val="18"/>
                <w:szCs w:val="18"/>
              </w:rPr>
              <w:t>6,337</w:t>
            </w:r>
          </w:p>
        </w:tc>
        <w:tc>
          <w:tcPr>
            <w:tcW w:w="278" w:type="pct"/>
            <w:shd w:val="clear" w:color="auto" w:fill="auto"/>
            <w:vAlign w:val="center"/>
            <w:hideMark/>
          </w:tcPr>
          <w:p w14:paraId="002CA727" w14:textId="77777777" w:rsidR="00D96BF7" w:rsidRPr="00D96BF7" w:rsidRDefault="00D96BF7">
            <w:pPr>
              <w:jc w:val="right"/>
              <w:rPr>
                <w:color w:val="000000"/>
                <w:sz w:val="18"/>
                <w:szCs w:val="18"/>
              </w:rPr>
            </w:pPr>
            <w:r w:rsidRPr="00D96BF7">
              <w:rPr>
                <w:color w:val="000000"/>
                <w:sz w:val="18"/>
                <w:szCs w:val="18"/>
              </w:rPr>
              <w:t>6,337</w:t>
            </w:r>
          </w:p>
        </w:tc>
        <w:tc>
          <w:tcPr>
            <w:tcW w:w="243" w:type="pct"/>
            <w:shd w:val="clear" w:color="auto" w:fill="auto"/>
            <w:vAlign w:val="center"/>
            <w:hideMark/>
          </w:tcPr>
          <w:p w14:paraId="4C1524CF" w14:textId="77777777" w:rsidR="00D96BF7" w:rsidRPr="00D96BF7" w:rsidRDefault="00D96BF7">
            <w:pPr>
              <w:jc w:val="right"/>
              <w:rPr>
                <w:color w:val="000000"/>
                <w:sz w:val="18"/>
                <w:szCs w:val="18"/>
              </w:rPr>
            </w:pPr>
            <w:r w:rsidRPr="00D96BF7">
              <w:rPr>
                <w:color w:val="000000"/>
                <w:sz w:val="18"/>
                <w:szCs w:val="18"/>
              </w:rPr>
              <w:t>3,169</w:t>
            </w:r>
          </w:p>
        </w:tc>
        <w:tc>
          <w:tcPr>
            <w:tcW w:w="280" w:type="pct"/>
            <w:shd w:val="clear" w:color="auto" w:fill="auto"/>
            <w:vAlign w:val="center"/>
            <w:hideMark/>
          </w:tcPr>
          <w:p w14:paraId="62320864" w14:textId="77777777" w:rsidR="00D96BF7" w:rsidRPr="00D96BF7" w:rsidRDefault="00D96BF7">
            <w:pPr>
              <w:jc w:val="right"/>
              <w:rPr>
                <w:color w:val="000000"/>
                <w:sz w:val="18"/>
                <w:szCs w:val="18"/>
              </w:rPr>
            </w:pPr>
            <w:r w:rsidRPr="00D96BF7">
              <w:rPr>
                <w:color w:val="000000"/>
                <w:sz w:val="18"/>
                <w:szCs w:val="18"/>
              </w:rPr>
              <w:t>3,169</w:t>
            </w:r>
          </w:p>
        </w:tc>
        <w:tc>
          <w:tcPr>
            <w:tcW w:w="454" w:type="pct"/>
            <w:shd w:val="clear" w:color="auto" w:fill="auto"/>
            <w:vAlign w:val="center"/>
            <w:hideMark/>
          </w:tcPr>
          <w:p w14:paraId="3478E1D6" w14:textId="77777777" w:rsidR="00D96BF7" w:rsidRPr="00D96BF7" w:rsidRDefault="00D96BF7">
            <w:pPr>
              <w:jc w:val="right"/>
              <w:rPr>
                <w:sz w:val="18"/>
                <w:szCs w:val="18"/>
              </w:rPr>
            </w:pPr>
            <w:r w:rsidRPr="00D96BF7">
              <w:rPr>
                <w:sz w:val="18"/>
                <w:szCs w:val="18"/>
              </w:rPr>
              <w:t xml:space="preserve">$168,723 </w:t>
            </w:r>
          </w:p>
        </w:tc>
        <w:tc>
          <w:tcPr>
            <w:tcW w:w="376" w:type="pct"/>
            <w:shd w:val="clear" w:color="auto" w:fill="auto"/>
            <w:vAlign w:val="center"/>
            <w:hideMark/>
          </w:tcPr>
          <w:p w14:paraId="1C7C8BBC" w14:textId="77777777" w:rsidR="00D96BF7" w:rsidRPr="00D96BF7" w:rsidRDefault="00D96BF7">
            <w:pPr>
              <w:jc w:val="right"/>
              <w:rPr>
                <w:sz w:val="18"/>
                <w:szCs w:val="18"/>
              </w:rPr>
            </w:pPr>
            <w:r w:rsidRPr="00D96BF7">
              <w:rPr>
                <w:sz w:val="18"/>
                <w:szCs w:val="18"/>
              </w:rPr>
              <w:t xml:space="preserve">$168,723 </w:t>
            </w:r>
          </w:p>
        </w:tc>
      </w:tr>
      <w:tr w:rsidR="0070240F" w14:paraId="2ABC5281" w14:textId="77777777" w:rsidTr="0070240F">
        <w:trPr>
          <w:trHeight w:val="526"/>
        </w:trPr>
        <w:tc>
          <w:tcPr>
            <w:tcW w:w="992" w:type="pct"/>
            <w:shd w:val="clear" w:color="auto" w:fill="auto"/>
            <w:vAlign w:val="bottom"/>
            <w:hideMark/>
          </w:tcPr>
          <w:p w14:paraId="1470AAF6" w14:textId="77777777" w:rsidR="00D96BF7" w:rsidRPr="00D96BF7" w:rsidRDefault="00D96BF7">
            <w:pPr>
              <w:rPr>
                <w:color w:val="000000"/>
                <w:sz w:val="18"/>
                <w:szCs w:val="18"/>
              </w:rPr>
            </w:pPr>
            <w:r w:rsidRPr="00D96BF7">
              <w:rPr>
                <w:color w:val="000000"/>
                <w:sz w:val="18"/>
                <w:szCs w:val="18"/>
              </w:rPr>
              <w:t>Label containers in satellite storage area (SQG)</w:t>
            </w:r>
          </w:p>
        </w:tc>
        <w:tc>
          <w:tcPr>
            <w:tcW w:w="256" w:type="pct"/>
            <w:shd w:val="clear" w:color="auto" w:fill="auto"/>
            <w:vAlign w:val="center"/>
            <w:hideMark/>
          </w:tcPr>
          <w:p w14:paraId="415B5072" w14:textId="77777777" w:rsidR="00D96BF7" w:rsidRPr="00D96BF7" w:rsidRDefault="00D96BF7">
            <w:pPr>
              <w:jc w:val="right"/>
              <w:rPr>
                <w:color w:val="000000"/>
                <w:sz w:val="18"/>
                <w:szCs w:val="18"/>
              </w:rPr>
            </w:pPr>
            <w:r w:rsidRPr="00D96BF7">
              <w:rPr>
                <w:color w:val="000000"/>
                <w:sz w:val="18"/>
                <w:szCs w:val="18"/>
              </w:rPr>
              <w:t>0</w:t>
            </w:r>
          </w:p>
        </w:tc>
        <w:tc>
          <w:tcPr>
            <w:tcW w:w="242" w:type="pct"/>
            <w:shd w:val="clear" w:color="auto" w:fill="auto"/>
            <w:vAlign w:val="center"/>
            <w:hideMark/>
          </w:tcPr>
          <w:p w14:paraId="6729FE47" w14:textId="77777777" w:rsidR="00D96BF7" w:rsidRPr="00D96BF7" w:rsidRDefault="00D96BF7">
            <w:pPr>
              <w:jc w:val="right"/>
              <w:rPr>
                <w:color w:val="000000"/>
                <w:sz w:val="18"/>
                <w:szCs w:val="18"/>
              </w:rPr>
            </w:pPr>
            <w:r w:rsidRPr="00D96BF7">
              <w:rPr>
                <w:color w:val="000000"/>
                <w:sz w:val="18"/>
                <w:szCs w:val="18"/>
              </w:rPr>
              <w:t>0</w:t>
            </w:r>
          </w:p>
        </w:tc>
        <w:tc>
          <w:tcPr>
            <w:tcW w:w="277" w:type="pct"/>
            <w:shd w:val="clear" w:color="auto" w:fill="auto"/>
            <w:vAlign w:val="center"/>
            <w:hideMark/>
          </w:tcPr>
          <w:p w14:paraId="510CD3F7" w14:textId="77777777" w:rsidR="00D96BF7" w:rsidRPr="00D96BF7" w:rsidRDefault="00D96BF7">
            <w:pPr>
              <w:jc w:val="right"/>
              <w:rPr>
                <w:color w:val="000000"/>
                <w:sz w:val="18"/>
                <w:szCs w:val="18"/>
              </w:rPr>
            </w:pPr>
            <w:r w:rsidRPr="00D96BF7">
              <w:rPr>
                <w:color w:val="000000"/>
                <w:sz w:val="18"/>
                <w:szCs w:val="18"/>
              </w:rPr>
              <w:t>0.25</w:t>
            </w:r>
          </w:p>
        </w:tc>
        <w:tc>
          <w:tcPr>
            <w:tcW w:w="313" w:type="pct"/>
            <w:shd w:val="clear" w:color="auto" w:fill="auto"/>
            <w:vAlign w:val="center"/>
            <w:hideMark/>
          </w:tcPr>
          <w:p w14:paraId="742C9354" w14:textId="77777777" w:rsidR="00D96BF7" w:rsidRPr="00D96BF7" w:rsidRDefault="00D96BF7">
            <w:pPr>
              <w:jc w:val="right"/>
              <w:rPr>
                <w:color w:val="000000"/>
                <w:sz w:val="18"/>
                <w:szCs w:val="18"/>
              </w:rPr>
            </w:pPr>
            <w:r w:rsidRPr="00D96BF7">
              <w:rPr>
                <w:color w:val="000000"/>
                <w:sz w:val="18"/>
                <w:szCs w:val="18"/>
              </w:rPr>
              <w:t>0</w:t>
            </w:r>
          </w:p>
        </w:tc>
        <w:tc>
          <w:tcPr>
            <w:tcW w:w="313" w:type="pct"/>
            <w:shd w:val="clear" w:color="auto" w:fill="auto"/>
            <w:vAlign w:val="center"/>
            <w:hideMark/>
          </w:tcPr>
          <w:p w14:paraId="6D1CED3B" w14:textId="77777777" w:rsidR="00D96BF7" w:rsidRPr="00D96BF7" w:rsidRDefault="00D96BF7">
            <w:pPr>
              <w:jc w:val="right"/>
              <w:rPr>
                <w:color w:val="000000"/>
                <w:sz w:val="18"/>
                <w:szCs w:val="18"/>
              </w:rPr>
            </w:pPr>
            <w:r w:rsidRPr="00D96BF7">
              <w:rPr>
                <w:color w:val="000000"/>
                <w:sz w:val="18"/>
                <w:szCs w:val="18"/>
              </w:rPr>
              <w:t>0.25</w:t>
            </w:r>
          </w:p>
        </w:tc>
        <w:tc>
          <w:tcPr>
            <w:tcW w:w="243" w:type="pct"/>
            <w:shd w:val="clear" w:color="auto" w:fill="auto"/>
            <w:vAlign w:val="center"/>
            <w:hideMark/>
          </w:tcPr>
          <w:p w14:paraId="09C5EA0C" w14:textId="77777777" w:rsidR="00D96BF7" w:rsidRPr="00D96BF7" w:rsidRDefault="00D96BF7">
            <w:pPr>
              <w:jc w:val="right"/>
              <w:rPr>
                <w:color w:val="000000"/>
                <w:sz w:val="18"/>
                <w:szCs w:val="18"/>
              </w:rPr>
            </w:pPr>
            <w:r w:rsidRPr="00D96BF7">
              <w:rPr>
                <w:color w:val="000000"/>
                <w:sz w:val="18"/>
                <w:szCs w:val="18"/>
              </w:rPr>
              <w:t xml:space="preserve">$13 </w:t>
            </w:r>
          </w:p>
        </w:tc>
        <w:tc>
          <w:tcPr>
            <w:tcW w:w="208" w:type="pct"/>
            <w:shd w:val="clear" w:color="auto" w:fill="auto"/>
            <w:vAlign w:val="center"/>
            <w:hideMark/>
          </w:tcPr>
          <w:p w14:paraId="08B07A59" w14:textId="77777777" w:rsidR="00D96BF7" w:rsidRPr="00D96BF7" w:rsidRDefault="00D96BF7">
            <w:pPr>
              <w:jc w:val="right"/>
              <w:rPr>
                <w:color w:val="000000"/>
                <w:sz w:val="18"/>
                <w:szCs w:val="18"/>
              </w:rPr>
            </w:pPr>
            <w:r w:rsidRPr="00D96BF7">
              <w:rPr>
                <w:color w:val="000000"/>
                <w:sz w:val="18"/>
                <w:szCs w:val="18"/>
              </w:rPr>
              <w:t xml:space="preserve">$0 </w:t>
            </w:r>
          </w:p>
        </w:tc>
        <w:tc>
          <w:tcPr>
            <w:tcW w:w="244" w:type="pct"/>
            <w:shd w:val="clear" w:color="auto" w:fill="auto"/>
            <w:vAlign w:val="center"/>
            <w:hideMark/>
          </w:tcPr>
          <w:p w14:paraId="75524D58" w14:textId="77777777" w:rsidR="00D96BF7" w:rsidRPr="00D96BF7" w:rsidRDefault="00D96BF7">
            <w:pPr>
              <w:jc w:val="right"/>
              <w:rPr>
                <w:color w:val="000000"/>
                <w:sz w:val="18"/>
                <w:szCs w:val="18"/>
              </w:rPr>
            </w:pPr>
            <w:r w:rsidRPr="00D96BF7">
              <w:rPr>
                <w:color w:val="000000"/>
                <w:sz w:val="18"/>
                <w:szCs w:val="18"/>
              </w:rPr>
              <w:t xml:space="preserve">$0 </w:t>
            </w:r>
          </w:p>
        </w:tc>
        <w:tc>
          <w:tcPr>
            <w:tcW w:w="278" w:type="pct"/>
            <w:shd w:val="clear" w:color="auto" w:fill="auto"/>
            <w:vAlign w:val="center"/>
            <w:hideMark/>
          </w:tcPr>
          <w:p w14:paraId="716E1ED4" w14:textId="77777777" w:rsidR="00D96BF7" w:rsidRPr="00D96BF7" w:rsidRDefault="00D96BF7">
            <w:pPr>
              <w:jc w:val="right"/>
              <w:rPr>
                <w:color w:val="000000"/>
                <w:sz w:val="18"/>
                <w:szCs w:val="18"/>
              </w:rPr>
            </w:pPr>
            <w:r w:rsidRPr="00D96BF7">
              <w:rPr>
                <w:color w:val="000000"/>
                <w:sz w:val="18"/>
                <w:szCs w:val="18"/>
              </w:rPr>
              <w:t>5,552</w:t>
            </w:r>
          </w:p>
        </w:tc>
        <w:tc>
          <w:tcPr>
            <w:tcW w:w="278" w:type="pct"/>
            <w:shd w:val="clear" w:color="auto" w:fill="auto"/>
            <w:vAlign w:val="center"/>
            <w:hideMark/>
          </w:tcPr>
          <w:p w14:paraId="28A1A094" w14:textId="77777777" w:rsidR="00D96BF7" w:rsidRPr="00D96BF7" w:rsidRDefault="00D96BF7">
            <w:pPr>
              <w:jc w:val="right"/>
              <w:rPr>
                <w:color w:val="000000"/>
                <w:sz w:val="18"/>
                <w:szCs w:val="18"/>
              </w:rPr>
            </w:pPr>
            <w:r w:rsidRPr="00D96BF7">
              <w:rPr>
                <w:color w:val="000000"/>
                <w:sz w:val="18"/>
                <w:szCs w:val="18"/>
              </w:rPr>
              <w:t>7,009</w:t>
            </w:r>
          </w:p>
        </w:tc>
        <w:tc>
          <w:tcPr>
            <w:tcW w:w="243" w:type="pct"/>
            <w:shd w:val="clear" w:color="auto" w:fill="auto"/>
            <w:vAlign w:val="center"/>
            <w:hideMark/>
          </w:tcPr>
          <w:p w14:paraId="5B9A2774" w14:textId="77777777" w:rsidR="00D96BF7" w:rsidRPr="00D96BF7" w:rsidRDefault="00D96BF7">
            <w:pPr>
              <w:jc w:val="right"/>
              <w:rPr>
                <w:color w:val="000000"/>
                <w:sz w:val="18"/>
                <w:szCs w:val="18"/>
              </w:rPr>
            </w:pPr>
            <w:r w:rsidRPr="00D96BF7">
              <w:rPr>
                <w:color w:val="000000"/>
                <w:sz w:val="18"/>
                <w:szCs w:val="18"/>
              </w:rPr>
              <w:t>1,388</w:t>
            </w:r>
          </w:p>
        </w:tc>
        <w:tc>
          <w:tcPr>
            <w:tcW w:w="280" w:type="pct"/>
            <w:shd w:val="clear" w:color="auto" w:fill="auto"/>
            <w:vAlign w:val="center"/>
            <w:hideMark/>
          </w:tcPr>
          <w:p w14:paraId="43E8773D" w14:textId="77777777" w:rsidR="00D96BF7" w:rsidRPr="00D96BF7" w:rsidRDefault="00D96BF7">
            <w:pPr>
              <w:jc w:val="right"/>
              <w:rPr>
                <w:color w:val="000000"/>
                <w:sz w:val="18"/>
                <w:szCs w:val="18"/>
              </w:rPr>
            </w:pPr>
            <w:r w:rsidRPr="00D96BF7">
              <w:rPr>
                <w:color w:val="000000"/>
                <w:sz w:val="18"/>
                <w:szCs w:val="18"/>
              </w:rPr>
              <w:t>1,752</w:t>
            </w:r>
          </w:p>
        </w:tc>
        <w:tc>
          <w:tcPr>
            <w:tcW w:w="454" w:type="pct"/>
            <w:shd w:val="clear" w:color="auto" w:fill="auto"/>
            <w:vAlign w:val="center"/>
            <w:hideMark/>
          </w:tcPr>
          <w:p w14:paraId="483340CB" w14:textId="77777777" w:rsidR="00D96BF7" w:rsidRPr="00D96BF7" w:rsidRDefault="00D96BF7">
            <w:pPr>
              <w:jc w:val="right"/>
              <w:rPr>
                <w:sz w:val="18"/>
                <w:szCs w:val="18"/>
              </w:rPr>
            </w:pPr>
            <w:r w:rsidRPr="00D96BF7">
              <w:rPr>
                <w:sz w:val="18"/>
                <w:szCs w:val="18"/>
              </w:rPr>
              <w:t xml:space="preserve">$73,911 </w:t>
            </w:r>
          </w:p>
        </w:tc>
        <w:tc>
          <w:tcPr>
            <w:tcW w:w="376" w:type="pct"/>
            <w:shd w:val="clear" w:color="auto" w:fill="auto"/>
            <w:vAlign w:val="center"/>
            <w:hideMark/>
          </w:tcPr>
          <w:p w14:paraId="71497938" w14:textId="77777777" w:rsidR="00D96BF7" w:rsidRPr="00D96BF7" w:rsidRDefault="00D96BF7">
            <w:pPr>
              <w:jc w:val="right"/>
              <w:rPr>
                <w:sz w:val="18"/>
                <w:szCs w:val="18"/>
              </w:rPr>
            </w:pPr>
            <w:r w:rsidRPr="00D96BF7">
              <w:rPr>
                <w:sz w:val="18"/>
                <w:szCs w:val="18"/>
              </w:rPr>
              <w:t xml:space="preserve">$93,307 </w:t>
            </w:r>
          </w:p>
        </w:tc>
      </w:tr>
      <w:tr w:rsidR="0070240F" w14:paraId="48C0182E" w14:textId="77777777" w:rsidTr="0070240F">
        <w:trPr>
          <w:trHeight w:val="255"/>
        </w:trPr>
        <w:tc>
          <w:tcPr>
            <w:tcW w:w="1248" w:type="pct"/>
            <w:gridSpan w:val="2"/>
            <w:shd w:val="clear" w:color="000000" w:fill="D9D9D9"/>
            <w:noWrap/>
            <w:vAlign w:val="bottom"/>
            <w:hideMark/>
          </w:tcPr>
          <w:p w14:paraId="15B5EDC4" w14:textId="7566A833" w:rsidR="00D96BF7" w:rsidRPr="00D96BF7" w:rsidRDefault="00D96BF7">
            <w:pPr>
              <w:rPr>
                <w:color w:val="000000"/>
                <w:sz w:val="18"/>
                <w:szCs w:val="18"/>
              </w:rPr>
            </w:pPr>
            <w:r w:rsidRPr="00D96BF7">
              <w:rPr>
                <w:color w:val="000000"/>
                <w:sz w:val="18"/>
                <w:szCs w:val="18"/>
              </w:rPr>
              <w:t>Exception</w:t>
            </w:r>
            <w:r w:rsidR="000A3E6C">
              <w:rPr>
                <w:color w:val="000000"/>
                <w:sz w:val="18"/>
                <w:szCs w:val="18"/>
              </w:rPr>
              <w:t xml:space="preserve"> Reporting and Rejected</w:t>
            </w:r>
            <w:r w:rsidRPr="00D96BF7">
              <w:rPr>
                <w:color w:val="000000"/>
                <w:sz w:val="18"/>
                <w:szCs w:val="18"/>
              </w:rPr>
              <w:t xml:space="preserve"> Shipment</w:t>
            </w:r>
          </w:p>
        </w:tc>
        <w:tc>
          <w:tcPr>
            <w:tcW w:w="242" w:type="pct"/>
            <w:shd w:val="clear" w:color="000000" w:fill="D9D9D9"/>
            <w:noWrap/>
            <w:vAlign w:val="bottom"/>
            <w:hideMark/>
          </w:tcPr>
          <w:p w14:paraId="7F6F35F1" w14:textId="77777777" w:rsidR="00D96BF7" w:rsidRPr="00D96BF7" w:rsidRDefault="00D96BF7">
            <w:pPr>
              <w:rPr>
                <w:color w:val="000000"/>
                <w:sz w:val="18"/>
                <w:szCs w:val="18"/>
              </w:rPr>
            </w:pPr>
            <w:r w:rsidRPr="00D96BF7">
              <w:rPr>
                <w:color w:val="000000"/>
                <w:sz w:val="18"/>
                <w:szCs w:val="18"/>
              </w:rPr>
              <w:t> </w:t>
            </w:r>
          </w:p>
        </w:tc>
        <w:tc>
          <w:tcPr>
            <w:tcW w:w="277" w:type="pct"/>
            <w:shd w:val="clear" w:color="000000" w:fill="D9D9D9"/>
            <w:noWrap/>
            <w:vAlign w:val="bottom"/>
            <w:hideMark/>
          </w:tcPr>
          <w:p w14:paraId="6875522A" w14:textId="77777777" w:rsidR="00D96BF7" w:rsidRPr="00D96BF7" w:rsidRDefault="00D96BF7">
            <w:pPr>
              <w:rPr>
                <w:color w:val="000000"/>
                <w:sz w:val="18"/>
                <w:szCs w:val="18"/>
              </w:rPr>
            </w:pPr>
            <w:r w:rsidRPr="00D96BF7">
              <w:rPr>
                <w:color w:val="000000"/>
                <w:sz w:val="18"/>
                <w:szCs w:val="18"/>
              </w:rPr>
              <w:t> </w:t>
            </w:r>
          </w:p>
        </w:tc>
        <w:tc>
          <w:tcPr>
            <w:tcW w:w="313" w:type="pct"/>
            <w:shd w:val="clear" w:color="000000" w:fill="D9D9D9"/>
            <w:noWrap/>
            <w:vAlign w:val="bottom"/>
            <w:hideMark/>
          </w:tcPr>
          <w:p w14:paraId="77DDF995" w14:textId="77777777" w:rsidR="00D96BF7" w:rsidRPr="00D96BF7" w:rsidRDefault="00D96BF7">
            <w:pPr>
              <w:rPr>
                <w:color w:val="000000"/>
                <w:sz w:val="18"/>
                <w:szCs w:val="18"/>
              </w:rPr>
            </w:pPr>
            <w:r w:rsidRPr="00D96BF7">
              <w:rPr>
                <w:color w:val="000000"/>
                <w:sz w:val="18"/>
                <w:szCs w:val="18"/>
              </w:rPr>
              <w:t> </w:t>
            </w:r>
          </w:p>
        </w:tc>
        <w:tc>
          <w:tcPr>
            <w:tcW w:w="313" w:type="pct"/>
            <w:shd w:val="clear" w:color="000000" w:fill="D9D9D9"/>
            <w:noWrap/>
            <w:vAlign w:val="bottom"/>
            <w:hideMark/>
          </w:tcPr>
          <w:p w14:paraId="19BCD1A7" w14:textId="77777777" w:rsidR="00D96BF7" w:rsidRPr="00D96BF7" w:rsidRDefault="00D96BF7">
            <w:pPr>
              <w:rPr>
                <w:color w:val="000000"/>
                <w:sz w:val="18"/>
                <w:szCs w:val="18"/>
              </w:rPr>
            </w:pPr>
            <w:r w:rsidRPr="00D96BF7">
              <w:rPr>
                <w:color w:val="000000"/>
                <w:sz w:val="18"/>
                <w:szCs w:val="18"/>
              </w:rPr>
              <w:t> </w:t>
            </w:r>
          </w:p>
        </w:tc>
        <w:tc>
          <w:tcPr>
            <w:tcW w:w="243" w:type="pct"/>
            <w:shd w:val="clear" w:color="000000" w:fill="D9D9D9"/>
            <w:noWrap/>
            <w:vAlign w:val="bottom"/>
            <w:hideMark/>
          </w:tcPr>
          <w:p w14:paraId="7BC3A558" w14:textId="77777777" w:rsidR="00D96BF7" w:rsidRPr="00D96BF7" w:rsidRDefault="00D96BF7">
            <w:pPr>
              <w:rPr>
                <w:color w:val="000000"/>
                <w:sz w:val="18"/>
                <w:szCs w:val="18"/>
              </w:rPr>
            </w:pPr>
            <w:r w:rsidRPr="00D96BF7">
              <w:rPr>
                <w:color w:val="000000"/>
                <w:sz w:val="18"/>
                <w:szCs w:val="18"/>
              </w:rPr>
              <w:t> </w:t>
            </w:r>
          </w:p>
        </w:tc>
        <w:tc>
          <w:tcPr>
            <w:tcW w:w="208" w:type="pct"/>
            <w:shd w:val="clear" w:color="000000" w:fill="D9D9D9"/>
            <w:vAlign w:val="center"/>
            <w:hideMark/>
          </w:tcPr>
          <w:p w14:paraId="1BAB0B38" w14:textId="77777777" w:rsidR="00D96BF7" w:rsidRPr="00D96BF7" w:rsidRDefault="00D96BF7">
            <w:pPr>
              <w:jc w:val="right"/>
              <w:rPr>
                <w:color w:val="000000"/>
                <w:sz w:val="18"/>
                <w:szCs w:val="18"/>
              </w:rPr>
            </w:pPr>
            <w:r w:rsidRPr="00D96BF7">
              <w:rPr>
                <w:color w:val="000000"/>
                <w:sz w:val="18"/>
                <w:szCs w:val="18"/>
              </w:rPr>
              <w:t> </w:t>
            </w:r>
          </w:p>
        </w:tc>
        <w:tc>
          <w:tcPr>
            <w:tcW w:w="244" w:type="pct"/>
            <w:shd w:val="clear" w:color="000000" w:fill="D9D9D9"/>
            <w:noWrap/>
            <w:vAlign w:val="bottom"/>
            <w:hideMark/>
          </w:tcPr>
          <w:p w14:paraId="0BDA2CB4" w14:textId="77777777" w:rsidR="00D96BF7" w:rsidRPr="00D96BF7" w:rsidRDefault="00D96BF7">
            <w:pPr>
              <w:rPr>
                <w:color w:val="000000"/>
                <w:sz w:val="18"/>
                <w:szCs w:val="18"/>
              </w:rPr>
            </w:pPr>
            <w:r w:rsidRPr="00D96BF7">
              <w:rPr>
                <w:color w:val="000000"/>
                <w:sz w:val="18"/>
                <w:szCs w:val="18"/>
              </w:rPr>
              <w:t> </w:t>
            </w:r>
          </w:p>
        </w:tc>
        <w:tc>
          <w:tcPr>
            <w:tcW w:w="278" w:type="pct"/>
            <w:shd w:val="clear" w:color="000000" w:fill="D9D9D9"/>
            <w:noWrap/>
            <w:vAlign w:val="bottom"/>
            <w:hideMark/>
          </w:tcPr>
          <w:p w14:paraId="4BF1A233" w14:textId="77777777" w:rsidR="00D96BF7" w:rsidRPr="00D96BF7" w:rsidRDefault="00D96BF7">
            <w:pPr>
              <w:rPr>
                <w:color w:val="000000"/>
                <w:sz w:val="18"/>
                <w:szCs w:val="18"/>
              </w:rPr>
            </w:pPr>
            <w:r w:rsidRPr="00D96BF7">
              <w:rPr>
                <w:color w:val="000000"/>
                <w:sz w:val="18"/>
                <w:szCs w:val="18"/>
              </w:rPr>
              <w:t> </w:t>
            </w:r>
          </w:p>
        </w:tc>
        <w:tc>
          <w:tcPr>
            <w:tcW w:w="278" w:type="pct"/>
            <w:shd w:val="clear" w:color="000000" w:fill="D9D9D9"/>
            <w:noWrap/>
            <w:vAlign w:val="bottom"/>
            <w:hideMark/>
          </w:tcPr>
          <w:p w14:paraId="0FE849D5" w14:textId="77777777" w:rsidR="00D96BF7" w:rsidRPr="00D96BF7" w:rsidRDefault="00D96BF7">
            <w:pPr>
              <w:rPr>
                <w:color w:val="000000"/>
                <w:sz w:val="18"/>
                <w:szCs w:val="18"/>
              </w:rPr>
            </w:pPr>
            <w:r w:rsidRPr="00D96BF7">
              <w:rPr>
                <w:color w:val="000000"/>
                <w:sz w:val="18"/>
                <w:szCs w:val="18"/>
              </w:rPr>
              <w:t> </w:t>
            </w:r>
          </w:p>
        </w:tc>
        <w:tc>
          <w:tcPr>
            <w:tcW w:w="243" w:type="pct"/>
            <w:shd w:val="clear" w:color="000000" w:fill="D9D9D9"/>
            <w:noWrap/>
            <w:vAlign w:val="bottom"/>
            <w:hideMark/>
          </w:tcPr>
          <w:p w14:paraId="5D6538E8" w14:textId="77777777" w:rsidR="00D96BF7" w:rsidRPr="00D96BF7" w:rsidRDefault="00D96BF7">
            <w:pPr>
              <w:rPr>
                <w:color w:val="000000"/>
                <w:sz w:val="18"/>
                <w:szCs w:val="18"/>
              </w:rPr>
            </w:pPr>
            <w:r w:rsidRPr="00D96BF7">
              <w:rPr>
                <w:color w:val="000000"/>
                <w:sz w:val="18"/>
                <w:szCs w:val="18"/>
              </w:rPr>
              <w:t> </w:t>
            </w:r>
          </w:p>
        </w:tc>
        <w:tc>
          <w:tcPr>
            <w:tcW w:w="280" w:type="pct"/>
            <w:shd w:val="clear" w:color="000000" w:fill="D9D9D9"/>
            <w:noWrap/>
            <w:vAlign w:val="bottom"/>
            <w:hideMark/>
          </w:tcPr>
          <w:p w14:paraId="0F4515E5" w14:textId="77777777" w:rsidR="00D96BF7" w:rsidRPr="00D96BF7" w:rsidRDefault="00D96BF7">
            <w:pPr>
              <w:rPr>
                <w:color w:val="000000"/>
                <w:sz w:val="18"/>
                <w:szCs w:val="18"/>
              </w:rPr>
            </w:pPr>
            <w:r w:rsidRPr="00D96BF7">
              <w:rPr>
                <w:color w:val="000000"/>
                <w:sz w:val="18"/>
                <w:szCs w:val="18"/>
              </w:rPr>
              <w:t> </w:t>
            </w:r>
          </w:p>
        </w:tc>
        <w:tc>
          <w:tcPr>
            <w:tcW w:w="454" w:type="pct"/>
            <w:shd w:val="clear" w:color="000000" w:fill="D9D9D9"/>
            <w:noWrap/>
            <w:vAlign w:val="bottom"/>
            <w:hideMark/>
          </w:tcPr>
          <w:p w14:paraId="68659E19" w14:textId="77777777" w:rsidR="00D96BF7" w:rsidRPr="00D96BF7" w:rsidRDefault="00D96BF7">
            <w:pPr>
              <w:rPr>
                <w:color w:val="000000"/>
                <w:sz w:val="18"/>
                <w:szCs w:val="18"/>
              </w:rPr>
            </w:pPr>
            <w:r w:rsidRPr="00D96BF7">
              <w:rPr>
                <w:color w:val="000000"/>
                <w:sz w:val="18"/>
                <w:szCs w:val="18"/>
              </w:rPr>
              <w:t> </w:t>
            </w:r>
          </w:p>
        </w:tc>
        <w:tc>
          <w:tcPr>
            <w:tcW w:w="376" w:type="pct"/>
            <w:shd w:val="clear" w:color="000000" w:fill="D9D9D9"/>
            <w:noWrap/>
            <w:vAlign w:val="bottom"/>
            <w:hideMark/>
          </w:tcPr>
          <w:p w14:paraId="1D6F0FDB" w14:textId="77777777" w:rsidR="00D96BF7" w:rsidRPr="00D96BF7" w:rsidRDefault="00D96BF7">
            <w:pPr>
              <w:rPr>
                <w:color w:val="000000"/>
                <w:sz w:val="18"/>
                <w:szCs w:val="18"/>
              </w:rPr>
            </w:pPr>
            <w:r w:rsidRPr="00D96BF7">
              <w:rPr>
                <w:color w:val="000000"/>
                <w:sz w:val="18"/>
                <w:szCs w:val="18"/>
              </w:rPr>
              <w:t> </w:t>
            </w:r>
          </w:p>
        </w:tc>
      </w:tr>
      <w:tr w:rsidR="0070240F" w14:paraId="1D58C510" w14:textId="77777777" w:rsidTr="0070240F">
        <w:trPr>
          <w:trHeight w:val="255"/>
        </w:trPr>
        <w:tc>
          <w:tcPr>
            <w:tcW w:w="992" w:type="pct"/>
            <w:shd w:val="clear" w:color="auto" w:fill="auto"/>
            <w:noWrap/>
            <w:vAlign w:val="bottom"/>
            <w:hideMark/>
          </w:tcPr>
          <w:p w14:paraId="0C6C6B77" w14:textId="77777777" w:rsidR="00D96BF7" w:rsidRPr="00D96BF7" w:rsidRDefault="00D96BF7">
            <w:pPr>
              <w:rPr>
                <w:color w:val="000000"/>
                <w:sz w:val="18"/>
                <w:szCs w:val="18"/>
              </w:rPr>
            </w:pPr>
            <w:r w:rsidRPr="00D96BF7">
              <w:rPr>
                <w:color w:val="000000"/>
                <w:sz w:val="18"/>
                <w:szCs w:val="18"/>
              </w:rPr>
              <w:t>Submit exception report</w:t>
            </w:r>
          </w:p>
        </w:tc>
        <w:tc>
          <w:tcPr>
            <w:tcW w:w="256" w:type="pct"/>
            <w:shd w:val="clear" w:color="auto" w:fill="auto"/>
            <w:noWrap/>
            <w:vAlign w:val="bottom"/>
            <w:hideMark/>
          </w:tcPr>
          <w:p w14:paraId="36636409" w14:textId="77777777" w:rsidR="00D96BF7" w:rsidRPr="00D96BF7" w:rsidRDefault="00D96BF7">
            <w:pPr>
              <w:jc w:val="right"/>
              <w:rPr>
                <w:color w:val="000000"/>
                <w:sz w:val="18"/>
                <w:szCs w:val="18"/>
              </w:rPr>
            </w:pPr>
            <w:r w:rsidRPr="00D96BF7">
              <w:rPr>
                <w:color w:val="000000"/>
                <w:sz w:val="18"/>
                <w:szCs w:val="18"/>
              </w:rPr>
              <w:t>0</w:t>
            </w:r>
          </w:p>
        </w:tc>
        <w:tc>
          <w:tcPr>
            <w:tcW w:w="242" w:type="pct"/>
            <w:shd w:val="clear" w:color="auto" w:fill="auto"/>
            <w:noWrap/>
            <w:vAlign w:val="bottom"/>
            <w:hideMark/>
          </w:tcPr>
          <w:p w14:paraId="1E0182C4" w14:textId="77777777" w:rsidR="00D96BF7" w:rsidRPr="00D96BF7" w:rsidRDefault="00D96BF7">
            <w:pPr>
              <w:jc w:val="right"/>
              <w:rPr>
                <w:color w:val="000000"/>
                <w:sz w:val="18"/>
                <w:szCs w:val="18"/>
              </w:rPr>
            </w:pPr>
            <w:r w:rsidRPr="00D96BF7">
              <w:rPr>
                <w:color w:val="000000"/>
                <w:sz w:val="18"/>
                <w:szCs w:val="18"/>
              </w:rPr>
              <w:t>0.5</w:t>
            </w:r>
          </w:p>
        </w:tc>
        <w:tc>
          <w:tcPr>
            <w:tcW w:w="277" w:type="pct"/>
            <w:shd w:val="clear" w:color="auto" w:fill="auto"/>
            <w:noWrap/>
            <w:vAlign w:val="bottom"/>
            <w:hideMark/>
          </w:tcPr>
          <w:p w14:paraId="3B025658" w14:textId="77777777" w:rsidR="00D96BF7" w:rsidRPr="00D96BF7" w:rsidRDefault="00D96BF7">
            <w:pPr>
              <w:jc w:val="right"/>
              <w:rPr>
                <w:color w:val="000000"/>
                <w:sz w:val="18"/>
                <w:szCs w:val="18"/>
              </w:rPr>
            </w:pPr>
            <w:r w:rsidRPr="00D96BF7">
              <w:rPr>
                <w:color w:val="000000"/>
                <w:sz w:val="18"/>
                <w:szCs w:val="18"/>
              </w:rPr>
              <w:t>0.5</w:t>
            </w:r>
          </w:p>
        </w:tc>
        <w:tc>
          <w:tcPr>
            <w:tcW w:w="313" w:type="pct"/>
            <w:shd w:val="clear" w:color="auto" w:fill="auto"/>
            <w:noWrap/>
            <w:vAlign w:val="bottom"/>
            <w:hideMark/>
          </w:tcPr>
          <w:p w14:paraId="63B75033" w14:textId="77777777" w:rsidR="00D96BF7" w:rsidRPr="00D96BF7" w:rsidRDefault="00D96BF7">
            <w:pPr>
              <w:jc w:val="right"/>
              <w:rPr>
                <w:color w:val="000000"/>
                <w:sz w:val="18"/>
                <w:szCs w:val="18"/>
              </w:rPr>
            </w:pPr>
            <w:r w:rsidRPr="00D96BF7">
              <w:rPr>
                <w:color w:val="000000"/>
                <w:sz w:val="18"/>
                <w:szCs w:val="18"/>
              </w:rPr>
              <w:t>0.1</w:t>
            </w:r>
          </w:p>
        </w:tc>
        <w:tc>
          <w:tcPr>
            <w:tcW w:w="313" w:type="pct"/>
            <w:shd w:val="clear" w:color="auto" w:fill="auto"/>
            <w:vAlign w:val="center"/>
            <w:hideMark/>
          </w:tcPr>
          <w:p w14:paraId="0A8C9364" w14:textId="77777777" w:rsidR="00D96BF7" w:rsidRPr="00D96BF7" w:rsidRDefault="00D96BF7">
            <w:pPr>
              <w:jc w:val="right"/>
              <w:rPr>
                <w:color w:val="000000"/>
                <w:sz w:val="18"/>
                <w:szCs w:val="18"/>
              </w:rPr>
            </w:pPr>
            <w:r w:rsidRPr="00D96BF7">
              <w:rPr>
                <w:color w:val="000000"/>
                <w:sz w:val="18"/>
                <w:szCs w:val="18"/>
              </w:rPr>
              <w:t>1.10</w:t>
            </w:r>
          </w:p>
        </w:tc>
        <w:tc>
          <w:tcPr>
            <w:tcW w:w="243" w:type="pct"/>
            <w:shd w:val="clear" w:color="auto" w:fill="auto"/>
            <w:vAlign w:val="center"/>
            <w:hideMark/>
          </w:tcPr>
          <w:p w14:paraId="4DFF1528" w14:textId="77777777" w:rsidR="00D96BF7" w:rsidRPr="00D96BF7" w:rsidRDefault="00D96BF7">
            <w:pPr>
              <w:jc w:val="right"/>
              <w:rPr>
                <w:color w:val="000000"/>
                <w:sz w:val="18"/>
                <w:szCs w:val="18"/>
              </w:rPr>
            </w:pPr>
            <w:r w:rsidRPr="00D96BF7">
              <w:rPr>
                <w:color w:val="000000"/>
                <w:sz w:val="18"/>
                <w:szCs w:val="18"/>
              </w:rPr>
              <w:t xml:space="preserve">$84 </w:t>
            </w:r>
          </w:p>
        </w:tc>
        <w:tc>
          <w:tcPr>
            <w:tcW w:w="208" w:type="pct"/>
            <w:shd w:val="clear" w:color="auto" w:fill="auto"/>
            <w:vAlign w:val="center"/>
            <w:hideMark/>
          </w:tcPr>
          <w:p w14:paraId="4DDB715A" w14:textId="77777777" w:rsidR="00D96BF7" w:rsidRPr="00D96BF7" w:rsidRDefault="00D96BF7">
            <w:pPr>
              <w:jc w:val="right"/>
              <w:rPr>
                <w:color w:val="000000"/>
                <w:sz w:val="18"/>
                <w:szCs w:val="18"/>
              </w:rPr>
            </w:pPr>
            <w:r w:rsidRPr="00D96BF7">
              <w:rPr>
                <w:color w:val="000000"/>
                <w:sz w:val="18"/>
                <w:szCs w:val="18"/>
              </w:rPr>
              <w:t xml:space="preserve">$0 </w:t>
            </w:r>
          </w:p>
        </w:tc>
        <w:tc>
          <w:tcPr>
            <w:tcW w:w="244" w:type="pct"/>
            <w:shd w:val="clear" w:color="auto" w:fill="auto"/>
            <w:vAlign w:val="center"/>
            <w:hideMark/>
          </w:tcPr>
          <w:p w14:paraId="76987105" w14:textId="77777777" w:rsidR="00D96BF7" w:rsidRPr="00D96BF7" w:rsidRDefault="00D96BF7">
            <w:pPr>
              <w:jc w:val="right"/>
              <w:rPr>
                <w:color w:val="000000"/>
                <w:sz w:val="18"/>
                <w:szCs w:val="18"/>
              </w:rPr>
            </w:pPr>
            <w:r w:rsidRPr="00D96BF7">
              <w:rPr>
                <w:color w:val="000000"/>
                <w:sz w:val="18"/>
                <w:szCs w:val="18"/>
              </w:rPr>
              <w:t xml:space="preserve">$0 </w:t>
            </w:r>
          </w:p>
        </w:tc>
        <w:tc>
          <w:tcPr>
            <w:tcW w:w="278" w:type="pct"/>
            <w:shd w:val="clear" w:color="auto" w:fill="auto"/>
            <w:vAlign w:val="center"/>
            <w:hideMark/>
          </w:tcPr>
          <w:p w14:paraId="5134B929" w14:textId="77777777" w:rsidR="00D96BF7" w:rsidRPr="00D96BF7" w:rsidRDefault="00D96BF7">
            <w:pPr>
              <w:jc w:val="right"/>
              <w:rPr>
                <w:color w:val="000000"/>
                <w:sz w:val="18"/>
                <w:szCs w:val="18"/>
              </w:rPr>
            </w:pPr>
            <w:r w:rsidRPr="00D96BF7">
              <w:rPr>
                <w:color w:val="000000"/>
                <w:sz w:val="18"/>
                <w:szCs w:val="18"/>
              </w:rPr>
              <w:t>120</w:t>
            </w:r>
          </w:p>
        </w:tc>
        <w:tc>
          <w:tcPr>
            <w:tcW w:w="278" w:type="pct"/>
            <w:shd w:val="clear" w:color="auto" w:fill="auto"/>
            <w:vAlign w:val="center"/>
            <w:hideMark/>
          </w:tcPr>
          <w:p w14:paraId="6EB04CE8" w14:textId="77777777" w:rsidR="00D96BF7" w:rsidRPr="00D96BF7" w:rsidRDefault="00D96BF7">
            <w:pPr>
              <w:jc w:val="right"/>
              <w:rPr>
                <w:color w:val="000000"/>
                <w:sz w:val="18"/>
                <w:szCs w:val="18"/>
              </w:rPr>
            </w:pPr>
            <w:r w:rsidRPr="00D96BF7">
              <w:rPr>
                <w:color w:val="000000"/>
                <w:sz w:val="18"/>
                <w:szCs w:val="18"/>
              </w:rPr>
              <w:t>135</w:t>
            </w:r>
          </w:p>
        </w:tc>
        <w:tc>
          <w:tcPr>
            <w:tcW w:w="243" w:type="pct"/>
            <w:shd w:val="clear" w:color="auto" w:fill="auto"/>
            <w:vAlign w:val="center"/>
            <w:hideMark/>
          </w:tcPr>
          <w:p w14:paraId="7C835983" w14:textId="77777777" w:rsidR="00D96BF7" w:rsidRPr="00D96BF7" w:rsidRDefault="00D96BF7">
            <w:pPr>
              <w:jc w:val="right"/>
              <w:rPr>
                <w:color w:val="000000"/>
                <w:sz w:val="18"/>
                <w:szCs w:val="18"/>
              </w:rPr>
            </w:pPr>
            <w:r w:rsidRPr="00D96BF7">
              <w:rPr>
                <w:color w:val="000000"/>
                <w:sz w:val="18"/>
                <w:szCs w:val="18"/>
              </w:rPr>
              <w:t>132</w:t>
            </w:r>
          </w:p>
        </w:tc>
        <w:tc>
          <w:tcPr>
            <w:tcW w:w="280" w:type="pct"/>
            <w:shd w:val="clear" w:color="auto" w:fill="auto"/>
            <w:vAlign w:val="center"/>
            <w:hideMark/>
          </w:tcPr>
          <w:p w14:paraId="560DF2E5" w14:textId="77777777" w:rsidR="00D96BF7" w:rsidRPr="00D96BF7" w:rsidRDefault="00D96BF7">
            <w:pPr>
              <w:jc w:val="right"/>
              <w:rPr>
                <w:color w:val="000000"/>
                <w:sz w:val="18"/>
                <w:szCs w:val="18"/>
              </w:rPr>
            </w:pPr>
            <w:r w:rsidRPr="00D96BF7">
              <w:rPr>
                <w:color w:val="000000"/>
                <w:sz w:val="18"/>
                <w:szCs w:val="18"/>
              </w:rPr>
              <w:t>149</w:t>
            </w:r>
          </w:p>
        </w:tc>
        <w:tc>
          <w:tcPr>
            <w:tcW w:w="454" w:type="pct"/>
            <w:shd w:val="clear" w:color="auto" w:fill="auto"/>
            <w:vAlign w:val="center"/>
            <w:hideMark/>
          </w:tcPr>
          <w:p w14:paraId="702C2237" w14:textId="77777777" w:rsidR="00D96BF7" w:rsidRPr="00D96BF7" w:rsidRDefault="00D96BF7">
            <w:pPr>
              <w:jc w:val="right"/>
              <w:rPr>
                <w:sz w:val="18"/>
                <w:szCs w:val="18"/>
              </w:rPr>
            </w:pPr>
            <w:r w:rsidRPr="00D96BF7">
              <w:rPr>
                <w:sz w:val="18"/>
                <w:szCs w:val="18"/>
              </w:rPr>
              <w:t xml:space="preserve">$10,063 </w:t>
            </w:r>
          </w:p>
        </w:tc>
        <w:tc>
          <w:tcPr>
            <w:tcW w:w="376" w:type="pct"/>
            <w:shd w:val="clear" w:color="auto" w:fill="auto"/>
            <w:vAlign w:val="center"/>
            <w:hideMark/>
          </w:tcPr>
          <w:p w14:paraId="68298ED1" w14:textId="77777777" w:rsidR="00D96BF7" w:rsidRPr="00D96BF7" w:rsidRDefault="00D96BF7">
            <w:pPr>
              <w:jc w:val="right"/>
              <w:rPr>
                <w:sz w:val="18"/>
                <w:szCs w:val="18"/>
              </w:rPr>
            </w:pPr>
            <w:r w:rsidRPr="00D96BF7">
              <w:rPr>
                <w:sz w:val="18"/>
                <w:szCs w:val="18"/>
              </w:rPr>
              <w:t xml:space="preserve">$11,321 </w:t>
            </w:r>
          </w:p>
        </w:tc>
      </w:tr>
      <w:tr w:rsidR="0070240F" w14:paraId="6B2B5F9F" w14:textId="77777777" w:rsidTr="0070240F">
        <w:trPr>
          <w:trHeight w:val="301"/>
        </w:trPr>
        <w:tc>
          <w:tcPr>
            <w:tcW w:w="992" w:type="pct"/>
            <w:shd w:val="clear" w:color="auto" w:fill="auto"/>
            <w:vAlign w:val="bottom"/>
            <w:hideMark/>
          </w:tcPr>
          <w:p w14:paraId="718CC82F" w14:textId="77777777" w:rsidR="00D96BF7" w:rsidRPr="00D96BF7" w:rsidRDefault="00D96BF7">
            <w:pPr>
              <w:rPr>
                <w:color w:val="000000"/>
                <w:sz w:val="18"/>
                <w:szCs w:val="18"/>
              </w:rPr>
            </w:pPr>
            <w:r w:rsidRPr="00D96BF7">
              <w:rPr>
                <w:color w:val="000000"/>
                <w:sz w:val="18"/>
                <w:szCs w:val="18"/>
              </w:rPr>
              <w:t>Keep copy of exception report</w:t>
            </w:r>
          </w:p>
        </w:tc>
        <w:tc>
          <w:tcPr>
            <w:tcW w:w="256" w:type="pct"/>
            <w:shd w:val="clear" w:color="auto" w:fill="auto"/>
            <w:vAlign w:val="center"/>
            <w:hideMark/>
          </w:tcPr>
          <w:p w14:paraId="40E896F4" w14:textId="77777777" w:rsidR="00D96BF7" w:rsidRPr="00D96BF7" w:rsidRDefault="00D96BF7">
            <w:pPr>
              <w:jc w:val="right"/>
              <w:rPr>
                <w:color w:val="000000"/>
                <w:sz w:val="18"/>
                <w:szCs w:val="18"/>
              </w:rPr>
            </w:pPr>
            <w:r w:rsidRPr="00D96BF7">
              <w:rPr>
                <w:color w:val="000000"/>
                <w:sz w:val="18"/>
                <w:szCs w:val="18"/>
              </w:rPr>
              <w:t>0</w:t>
            </w:r>
          </w:p>
        </w:tc>
        <w:tc>
          <w:tcPr>
            <w:tcW w:w="242" w:type="pct"/>
            <w:shd w:val="clear" w:color="auto" w:fill="auto"/>
            <w:vAlign w:val="center"/>
            <w:hideMark/>
          </w:tcPr>
          <w:p w14:paraId="35F3ED6D" w14:textId="77777777" w:rsidR="00D96BF7" w:rsidRPr="00D96BF7" w:rsidRDefault="00D96BF7">
            <w:pPr>
              <w:jc w:val="right"/>
              <w:rPr>
                <w:color w:val="000000"/>
                <w:sz w:val="18"/>
                <w:szCs w:val="18"/>
              </w:rPr>
            </w:pPr>
            <w:r w:rsidRPr="00D96BF7">
              <w:rPr>
                <w:color w:val="000000"/>
                <w:sz w:val="18"/>
                <w:szCs w:val="18"/>
              </w:rPr>
              <w:t>0</w:t>
            </w:r>
          </w:p>
        </w:tc>
        <w:tc>
          <w:tcPr>
            <w:tcW w:w="277" w:type="pct"/>
            <w:shd w:val="clear" w:color="auto" w:fill="auto"/>
            <w:vAlign w:val="center"/>
            <w:hideMark/>
          </w:tcPr>
          <w:p w14:paraId="69E83FD1" w14:textId="77777777" w:rsidR="00D96BF7" w:rsidRPr="00D96BF7" w:rsidRDefault="00D96BF7">
            <w:pPr>
              <w:jc w:val="right"/>
              <w:rPr>
                <w:color w:val="000000"/>
                <w:sz w:val="18"/>
                <w:szCs w:val="18"/>
              </w:rPr>
            </w:pPr>
            <w:r w:rsidRPr="00D96BF7">
              <w:rPr>
                <w:color w:val="000000"/>
                <w:sz w:val="18"/>
                <w:szCs w:val="18"/>
              </w:rPr>
              <w:t>0</w:t>
            </w:r>
          </w:p>
        </w:tc>
        <w:tc>
          <w:tcPr>
            <w:tcW w:w="313" w:type="pct"/>
            <w:shd w:val="clear" w:color="auto" w:fill="auto"/>
            <w:vAlign w:val="center"/>
            <w:hideMark/>
          </w:tcPr>
          <w:p w14:paraId="0DE5313C" w14:textId="77777777" w:rsidR="00D96BF7" w:rsidRPr="00D96BF7" w:rsidRDefault="00D96BF7">
            <w:pPr>
              <w:jc w:val="right"/>
              <w:rPr>
                <w:color w:val="000000"/>
                <w:sz w:val="18"/>
                <w:szCs w:val="18"/>
              </w:rPr>
            </w:pPr>
            <w:r w:rsidRPr="00D96BF7">
              <w:rPr>
                <w:color w:val="000000"/>
                <w:sz w:val="18"/>
                <w:szCs w:val="18"/>
              </w:rPr>
              <w:t>0.1</w:t>
            </w:r>
          </w:p>
        </w:tc>
        <w:tc>
          <w:tcPr>
            <w:tcW w:w="313" w:type="pct"/>
            <w:shd w:val="clear" w:color="auto" w:fill="auto"/>
            <w:vAlign w:val="center"/>
            <w:hideMark/>
          </w:tcPr>
          <w:p w14:paraId="2C9E8B63" w14:textId="77777777" w:rsidR="00D96BF7" w:rsidRPr="00D96BF7" w:rsidRDefault="00D96BF7">
            <w:pPr>
              <w:jc w:val="right"/>
              <w:rPr>
                <w:color w:val="000000"/>
                <w:sz w:val="18"/>
                <w:szCs w:val="18"/>
              </w:rPr>
            </w:pPr>
            <w:r w:rsidRPr="00D96BF7">
              <w:rPr>
                <w:color w:val="000000"/>
                <w:sz w:val="18"/>
                <w:szCs w:val="18"/>
              </w:rPr>
              <w:t>0.10</w:t>
            </w:r>
          </w:p>
        </w:tc>
        <w:tc>
          <w:tcPr>
            <w:tcW w:w="243" w:type="pct"/>
            <w:shd w:val="clear" w:color="auto" w:fill="auto"/>
            <w:vAlign w:val="center"/>
            <w:hideMark/>
          </w:tcPr>
          <w:p w14:paraId="59561E78" w14:textId="77777777" w:rsidR="00D96BF7" w:rsidRPr="00D96BF7" w:rsidRDefault="00D96BF7">
            <w:pPr>
              <w:jc w:val="right"/>
              <w:rPr>
                <w:color w:val="000000"/>
                <w:sz w:val="18"/>
                <w:szCs w:val="18"/>
              </w:rPr>
            </w:pPr>
            <w:r w:rsidRPr="00D96BF7">
              <w:rPr>
                <w:color w:val="000000"/>
                <w:sz w:val="18"/>
                <w:szCs w:val="18"/>
              </w:rPr>
              <w:t xml:space="preserve">$3 </w:t>
            </w:r>
          </w:p>
        </w:tc>
        <w:tc>
          <w:tcPr>
            <w:tcW w:w="208" w:type="pct"/>
            <w:shd w:val="clear" w:color="auto" w:fill="auto"/>
            <w:vAlign w:val="center"/>
            <w:hideMark/>
          </w:tcPr>
          <w:p w14:paraId="57DBC2B3" w14:textId="77777777" w:rsidR="00D96BF7" w:rsidRPr="00D96BF7" w:rsidRDefault="00D96BF7">
            <w:pPr>
              <w:jc w:val="right"/>
              <w:rPr>
                <w:color w:val="000000"/>
                <w:sz w:val="18"/>
                <w:szCs w:val="18"/>
              </w:rPr>
            </w:pPr>
            <w:r w:rsidRPr="00D96BF7">
              <w:rPr>
                <w:color w:val="000000"/>
                <w:sz w:val="18"/>
                <w:szCs w:val="18"/>
              </w:rPr>
              <w:t xml:space="preserve">$0 </w:t>
            </w:r>
          </w:p>
        </w:tc>
        <w:tc>
          <w:tcPr>
            <w:tcW w:w="244" w:type="pct"/>
            <w:shd w:val="clear" w:color="auto" w:fill="auto"/>
            <w:vAlign w:val="center"/>
            <w:hideMark/>
          </w:tcPr>
          <w:p w14:paraId="24C93674" w14:textId="77777777" w:rsidR="00D96BF7" w:rsidRPr="00D96BF7" w:rsidRDefault="00D96BF7">
            <w:pPr>
              <w:jc w:val="right"/>
              <w:rPr>
                <w:color w:val="000000"/>
                <w:sz w:val="18"/>
                <w:szCs w:val="18"/>
              </w:rPr>
            </w:pPr>
            <w:r w:rsidRPr="00D96BF7">
              <w:rPr>
                <w:color w:val="000000"/>
                <w:sz w:val="18"/>
                <w:szCs w:val="18"/>
              </w:rPr>
              <w:t xml:space="preserve">$0 </w:t>
            </w:r>
          </w:p>
        </w:tc>
        <w:tc>
          <w:tcPr>
            <w:tcW w:w="278" w:type="pct"/>
            <w:shd w:val="clear" w:color="auto" w:fill="auto"/>
            <w:vAlign w:val="center"/>
            <w:hideMark/>
          </w:tcPr>
          <w:p w14:paraId="563AC96B" w14:textId="77777777" w:rsidR="00D96BF7" w:rsidRPr="00D96BF7" w:rsidRDefault="00D96BF7">
            <w:pPr>
              <w:jc w:val="right"/>
              <w:rPr>
                <w:color w:val="000000"/>
                <w:sz w:val="18"/>
                <w:szCs w:val="18"/>
              </w:rPr>
            </w:pPr>
            <w:r w:rsidRPr="00D96BF7">
              <w:rPr>
                <w:color w:val="000000"/>
                <w:sz w:val="18"/>
                <w:szCs w:val="18"/>
              </w:rPr>
              <w:t>120</w:t>
            </w:r>
          </w:p>
        </w:tc>
        <w:tc>
          <w:tcPr>
            <w:tcW w:w="278" w:type="pct"/>
            <w:shd w:val="clear" w:color="auto" w:fill="auto"/>
            <w:vAlign w:val="center"/>
            <w:hideMark/>
          </w:tcPr>
          <w:p w14:paraId="284E0070" w14:textId="77777777" w:rsidR="00D96BF7" w:rsidRPr="00D96BF7" w:rsidRDefault="00D96BF7">
            <w:pPr>
              <w:jc w:val="right"/>
              <w:rPr>
                <w:color w:val="000000"/>
                <w:sz w:val="18"/>
                <w:szCs w:val="18"/>
              </w:rPr>
            </w:pPr>
            <w:r w:rsidRPr="00D96BF7">
              <w:rPr>
                <w:color w:val="000000"/>
                <w:sz w:val="18"/>
                <w:szCs w:val="18"/>
              </w:rPr>
              <w:t>135</w:t>
            </w:r>
          </w:p>
        </w:tc>
        <w:tc>
          <w:tcPr>
            <w:tcW w:w="243" w:type="pct"/>
            <w:shd w:val="clear" w:color="auto" w:fill="auto"/>
            <w:vAlign w:val="center"/>
            <w:hideMark/>
          </w:tcPr>
          <w:p w14:paraId="5373981C" w14:textId="77777777" w:rsidR="00D96BF7" w:rsidRPr="00D96BF7" w:rsidRDefault="00D96BF7">
            <w:pPr>
              <w:jc w:val="right"/>
              <w:rPr>
                <w:color w:val="000000"/>
                <w:sz w:val="18"/>
                <w:szCs w:val="18"/>
              </w:rPr>
            </w:pPr>
            <w:r w:rsidRPr="00D96BF7">
              <w:rPr>
                <w:color w:val="000000"/>
                <w:sz w:val="18"/>
                <w:szCs w:val="18"/>
              </w:rPr>
              <w:t>12</w:t>
            </w:r>
          </w:p>
        </w:tc>
        <w:tc>
          <w:tcPr>
            <w:tcW w:w="280" w:type="pct"/>
            <w:shd w:val="clear" w:color="auto" w:fill="auto"/>
            <w:vAlign w:val="center"/>
            <w:hideMark/>
          </w:tcPr>
          <w:p w14:paraId="149F58B2" w14:textId="77777777" w:rsidR="00D96BF7" w:rsidRPr="00D96BF7" w:rsidRDefault="00D96BF7">
            <w:pPr>
              <w:jc w:val="right"/>
              <w:rPr>
                <w:color w:val="000000"/>
                <w:sz w:val="18"/>
                <w:szCs w:val="18"/>
              </w:rPr>
            </w:pPr>
            <w:r w:rsidRPr="00D96BF7">
              <w:rPr>
                <w:color w:val="000000"/>
                <w:sz w:val="18"/>
                <w:szCs w:val="18"/>
              </w:rPr>
              <w:t>14</w:t>
            </w:r>
          </w:p>
        </w:tc>
        <w:tc>
          <w:tcPr>
            <w:tcW w:w="454" w:type="pct"/>
            <w:shd w:val="clear" w:color="auto" w:fill="auto"/>
            <w:vAlign w:val="center"/>
            <w:hideMark/>
          </w:tcPr>
          <w:p w14:paraId="401A5511" w14:textId="77777777" w:rsidR="00D96BF7" w:rsidRPr="00D96BF7" w:rsidRDefault="00D96BF7">
            <w:pPr>
              <w:jc w:val="right"/>
              <w:rPr>
                <w:sz w:val="18"/>
                <w:szCs w:val="18"/>
              </w:rPr>
            </w:pPr>
            <w:r w:rsidRPr="00D96BF7">
              <w:rPr>
                <w:sz w:val="18"/>
                <w:szCs w:val="18"/>
              </w:rPr>
              <w:t xml:space="preserve">$364 </w:t>
            </w:r>
          </w:p>
        </w:tc>
        <w:tc>
          <w:tcPr>
            <w:tcW w:w="376" w:type="pct"/>
            <w:shd w:val="clear" w:color="auto" w:fill="auto"/>
            <w:vAlign w:val="center"/>
            <w:hideMark/>
          </w:tcPr>
          <w:p w14:paraId="4D3E540D" w14:textId="77777777" w:rsidR="00D96BF7" w:rsidRPr="00D96BF7" w:rsidRDefault="00D96BF7">
            <w:pPr>
              <w:jc w:val="right"/>
              <w:rPr>
                <w:sz w:val="18"/>
                <w:szCs w:val="18"/>
              </w:rPr>
            </w:pPr>
            <w:r w:rsidRPr="00D96BF7">
              <w:rPr>
                <w:sz w:val="18"/>
                <w:szCs w:val="18"/>
              </w:rPr>
              <w:t xml:space="preserve">$409 </w:t>
            </w:r>
          </w:p>
        </w:tc>
      </w:tr>
      <w:tr w:rsidR="0070240F" w14:paraId="7A36EF42" w14:textId="77777777" w:rsidTr="0070240F">
        <w:trPr>
          <w:trHeight w:val="255"/>
        </w:trPr>
        <w:tc>
          <w:tcPr>
            <w:tcW w:w="992" w:type="pct"/>
            <w:shd w:val="clear" w:color="auto" w:fill="auto"/>
            <w:noWrap/>
            <w:vAlign w:val="bottom"/>
            <w:hideMark/>
          </w:tcPr>
          <w:p w14:paraId="7A003BFD" w14:textId="5432FF64" w:rsidR="00D96BF7" w:rsidRPr="00D96BF7" w:rsidRDefault="00D96BF7">
            <w:pPr>
              <w:rPr>
                <w:color w:val="000000"/>
                <w:sz w:val="18"/>
                <w:szCs w:val="18"/>
              </w:rPr>
            </w:pPr>
            <w:r w:rsidRPr="00D96BF7">
              <w:rPr>
                <w:color w:val="000000"/>
                <w:sz w:val="18"/>
                <w:szCs w:val="18"/>
              </w:rPr>
              <w:t>T</w:t>
            </w:r>
            <w:r w:rsidR="000A3E6C">
              <w:rPr>
                <w:color w:val="000000"/>
                <w:sz w:val="18"/>
                <w:szCs w:val="18"/>
              </w:rPr>
              <w:t>rack or manage rejected</w:t>
            </w:r>
            <w:r w:rsidRPr="00D96BF7">
              <w:rPr>
                <w:color w:val="000000"/>
                <w:sz w:val="18"/>
                <w:szCs w:val="18"/>
              </w:rPr>
              <w:t xml:space="preserve"> shipment</w:t>
            </w:r>
          </w:p>
        </w:tc>
        <w:tc>
          <w:tcPr>
            <w:tcW w:w="256" w:type="pct"/>
            <w:shd w:val="clear" w:color="auto" w:fill="auto"/>
            <w:noWrap/>
            <w:vAlign w:val="bottom"/>
            <w:hideMark/>
          </w:tcPr>
          <w:p w14:paraId="760A4208" w14:textId="77777777" w:rsidR="00D96BF7" w:rsidRPr="00D96BF7" w:rsidRDefault="00D96BF7">
            <w:pPr>
              <w:jc w:val="right"/>
              <w:rPr>
                <w:color w:val="000000"/>
                <w:sz w:val="18"/>
                <w:szCs w:val="18"/>
              </w:rPr>
            </w:pPr>
            <w:r w:rsidRPr="00D96BF7">
              <w:rPr>
                <w:color w:val="000000"/>
                <w:sz w:val="18"/>
                <w:szCs w:val="18"/>
              </w:rPr>
              <w:t>0</w:t>
            </w:r>
          </w:p>
        </w:tc>
        <w:tc>
          <w:tcPr>
            <w:tcW w:w="242" w:type="pct"/>
            <w:shd w:val="clear" w:color="auto" w:fill="auto"/>
            <w:noWrap/>
            <w:vAlign w:val="bottom"/>
            <w:hideMark/>
          </w:tcPr>
          <w:p w14:paraId="0294271E" w14:textId="77777777" w:rsidR="00D96BF7" w:rsidRPr="00D96BF7" w:rsidRDefault="00D96BF7">
            <w:pPr>
              <w:jc w:val="right"/>
              <w:rPr>
                <w:color w:val="000000"/>
                <w:sz w:val="18"/>
                <w:szCs w:val="18"/>
              </w:rPr>
            </w:pPr>
            <w:r w:rsidRPr="00D96BF7">
              <w:rPr>
                <w:color w:val="000000"/>
                <w:sz w:val="18"/>
                <w:szCs w:val="18"/>
              </w:rPr>
              <w:t>0.5</w:t>
            </w:r>
          </w:p>
        </w:tc>
        <w:tc>
          <w:tcPr>
            <w:tcW w:w="277" w:type="pct"/>
            <w:shd w:val="clear" w:color="auto" w:fill="auto"/>
            <w:noWrap/>
            <w:vAlign w:val="bottom"/>
            <w:hideMark/>
          </w:tcPr>
          <w:p w14:paraId="08AD6745" w14:textId="77777777" w:rsidR="00D96BF7" w:rsidRPr="00D96BF7" w:rsidRDefault="00D96BF7">
            <w:pPr>
              <w:jc w:val="right"/>
              <w:rPr>
                <w:color w:val="000000"/>
                <w:sz w:val="18"/>
                <w:szCs w:val="18"/>
              </w:rPr>
            </w:pPr>
            <w:r w:rsidRPr="00D96BF7">
              <w:rPr>
                <w:color w:val="000000"/>
                <w:sz w:val="18"/>
                <w:szCs w:val="18"/>
              </w:rPr>
              <w:t>0.5</w:t>
            </w:r>
          </w:p>
        </w:tc>
        <w:tc>
          <w:tcPr>
            <w:tcW w:w="313" w:type="pct"/>
            <w:shd w:val="clear" w:color="auto" w:fill="auto"/>
            <w:noWrap/>
            <w:vAlign w:val="bottom"/>
            <w:hideMark/>
          </w:tcPr>
          <w:p w14:paraId="7F5F6C7A" w14:textId="77777777" w:rsidR="00D96BF7" w:rsidRPr="00D96BF7" w:rsidRDefault="00D96BF7">
            <w:pPr>
              <w:jc w:val="right"/>
              <w:rPr>
                <w:color w:val="000000"/>
                <w:sz w:val="18"/>
                <w:szCs w:val="18"/>
              </w:rPr>
            </w:pPr>
            <w:r w:rsidRPr="00D96BF7">
              <w:rPr>
                <w:color w:val="000000"/>
                <w:sz w:val="18"/>
                <w:szCs w:val="18"/>
              </w:rPr>
              <w:t>0.1</w:t>
            </w:r>
          </w:p>
        </w:tc>
        <w:tc>
          <w:tcPr>
            <w:tcW w:w="313" w:type="pct"/>
            <w:shd w:val="clear" w:color="auto" w:fill="auto"/>
            <w:vAlign w:val="center"/>
            <w:hideMark/>
          </w:tcPr>
          <w:p w14:paraId="0AD16DD0" w14:textId="77777777" w:rsidR="00D96BF7" w:rsidRPr="00D96BF7" w:rsidRDefault="00D96BF7">
            <w:pPr>
              <w:jc w:val="right"/>
              <w:rPr>
                <w:color w:val="000000"/>
                <w:sz w:val="18"/>
                <w:szCs w:val="18"/>
              </w:rPr>
            </w:pPr>
            <w:r w:rsidRPr="00D96BF7">
              <w:rPr>
                <w:color w:val="000000"/>
                <w:sz w:val="18"/>
                <w:szCs w:val="18"/>
              </w:rPr>
              <w:t>1.10</w:t>
            </w:r>
          </w:p>
        </w:tc>
        <w:tc>
          <w:tcPr>
            <w:tcW w:w="243" w:type="pct"/>
            <w:shd w:val="clear" w:color="auto" w:fill="auto"/>
            <w:vAlign w:val="center"/>
            <w:hideMark/>
          </w:tcPr>
          <w:p w14:paraId="1F6E85AD" w14:textId="77777777" w:rsidR="00D96BF7" w:rsidRPr="00D96BF7" w:rsidRDefault="00D96BF7">
            <w:pPr>
              <w:jc w:val="right"/>
              <w:rPr>
                <w:color w:val="000000"/>
                <w:sz w:val="18"/>
                <w:szCs w:val="18"/>
              </w:rPr>
            </w:pPr>
            <w:r w:rsidRPr="00D96BF7">
              <w:rPr>
                <w:color w:val="000000"/>
                <w:sz w:val="18"/>
                <w:szCs w:val="18"/>
              </w:rPr>
              <w:t xml:space="preserve">$84 </w:t>
            </w:r>
          </w:p>
        </w:tc>
        <w:tc>
          <w:tcPr>
            <w:tcW w:w="208" w:type="pct"/>
            <w:shd w:val="clear" w:color="auto" w:fill="auto"/>
            <w:vAlign w:val="center"/>
            <w:hideMark/>
          </w:tcPr>
          <w:p w14:paraId="6E0B11C4" w14:textId="77777777" w:rsidR="00D96BF7" w:rsidRPr="00D96BF7" w:rsidRDefault="00D96BF7">
            <w:pPr>
              <w:jc w:val="right"/>
              <w:rPr>
                <w:color w:val="000000"/>
                <w:sz w:val="18"/>
                <w:szCs w:val="18"/>
              </w:rPr>
            </w:pPr>
            <w:r w:rsidRPr="00D96BF7">
              <w:rPr>
                <w:color w:val="000000"/>
                <w:sz w:val="18"/>
                <w:szCs w:val="18"/>
              </w:rPr>
              <w:t xml:space="preserve">$0 </w:t>
            </w:r>
          </w:p>
        </w:tc>
        <w:tc>
          <w:tcPr>
            <w:tcW w:w="244" w:type="pct"/>
            <w:shd w:val="clear" w:color="auto" w:fill="auto"/>
            <w:vAlign w:val="center"/>
            <w:hideMark/>
          </w:tcPr>
          <w:p w14:paraId="39B576D4" w14:textId="77777777" w:rsidR="00D96BF7" w:rsidRPr="00D96BF7" w:rsidRDefault="00D96BF7">
            <w:pPr>
              <w:jc w:val="right"/>
              <w:rPr>
                <w:color w:val="000000"/>
                <w:sz w:val="18"/>
                <w:szCs w:val="18"/>
              </w:rPr>
            </w:pPr>
            <w:r w:rsidRPr="00D96BF7">
              <w:rPr>
                <w:color w:val="000000"/>
                <w:sz w:val="18"/>
                <w:szCs w:val="18"/>
              </w:rPr>
              <w:t xml:space="preserve">$0 </w:t>
            </w:r>
          </w:p>
        </w:tc>
        <w:tc>
          <w:tcPr>
            <w:tcW w:w="278" w:type="pct"/>
            <w:shd w:val="clear" w:color="auto" w:fill="auto"/>
            <w:vAlign w:val="center"/>
            <w:hideMark/>
          </w:tcPr>
          <w:p w14:paraId="019C68C7" w14:textId="77777777" w:rsidR="00D96BF7" w:rsidRPr="00D96BF7" w:rsidRDefault="00D96BF7">
            <w:pPr>
              <w:jc w:val="right"/>
              <w:rPr>
                <w:color w:val="000000"/>
                <w:sz w:val="18"/>
                <w:szCs w:val="18"/>
              </w:rPr>
            </w:pPr>
            <w:r w:rsidRPr="00D96BF7">
              <w:rPr>
                <w:color w:val="000000"/>
                <w:sz w:val="18"/>
                <w:szCs w:val="18"/>
              </w:rPr>
              <w:t>120</w:t>
            </w:r>
          </w:p>
        </w:tc>
        <w:tc>
          <w:tcPr>
            <w:tcW w:w="278" w:type="pct"/>
            <w:shd w:val="clear" w:color="auto" w:fill="auto"/>
            <w:vAlign w:val="center"/>
            <w:hideMark/>
          </w:tcPr>
          <w:p w14:paraId="686C51E3" w14:textId="77777777" w:rsidR="00D96BF7" w:rsidRPr="00D96BF7" w:rsidRDefault="00D96BF7">
            <w:pPr>
              <w:jc w:val="right"/>
              <w:rPr>
                <w:color w:val="000000"/>
                <w:sz w:val="18"/>
                <w:szCs w:val="18"/>
              </w:rPr>
            </w:pPr>
            <w:r w:rsidRPr="00D96BF7">
              <w:rPr>
                <w:color w:val="000000"/>
                <w:sz w:val="18"/>
                <w:szCs w:val="18"/>
              </w:rPr>
              <w:t>135</w:t>
            </w:r>
          </w:p>
        </w:tc>
        <w:tc>
          <w:tcPr>
            <w:tcW w:w="243" w:type="pct"/>
            <w:shd w:val="clear" w:color="auto" w:fill="auto"/>
            <w:vAlign w:val="center"/>
            <w:hideMark/>
          </w:tcPr>
          <w:p w14:paraId="1E8E6921" w14:textId="77777777" w:rsidR="00D96BF7" w:rsidRPr="00D96BF7" w:rsidRDefault="00D96BF7">
            <w:pPr>
              <w:jc w:val="right"/>
              <w:rPr>
                <w:color w:val="000000"/>
                <w:sz w:val="18"/>
                <w:szCs w:val="18"/>
              </w:rPr>
            </w:pPr>
            <w:r w:rsidRPr="00D96BF7">
              <w:rPr>
                <w:color w:val="000000"/>
                <w:sz w:val="18"/>
                <w:szCs w:val="18"/>
              </w:rPr>
              <w:t>132</w:t>
            </w:r>
          </w:p>
        </w:tc>
        <w:tc>
          <w:tcPr>
            <w:tcW w:w="280" w:type="pct"/>
            <w:shd w:val="clear" w:color="auto" w:fill="auto"/>
            <w:vAlign w:val="center"/>
            <w:hideMark/>
          </w:tcPr>
          <w:p w14:paraId="5863D900" w14:textId="77777777" w:rsidR="00D96BF7" w:rsidRPr="00D96BF7" w:rsidRDefault="00D96BF7">
            <w:pPr>
              <w:jc w:val="right"/>
              <w:rPr>
                <w:color w:val="000000"/>
                <w:sz w:val="18"/>
                <w:szCs w:val="18"/>
              </w:rPr>
            </w:pPr>
            <w:r w:rsidRPr="00D96BF7">
              <w:rPr>
                <w:color w:val="000000"/>
                <w:sz w:val="18"/>
                <w:szCs w:val="18"/>
              </w:rPr>
              <w:t>149</w:t>
            </w:r>
          </w:p>
        </w:tc>
        <w:tc>
          <w:tcPr>
            <w:tcW w:w="454" w:type="pct"/>
            <w:shd w:val="clear" w:color="auto" w:fill="auto"/>
            <w:vAlign w:val="center"/>
            <w:hideMark/>
          </w:tcPr>
          <w:p w14:paraId="0988AFD1" w14:textId="77777777" w:rsidR="00D96BF7" w:rsidRPr="00D96BF7" w:rsidRDefault="00D96BF7">
            <w:pPr>
              <w:jc w:val="right"/>
              <w:rPr>
                <w:sz w:val="18"/>
                <w:szCs w:val="18"/>
              </w:rPr>
            </w:pPr>
            <w:r w:rsidRPr="00D96BF7">
              <w:rPr>
                <w:sz w:val="18"/>
                <w:szCs w:val="18"/>
              </w:rPr>
              <w:t xml:space="preserve">$10,063 </w:t>
            </w:r>
          </w:p>
        </w:tc>
        <w:tc>
          <w:tcPr>
            <w:tcW w:w="376" w:type="pct"/>
            <w:shd w:val="clear" w:color="auto" w:fill="auto"/>
            <w:vAlign w:val="center"/>
            <w:hideMark/>
          </w:tcPr>
          <w:p w14:paraId="5BCD9E18" w14:textId="77777777" w:rsidR="00D96BF7" w:rsidRPr="00D96BF7" w:rsidRDefault="00D96BF7">
            <w:pPr>
              <w:jc w:val="right"/>
              <w:rPr>
                <w:sz w:val="18"/>
                <w:szCs w:val="18"/>
              </w:rPr>
            </w:pPr>
            <w:r w:rsidRPr="00D96BF7">
              <w:rPr>
                <w:sz w:val="18"/>
                <w:szCs w:val="18"/>
              </w:rPr>
              <w:t xml:space="preserve">$11,321 </w:t>
            </w:r>
          </w:p>
        </w:tc>
      </w:tr>
      <w:tr w:rsidR="0070240F" w14:paraId="6810AA8C" w14:textId="77777777" w:rsidTr="0070240F">
        <w:trPr>
          <w:trHeight w:val="255"/>
        </w:trPr>
        <w:tc>
          <w:tcPr>
            <w:tcW w:w="992" w:type="pct"/>
            <w:shd w:val="clear" w:color="000000" w:fill="D9D9D9"/>
            <w:noWrap/>
            <w:vAlign w:val="bottom"/>
            <w:hideMark/>
          </w:tcPr>
          <w:p w14:paraId="2885B070" w14:textId="77777777" w:rsidR="00D96BF7" w:rsidRPr="00D96BF7" w:rsidRDefault="00D96BF7">
            <w:pPr>
              <w:rPr>
                <w:color w:val="000000"/>
                <w:sz w:val="18"/>
                <w:szCs w:val="18"/>
              </w:rPr>
            </w:pPr>
            <w:r w:rsidRPr="00D96BF7">
              <w:rPr>
                <w:color w:val="000000"/>
                <w:sz w:val="18"/>
                <w:szCs w:val="18"/>
              </w:rPr>
              <w:t>Recordkeeping</w:t>
            </w:r>
          </w:p>
        </w:tc>
        <w:tc>
          <w:tcPr>
            <w:tcW w:w="256" w:type="pct"/>
            <w:shd w:val="clear" w:color="000000" w:fill="D9D9D9"/>
            <w:noWrap/>
            <w:vAlign w:val="bottom"/>
            <w:hideMark/>
          </w:tcPr>
          <w:p w14:paraId="2BCE7D19" w14:textId="77777777" w:rsidR="00D96BF7" w:rsidRPr="00D96BF7" w:rsidRDefault="00D96BF7">
            <w:pPr>
              <w:rPr>
                <w:color w:val="000000"/>
                <w:sz w:val="18"/>
                <w:szCs w:val="18"/>
              </w:rPr>
            </w:pPr>
            <w:r w:rsidRPr="00D96BF7">
              <w:rPr>
                <w:color w:val="000000"/>
                <w:sz w:val="18"/>
                <w:szCs w:val="18"/>
              </w:rPr>
              <w:t> </w:t>
            </w:r>
          </w:p>
        </w:tc>
        <w:tc>
          <w:tcPr>
            <w:tcW w:w="242" w:type="pct"/>
            <w:shd w:val="clear" w:color="000000" w:fill="D9D9D9"/>
            <w:noWrap/>
            <w:vAlign w:val="bottom"/>
            <w:hideMark/>
          </w:tcPr>
          <w:p w14:paraId="2BA1FBB4" w14:textId="77777777" w:rsidR="00D96BF7" w:rsidRPr="00D96BF7" w:rsidRDefault="00D96BF7">
            <w:pPr>
              <w:rPr>
                <w:color w:val="000000"/>
                <w:sz w:val="18"/>
                <w:szCs w:val="18"/>
              </w:rPr>
            </w:pPr>
            <w:r w:rsidRPr="00D96BF7">
              <w:rPr>
                <w:color w:val="000000"/>
                <w:sz w:val="18"/>
                <w:szCs w:val="18"/>
              </w:rPr>
              <w:t> </w:t>
            </w:r>
          </w:p>
        </w:tc>
        <w:tc>
          <w:tcPr>
            <w:tcW w:w="277" w:type="pct"/>
            <w:shd w:val="clear" w:color="000000" w:fill="D9D9D9"/>
            <w:noWrap/>
            <w:vAlign w:val="bottom"/>
            <w:hideMark/>
          </w:tcPr>
          <w:p w14:paraId="0041F725" w14:textId="77777777" w:rsidR="00D96BF7" w:rsidRPr="00D96BF7" w:rsidRDefault="00D96BF7">
            <w:pPr>
              <w:rPr>
                <w:color w:val="000000"/>
                <w:sz w:val="18"/>
                <w:szCs w:val="18"/>
              </w:rPr>
            </w:pPr>
            <w:r w:rsidRPr="00D96BF7">
              <w:rPr>
                <w:color w:val="000000"/>
                <w:sz w:val="18"/>
                <w:szCs w:val="18"/>
              </w:rPr>
              <w:t> </w:t>
            </w:r>
          </w:p>
        </w:tc>
        <w:tc>
          <w:tcPr>
            <w:tcW w:w="313" w:type="pct"/>
            <w:shd w:val="clear" w:color="000000" w:fill="D9D9D9"/>
            <w:noWrap/>
            <w:vAlign w:val="bottom"/>
            <w:hideMark/>
          </w:tcPr>
          <w:p w14:paraId="7DB2F63E" w14:textId="77777777" w:rsidR="00D96BF7" w:rsidRPr="00D96BF7" w:rsidRDefault="00D96BF7">
            <w:pPr>
              <w:rPr>
                <w:color w:val="000000"/>
                <w:sz w:val="18"/>
                <w:szCs w:val="18"/>
              </w:rPr>
            </w:pPr>
            <w:r w:rsidRPr="00D96BF7">
              <w:rPr>
                <w:color w:val="000000"/>
                <w:sz w:val="18"/>
                <w:szCs w:val="18"/>
              </w:rPr>
              <w:t> </w:t>
            </w:r>
          </w:p>
        </w:tc>
        <w:tc>
          <w:tcPr>
            <w:tcW w:w="313" w:type="pct"/>
            <w:shd w:val="clear" w:color="000000" w:fill="D9D9D9"/>
            <w:noWrap/>
            <w:vAlign w:val="bottom"/>
            <w:hideMark/>
          </w:tcPr>
          <w:p w14:paraId="559DA461" w14:textId="77777777" w:rsidR="00D96BF7" w:rsidRPr="00D96BF7" w:rsidRDefault="00D96BF7">
            <w:pPr>
              <w:rPr>
                <w:color w:val="000000"/>
                <w:sz w:val="18"/>
                <w:szCs w:val="18"/>
              </w:rPr>
            </w:pPr>
            <w:r w:rsidRPr="00D96BF7">
              <w:rPr>
                <w:color w:val="000000"/>
                <w:sz w:val="18"/>
                <w:szCs w:val="18"/>
              </w:rPr>
              <w:t> </w:t>
            </w:r>
          </w:p>
        </w:tc>
        <w:tc>
          <w:tcPr>
            <w:tcW w:w="243" w:type="pct"/>
            <w:shd w:val="clear" w:color="000000" w:fill="D9D9D9"/>
            <w:noWrap/>
            <w:vAlign w:val="bottom"/>
            <w:hideMark/>
          </w:tcPr>
          <w:p w14:paraId="1BB80F35" w14:textId="77777777" w:rsidR="00D96BF7" w:rsidRPr="00D96BF7" w:rsidRDefault="00D96BF7">
            <w:pPr>
              <w:rPr>
                <w:color w:val="000000"/>
                <w:sz w:val="18"/>
                <w:szCs w:val="18"/>
              </w:rPr>
            </w:pPr>
            <w:r w:rsidRPr="00D96BF7">
              <w:rPr>
                <w:color w:val="000000"/>
                <w:sz w:val="18"/>
                <w:szCs w:val="18"/>
              </w:rPr>
              <w:t> </w:t>
            </w:r>
          </w:p>
        </w:tc>
        <w:tc>
          <w:tcPr>
            <w:tcW w:w="208" w:type="pct"/>
            <w:shd w:val="clear" w:color="000000" w:fill="D9D9D9"/>
            <w:vAlign w:val="center"/>
            <w:hideMark/>
          </w:tcPr>
          <w:p w14:paraId="7F2C224A" w14:textId="77777777" w:rsidR="00D96BF7" w:rsidRPr="00D96BF7" w:rsidRDefault="00D96BF7">
            <w:pPr>
              <w:jc w:val="right"/>
              <w:rPr>
                <w:color w:val="000000"/>
                <w:sz w:val="18"/>
                <w:szCs w:val="18"/>
              </w:rPr>
            </w:pPr>
            <w:r w:rsidRPr="00D96BF7">
              <w:rPr>
                <w:color w:val="000000"/>
                <w:sz w:val="18"/>
                <w:szCs w:val="18"/>
              </w:rPr>
              <w:t> </w:t>
            </w:r>
          </w:p>
        </w:tc>
        <w:tc>
          <w:tcPr>
            <w:tcW w:w="244" w:type="pct"/>
            <w:shd w:val="clear" w:color="000000" w:fill="D9D9D9"/>
            <w:noWrap/>
            <w:vAlign w:val="bottom"/>
            <w:hideMark/>
          </w:tcPr>
          <w:p w14:paraId="5B2C805F" w14:textId="77777777" w:rsidR="00D96BF7" w:rsidRPr="00D96BF7" w:rsidRDefault="00D96BF7">
            <w:pPr>
              <w:rPr>
                <w:color w:val="000000"/>
                <w:sz w:val="18"/>
                <w:szCs w:val="18"/>
              </w:rPr>
            </w:pPr>
            <w:r w:rsidRPr="00D96BF7">
              <w:rPr>
                <w:color w:val="000000"/>
                <w:sz w:val="18"/>
                <w:szCs w:val="18"/>
              </w:rPr>
              <w:t> </w:t>
            </w:r>
          </w:p>
        </w:tc>
        <w:tc>
          <w:tcPr>
            <w:tcW w:w="278" w:type="pct"/>
            <w:shd w:val="clear" w:color="000000" w:fill="D9D9D9"/>
            <w:noWrap/>
            <w:vAlign w:val="bottom"/>
            <w:hideMark/>
          </w:tcPr>
          <w:p w14:paraId="5545905B" w14:textId="77777777" w:rsidR="00D96BF7" w:rsidRPr="00D96BF7" w:rsidRDefault="00D96BF7">
            <w:pPr>
              <w:rPr>
                <w:color w:val="000000"/>
                <w:sz w:val="18"/>
                <w:szCs w:val="18"/>
              </w:rPr>
            </w:pPr>
            <w:r w:rsidRPr="00D96BF7">
              <w:rPr>
                <w:color w:val="000000"/>
                <w:sz w:val="18"/>
                <w:szCs w:val="18"/>
              </w:rPr>
              <w:t> </w:t>
            </w:r>
          </w:p>
        </w:tc>
        <w:tc>
          <w:tcPr>
            <w:tcW w:w="278" w:type="pct"/>
            <w:shd w:val="clear" w:color="000000" w:fill="D9D9D9"/>
            <w:noWrap/>
            <w:vAlign w:val="bottom"/>
            <w:hideMark/>
          </w:tcPr>
          <w:p w14:paraId="68BFD6B6" w14:textId="77777777" w:rsidR="00D96BF7" w:rsidRPr="00D96BF7" w:rsidRDefault="00D96BF7">
            <w:pPr>
              <w:rPr>
                <w:color w:val="000000"/>
                <w:sz w:val="18"/>
                <w:szCs w:val="18"/>
              </w:rPr>
            </w:pPr>
            <w:r w:rsidRPr="00D96BF7">
              <w:rPr>
                <w:color w:val="000000"/>
                <w:sz w:val="18"/>
                <w:szCs w:val="18"/>
              </w:rPr>
              <w:t> </w:t>
            </w:r>
          </w:p>
        </w:tc>
        <w:tc>
          <w:tcPr>
            <w:tcW w:w="243" w:type="pct"/>
            <w:shd w:val="clear" w:color="000000" w:fill="D9D9D9"/>
            <w:noWrap/>
            <w:vAlign w:val="bottom"/>
            <w:hideMark/>
          </w:tcPr>
          <w:p w14:paraId="229CF449" w14:textId="77777777" w:rsidR="00D96BF7" w:rsidRPr="00D96BF7" w:rsidRDefault="00D96BF7">
            <w:pPr>
              <w:rPr>
                <w:color w:val="000000"/>
                <w:sz w:val="18"/>
                <w:szCs w:val="18"/>
              </w:rPr>
            </w:pPr>
            <w:r w:rsidRPr="00D96BF7">
              <w:rPr>
                <w:color w:val="000000"/>
                <w:sz w:val="18"/>
                <w:szCs w:val="18"/>
              </w:rPr>
              <w:t> </w:t>
            </w:r>
          </w:p>
        </w:tc>
        <w:tc>
          <w:tcPr>
            <w:tcW w:w="280" w:type="pct"/>
            <w:shd w:val="clear" w:color="000000" w:fill="D9D9D9"/>
            <w:noWrap/>
            <w:vAlign w:val="bottom"/>
            <w:hideMark/>
          </w:tcPr>
          <w:p w14:paraId="7A546B22" w14:textId="77777777" w:rsidR="00D96BF7" w:rsidRPr="00D96BF7" w:rsidRDefault="00D96BF7">
            <w:pPr>
              <w:rPr>
                <w:color w:val="000000"/>
                <w:sz w:val="18"/>
                <w:szCs w:val="18"/>
              </w:rPr>
            </w:pPr>
            <w:r w:rsidRPr="00D96BF7">
              <w:rPr>
                <w:color w:val="000000"/>
                <w:sz w:val="18"/>
                <w:szCs w:val="18"/>
              </w:rPr>
              <w:t> </w:t>
            </w:r>
          </w:p>
        </w:tc>
        <w:tc>
          <w:tcPr>
            <w:tcW w:w="454" w:type="pct"/>
            <w:shd w:val="clear" w:color="000000" w:fill="D9D9D9"/>
            <w:noWrap/>
            <w:vAlign w:val="bottom"/>
            <w:hideMark/>
          </w:tcPr>
          <w:p w14:paraId="139EF6A8" w14:textId="77777777" w:rsidR="00D96BF7" w:rsidRPr="00D96BF7" w:rsidRDefault="00D96BF7">
            <w:pPr>
              <w:rPr>
                <w:color w:val="000000"/>
                <w:sz w:val="18"/>
                <w:szCs w:val="18"/>
              </w:rPr>
            </w:pPr>
            <w:r w:rsidRPr="00D96BF7">
              <w:rPr>
                <w:color w:val="000000"/>
                <w:sz w:val="18"/>
                <w:szCs w:val="18"/>
              </w:rPr>
              <w:t> </w:t>
            </w:r>
          </w:p>
        </w:tc>
        <w:tc>
          <w:tcPr>
            <w:tcW w:w="376" w:type="pct"/>
            <w:shd w:val="clear" w:color="000000" w:fill="D9D9D9"/>
            <w:noWrap/>
            <w:vAlign w:val="bottom"/>
            <w:hideMark/>
          </w:tcPr>
          <w:p w14:paraId="546955E2" w14:textId="77777777" w:rsidR="00D96BF7" w:rsidRPr="00D96BF7" w:rsidRDefault="00D96BF7">
            <w:pPr>
              <w:rPr>
                <w:color w:val="000000"/>
                <w:sz w:val="18"/>
                <w:szCs w:val="18"/>
              </w:rPr>
            </w:pPr>
            <w:r w:rsidRPr="00D96BF7">
              <w:rPr>
                <w:color w:val="000000"/>
                <w:sz w:val="18"/>
                <w:szCs w:val="18"/>
              </w:rPr>
              <w:t> </w:t>
            </w:r>
          </w:p>
        </w:tc>
      </w:tr>
      <w:tr w:rsidR="0070240F" w14:paraId="3170C4B5" w14:textId="77777777" w:rsidTr="0070240F">
        <w:trPr>
          <w:trHeight w:val="301"/>
        </w:trPr>
        <w:tc>
          <w:tcPr>
            <w:tcW w:w="992" w:type="pct"/>
            <w:shd w:val="clear" w:color="auto" w:fill="auto"/>
            <w:vAlign w:val="bottom"/>
            <w:hideMark/>
          </w:tcPr>
          <w:p w14:paraId="626BA8D4" w14:textId="77777777" w:rsidR="00D96BF7" w:rsidRPr="00D96BF7" w:rsidRDefault="00D96BF7">
            <w:pPr>
              <w:rPr>
                <w:color w:val="000000"/>
                <w:sz w:val="18"/>
                <w:szCs w:val="18"/>
              </w:rPr>
            </w:pPr>
            <w:r w:rsidRPr="00D96BF7">
              <w:rPr>
                <w:color w:val="000000"/>
                <w:sz w:val="18"/>
                <w:szCs w:val="18"/>
              </w:rPr>
              <w:t>Signed copy of manifest</w:t>
            </w:r>
          </w:p>
        </w:tc>
        <w:tc>
          <w:tcPr>
            <w:tcW w:w="256" w:type="pct"/>
            <w:shd w:val="clear" w:color="auto" w:fill="auto"/>
            <w:vAlign w:val="center"/>
            <w:hideMark/>
          </w:tcPr>
          <w:p w14:paraId="5738C367" w14:textId="77777777" w:rsidR="00D96BF7" w:rsidRPr="00D96BF7" w:rsidRDefault="00D96BF7">
            <w:pPr>
              <w:jc w:val="right"/>
              <w:rPr>
                <w:color w:val="000000"/>
                <w:sz w:val="18"/>
                <w:szCs w:val="18"/>
              </w:rPr>
            </w:pPr>
            <w:r w:rsidRPr="00D96BF7">
              <w:rPr>
                <w:color w:val="000000"/>
                <w:sz w:val="18"/>
                <w:szCs w:val="18"/>
              </w:rPr>
              <w:t>0</w:t>
            </w:r>
          </w:p>
        </w:tc>
        <w:tc>
          <w:tcPr>
            <w:tcW w:w="242" w:type="pct"/>
            <w:shd w:val="clear" w:color="auto" w:fill="auto"/>
            <w:vAlign w:val="center"/>
            <w:hideMark/>
          </w:tcPr>
          <w:p w14:paraId="37AD1FF5" w14:textId="77777777" w:rsidR="00D96BF7" w:rsidRPr="00D96BF7" w:rsidRDefault="00D96BF7">
            <w:pPr>
              <w:jc w:val="right"/>
              <w:rPr>
                <w:color w:val="000000"/>
                <w:sz w:val="18"/>
                <w:szCs w:val="18"/>
              </w:rPr>
            </w:pPr>
            <w:r w:rsidRPr="00D96BF7">
              <w:rPr>
                <w:color w:val="000000"/>
                <w:sz w:val="18"/>
                <w:szCs w:val="18"/>
              </w:rPr>
              <w:t>0</w:t>
            </w:r>
          </w:p>
        </w:tc>
        <w:tc>
          <w:tcPr>
            <w:tcW w:w="277" w:type="pct"/>
            <w:shd w:val="clear" w:color="auto" w:fill="auto"/>
            <w:vAlign w:val="center"/>
            <w:hideMark/>
          </w:tcPr>
          <w:p w14:paraId="07AFD62B" w14:textId="77777777" w:rsidR="00D96BF7" w:rsidRPr="00D96BF7" w:rsidRDefault="00D96BF7">
            <w:pPr>
              <w:jc w:val="right"/>
              <w:rPr>
                <w:color w:val="000000"/>
                <w:sz w:val="18"/>
                <w:szCs w:val="18"/>
              </w:rPr>
            </w:pPr>
            <w:r w:rsidRPr="00D96BF7">
              <w:rPr>
                <w:color w:val="000000"/>
                <w:sz w:val="18"/>
                <w:szCs w:val="18"/>
              </w:rPr>
              <w:t>0.1</w:t>
            </w:r>
          </w:p>
        </w:tc>
        <w:tc>
          <w:tcPr>
            <w:tcW w:w="313" w:type="pct"/>
            <w:shd w:val="clear" w:color="auto" w:fill="auto"/>
            <w:vAlign w:val="center"/>
            <w:hideMark/>
          </w:tcPr>
          <w:p w14:paraId="7FB7F321" w14:textId="77777777" w:rsidR="00D96BF7" w:rsidRPr="00D96BF7" w:rsidRDefault="00D96BF7">
            <w:pPr>
              <w:jc w:val="right"/>
              <w:rPr>
                <w:color w:val="000000"/>
                <w:sz w:val="18"/>
                <w:szCs w:val="18"/>
              </w:rPr>
            </w:pPr>
            <w:r w:rsidRPr="00D96BF7">
              <w:rPr>
                <w:color w:val="000000"/>
                <w:sz w:val="18"/>
                <w:szCs w:val="18"/>
              </w:rPr>
              <w:t>0</w:t>
            </w:r>
          </w:p>
        </w:tc>
        <w:tc>
          <w:tcPr>
            <w:tcW w:w="313" w:type="pct"/>
            <w:shd w:val="clear" w:color="auto" w:fill="auto"/>
            <w:vAlign w:val="center"/>
            <w:hideMark/>
          </w:tcPr>
          <w:p w14:paraId="4EF72C14" w14:textId="77777777" w:rsidR="00D96BF7" w:rsidRPr="00D96BF7" w:rsidRDefault="00D96BF7">
            <w:pPr>
              <w:jc w:val="right"/>
              <w:rPr>
                <w:color w:val="000000"/>
                <w:sz w:val="18"/>
                <w:szCs w:val="18"/>
              </w:rPr>
            </w:pPr>
            <w:r w:rsidRPr="00D96BF7">
              <w:rPr>
                <w:color w:val="000000"/>
                <w:sz w:val="18"/>
                <w:szCs w:val="18"/>
              </w:rPr>
              <w:t>0.10</w:t>
            </w:r>
          </w:p>
        </w:tc>
        <w:tc>
          <w:tcPr>
            <w:tcW w:w="243" w:type="pct"/>
            <w:shd w:val="clear" w:color="auto" w:fill="auto"/>
            <w:vAlign w:val="center"/>
            <w:hideMark/>
          </w:tcPr>
          <w:p w14:paraId="7B62D51A" w14:textId="77777777" w:rsidR="00D96BF7" w:rsidRPr="00D96BF7" w:rsidRDefault="00D96BF7">
            <w:pPr>
              <w:jc w:val="right"/>
              <w:rPr>
                <w:color w:val="000000"/>
                <w:sz w:val="18"/>
                <w:szCs w:val="18"/>
              </w:rPr>
            </w:pPr>
            <w:r w:rsidRPr="00D96BF7">
              <w:rPr>
                <w:color w:val="000000"/>
                <w:sz w:val="18"/>
                <w:szCs w:val="18"/>
              </w:rPr>
              <w:t xml:space="preserve">$5 </w:t>
            </w:r>
          </w:p>
        </w:tc>
        <w:tc>
          <w:tcPr>
            <w:tcW w:w="208" w:type="pct"/>
            <w:shd w:val="clear" w:color="auto" w:fill="auto"/>
            <w:noWrap/>
            <w:vAlign w:val="bottom"/>
            <w:hideMark/>
          </w:tcPr>
          <w:p w14:paraId="19963E7C" w14:textId="77777777" w:rsidR="00D96BF7" w:rsidRPr="00D96BF7" w:rsidRDefault="00D96BF7">
            <w:pPr>
              <w:jc w:val="right"/>
              <w:rPr>
                <w:color w:val="000000"/>
                <w:sz w:val="18"/>
                <w:szCs w:val="18"/>
              </w:rPr>
            </w:pPr>
            <w:r w:rsidRPr="00D96BF7">
              <w:rPr>
                <w:color w:val="000000"/>
                <w:sz w:val="18"/>
                <w:szCs w:val="18"/>
              </w:rPr>
              <w:t>0</w:t>
            </w:r>
          </w:p>
        </w:tc>
        <w:tc>
          <w:tcPr>
            <w:tcW w:w="244" w:type="pct"/>
            <w:shd w:val="clear" w:color="auto" w:fill="auto"/>
            <w:vAlign w:val="center"/>
            <w:hideMark/>
          </w:tcPr>
          <w:p w14:paraId="33E7CE39" w14:textId="77777777" w:rsidR="00D96BF7" w:rsidRPr="00D96BF7" w:rsidRDefault="00D96BF7">
            <w:pPr>
              <w:jc w:val="right"/>
              <w:rPr>
                <w:color w:val="000000"/>
                <w:sz w:val="18"/>
                <w:szCs w:val="18"/>
              </w:rPr>
            </w:pPr>
            <w:r w:rsidRPr="00D96BF7">
              <w:rPr>
                <w:color w:val="000000"/>
                <w:sz w:val="18"/>
                <w:szCs w:val="18"/>
              </w:rPr>
              <w:t xml:space="preserve">$0 </w:t>
            </w:r>
          </w:p>
        </w:tc>
        <w:tc>
          <w:tcPr>
            <w:tcW w:w="278" w:type="pct"/>
            <w:shd w:val="clear" w:color="auto" w:fill="auto"/>
            <w:noWrap/>
            <w:vAlign w:val="bottom"/>
            <w:hideMark/>
          </w:tcPr>
          <w:p w14:paraId="5EDF3CDE" w14:textId="77777777" w:rsidR="00D96BF7" w:rsidRPr="00D96BF7" w:rsidRDefault="00D96BF7">
            <w:pPr>
              <w:jc w:val="right"/>
              <w:rPr>
                <w:color w:val="000000"/>
                <w:sz w:val="18"/>
                <w:szCs w:val="18"/>
              </w:rPr>
            </w:pPr>
            <w:r w:rsidRPr="00D96BF7">
              <w:rPr>
                <w:color w:val="000000"/>
                <w:sz w:val="18"/>
                <w:szCs w:val="18"/>
              </w:rPr>
              <w:t>11916</w:t>
            </w:r>
          </w:p>
        </w:tc>
        <w:tc>
          <w:tcPr>
            <w:tcW w:w="278" w:type="pct"/>
            <w:shd w:val="clear" w:color="auto" w:fill="auto"/>
            <w:noWrap/>
            <w:vAlign w:val="bottom"/>
            <w:hideMark/>
          </w:tcPr>
          <w:p w14:paraId="352EFA86" w14:textId="77777777" w:rsidR="00D96BF7" w:rsidRPr="00D96BF7" w:rsidRDefault="00D96BF7">
            <w:pPr>
              <w:jc w:val="right"/>
              <w:rPr>
                <w:color w:val="000000"/>
                <w:sz w:val="18"/>
                <w:szCs w:val="18"/>
              </w:rPr>
            </w:pPr>
            <w:r w:rsidRPr="00D96BF7">
              <w:rPr>
                <w:color w:val="000000"/>
                <w:sz w:val="18"/>
                <w:szCs w:val="18"/>
              </w:rPr>
              <w:t>13373</w:t>
            </w:r>
          </w:p>
        </w:tc>
        <w:tc>
          <w:tcPr>
            <w:tcW w:w="243" w:type="pct"/>
            <w:shd w:val="clear" w:color="auto" w:fill="auto"/>
            <w:vAlign w:val="center"/>
            <w:hideMark/>
          </w:tcPr>
          <w:p w14:paraId="664DB367" w14:textId="77777777" w:rsidR="00D96BF7" w:rsidRPr="00D96BF7" w:rsidRDefault="00D96BF7">
            <w:pPr>
              <w:jc w:val="right"/>
              <w:rPr>
                <w:color w:val="000000"/>
                <w:sz w:val="18"/>
                <w:szCs w:val="18"/>
              </w:rPr>
            </w:pPr>
            <w:r w:rsidRPr="00D96BF7">
              <w:rPr>
                <w:color w:val="000000"/>
                <w:sz w:val="18"/>
                <w:szCs w:val="18"/>
              </w:rPr>
              <w:t>1,192</w:t>
            </w:r>
          </w:p>
        </w:tc>
        <w:tc>
          <w:tcPr>
            <w:tcW w:w="280" w:type="pct"/>
            <w:shd w:val="clear" w:color="auto" w:fill="auto"/>
            <w:vAlign w:val="center"/>
            <w:hideMark/>
          </w:tcPr>
          <w:p w14:paraId="4DE8769F" w14:textId="77777777" w:rsidR="00D96BF7" w:rsidRPr="00D96BF7" w:rsidRDefault="00D96BF7">
            <w:pPr>
              <w:jc w:val="right"/>
              <w:rPr>
                <w:color w:val="000000"/>
                <w:sz w:val="18"/>
                <w:szCs w:val="18"/>
              </w:rPr>
            </w:pPr>
            <w:r w:rsidRPr="00D96BF7">
              <w:rPr>
                <w:color w:val="000000"/>
                <w:sz w:val="18"/>
                <w:szCs w:val="18"/>
              </w:rPr>
              <w:t>1,337</w:t>
            </w:r>
          </w:p>
        </w:tc>
        <w:tc>
          <w:tcPr>
            <w:tcW w:w="454" w:type="pct"/>
            <w:shd w:val="clear" w:color="auto" w:fill="auto"/>
            <w:vAlign w:val="center"/>
            <w:hideMark/>
          </w:tcPr>
          <w:p w14:paraId="6A1B836E" w14:textId="77777777" w:rsidR="00D96BF7" w:rsidRPr="00D96BF7" w:rsidRDefault="00D96BF7">
            <w:pPr>
              <w:jc w:val="right"/>
              <w:rPr>
                <w:sz w:val="18"/>
                <w:szCs w:val="18"/>
              </w:rPr>
            </w:pPr>
            <w:r w:rsidRPr="00D96BF7">
              <w:rPr>
                <w:sz w:val="18"/>
                <w:szCs w:val="18"/>
              </w:rPr>
              <w:t xml:space="preserve">$63,453 </w:t>
            </w:r>
          </w:p>
        </w:tc>
        <w:tc>
          <w:tcPr>
            <w:tcW w:w="376" w:type="pct"/>
            <w:shd w:val="clear" w:color="auto" w:fill="auto"/>
            <w:vAlign w:val="center"/>
            <w:hideMark/>
          </w:tcPr>
          <w:p w14:paraId="3C8E12B7" w14:textId="77777777" w:rsidR="00D96BF7" w:rsidRPr="00D96BF7" w:rsidRDefault="00D96BF7">
            <w:pPr>
              <w:jc w:val="right"/>
              <w:rPr>
                <w:sz w:val="18"/>
                <w:szCs w:val="18"/>
              </w:rPr>
            </w:pPr>
            <w:r w:rsidRPr="00D96BF7">
              <w:rPr>
                <w:sz w:val="18"/>
                <w:szCs w:val="18"/>
              </w:rPr>
              <w:t xml:space="preserve">$71,211 </w:t>
            </w:r>
          </w:p>
        </w:tc>
      </w:tr>
      <w:tr w:rsidR="0070240F" w14:paraId="15D4EC6C" w14:textId="77777777" w:rsidTr="0070240F">
        <w:trPr>
          <w:trHeight w:val="301"/>
        </w:trPr>
        <w:tc>
          <w:tcPr>
            <w:tcW w:w="992" w:type="pct"/>
            <w:shd w:val="clear" w:color="auto" w:fill="auto"/>
            <w:vAlign w:val="bottom"/>
            <w:hideMark/>
          </w:tcPr>
          <w:p w14:paraId="4E371F82" w14:textId="77777777" w:rsidR="00D96BF7" w:rsidRPr="00D96BF7" w:rsidRDefault="00D96BF7">
            <w:pPr>
              <w:rPr>
                <w:color w:val="000000"/>
                <w:sz w:val="18"/>
                <w:szCs w:val="18"/>
              </w:rPr>
            </w:pPr>
            <w:r w:rsidRPr="00D96BF7">
              <w:rPr>
                <w:color w:val="000000"/>
                <w:sz w:val="18"/>
                <w:szCs w:val="18"/>
              </w:rPr>
              <w:t>Copy of notification</w:t>
            </w:r>
          </w:p>
        </w:tc>
        <w:tc>
          <w:tcPr>
            <w:tcW w:w="256" w:type="pct"/>
            <w:shd w:val="clear" w:color="auto" w:fill="auto"/>
            <w:vAlign w:val="center"/>
            <w:hideMark/>
          </w:tcPr>
          <w:p w14:paraId="33C08A34" w14:textId="77777777" w:rsidR="00D96BF7" w:rsidRPr="00D96BF7" w:rsidRDefault="00D96BF7">
            <w:pPr>
              <w:jc w:val="right"/>
              <w:rPr>
                <w:color w:val="000000"/>
                <w:sz w:val="18"/>
                <w:szCs w:val="18"/>
              </w:rPr>
            </w:pPr>
            <w:r w:rsidRPr="00D96BF7">
              <w:rPr>
                <w:color w:val="000000"/>
                <w:sz w:val="18"/>
                <w:szCs w:val="18"/>
              </w:rPr>
              <w:t>0</w:t>
            </w:r>
          </w:p>
        </w:tc>
        <w:tc>
          <w:tcPr>
            <w:tcW w:w="242" w:type="pct"/>
            <w:shd w:val="clear" w:color="auto" w:fill="auto"/>
            <w:vAlign w:val="center"/>
            <w:hideMark/>
          </w:tcPr>
          <w:p w14:paraId="7C82CDC5" w14:textId="77777777" w:rsidR="00D96BF7" w:rsidRPr="00D96BF7" w:rsidRDefault="00D96BF7">
            <w:pPr>
              <w:jc w:val="right"/>
              <w:rPr>
                <w:color w:val="000000"/>
                <w:sz w:val="18"/>
                <w:szCs w:val="18"/>
              </w:rPr>
            </w:pPr>
            <w:r w:rsidRPr="00D96BF7">
              <w:rPr>
                <w:color w:val="000000"/>
                <w:sz w:val="18"/>
                <w:szCs w:val="18"/>
              </w:rPr>
              <w:t>0</w:t>
            </w:r>
          </w:p>
        </w:tc>
        <w:tc>
          <w:tcPr>
            <w:tcW w:w="277" w:type="pct"/>
            <w:shd w:val="clear" w:color="auto" w:fill="auto"/>
            <w:vAlign w:val="center"/>
            <w:hideMark/>
          </w:tcPr>
          <w:p w14:paraId="411CF973" w14:textId="77777777" w:rsidR="00D96BF7" w:rsidRPr="00D96BF7" w:rsidRDefault="00D96BF7">
            <w:pPr>
              <w:jc w:val="right"/>
              <w:rPr>
                <w:color w:val="000000"/>
                <w:sz w:val="18"/>
                <w:szCs w:val="18"/>
              </w:rPr>
            </w:pPr>
            <w:r w:rsidRPr="00D96BF7">
              <w:rPr>
                <w:color w:val="000000"/>
                <w:sz w:val="18"/>
                <w:szCs w:val="18"/>
              </w:rPr>
              <w:t>0.1</w:t>
            </w:r>
          </w:p>
        </w:tc>
        <w:tc>
          <w:tcPr>
            <w:tcW w:w="313" w:type="pct"/>
            <w:shd w:val="clear" w:color="auto" w:fill="auto"/>
            <w:vAlign w:val="center"/>
            <w:hideMark/>
          </w:tcPr>
          <w:p w14:paraId="0F9A866C" w14:textId="77777777" w:rsidR="00D96BF7" w:rsidRPr="00D96BF7" w:rsidRDefault="00D96BF7">
            <w:pPr>
              <w:jc w:val="right"/>
              <w:rPr>
                <w:color w:val="000000"/>
                <w:sz w:val="18"/>
                <w:szCs w:val="18"/>
              </w:rPr>
            </w:pPr>
            <w:r w:rsidRPr="00D96BF7">
              <w:rPr>
                <w:color w:val="000000"/>
                <w:sz w:val="18"/>
                <w:szCs w:val="18"/>
              </w:rPr>
              <w:t>0</w:t>
            </w:r>
          </w:p>
        </w:tc>
        <w:tc>
          <w:tcPr>
            <w:tcW w:w="313" w:type="pct"/>
            <w:shd w:val="clear" w:color="auto" w:fill="auto"/>
            <w:vAlign w:val="center"/>
            <w:hideMark/>
          </w:tcPr>
          <w:p w14:paraId="3623A850" w14:textId="77777777" w:rsidR="00D96BF7" w:rsidRPr="00D96BF7" w:rsidRDefault="00D96BF7">
            <w:pPr>
              <w:jc w:val="right"/>
              <w:rPr>
                <w:color w:val="000000"/>
                <w:sz w:val="18"/>
                <w:szCs w:val="18"/>
              </w:rPr>
            </w:pPr>
            <w:r w:rsidRPr="00D96BF7">
              <w:rPr>
                <w:color w:val="000000"/>
                <w:sz w:val="18"/>
                <w:szCs w:val="18"/>
              </w:rPr>
              <w:t>0.10</w:t>
            </w:r>
          </w:p>
        </w:tc>
        <w:tc>
          <w:tcPr>
            <w:tcW w:w="243" w:type="pct"/>
            <w:shd w:val="clear" w:color="auto" w:fill="auto"/>
            <w:vAlign w:val="center"/>
            <w:hideMark/>
          </w:tcPr>
          <w:p w14:paraId="10FCDF0E" w14:textId="77777777" w:rsidR="00D96BF7" w:rsidRPr="00D96BF7" w:rsidRDefault="00D96BF7">
            <w:pPr>
              <w:jc w:val="right"/>
              <w:rPr>
                <w:color w:val="000000"/>
                <w:sz w:val="18"/>
                <w:szCs w:val="18"/>
              </w:rPr>
            </w:pPr>
            <w:r w:rsidRPr="00D96BF7">
              <w:rPr>
                <w:color w:val="000000"/>
                <w:sz w:val="18"/>
                <w:szCs w:val="18"/>
              </w:rPr>
              <w:t xml:space="preserve">$5 </w:t>
            </w:r>
          </w:p>
        </w:tc>
        <w:tc>
          <w:tcPr>
            <w:tcW w:w="208" w:type="pct"/>
            <w:shd w:val="clear" w:color="auto" w:fill="auto"/>
            <w:vAlign w:val="center"/>
            <w:hideMark/>
          </w:tcPr>
          <w:p w14:paraId="5005D555" w14:textId="77777777" w:rsidR="00D96BF7" w:rsidRPr="00D96BF7" w:rsidRDefault="00D96BF7">
            <w:pPr>
              <w:jc w:val="right"/>
              <w:rPr>
                <w:color w:val="000000"/>
                <w:sz w:val="18"/>
                <w:szCs w:val="18"/>
              </w:rPr>
            </w:pPr>
            <w:r w:rsidRPr="00D96BF7">
              <w:rPr>
                <w:color w:val="000000"/>
                <w:sz w:val="18"/>
                <w:szCs w:val="18"/>
              </w:rPr>
              <w:t xml:space="preserve">$0 </w:t>
            </w:r>
          </w:p>
        </w:tc>
        <w:tc>
          <w:tcPr>
            <w:tcW w:w="244" w:type="pct"/>
            <w:shd w:val="clear" w:color="auto" w:fill="auto"/>
            <w:vAlign w:val="center"/>
            <w:hideMark/>
          </w:tcPr>
          <w:p w14:paraId="0AD5EF08" w14:textId="77777777" w:rsidR="00D96BF7" w:rsidRPr="00D96BF7" w:rsidRDefault="00D96BF7">
            <w:pPr>
              <w:jc w:val="right"/>
              <w:rPr>
                <w:color w:val="000000"/>
                <w:sz w:val="18"/>
                <w:szCs w:val="18"/>
              </w:rPr>
            </w:pPr>
            <w:r w:rsidRPr="00D96BF7">
              <w:rPr>
                <w:color w:val="000000"/>
                <w:sz w:val="18"/>
                <w:szCs w:val="18"/>
              </w:rPr>
              <w:t xml:space="preserve">$0 </w:t>
            </w:r>
          </w:p>
        </w:tc>
        <w:tc>
          <w:tcPr>
            <w:tcW w:w="278" w:type="pct"/>
            <w:shd w:val="clear" w:color="auto" w:fill="auto"/>
            <w:noWrap/>
            <w:vAlign w:val="bottom"/>
            <w:hideMark/>
          </w:tcPr>
          <w:p w14:paraId="4C3FAE84" w14:textId="77777777" w:rsidR="00D96BF7" w:rsidRPr="00D96BF7" w:rsidRDefault="00D96BF7">
            <w:pPr>
              <w:jc w:val="right"/>
              <w:rPr>
                <w:color w:val="000000"/>
                <w:sz w:val="18"/>
                <w:szCs w:val="18"/>
              </w:rPr>
            </w:pPr>
            <w:r w:rsidRPr="00D96BF7">
              <w:rPr>
                <w:color w:val="000000"/>
                <w:sz w:val="18"/>
                <w:szCs w:val="18"/>
              </w:rPr>
              <w:t>11916</w:t>
            </w:r>
          </w:p>
        </w:tc>
        <w:tc>
          <w:tcPr>
            <w:tcW w:w="278" w:type="pct"/>
            <w:shd w:val="clear" w:color="auto" w:fill="auto"/>
            <w:noWrap/>
            <w:vAlign w:val="bottom"/>
            <w:hideMark/>
          </w:tcPr>
          <w:p w14:paraId="4216E907" w14:textId="77777777" w:rsidR="00D96BF7" w:rsidRPr="00D96BF7" w:rsidRDefault="00D96BF7">
            <w:pPr>
              <w:jc w:val="right"/>
              <w:rPr>
                <w:color w:val="000000"/>
                <w:sz w:val="18"/>
                <w:szCs w:val="18"/>
              </w:rPr>
            </w:pPr>
            <w:r w:rsidRPr="00D96BF7">
              <w:rPr>
                <w:color w:val="000000"/>
                <w:sz w:val="18"/>
                <w:szCs w:val="18"/>
              </w:rPr>
              <w:t>13373</w:t>
            </w:r>
          </w:p>
        </w:tc>
        <w:tc>
          <w:tcPr>
            <w:tcW w:w="243" w:type="pct"/>
            <w:shd w:val="clear" w:color="auto" w:fill="auto"/>
            <w:vAlign w:val="center"/>
            <w:hideMark/>
          </w:tcPr>
          <w:p w14:paraId="03F67AAD" w14:textId="77777777" w:rsidR="00D96BF7" w:rsidRPr="00D96BF7" w:rsidRDefault="00D96BF7">
            <w:pPr>
              <w:jc w:val="right"/>
              <w:rPr>
                <w:color w:val="000000"/>
                <w:sz w:val="18"/>
                <w:szCs w:val="18"/>
              </w:rPr>
            </w:pPr>
            <w:r w:rsidRPr="00D96BF7">
              <w:rPr>
                <w:color w:val="000000"/>
                <w:sz w:val="18"/>
                <w:szCs w:val="18"/>
              </w:rPr>
              <w:t>1,192</w:t>
            </w:r>
          </w:p>
        </w:tc>
        <w:tc>
          <w:tcPr>
            <w:tcW w:w="280" w:type="pct"/>
            <w:shd w:val="clear" w:color="auto" w:fill="auto"/>
            <w:vAlign w:val="center"/>
            <w:hideMark/>
          </w:tcPr>
          <w:p w14:paraId="21CCFD1E" w14:textId="77777777" w:rsidR="00D96BF7" w:rsidRPr="00D96BF7" w:rsidRDefault="00D96BF7">
            <w:pPr>
              <w:jc w:val="right"/>
              <w:rPr>
                <w:color w:val="000000"/>
                <w:sz w:val="18"/>
                <w:szCs w:val="18"/>
              </w:rPr>
            </w:pPr>
            <w:r w:rsidRPr="00D96BF7">
              <w:rPr>
                <w:color w:val="000000"/>
                <w:sz w:val="18"/>
                <w:szCs w:val="18"/>
              </w:rPr>
              <w:t>1,337</w:t>
            </w:r>
          </w:p>
        </w:tc>
        <w:tc>
          <w:tcPr>
            <w:tcW w:w="454" w:type="pct"/>
            <w:shd w:val="clear" w:color="auto" w:fill="auto"/>
            <w:vAlign w:val="center"/>
            <w:hideMark/>
          </w:tcPr>
          <w:p w14:paraId="50171933" w14:textId="77777777" w:rsidR="00D96BF7" w:rsidRPr="00D96BF7" w:rsidRDefault="00D96BF7">
            <w:pPr>
              <w:jc w:val="right"/>
              <w:rPr>
                <w:sz w:val="18"/>
                <w:szCs w:val="18"/>
              </w:rPr>
            </w:pPr>
            <w:r w:rsidRPr="00D96BF7">
              <w:rPr>
                <w:sz w:val="18"/>
                <w:szCs w:val="18"/>
              </w:rPr>
              <w:t xml:space="preserve">$63,453 </w:t>
            </w:r>
          </w:p>
        </w:tc>
        <w:tc>
          <w:tcPr>
            <w:tcW w:w="376" w:type="pct"/>
            <w:shd w:val="clear" w:color="auto" w:fill="auto"/>
            <w:vAlign w:val="center"/>
            <w:hideMark/>
          </w:tcPr>
          <w:p w14:paraId="212EA74D" w14:textId="77777777" w:rsidR="00D96BF7" w:rsidRPr="00D96BF7" w:rsidRDefault="00D96BF7">
            <w:pPr>
              <w:jc w:val="right"/>
              <w:rPr>
                <w:sz w:val="18"/>
                <w:szCs w:val="18"/>
              </w:rPr>
            </w:pPr>
            <w:r w:rsidRPr="00D96BF7">
              <w:rPr>
                <w:sz w:val="18"/>
                <w:szCs w:val="18"/>
              </w:rPr>
              <w:t xml:space="preserve">$71,211 </w:t>
            </w:r>
          </w:p>
        </w:tc>
      </w:tr>
      <w:tr w:rsidR="0070240F" w14:paraId="50124FFA" w14:textId="77777777" w:rsidTr="0070240F">
        <w:trPr>
          <w:trHeight w:val="526"/>
        </w:trPr>
        <w:tc>
          <w:tcPr>
            <w:tcW w:w="992" w:type="pct"/>
            <w:shd w:val="clear" w:color="auto" w:fill="auto"/>
            <w:vAlign w:val="bottom"/>
            <w:hideMark/>
          </w:tcPr>
          <w:p w14:paraId="247EAE99" w14:textId="77777777" w:rsidR="00D96BF7" w:rsidRPr="00D96BF7" w:rsidRDefault="00D96BF7">
            <w:pPr>
              <w:rPr>
                <w:color w:val="000000"/>
                <w:sz w:val="18"/>
                <w:szCs w:val="18"/>
              </w:rPr>
            </w:pPr>
            <w:r w:rsidRPr="00D96BF7">
              <w:rPr>
                <w:color w:val="000000"/>
                <w:sz w:val="18"/>
                <w:szCs w:val="18"/>
              </w:rPr>
              <w:t>Paperwork in support of hazardous waste determinations</w:t>
            </w:r>
          </w:p>
        </w:tc>
        <w:tc>
          <w:tcPr>
            <w:tcW w:w="256" w:type="pct"/>
            <w:shd w:val="clear" w:color="auto" w:fill="auto"/>
            <w:vAlign w:val="center"/>
            <w:hideMark/>
          </w:tcPr>
          <w:p w14:paraId="2AFCE260" w14:textId="77777777" w:rsidR="00D96BF7" w:rsidRPr="00D96BF7" w:rsidRDefault="00D96BF7">
            <w:pPr>
              <w:jc w:val="right"/>
              <w:rPr>
                <w:color w:val="000000"/>
                <w:sz w:val="18"/>
                <w:szCs w:val="18"/>
              </w:rPr>
            </w:pPr>
            <w:r w:rsidRPr="00D96BF7">
              <w:rPr>
                <w:color w:val="000000"/>
                <w:sz w:val="18"/>
                <w:szCs w:val="18"/>
              </w:rPr>
              <w:t>0</w:t>
            </w:r>
          </w:p>
        </w:tc>
        <w:tc>
          <w:tcPr>
            <w:tcW w:w="242" w:type="pct"/>
            <w:shd w:val="clear" w:color="auto" w:fill="auto"/>
            <w:vAlign w:val="center"/>
            <w:hideMark/>
          </w:tcPr>
          <w:p w14:paraId="42853898" w14:textId="77777777" w:rsidR="00D96BF7" w:rsidRPr="00D96BF7" w:rsidRDefault="00D96BF7">
            <w:pPr>
              <w:jc w:val="right"/>
              <w:rPr>
                <w:color w:val="000000"/>
                <w:sz w:val="18"/>
                <w:szCs w:val="18"/>
              </w:rPr>
            </w:pPr>
            <w:r w:rsidRPr="00D96BF7">
              <w:rPr>
                <w:color w:val="000000"/>
                <w:sz w:val="18"/>
                <w:szCs w:val="18"/>
              </w:rPr>
              <w:t>0</w:t>
            </w:r>
          </w:p>
        </w:tc>
        <w:tc>
          <w:tcPr>
            <w:tcW w:w="277" w:type="pct"/>
            <w:shd w:val="clear" w:color="auto" w:fill="auto"/>
            <w:vAlign w:val="center"/>
            <w:hideMark/>
          </w:tcPr>
          <w:p w14:paraId="0BD8F025" w14:textId="77777777" w:rsidR="00D96BF7" w:rsidRPr="00D96BF7" w:rsidRDefault="00D96BF7">
            <w:pPr>
              <w:jc w:val="right"/>
              <w:rPr>
                <w:color w:val="000000"/>
                <w:sz w:val="18"/>
                <w:szCs w:val="18"/>
              </w:rPr>
            </w:pPr>
            <w:r w:rsidRPr="00D96BF7">
              <w:rPr>
                <w:color w:val="000000"/>
                <w:sz w:val="18"/>
                <w:szCs w:val="18"/>
              </w:rPr>
              <w:t>0.1</w:t>
            </w:r>
          </w:p>
        </w:tc>
        <w:tc>
          <w:tcPr>
            <w:tcW w:w="313" w:type="pct"/>
            <w:shd w:val="clear" w:color="auto" w:fill="auto"/>
            <w:vAlign w:val="center"/>
            <w:hideMark/>
          </w:tcPr>
          <w:p w14:paraId="1C817583" w14:textId="77777777" w:rsidR="00D96BF7" w:rsidRPr="00D96BF7" w:rsidRDefault="00D96BF7">
            <w:pPr>
              <w:jc w:val="right"/>
              <w:rPr>
                <w:color w:val="000000"/>
                <w:sz w:val="18"/>
                <w:szCs w:val="18"/>
              </w:rPr>
            </w:pPr>
            <w:r w:rsidRPr="00D96BF7">
              <w:rPr>
                <w:color w:val="000000"/>
                <w:sz w:val="18"/>
                <w:szCs w:val="18"/>
              </w:rPr>
              <w:t>0</w:t>
            </w:r>
          </w:p>
        </w:tc>
        <w:tc>
          <w:tcPr>
            <w:tcW w:w="313" w:type="pct"/>
            <w:shd w:val="clear" w:color="auto" w:fill="auto"/>
            <w:vAlign w:val="center"/>
            <w:hideMark/>
          </w:tcPr>
          <w:p w14:paraId="2D85F3AA" w14:textId="77777777" w:rsidR="00D96BF7" w:rsidRPr="00D96BF7" w:rsidRDefault="00D96BF7">
            <w:pPr>
              <w:jc w:val="right"/>
              <w:rPr>
                <w:color w:val="000000"/>
                <w:sz w:val="18"/>
                <w:szCs w:val="18"/>
              </w:rPr>
            </w:pPr>
            <w:r w:rsidRPr="00D96BF7">
              <w:rPr>
                <w:color w:val="000000"/>
                <w:sz w:val="18"/>
                <w:szCs w:val="18"/>
              </w:rPr>
              <w:t>0.10</w:t>
            </w:r>
          </w:p>
        </w:tc>
        <w:tc>
          <w:tcPr>
            <w:tcW w:w="243" w:type="pct"/>
            <w:shd w:val="clear" w:color="auto" w:fill="auto"/>
            <w:vAlign w:val="center"/>
            <w:hideMark/>
          </w:tcPr>
          <w:p w14:paraId="06E188C5" w14:textId="77777777" w:rsidR="00D96BF7" w:rsidRPr="00D96BF7" w:rsidRDefault="00D96BF7">
            <w:pPr>
              <w:jc w:val="right"/>
              <w:rPr>
                <w:color w:val="000000"/>
                <w:sz w:val="18"/>
                <w:szCs w:val="18"/>
              </w:rPr>
            </w:pPr>
            <w:r w:rsidRPr="00D96BF7">
              <w:rPr>
                <w:color w:val="000000"/>
                <w:sz w:val="18"/>
                <w:szCs w:val="18"/>
              </w:rPr>
              <w:t xml:space="preserve">$5 </w:t>
            </w:r>
          </w:p>
        </w:tc>
        <w:tc>
          <w:tcPr>
            <w:tcW w:w="208" w:type="pct"/>
            <w:shd w:val="clear" w:color="auto" w:fill="auto"/>
            <w:vAlign w:val="center"/>
            <w:hideMark/>
          </w:tcPr>
          <w:p w14:paraId="15489009" w14:textId="77777777" w:rsidR="00D96BF7" w:rsidRPr="00D96BF7" w:rsidRDefault="00D96BF7">
            <w:pPr>
              <w:jc w:val="right"/>
              <w:rPr>
                <w:color w:val="000000"/>
                <w:sz w:val="18"/>
                <w:szCs w:val="18"/>
              </w:rPr>
            </w:pPr>
            <w:r w:rsidRPr="00D96BF7">
              <w:rPr>
                <w:color w:val="000000"/>
                <w:sz w:val="18"/>
                <w:szCs w:val="18"/>
              </w:rPr>
              <w:t xml:space="preserve">$0 </w:t>
            </w:r>
          </w:p>
        </w:tc>
        <w:tc>
          <w:tcPr>
            <w:tcW w:w="244" w:type="pct"/>
            <w:shd w:val="clear" w:color="auto" w:fill="auto"/>
            <w:vAlign w:val="center"/>
            <w:hideMark/>
          </w:tcPr>
          <w:p w14:paraId="1BCA7207" w14:textId="77777777" w:rsidR="00D96BF7" w:rsidRPr="00D96BF7" w:rsidRDefault="00D96BF7">
            <w:pPr>
              <w:jc w:val="right"/>
              <w:rPr>
                <w:color w:val="000000"/>
                <w:sz w:val="18"/>
                <w:szCs w:val="18"/>
              </w:rPr>
            </w:pPr>
            <w:r w:rsidRPr="00D96BF7">
              <w:rPr>
                <w:color w:val="000000"/>
                <w:sz w:val="18"/>
                <w:szCs w:val="18"/>
              </w:rPr>
              <w:t xml:space="preserve">$0 </w:t>
            </w:r>
          </w:p>
        </w:tc>
        <w:tc>
          <w:tcPr>
            <w:tcW w:w="278" w:type="pct"/>
            <w:shd w:val="clear" w:color="auto" w:fill="auto"/>
            <w:noWrap/>
            <w:vAlign w:val="bottom"/>
            <w:hideMark/>
          </w:tcPr>
          <w:p w14:paraId="40853855" w14:textId="77777777" w:rsidR="00D96BF7" w:rsidRPr="00D96BF7" w:rsidRDefault="00D96BF7">
            <w:pPr>
              <w:jc w:val="right"/>
              <w:rPr>
                <w:color w:val="000000"/>
                <w:sz w:val="18"/>
                <w:szCs w:val="18"/>
              </w:rPr>
            </w:pPr>
            <w:r w:rsidRPr="00D96BF7">
              <w:rPr>
                <w:color w:val="000000"/>
                <w:sz w:val="18"/>
                <w:szCs w:val="18"/>
              </w:rPr>
              <w:t>11889</w:t>
            </w:r>
          </w:p>
        </w:tc>
        <w:tc>
          <w:tcPr>
            <w:tcW w:w="278" w:type="pct"/>
            <w:shd w:val="clear" w:color="auto" w:fill="auto"/>
            <w:noWrap/>
            <w:vAlign w:val="bottom"/>
            <w:hideMark/>
          </w:tcPr>
          <w:p w14:paraId="51CEDAC9" w14:textId="77777777" w:rsidR="00D96BF7" w:rsidRPr="00D96BF7" w:rsidRDefault="00D96BF7">
            <w:pPr>
              <w:jc w:val="right"/>
              <w:rPr>
                <w:color w:val="000000"/>
                <w:sz w:val="18"/>
                <w:szCs w:val="18"/>
              </w:rPr>
            </w:pPr>
            <w:r w:rsidRPr="00D96BF7">
              <w:rPr>
                <w:color w:val="000000"/>
                <w:sz w:val="18"/>
                <w:szCs w:val="18"/>
              </w:rPr>
              <w:t>13346</w:t>
            </w:r>
          </w:p>
        </w:tc>
        <w:tc>
          <w:tcPr>
            <w:tcW w:w="243" w:type="pct"/>
            <w:shd w:val="clear" w:color="auto" w:fill="auto"/>
            <w:vAlign w:val="center"/>
            <w:hideMark/>
          </w:tcPr>
          <w:p w14:paraId="07AC3CEC" w14:textId="77777777" w:rsidR="00D96BF7" w:rsidRPr="00D96BF7" w:rsidRDefault="00D96BF7">
            <w:pPr>
              <w:jc w:val="right"/>
              <w:rPr>
                <w:color w:val="000000"/>
                <w:sz w:val="18"/>
                <w:szCs w:val="18"/>
              </w:rPr>
            </w:pPr>
            <w:r w:rsidRPr="00D96BF7">
              <w:rPr>
                <w:color w:val="000000"/>
                <w:sz w:val="18"/>
                <w:szCs w:val="18"/>
              </w:rPr>
              <w:t>1,189</w:t>
            </w:r>
          </w:p>
        </w:tc>
        <w:tc>
          <w:tcPr>
            <w:tcW w:w="280" w:type="pct"/>
            <w:shd w:val="clear" w:color="auto" w:fill="auto"/>
            <w:vAlign w:val="center"/>
            <w:hideMark/>
          </w:tcPr>
          <w:p w14:paraId="75A9CC6C" w14:textId="77777777" w:rsidR="00D96BF7" w:rsidRPr="00D96BF7" w:rsidRDefault="00D96BF7">
            <w:pPr>
              <w:jc w:val="right"/>
              <w:rPr>
                <w:color w:val="000000"/>
                <w:sz w:val="18"/>
                <w:szCs w:val="18"/>
              </w:rPr>
            </w:pPr>
            <w:r w:rsidRPr="00D96BF7">
              <w:rPr>
                <w:color w:val="000000"/>
                <w:sz w:val="18"/>
                <w:szCs w:val="18"/>
              </w:rPr>
              <w:t>1,335</w:t>
            </w:r>
          </w:p>
        </w:tc>
        <w:tc>
          <w:tcPr>
            <w:tcW w:w="454" w:type="pct"/>
            <w:shd w:val="clear" w:color="auto" w:fill="auto"/>
            <w:vAlign w:val="center"/>
            <w:hideMark/>
          </w:tcPr>
          <w:p w14:paraId="0E144F43" w14:textId="77777777" w:rsidR="00D96BF7" w:rsidRPr="00D96BF7" w:rsidRDefault="00D96BF7">
            <w:pPr>
              <w:jc w:val="right"/>
              <w:rPr>
                <w:sz w:val="18"/>
                <w:szCs w:val="18"/>
              </w:rPr>
            </w:pPr>
            <w:r w:rsidRPr="00D96BF7">
              <w:rPr>
                <w:sz w:val="18"/>
                <w:szCs w:val="18"/>
              </w:rPr>
              <w:t xml:space="preserve">$63,309 </w:t>
            </w:r>
          </w:p>
        </w:tc>
        <w:tc>
          <w:tcPr>
            <w:tcW w:w="376" w:type="pct"/>
            <w:shd w:val="clear" w:color="auto" w:fill="auto"/>
            <w:vAlign w:val="center"/>
            <w:hideMark/>
          </w:tcPr>
          <w:p w14:paraId="3C3172EA" w14:textId="77777777" w:rsidR="00D96BF7" w:rsidRPr="00D96BF7" w:rsidRDefault="00D96BF7">
            <w:pPr>
              <w:jc w:val="right"/>
              <w:rPr>
                <w:sz w:val="18"/>
                <w:szCs w:val="18"/>
              </w:rPr>
            </w:pPr>
            <w:r w:rsidRPr="00D96BF7">
              <w:rPr>
                <w:sz w:val="18"/>
                <w:szCs w:val="18"/>
              </w:rPr>
              <w:t xml:space="preserve">$71,067 </w:t>
            </w:r>
          </w:p>
        </w:tc>
      </w:tr>
      <w:tr w:rsidR="0070240F" w14:paraId="386F0DF7" w14:textId="77777777" w:rsidTr="0070240F">
        <w:trPr>
          <w:trHeight w:val="301"/>
        </w:trPr>
        <w:tc>
          <w:tcPr>
            <w:tcW w:w="992" w:type="pct"/>
            <w:shd w:val="clear" w:color="auto" w:fill="auto"/>
            <w:vAlign w:val="bottom"/>
            <w:hideMark/>
          </w:tcPr>
          <w:p w14:paraId="699302E8" w14:textId="77777777" w:rsidR="00D96BF7" w:rsidRPr="00D96BF7" w:rsidRDefault="00D96BF7">
            <w:pPr>
              <w:rPr>
                <w:color w:val="000000"/>
                <w:sz w:val="18"/>
                <w:szCs w:val="18"/>
              </w:rPr>
            </w:pPr>
            <w:r w:rsidRPr="00D96BF7">
              <w:rPr>
                <w:color w:val="000000"/>
                <w:sz w:val="18"/>
                <w:szCs w:val="18"/>
              </w:rPr>
              <w:t>Records of inspections</w:t>
            </w:r>
          </w:p>
        </w:tc>
        <w:tc>
          <w:tcPr>
            <w:tcW w:w="256" w:type="pct"/>
            <w:shd w:val="clear" w:color="auto" w:fill="auto"/>
            <w:vAlign w:val="center"/>
            <w:hideMark/>
          </w:tcPr>
          <w:p w14:paraId="47E37D5C" w14:textId="77777777" w:rsidR="00D96BF7" w:rsidRPr="00D96BF7" w:rsidRDefault="00D96BF7">
            <w:pPr>
              <w:jc w:val="right"/>
              <w:rPr>
                <w:color w:val="000000"/>
                <w:sz w:val="18"/>
                <w:szCs w:val="18"/>
              </w:rPr>
            </w:pPr>
            <w:r w:rsidRPr="00D96BF7">
              <w:rPr>
                <w:color w:val="000000"/>
                <w:sz w:val="18"/>
                <w:szCs w:val="18"/>
              </w:rPr>
              <w:t>0</w:t>
            </w:r>
          </w:p>
        </w:tc>
        <w:tc>
          <w:tcPr>
            <w:tcW w:w="242" w:type="pct"/>
            <w:shd w:val="clear" w:color="auto" w:fill="auto"/>
            <w:vAlign w:val="center"/>
            <w:hideMark/>
          </w:tcPr>
          <w:p w14:paraId="7D4D0EA8" w14:textId="77777777" w:rsidR="00D96BF7" w:rsidRPr="00D96BF7" w:rsidRDefault="00D96BF7">
            <w:pPr>
              <w:jc w:val="right"/>
              <w:rPr>
                <w:color w:val="000000"/>
                <w:sz w:val="18"/>
                <w:szCs w:val="18"/>
              </w:rPr>
            </w:pPr>
            <w:r w:rsidRPr="00D96BF7">
              <w:rPr>
                <w:color w:val="000000"/>
                <w:sz w:val="18"/>
                <w:szCs w:val="18"/>
              </w:rPr>
              <w:t>0</w:t>
            </w:r>
          </w:p>
        </w:tc>
        <w:tc>
          <w:tcPr>
            <w:tcW w:w="277" w:type="pct"/>
            <w:shd w:val="clear" w:color="auto" w:fill="auto"/>
            <w:vAlign w:val="center"/>
            <w:hideMark/>
          </w:tcPr>
          <w:p w14:paraId="103833E0" w14:textId="77777777" w:rsidR="00D96BF7" w:rsidRPr="00D96BF7" w:rsidRDefault="00D96BF7">
            <w:pPr>
              <w:jc w:val="right"/>
              <w:rPr>
                <w:color w:val="000000"/>
                <w:sz w:val="18"/>
                <w:szCs w:val="18"/>
              </w:rPr>
            </w:pPr>
            <w:r w:rsidRPr="00D96BF7">
              <w:rPr>
                <w:color w:val="000000"/>
                <w:sz w:val="18"/>
                <w:szCs w:val="18"/>
              </w:rPr>
              <w:t>0.1</w:t>
            </w:r>
          </w:p>
        </w:tc>
        <w:tc>
          <w:tcPr>
            <w:tcW w:w="313" w:type="pct"/>
            <w:shd w:val="clear" w:color="auto" w:fill="auto"/>
            <w:vAlign w:val="center"/>
            <w:hideMark/>
          </w:tcPr>
          <w:p w14:paraId="572AE121" w14:textId="77777777" w:rsidR="00D96BF7" w:rsidRPr="00D96BF7" w:rsidRDefault="00D96BF7">
            <w:pPr>
              <w:jc w:val="right"/>
              <w:rPr>
                <w:color w:val="000000"/>
                <w:sz w:val="18"/>
                <w:szCs w:val="18"/>
              </w:rPr>
            </w:pPr>
            <w:r w:rsidRPr="00D96BF7">
              <w:rPr>
                <w:color w:val="000000"/>
                <w:sz w:val="18"/>
                <w:szCs w:val="18"/>
              </w:rPr>
              <w:t>0</w:t>
            </w:r>
          </w:p>
        </w:tc>
        <w:tc>
          <w:tcPr>
            <w:tcW w:w="313" w:type="pct"/>
            <w:shd w:val="clear" w:color="auto" w:fill="auto"/>
            <w:vAlign w:val="center"/>
            <w:hideMark/>
          </w:tcPr>
          <w:p w14:paraId="230B9724" w14:textId="77777777" w:rsidR="00D96BF7" w:rsidRPr="00D96BF7" w:rsidRDefault="00D96BF7">
            <w:pPr>
              <w:jc w:val="right"/>
              <w:rPr>
                <w:color w:val="000000"/>
                <w:sz w:val="18"/>
                <w:szCs w:val="18"/>
              </w:rPr>
            </w:pPr>
            <w:r w:rsidRPr="00D96BF7">
              <w:rPr>
                <w:color w:val="000000"/>
                <w:sz w:val="18"/>
                <w:szCs w:val="18"/>
              </w:rPr>
              <w:t>0.10</w:t>
            </w:r>
          </w:p>
        </w:tc>
        <w:tc>
          <w:tcPr>
            <w:tcW w:w="243" w:type="pct"/>
            <w:shd w:val="clear" w:color="auto" w:fill="auto"/>
            <w:vAlign w:val="center"/>
            <w:hideMark/>
          </w:tcPr>
          <w:p w14:paraId="0EB205FD" w14:textId="77777777" w:rsidR="00D96BF7" w:rsidRPr="00D96BF7" w:rsidRDefault="00D96BF7">
            <w:pPr>
              <w:jc w:val="right"/>
              <w:rPr>
                <w:color w:val="000000"/>
                <w:sz w:val="18"/>
                <w:szCs w:val="18"/>
              </w:rPr>
            </w:pPr>
            <w:r w:rsidRPr="00D96BF7">
              <w:rPr>
                <w:color w:val="000000"/>
                <w:sz w:val="18"/>
                <w:szCs w:val="18"/>
              </w:rPr>
              <w:t xml:space="preserve">$5 </w:t>
            </w:r>
          </w:p>
        </w:tc>
        <w:tc>
          <w:tcPr>
            <w:tcW w:w="208" w:type="pct"/>
            <w:shd w:val="clear" w:color="auto" w:fill="auto"/>
            <w:vAlign w:val="center"/>
            <w:hideMark/>
          </w:tcPr>
          <w:p w14:paraId="5E9C8071" w14:textId="77777777" w:rsidR="00D96BF7" w:rsidRPr="00D96BF7" w:rsidRDefault="00D96BF7">
            <w:pPr>
              <w:jc w:val="right"/>
              <w:rPr>
                <w:color w:val="000000"/>
                <w:sz w:val="18"/>
                <w:szCs w:val="18"/>
              </w:rPr>
            </w:pPr>
            <w:r w:rsidRPr="00D96BF7">
              <w:rPr>
                <w:color w:val="000000"/>
                <w:sz w:val="18"/>
                <w:szCs w:val="18"/>
              </w:rPr>
              <w:t xml:space="preserve">$0 </w:t>
            </w:r>
          </w:p>
        </w:tc>
        <w:tc>
          <w:tcPr>
            <w:tcW w:w="244" w:type="pct"/>
            <w:shd w:val="clear" w:color="auto" w:fill="auto"/>
            <w:vAlign w:val="center"/>
            <w:hideMark/>
          </w:tcPr>
          <w:p w14:paraId="34F85E78" w14:textId="77777777" w:rsidR="00D96BF7" w:rsidRPr="00D96BF7" w:rsidRDefault="00D96BF7">
            <w:pPr>
              <w:jc w:val="right"/>
              <w:rPr>
                <w:color w:val="000000"/>
                <w:sz w:val="18"/>
                <w:szCs w:val="18"/>
              </w:rPr>
            </w:pPr>
            <w:r w:rsidRPr="00D96BF7">
              <w:rPr>
                <w:color w:val="000000"/>
                <w:sz w:val="18"/>
                <w:szCs w:val="18"/>
              </w:rPr>
              <w:t xml:space="preserve">$0 </w:t>
            </w:r>
          </w:p>
        </w:tc>
        <w:tc>
          <w:tcPr>
            <w:tcW w:w="278" w:type="pct"/>
            <w:shd w:val="clear" w:color="auto" w:fill="auto"/>
            <w:vAlign w:val="center"/>
            <w:hideMark/>
          </w:tcPr>
          <w:p w14:paraId="374CFF41" w14:textId="77777777" w:rsidR="00D96BF7" w:rsidRPr="00D96BF7" w:rsidRDefault="00D96BF7">
            <w:pPr>
              <w:jc w:val="right"/>
              <w:rPr>
                <w:color w:val="000000"/>
                <w:sz w:val="18"/>
                <w:szCs w:val="18"/>
              </w:rPr>
            </w:pPr>
            <w:r w:rsidRPr="00D96BF7">
              <w:rPr>
                <w:color w:val="000000"/>
                <w:sz w:val="18"/>
                <w:szCs w:val="18"/>
              </w:rPr>
              <w:t>27</w:t>
            </w:r>
          </w:p>
        </w:tc>
        <w:tc>
          <w:tcPr>
            <w:tcW w:w="278" w:type="pct"/>
            <w:shd w:val="clear" w:color="auto" w:fill="auto"/>
            <w:vAlign w:val="center"/>
            <w:hideMark/>
          </w:tcPr>
          <w:p w14:paraId="1FE93C67" w14:textId="77777777" w:rsidR="00D96BF7" w:rsidRPr="00D96BF7" w:rsidRDefault="00D96BF7">
            <w:pPr>
              <w:jc w:val="right"/>
              <w:rPr>
                <w:color w:val="000000"/>
                <w:sz w:val="18"/>
                <w:szCs w:val="18"/>
              </w:rPr>
            </w:pPr>
            <w:r w:rsidRPr="00D96BF7">
              <w:rPr>
                <w:color w:val="000000"/>
                <w:sz w:val="18"/>
                <w:szCs w:val="18"/>
              </w:rPr>
              <w:t>27</w:t>
            </w:r>
          </w:p>
        </w:tc>
        <w:tc>
          <w:tcPr>
            <w:tcW w:w="243" w:type="pct"/>
            <w:shd w:val="clear" w:color="auto" w:fill="auto"/>
            <w:vAlign w:val="center"/>
            <w:hideMark/>
          </w:tcPr>
          <w:p w14:paraId="51BF0273" w14:textId="77777777" w:rsidR="00D96BF7" w:rsidRPr="00D96BF7" w:rsidRDefault="00D96BF7">
            <w:pPr>
              <w:jc w:val="right"/>
              <w:rPr>
                <w:color w:val="000000"/>
                <w:sz w:val="18"/>
                <w:szCs w:val="18"/>
              </w:rPr>
            </w:pPr>
            <w:r w:rsidRPr="00D96BF7">
              <w:rPr>
                <w:color w:val="000000"/>
                <w:sz w:val="18"/>
                <w:szCs w:val="18"/>
              </w:rPr>
              <w:t>3</w:t>
            </w:r>
          </w:p>
        </w:tc>
        <w:tc>
          <w:tcPr>
            <w:tcW w:w="280" w:type="pct"/>
            <w:shd w:val="clear" w:color="auto" w:fill="auto"/>
            <w:vAlign w:val="center"/>
            <w:hideMark/>
          </w:tcPr>
          <w:p w14:paraId="27CDD71C" w14:textId="77777777" w:rsidR="00D96BF7" w:rsidRPr="00D96BF7" w:rsidRDefault="00D96BF7">
            <w:pPr>
              <w:jc w:val="right"/>
              <w:rPr>
                <w:color w:val="000000"/>
                <w:sz w:val="18"/>
                <w:szCs w:val="18"/>
              </w:rPr>
            </w:pPr>
            <w:r w:rsidRPr="00D96BF7">
              <w:rPr>
                <w:color w:val="000000"/>
                <w:sz w:val="18"/>
                <w:szCs w:val="18"/>
              </w:rPr>
              <w:t>3</w:t>
            </w:r>
          </w:p>
        </w:tc>
        <w:tc>
          <w:tcPr>
            <w:tcW w:w="454" w:type="pct"/>
            <w:shd w:val="clear" w:color="auto" w:fill="auto"/>
            <w:vAlign w:val="center"/>
            <w:hideMark/>
          </w:tcPr>
          <w:p w14:paraId="1EC22524" w14:textId="77777777" w:rsidR="00D96BF7" w:rsidRPr="00D96BF7" w:rsidRDefault="00D96BF7">
            <w:pPr>
              <w:jc w:val="right"/>
              <w:rPr>
                <w:sz w:val="18"/>
                <w:szCs w:val="18"/>
              </w:rPr>
            </w:pPr>
            <w:r w:rsidRPr="00D96BF7">
              <w:rPr>
                <w:sz w:val="18"/>
                <w:szCs w:val="18"/>
              </w:rPr>
              <w:t xml:space="preserve">$144 </w:t>
            </w:r>
          </w:p>
        </w:tc>
        <w:tc>
          <w:tcPr>
            <w:tcW w:w="376" w:type="pct"/>
            <w:shd w:val="clear" w:color="auto" w:fill="auto"/>
            <w:vAlign w:val="center"/>
            <w:hideMark/>
          </w:tcPr>
          <w:p w14:paraId="191792FF" w14:textId="77777777" w:rsidR="00D96BF7" w:rsidRPr="00D96BF7" w:rsidRDefault="00D96BF7">
            <w:pPr>
              <w:jc w:val="right"/>
              <w:rPr>
                <w:sz w:val="18"/>
                <w:szCs w:val="18"/>
              </w:rPr>
            </w:pPr>
            <w:r w:rsidRPr="00D96BF7">
              <w:rPr>
                <w:sz w:val="18"/>
                <w:szCs w:val="18"/>
              </w:rPr>
              <w:t xml:space="preserve">$144 </w:t>
            </w:r>
          </w:p>
        </w:tc>
      </w:tr>
      <w:tr w:rsidR="0070240F" w14:paraId="0A6A49B8" w14:textId="77777777" w:rsidTr="0070240F">
        <w:trPr>
          <w:trHeight w:val="301"/>
        </w:trPr>
        <w:tc>
          <w:tcPr>
            <w:tcW w:w="992" w:type="pct"/>
            <w:shd w:val="clear" w:color="auto" w:fill="auto"/>
            <w:vAlign w:val="bottom"/>
            <w:hideMark/>
          </w:tcPr>
          <w:p w14:paraId="17778198" w14:textId="77777777" w:rsidR="00D96BF7" w:rsidRPr="00D96BF7" w:rsidRDefault="00D96BF7">
            <w:pPr>
              <w:rPr>
                <w:color w:val="000000"/>
                <w:sz w:val="18"/>
                <w:szCs w:val="18"/>
              </w:rPr>
            </w:pPr>
            <w:r w:rsidRPr="00D96BF7">
              <w:rPr>
                <w:color w:val="000000"/>
                <w:sz w:val="18"/>
                <w:szCs w:val="18"/>
              </w:rPr>
              <w:t>Copy of biennial report</w:t>
            </w:r>
          </w:p>
        </w:tc>
        <w:tc>
          <w:tcPr>
            <w:tcW w:w="256" w:type="pct"/>
            <w:shd w:val="clear" w:color="auto" w:fill="auto"/>
            <w:vAlign w:val="center"/>
            <w:hideMark/>
          </w:tcPr>
          <w:p w14:paraId="5EB354EC" w14:textId="77777777" w:rsidR="00D96BF7" w:rsidRPr="00D96BF7" w:rsidRDefault="00D96BF7">
            <w:pPr>
              <w:jc w:val="right"/>
              <w:rPr>
                <w:color w:val="000000"/>
                <w:sz w:val="18"/>
                <w:szCs w:val="18"/>
              </w:rPr>
            </w:pPr>
            <w:r w:rsidRPr="00D96BF7">
              <w:rPr>
                <w:color w:val="000000"/>
                <w:sz w:val="18"/>
                <w:szCs w:val="18"/>
              </w:rPr>
              <w:t>0</w:t>
            </w:r>
          </w:p>
        </w:tc>
        <w:tc>
          <w:tcPr>
            <w:tcW w:w="242" w:type="pct"/>
            <w:shd w:val="clear" w:color="auto" w:fill="auto"/>
            <w:vAlign w:val="center"/>
            <w:hideMark/>
          </w:tcPr>
          <w:p w14:paraId="20CDBE20" w14:textId="77777777" w:rsidR="00D96BF7" w:rsidRPr="00D96BF7" w:rsidRDefault="00D96BF7">
            <w:pPr>
              <w:jc w:val="right"/>
              <w:rPr>
                <w:color w:val="000000"/>
                <w:sz w:val="18"/>
                <w:szCs w:val="18"/>
              </w:rPr>
            </w:pPr>
            <w:r w:rsidRPr="00D96BF7">
              <w:rPr>
                <w:color w:val="000000"/>
                <w:sz w:val="18"/>
                <w:szCs w:val="18"/>
              </w:rPr>
              <w:t>0</w:t>
            </w:r>
          </w:p>
        </w:tc>
        <w:tc>
          <w:tcPr>
            <w:tcW w:w="277" w:type="pct"/>
            <w:shd w:val="clear" w:color="auto" w:fill="auto"/>
            <w:vAlign w:val="center"/>
            <w:hideMark/>
          </w:tcPr>
          <w:p w14:paraId="100383AE" w14:textId="77777777" w:rsidR="00D96BF7" w:rsidRPr="00D96BF7" w:rsidRDefault="00D96BF7">
            <w:pPr>
              <w:jc w:val="right"/>
              <w:rPr>
                <w:color w:val="000000"/>
                <w:sz w:val="18"/>
                <w:szCs w:val="18"/>
              </w:rPr>
            </w:pPr>
            <w:r w:rsidRPr="00D96BF7">
              <w:rPr>
                <w:color w:val="000000"/>
                <w:sz w:val="18"/>
                <w:szCs w:val="18"/>
              </w:rPr>
              <w:t>0.1</w:t>
            </w:r>
          </w:p>
        </w:tc>
        <w:tc>
          <w:tcPr>
            <w:tcW w:w="313" w:type="pct"/>
            <w:shd w:val="clear" w:color="auto" w:fill="auto"/>
            <w:vAlign w:val="center"/>
            <w:hideMark/>
          </w:tcPr>
          <w:p w14:paraId="71DF6A92" w14:textId="77777777" w:rsidR="00D96BF7" w:rsidRPr="00D96BF7" w:rsidRDefault="00D96BF7">
            <w:pPr>
              <w:jc w:val="right"/>
              <w:rPr>
                <w:color w:val="000000"/>
                <w:sz w:val="18"/>
                <w:szCs w:val="18"/>
              </w:rPr>
            </w:pPr>
            <w:r w:rsidRPr="00D96BF7">
              <w:rPr>
                <w:color w:val="000000"/>
                <w:sz w:val="18"/>
                <w:szCs w:val="18"/>
              </w:rPr>
              <w:t>0</w:t>
            </w:r>
          </w:p>
        </w:tc>
        <w:tc>
          <w:tcPr>
            <w:tcW w:w="313" w:type="pct"/>
            <w:shd w:val="clear" w:color="auto" w:fill="auto"/>
            <w:vAlign w:val="center"/>
            <w:hideMark/>
          </w:tcPr>
          <w:p w14:paraId="2308645E" w14:textId="77777777" w:rsidR="00D96BF7" w:rsidRPr="00D96BF7" w:rsidRDefault="00D96BF7">
            <w:pPr>
              <w:jc w:val="right"/>
              <w:rPr>
                <w:color w:val="000000"/>
                <w:sz w:val="18"/>
                <w:szCs w:val="18"/>
              </w:rPr>
            </w:pPr>
            <w:r w:rsidRPr="00D96BF7">
              <w:rPr>
                <w:color w:val="000000"/>
                <w:sz w:val="18"/>
                <w:szCs w:val="18"/>
              </w:rPr>
              <w:t>0.10</w:t>
            </w:r>
          </w:p>
        </w:tc>
        <w:tc>
          <w:tcPr>
            <w:tcW w:w="243" w:type="pct"/>
            <w:shd w:val="clear" w:color="auto" w:fill="auto"/>
            <w:vAlign w:val="center"/>
            <w:hideMark/>
          </w:tcPr>
          <w:p w14:paraId="13FF3169" w14:textId="77777777" w:rsidR="00D96BF7" w:rsidRPr="00D96BF7" w:rsidRDefault="00D96BF7">
            <w:pPr>
              <w:jc w:val="right"/>
              <w:rPr>
                <w:color w:val="000000"/>
                <w:sz w:val="18"/>
                <w:szCs w:val="18"/>
              </w:rPr>
            </w:pPr>
            <w:r w:rsidRPr="00D96BF7">
              <w:rPr>
                <w:color w:val="000000"/>
                <w:sz w:val="18"/>
                <w:szCs w:val="18"/>
              </w:rPr>
              <w:t xml:space="preserve">$5 </w:t>
            </w:r>
          </w:p>
        </w:tc>
        <w:tc>
          <w:tcPr>
            <w:tcW w:w="208" w:type="pct"/>
            <w:shd w:val="clear" w:color="auto" w:fill="auto"/>
            <w:vAlign w:val="center"/>
            <w:hideMark/>
          </w:tcPr>
          <w:p w14:paraId="401732A8" w14:textId="77777777" w:rsidR="00D96BF7" w:rsidRPr="00D96BF7" w:rsidRDefault="00D96BF7">
            <w:pPr>
              <w:jc w:val="right"/>
              <w:rPr>
                <w:color w:val="000000"/>
                <w:sz w:val="18"/>
                <w:szCs w:val="18"/>
              </w:rPr>
            </w:pPr>
            <w:r w:rsidRPr="00D96BF7">
              <w:rPr>
                <w:color w:val="000000"/>
                <w:sz w:val="18"/>
                <w:szCs w:val="18"/>
              </w:rPr>
              <w:t xml:space="preserve">$0 </w:t>
            </w:r>
          </w:p>
        </w:tc>
        <w:tc>
          <w:tcPr>
            <w:tcW w:w="244" w:type="pct"/>
            <w:shd w:val="clear" w:color="auto" w:fill="auto"/>
            <w:vAlign w:val="center"/>
            <w:hideMark/>
          </w:tcPr>
          <w:p w14:paraId="54FF22A2" w14:textId="77777777" w:rsidR="00D96BF7" w:rsidRPr="00D96BF7" w:rsidRDefault="00D96BF7">
            <w:pPr>
              <w:jc w:val="right"/>
              <w:rPr>
                <w:color w:val="000000"/>
                <w:sz w:val="18"/>
                <w:szCs w:val="18"/>
              </w:rPr>
            </w:pPr>
            <w:r w:rsidRPr="00D96BF7">
              <w:rPr>
                <w:color w:val="000000"/>
                <w:sz w:val="18"/>
                <w:szCs w:val="18"/>
              </w:rPr>
              <w:t xml:space="preserve">$0 </w:t>
            </w:r>
          </w:p>
        </w:tc>
        <w:tc>
          <w:tcPr>
            <w:tcW w:w="278" w:type="pct"/>
            <w:shd w:val="clear" w:color="auto" w:fill="auto"/>
            <w:vAlign w:val="center"/>
            <w:hideMark/>
          </w:tcPr>
          <w:p w14:paraId="5AE08541" w14:textId="77777777" w:rsidR="00D96BF7" w:rsidRPr="00D96BF7" w:rsidRDefault="00D96BF7">
            <w:pPr>
              <w:jc w:val="right"/>
              <w:rPr>
                <w:color w:val="000000"/>
                <w:sz w:val="18"/>
                <w:szCs w:val="18"/>
              </w:rPr>
            </w:pPr>
            <w:r w:rsidRPr="00D96BF7">
              <w:rPr>
                <w:color w:val="000000"/>
                <w:sz w:val="18"/>
                <w:szCs w:val="18"/>
              </w:rPr>
              <w:t>27</w:t>
            </w:r>
          </w:p>
        </w:tc>
        <w:tc>
          <w:tcPr>
            <w:tcW w:w="278" w:type="pct"/>
            <w:shd w:val="clear" w:color="auto" w:fill="auto"/>
            <w:vAlign w:val="center"/>
            <w:hideMark/>
          </w:tcPr>
          <w:p w14:paraId="7264F7BC" w14:textId="77777777" w:rsidR="00D96BF7" w:rsidRPr="00D96BF7" w:rsidRDefault="00D96BF7">
            <w:pPr>
              <w:jc w:val="right"/>
              <w:rPr>
                <w:color w:val="000000"/>
                <w:sz w:val="18"/>
                <w:szCs w:val="18"/>
              </w:rPr>
            </w:pPr>
            <w:r w:rsidRPr="00D96BF7">
              <w:rPr>
                <w:color w:val="000000"/>
                <w:sz w:val="18"/>
                <w:szCs w:val="18"/>
              </w:rPr>
              <w:t>27</w:t>
            </w:r>
          </w:p>
        </w:tc>
        <w:tc>
          <w:tcPr>
            <w:tcW w:w="243" w:type="pct"/>
            <w:shd w:val="clear" w:color="auto" w:fill="auto"/>
            <w:vAlign w:val="center"/>
            <w:hideMark/>
          </w:tcPr>
          <w:p w14:paraId="2680E16F" w14:textId="77777777" w:rsidR="00D96BF7" w:rsidRPr="00D96BF7" w:rsidRDefault="00D96BF7">
            <w:pPr>
              <w:jc w:val="right"/>
              <w:rPr>
                <w:color w:val="000000"/>
                <w:sz w:val="18"/>
                <w:szCs w:val="18"/>
              </w:rPr>
            </w:pPr>
            <w:r w:rsidRPr="00D96BF7">
              <w:rPr>
                <w:color w:val="000000"/>
                <w:sz w:val="18"/>
                <w:szCs w:val="18"/>
              </w:rPr>
              <w:t>3</w:t>
            </w:r>
          </w:p>
        </w:tc>
        <w:tc>
          <w:tcPr>
            <w:tcW w:w="280" w:type="pct"/>
            <w:shd w:val="clear" w:color="auto" w:fill="auto"/>
            <w:vAlign w:val="center"/>
            <w:hideMark/>
          </w:tcPr>
          <w:p w14:paraId="395515CC" w14:textId="77777777" w:rsidR="00D96BF7" w:rsidRPr="00D96BF7" w:rsidRDefault="00D96BF7">
            <w:pPr>
              <w:jc w:val="right"/>
              <w:rPr>
                <w:color w:val="000000"/>
                <w:sz w:val="18"/>
                <w:szCs w:val="18"/>
              </w:rPr>
            </w:pPr>
            <w:r w:rsidRPr="00D96BF7">
              <w:rPr>
                <w:color w:val="000000"/>
                <w:sz w:val="18"/>
                <w:szCs w:val="18"/>
              </w:rPr>
              <w:t>3</w:t>
            </w:r>
          </w:p>
        </w:tc>
        <w:tc>
          <w:tcPr>
            <w:tcW w:w="454" w:type="pct"/>
            <w:shd w:val="clear" w:color="auto" w:fill="auto"/>
            <w:vAlign w:val="center"/>
            <w:hideMark/>
          </w:tcPr>
          <w:p w14:paraId="10320EFA" w14:textId="77777777" w:rsidR="00D96BF7" w:rsidRPr="00D96BF7" w:rsidRDefault="00D96BF7">
            <w:pPr>
              <w:jc w:val="right"/>
              <w:rPr>
                <w:sz w:val="18"/>
                <w:szCs w:val="18"/>
              </w:rPr>
            </w:pPr>
            <w:r w:rsidRPr="00D96BF7">
              <w:rPr>
                <w:sz w:val="18"/>
                <w:szCs w:val="18"/>
              </w:rPr>
              <w:t xml:space="preserve">$144 </w:t>
            </w:r>
          </w:p>
        </w:tc>
        <w:tc>
          <w:tcPr>
            <w:tcW w:w="376" w:type="pct"/>
            <w:shd w:val="clear" w:color="auto" w:fill="auto"/>
            <w:vAlign w:val="center"/>
            <w:hideMark/>
          </w:tcPr>
          <w:p w14:paraId="6B753474" w14:textId="77777777" w:rsidR="00D96BF7" w:rsidRPr="00D96BF7" w:rsidRDefault="00D96BF7">
            <w:pPr>
              <w:jc w:val="right"/>
              <w:rPr>
                <w:sz w:val="18"/>
                <w:szCs w:val="18"/>
              </w:rPr>
            </w:pPr>
            <w:r w:rsidRPr="00D96BF7">
              <w:rPr>
                <w:sz w:val="18"/>
                <w:szCs w:val="18"/>
              </w:rPr>
              <w:t xml:space="preserve">$144 </w:t>
            </w:r>
          </w:p>
        </w:tc>
      </w:tr>
      <w:tr w:rsidR="0070240F" w14:paraId="2F6D7DB3" w14:textId="77777777" w:rsidTr="0070240F">
        <w:trPr>
          <w:trHeight w:val="301"/>
        </w:trPr>
        <w:tc>
          <w:tcPr>
            <w:tcW w:w="992" w:type="pct"/>
            <w:shd w:val="clear" w:color="auto" w:fill="auto"/>
            <w:vAlign w:val="bottom"/>
            <w:hideMark/>
          </w:tcPr>
          <w:p w14:paraId="2A9AC9D3" w14:textId="77777777" w:rsidR="00D96BF7" w:rsidRPr="00D96BF7" w:rsidRDefault="00D96BF7">
            <w:pPr>
              <w:rPr>
                <w:color w:val="000000"/>
                <w:sz w:val="18"/>
                <w:szCs w:val="18"/>
              </w:rPr>
            </w:pPr>
            <w:r w:rsidRPr="00D96BF7">
              <w:rPr>
                <w:color w:val="000000"/>
                <w:sz w:val="18"/>
                <w:szCs w:val="18"/>
              </w:rPr>
              <w:t>Records documenting personnel training</w:t>
            </w:r>
          </w:p>
        </w:tc>
        <w:tc>
          <w:tcPr>
            <w:tcW w:w="256" w:type="pct"/>
            <w:shd w:val="clear" w:color="auto" w:fill="auto"/>
            <w:vAlign w:val="center"/>
            <w:hideMark/>
          </w:tcPr>
          <w:p w14:paraId="0F3D5D0D" w14:textId="77777777" w:rsidR="00D96BF7" w:rsidRPr="00D96BF7" w:rsidRDefault="00D96BF7">
            <w:pPr>
              <w:jc w:val="right"/>
              <w:rPr>
                <w:color w:val="000000"/>
                <w:sz w:val="18"/>
                <w:szCs w:val="18"/>
              </w:rPr>
            </w:pPr>
            <w:r w:rsidRPr="00D96BF7">
              <w:rPr>
                <w:color w:val="000000"/>
                <w:sz w:val="18"/>
                <w:szCs w:val="18"/>
              </w:rPr>
              <w:t>0</w:t>
            </w:r>
          </w:p>
        </w:tc>
        <w:tc>
          <w:tcPr>
            <w:tcW w:w="242" w:type="pct"/>
            <w:shd w:val="clear" w:color="auto" w:fill="auto"/>
            <w:vAlign w:val="center"/>
            <w:hideMark/>
          </w:tcPr>
          <w:p w14:paraId="40277472" w14:textId="77777777" w:rsidR="00D96BF7" w:rsidRPr="00D96BF7" w:rsidRDefault="00D96BF7">
            <w:pPr>
              <w:jc w:val="right"/>
              <w:rPr>
                <w:color w:val="000000"/>
                <w:sz w:val="18"/>
                <w:szCs w:val="18"/>
              </w:rPr>
            </w:pPr>
            <w:r w:rsidRPr="00D96BF7">
              <w:rPr>
                <w:color w:val="000000"/>
                <w:sz w:val="18"/>
                <w:szCs w:val="18"/>
              </w:rPr>
              <w:t>0</w:t>
            </w:r>
          </w:p>
        </w:tc>
        <w:tc>
          <w:tcPr>
            <w:tcW w:w="277" w:type="pct"/>
            <w:shd w:val="clear" w:color="auto" w:fill="auto"/>
            <w:vAlign w:val="center"/>
            <w:hideMark/>
          </w:tcPr>
          <w:p w14:paraId="44AB0025" w14:textId="77777777" w:rsidR="00D96BF7" w:rsidRPr="00D96BF7" w:rsidRDefault="00D96BF7">
            <w:pPr>
              <w:jc w:val="right"/>
              <w:rPr>
                <w:color w:val="000000"/>
                <w:sz w:val="18"/>
                <w:szCs w:val="18"/>
              </w:rPr>
            </w:pPr>
            <w:r w:rsidRPr="00D96BF7">
              <w:rPr>
                <w:color w:val="000000"/>
                <w:sz w:val="18"/>
                <w:szCs w:val="18"/>
              </w:rPr>
              <w:t>0.1</w:t>
            </w:r>
          </w:p>
        </w:tc>
        <w:tc>
          <w:tcPr>
            <w:tcW w:w="313" w:type="pct"/>
            <w:shd w:val="clear" w:color="auto" w:fill="auto"/>
            <w:vAlign w:val="center"/>
            <w:hideMark/>
          </w:tcPr>
          <w:p w14:paraId="6F317743" w14:textId="77777777" w:rsidR="00D96BF7" w:rsidRPr="00D96BF7" w:rsidRDefault="00D96BF7">
            <w:pPr>
              <w:jc w:val="right"/>
              <w:rPr>
                <w:color w:val="000000"/>
                <w:sz w:val="18"/>
                <w:szCs w:val="18"/>
              </w:rPr>
            </w:pPr>
            <w:r w:rsidRPr="00D96BF7">
              <w:rPr>
                <w:color w:val="000000"/>
                <w:sz w:val="18"/>
                <w:szCs w:val="18"/>
              </w:rPr>
              <w:t>0</w:t>
            </w:r>
          </w:p>
        </w:tc>
        <w:tc>
          <w:tcPr>
            <w:tcW w:w="313" w:type="pct"/>
            <w:shd w:val="clear" w:color="auto" w:fill="auto"/>
            <w:vAlign w:val="center"/>
            <w:hideMark/>
          </w:tcPr>
          <w:p w14:paraId="57B92DCA" w14:textId="77777777" w:rsidR="00D96BF7" w:rsidRPr="00D96BF7" w:rsidRDefault="00D96BF7">
            <w:pPr>
              <w:jc w:val="right"/>
              <w:rPr>
                <w:color w:val="000000"/>
                <w:sz w:val="18"/>
                <w:szCs w:val="18"/>
              </w:rPr>
            </w:pPr>
            <w:r w:rsidRPr="00D96BF7">
              <w:rPr>
                <w:color w:val="000000"/>
                <w:sz w:val="18"/>
                <w:szCs w:val="18"/>
              </w:rPr>
              <w:t>0.10</w:t>
            </w:r>
          </w:p>
        </w:tc>
        <w:tc>
          <w:tcPr>
            <w:tcW w:w="243" w:type="pct"/>
            <w:shd w:val="clear" w:color="auto" w:fill="auto"/>
            <w:vAlign w:val="center"/>
            <w:hideMark/>
          </w:tcPr>
          <w:p w14:paraId="761E8050" w14:textId="77777777" w:rsidR="00D96BF7" w:rsidRPr="00D96BF7" w:rsidRDefault="00D96BF7">
            <w:pPr>
              <w:jc w:val="right"/>
              <w:rPr>
                <w:color w:val="000000"/>
                <w:sz w:val="18"/>
                <w:szCs w:val="18"/>
              </w:rPr>
            </w:pPr>
            <w:r w:rsidRPr="00D96BF7">
              <w:rPr>
                <w:color w:val="000000"/>
                <w:sz w:val="18"/>
                <w:szCs w:val="18"/>
              </w:rPr>
              <w:t xml:space="preserve">$5 </w:t>
            </w:r>
          </w:p>
        </w:tc>
        <w:tc>
          <w:tcPr>
            <w:tcW w:w="208" w:type="pct"/>
            <w:shd w:val="clear" w:color="auto" w:fill="auto"/>
            <w:vAlign w:val="center"/>
            <w:hideMark/>
          </w:tcPr>
          <w:p w14:paraId="0B2D666A" w14:textId="77777777" w:rsidR="00D96BF7" w:rsidRPr="00D96BF7" w:rsidRDefault="00D96BF7">
            <w:pPr>
              <w:jc w:val="right"/>
              <w:rPr>
                <w:color w:val="000000"/>
                <w:sz w:val="18"/>
                <w:szCs w:val="18"/>
              </w:rPr>
            </w:pPr>
            <w:r w:rsidRPr="00D96BF7">
              <w:rPr>
                <w:color w:val="000000"/>
                <w:sz w:val="18"/>
                <w:szCs w:val="18"/>
              </w:rPr>
              <w:t xml:space="preserve">$0 </w:t>
            </w:r>
          </w:p>
        </w:tc>
        <w:tc>
          <w:tcPr>
            <w:tcW w:w="244" w:type="pct"/>
            <w:shd w:val="clear" w:color="auto" w:fill="auto"/>
            <w:vAlign w:val="center"/>
            <w:hideMark/>
          </w:tcPr>
          <w:p w14:paraId="67BEB2F8" w14:textId="77777777" w:rsidR="00D96BF7" w:rsidRPr="00D96BF7" w:rsidRDefault="00D96BF7">
            <w:pPr>
              <w:jc w:val="right"/>
              <w:rPr>
                <w:color w:val="000000"/>
                <w:sz w:val="18"/>
                <w:szCs w:val="18"/>
              </w:rPr>
            </w:pPr>
            <w:r w:rsidRPr="00D96BF7">
              <w:rPr>
                <w:color w:val="000000"/>
                <w:sz w:val="18"/>
                <w:szCs w:val="18"/>
              </w:rPr>
              <w:t xml:space="preserve">$0 </w:t>
            </w:r>
          </w:p>
        </w:tc>
        <w:tc>
          <w:tcPr>
            <w:tcW w:w="278" w:type="pct"/>
            <w:shd w:val="clear" w:color="auto" w:fill="auto"/>
            <w:vAlign w:val="center"/>
            <w:hideMark/>
          </w:tcPr>
          <w:p w14:paraId="19E4B25B" w14:textId="77777777" w:rsidR="00D96BF7" w:rsidRPr="00D96BF7" w:rsidRDefault="00D96BF7">
            <w:pPr>
              <w:jc w:val="right"/>
              <w:rPr>
                <w:color w:val="000000"/>
                <w:sz w:val="18"/>
                <w:szCs w:val="18"/>
              </w:rPr>
            </w:pPr>
            <w:r w:rsidRPr="00D96BF7">
              <w:rPr>
                <w:color w:val="000000"/>
                <w:sz w:val="18"/>
                <w:szCs w:val="18"/>
              </w:rPr>
              <w:t>27</w:t>
            </w:r>
          </w:p>
        </w:tc>
        <w:tc>
          <w:tcPr>
            <w:tcW w:w="278" w:type="pct"/>
            <w:shd w:val="clear" w:color="auto" w:fill="auto"/>
            <w:vAlign w:val="center"/>
            <w:hideMark/>
          </w:tcPr>
          <w:p w14:paraId="759B13DD" w14:textId="77777777" w:rsidR="00D96BF7" w:rsidRPr="00D96BF7" w:rsidRDefault="00D96BF7">
            <w:pPr>
              <w:jc w:val="right"/>
              <w:rPr>
                <w:color w:val="000000"/>
                <w:sz w:val="18"/>
                <w:szCs w:val="18"/>
              </w:rPr>
            </w:pPr>
            <w:r w:rsidRPr="00D96BF7">
              <w:rPr>
                <w:color w:val="000000"/>
                <w:sz w:val="18"/>
                <w:szCs w:val="18"/>
              </w:rPr>
              <w:t>27</w:t>
            </w:r>
          </w:p>
        </w:tc>
        <w:tc>
          <w:tcPr>
            <w:tcW w:w="243" w:type="pct"/>
            <w:shd w:val="clear" w:color="auto" w:fill="auto"/>
            <w:vAlign w:val="center"/>
            <w:hideMark/>
          </w:tcPr>
          <w:p w14:paraId="5955F813" w14:textId="77777777" w:rsidR="00D96BF7" w:rsidRPr="00D96BF7" w:rsidRDefault="00D96BF7">
            <w:pPr>
              <w:jc w:val="right"/>
              <w:rPr>
                <w:color w:val="000000"/>
                <w:sz w:val="18"/>
                <w:szCs w:val="18"/>
              </w:rPr>
            </w:pPr>
            <w:r w:rsidRPr="00D96BF7">
              <w:rPr>
                <w:color w:val="000000"/>
                <w:sz w:val="18"/>
                <w:szCs w:val="18"/>
              </w:rPr>
              <w:t>3</w:t>
            </w:r>
          </w:p>
        </w:tc>
        <w:tc>
          <w:tcPr>
            <w:tcW w:w="280" w:type="pct"/>
            <w:shd w:val="clear" w:color="auto" w:fill="auto"/>
            <w:vAlign w:val="center"/>
            <w:hideMark/>
          </w:tcPr>
          <w:p w14:paraId="521AD53B" w14:textId="77777777" w:rsidR="00D96BF7" w:rsidRPr="00D96BF7" w:rsidRDefault="00D96BF7">
            <w:pPr>
              <w:jc w:val="right"/>
              <w:rPr>
                <w:color w:val="000000"/>
                <w:sz w:val="18"/>
                <w:szCs w:val="18"/>
              </w:rPr>
            </w:pPr>
            <w:r w:rsidRPr="00D96BF7">
              <w:rPr>
                <w:color w:val="000000"/>
                <w:sz w:val="18"/>
                <w:szCs w:val="18"/>
              </w:rPr>
              <w:t>3</w:t>
            </w:r>
          </w:p>
        </w:tc>
        <w:tc>
          <w:tcPr>
            <w:tcW w:w="454" w:type="pct"/>
            <w:shd w:val="clear" w:color="auto" w:fill="auto"/>
            <w:vAlign w:val="center"/>
            <w:hideMark/>
          </w:tcPr>
          <w:p w14:paraId="6A731A96" w14:textId="77777777" w:rsidR="00D96BF7" w:rsidRPr="00D96BF7" w:rsidRDefault="00D96BF7">
            <w:pPr>
              <w:jc w:val="right"/>
              <w:rPr>
                <w:sz w:val="18"/>
                <w:szCs w:val="18"/>
              </w:rPr>
            </w:pPr>
            <w:r w:rsidRPr="00D96BF7">
              <w:rPr>
                <w:sz w:val="18"/>
                <w:szCs w:val="18"/>
              </w:rPr>
              <w:t xml:space="preserve">$144 </w:t>
            </w:r>
          </w:p>
        </w:tc>
        <w:tc>
          <w:tcPr>
            <w:tcW w:w="376" w:type="pct"/>
            <w:shd w:val="clear" w:color="auto" w:fill="auto"/>
            <w:vAlign w:val="center"/>
            <w:hideMark/>
          </w:tcPr>
          <w:p w14:paraId="5CCFEABF" w14:textId="77777777" w:rsidR="00D96BF7" w:rsidRPr="00D96BF7" w:rsidRDefault="00D96BF7">
            <w:pPr>
              <w:jc w:val="right"/>
              <w:rPr>
                <w:sz w:val="18"/>
                <w:szCs w:val="18"/>
              </w:rPr>
            </w:pPr>
            <w:r w:rsidRPr="00D96BF7">
              <w:rPr>
                <w:sz w:val="18"/>
                <w:szCs w:val="18"/>
              </w:rPr>
              <w:t xml:space="preserve">$144 </w:t>
            </w:r>
          </w:p>
        </w:tc>
      </w:tr>
      <w:tr w:rsidR="00EC5DA5" w14:paraId="6FF3196E" w14:textId="77777777" w:rsidTr="0070240F">
        <w:trPr>
          <w:trHeight w:val="301"/>
        </w:trPr>
        <w:tc>
          <w:tcPr>
            <w:tcW w:w="992" w:type="pct"/>
            <w:shd w:val="clear" w:color="auto" w:fill="auto"/>
            <w:vAlign w:val="bottom"/>
          </w:tcPr>
          <w:p w14:paraId="69B55309" w14:textId="24D856C6" w:rsidR="00EC5DA5" w:rsidRPr="00D96BF7" w:rsidRDefault="00EC5DA5">
            <w:pPr>
              <w:rPr>
                <w:color w:val="000000"/>
                <w:sz w:val="18"/>
                <w:szCs w:val="18"/>
              </w:rPr>
            </w:pPr>
            <w:r>
              <w:rPr>
                <w:color w:val="000000"/>
                <w:sz w:val="18"/>
                <w:szCs w:val="18"/>
              </w:rPr>
              <w:t xml:space="preserve">Records of </w:t>
            </w:r>
            <w:r w:rsidR="00DD1ADE">
              <w:rPr>
                <w:color w:val="000000"/>
                <w:sz w:val="18"/>
                <w:szCs w:val="18"/>
              </w:rPr>
              <w:t>offsite</w:t>
            </w:r>
            <w:r>
              <w:rPr>
                <w:color w:val="000000"/>
                <w:sz w:val="18"/>
                <w:szCs w:val="18"/>
              </w:rPr>
              <w:t xml:space="preserve"> shipments</w:t>
            </w:r>
          </w:p>
        </w:tc>
        <w:tc>
          <w:tcPr>
            <w:tcW w:w="256" w:type="pct"/>
            <w:shd w:val="clear" w:color="auto" w:fill="auto"/>
            <w:vAlign w:val="center"/>
          </w:tcPr>
          <w:p w14:paraId="6C3F65B8" w14:textId="2FD5452A" w:rsidR="00EC5DA5" w:rsidRPr="00D96BF7" w:rsidRDefault="00EC5DA5">
            <w:pPr>
              <w:jc w:val="right"/>
              <w:rPr>
                <w:color w:val="000000"/>
                <w:sz w:val="18"/>
                <w:szCs w:val="18"/>
              </w:rPr>
            </w:pPr>
            <w:r>
              <w:rPr>
                <w:color w:val="000000"/>
                <w:sz w:val="18"/>
                <w:szCs w:val="18"/>
              </w:rPr>
              <w:t>0</w:t>
            </w:r>
          </w:p>
        </w:tc>
        <w:tc>
          <w:tcPr>
            <w:tcW w:w="242" w:type="pct"/>
            <w:shd w:val="clear" w:color="auto" w:fill="auto"/>
            <w:vAlign w:val="center"/>
          </w:tcPr>
          <w:p w14:paraId="572E41CC" w14:textId="1F7FEB30" w:rsidR="00EC5DA5" w:rsidRPr="00D96BF7" w:rsidRDefault="00EC5DA5">
            <w:pPr>
              <w:jc w:val="right"/>
              <w:rPr>
                <w:color w:val="000000"/>
                <w:sz w:val="18"/>
                <w:szCs w:val="18"/>
              </w:rPr>
            </w:pPr>
            <w:r>
              <w:rPr>
                <w:color w:val="000000"/>
                <w:sz w:val="18"/>
                <w:szCs w:val="18"/>
              </w:rPr>
              <w:t>0</w:t>
            </w:r>
          </w:p>
        </w:tc>
        <w:tc>
          <w:tcPr>
            <w:tcW w:w="277" w:type="pct"/>
            <w:shd w:val="clear" w:color="auto" w:fill="auto"/>
            <w:vAlign w:val="center"/>
          </w:tcPr>
          <w:p w14:paraId="249F15FD" w14:textId="22A038D3" w:rsidR="00EC5DA5" w:rsidRPr="00D96BF7" w:rsidRDefault="00EC5DA5">
            <w:pPr>
              <w:jc w:val="right"/>
              <w:rPr>
                <w:color w:val="000000"/>
                <w:sz w:val="18"/>
                <w:szCs w:val="18"/>
              </w:rPr>
            </w:pPr>
            <w:r>
              <w:rPr>
                <w:color w:val="000000"/>
                <w:sz w:val="18"/>
                <w:szCs w:val="18"/>
              </w:rPr>
              <w:t>0.1</w:t>
            </w:r>
          </w:p>
        </w:tc>
        <w:tc>
          <w:tcPr>
            <w:tcW w:w="313" w:type="pct"/>
            <w:shd w:val="clear" w:color="auto" w:fill="auto"/>
            <w:vAlign w:val="center"/>
          </w:tcPr>
          <w:p w14:paraId="061B4D73" w14:textId="5862786C" w:rsidR="00EC5DA5" w:rsidRPr="00D96BF7" w:rsidRDefault="00EC5DA5">
            <w:pPr>
              <w:jc w:val="right"/>
              <w:rPr>
                <w:color w:val="000000"/>
                <w:sz w:val="18"/>
                <w:szCs w:val="18"/>
              </w:rPr>
            </w:pPr>
            <w:r>
              <w:rPr>
                <w:color w:val="000000"/>
                <w:sz w:val="18"/>
                <w:szCs w:val="18"/>
              </w:rPr>
              <w:t>0</w:t>
            </w:r>
          </w:p>
        </w:tc>
        <w:tc>
          <w:tcPr>
            <w:tcW w:w="313" w:type="pct"/>
            <w:shd w:val="clear" w:color="auto" w:fill="auto"/>
            <w:vAlign w:val="center"/>
          </w:tcPr>
          <w:p w14:paraId="6076F3A4" w14:textId="540326DA" w:rsidR="00EC5DA5" w:rsidRPr="00D96BF7" w:rsidRDefault="00EC5DA5">
            <w:pPr>
              <w:jc w:val="right"/>
              <w:rPr>
                <w:color w:val="000000"/>
                <w:sz w:val="18"/>
                <w:szCs w:val="18"/>
              </w:rPr>
            </w:pPr>
            <w:r>
              <w:rPr>
                <w:color w:val="000000"/>
                <w:sz w:val="18"/>
                <w:szCs w:val="18"/>
              </w:rPr>
              <w:t>0.10</w:t>
            </w:r>
          </w:p>
        </w:tc>
        <w:tc>
          <w:tcPr>
            <w:tcW w:w="243" w:type="pct"/>
            <w:shd w:val="clear" w:color="auto" w:fill="auto"/>
            <w:vAlign w:val="center"/>
          </w:tcPr>
          <w:p w14:paraId="4E6DC3A1" w14:textId="59F3D886" w:rsidR="00EC5DA5" w:rsidRPr="00D96BF7" w:rsidRDefault="00EC5DA5">
            <w:pPr>
              <w:jc w:val="right"/>
              <w:rPr>
                <w:color w:val="000000"/>
                <w:sz w:val="18"/>
                <w:szCs w:val="18"/>
              </w:rPr>
            </w:pPr>
            <w:r>
              <w:rPr>
                <w:color w:val="000000"/>
                <w:sz w:val="18"/>
                <w:szCs w:val="18"/>
              </w:rPr>
              <w:t>$5</w:t>
            </w:r>
          </w:p>
        </w:tc>
        <w:tc>
          <w:tcPr>
            <w:tcW w:w="208" w:type="pct"/>
            <w:shd w:val="clear" w:color="auto" w:fill="auto"/>
            <w:vAlign w:val="center"/>
          </w:tcPr>
          <w:p w14:paraId="63F6C44A" w14:textId="75EF343B" w:rsidR="00EC5DA5" w:rsidRPr="00D96BF7" w:rsidRDefault="00EC5DA5">
            <w:pPr>
              <w:jc w:val="right"/>
              <w:rPr>
                <w:color w:val="000000"/>
                <w:sz w:val="18"/>
                <w:szCs w:val="18"/>
              </w:rPr>
            </w:pPr>
            <w:r>
              <w:rPr>
                <w:color w:val="000000"/>
                <w:sz w:val="18"/>
                <w:szCs w:val="18"/>
              </w:rPr>
              <w:t>$0</w:t>
            </w:r>
          </w:p>
        </w:tc>
        <w:tc>
          <w:tcPr>
            <w:tcW w:w="244" w:type="pct"/>
            <w:shd w:val="clear" w:color="auto" w:fill="auto"/>
            <w:vAlign w:val="center"/>
          </w:tcPr>
          <w:p w14:paraId="0CD52BB2" w14:textId="47833A2A" w:rsidR="00EC5DA5" w:rsidRPr="00D96BF7" w:rsidRDefault="00EC5DA5">
            <w:pPr>
              <w:jc w:val="right"/>
              <w:rPr>
                <w:color w:val="000000"/>
                <w:sz w:val="18"/>
                <w:szCs w:val="18"/>
              </w:rPr>
            </w:pPr>
            <w:r>
              <w:rPr>
                <w:color w:val="000000"/>
                <w:sz w:val="18"/>
                <w:szCs w:val="18"/>
              </w:rPr>
              <w:t>$0</w:t>
            </w:r>
          </w:p>
        </w:tc>
        <w:tc>
          <w:tcPr>
            <w:tcW w:w="278" w:type="pct"/>
            <w:shd w:val="clear" w:color="auto" w:fill="auto"/>
            <w:vAlign w:val="center"/>
          </w:tcPr>
          <w:p w14:paraId="68F9F2D9" w14:textId="395EC4A2" w:rsidR="00EC5DA5" w:rsidRPr="00D96BF7" w:rsidRDefault="00EC5DA5">
            <w:pPr>
              <w:jc w:val="right"/>
              <w:rPr>
                <w:color w:val="000000"/>
                <w:sz w:val="18"/>
                <w:szCs w:val="18"/>
              </w:rPr>
            </w:pPr>
            <w:r>
              <w:rPr>
                <w:color w:val="000000"/>
                <w:sz w:val="18"/>
                <w:szCs w:val="18"/>
              </w:rPr>
              <w:t>2,021</w:t>
            </w:r>
          </w:p>
        </w:tc>
        <w:tc>
          <w:tcPr>
            <w:tcW w:w="278" w:type="pct"/>
            <w:shd w:val="clear" w:color="auto" w:fill="auto"/>
            <w:vAlign w:val="center"/>
          </w:tcPr>
          <w:p w14:paraId="57E66EF5" w14:textId="0483A54E" w:rsidR="00EC5DA5" w:rsidRPr="00D96BF7" w:rsidRDefault="00EC5DA5">
            <w:pPr>
              <w:jc w:val="right"/>
              <w:rPr>
                <w:color w:val="000000"/>
                <w:sz w:val="18"/>
                <w:szCs w:val="18"/>
              </w:rPr>
            </w:pPr>
            <w:r>
              <w:rPr>
                <w:color w:val="000000"/>
                <w:sz w:val="18"/>
                <w:szCs w:val="18"/>
              </w:rPr>
              <w:t>2,269</w:t>
            </w:r>
          </w:p>
        </w:tc>
        <w:tc>
          <w:tcPr>
            <w:tcW w:w="243" w:type="pct"/>
            <w:shd w:val="clear" w:color="auto" w:fill="auto"/>
            <w:vAlign w:val="center"/>
          </w:tcPr>
          <w:p w14:paraId="3E3B9E12" w14:textId="4582CE0D" w:rsidR="00EC5DA5" w:rsidRPr="00D96BF7" w:rsidRDefault="00EC5DA5">
            <w:pPr>
              <w:jc w:val="right"/>
              <w:rPr>
                <w:color w:val="000000"/>
                <w:sz w:val="18"/>
                <w:szCs w:val="18"/>
              </w:rPr>
            </w:pPr>
            <w:r>
              <w:rPr>
                <w:color w:val="000000"/>
                <w:sz w:val="18"/>
                <w:szCs w:val="18"/>
              </w:rPr>
              <w:t>202</w:t>
            </w:r>
          </w:p>
        </w:tc>
        <w:tc>
          <w:tcPr>
            <w:tcW w:w="280" w:type="pct"/>
            <w:shd w:val="clear" w:color="auto" w:fill="auto"/>
            <w:vAlign w:val="center"/>
          </w:tcPr>
          <w:p w14:paraId="102BF60E" w14:textId="654FC200" w:rsidR="00EC5DA5" w:rsidRPr="00D96BF7" w:rsidRDefault="00EC5DA5">
            <w:pPr>
              <w:jc w:val="right"/>
              <w:rPr>
                <w:color w:val="000000"/>
                <w:sz w:val="18"/>
                <w:szCs w:val="18"/>
              </w:rPr>
            </w:pPr>
            <w:r>
              <w:rPr>
                <w:color w:val="000000"/>
                <w:sz w:val="18"/>
                <w:szCs w:val="18"/>
              </w:rPr>
              <w:t>227</w:t>
            </w:r>
          </w:p>
        </w:tc>
        <w:tc>
          <w:tcPr>
            <w:tcW w:w="454" w:type="pct"/>
            <w:shd w:val="clear" w:color="auto" w:fill="auto"/>
            <w:vAlign w:val="center"/>
          </w:tcPr>
          <w:p w14:paraId="018B1E94" w14:textId="5C86CD73" w:rsidR="00EC5DA5" w:rsidRPr="00D96BF7" w:rsidRDefault="00EC5DA5">
            <w:pPr>
              <w:jc w:val="right"/>
              <w:rPr>
                <w:sz w:val="18"/>
                <w:szCs w:val="18"/>
              </w:rPr>
            </w:pPr>
            <w:r>
              <w:rPr>
                <w:sz w:val="18"/>
                <w:szCs w:val="18"/>
              </w:rPr>
              <w:t>$10,762</w:t>
            </w:r>
          </w:p>
        </w:tc>
        <w:tc>
          <w:tcPr>
            <w:tcW w:w="376" w:type="pct"/>
            <w:shd w:val="clear" w:color="auto" w:fill="auto"/>
            <w:vAlign w:val="center"/>
          </w:tcPr>
          <w:p w14:paraId="5120BCAD" w14:textId="045CD36A" w:rsidR="00EC5DA5" w:rsidRPr="00D96BF7" w:rsidRDefault="00EC5DA5">
            <w:pPr>
              <w:jc w:val="right"/>
              <w:rPr>
                <w:sz w:val="18"/>
                <w:szCs w:val="18"/>
              </w:rPr>
            </w:pPr>
            <w:r>
              <w:rPr>
                <w:sz w:val="18"/>
                <w:szCs w:val="18"/>
              </w:rPr>
              <w:t>$12,082</w:t>
            </w:r>
          </w:p>
        </w:tc>
      </w:tr>
      <w:tr w:rsidR="0070240F" w14:paraId="17884EC0" w14:textId="77777777" w:rsidTr="0070240F">
        <w:trPr>
          <w:trHeight w:val="255"/>
        </w:trPr>
        <w:tc>
          <w:tcPr>
            <w:tcW w:w="992" w:type="pct"/>
            <w:shd w:val="clear" w:color="000000" w:fill="D9D9D9"/>
            <w:noWrap/>
            <w:vAlign w:val="bottom"/>
            <w:hideMark/>
          </w:tcPr>
          <w:p w14:paraId="167C0D7A" w14:textId="77777777" w:rsidR="00D96BF7" w:rsidRPr="00D96BF7" w:rsidRDefault="00D96BF7">
            <w:pPr>
              <w:rPr>
                <w:color w:val="000000"/>
                <w:sz w:val="18"/>
                <w:szCs w:val="18"/>
              </w:rPr>
            </w:pPr>
            <w:r w:rsidRPr="00D96BF7">
              <w:rPr>
                <w:color w:val="000000"/>
                <w:sz w:val="18"/>
                <w:szCs w:val="18"/>
              </w:rPr>
              <w:t>Manifests and Shipping</w:t>
            </w:r>
          </w:p>
        </w:tc>
        <w:tc>
          <w:tcPr>
            <w:tcW w:w="256" w:type="pct"/>
            <w:shd w:val="clear" w:color="000000" w:fill="D9D9D9"/>
            <w:noWrap/>
            <w:vAlign w:val="bottom"/>
            <w:hideMark/>
          </w:tcPr>
          <w:p w14:paraId="301DC5CE" w14:textId="77777777" w:rsidR="00D96BF7" w:rsidRPr="00D96BF7" w:rsidRDefault="00D96BF7">
            <w:pPr>
              <w:rPr>
                <w:color w:val="000000"/>
                <w:sz w:val="18"/>
                <w:szCs w:val="18"/>
              </w:rPr>
            </w:pPr>
            <w:r w:rsidRPr="00D96BF7">
              <w:rPr>
                <w:color w:val="000000"/>
                <w:sz w:val="18"/>
                <w:szCs w:val="18"/>
              </w:rPr>
              <w:t> </w:t>
            </w:r>
          </w:p>
        </w:tc>
        <w:tc>
          <w:tcPr>
            <w:tcW w:w="242" w:type="pct"/>
            <w:shd w:val="clear" w:color="000000" w:fill="D9D9D9"/>
            <w:noWrap/>
            <w:vAlign w:val="bottom"/>
            <w:hideMark/>
          </w:tcPr>
          <w:p w14:paraId="013A4A6E" w14:textId="77777777" w:rsidR="00D96BF7" w:rsidRPr="00D96BF7" w:rsidRDefault="00D96BF7">
            <w:pPr>
              <w:rPr>
                <w:color w:val="000000"/>
                <w:sz w:val="18"/>
                <w:szCs w:val="18"/>
              </w:rPr>
            </w:pPr>
            <w:r w:rsidRPr="00D96BF7">
              <w:rPr>
                <w:color w:val="000000"/>
                <w:sz w:val="18"/>
                <w:szCs w:val="18"/>
              </w:rPr>
              <w:t> </w:t>
            </w:r>
          </w:p>
        </w:tc>
        <w:tc>
          <w:tcPr>
            <w:tcW w:w="277" w:type="pct"/>
            <w:shd w:val="clear" w:color="000000" w:fill="D9D9D9"/>
            <w:noWrap/>
            <w:vAlign w:val="bottom"/>
            <w:hideMark/>
          </w:tcPr>
          <w:p w14:paraId="3446023A" w14:textId="77777777" w:rsidR="00D96BF7" w:rsidRPr="00D96BF7" w:rsidRDefault="00D96BF7">
            <w:pPr>
              <w:rPr>
                <w:color w:val="000000"/>
                <w:sz w:val="18"/>
                <w:szCs w:val="18"/>
              </w:rPr>
            </w:pPr>
            <w:r w:rsidRPr="00D96BF7">
              <w:rPr>
                <w:color w:val="000000"/>
                <w:sz w:val="18"/>
                <w:szCs w:val="18"/>
              </w:rPr>
              <w:t> </w:t>
            </w:r>
          </w:p>
        </w:tc>
        <w:tc>
          <w:tcPr>
            <w:tcW w:w="313" w:type="pct"/>
            <w:shd w:val="clear" w:color="000000" w:fill="D9D9D9"/>
            <w:noWrap/>
            <w:vAlign w:val="bottom"/>
            <w:hideMark/>
          </w:tcPr>
          <w:p w14:paraId="7CD0419C" w14:textId="77777777" w:rsidR="00D96BF7" w:rsidRPr="00D96BF7" w:rsidRDefault="00D96BF7">
            <w:pPr>
              <w:rPr>
                <w:color w:val="000000"/>
                <w:sz w:val="18"/>
                <w:szCs w:val="18"/>
              </w:rPr>
            </w:pPr>
            <w:r w:rsidRPr="00D96BF7">
              <w:rPr>
                <w:color w:val="000000"/>
                <w:sz w:val="18"/>
                <w:szCs w:val="18"/>
              </w:rPr>
              <w:t> </w:t>
            </w:r>
          </w:p>
        </w:tc>
        <w:tc>
          <w:tcPr>
            <w:tcW w:w="313" w:type="pct"/>
            <w:shd w:val="clear" w:color="000000" w:fill="D9D9D9"/>
            <w:noWrap/>
            <w:vAlign w:val="bottom"/>
            <w:hideMark/>
          </w:tcPr>
          <w:p w14:paraId="5C720182" w14:textId="77777777" w:rsidR="00D96BF7" w:rsidRPr="00D96BF7" w:rsidRDefault="00D96BF7">
            <w:pPr>
              <w:rPr>
                <w:color w:val="000000"/>
                <w:sz w:val="18"/>
                <w:szCs w:val="18"/>
              </w:rPr>
            </w:pPr>
            <w:r w:rsidRPr="00D96BF7">
              <w:rPr>
                <w:color w:val="000000"/>
                <w:sz w:val="18"/>
                <w:szCs w:val="18"/>
              </w:rPr>
              <w:t> </w:t>
            </w:r>
          </w:p>
        </w:tc>
        <w:tc>
          <w:tcPr>
            <w:tcW w:w="243" w:type="pct"/>
            <w:shd w:val="clear" w:color="000000" w:fill="D9D9D9"/>
            <w:noWrap/>
            <w:vAlign w:val="bottom"/>
            <w:hideMark/>
          </w:tcPr>
          <w:p w14:paraId="1CB0B5D1" w14:textId="77777777" w:rsidR="00D96BF7" w:rsidRPr="00D96BF7" w:rsidRDefault="00D96BF7">
            <w:pPr>
              <w:rPr>
                <w:color w:val="000000"/>
                <w:sz w:val="18"/>
                <w:szCs w:val="18"/>
              </w:rPr>
            </w:pPr>
            <w:r w:rsidRPr="00D96BF7">
              <w:rPr>
                <w:color w:val="000000"/>
                <w:sz w:val="18"/>
                <w:szCs w:val="18"/>
              </w:rPr>
              <w:t> </w:t>
            </w:r>
          </w:p>
        </w:tc>
        <w:tc>
          <w:tcPr>
            <w:tcW w:w="208" w:type="pct"/>
            <w:shd w:val="clear" w:color="000000" w:fill="D9D9D9"/>
            <w:vAlign w:val="center"/>
            <w:hideMark/>
          </w:tcPr>
          <w:p w14:paraId="423BC162" w14:textId="77777777" w:rsidR="00D96BF7" w:rsidRPr="00D96BF7" w:rsidRDefault="00D96BF7">
            <w:pPr>
              <w:jc w:val="right"/>
              <w:rPr>
                <w:color w:val="000000"/>
                <w:sz w:val="18"/>
                <w:szCs w:val="18"/>
              </w:rPr>
            </w:pPr>
            <w:r w:rsidRPr="00D96BF7">
              <w:rPr>
                <w:color w:val="000000"/>
                <w:sz w:val="18"/>
                <w:szCs w:val="18"/>
              </w:rPr>
              <w:t> </w:t>
            </w:r>
          </w:p>
        </w:tc>
        <w:tc>
          <w:tcPr>
            <w:tcW w:w="244" w:type="pct"/>
            <w:shd w:val="clear" w:color="000000" w:fill="D9D9D9"/>
            <w:noWrap/>
            <w:vAlign w:val="bottom"/>
            <w:hideMark/>
          </w:tcPr>
          <w:p w14:paraId="097697C2" w14:textId="77777777" w:rsidR="00D96BF7" w:rsidRPr="00D96BF7" w:rsidRDefault="00D96BF7">
            <w:pPr>
              <w:rPr>
                <w:color w:val="000000"/>
                <w:sz w:val="18"/>
                <w:szCs w:val="18"/>
              </w:rPr>
            </w:pPr>
            <w:r w:rsidRPr="00D96BF7">
              <w:rPr>
                <w:color w:val="000000"/>
                <w:sz w:val="18"/>
                <w:szCs w:val="18"/>
              </w:rPr>
              <w:t> </w:t>
            </w:r>
          </w:p>
        </w:tc>
        <w:tc>
          <w:tcPr>
            <w:tcW w:w="278" w:type="pct"/>
            <w:shd w:val="clear" w:color="000000" w:fill="D9D9D9"/>
            <w:noWrap/>
            <w:vAlign w:val="bottom"/>
            <w:hideMark/>
          </w:tcPr>
          <w:p w14:paraId="25A8A813" w14:textId="77777777" w:rsidR="00D96BF7" w:rsidRPr="00D96BF7" w:rsidRDefault="00D96BF7">
            <w:pPr>
              <w:rPr>
                <w:color w:val="000000"/>
                <w:sz w:val="18"/>
                <w:szCs w:val="18"/>
              </w:rPr>
            </w:pPr>
            <w:r w:rsidRPr="00D96BF7">
              <w:rPr>
                <w:color w:val="000000"/>
                <w:sz w:val="18"/>
                <w:szCs w:val="18"/>
              </w:rPr>
              <w:t> </w:t>
            </w:r>
          </w:p>
        </w:tc>
        <w:tc>
          <w:tcPr>
            <w:tcW w:w="278" w:type="pct"/>
            <w:shd w:val="clear" w:color="000000" w:fill="D9D9D9"/>
            <w:noWrap/>
            <w:vAlign w:val="bottom"/>
            <w:hideMark/>
          </w:tcPr>
          <w:p w14:paraId="52449607" w14:textId="77777777" w:rsidR="00D96BF7" w:rsidRPr="00D96BF7" w:rsidRDefault="00D96BF7">
            <w:pPr>
              <w:rPr>
                <w:color w:val="000000"/>
                <w:sz w:val="18"/>
                <w:szCs w:val="18"/>
              </w:rPr>
            </w:pPr>
            <w:r w:rsidRPr="00D96BF7">
              <w:rPr>
                <w:color w:val="000000"/>
                <w:sz w:val="18"/>
                <w:szCs w:val="18"/>
              </w:rPr>
              <w:t> </w:t>
            </w:r>
          </w:p>
        </w:tc>
        <w:tc>
          <w:tcPr>
            <w:tcW w:w="243" w:type="pct"/>
            <w:shd w:val="clear" w:color="000000" w:fill="D9D9D9"/>
            <w:noWrap/>
            <w:vAlign w:val="bottom"/>
            <w:hideMark/>
          </w:tcPr>
          <w:p w14:paraId="2C3C5C11" w14:textId="77777777" w:rsidR="00D96BF7" w:rsidRPr="00D96BF7" w:rsidRDefault="00D96BF7">
            <w:pPr>
              <w:rPr>
                <w:color w:val="000000"/>
                <w:sz w:val="18"/>
                <w:szCs w:val="18"/>
              </w:rPr>
            </w:pPr>
            <w:r w:rsidRPr="00D96BF7">
              <w:rPr>
                <w:color w:val="000000"/>
                <w:sz w:val="18"/>
                <w:szCs w:val="18"/>
              </w:rPr>
              <w:t> </w:t>
            </w:r>
          </w:p>
        </w:tc>
        <w:tc>
          <w:tcPr>
            <w:tcW w:w="280" w:type="pct"/>
            <w:shd w:val="clear" w:color="000000" w:fill="D9D9D9"/>
            <w:noWrap/>
            <w:vAlign w:val="bottom"/>
            <w:hideMark/>
          </w:tcPr>
          <w:p w14:paraId="22A4C3A1" w14:textId="77777777" w:rsidR="00D96BF7" w:rsidRPr="00D96BF7" w:rsidRDefault="00D96BF7">
            <w:pPr>
              <w:rPr>
                <w:color w:val="000000"/>
                <w:sz w:val="18"/>
                <w:szCs w:val="18"/>
              </w:rPr>
            </w:pPr>
            <w:r w:rsidRPr="00D96BF7">
              <w:rPr>
                <w:color w:val="000000"/>
                <w:sz w:val="18"/>
                <w:szCs w:val="18"/>
              </w:rPr>
              <w:t> </w:t>
            </w:r>
          </w:p>
        </w:tc>
        <w:tc>
          <w:tcPr>
            <w:tcW w:w="454" w:type="pct"/>
            <w:shd w:val="clear" w:color="000000" w:fill="D9D9D9"/>
            <w:noWrap/>
            <w:vAlign w:val="bottom"/>
            <w:hideMark/>
          </w:tcPr>
          <w:p w14:paraId="25F1CDF5" w14:textId="77777777" w:rsidR="00D96BF7" w:rsidRPr="00D96BF7" w:rsidRDefault="00D96BF7">
            <w:pPr>
              <w:rPr>
                <w:color w:val="000000"/>
                <w:sz w:val="18"/>
                <w:szCs w:val="18"/>
              </w:rPr>
            </w:pPr>
            <w:r w:rsidRPr="00D96BF7">
              <w:rPr>
                <w:color w:val="000000"/>
                <w:sz w:val="18"/>
                <w:szCs w:val="18"/>
              </w:rPr>
              <w:t> </w:t>
            </w:r>
          </w:p>
        </w:tc>
        <w:tc>
          <w:tcPr>
            <w:tcW w:w="376" w:type="pct"/>
            <w:shd w:val="clear" w:color="000000" w:fill="D9D9D9"/>
            <w:noWrap/>
            <w:vAlign w:val="bottom"/>
            <w:hideMark/>
          </w:tcPr>
          <w:p w14:paraId="4876FB02" w14:textId="77777777" w:rsidR="00D96BF7" w:rsidRPr="00D96BF7" w:rsidRDefault="00D96BF7">
            <w:pPr>
              <w:rPr>
                <w:color w:val="000000"/>
                <w:sz w:val="18"/>
                <w:szCs w:val="18"/>
              </w:rPr>
            </w:pPr>
            <w:r w:rsidRPr="00D96BF7">
              <w:rPr>
                <w:color w:val="000000"/>
                <w:sz w:val="18"/>
                <w:szCs w:val="18"/>
              </w:rPr>
              <w:t> </w:t>
            </w:r>
          </w:p>
        </w:tc>
      </w:tr>
      <w:tr w:rsidR="0070240F" w14:paraId="32E21554" w14:textId="77777777" w:rsidTr="0070240F">
        <w:trPr>
          <w:trHeight w:val="301"/>
        </w:trPr>
        <w:tc>
          <w:tcPr>
            <w:tcW w:w="992" w:type="pct"/>
            <w:shd w:val="clear" w:color="auto" w:fill="auto"/>
            <w:vAlign w:val="bottom"/>
            <w:hideMark/>
          </w:tcPr>
          <w:p w14:paraId="6341D91D" w14:textId="77777777" w:rsidR="00D96BF7" w:rsidRPr="00D96BF7" w:rsidRDefault="00D96BF7">
            <w:pPr>
              <w:rPr>
                <w:color w:val="000000"/>
                <w:sz w:val="18"/>
                <w:szCs w:val="18"/>
              </w:rPr>
            </w:pPr>
            <w:r w:rsidRPr="00D96BF7">
              <w:rPr>
                <w:color w:val="000000"/>
                <w:sz w:val="18"/>
                <w:szCs w:val="18"/>
              </w:rPr>
              <w:t>Complete manifest with no waste codes</w:t>
            </w:r>
          </w:p>
        </w:tc>
        <w:tc>
          <w:tcPr>
            <w:tcW w:w="256" w:type="pct"/>
            <w:shd w:val="clear" w:color="auto" w:fill="auto"/>
            <w:vAlign w:val="center"/>
            <w:hideMark/>
          </w:tcPr>
          <w:p w14:paraId="703324AB" w14:textId="77777777" w:rsidR="00D96BF7" w:rsidRPr="00D96BF7" w:rsidRDefault="00D96BF7">
            <w:pPr>
              <w:jc w:val="right"/>
              <w:rPr>
                <w:color w:val="000000"/>
                <w:sz w:val="18"/>
                <w:szCs w:val="18"/>
              </w:rPr>
            </w:pPr>
            <w:r w:rsidRPr="00D96BF7">
              <w:rPr>
                <w:color w:val="000000"/>
                <w:sz w:val="18"/>
                <w:szCs w:val="18"/>
              </w:rPr>
              <w:t>0</w:t>
            </w:r>
          </w:p>
        </w:tc>
        <w:tc>
          <w:tcPr>
            <w:tcW w:w="242" w:type="pct"/>
            <w:shd w:val="clear" w:color="auto" w:fill="auto"/>
            <w:vAlign w:val="center"/>
            <w:hideMark/>
          </w:tcPr>
          <w:p w14:paraId="7512ACFA" w14:textId="77777777" w:rsidR="00D96BF7" w:rsidRPr="00D96BF7" w:rsidRDefault="00D96BF7">
            <w:pPr>
              <w:jc w:val="right"/>
              <w:rPr>
                <w:color w:val="000000"/>
                <w:sz w:val="18"/>
                <w:szCs w:val="18"/>
              </w:rPr>
            </w:pPr>
            <w:r w:rsidRPr="00D96BF7">
              <w:rPr>
                <w:color w:val="000000"/>
                <w:sz w:val="18"/>
                <w:szCs w:val="18"/>
              </w:rPr>
              <w:t>0</w:t>
            </w:r>
          </w:p>
        </w:tc>
        <w:tc>
          <w:tcPr>
            <w:tcW w:w="277" w:type="pct"/>
            <w:shd w:val="clear" w:color="auto" w:fill="auto"/>
            <w:vAlign w:val="center"/>
            <w:hideMark/>
          </w:tcPr>
          <w:p w14:paraId="6882F292" w14:textId="77777777" w:rsidR="00D96BF7" w:rsidRPr="00D96BF7" w:rsidRDefault="00D96BF7">
            <w:pPr>
              <w:jc w:val="right"/>
              <w:rPr>
                <w:color w:val="000000"/>
                <w:sz w:val="18"/>
                <w:szCs w:val="18"/>
              </w:rPr>
            </w:pPr>
            <w:r w:rsidRPr="00D96BF7">
              <w:rPr>
                <w:color w:val="000000"/>
                <w:sz w:val="18"/>
                <w:szCs w:val="18"/>
              </w:rPr>
              <w:t>0.31</w:t>
            </w:r>
          </w:p>
        </w:tc>
        <w:tc>
          <w:tcPr>
            <w:tcW w:w="313" w:type="pct"/>
            <w:shd w:val="clear" w:color="auto" w:fill="auto"/>
            <w:vAlign w:val="center"/>
            <w:hideMark/>
          </w:tcPr>
          <w:p w14:paraId="02A0BFB5" w14:textId="77777777" w:rsidR="00D96BF7" w:rsidRPr="00D96BF7" w:rsidRDefault="00D96BF7">
            <w:pPr>
              <w:jc w:val="right"/>
              <w:rPr>
                <w:color w:val="000000"/>
                <w:sz w:val="18"/>
                <w:szCs w:val="18"/>
              </w:rPr>
            </w:pPr>
            <w:r w:rsidRPr="00D96BF7">
              <w:rPr>
                <w:color w:val="000000"/>
                <w:sz w:val="18"/>
                <w:szCs w:val="18"/>
              </w:rPr>
              <w:t>0.21</w:t>
            </w:r>
          </w:p>
        </w:tc>
        <w:tc>
          <w:tcPr>
            <w:tcW w:w="313" w:type="pct"/>
            <w:shd w:val="clear" w:color="auto" w:fill="auto"/>
            <w:vAlign w:val="center"/>
            <w:hideMark/>
          </w:tcPr>
          <w:p w14:paraId="6BE72F1C" w14:textId="77777777" w:rsidR="00D96BF7" w:rsidRPr="00D96BF7" w:rsidRDefault="00D96BF7">
            <w:pPr>
              <w:jc w:val="right"/>
              <w:rPr>
                <w:color w:val="000000"/>
                <w:sz w:val="18"/>
                <w:szCs w:val="18"/>
              </w:rPr>
            </w:pPr>
            <w:r w:rsidRPr="00D96BF7">
              <w:rPr>
                <w:color w:val="000000"/>
                <w:sz w:val="18"/>
                <w:szCs w:val="18"/>
              </w:rPr>
              <w:t>0.52</w:t>
            </w:r>
          </w:p>
        </w:tc>
        <w:tc>
          <w:tcPr>
            <w:tcW w:w="243" w:type="pct"/>
            <w:shd w:val="clear" w:color="auto" w:fill="auto"/>
            <w:vAlign w:val="center"/>
            <w:hideMark/>
          </w:tcPr>
          <w:p w14:paraId="1F073365" w14:textId="77777777" w:rsidR="00D96BF7" w:rsidRPr="00D96BF7" w:rsidRDefault="00D96BF7">
            <w:pPr>
              <w:jc w:val="right"/>
              <w:rPr>
                <w:color w:val="000000"/>
                <w:sz w:val="18"/>
                <w:szCs w:val="18"/>
              </w:rPr>
            </w:pPr>
            <w:r w:rsidRPr="00D96BF7">
              <w:rPr>
                <w:color w:val="000000"/>
                <w:sz w:val="18"/>
                <w:szCs w:val="18"/>
              </w:rPr>
              <w:t xml:space="preserve">$23 </w:t>
            </w:r>
          </w:p>
        </w:tc>
        <w:tc>
          <w:tcPr>
            <w:tcW w:w="208" w:type="pct"/>
            <w:shd w:val="clear" w:color="auto" w:fill="auto"/>
            <w:vAlign w:val="center"/>
            <w:hideMark/>
          </w:tcPr>
          <w:p w14:paraId="724B7B96" w14:textId="77777777" w:rsidR="00D96BF7" w:rsidRPr="00D96BF7" w:rsidRDefault="00D96BF7">
            <w:pPr>
              <w:jc w:val="right"/>
              <w:rPr>
                <w:color w:val="000000"/>
                <w:sz w:val="18"/>
                <w:szCs w:val="18"/>
              </w:rPr>
            </w:pPr>
            <w:r w:rsidRPr="00D96BF7">
              <w:rPr>
                <w:color w:val="000000"/>
                <w:sz w:val="18"/>
                <w:szCs w:val="18"/>
              </w:rPr>
              <w:t xml:space="preserve">$0 </w:t>
            </w:r>
          </w:p>
        </w:tc>
        <w:tc>
          <w:tcPr>
            <w:tcW w:w="244" w:type="pct"/>
            <w:shd w:val="clear" w:color="auto" w:fill="auto"/>
            <w:vAlign w:val="center"/>
            <w:hideMark/>
          </w:tcPr>
          <w:p w14:paraId="54D117C9" w14:textId="77777777" w:rsidR="00D96BF7" w:rsidRPr="00D96BF7" w:rsidRDefault="00D96BF7">
            <w:pPr>
              <w:jc w:val="right"/>
              <w:rPr>
                <w:color w:val="000000"/>
                <w:sz w:val="18"/>
                <w:szCs w:val="18"/>
              </w:rPr>
            </w:pPr>
            <w:r w:rsidRPr="00D96BF7">
              <w:rPr>
                <w:color w:val="000000"/>
                <w:sz w:val="18"/>
                <w:szCs w:val="18"/>
              </w:rPr>
              <w:t xml:space="preserve">$0 </w:t>
            </w:r>
          </w:p>
        </w:tc>
        <w:tc>
          <w:tcPr>
            <w:tcW w:w="278" w:type="pct"/>
            <w:shd w:val="clear" w:color="auto" w:fill="auto"/>
            <w:noWrap/>
            <w:vAlign w:val="bottom"/>
            <w:hideMark/>
          </w:tcPr>
          <w:p w14:paraId="748A623E" w14:textId="77777777" w:rsidR="00D96BF7" w:rsidRPr="00D96BF7" w:rsidRDefault="00D96BF7">
            <w:pPr>
              <w:jc w:val="right"/>
              <w:rPr>
                <w:color w:val="000000"/>
                <w:sz w:val="18"/>
                <w:szCs w:val="18"/>
              </w:rPr>
            </w:pPr>
            <w:r w:rsidRPr="00D96BF7">
              <w:rPr>
                <w:color w:val="000000"/>
                <w:sz w:val="18"/>
                <w:szCs w:val="18"/>
              </w:rPr>
              <w:t>11889</w:t>
            </w:r>
          </w:p>
        </w:tc>
        <w:tc>
          <w:tcPr>
            <w:tcW w:w="278" w:type="pct"/>
            <w:shd w:val="clear" w:color="auto" w:fill="auto"/>
            <w:noWrap/>
            <w:vAlign w:val="bottom"/>
            <w:hideMark/>
          </w:tcPr>
          <w:p w14:paraId="7BE7D7C3" w14:textId="77777777" w:rsidR="00D96BF7" w:rsidRPr="00D96BF7" w:rsidRDefault="00D96BF7">
            <w:pPr>
              <w:jc w:val="right"/>
              <w:rPr>
                <w:color w:val="000000"/>
                <w:sz w:val="18"/>
                <w:szCs w:val="18"/>
              </w:rPr>
            </w:pPr>
            <w:r w:rsidRPr="00D96BF7">
              <w:rPr>
                <w:color w:val="000000"/>
                <w:sz w:val="18"/>
                <w:szCs w:val="18"/>
              </w:rPr>
              <w:t>13346</w:t>
            </w:r>
          </w:p>
        </w:tc>
        <w:tc>
          <w:tcPr>
            <w:tcW w:w="243" w:type="pct"/>
            <w:shd w:val="clear" w:color="auto" w:fill="auto"/>
            <w:vAlign w:val="center"/>
            <w:hideMark/>
          </w:tcPr>
          <w:p w14:paraId="084D3BC5" w14:textId="77777777" w:rsidR="00D96BF7" w:rsidRPr="00D96BF7" w:rsidRDefault="00D96BF7">
            <w:pPr>
              <w:jc w:val="right"/>
              <w:rPr>
                <w:color w:val="000000"/>
                <w:sz w:val="18"/>
                <w:szCs w:val="18"/>
              </w:rPr>
            </w:pPr>
            <w:r w:rsidRPr="00D96BF7">
              <w:rPr>
                <w:color w:val="000000"/>
                <w:sz w:val="18"/>
                <w:szCs w:val="18"/>
              </w:rPr>
              <w:t>6,182</w:t>
            </w:r>
          </w:p>
        </w:tc>
        <w:tc>
          <w:tcPr>
            <w:tcW w:w="280" w:type="pct"/>
            <w:shd w:val="clear" w:color="auto" w:fill="auto"/>
            <w:vAlign w:val="center"/>
            <w:hideMark/>
          </w:tcPr>
          <w:p w14:paraId="15FAA5A6" w14:textId="77777777" w:rsidR="00D96BF7" w:rsidRPr="00D96BF7" w:rsidRDefault="00D96BF7">
            <w:pPr>
              <w:jc w:val="right"/>
              <w:rPr>
                <w:color w:val="000000"/>
                <w:sz w:val="18"/>
                <w:szCs w:val="18"/>
              </w:rPr>
            </w:pPr>
            <w:r w:rsidRPr="00D96BF7">
              <w:rPr>
                <w:color w:val="000000"/>
                <w:sz w:val="18"/>
                <w:szCs w:val="18"/>
              </w:rPr>
              <w:t>6,940</w:t>
            </w:r>
          </w:p>
        </w:tc>
        <w:tc>
          <w:tcPr>
            <w:tcW w:w="454" w:type="pct"/>
            <w:shd w:val="clear" w:color="auto" w:fill="auto"/>
            <w:vAlign w:val="center"/>
            <w:hideMark/>
          </w:tcPr>
          <w:p w14:paraId="4BB183CE" w14:textId="77777777" w:rsidR="00D96BF7" w:rsidRPr="00D96BF7" w:rsidRDefault="00D96BF7">
            <w:pPr>
              <w:jc w:val="right"/>
              <w:rPr>
                <w:sz w:val="18"/>
                <w:szCs w:val="18"/>
              </w:rPr>
            </w:pPr>
            <w:r w:rsidRPr="00D96BF7">
              <w:rPr>
                <w:sz w:val="18"/>
                <w:szCs w:val="18"/>
              </w:rPr>
              <w:t xml:space="preserve">$271,957 </w:t>
            </w:r>
          </w:p>
        </w:tc>
        <w:tc>
          <w:tcPr>
            <w:tcW w:w="376" w:type="pct"/>
            <w:shd w:val="clear" w:color="auto" w:fill="auto"/>
            <w:vAlign w:val="center"/>
            <w:hideMark/>
          </w:tcPr>
          <w:p w14:paraId="741A6002" w14:textId="77777777" w:rsidR="00D96BF7" w:rsidRPr="00D96BF7" w:rsidRDefault="00D96BF7">
            <w:pPr>
              <w:jc w:val="right"/>
              <w:rPr>
                <w:sz w:val="18"/>
                <w:szCs w:val="18"/>
              </w:rPr>
            </w:pPr>
            <w:r w:rsidRPr="00D96BF7">
              <w:rPr>
                <w:sz w:val="18"/>
                <w:szCs w:val="18"/>
              </w:rPr>
              <w:t xml:space="preserve">$305,286 </w:t>
            </w:r>
          </w:p>
        </w:tc>
      </w:tr>
      <w:tr w:rsidR="0070240F" w14:paraId="7DF5CD35" w14:textId="77777777" w:rsidTr="0070240F">
        <w:trPr>
          <w:trHeight w:val="301"/>
        </w:trPr>
        <w:tc>
          <w:tcPr>
            <w:tcW w:w="992" w:type="pct"/>
            <w:shd w:val="clear" w:color="auto" w:fill="auto"/>
            <w:vAlign w:val="bottom"/>
            <w:hideMark/>
          </w:tcPr>
          <w:p w14:paraId="265900DF" w14:textId="77777777" w:rsidR="00D96BF7" w:rsidRPr="00D96BF7" w:rsidRDefault="00D96BF7">
            <w:pPr>
              <w:rPr>
                <w:color w:val="000000"/>
                <w:sz w:val="18"/>
                <w:szCs w:val="18"/>
              </w:rPr>
            </w:pPr>
            <w:r w:rsidRPr="00D96BF7">
              <w:rPr>
                <w:color w:val="000000"/>
                <w:sz w:val="18"/>
                <w:szCs w:val="18"/>
              </w:rPr>
              <w:t>Complete manifest with waste codes</w:t>
            </w:r>
          </w:p>
        </w:tc>
        <w:tc>
          <w:tcPr>
            <w:tcW w:w="256" w:type="pct"/>
            <w:shd w:val="clear" w:color="auto" w:fill="auto"/>
            <w:vAlign w:val="center"/>
            <w:hideMark/>
          </w:tcPr>
          <w:p w14:paraId="3F833E2F" w14:textId="77777777" w:rsidR="00D96BF7" w:rsidRPr="00D96BF7" w:rsidRDefault="00D96BF7">
            <w:pPr>
              <w:jc w:val="right"/>
              <w:rPr>
                <w:color w:val="000000"/>
                <w:sz w:val="18"/>
                <w:szCs w:val="18"/>
              </w:rPr>
            </w:pPr>
            <w:r w:rsidRPr="00D96BF7">
              <w:rPr>
                <w:color w:val="000000"/>
                <w:sz w:val="18"/>
                <w:szCs w:val="18"/>
              </w:rPr>
              <w:t>0</w:t>
            </w:r>
          </w:p>
        </w:tc>
        <w:tc>
          <w:tcPr>
            <w:tcW w:w="242" w:type="pct"/>
            <w:shd w:val="clear" w:color="auto" w:fill="auto"/>
            <w:vAlign w:val="center"/>
            <w:hideMark/>
          </w:tcPr>
          <w:p w14:paraId="28F55C61" w14:textId="77777777" w:rsidR="00D96BF7" w:rsidRPr="00D96BF7" w:rsidRDefault="00D96BF7">
            <w:pPr>
              <w:jc w:val="right"/>
              <w:rPr>
                <w:color w:val="000000"/>
                <w:sz w:val="18"/>
                <w:szCs w:val="18"/>
              </w:rPr>
            </w:pPr>
            <w:r w:rsidRPr="00D96BF7">
              <w:rPr>
                <w:color w:val="000000"/>
                <w:sz w:val="18"/>
                <w:szCs w:val="18"/>
              </w:rPr>
              <w:t>0</w:t>
            </w:r>
          </w:p>
        </w:tc>
        <w:tc>
          <w:tcPr>
            <w:tcW w:w="277" w:type="pct"/>
            <w:shd w:val="clear" w:color="auto" w:fill="auto"/>
            <w:vAlign w:val="center"/>
            <w:hideMark/>
          </w:tcPr>
          <w:p w14:paraId="67E5BDC4" w14:textId="77777777" w:rsidR="00D96BF7" w:rsidRPr="00D96BF7" w:rsidRDefault="00D96BF7">
            <w:pPr>
              <w:jc w:val="right"/>
              <w:rPr>
                <w:color w:val="000000"/>
                <w:sz w:val="18"/>
                <w:szCs w:val="18"/>
              </w:rPr>
            </w:pPr>
            <w:r w:rsidRPr="00D96BF7">
              <w:rPr>
                <w:color w:val="000000"/>
                <w:sz w:val="18"/>
                <w:szCs w:val="18"/>
              </w:rPr>
              <w:t>1.64</w:t>
            </w:r>
          </w:p>
        </w:tc>
        <w:tc>
          <w:tcPr>
            <w:tcW w:w="313" w:type="pct"/>
            <w:shd w:val="clear" w:color="auto" w:fill="auto"/>
            <w:vAlign w:val="center"/>
            <w:hideMark/>
          </w:tcPr>
          <w:p w14:paraId="73AE01CF" w14:textId="77777777" w:rsidR="00D96BF7" w:rsidRPr="00D96BF7" w:rsidRDefault="00D96BF7">
            <w:pPr>
              <w:jc w:val="right"/>
              <w:rPr>
                <w:color w:val="000000"/>
                <w:sz w:val="18"/>
                <w:szCs w:val="18"/>
              </w:rPr>
            </w:pPr>
            <w:r w:rsidRPr="00D96BF7">
              <w:rPr>
                <w:color w:val="000000"/>
                <w:sz w:val="18"/>
                <w:szCs w:val="18"/>
              </w:rPr>
              <w:t>0.84</w:t>
            </w:r>
          </w:p>
        </w:tc>
        <w:tc>
          <w:tcPr>
            <w:tcW w:w="313" w:type="pct"/>
            <w:shd w:val="clear" w:color="auto" w:fill="auto"/>
            <w:vAlign w:val="center"/>
            <w:hideMark/>
          </w:tcPr>
          <w:p w14:paraId="75885AD5" w14:textId="77777777" w:rsidR="00D96BF7" w:rsidRPr="00D96BF7" w:rsidRDefault="00D96BF7">
            <w:pPr>
              <w:jc w:val="right"/>
              <w:rPr>
                <w:color w:val="000000"/>
                <w:sz w:val="18"/>
                <w:szCs w:val="18"/>
              </w:rPr>
            </w:pPr>
            <w:r w:rsidRPr="00D96BF7">
              <w:rPr>
                <w:color w:val="000000"/>
                <w:sz w:val="18"/>
                <w:szCs w:val="18"/>
              </w:rPr>
              <w:t>2.48</w:t>
            </w:r>
          </w:p>
        </w:tc>
        <w:tc>
          <w:tcPr>
            <w:tcW w:w="243" w:type="pct"/>
            <w:shd w:val="clear" w:color="auto" w:fill="auto"/>
            <w:vAlign w:val="center"/>
            <w:hideMark/>
          </w:tcPr>
          <w:p w14:paraId="0B11884E" w14:textId="77777777" w:rsidR="00D96BF7" w:rsidRPr="00D96BF7" w:rsidRDefault="00D96BF7">
            <w:pPr>
              <w:jc w:val="right"/>
              <w:rPr>
                <w:color w:val="000000"/>
                <w:sz w:val="18"/>
                <w:szCs w:val="18"/>
              </w:rPr>
            </w:pPr>
            <w:r w:rsidRPr="00D96BF7">
              <w:rPr>
                <w:color w:val="000000"/>
                <w:sz w:val="18"/>
                <w:szCs w:val="18"/>
              </w:rPr>
              <w:t xml:space="preserve">$113 </w:t>
            </w:r>
          </w:p>
        </w:tc>
        <w:tc>
          <w:tcPr>
            <w:tcW w:w="208" w:type="pct"/>
            <w:shd w:val="clear" w:color="auto" w:fill="auto"/>
            <w:vAlign w:val="center"/>
            <w:hideMark/>
          </w:tcPr>
          <w:p w14:paraId="3AA6D39B" w14:textId="77777777" w:rsidR="00D96BF7" w:rsidRPr="00D96BF7" w:rsidRDefault="00D96BF7">
            <w:pPr>
              <w:jc w:val="right"/>
              <w:rPr>
                <w:color w:val="000000"/>
                <w:sz w:val="18"/>
                <w:szCs w:val="18"/>
              </w:rPr>
            </w:pPr>
            <w:r w:rsidRPr="00D96BF7">
              <w:rPr>
                <w:color w:val="000000"/>
                <w:sz w:val="18"/>
                <w:szCs w:val="18"/>
              </w:rPr>
              <w:t xml:space="preserve">$0 </w:t>
            </w:r>
          </w:p>
        </w:tc>
        <w:tc>
          <w:tcPr>
            <w:tcW w:w="244" w:type="pct"/>
            <w:shd w:val="clear" w:color="auto" w:fill="auto"/>
            <w:vAlign w:val="center"/>
            <w:hideMark/>
          </w:tcPr>
          <w:p w14:paraId="2D10AEC9" w14:textId="77777777" w:rsidR="00D96BF7" w:rsidRPr="00D96BF7" w:rsidRDefault="00D96BF7">
            <w:pPr>
              <w:jc w:val="right"/>
              <w:rPr>
                <w:color w:val="000000"/>
                <w:sz w:val="18"/>
                <w:szCs w:val="18"/>
              </w:rPr>
            </w:pPr>
            <w:r w:rsidRPr="00D96BF7">
              <w:rPr>
                <w:color w:val="000000"/>
                <w:sz w:val="18"/>
                <w:szCs w:val="18"/>
              </w:rPr>
              <w:t xml:space="preserve">$0 </w:t>
            </w:r>
          </w:p>
        </w:tc>
        <w:tc>
          <w:tcPr>
            <w:tcW w:w="278" w:type="pct"/>
            <w:shd w:val="clear" w:color="auto" w:fill="auto"/>
            <w:vAlign w:val="center"/>
            <w:hideMark/>
          </w:tcPr>
          <w:p w14:paraId="740E27D0" w14:textId="77777777" w:rsidR="00D96BF7" w:rsidRPr="00D96BF7" w:rsidRDefault="00D96BF7">
            <w:pPr>
              <w:jc w:val="right"/>
              <w:rPr>
                <w:color w:val="000000"/>
                <w:sz w:val="18"/>
                <w:szCs w:val="18"/>
              </w:rPr>
            </w:pPr>
            <w:r w:rsidRPr="00D96BF7">
              <w:rPr>
                <w:color w:val="000000"/>
                <w:sz w:val="18"/>
                <w:szCs w:val="18"/>
              </w:rPr>
              <w:t>27</w:t>
            </w:r>
          </w:p>
        </w:tc>
        <w:tc>
          <w:tcPr>
            <w:tcW w:w="278" w:type="pct"/>
            <w:shd w:val="clear" w:color="auto" w:fill="auto"/>
            <w:vAlign w:val="center"/>
            <w:hideMark/>
          </w:tcPr>
          <w:p w14:paraId="5E1A4BC0" w14:textId="77777777" w:rsidR="00D96BF7" w:rsidRPr="00D96BF7" w:rsidRDefault="00D96BF7">
            <w:pPr>
              <w:jc w:val="right"/>
              <w:rPr>
                <w:color w:val="000000"/>
                <w:sz w:val="18"/>
                <w:szCs w:val="18"/>
              </w:rPr>
            </w:pPr>
            <w:r w:rsidRPr="00D96BF7">
              <w:rPr>
                <w:color w:val="000000"/>
                <w:sz w:val="18"/>
                <w:szCs w:val="18"/>
              </w:rPr>
              <w:t>27</w:t>
            </w:r>
          </w:p>
        </w:tc>
        <w:tc>
          <w:tcPr>
            <w:tcW w:w="243" w:type="pct"/>
            <w:shd w:val="clear" w:color="auto" w:fill="auto"/>
            <w:vAlign w:val="center"/>
            <w:hideMark/>
          </w:tcPr>
          <w:p w14:paraId="31D8E1E3" w14:textId="77777777" w:rsidR="00D96BF7" w:rsidRPr="00D96BF7" w:rsidRDefault="00D96BF7">
            <w:pPr>
              <w:jc w:val="right"/>
              <w:rPr>
                <w:color w:val="000000"/>
                <w:sz w:val="18"/>
                <w:szCs w:val="18"/>
              </w:rPr>
            </w:pPr>
            <w:r w:rsidRPr="00D96BF7">
              <w:rPr>
                <w:color w:val="000000"/>
                <w:sz w:val="18"/>
                <w:szCs w:val="18"/>
              </w:rPr>
              <w:t>67</w:t>
            </w:r>
          </w:p>
        </w:tc>
        <w:tc>
          <w:tcPr>
            <w:tcW w:w="280" w:type="pct"/>
            <w:shd w:val="clear" w:color="auto" w:fill="auto"/>
            <w:vAlign w:val="center"/>
            <w:hideMark/>
          </w:tcPr>
          <w:p w14:paraId="685E92D6" w14:textId="77777777" w:rsidR="00D96BF7" w:rsidRPr="00D96BF7" w:rsidRDefault="00D96BF7">
            <w:pPr>
              <w:jc w:val="right"/>
              <w:rPr>
                <w:color w:val="000000"/>
                <w:sz w:val="18"/>
                <w:szCs w:val="18"/>
              </w:rPr>
            </w:pPr>
            <w:r w:rsidRPr="00D96BF7">
              <w:rPr>
                <w:color w:val="000000"/>
                <w:sz w:val="18"/>
                <w:szCs w:val="18"/>
              </w:rPr>
              <w:t>67</w:t>
            </w:r>
          </w:p>
        </w:tc>
        <w:tc>
          <w:tcPr>
            <w:tcW w:w="454" w:type="pct"/>
            <w:shd w:val="clear" w:color="auto" w:fill="auto"/>
            <w:vAlign w:val="center"/>
            <w:hideMark/>
          </w:tcPr>
          <w:p w14:paraId="0F33FFA0" w14:textId="77777777" w:rsidR="00D96BF7" w:rsidRPr="00D96BF7" w:rsidRDefault="00D96BF7">
            <w:pPr>
              <w:jc w:val="right"/>
              <w:rPr>
                <w:sz w:val="18"/>
                <w:szCs w:val="18"/>
              </w:rPr>
            </w:pPr>
            <w:r w:rsidRPr="00D96BF7">
              <w:rPr>
                <w:sz w:val="18"/>
                <w:szCs w:val="18"/>
              </w:rPr>
              <w:t xml:space="preserve">$3,046 </w:t>
            </w:r>
          </w:p>
        </w:tc>
        <w:tc>
          <w:tcPr>
            <w:tcW w:w="376" w:type="pct"/>
            <w:shd w:val="clear" w:color="auto" w:fill="auto"/>
            <w:vAlign w:val="center"/>
            <w:hideMark/>
          </w:tcPr>
          <w:p w14:paraId="58E25578" w14:textId="77777777" w:rsidR="00D96BF7" w:rsidRPr="00D96BF7" w:rsidRDefault="00D96BF7">
            <w:pPr>
              <w:jc w:val="right"/>
              <w:rPr>
                <w:sz w:val="18"/>
                <w:szCs w:val="18"/>
              </w:rPr>
            </w:pPr>
            <w:r w:rsidRPr="00D96BF7">
              <w:rPr>
                <w:sz w:val="18"/>
                <w:szCs w:val="18"/>
              </w:rPr>
              <w:t xml:space="preserve">$3,046 </w:t>
            </w:r>
          </w:p>
        </w:tc>
      </w:tr>
      <w:tr w:rsidR="0070240F" w14:paraId="2F44898F" w14:textId="77777777" w:rsidTr="0070240F">
        <w:trPr>
          <w:trHeight w:val="301"/>
        </w:trPr>
        <w:tc>
          <w:tcPr>
            <w:tcW w:w="992" w:type="pct"/>
            <w:shd w:val="clear" w:color="auto" w:fill="auto"/>
            <w:vAlign w:val="bottom"/>
            <w:hideMark/>
          </w:tcPr>
          <w:p w14:paraId="59CE6AAE" w14:textId="77777777" w:rsidR="00D96BF7" w:rsidRPr="00D96BF7" w:rsidRDefault="00D96BF7">
            <w:pPr>
              <w:rPr>
                <w:color w:val="000000"/>
                <w:sz w:val="18"/>
                <w:szCs w:val="18"/>
              </w:rPr>
            </w:pPr>
            <w:r w:rsidRPr="00D96BF7">
              <w:rPr>
                <w:color w:val="000000"/>
                <w:sz w:val="18"/>
                <w:szCs w:val="18"/>
              </w:rPr>
              <w:t>Complete a movement document</w:t>
            </w:r>
          </w:p>
        </w:tc>
        <w:tc>
          <w:tcPr>
            <w:tcW w:w="256" w:type="pct"/>
            <w:shd w:val="clear" w:color="auto" w:fill="auto"/>
            <w:vAlign w:val="center"/>
            <w:hideMark/>
          </w:tcPr>
          <w:p w14:paraId="5EDF7BF0" w14:textId="77777777" w:rsidR="00D96BF7" w:rsidRPr="00D96BF7" w:rsidRDefault="00D96BF7">
            <w:pPr>
              <w:jc w:val="right"/>
              <w:rPr>
                <w:color w:val="000000"/>
                <w:sz w:val="18"/>
                <w:szCs w:val="18"/>
              </w:rPr>
            </w:pPr>
            <w:r w:rsidRPr="00D96BF7">
              <w:rPr>
                <w:color w:val="000000"/>
                <w:sz w:val="18"/>
                <w:szCs w:val="18"/>
              </w:rPr>
              <w:t>0</w:t>
            </w:r>
          </w:p>
        </w:tc>
        <w:tc>
          <w:tcPr>
            <w:tcW w:w="242" w:type="pct"/>
            <w:shd w:val="clear" w:color="auto" w:fill="auto"/>
            <w:vAlign w:val="center"/>
            <w:hideMark/>
          </w:tcPr>
          <w:p w14:paraId="3EA28127" w14:textId="77777777" w:rsidR="00D96BF7" w:rsidRPr="00D96BF7" w:rsidRDefault="00D96BF7">
            <w:pPr>
              <w:jc w:val="right"/>
              <w:rPr>
                <w:color w:val="000000"/>
                <w:sz w:val="18"/>
                <w:szCs w:val="18"/>
              </w:rPr>
            </w:pPr>
            <w:r w:rsidRPr="00D96BF7">
              <w:rPr>
                <w:color w:val="000000"/>
                <w:sz w:val="18"/>
                <w:szCs w:val="18"/>
              </w:rPr>
              <w:t>0</w:t>
            </w:r>
          </w:p>
        </w:tc>
        <w:tc>
          <w:tcPr>
            <w:tcW w:w="277" w:type="pct"/>
            <w:shd w:val="clear" w:color="auto" w:fill="auto"/>
            <w:vAlign w:val="center"/>
            <w:hideMark/>
          </w:tcPr>
          <w:p w14:paraId="7B417C46" w14:textId="77777777" w:rsidR="00D96BF7" w:rsidRPr="00D96BF7" w:rsidRDefault="00D96BF7">
            <w:pPr>
              <w:jc w:val="right"/>
              <w:rPr>
                <w:color w:val="000000"/>
                <w:sz w:val="18"/>
                <w:szCs w:val="18"/>
              </w:rPr>
            </w:pPr>
            <w:r w:rsidRPr="00D96BF7">
              <w:rPr>
                <w:color w:val="000000"/>
                <w:sz w:val="18"/>
                <w:szCs w:val="18"/>
              </w:rPr>
              <w:t>0.5</w:t>
            </w:r>
          </w:p>
        </w:tc>
        <w:tc>
          <w:tcPr>
            <w:tcW w:w="313" w:type="pct"/>
            <w:shd w:val="clear" w:color="auto" w:fill="auto"/>
            <w:vAlign w:val="center"/>
            <w:hideMark/>
          </w:tcPr>
          <w:p w14:paraId="1A4971BC" w14:textId="77777777" w:rsidR="00D96BF7" w:rsidRPr="00D96BF7" w:rsidRDefault="00D96BF7">
            <w:pPr>
              <w:jc w:val="right"/>
              <w:rPr>
                <w:color w:val="000000"/>
                <w:sz w:val="18"/>
                <w:szCs w:val="18"/>
              </w:rPr>
            </w:pPr>
            <w:r w:rsidRPr="00D96BF7">
              <w:rPr>
                <w:color w:val="000000"/>
                <w:sz w:val="18"/>
                <w:szCs w:val="18"/>
              </w:rPr>
              <w:t>0.5</w:t>
            </w:r>
          </w:p>
        </w:tc>
        <w:tc>
          <w:tcPr>
            <w:tcW w:w="313" w:type="pct"/>
            <w:shd w:val="clear" w:color="auto" w:fill="auto"/>
            <w:vAlign w:val="center"/>
            <w:hideMark/>
          </w:tcPr>
          <w:p w14:paraId="0E9CE6C8" w14:textId="77777777" w:rsidR="00D96BF7" w:rsidRPr="00D96BF7" w:rsidRDefault="00D96BF7">
            <w:pPr>
              <w:jc w:val="right"/>
              <w:rPr>
                <w:color w:val="000000"/>
                <w:sz w:val="18"/>
                <w:szCs w:val="18"/>
              </w:rPr>
            </w:pPr>
            <w:r w:rsidRPr="00D96BF7">
              <w:rPr>
                <w:color w:val="000000"/>
                <w:sz w:val="18"/>
                <w:szCs w:val="18"/>
              </w:rPr>
              <w:t>1.00</w:t>
            </w:r>
          </w:p>
        </w:tc>
        <w:tc>
          <w:tcPr>
            <w:tcW w:w="243" w:type="pct"/>
            <w:shd w:val="clear" w:color="auto" w:fill="auto"/>
            <w:vAlign w:val="center"/>
            <w:hideMark/>
          </w:tcPr>
          <w:p w14:paraId="344E43F3" w14:textId="77777777" w:rsidR="00D96BF7" w:rsidRPr="00D96BF7" w:rsidRDefault="00D96BF7">
            <w:pPr>
              <w:jc w:val="right"/>
              <w:rPr>
                <w:color w:val="000000"/>
                <w:sz w:val="18"/>
                <w:szCs w:val="18"/>
              </w:rPr>
            </w:pPr>
            <w:r w:rsidRPr="00D96BF7">
              <w:rPr>
                <w:color w:val="000000"/>
                <w:sz w:val="18"/>
                <w:szCs w:val="18"/>
              </w:rPr>
              <w:t xml:space="preserve">$42 </w:t>
            </w:r>
          </w:p>
        </w:tc>
        <w:tc>
          <w:tcPr>
            <w:tcW w:w="208" w:type="pct"/>
            <w:shd w:val="clear" w:color="auto" w:fill="auto"/>
            <w:vAlign w:val="center"/>
            <w:hideMark/>
          </w:tcPr>
          <w:p w14:paraId="39918B15" w14:textId="77777777" w:rsidR="00D96BF7" w:rsidRPr="00D96BF7" w:rsidRDefault="00D96BF7">
            <w:pPr>
              <w:jc w:val="right"/>
              <w:rPr>
                <w:color w:val="000000"/>
                <w:sz w:val="18"/>
                <w:szCs w:val="18"/>
              </w:rPr>
            </w:pPr>
            <w:r w:rsidRPr="00D96BF7">
              <w:rPr>
                <w:color w:val="000000"/>
                <w:sz w:val="18"/>
                <w:szCs w:val="18"/>
              </w:rPr>
              <w:t xml:space="preserve">$0 </w:t>
            </w:r>
          </w:p>
        </w:tc>
        <w:tc>
          <w:tcPr>
            <w:tcW w:w="244" w:type="pct"/>
            <w:shd w:val="clear" w:color="auto" w:fill="auto"/>
            <w:vAlign w:val="center"/>
            <w:hideMark/>
          </w:tcPr>
          <w:p w14:paraId="1F917B40" w14:textId="77777777" w:rsidR="00D96BF7" w:rsidRPr="00D96BF7" w:rsidRDefault="00D96BF7">
            <w:pPr>
              <w:jc w:val="right"/>
              <w:rPr>
                <w:color w:val="000000"/>
                <w:sz w:val="18"/>
                <w:szCs w:val="18"/>
              </w:rPr>
            </w:pPr>
            <w:r w:rsidRPr="00D96BF7">
              <w:rPr>
                <w:color w:val="000000"/>
                <w:sz w:val="18"/>
                <w:szCs w:val="18"/>
              </w:rPr>
              <w:t xml:space="preserve">$0 </w:t>
            </w:r>
          </w:p>
        </w:tc>
        <w:tc>
          <w:tcPr>
            <w:tcW w:w="278" w:type="pct"/>
            <w:shd w:val="clear" w:color="auto" w:fill="auto"/>
            <w:vAlign w:val="center"/>
            <w:hideMark/>
          </w:tcPr>
          <w:p w14:paraId="2B31F8D4" w14:textId="77777777" w:rsidR="00D96BF7" w:rsidRPr="00D96BF7" w:rsidRDefault="00D96BF7">
            <w:pPr>
              <w:jc w:val="right"/>
              <w:rPr>
                <w:color w:val="000000"/>
                <w:sz w:val="18"/>
                <w:szCs w:val="18"/>
              </w:rPr>
            </w:pPr>
            <w:r w:rsidRPr="00D96BF7">
              <w:rPr>
                <w:color w:val="000000"/>
                <w:sz w:val="18"/>
                <w:szCs w:val="18"/>
              </w:rPr>
              <w:t>120</w:t>
            </w:r>
          </w:p>
        </w:tc>
        <w:tc>
          <w:tcPr>
            <w:tcW w:w="278" w:type="pct"/>
            <w:shd w:val="clear" w:color="auto" w:fill="auto"/>
            <w:vAlign w:val="center"/>
            <w:hideMark/>
          </w:tcPr>
          <w:p w14:paraId="3723A7CC" w14:textId="77777777" w:rsidR="00D96BF7" w:rsidRPr="00D96BF7" w:rsidRDefault="00D96BF7">
            <w:pPr>
              <w:jc w:val="right"/>
              <w:rPr>
                <w:color w:val="000000"/>
                <w:sz w:val="18"/>
                <w:szCs w:val="18"/>
              </w:rPr>
            </w:pPr>
            <w:r w:rsidRPr="00D96BF7">
              <w:rPr>
                <w:color w:val="000000"/>
                <w:sz w:val="18"/>
                <w:szCs w:val="18"/>
              </w:rPr>
              <w:t>134</w:t>
            </w:r>
          </w:p>
        </w:tc>
        <w:tc>
          <w:tcPr>
            <w:tcW w:w="243" w:type="pct"/>
            <w:shd w:val="clear" w:color="auto" w:fill="auto"/>
            <w:vAlign w:val="center"/>
            <w:hideMark/>
          </w:tcPr>
          <w:p w14:paraId="6DE8FB39" w14:textId="77777777" w:rsidR="00D96BF7" w:rsidRPr="00D96BF7" w:rsidRDefault="00D96BF7">
            <w:pPr>
              <w:jc w:val="right"/>
              <w:rPr>
                <w:color w:val="000000"/>
                <w:sz w:val="18"/>
                <w:szCs w:val="18"/>
              </w:rPr>
            </w:pPr>
            <w:r w:rsidRPr="00D96BF7">
              <w:rPr>
                <w:color w:val="000000"/>
                <w:sz w:val="18"/>
                <w:szCs w:val="18"/>
              </w:rPr>
              <w:t>120</w:t>
            </w:r>
          </w:p>
        </w:tc>
        <w:tc>
          <w:tcPr>
            <w:tcW w:w="280" w:type="pct"/>
            <w:shd w:val="clear" w:color="auto" w:fill="auto"/>
            <w:vAlign w:val="center"/>
            <w:hideMark/>
          </w:tcPr>
          <w:p w14:paraId="1DFAA9CD" w14:textId="77777777" w:rsidR="00D96BF7" w:rsidRPr="00D96BF7" w:rsidRDefault="00D96BF7">
            <w:pPr>
              <w:jc w:val="right"/>
              <w:rPr>
                <w:color w:val="000000"/>
                <w:sz w:val="18"/>
                <w:szCs w:val="18"/>
              </w:rPr>
            </w:pPr>
            <w:r w:rsidRPr="00D96BF7">
              <w:rPr>
                <w:color w:val="000000"/>
                <w:sz w:val="18"/>
                <w:szCs w:val="18"/>
              </w:rPr>
              <w:t>134</w:t>
            </w:r>
          </w:p>
        </w:tc>
        <w:tc>
          <w:tcPr>
            <w:tcW w:w="454" w:type="pct"/>
            <w:shd w:val="clear" w:color="auto" w:fill="auto"/>
            <w:vAlign w:val="center"/>
            <w:hideMark/>
          </w:tcPr>
          <w:p w14:paraId="3450ED1F" w14:textId="77777777" w:rsidR="00D96BF7" w:rsidRPr="00D96BF7" w:rsidRDefault="00D96BF7">
            <w:pPr>
              <w:jc w:val="right"/>
              <w:rPr>
                <w:color w:val="000000"/>
                <w:sz w:val="18"/>
                <w:szCs w:val="18"/>
              </w:rPr>
            </w:pPr>
            <w:r w:rsidRPr="00D96BF7">
              <w:rPr>
                <w:color w:val="000000"/>
                <w:sz w:val="18"/>
                <w:szCs w:val="18"/>
              </w:rPr>
              <w:t>$5,014</w:t>
            </w:r>
          </w:p>
        </w:tc>
        <w:tc>
          <w:tcPr>
            <w:tcW w:w="376" w:type="pct"/>
            <w:shd w:val="clear" w:color="auto" w:fill="auto"/>
            <w:vAlign w:val="center"/>
            <w:hideMark/>
          </w:tcPr>
          <w:p w14:paraId="1FA59B53" w14:textId="77777777" w:rsidR="00D96BF7" w:rsidRPr="00D96BF7" w:rsidRDefault="00D96BF7">
            <w:pPr>
              <w:jc w:val="right"/>
              <w:rPr>
                <w:color w:val="000000"/>
                <w:sz w:val="18"/>
                <w:szCs w:val="18"/>
              </w:rPr>
            </w:pPr>
            <w:r w:rsidRPr="00D96BF7">
              <w:rPr>
                <w:color w:val="000000"/>
                <w:sz w:val="18"/>
                <w:szCs w:val="18"/>
              </w:rPr>
              <w:t>$5,599</w:t>
            </w:r>
          </w:p>
        </w:tc>
      </w:tr>
      <w:tr w:rsidR="0070240F" w14:paraId="75985C10" w14:textId="77777777" w:rsidTr="0070240F">
        <w:trPr>
          <w:trHeight w:val="255"/>
        </w:trPr>
        <w:tc>
          <w:tcPr>
            <w:tcW w:w="992" w:type="pct"/>
            <w:shd w:val="clear" w:color="000000" w:fill="D9D9D9"/>
            <w:noWrap/>
            <w:vAlign w:val="bottom"/>
            <w:hideMark/>
          </w:tcPr>
          <w:p w14:paraId="735DF495" w14:textId="77777777" w:rsidR="00D96BF7" w:rsidRPr="00D96BF7" w:rsidRDefault="00D96BF7">
            <w:pPr>
              <w:rPr>
                <w:color w:val="000000"/>
                <w:sz w:val="18"/>
                <w:szCs w:val="18"/>
              </w:rPr>
            </w:pPr>
            <w:r w:rsidRPr="00D96BF7">
              <w:rPr>
                <w:color w:val="000000"/>
                <w:sz w:val="18"/>
                <w:szCs w:val="18"/>
              </w:rPr>
              <w:t>Contingency Planning</w:t>
            </w:r>
          </w:p>
        </w:tc>
        <w:tc>
          <w:tcPr>
            <w:tcW w:w="256" w:type="pct"/>
            <w:shd w:val="clear" w:color="000000" w:fill="D9D9D9"/>
            <w:noWrap/>
            <w:vAlign w:val="bottom"/>
            <w:hideMark/>
          </w:tcPr>
          <w:p w14:paraId="767CFCD3" w14:textId="77777777" w:rsidR="00D96BF7" w:rsidRPr="00D96BF7" w:rsidRDefault="00D96BF7">
            <w:pPr>
              <w:rPr>
                <w:color w:val="000000"/>
                <w:sz w:val="18"/>
                <w:szCs w:val="18"/>
              </w:rPr>
            </w:pPr>
            <w:r w:rsidRPr="00D96BF7">
              <w:rPr>
                <w:color w:val="000000"/>
                <w:sz w:val="18"/>
                <w:szCs w:val="18"/>
              </w:rPr>
              <w:t> </w:t>
            </w:r>
          </w:p>
        </w:tc>
        <w:tc>
          <w:tcPr>
            <w:tcW w:w="242" w:type="pct"/>
            <w:shd w:val="clear" w:color="000000" w:fill="D9D9D9"/>
            <w:noWrap/>
            <w:vAlign w:val="bottom"/>
            <w:hideMark/>
          </w:tcPr>
          <w:p w14:paraId="33FC1EDE" w14:textId="77777777" w:rsidR="00D96BF7" w:rsidRPr="00D96BF7" w:rsidRDefault="00D96BF7">
            <w:pPr>
              <w:rPr>
                <w:color w:val="000000"/>
                <w:sz w:val="18"/>
                <w:szCs w:val="18"/>
              </w:rPr>
            </w:pPr>
            <w:r w:rsidRPr="00D96BF7">
              <w:rPr>
                <w:color w:val="000000"/>
                <w:sz w:val="18"/>
                <w:szCs w:val="18"/>
              </w:rPr>
              <w:t> </w:t>
            </w:r>
          </w:p>
        </w:tc>
        <w:tc>
          <w:tcPr>
            <w:tcW w:w="277" w:type="pct"/>
            <w:shd w:val="clear" w:color="000000" w:fill="D9D9D9"/>
            <w:noWrap/>
            <w:vAlign w:val="bottom"/>
            <w:hideMark/>
          </w:tcPr>
          <w:p w14:paraId="6A38F9FF" w14:textId="77777777" w:rsidR="00D96BF7" w:rsidRPr="00D96BF7" w:rsidRDefault="00D96BF7">
            <w:pPr>
              <w:rPr>
                <w:color w:val="000000"/>
                <w:sz w:val="18"/>
                <w:szCs w:val="18"/>
              </w:rPr>
            </w:pPr>
            <w:r w:rsidRPr="00D96BF7">
              <w:rPr>
                <w:color w:val="000000"/>
                <w:sz w:val="18"/>
                <w:szCs w:val="18"/>
              </w:rPr>
              <w:t> </w:t>
            </w:r>
          </w:p>
        </w:tc>
        <w:tc>
          <w:tcPr>
            <w:tcW w:w="313" w:type="pct"/>
            <w:shd w:val="clear" w:color="000000" w:fill="D9D9D9"/>
            <w:noWrap/>
            <w:vAlign w:val="bottom"/>
            <w:hideMark/>
          </w:tcPr>
          <w:p w14:paraId="26DB9331" w14:textId="77777777" w:rsidR="00D96BF7" w:rsidRPr="00D96BF7" w:rsidRDefault="00D96BF7">
            <w:pPr>
              <w:rPr>
                <w:color w:val="000000"/>
                <w:sz w:val="18"/>
                <w:szCs w:val="18"/>
              </w:rPr>
            </w:pPr>
            <w:r w:rsidRPr="00D96BF7">
              <w:rPr>
                <w:color w:val="000000"/>
                <w:sz w:val="18"/>
                <w:szCs w:val="18"/>
              </w:rPr>
              <w:t> </w:t>
            </w:r>
          </w:p>
        </w:tc>
        <w:tc>
          <w:tcPr>
            <w:tcW w:w="313" w:type="pct"/>
            <w:shd w:val="clear" w:color="000000" w:fill="D9D9D9"/>
            <w:noWrap/>
            <w:vAlign w:val="bottom"/>
            <w:hideMark/>
          </w:tcPr>
          <w:p w14:paraId="50AA7353" w14:textId="77777777" w:rsidR="00D96BF7" w:rsidRPr="00D96BF7" w:rsidRDefault="00D96BF7">
            <w:pPr>
              <w:rPr>
                <w:color w:val="000000"/>
                <w:sz w:val="18"/>
                <w:szCs w:val="18"/>
              </w:rPr>
            </w:pPr>
            <w:r w:rsidRPr="00D96BF7">
              <w:rPr>
                <w:color w:val="000000"/>
                <w:sz w:val="18"/>
                <w:szCs w:val="18"/>
              </w:rPr>
              <w:t> </w:t>
            </w:r>
          </w:p>
        </w:tc>
        <w:tc>
          <w:tcPr>
            <w:tcW w:w="243" w:type="pct"/>
            <w:shd w:val="clear" w:color="000000" w:fill="D9D9D9"/>
            <w:noWrap/>
            <w:vAlign w:val="bottom"/>
            <w:hideMark/>
          </w:tcPr>
          <w:p w14:paraId="36171DA8" w14:textId="77777777" w:rsidR="00D96BF7" w:rsidRPr="00D96BF7" w:rsidRDefault="00D96BF7">
            <w:pPr>
              <w:rPr>
                <w:color w:val="000000"/>
                <w:sz w:val="18"/>
                <w:szCs w:val="18"/>
              </w:rPr>
            </w:pPr>
            <w:r w:rsidRPr="00D96BF7">
              <w:rPr>
                <w:color w:val="000000"/>
                <w:sz w:val="18"/>
                <w:szCs w:val="18"/>
              </w:rPr>
              <w:t> </w:t>
            </w:r>
          </w:p>
        </w:tc>
        <w:tc>
          <w:tcPr>
            <w:tcW w:w="208" w:type="pct"/>
            <w:shd w:val="clear" w:color="000000" w:fill="D9D9D9"/>
            <w:vAlign w:val="center"/>
            <w:hideMark/>
          </w:tcPr>
          <w:p w14:paraId="2FD97C17" w14:textId="77777777" w:rsidR="00D96BF7" w:rsidRPr="00D96BF7" w:rsidRDefault="00D96BF7">
            <w:pPr>
              <w:jc w:val="right"/>
              <w:rPr>
                <w:color w:val="000000"/>
                <w:sz w:val="18"/>
                <w:szCs w:val="18"/>
              </w:rPr>
            </w:pPr>
            <w:r w:rsidRPr="00D96BF7">
              <w:rPr>
                <w:color w:val="000000"/>
                <w:sz w:val="18"/>
                <w:szCs w:val="18"/>
              </w:rPr>
              <w:t> </w:t>
            </w:r>
          </w:p>
        </w:tc>
        <w:tc>
          <w:tcPr>
            <w:tcW w:w="244" w:type="pct"/>
            <w:shd w:val="clear" w:color="000000" w:fill="D9D9D9"/>
            <w:noWrap/>
            <w:vAlign w:val="bottom"/>
            <w:hideMark/>
          </w:tcPr>
          <w:p w14:paraId="457A51D3" w14:textId="77777777" w:rsidR="00D96BF7" w:rsidRPr="00D96BF7" w:rsidRDefault="00D96BF7">
            <w:pPr>
              <w:rPr>
                <w:color w:val="000000"/>
                <w:sz w:val="18"/>
                <w:szCs w:val="18"/>
              </w:rPr>
            </w:pPr>
            <w:r w:rsidRPr="00D96BF7">
              <w:rPr>
                <w:color w:val="000000"/>
                <w:sz w:val="18"/>
                <w:szCs w:val="18"/>
              </w:rPr>
              <w:t> </w:t>
            </w:r>
          </w:p>
        </w:tc>
        <w:tc>
          <w:tcPr>
            <w:tcW w:w="278" w:type="pct"/>
            <w:shd w:val="clear" w:color="000000" w:fill="D9D9D9"/>
            <w:noWrap/>
            <w:vAlign w:val="bottom"/>
            <w:hideMark/>
          </w:tcPr>
          <w:p w14:paraId="00A1F2D5" w14:textId="77777777" w:rsidR="00D96BF7" w:rsidRPr="00D96BF7" w:rsidRDefault="00D96BF7">
            <w:pPr>
              <w:rPr>
                <w:color w:val="000000"/>
                <w:sz w:val="18"/>
                <w:szCs w:val="18"/>
              </w:rPr>
            </w:pPr>
            <w:r w:rsidRPr="00D96BF7">
              <w:rPr>
                <w:color w:val="000000"/>
                <w:sz w:val="18"/>
                <w:szCs w:val="18"/>
              </w:rPr>
              <w:t> </w:t>
            </w:r>
          </w:p>
        </w:tc>
        <w:tc>
          <w:tcPr>
            <w:tcW w:w="278" w:type="pct"/>
            <w:shd w:val="clear" w:color="000000" w:fill="D9D9D9"/>
            <w:noWrap/>
            <w:vAlign w:val="bottom"/>
            <w:hideMark/>
          </w:tcPr>
          <w:p w14:paraId="5FED8D6C" w14:textId="77777777" w:rsidR="00D96BF7" w:rsidRPr="00D96BF7" w:rsidRDefault="00D96BF7">
            <w:pPr>
              <w:rPr>
                <w:color w:val="000000"/>
                <w:sz w:val="18"/>
                <w:szCs w:val="18"/>
              </w:rPr>
            </w:pPr>
            <w:r w:rsidRPr="00D96BF7">
              <w:rPr>
                <w:color w:val="000000"/>
                <w:sz w:val="18"/>
                <w:szCs w:val="18"/>
              </w:rPr>
              <w:t> </w:t>
            </w:r>
          </w:p>
        </w:tc>
        <w:tc>
          <w:tcPr>
            <w:tcW w:w="243" w:type="pct"/>
            <w:shd w:val="clear" w:color="000000" w:fill="D9D9D9"/>
            <w:noWrap/>
            <w:vAlign w:val="bottom"/>
            <w:hideMark/>
          </w:tcPr>
          <w:p w14:paraId="37576358" w14:textId="77777777" w:rsidR="00D96BF7" w:rsidRPr="00D96BF7" w:rsidRDefault="00D96BF7">
            <w:pPr>
              <w:rPr>
                <w:color w:val="000000"/>
                <w:sz w:val="18"/>
                <w:szCs w:val="18"/>
              </w:rPr>
            </w:pPr>
            <w:r w:rsidRPr="00D96BF7">
              <w:rPr>
                <w:color w:val="000000"/>
                <w:sz w:val="18"/>
                <w:szCs w:val="18"/>
              </w:rPr>
              <w:t> </w:t>
            </w:r>
          </w:p>
        </w:tc>
        <w:tc>
          <w:tcPr>
            <w:tcW w:w="280" w:type="pct"/>
            <w:shd w:val="clear" w:color="000000" w:fill="D9D9D9"/>
            <w:noWrap/>
            <w:vAlign w:val="bottom"/>
            <w:hideMark/>
          </w:tcPr>
          <w:p w14:paraId="2E8AF69E" w14:textId="77777777" w:rsidR="00D96BF7" w:rsidRPr="00D96BF7" w:rsidRDefault="00D96BF7">
            <w:pPr>
              <w:rPr>
                <w:color w:val="000000"/>
                <w:sz w:val="18"/>
                <w:szCs w:val="18"/>
              </w:rPr>
            </w:pPr>
            <w:r w:rsidRPr="00D96BF7">
              <w:rPr>
                <w:color w:val="000000"/>
                <w:sz w:val="18"/>
                <w:szCs w:val="18"/>
              </w:rPr>
              <w:t> </w:t>
            </w:r>
          </w:p>
        </w:tc>
        <w:tc>
          <w:tcPr>
            <w:tcW w:w="454" w:type="pct"/>
            <w:shd w:val="clear" w:color="000000" w:fill="D9D9D9"/>
            <w:noWrap/>
            <w:vAlign w:val="bottom"/>
            <w:hideMark/>
          </w:tcPr>
          <w:p w14:paraId="2423E876" w14:textId="77777777" w:rsidR="00D96BF7" w:rsidRPr="00D96BF7" w:rsidRDefault="00D96BF7">
            <w:pPr>
              <w:rPr>
                <w:color w:val="000000"/>
                <w:sz w:val="18"/>
                <w:szCs w:val="18"/>
              </w:rPr>
            </w:pPr>
            <w:r w:rsidRPr="00D96BF7">
              <w:rPr>
                <w:color w:val="000000"/>
                <w:sz w:val="18"/>
                <w:szCs w:val="18"/>
              </w:rPr>
              <w:t> </w:t>
            </w:r>
          </w:p>
        </w:tc>
        <w:tc>
          <w:tcPr>
            <w:tcW w:w="376" w:type="pct"/>
            <w:shd w:val="clear" w:color="000000" w:fill="D9D9D9"/>
            <w:noWrap/>
            <w:vAlign w:val="bottom"/>
            <w:hideMark/>
          </w:tcPr>
          <w:p w14:paraId="1099C146" w14:textId="77777777" w:rsidR="00D96BF7" w:rsidRPr="00D96BF7" w:rsidRDefault="00D96BF7">
            <w:pPr>
              <w:rPr>
                <w:color w:val="000000"/>
                <w:sz w:val="18"/>
                <w:szCs w:val="18"/>
              </w:rPr>
            </w:pPr>
            <w:r w:rsidRPr="00D96BF7">
              <w:rPr>
                <w:color w:val="000000"/>
                <w:sz w:val="18"/>
                <w:szCs w:val="18"/>
              </w:rPr>
              <w:t> </w:t>
            </w:r>
          </w:p>
        </w:tc>
      </w:tr>
      <w:tr w:rsidR="0070240F" w14:paraId="5AF77C49" w14:textId="77777777" w:rsidTr="0070240F">
        <w:trPr>
          <w:trHeight w:val="301"/>
        </w:trPr>
        <w:tc>
          <w:tcPr>
            <w:tcW w:w="992" w:type="pct"/>
            <w:shd w:val="clear" w:color="auto" w:fill="auto"/>
            <w:vAlign w:val="bottom"/>
            <w:hideMark/>
          </w:tcPr>
          <w:p w14:paraId="7110D682" w14:textId="77777777" w:rsidR="00D96BF7" w:rsidRPr="00D96BF7" w:rsidRDefault="00D96BF7">
            <w:pPr>
              <w:rPr>
                <w:color w:val="000000"/>
                <w:sz w:val="18"/>
                <w:szCs w:val="18"/>
              </w:rPr>
            </w:pPr>
            <w:r w:rsidRPr="00D96BF7">
              <w:rPr>
                <w:color w:val="000000"/>
                <w:sz w:val="18"/>
                <w:szCs w:val="18"/>
              </w:rPr>
              <w:t>Amend contingency plan</w:t>
            </w:r>
          </w:p>
        </w:tc>
        <w:tc>
          <w:tcPr>
            <w:tcW w:w="256" w:type="pct"/>
            <w:shd w:val="clear" w:color="auto" w:fill="auto"/>
            <w:vAlign w:val="center"/>
            <w:hideMark/>
          </w:tcPr>
          <w:p w14:paraId="2E022D71" w14:textId="77777777" w:rsidR="00D96BF7" w:rsidRPr="00D96BF7" w:rsidRDefault="00D96BF7">
            <w:pPr>
              <w:jc w:val="right"/>
              <w:rPr>
                <w:color w:val="000000"/>
                <w:sz w:val="18"/>
                <w:szCs w:val="18"/>
              </w:rPr>
            </w:pPr>
            <w:r w:rsidRPr="00D96BF7">
              <w:rPr>
                <w:color w:val="000000"/>
                <w:sz w:val="18"/>
                <w:szCs w:val="18"/>
              </w:rPr>
              <w:t>0</w:t>
            </w:r>
          </w:p>
        </w:tc>
        <w:tc>
          <w:tcPr>
            <w:tcW w:w="242" w:type="pct"/>
            <w:shd w:val="clear" w:color="auto" w:fill="auto"/>
            <w:vAlign w:val="center"/>
            <w:hideMark/>
          </w:tcPr>
          <w:p w14:paraId="24961767" w14:textId="77777777" w:rsidR="00D96BF7" w:rsidRPr="00D96BF7" w:rsidRDefault="00D96BF7">
            <w:pPr>
              <w:jc w:val="right"/>
              <w:rPr>
                <w:color w:val="000000"/>
                <w:sz w:val="18"/>
                <w:szCs w:val="18"/>
              </w:rPr>
            </w:pPr>
            <w:r w:rsidRPr="00D96BF7">
              <w:rPr>
                <w:color w:val="000000"/>
                <w:sz w:val="18"/>
                <w:szCs w:val="18"/>
              </w:rPr>
              <w:t>0</w:t>
            </w:r>
          </w:p>
        </w:tc>
        <w:tc>
          <w:tcPr>
            <w:tcW w:w="277" w:type="pct"/>
            <w:shd w:val="clear" w:color="auto" w:fill="auto"/>
            <w:vAlign w:val="center"/>
            <w:hideMark/>
          </w:tcPr>
          <w:p w14:paraId="2D0C8B9B" w14:textId="77777777" w:rsidR="00D96BF7" w:rsidRPr="00D96BF7" w:rsidRDefault="00D96BF7">
            <w:pPr>
              <w:jc w:val="right"/>
              <w:rPr>
                <w:color w:val="000000"/>
                <w:sz w:val="18"/>
                <w:szCs w:val="18"/>
              </w:rPr>
            </w:pPr>
            <w:r w:rsidRPr="00D96BF7">
              <w:rPr>
                <w:color w:val="000000"/>
                <w:sz w:val="18"/>
                <w:szCs w:val="18"/>
              </w:rPr>
              <w:t>1.5</w:t>
            </w:r>
          </w:p>
        </w:tc>
        <w:tc>
          <w:tcPr>
            <w:tcW w:w="313" w:type="pct"/>
            <w:shd w:val="clear" w:color="auto" w:fill="auto"/>
            <w:vAlign w:val="center"/>
            <w:hideMark/>
          </w:tcPr>
          <w:p w14:paraId="55549432" w14:textId="77777777" w:rsidR="00D96BF7" w:rsidRPr="00D96BF7" w:rsidRDefault="00D96BF7">
            <w:pPr>
              <w:jc w:val="right"/>
              <w:rPr>
                <w:color w:val="000000"/>
                <w:sz w:val="18"/>
                <w:szCs w:val="18"/>
              </w:rPr>
            </w:pPr>
            <w:r w:rsidRPr="00D96BF7">
              <w:rPr>
                <w:color w:val="000000"/>
                <w:sz w:val="18"/>
                <w:szCs w:val="18"/>
              </w:rPr>
              <w:t>1.5</w:t>
            </w:r>
          </w:p>
        </w:tc>
        <w:tc>
          <w:tcPr>
            <w:tcW w:w="313" w:type="pct"/>
            <w:shd w:val="clear" w:color="auto" w:fill="auto"/>
            <w:vAlign w:val="center"/>
            <w:hideMark/>
          </w:tcPr>
          <w:p w14:paraId="28C628AB" w14:textId="77777777" w:rsidR="00D96BF7" w:rsidRPr="00D96BF7" w:rsidRDefault="00D96BF7">
            <w:pPr>
              <w:jc w:val="right"/>
              <w:rPr>
                <w:color w:val="000000"/>
                <w:sz w:val="18"/>
                <w:szCs w:val="18"/>
              </w:rPr>
            </w:pPr>
            <w:r w:rsidRPr="00D96BF7">
              <w:rPr>
                <w:color w:val="000000"/>
                <w:sz w:val="18"/>
                <w:szCs w:val="18"/>
              </w:rPr>
              <w:t>3.00</w:t>
            </w:r>
          </w:p>
        </w:tc>
        <w:tc>
          <w:tcPr>
            <w:tcW w:w="243" w:type="pct"/>
            <w:shd w:val="clear" w:color="auto" w:fill="auto"/>
            <w:vAlign w:val="center"/>
            <w:hideMark/>
          </w:tcPr>
          <w:p w14:paraId="5512EE2E" w14:textId="77777777" w:rsidR="00D96BF7" w:rsidRPr="00D96BF7" w:rsidRDefault="00D96BF7">
            <w:pPr>
              <w:jc w:val="right"/>
              <w:rPr>
                <w:color w:val="000000"/>
                <w:sz w:val="18"/>
                <w:szCs w:val="18"/>
              </w:rPr>
            </w:pPr>
            <w:r w:rsidRPr="00D96BF7">
              <w:rPr>
                <w:color w:val="000000"/>
                <w:sz w:val="18"/>
                <w:szCs w:val="18"/>
              </w:rPr>
              <w:t xml:space="preserve">$125 </w:t>
            </w:r>
          </w:p>
        </w:tc>
        <w:tc>
          <w:tcPr>
            <w:tcW w:w="208" w:type="pct"/>
            <w:shd w:val="clear" w:color="auto" w:fill="auto"/>
            <w:vAlign w:val="center"/>
            <w:hideMark/>
          </w:tcPr>
          <w:p w14:paraId="52482E2E" w14:textId="77777777" w:rsidR="00D96BF7" w:rsidRPr="00D96BF7" w:rsidRDefault="00D96BF7">
            <w:pPr>
              <w:jc w:val="right"/>
              <w:rPr>
                <w:color w:val="000000"/>
                <w:sz w:val="18"/>
                <w:szCs w:val="18"/>
              </w:rPr>
            </w:pPr>
            <w:r w:rsidRPr="00D96BF7">
              <w:rPr>
                <w:color w:val="000000"/>
                <w:sz w:val="18"/>
                <w:szCs w:val="18"/>
              </w:rPr>
              <w:t xml:space="preserve">$0 </w:t>
            </w:r>
          </w:p>
        </w:tc>
        <w:tc>
          <w:tcPr>
            <w:tcW w:w="244" w:type="pct"/>
            <w:shd w:val="clear" w:color="auto" w:fill="auto"/>
            <w:vAlign w:val="center"/>
            <w:hideMark/>
          </w:tcPr>
          <w:p w14:paraId="362081E3" w14:textId="77777777" w:rsidR="00D96BF7" w:rsidRPr="00D96BF7" w:rsidRDefault="00D96BF7">
            <w:pPr>
              <w:jc w:val="right"/>
              <w:rPr>
                <w:color w:val="000000"/>
                <w:sz w:val="18"/>
                <w:szCs w:val="18"/>
              </w:rPr>
            </w:pPr>
            <w:r w:rsidRPr="00D96BF7">
              <w:rPr>
                <w:color w:val="000000"/>
                <w:sz w:val="18"/>
                <w:szCs w:val="18"/>
              </w:rPr>
              <w:t xml:space="preserve">$0 </w:t>
            </w:r>
          </w:p>
        </w:tc>
        <w:tc>
          <w:tcPr>
            <w:tcW w:w="278" w:type="pct"/>
            <w:shd w:val="clear" w:color="auto" w:fill="auto"/>
            <w:vAlign w:val="center"/>
            <w:hideMark/>
          </w:tcPr>
          <w:p w14:paraId="1823BFE1" w14:textId="77777777" w:rsidR="00D96BF7" w:rsidRPr="00D96BF7" w:rsidRDefault="00D96BF7">
            <w:pPr>
              <w:jc w:val="right"/>
              <w:rPr>
                <w:color w:val="000000"/>
                <w:sz w:val="18"/>
                <w:szCs w:val="18"/>
              </w:rPr>
            </w:pPr>
            <w:r w:rsidRPr="00D96BF7">
              <w:rPr>
                <w:color w:val="000000"/>
                <w:sz w:val="18"/>
                <w:szCs w:val="18"/>
              </w:rPr>
              <w:t>3</w:t>
            </w:r>
          </w:p>
        </w:tc>
        <w:tc>
          <w:tcPr>
            <w:tcW w:w="278" w:type="pct"/>
            <w:shd w:val="clear" w:color="auto" w:fill="auto"/>
            <w:vAlign w:val="center"/>
            <w:hideMark/>
          </w:tcPr>
          <w:p w14:paraId="2E84C91F" w14:textId="77777777" w:rsidR="00D96BF7" w:rsidRPr="00D96BF7" w:rsidRDefault="00D96BF7">
            <w:pPr>
              <w:jc w:val="right"/>
              <w:rPr>
                <w:color w:val="000000"/>
                <w:sz w:val="18"/>
                <w:szCs w:val="18"/>
              </w:rPr>
            </w:pPr>
            <w:r w:rsidRPr="00D96BF7">
              <w:rPr>
                <w:color w:val="000000"/>
                <w:sz w:val="18"/>
                <w:szCs w:val="18"/>
              </w:rPr>
              <w:t>3</w:t>
            </w:r>
          </w:p>
        </w:tc>
        <w:tc>
          <w:tcPr>
            <w:tcW w:w="243" w:type="pct"/>
            <w:shd w:val="clear" w:color="auto" w:fill="auto"/>
            <w:vAlign w:val="center"/>
            <w:hideMark/>
          </w:tcPr>
          <w:p w14:paraId="37246E73" w14:textId="77777777" w:rsidR="00D96BF7" w:rsidRPr="00D96BF7" w:rsidRDefault="00D96BF7">
            <w:pPr>
              <w:jc w:val="right"/>
              <w:rPr>
                <w:color w:val="000000"/>
                <w:sz w:val="18"/>
                <w:szCs w:val="18"/>
              </w:rPr>
            </w:pPr>
            <w:r w:rsidRPr="00D96BF7">
              <w:rPr>
                <w:color w:val="000000"/>
                <w:sz w:val="18"/>
                <w:szCs w:val="18"/>
              </w:rPr>
              <w:t>9</w:t>
            </w:r>
          </w:p>
        </w:tc>
        <w:tc>
          <w:tcPr>
            <w:tcW w:w="280" w:type="pct"/>
            <w:shd w:val="clear" w:color="auto" w:fill="auto"/>
            <w:vAlign w:val="center"/>
            <w:hideMark/>
          </w:tcPr>
          <w:p w14:paraId="0BADF07F" w14:textId="77777777" w:rsidR="00D96BF7" w:rsidRPr="00D96BF7" w:rsidRDefault="00D96BF7">
            <w:pPr>
              <w:jc w:val="right"/>
              <w:rPr>
                <w:color w:val="000000"/>
                <w:sz w:val="18"/>
                <w:szCs w:val="18"/>
              </w:rPr>
            </w:pPr>
            <w:r w:rsidRPr="00D96BF7">
              <w:rPr>
                <w:color w:val="000000"/>
                <w:sz w:val="18"/>
                <w:szCs w:val="18"/>
              </w:rPr>
              <w:t>9</w:t>
            </w:r>
          </w:p>
        </w:tc>
        <w:tc>
          <w:tcPr>
            <w:tcW w:w="454" w:type="pct"/>
            <w:shd w:val="clear" w:color="auto" w:fill="auto"/>
            <w:vAlign w:val="center"/>
            <w:hideMark/>
          </w:tcPr>
          <w:p w14:paraId="2AEFECE3" w14:textId="77777777" w:rsidR="00D96BF7" w:rsidRPr="00D96BF7" w:rsidRDefault="00D96BF7">
            <w:pPr>
              <w:jc w:val="right"/>
              <w:rPr>
                <w:color w:val="000000"/>
                <w:sz w:val="18"/>
                <w:szCs w:val="18"/>
              </w:rPr>
            </w:pPr>
            <w:r w:rsidRPr="00D96BF7">
              <w:rPr>
                <w:color w:val="000000"/>
                <w:sz w:val="18"/>
                <w:szCs w:val="18"/>
              </w:rPr>
              <w:t>$376</w:t>
            </w:r>
          </w:p>
        </w:tc>
        <w:tc>
          <w:tcPr>
            <w:tcW w:w="376" w:type="pct"/>
            <w:shd w:val="clear" w:color="auto" w:fill="auto"/>
            <w:vAlign w:val="center"/>
            <w:hideMark/>
          </w:tcPr>
          <w:p w14:paraId="515F9582" w14:textId="77777777" w:rsidR="00D96BF7" w:rsidRPr="00D96BF7" w:rsidRDefault="00D96BF7">
            <w:pPr>
              <w:jc w:val="right"/>
              <w:rPr>
                <w:color w:val="000000"/>
                <w:sz w:val="18"/>
                <w:szCs w:val="18"/>
              </w:rPr>
            </w:pPr>
            <w:r w:rsidRPr="00D96BF7">
              <w:rPr>
                <w:color w:val="000000"/>
                <w:sz w:val="18"/>
                <w:szCs w:val="18"/>
              </w:rPr>
              <w:t>$376</w:t>
            </w:r>
          </w:p>
        </w:tc>
      </w:tr>
      <w:tr w:rsidR="0070240F" w14:paraId="4A1D20C6" w14:textId="77777777" w:rsidTr="0070240F">
        <w:trPr>
          <w:trHeight w:val="255"/>
        </w:trPr>
        <w:tc>
          <w:tcPr>
            <w:tcW w:w="992" w:type="pct"/>
            <w:shd w:val="clear" w:color="000000" w:fill="D9D9D9"/>
            <w:noWrap/>
            <w:vAlign w:val="bottom"/>
            <w:hideMark/>
          </w:tcPr>
          <w:p w14:paraId="6367D11D" w14:textId="77777777" w:rsidR="00D96BF7" w:rsidRPr="00D96BF7" w:rsidRDefault="00D96BF7">
            <w:pPr>
              <w:rPr>
                <w:color w:val="000000"/>
                <w:sz w:val="18"/>
                <w:szCs w:val="18"/>
              </w:rPr>
            </w:pPr>
            <w:r w:rsidRPr="00D96BF7">
              <w:rPr>
                <w:color w:val="000000"/>
                <w:sz w:val="18"/>
                <w:szCs w:val="18"/>
              </w:rPr>
              <w:t>Unauthorized Waste</w:t>
            </w:r>
          </w:p>
        </w:tc>
        <w:tc>
          <w:tcPr>
            <w:tcW w:w="256" w:type="pct"/>
            <w:shd w:val="clear" w:color="000000" w:fill="D9D9D9"/>
            <w:noWrap/>
            <w:vAlign w:val="bottom"/>
            <w:hideMark/>
          </w:tcPr>
          <w:p w14:paraId="20CE2226" w14:textId="77777777" w:rsidR="00D96BF7" w:rsidRPr="00D96BF7" w:rsidRDefault="00D96BF7">
            <w:pPr>
              <w:rPr>
                <w:color w:val="000000"/>
                <w:sz w:val="18"/>
                <w:szCs w:val="18"/>
              </w:rPr>
            </w:pPr>
            <w:r w:rsidRPr="00D96BF7">
              <w:rPr>
                <w:color w:val="000000"/>
                <w:sz w:val="18"/>
                <w:szCs w:val="18"/>
              </w:rPr>
              <w:t> </w:t>
            </w:r>
          </w:p>
        </w:tc>
        <w:tc>
          <w:tcPr>
            <w:tcW w:w="242" w:type="pct"/>
            <w:shd w:val="clear" w:color="000000" w:fill="D9D9D9"/>
            <w:noWrap/>
            <w:vAlign w:val="bottom"/>
            <w:hideMark/>
          </w:tcPr>
          <w:p w14:paraId="1F00D2C4" w14:textId="77777777" w:rsidR="00D96BF7" w:rsidRPr="00D96BF7" w:rsidRDefault="00D96BF7">
            <w:pPr>
              <w:rPr>
                <w:color w:val="000000"/>
                <w:sz w:val="18"/>
                <w:szCs w:val="18"/>
              </w:rPr>
            </w:pPr>
            <w:r w:rsidRPr="00D96BF7">
              <w:rPr>
                <w:color w:val="000000"/>
                <w:sz w:val="18"/>
                <w:szCs w:val="18"/>
              </w:rPr>
              <w:t> </w:t>
            </w:r>
          </w:p>
        </w:tc>
        <w:tc>
          <w:tcPr>
            <w:tcW w:w="277" w:type="pct"/>
            <w:shd w:val="clear" w:color="000000" w:fill="D9D9D9"/>
            <w:noWrap/>
            <w:vAlign w:val="bottom"/>
            <w:hideMark/>
          </w:tcPr>
          <w:p w14:paraId="7DA25D33" w14:textId="77777777" w:rsidR="00D96BF7" w:rsidRPr="00D96BF7" w:rsidRDefault="00D96BF7">
            <w:pPr>
              <w:rPr>
                <w:color w:val="000000"/>
                <w:sz w:val="18"/>
                <w:szCs w:val="18"/>
              </w:rPr>
            </w:pPr>
            <w:r w:rsidRPr="00D96BF7">
              <w:rPr>
                <w:color w:val="000000"/>
                <w:sz w:val="18"/>
                <w:szCs w:val="18"/>
              </w:rPr>
              <w:t> </w:t>
            </w:r>
          </w:p>
        </w:tc>
        <w:tc>
          <w:tcPr>
            <w:tcW w:w="313" w:type="pct"/>
            <w:shd w:val="clear" w:color="000000" w:fill="D9D9D9"/>
            <w:noWrap/>
            <w:vAlign w:val="bottom"/>
            <w:hideMark/>
          </w:tcPr>
          <w:p w14:paraId="58DE6FFA" w14:textId="77777777" w:rsidR="00D96BF7" w:rsidRPr="00D96BF7" w:rsidRDefault="00D96BF7">
            <w:pPr>
              <w:rPr>
                <w:color w:val="000000"/>
                <w:sz w:val="18"/>
                <w:szCs w:val="18"/>
              </w:rPr>
            </w:pPr>
            <w:r w:rsidRPr="00D96BF7">
              <w:rPr>
                <w:color w:val="000000"/>
                <w:sz w:val="18"/>
                <w:szCs w:val="18"/>
              </w:rPr>
              <w:t> </w:t>
            </w:r>
          </w:p>
        </w:tc>
        <w:tc>
          <w:tcPr>
            <w:tcW w:w="313" w:type="pct"/>
            <w:shd w:val="clear" w:color="000000" w:fill="D9D9D9"/>
            <w:noWrap/>
            <w:vAlign w:val="bottom"/>
            <w:hideMark/>
          </w:tcPr>
          <w:p w14:paraId="687AACCC" w14:textId="77777777" w:rsidR="00D96BF7" w:rsidRPr="00D96BF7" w:rsidRDefault="00D96BF7">
            <w:pPr>
              <w:rPr>
                <w:color w:val="000000"/>
                <w:sz w:val="18"/>
                <w:szCs w:val="18"/>
              </w:rPr>
            </w:pPr>
            <w:r w:rsidRPr="00D96BF7">
              <w:rPr>
                <w:color w:val="000000"/>
                <w:sz w:val="18"/>
                <w:szCs w:val="18"/>
              </w:rPr>
              <w:t> </w:t>
            </w:r>
          </w:p>
        </w:tc>
        <w:tc>
          <w:tcPr>
            <w:tcW w:w="243" w:type="pct"/>
            <w:shd w:val="clear" w:color="000000" w:fill="D9D9D9"/>
            <w:noWrap/>
            <w:vAlign w:val="bottom"/>
            <w:hideMark/>
          </w:tcPr>
          <w:p w14:paraId="45440C4A" w14:textId="77777777" w:rsidR="00D96BF7" w:rsidRPr="00D96BF7" w:rsidRDefault="00D96BF7">
            <w:pPr>
              <w:rPr>
                <w:color w:val="000000"/>
                <w:sz w:val="18"/>
                <w:szCs w:val="18"/>
              </w:rPr>
            </w:pPr>
            <w:r w:rsidRPr="00D96BF7">
              <w:rPr>
                <w:color w:val="000000"/>
                <w:sz w:val="18"/>
                <w:szCs w:val="18"/>
              </w:rPr>
              <w:t> </w:t>
            </w:r>
          </w:p>
        </w:tc>
        <w:tc>
          <w:tcPr>
            <w:tcW w:w="208" w:type="pct"/>
            <w:shd w:val="clear" w:color="000000" w:fill="D9D9D9"/>
            <w:vAlign w:val="center"/>
            <w:hideMark/>
          </w:tcPr>
          <w:p w14:paraId="5E984839" w14:textId="77777777" w:rsidR="00D96BF7" w:rsidRPr="00D96BF7" w:rsidRDefault="00D96BF7">
            <w:pPr>
              <w:jc w:val="right"/>
              <w:rPr>
                <w:color w:val="000000"/>
                <w:sz w:val="18"/>
                <w:szCs w:val="18"/>
              </w:rPr>
            </w:pPr>
            <w:r w:rsidRPr="00D96BF7">
              <w:rPr>
                <w:color w:val="000000"/>
                <w:sz w:val="18"/>
                <w:szCs w:val="18"/>
              </w:rPr>
              <w:t> </w:t>
            </w:r>
          </w:p>
        </w:tc>
        <w:tc>
          <w:tcPr>
            <w:tcW w:w="244" w:type="pct"/>
            <w:shd w:val="clear" w:color="000000" w:fill="D9D9D9"/>
            <w:noWrap/>
            <w:vAlign w:val="bottom"/>
            <w:hideMark/>
          </w:tcPr>
          <w:p w14:paraId="1317AEA4" w14:textId="77777777" w:rsidR="00D96BF7" w:rsidRPr="00D96BF7" w:rsidRDefault="00D96BF7">
            <w:pPr>
              <w:rPr>
                <w:color w:val="000000"/>
                <w:sz w:val="18"/>
                <w:szCs w:val="18"/>
              </w:rPr>
            </w:pPr>
            <w:r w:rsidRPr="00D96BF7">
              <w:rPr>
                <w:color w:val="000000"/>
                <w:sz w:val="18"/>
                <w:szCs w:val="18"/>
              </w:rPr>
              <w:t> </w:t>
            </w:r>
          </w:p>
        </w:tc>
        <w:tc>
          <w:tcPr>
            <w:tcW w:w="278" w:type="pct"/>
            <w:shd w:val="clear" w:color="000000" w:fill="D9D9D9"/>
            <w:noWrap/>
            <w:vAlign w:val="bottom"/>
            <w:hideMark/>
          </w:tcPr>
          <w:p w14:paraId="0E938DB1" w14:textId="77777777" w:rsidR="00D96BF7" w:rsidRPr="00D96BF7" w:rsidRDefault="00D96BF7">
            <w:pPr>
              <w:rPr>
                <w:color w:val="000000"/>
                <w:sz w:val="18"/>
                <w:szCs w:val="18"/>
              </w:rPr>
            </w:pPr>
            <w:r w:rsidRPr="00D96BF7">
              <w:rPr>
                <w:color w:val="000000"/>
                <w:sz w:val="18"/>
                <w:szCs w:val="18"/>
              </w:rPr>
              <w:t> </w:t>
            </w:r>
          </w:p>
        </w:tc>
        <w:tc>
          <w:tcPr>
            <w:tcW w:w="278" w:type="pct"/>
            <w:shd w:val="clear" w:color="000000" w:fill="D9D9D9"/>
            <w:noWrap/>
            <w:vAlign w:val="bottom"/>
            <w:hideMark/>
          </w:tcPr>
          <w:p w14:paraId="4DAF770C" w14:textId="77777777" w:rsidR="00D96BF7" w:rsidRPr="00D96BF7" w:rsidRDefault="00D96BF7">
            <w:pPr>
              <w:rPr>
                <w:color w:val="000000"/>
                <w:sz w:val="18"/>
                <w:szCs w:val="18"/>
              </w:rPr>
            </w:pPr>
            <w:r w:rsidRPr="00D96BF7">
              <w:rPr>
                <w:color w:val="000000"/>
                <w:sz w:val="18"/>
                <w:szCs w:val="18"/>
              </w:rPr>
              <w:t> </w:t>
            </w:r>
          </w:p>
        </w:tc>
        <w:tc>
          <w:tcPr>
            <w:tcW w:w="243" w:type="pct"/>
            <w:shd w:val="clear" w:color="000000" w:fill="D9D9D9"/>
            <w:noWrap/>
            <w:vAlign w:val="bottom"/>
            <w:hideMark/>
          </w:tcPr>
          <w:p w14:paraId="5F76E697" w14:textId="77777777" w:rsidR="00D96BF7" w:rsidRPr="00D96BF7" w:rsidRDefault="00D96BF7">
            <w:pPr>
              <w:rPr>
                <w:color w:val="000000"/>
                <w:sz w:val="18"/>
                <w:szCs w:val="18"/>
              </w:rPr>
            </w:pPr>
            <w:r w:rsidRPr="00D96BF7">
              <w:rPr>
                <w:color w:val="000000"/>
                <w:sz w:val="18"/>
                <w:szCs w:val="18"/>
              </w:rPr>
              <w:t> </w:t>
            </w:r>
          </w:p>
        </w:tc>
        <w:tc>
          <w:tcPr>
            <w:tcW w:w="280" w:type="pct"/>
            <w:shd w:val="clear" w:color="000000" w:fill="D9D9D9"/>
            <w:noWrap/>
            <w:vAlign w:val="bottom"/>
            <w:hideMark/>
          </w:tcPr>
          <w:p w14:paraId="6F7929E3" w14:textId="77777777" w:rsidR="00D96BF7" w:rsidRPr="00D96BF7" w:rsidRDefault="00D96BF7">
            <w:pPr>
              <w:rPr>
                <w:color w:val="000000"/>
                <w:sz w:val="18"/>
                <w:szCs w:val="18"/>
              </w:rPr>
            </w:pPr>
            <w:r w:rsidRPr="00D96BF7">
              <w:rPr>
                <w:color w:val="000000"/>
                <w:sz w:val="18"/>
                <w:szCs w:val="18"/>
              </w:rPr>
              <w:t> </w:t>
            </w:r>
          </w:p>
        </w:tc>
        <w:tc>
          <w:tcPr>
            <w:tcW w:w="454" w:type="pct"/>
            <w:shd w:val="clear" w:color="000000" w:fill="D9D9D9"/>
            <w:noWrap/>
            <w:vAlign w:val="bottom"/>
            <w:hideMark/>
          </w:tcPr>
          <w:p w14:paraId="1648CD0C" w14:textId="77777777" w:rsidR="00D96BF7" w:rsidRPr="00D96BF7" w:rsidRDefault="00D96BF7">
            <w:pPr>
              <w:rPr>
                <w:color w:val="000000"/>
                <w:sz w:val="18"/>
                <w:szCs w:val="18"/>
              </w:rPr>
            </w:pPr>
            <w:r w:rsidRPr="00D96BF7">
              <w:rPr>
                <w:color w:val="000000"/>
                <w:sz w:val="18"/>
                <w:szCs w:val="18"/>
              </w:rPr>
              <w:t> </w:t>
            </w:r>
          </w:p>
        </w:tc>
        <w:tc>
          <w:tcPr>
            <w:tcW w:w="376" w:type="pct"/>
            <w:shd w:val="clear" w:color="000000" w:fill="D9D9D9"/>
            <w:noWrap/>
            <w:vAlign w:val="bottom"/>
            <w:hideMark/>
          </w:tcPr>
          <w:p w14:paraId="01EF0846" w14:textId="77777777" w:rsidR="00D96BF7" w:rsidRPr="00D96BF7" w:rsidRDefault="00D96BF7">
            <w:pPr>
              <w:rPr>
                <w:color w:val="000000"/>
                <w:sz w:val="18"/>
                <w:szCs w:val="18"/>
              </w:rPr>
            </w:pPr>
            <w:r w:rsidRPr="00D96BF7">
              <w:rPr>
                <w:color w:val="000000"/>
                <w:sz w:val="18"/>
                <w:szCs w:val="18"/>
              </w:rPr>
              <w:t> </w:t>
            </w:r>
          </w:p>
        </w:tc>
      </w:tr>
      <w:tr w:rsidR="0070240F" w14:paraId="748044B0" w14:textId="77777777" w:rsidTr="0070240F">
        <w:trPr>
          <w:trHeight w:val="301"/>
        </w:trPr>
        <w:tc>
          <w:tcPr>
            <w:tcW w:w="992" w:type="pct"/>
            <w:shd w:val="clear" w:color="auto" w:fill="auto"/>
            <w:vAlign w:val="bottom"/>
            <w:hideMark/>
          </w:tcPr>
          <w:p w14:paraId="5A7F2060" w14:textId="77777777" w:rsidR="00D96BF7" w:rsidRPr="00D96BF7" w:rsidRDefault="00D96BF7">
            <w:pPr>
              <w:rPr>
                <w:color w:val="000000"/>
                <w:sz w:val="18"/>
                <w:szCs w:val="18"/>
              </w:rPr>
            </w:pPr>
            <w:r w:rsidRPr="00D96BF7">
              <w:rPr>
                <w:color w:val="000000"/>
                <w:sz w:val="18"/>
                <w:szCs w:val="18"/>
              </w:rPr>
              <w:t>Submit unauthorized waste report</w:t>
            </w:r>
          </w:p>
        </w:tc>
        <w:tc>
          <w:tcPr>
            <w:tcW w:w="256" w:type="pct"/>
            <w:shd w:val="clear" w:color="auto" w:fill="auto"/>
            <w:vAlign w:val="center"/>
            <w:hideMark/>
          </w:tcPr>
          <w:p w14:paraId="5A09E88D" w14:textId="77777777" w:rsidR="00D96BF7" w:rsidRPr="00D96BF7" w:rsidRDefault="00D96BF7">
            <w:pPr>
              <w:jc w:val="right"/>
              <w:rPr>
                <w:color w:val="000000"/>
                <w:sz w:val="18"/>
                <w:szCs w:val="18"/>
              </w:rPr>
            </w:pPr>
            <w:r w:rsidRPr="00D96BF7">
              <w:rPr>
                <w:color w:val="000000"/>
                <w:sz w:val="18"/>
                <w:szCs w:val="18"/>
              </w:rPr>
              <w:t>0</w:t>
            </w:r>
          </w:p>
        </w:tc>
        <w:tc>
          <w:tcPr>
            <w:tcW w:w="242" w:type="pct"/>
            <w:shd w:val="clear" w:color="auto" w:fill="auto"/>
            <w:vAlign w:val="center"/>
            <w:hideMark/>
          </w:tcPr>
          <w:p w14:paraId="492B55B8" w14:textId="77777777" w:rsidR="00D96BF7" w:rsidRPr="00D96BF7" w:rsidRDefault="00D96BF7">
            <w:pPr>
              <w:jc w:val="right"/>
              <w:rPr>
                <w:color w:val="000000"/>
                <w:sz w:val="18"/>
                <w:szCs w:val="18"/>
              </w:rPr>
            </w:pPr>
            <w:r w:rsidRPr="00D96BF7">
              <w:rPr>
                <w:color w:val="000000"/>
                <w:sz w:val="18"/>
                <w:szCs w:val="18"/>
              </w:rPr>
              <w:t>9.5</w:t>
            </w:r>
          </w:p>
        </w:tc>
        <w:tc>
          <w:tcPr>
            <w:tcW w:w="277" w:type="pct"/>
            <w:shd w:val="clear" w:color="auto" w:fill="auto"/>
            <w:vAlign w:val="center"/>
            <w:hideMark/>
          </w:tcPr>
          <w:p w14:paraId="1E844E49" w14:textId="77777777" w:rsidR="00D96BF7" w:rsidRPr="00D96BF7" w:rsidRDefault="00D96BF7">
            <w:pPr>
              <w:jc w:val="right"/>
              <w:rPr>
                <w:color w:val="000000"/>
                <w:sz w:val="18"/>
                <w:szCs w:val="18"/>
              </w:rPr>
            </w:pPr>
            <w:r w:rsidRPr="00D96BF7">
              <w:rPr>
                <w:color w:val="000000"/>
                <w:sz w:val="18"/>
                <w:szCs w:val="18"/>
              </w:rPr>
              <w:t>9.5</w:t>
            </w:r>
          </w:p>
        </w:tc>
        <w:tc>
          <w:tcPr>
            <w:tcW w:w="313" w:type="pct"/>
            <w:shd w:val="clear" w:color="auto" w:fill="auto"/>
            <w:vAlign w:val="center"/>
            <w:hideMark/>
          </w:tcPr>
          <w:p w14:paraId="54BC0336" w14:textId="77777777" w:rsidR="00D96BF7" w:rsidRPr="00D96BF7" w:rsidRDefault="00D96BF7">
            <w:pPr>
              <w:jc w:val="right"/>
              <w:rPr>
                <w:color w:val="000000"/>
                <w:sz w:val="18"/>
                <w:szCs w:val="18"/>
              </w:rPr>
            </w:pPr>
            <w:r w:rsidRPr="00D96BF7">
              <w:rPr>
                <w:color w:val="000000"/>
                <w:sz w:val="18"/>
                <w:szCs w:val="18"/>
              </w:rPr>
              <w:t>1.9</w:t>
            </w:r>
          </w:p>
        </w:tc>
        <w:tc>
          <w:tcPr>
            <w:tcW w:w="313" w:type="pct"/>
            <w:shd w:val="clear" w:color="auto" w:fill="auto"/>
            <w:vAlign w:val="center"/>
            <w:hideMark/>
          </w:tcPr>
          <w:p w14:paraId="4BD40D67" w14:textId="77777777" w:rsidR="00D96BF7" w:rsidRPr="00D96BF7" w:rsidRDefault="00D96BF7">
            <w:pPr>
              <w:jc w:val="right"/>
              <w:rPr>
                <w:color w:val="000000"/>
                <w:sz w:val="18"/>
                <w:szCs w:val="18"/>
              </w:rPr>
            </w:pPr>
            <w:r w:rsidRPr="00D96BF7">
              <w:rPr>
                <w:color w:val="000000"/>
                <w:sz w:val="18"/>
                <w:szCs w:val="18"/>
              </w:rPr>
              <w:t>20.90</w:t>
            </w:r>
          </w:p>
        </w:tc>
        <w:tc>
          <w:tcPr>
            <w:tcW w:w="243" w:type="pct"/>
            <w:shd w:val="clear" w:color="auto" w:fill="auto"/>
            <w:vAlign w:val="center"/>
            <w:hideMark/>
          </w:tcPr>
          <w:p w14:paraId="2112F9A4" w14:textId="77777777" w:rsidR="00D96BF7" w:rsidRPr="00D96BF7" w:rsidRDefault="00D96BF7">
            <w:pPr>
              <w:jc w:val="right"/>
              <w:rPr>
                <w:color w:val="000000"/>
                <w:sz w:val="18"/>
                <w:szCs w:val="18"/>
              </w:rPr>
            </w:pPr>
            <w:r w:rsidRPr="00D96BF7">
              <w:rPr>
                <w:color w:val="000000"/>
                <w:sz w:val="18"/>
                <w:szCs w:val="18"/>
              </w:rPr>
              <w:t xml:space="preserve">$1,593 </w:t>
            </w:r>
          </w:p>
        </w:tc>
        <w:tc>
          <w:tcPr>
            <w:tcW w:w="208" w:type="pct"/>
            <w:shd w:val="clear" w:color="auto" w:fill="auto"/>
            <w:vAlign w:val="center"/>
            <w:hideMark/>
          </w:tcPr>
          <w:p w14:paraId="6FFFDE85" w14:textId="77777777" w:rsidR="00D96BF7" w:rsidRPr="00D96BF7" w:rsidRDefault="00D96BF7">
            <w:pPr>
              <w:jc w:val="right"/>
              <w:rPr>
                <w:color w:val="000000"/>
                <w:sz w:val="18"/>
                <w:szCs w:val="18"/>
              </w:rPr>
            </w:pPr>
            <w:r w:rsidRPr="00D96BF7">
              <w:rPr>
                <w:color w:val="000000"/>
                <w:sz w:val="18"/>
                <w:szCs w:val="18"/>
              </w:rPr>
              <w:t xml:space="preserve">$0 </w:t>
            </w:r>
          </w:p>
        </w:tc>
        <w:tc>
          <w:tcPr>
            <w:tcW w:w="244" w:type="pct"/>
            <w:shd w:val="clear" w:color="auto" w:fill="auto"/>
            <w:vAlign w:val="center"/>
            <w:hideMark/>
          </w:tcPr>
          <w:p w14:paraId="46087B45" w14:textId="77777777" w:rsidR="00D96BF7" w:rsidRPr="00D96BF7" w:rsidRDefault="00D96BF7">
            <w:pPr>
              <w:jc w:val="right"/>
              <w:rPr>
                <w:color w:val="000000"/>
                <w:sz w:val="18"/>
                <w:szCs w:val="18"/>
              </w:rPr>
            </w:pPr>
            <w:r w:rsidRPr="00D96BF7">
              <w:rPr>
                <w:color w:val="000000"/>
                <w:sz w:val="18"/>
                <w:szCs w:val="18"/>
              </w:rPr>
              <w:t xml:space="preserve">$0 </w:t>
            </w:r>
          </w:p>
        </w:tc>
        <w:tc>
          <w:tcPr>
            <w:tcW w:w="278" w:type="pct"/>
            <w:shd w:val="clear" w:color="auto" w:fill="auto"/>
            <w:vAlign w:val="center"/>
            <w:hideMark/>
          </w:tcPr>
          <w:p w14:paraId="4E6DCFB8" w14:textId="77777777" w:rsidR="00D96BF7" w:rsidRPr="00D96BF7" w:rsidRDefault="00D96BF7">
            <w:pPr>
              <w:jc w:val="right"/>
              <w:rPr>
                <w:color w:val="000000"/>
                <w:sz w:val="18"/>
                <w:szCs w:val="18"/>
              </w:rPr>
            </w:pPr>
            <w:r w:rsidRPr="00D96BF7">
              <w:rPr>
                <w:color w:val="000000"/>
                <w:sz w:val="18"/>
                <w:szCs w:val="18"/>
              </w:rPr>
              <w:t>27</w:t>
            </w:r>
          </w:p>
        </w:tc>
        <w:tc>
          <w:tcPr>
            <w:tcW w:w="278" w:type="pct"/>
            <w:shd w:val="clear" w:color="auto" w:fill="auto"/>
            <w:vAlign w:val="center"/>
            <w:hideMark/>
          </w:tcPr>
          <w:p w14:paraId="65C6B4E3" w14:textId="77777777" w:rsidR="00D96BF7" w:rsidRPr="00D96BF7" w:rsidRDefault="00D96BF7">
            <w:pPr>
              <w:jc w:val="right"/>
              <w:rPr>
                <w:color w:val="000000"/>
                <w:sz w:val="18"/>
                <w:szCs w:val="18"/>
              </w:rPr>
            </w:pPr>
            <w:r w:rsidRPr="00D96BF7">
              <w:rPr>
                <w:color w:val="000000"/>
                <w:sz w:val="18"/>
                <w:szCs w:val="18"/>
              </w:rPr>
              <w:t>27</w:t>
            </w:r>
          </w:p>
        </w:tc>
        <w:tc>
          <w:tcPr>
            <w:tcW w:w="243" w:type="pct"/>
            <w:shd w:val="clear" w:color="auto" w:fill="auto"/>
            <w:vAlign w:val="center"/>
            <w:hideMark/>
          </w:tcPr>
          <w:p w14:paraId="131649A6" w14:textId="77777777" w:rsidR="00D96BF7" w:rsidRPr="00D96BF7" w:rsidRDefault="00D96BF7">
            <w:pPr>
              <w:jc w:val="right"/>
              <w:rPr>
                <w:color w:val="000000"/>
                <w:sz w:val="18"/>
                <w:szCs w:val="18"/>
              </w:rPr>
            </w:pPr>
            <w:r w:rsidRPr="00D96BF7">
              <w:rPr>
                <w:color w:val="000000"/>
                <w:sz w:val="18"/>
                <w:szCs w:val="18"/>
              </w:rPr>
              <w:t>564</w:t>
            </w:r>
          </w:p>
        </w:tc>
        <w:tc>
          <w:tcPr>
            <w:tcW w:w="280" w:type="pct"/>
            <w:shd w:val="clear" w:color="auto" w:fill="auto"/>
            <w:vAlign w:val="center"/>
            <w:hideMark/>
          </w:tcPr>
          <w:p w14:paraId="59142F55" w14:textId="77777777" w:rsidR="00D96BF7" w:rsidRPr="00D96BF7" w:rsidRDefault="00D96BF7">
            <w:pPr>
              <w:jc w:val="right"/>
              <w:rPr>
                <w:color w:val="000000"/>
                <w:sz w:val="18"/>
                <w:szCs w:val="18"/>
              </w:rPr>
            </w:pPr>
            <w:r w:rsidRPr="00D96BF7">
              <w:rPr>
                <w:color w:val="000000"/>
                <w:sz w:val="18"/>
                <w:szCs w:val="18"/>
              </w:rPr>
              <w:t>564</w:t>
            </w:r>
          </w:p>
        </w:tc>
        <w:tc>
          <w:tcPr>
            <w:tcW w:w="454" w:type="pct"/>
            <w:shd w:val="clear" w:color="auto" w:fill="auto"/>
            <w:vAlign w:val="center"/>
            <w:hideMark/>
          </w:tcPr>
          <w:p w14:paraId="7668BB66" w14:textId="77777777" w:rsidR="00D96BF7" w:rsidRPr="00D96BF7" w:rsidRDefault="00D96BF7">
            <w:pPr>
              <w:jc w:val="right"/>
              <w:rPr>
                <w:color w:val="000000"/>
                <w:sz w:val="18"/>
                <w:szCs w:val="18"/>
              </w:rPr>
            </w:pPr>
            <w:r w:rsidRPr="00D96BF7">
              <w:rPr>
                <w:color w:val="000000"/>
                <w:sz w:val="18"/>
                <w:szCs w:val="18"/>
              </w:rPr>
              <w:t>$43,019</w:t>
            </w:r>
          </w:p>
        </w:tc>
        <w:tc>
          <w:tcPr>
            <w:tcW w:w="376" w:type="pct"/>
            <w:shd w:val="clear" w:color="auto" w:fill="auto"/>
            <w:vAlign w:val="center"/>
            <w:hideMark/>
          </w:tcPr>
          <w:p w14:paraId="2AEA2AFF" w14:textId="77777777" w:rsidR="00D96BF7" w:rsidRPr="00D96BF7" w:rsidRDefault="00D96BF7">
            <w:pPr>
              <w:jc w:val="right"/>
              <w:rPr>
                <w:color w:val="000000"/>
                <w:sz w:val="18"/>
                <w:szCs w:val="18"/>
              </w:rPr>
            </w:pPr>
            <w:r w:rsidRPr="00D96BF7">
              <w:rPr>
                <w:color w:val="000000"/>
                <w:sz w:val="18"/>
                <w:szCs w:val="18"/>
              </w:rPr>
              <w:t>$43,019</w:t>
            </w:r>
          </w:p>
        </w:tc>
      </w:tr>
      <w:tr w:rsidR="0070240F" w14:paraId="7F293573" w14:textId="77777777" w:rsidTr="0070240F">
        <w:trPr>
          <w:trHeight w:val="255"/>
        </w:trPr>
        <w:tc>
          <w:tcPr>
            <w:tcW w:w="992" w:type="pct"/>
            <w:shd w:val="clear" w:color="000000" w:fill="D9D9D9"/>
            <w:noWrap/>
            <w:vAlign w:val="bottom"/>
            <w:hideMark/>
          </w:tcPr>
          <w:p w14:paraId="77D7FBC9" w14:textId="77777777" w:rsidR="00D96BF7" w:rsidRPr="00D96BF7" w:rsidRDefault="00D96BF7">
            <w:pPr>
              <w:rPr>
                <w:color w:val="000000"/>
                <w:sz w:val="18"/>
                <w:szCs w:val="18"/>
              </w:rPr>
            </w:pPr>
            <w:r w:rsidRPr="00D96BF7">
              <w:rPr>
                <w:color w:val="000000"/>
                <w:sz w:val="18"/>
                <w:szCs w:val="18"/>
              </w:rPr>
              <w:t>Biennial Reporting</w:t>
            </w:r>
          </w:p>
        </w:tc>
        <w:tc>
          <w:tcPr>
            <w:tcW w:w="256" w:type="pct"/>
            <w:shd w:val="clear" w:color="000000" w:fill="D9D9D9"/>
            <w:noWrap/>
            <w:vAlign w:val="bottom"/>
            <w:hideMark/>
          </w:tcPr>
          <w:p w14:paraId="33E344EF" w14:textId="77777777" w:rsidR="00D96BF7" w:rsidRPr="00D96BF7" w:rsidRDefault="00D96BF7">
            <w:pPr>
              <w:rPr>
                <w:color w:val="000000"/>
                <w:sz w:val="18"/>
                <w:szCs w:val="18"/>
              </w:rPr>
            </w:pPr>
            <w:r w:rsidRPr="00D96BF7">
              <w:rPr>
                <w:color w:val="000000"/>
                <w:sz w:val="18"/>
                <w:szCs w:val="18"/>
              </w:rPr>
              <w:t> </w:t>
            </w:r>
          </w:p>
        </w:tc>
        <w:tc>
          <w:tcPr>
            <w:tcW w:w="242" w:type="pct"/>
            <w:shd w:val="clear" w:color="000000" w:fill="D9D9D9"/>
            <w:noWrap/>
            <w:vAlign w:val="bottom"/>
            <w:hideMark/>
          </w:tcPr>
          <w:p w14:paraId="30D8427E" w14:textId="77777777" w:rsidR="00D96BF7" w:rsidRPr="00D96BF7" w:rsidRDefault="00D96BF7">
            <w:pPr>
              <w:rPr>
                <w:color w:val="000000"/>
                <w:sz w:val="18"/>
                <w:szCs w:val="18"/>
              </w:rPr>
            </w:pPr>
            <w:r w:rsidRPr="00D96BF7">
              <w:rPr>
                <w:color w:val="000000"/>
                <w:sz w:val="18"/>
                <w:szCs w:val="18"/>
              </w:rPr>
              <w:t> </w:t>
            </w:r>
          </w:p>
        </w:tc>
        <w:tc>
          <w:tcPr>
            <w:tcW w:w="277" w:type="pct"/>
            <w:shd w:val="clear" w:color="000000" w:fill="D9D9D9"/>
            <w:noWrap/>
            <w:vAlign w:val="bottom"/>
            <w:hideMark/>
          </w:tcPr>
          <w:p w14:paraId="737BA20E" w14:textId="77777777" w:rsidR="00D96BF7" w:rsidRPr="00D96BF7" w:rsidRDefault="00D96BF7">
            <w:pPr>
              <w:rPr>
                <w:color w:val="000000"/>
                <w:sz w:val="18"/>
                <w:szCs w:val="18"/>
              </w:rPr>
            </w:pPr>
            <w:r w:rsidRPr="00D96BF7">
              <w:rPr>
                <w:color w:val="000000"/>
                <w:sz w:val="18"/>
                <w:szCs w:val="18"/>
              </w:rPr>
              <w:t> </w:t>
            </w:r>
          </w:p>
        </w:tc>
        <w:tc>
          <w:tcPr>
            <w:tcW w:w="313" w:type="pct"/>
            <w:shd w:val="clear" w:color="000000" w:fill="D9D9D9"/>
            <w:noWrap/>
            <w:vAlign w:val="bottom"/>
            <w:hideMark/>
          </w:tcPr>
          <w:p w14:paraId="6904DB75" w14:textId="77777777" w:rsidR="00D96BF7" w:rsidRPr="00D96BF7" w:rsidRDefault="00D96BF7">
            <w:pPr>
              <w:rPr>
                <w:color w:val="000000"/>
                <w:sz w:val="18"/>
                <w:szCs w:val="18"/>
              </w:rPr>
            </w:pPr>
            <w:r w:rsidRPr="00D96BF7">
              <w:rPr>
                <w:color w:val="000000"/>
                <w:sz w:val="18"/>
                <w:szCs w:val="18"/>
              </w:rPr>
              <w:t> </w:t>
            </w:r>
          </w:p>
        </w:tc>
        <w:tc>
          <w:tcPr>
            <w:tcW w:w="313" w:type="pct"/>
            <w:shd w:val="clear" w:color="000000" w:fill="D9D9D9"/>
            <w:noWrap/>
            <w:vAlign w:val="bottom"/>
            <w:hideMark/>
          </w:tcPr>
          <w:p w14:paraId="7A6418C1" w14:textId="77777777" w:rsidR="00D96BF7" w:rsidRPr="00D96BF7" w:rsidRDefault="00D96BF7">
            <w:pPr>
              <w:rPr>
                <w:color w:val="000000"/>
                <w:sz w:val="18"/>
                <w:szCs w:val="18"/>
              </w:rPr>
            </w:pPr>
            <w:r w:rsidRPr="00D96BF7">
              <w:rPr>
                <w:color w:val="000000"/>
                <w:sz w:val="18"/>
                <w:szCs w:val="18"/>
              </w:rPr>
              <w:t> </w:t>
            </w:r>
          </w:p>
        </w:tc>
        <w:tc>
          <w:tcPr>
            <w:tcW w:w="243" w:type="pct"/>
            <w:shd w:val="clear" w:color="000000" w:fill="D9D9D9"/>
            <w:noWrap/>
            <w:vAlign w:val="bottom"/>
            <w:hideMark/>
          </w:tcPr>
          <w:p w14:paraId="6D168A9D" w14:textId="77777777" w:rsidR="00D96BF7" w:rsidRPr="00D96BF7" w:rsidRDefault="00D96BF7">
            <w:pPr>
              <w:rPr>
                <w:color w:val="000000"/>
                <w:sz w:val="18"/>
                <w:szCs w:val="18"/>
              </w:rPr>
            </w:pPr>
            <w:r w:rsidRPr="00D96BF7">
              <w:rPr>
                <w:color w:val="000000"/>
                <w:sz w:val="18"/>
                <w:szCs w:val="18"/>
              </w:rPr>
              <w:t> </w:t>
            </w:r>
          </w:p>
        </w:tc>
        <w:tc>
          <w:tcPr>
            <w:tcW w:w="208" w:type="pct"/>
            <w:shd w:val="clear" w:color="000000" w:fill="D9D9D9"/>
            <w:vAlign w:val="center"/>
            <w:hideMark/>
          </w:tcPr>
          <w:p w14:paraId="14D09576" w14:textId="77777777" w:rsidR="00D96BF7" w:rsidRPr="00D96BF7" w:rsidRDefault="00D96BF7">
            <w:pPr>
              <w:jc w:val="right"/>
              <w:rPr>
                <w:color w:val="000000"/>
                <w:sz w:val="18"/>
                <w:szCs w:val="18"/>
              </w:rPr>
            </w:pPr>
            <w:r w:rsidRPr="00D96BF7">
              <w:rPr>
                <w:color w:val="000000"/>
                <w:sz w:val="18"/>
                <w:szCs w:val="18"/>
              </w:rPr>
              <w:t> </w:t>
            </w:r>
          </w:p>
        </w:tc>
        <w:tc>
          <w:tcPr>
            <w:tcW w:w="244" w:type="pct"/>
            <w:shd w:val="clear" w:color="000000" w:fill="D9D9D9"/>
            <w:noWrap/>
            <w:vAlign w:val="bottom"/>
            <w:hideMark/>
          </w:tcPr>
          <w:p w14:paraId="21027D0D" w14:textId="77777777" w:rsidR="00D96BF7" w:rsidRPr="00D96BF7" w:rsidRDefault="00D96BF7">
            <w:pPr>
              <w:rPr>
                <w:color w:val="000000"/>
                <w:sz w:val="18"/>
                <w:szCs w:val="18"/>
              </w:rPr>
            </w:pPr>
            <w:r w:rsidRPr="00D96BF7">
              <w:rPr>
                <w:color w:val="000000"/>
                <w:sz w:val="18"/>
                <w:szCs w:val="18"/>
              </w:rPr>
              <w:t> </w:t>
            </w:r>
          </w:p>
        </w:tc>
        <w:tc>
          <w:tcPr>
            <w:tcW w:w="278" w:type="pct"/>
            <w:shd w:val="clear" w:color="000000" w:fill="D9D9D9"/>
            <w:noWrap/>
            <w:vAlign w:val="bottom"/>
            <w:hideMark/>
          </w:tcPr>
          <w:p w14:paraId="77842380" w14:textId="77777777" w:rsidR="00D96BF7" w:rsidRPr="00D96BF7" w:rsidRDefault="00D96BF7">
            <w:pPr>
              <w:rPr>
                <w:color w:val="000000"/>
                <w:sz w:val="18"/>
                <w:szCs w:val="18"/>
              </w:rPr>
            </w:pPr>
            <w:r w:rsidRPr="00D96BF7">
              <w:rPr>
                <w:color w:val="000000"/>
                <w:sz w:val="18"/>
                <w:szCs w:val="18"/>
              </w:rPr>
              <w:t> </w:t>
            </w:r>
          </w:p>
        </w:tc>
        <w:tc>
          <w:tcPr>
            <w:tcW w:w="278" w:type="pct"/>
            <w:shd w:val="clear" w:color="000000" w:fill="D9D9D9"/>
            <w:noWrap/>
            <w:vAlign w:val="bottom"/>
            <w:hideMark/>
          </w:tcPr>
          <w:p w14:paraId="2352E627" w14:textId="77777777" w:rsidR="00D96BF7" w:rsidRPr="00D96BF7" w:rsidRDefault="00D96BF7">
            <w:pPr>
              <w:rPr>
                <w:color w:val="000000"/>
                <w:sz w:val="18"/>
                <w:szCs w:val="18"/>
              </w:rPr>
            </w:pPr>
            <w:r w:rsidRPr="00D96BF7">
              <w:rPr>
                <w:color w:val="000000"/>
                <w:sz w:val="18"/>
                <w:szCs w:val="18"/>
              </w:rPr>
              <w:t> </w:t>
            </w:r>
          </w:p>
        </w:tc>
        <w:tc>
          <w:tcPr>
            <w:tcW w:w="243" w:type="pct"/>
            <w:shd w:val="clear" w:color="000000" w:fill="D9D9D9"/>
            <w:noWrap/>
            <w:vAlign w:val="bottom"/>
            <w:hideMark/>
          </w:tcPr>
          <w:p w14:paraId="3E543B5D" w14:textId="77777777" w:rsidR="00D96BF7" w:rsidRPr="00D96BF7" w:rsidRDefault="00D96BF7">
            <w:pPr>
              <w:rPr>
                <w:color w:val="000000"/>
                <w:sz w:val="18"/>
                <w:szCs w:val="18"/>
              </w:rPr>
            </w:pPr>
            <w:r w:rsidRPr="00D96BF7">
              <w:rPr>
                <w:color w:val="000000"/>
                <w:sz w:val="18"/>
                <w:szCs w:val="18"/>
              </w:rPr>
              <w:t> </w:t>
            </w:r>
          </w:p>
        </w:tc>
        <w:tc>
          <w:tcPr>
            <w:tcW w:w="280" w:type="pct"/>
            <w:shd w:val="clear" w:color="000000" w:fill="D9D9D9"/>
            <w:noWrap/>
            <w:vAlign w:val="bottom"/>
            <w:hideMark/>
          </w:tcPr>
          <w:p w14:paraId="4076266B" w14:textId="77777777" w:rsidR="00D96BF7" w:rsidRPr="00D96BF7" w:rsidRDefault="00D96BF7">
            <w:pPr>
              <w:rPr>
                <w:color w:val="000000"/>
                <w:sz w:val="18"/>
                <w:szCs w:val="18"/>
              </w:rPr>
            </w:pPr>
            <w:r w:rsidRPr="00D96BF7">
              <w:rPr>
                <w:color w:val="000000"/>
                <w:sz w:val="18"/>
                <w:szCs w:val="18"/>
              </w:rPr>
              <w:t> </w:t>
            </w:r>
          </w:p>
        </w:tc>
        <w:tc>
          <w:tcPr>
            <w:tcW w:w="454" w:type="pct"/>
            <w:shd w:val="clear" w:color="000000" w:fill="D9D9D9"/>
            <w:noWrap/>
            <w:vAlign w:val="bottom"/>
            <w:hideMark/>
          </w:tcPr>
          <w:p w14:paraId="0FACA33A" w14:textId="77777777" w:rsidR="00D96BF7" w:rsidRPr="00D96BF7" w:rsidRDefault="00D96BF7">
            <w:pPr>
              <w:rPr>
                <w:color w:val="000000"/>
                <w:sz w:val="18"/>
                <w:szCs w:val="18"/>
              </w:rPr>
            </w:pPr>
            <w:r w:rsidRPr="00D96BF7">
              <w:rPr>
                <w:color w:val="000000"/>
                <w:sz w:val="18"/>
                <w:szCs w:val="18"/>
              </w:rPr>
              <w:t> </w:t>
            </w:r>
          </w:p>
        </w:tc>
        <w:tc>
          <w:tcPr>
            <w:tcW w:w="376" w:type="pct"/>
            <w:shd w:val="clear" w:color="000000" w:fill="D9D9D9"/>
            <w:noWrap/>
            <w:vAlign w:val="bottom"/>
            <w:hideMark/>
          </w:tcPr>
          <w:p w14:paraId="6CFE9F11" w14:textId="77777777" w:rsidR="00D96BF7" w:rsidRPr="00D96BF7" w:rsidRDefault="00D96BF7">
            <w:pPr>
              <w:rPr>
                <w:color w:val="000000"/>
                <w:sz w:val="18"/>
                <w:szCs w:val="18"/>
              </w:rPr>
            </w:pPr>
            <w:r w:rsidRPr="00D96BF7">
              <w:rPr>
                <w:color w:val="000000"/>
                <w:sz w:val="18"/>
                <w:szCs w:val="18"/>
              </w:rPr>
              <w:t> </w:t>
            </w:r>
          </w:p>
        </w:tc>
      </w:tr>
      <w:tr w:rsidR="0070240F" w14:paraId="771D2FAF" w14:textId="77777777" w:rsidTr="0070240F">
        <w:trPr>
          <w:trHeight w:val="301"/>
        </w:trPr>
        <w:tc>
          <w:tcPr>
            <w:tcW w:w="992" w:type="pct"/>
            <w:shd w:val="clear" w:color="auto" w:fill="auto"/>
            <w:vAlign w:val="bottom"/>
            <w:hideMark/>
          </w:tcPr>
          <w:p w14:paraId="6AF47ABB" w14:textId="30FC6B34" w:rsidR="00D96BF7" w:rsidRPr="00D96BF7" w:rsidRDefault="00D96BF7" w:rsidP="00D96BF7">
            <w:pPr>
              <w:rPr>
                <w:color w:val="000000"/>
                <w:sz w:val="18"/>
                <w:szCs w:val="18"/>
              </w:rPr>
            </w:pPr>
            <w:r w:rsidRPr="00D96BF7">
              <w:rPr>
                <w:color w:val="000000"/>
                <w:sz w:val="18"/>
                <w:szCs w:val="18"/>
              </w:rPr>
              <w:t xml:space="preserve">Gather info and </w:t>
            </w:r>
            <w:r>
              <w:rPr>
                <w:color w:val="000000"/>
                <w:sz w:val="18"/>
                <w:szCs w:val="18"/>
              </w:rPr>
              <w:t>prepare</w:t>
            </w:r>
            <w:r w:rsidRPr="00D96BF7">
              <w:rPr>
                <w:color w:val="000000"/>
                <w:sz w:val="18"/>
                <w:szCs w:val="18"/>
              </w:rPr>
              <w:t xml:space="preserve"> GM Forms (total)</w:t>
            </w:r>
          </w:p>
        </w:tc>
        <w:tc>
          <w:tcPr>
            <w:tcW w:w="256" w:type="pct"/>
            <w:shd w:val="clear" w:color="auto" w:fill="auto"/>
            <w:vAlign w:val="center"/>
            <w:hideMark/>
          </w:tcPr>
          <w:p w14:paraId="40153ECF" w14:textId="77777777" w:rsidR="00D96BF7" w:rsidRPr="00D96BF7" w:rsidRDefault="00D96BF7">
            <w:pPr>
              <w:jc w:val="right"/>
              <w:rPr>
                <w:color w:val="000000"/>
                <w:sz w:val="18"/>
                <w:szCs w:val="18"/>
              </w:rPr>
            </w:pPr>
            <w:r w:rsidRPr="00D96BF7">
              <w:rPr>
                <w:color w:val="000000"/>
                <w:sz w:val="18"/>
                <w:szCs w:val="18"/>
              </w:rPr>
              <w:t>0</w:t>
            </w:r>
          </w:p>
        </w:tc>
        <w:tc>
          <w:tcPr>
            <w:tcW w:w="242" w:type="pct"/>
            <w:shd w:val="clear" w:color="auto" w:fill="auto"/>
            <w:vAlign w:val="center"/>
            <w:hideMark/>
          </w:tcPr>
          <w:p w14:paraId="0A17742D" w14:textId="77777777" w:rsidR="00D96BF7" w:rsidRPr="00D96BF7" w:rsidRDefault="00D96BF7">
            <w:pPr>
              <w:jc w:val="right"/>
              <w:rPr>
                <w:color w:val="000000"/>
                <w:sz w:val="18"/>
                <w:szCs w:val="18"/>
              </w:rPr>
            </w:pPr>
            <w:r w:rsidRPr="00D96BF7">
              <w:rPr>
                <w:color w:val="000000"/>
                <w:sz w:val="18"/>
                <w:szCs w:val="18"/>
              </w:rPr>
              <w:t>9.1</w:t>
            </w:r>
          </w:p>
        </w:tc>
        <w:tc>
          <w:tcPr>
            <w:tcW w:w="277" w:type="pct"/>
            <w:shd w:val="clear" w:color="auto" w:fill="auto"/>
            <w:vAlign w:val="center"/>
            <w:hideMark/>
          </w:tcPr>
          <w:p w14:paraId="40D0A82E" w14:textId="77777777" w:rsidR="00D96BF7" w:rsidRPr="00D96BF7" w:rsidRDefault="00D96BF7">
            <w:pPr>
              <w:jc w:val="right"/>
              <w:rPr>
                <w:color w:val="000000"/>
                <w:sz w:val="18"/>
                <w:szCs w:val="18"/>
              </w:rPr>
            </w:pPr>
            <w:r w:rsidRPr="00D96BF7">
              <w:rPr>
                <w:color w:val="000000"/>
                <w:sz w:val="18"/>
                <w:szCs w:val="18"/>
              </w:rPr>
              <w:t>10.5</w:t>
            </w:r>
          </w:p>
        </w:tc>
        <w:tc>
          <w:tcPr>
            <w:tcW w:w="313" w:type="pct"/>
            <w:shd w:val="clear" w:color="auto" w:fill="auto"/>
            <w:vAlign w:val="center"/>
            <w:hideMark/>
          </w:tcPr>
          <w:p w14:paraId="1FD0D1A4" w14:textId="77777777" w:rsidR="00D96BF7" w:rsidRPr="00D96BF7" w:rsidRDefault="00D96BF7">
            <w:pPr>
              <w:jc w:val="right"/>
              <w:rPr>
                <w:color w:val="000000"/>
                <w:sz w:val="18"/>
                <w:szCs w:val="18"/>
              </w:rPr>
            </w:pPr>
            <w:r w:rsidRPr="00D96BF7">
              <w:rPr>
                <w:color w:val="000000"/>
                <w:sz w:val="18"/>
                <w:szCs w:val="18"/>
              </w:rPr>
              <w:t>2.8</w:t>
            </w:r>
          </w:p>
        </w:tc>
        <w:tc>
          <w:tcPr>
            <w:tcW w:w="313" w:type="pct"/>
            <w:shd w:val="clear" w:color="auto" w:fill="auto"/>
            <w:vAlign w:val="center"/>
            <w:hideMark/>
          </w:tcPr>
          <w:p w14:paraId="29074DC2" w14:textId="77777777" w:rsidR="00D96BF7" w:rsidRPr="00D96BF7" w:rsidRDefault="00D96BF7">
            <w:pPr>
              <w:jc w:val="right"/>
              <w:rPr>
                <w:color w:val="000000"/>
                <w:sz w:val="18"/>
                <w:szCs w:val="18"/>
              </w:rPr>
            </w:pPr>
            <w:r w:rsidRPr="00D96BF7">
              <w:rPr>
                <w:color w:val="000000"/>
                <w:sz w:val="18"/>
                <w:szCs w:val="18"/>
              </w:rPr>
              <w:t>22.40</w:t>
            </w:r>
          </w:p>
        </w:tc>
        <w:tc>
          <w:tcPr>
            <w:tcW w:w="243" w:type="pct"/>
            <w:shd w:val="clear" w:color="auto" w:fill="auto"/>
            <w:vAlign w:val="center"/>
            <w:hideMark/>
          </w:tcPr>
          <w:p w14:paraId="183EC267" w14:textId="77777777" w:rsidR="00D96BF7" w:rsidRPr="00D96BF7" w:rsidRDefault="00D96BF7">
            <w:pPr>
              <w:jc w:val="right"/>
              <w:rPr>
                <w:color w:val="000000"/>
                <w:sz w:val="18"/>
                <w:szCs w:val="18"/>
              </w:rPr>
            </w:pPr>
            <w:r w:rsidRPr="00D96BF7">
              <w:rPr>
                <w:color w:val="000000"/>
                <w:sz w:val="18"/>
                <w:szCs w:val="18"/>
              </w:rPr>
              <w:t xml:space="preserve">$1,630 </w:t>
            </w:r>
          </w:p>
        </w:tc>
        <w:tc>
          <w:tcPr>
            <w:tcW w:w="208" w:type="pct"/>
            <w:shd w:val="clear" w:color="auto" w:fill="auto"/>
            <w:vAlign w:val="center"/>
            <w:hideMark/>
          </w:tcPr>
          <w:p w14:paraId="3AB4A25D" w14:textId="77777777" w:rsidR="00D96BF7" w:rsidRPr="00D96BF7" w:rsidRDefault="00D96BF7">
            <w:pPr>
              <w:jc w:val="right"/>
              <w:rPr>
                <w:color w:val="000000"/>
                <w:sz w:val="18"/>
                <w:szCs w:val="18"/>
              </w:rPr>
            </w:pPr>
            <w:r w:rsidRPr="00D96BF7">
              <w:rPr>
                <w:color w:val="000000"/>
                <w:sz w:val="18"/>
                <w:szCs w:val="18"/>
              </w:rPr>
              <w:t xml:space="preserve">$0 </w:t>
            </w:r>
          </w:p>
        </w:tc>
        <w:tc>
          <w:tcPr>
            <w:tcW w:w="244" w:type="pct"/>
            <w:shd w:val="clear" w:color="auto" w:fill="auto"/>
            <w:vAlign w:val="center"/>
            <w:hideMark/>
          </w:tcPr>
          <w:p w14:paraId="3EC5A56C" w14:textId="77777777" w:rsidR="00D96BF7" w:rsidRPr="00D96BF7" w:rsidRDefault="00D96BF7">
            <w:pPr>
              <w:jc w:val="right"/>
              <w:rPr>
                <w:color w:val="000000"/>
                <w:sz w:val="18"/>
                <w:szCs w:val="18"/>
              </w:rPr>
            </w:pPr>
            <w:r w:rsidRPr="00D96BF7">
              <w:rPr>
                <w:color w:val="000000"/>
                <w:sz w:val="18"/>
                <w:szCs w:val="18"/>
              </w:rPr>
              <w:t xml:space="preserve">$0 </w:t>
            </w:r>
          </w:p>
        </w:tc>
        <w:tc>
          <w:tcPr>
            <w:tcW w:w="278" w:type="pct"/>
            <w:shd w:val="clear" w:color="auto" w:fill="auto"/>
            <w:vAlign w:val="center"/>
            <w:hideMark/>
          </w:tcPr>
          <w:p w14:paraId="3F67FFB2" w14:textId="77777777" w:rsidR="00D96BF7" w:rsidRPr="00D96BF7" w:rsidRDefault="00D96BF7">
            <w:pPr>
              <w:jc w:val="right"/>
              <w:rPr>
                <w:color w:val="000000"/>
                <w:sz w:val="18"/>
                <w:szCs w:val="18"/>
              </w:rPr>
            </w:pPr>
            <w:r w:rsidRPr="00D96BF7">
              <w:rPr>
                <w:color w:val="000000"/>
                <w:sz w:val="18"/>
                <w:szCs w:val="18"/>
              </w:rPr>
              <w:t>27</w:t>
            </w:r>
          </w:p>
        </w:tc>
        <w:tc>
          <w:tcPr>
            <w:tcW w:w="278" w:type="pct"/>
            <w:shd w:val="clear" w:color="auto" w:fill="auto"/>
            <w:vAlign w:val="center"/>
            <w:hideMark/>
          </w:tcPr>
          <w:p w14:paraId="13C912E1" w14:textId="77777777" w:rsidR="00D96BF7" w:rsidRPr="00D96BF7" w:rsidRDefault="00D96BF7">
            <w:pPr>
              <w:jc w:val="right"/>
              <w:rPr>
                <w:color w:val="000000"/>
                <w:sz w:val="18"/>
                <w:szCs w:val="18"/>
              </w:rPr>
            </w:pPr>
            <w:r w:rsidRPr="00D96BF7">
              <w:rPr>
                <w:color w:val="000000"/>
                <w:sz w:val="18"/>
                <w:szCs w:val="18"/>
              </w:rPr>
              <w:t>27</w:t>
            </w:r>
          </w:p>
        </w:tc>
        <w:tc>
          <w:tcPr>
            <w:tcW w:w="243" w:type="pct"/>
            <w:shd w:val="clear" w:color="auto" w:fill="auto"/>
            <w:vAlign w:val="center"/>
            <w:hideMark/>
          </w:tcPr>
          <w:p w14:paraId="23E5F298" w14:textId="77777777" w:rsidR="00D96BF7" w:rsidRPr="00D96BF7" w:rsidRDefault="00D96BF7">
            <w:pPr>
              <w:jc w:val="right"/>
              <w:rPr>
                <w:color w:val="000000"/>
                <w:sz w:val="18"/>
                <w:szCs w:val="18"/>
              </w:rPr>
            </w:pPr>
            <w:r w:rsidRPr="00D96BF7">
              <w:rPr>
                <w:color w:val="000000"/>
                <w:sz w:val="18"/>
                <w:szCs w:val="18"/>
              </w:rPr>
              <w:t>605</w:t>
            </w:r>
          </w:p>
        </w:tc>
        <w:tc>
          <w:tcPr>
            <w:tcW w:w="280" w:type="pct"/>
            <w:shd w:val="clear" w:color="auto" w:fill="auto"/>
            <w:vAlign w:val="center"/>
            <w:hideMark/>
          </w:tcPr>
          <w:p w14:paraId="4798752E" w14:textId="77777777" w:rsidR="00D96BF7" w:rsidRPr="00D96BF7" w:rsidRDefault="00D96BF7">
            <w:pPr>
              <w:jc w:val="right"/>
              <w:rPr>
                <w:color w:val="000000"/>
                <w:sz w:val="18"/>
                <w:szCs w:val="18"/>
              </w:rPr>
            </w:pPr>
            <w:r w:rsidRPr="00D96BF7">
              <w:rPr>
                <w:color w:val="000000"/>
                <w:sz w:val="18"/>
                <w:szCs w:val="18"/>
              </w:rPr>
              <w:t>605</w:t>
            </w:r>
          </w:p>
        </w:tc>
        <w:tc>
          <w:tcPr>
            <w:tcW w:w="454" w:type="pct"/>
            <w:shd w:val="clear" w:color="auto" w:fill="auto"/>
            <w:vAlign w:val="center"/>
            <w:hideMark/>
          </w:tcPr>
          <w:p w14:paraId="3ED435E2" w14:textId="77777777" w:rsidR="00D96BF7" w:rsidRPr="00D96BF7" w:rsidRDefault="00D96BF7">
            <w:pPr>
              <w:jc w:val="right"/>
              <w:rPr>
                <w:color w:val="000000"/>
                <w:sz w:val="18"/>
                <w:szCs w:val="18"/>
              </w:rPr>
            </w:pPr>
            <w:r w:rsidRPr="00D96BF7">
              <w:rPr>
                <w:color w:val="000000"/>
                <w:sz w:val="18"/>
                <w:szCs w:val="18"/>
              </w:rPr>
              <w:t>$44,022</w:t>
            </w:r>
          </w:p>
        </w:tc>
        <w:tc>
          <w:tcPr>
            <w:tcW w:w="376" w:type="pct"/>
            <w:shd w:val="clear" w:color="auto" w:fill="auto"/>
            <w:vAlign w:val="center"/>
            <w:hideMark/>
          </w:tcPr>
          <w:p w14:paraId="6E240693" w14:textId="77777777" w:rsidR="00D96BF7" w:rsidRPr="00D96BF7" w:rsidRDefault="00D96BF7">
            <w:pPr>
              <w:jc w:val="right"/>
              <w:rPr>
                <w:color w:val="000000"/>
                <w:sz w:val="18"/>
                <w:szCs w:val="18"/>
              </w:rPr>
            </w:pPr>
            <w:r w:rsidRPr="00D96BF7">
              <w:rPr>
                <w:color w:val="000000"/>
                <w:sz w:val="18"/>
                <w:szCs w:val="18"/>
              </w:rPr>
              <w:t>$44,022</w:t>
            </w:r>
          </w:p>
        </w:tc>
      </w:tr>
      <w:tr w:rsidR="0070240F" w14:paraId="08E5871A" w14:textId="77777777" w:rsidTr="0070240F">
        <w:trPr>
          <w:trHeight w:val="255"/>
        </w:trPr>
        <w:tc>
          <w:tcPr>
            <w:tcW w:w="992" w:type="pct"/>
            <w:shd w:val="clear" w:color="000000" w:fill="D9D9D9"/>
            <w:noWrap/>
            <w:vAlign w:val="bottom"/>
            <w:hideMark/>
          </w:tcPr>
          <w:p w14:paraId="35BB3733" w14:textId="77777777" w:rsidR="00D96BF7" w:rsidRPr="00D96BF7" w:rsidRDefault="00D96BF7">
            <w:pPr>
              <w:rPr>
                <w:color w:val="000000"/>
                <w:sz w:val="18"/>
                <w:szCs w:val="18"/>
              </w:rPr>
            </w:pPr>
            <w:r w:rsidRPr="00D96BF7">
              <w:rPr>
                <w:color w:val="000000"/>
                <w:sz w:val="18"/>
                <w:szCs w:val="18"/>
              </w:rPr>
              <w:t>Containers</w:t>
            </w:r>
          </w:p>
        </w:tc>
        <w:tc>
          <w:tcPr>
            <w:tcW w:w="256" w:type="pct"/>
            <w:shd w:val="clear" w:color="000000" w:fill="D9D9D9"/>
            <w:noWrap/>
            <w:vAlign w:val="bottom"/>
            <w:hideMark/>
          </w:tcPr>
          <w:p w14:paraId="6A416549" w14:textId="77777777" w:rsidR="00D96BF7" w:rsidRPr="00D96BF7" w:rsidRDefault="00D96BF7">
            <w:pPr>
              <w:rPr>
                <w:color w:val="000000"/>
                <w:sz w:val="18"/>
                <w:szCs w:val="18"/>
              </w:rPr>
            </w:pPr>
            <w:r w:rsidRPr="00D96BF7">
              <w:rPr>
                <w:color w:val="000000"/>
                <w:sz w:val="18"/>
                <w:szCs w:val="18"/>
              </w:rPr>
              <w:t> </w:t>
            </w:r>
          </w:p>
        </w:tc>
        <w:tc>
          <w:tcPr>
            <w:tcW w:w="242" w:type="pct"/>
            <w:shd w:val="clear" w:color="000000" w:fill="D9D9D9"/>
            <w:noWrap/>
            <w:vAlign w:val="bottom"/>
            <w:hideMark/>
          </w:tcPr>
          <w:p w14:paraId="69D77F7A" w14:textId="77777777" w:rsidR="00D96BF7" w:rsidRPr="00D96BF7" w:rsidRDefault="00D96BF7">
            <w:pPr>
              <w:rPr>
                <w:color w:val="000000"/>
                <w:sz w:val="18"/>
                <w:szCs w:val="18"/>
              </w:rPr>
            </w:pPr>
            <w:r w:rsidRPr="00D96BF7">
              <w:rPr>
                <w:color w:val="000000"/>
                <w:sz w:val="18"/>
                <w:szCs w:val="18"/>
              </w:rPr>
              <w:t> </w:t>
            </w:r>
          </w:p>
        </w:tc>
        <w:tc>
          <w:tcPr>
            <w:tcW w:w="277" w:type="pct"/>
            <w:shd w:val="clear" w:color="000000" w:fill="D9D9D9"/>
            <w:noWrap/>
            <w:vAlign w:val="bottom"/>
            <w:hideMark/>
          </w:tcPr>
          <w:p w14:paraId="0B4262FC" w14:textId="77777777" w:rsidR="00D96BF7" w:rsidRPr="00D96BF7" w:rsidRDefault="00D96BF7">
            <w:pPr>
              <w:rPr>
                <w:color w:val="000000"/>
                <w:sz w:val="18"/>
                <w:szCs w:val="18"/>
              </w:rPr>
            </w:pPr>
            <w:r w:rsidRPr="00D96BF7">
              <w:rPr>
                <w:color w:val="000000"/>
                <w:sz w:val="18"/>
                <w:szCs w:val="18"/>
              </w:rPr>
              <w:t> </w:t>
            </w:r>
          </w:p>
        </w:tc>
        <w:tc>
          <w:tcPr>
            <w:tcW w:w="313" w:type="pct"/>
            <w:shd w:val="clear" w:color="000000" w:fill="D9D9D9"/>
            <w:noWrap/>
            <w:vAlign w:val="bottom"/>
            <w:hideMark/>
          </w:tcPr>
          <w:p w14:paraId="0CDC1419" w14:textId="77777777" w:rsidR="00D96BF7" w:rsidRPr="00D96BF7" w:rsidRDefault="00D96BF7">
            <w:pPr>
              <w:rPr>
                <w:color w:val="000000"/>
                <w:sz w:val="18"/>
                <w:szCs w:val="18"/>
              </w:rPr>
            </w:pPr>
            <w:r w:rsidRPr="00D96BF7">
              <w:rPr>
                <w:color w:val="000000"/>
                <w:sz w:val="18"/>
                <w:szCs w:val="18"/>
              </w:rPr>
              <w:t> </w:t>
            </w:r>
          </w:p>
        </w:tc>
        <w:tc>
          <w:tcPr>
            <w:tcW w:w="313" w:type="pct"/>
            <w:shd w:val="clear" w:color="000000" w:fill="D9D9D9"/>
            <w:noWrap/>
            <w:vAlign w:val="bottom"/>
            <w:hideMark/>
          </w:tcPr>
          <w:p w14:paraId="71FBBF8C" w14:textId="77777777" w:rsidR="00D96BF7" w:rsidRPr="00D96BF7" w:rsidRDefault="00D96BF7">
            <w:pPr>
              <w:rPr>
                <w:color w:val="000000"/>
                <w:sz w:val="18"/>
                <w:szCs w:val="18"/>
              </w:rPr>
            </w:pPr>
            <w:r w:rsidRPr="00D96BF7">
              <w:rPr>
                <w:color w:val="000000"/>
                <w:sz w:val="18"/>
                <w:szCs w:val="18"/>
              </w:rPr>
              <w:t> </w:t>
            </w:r>
          </w:p>
        </w:tc>
        <w:tc>
          <w:tcPr>
            <w:tcW w:w="243" w:type="pct"/>
            <w:shd w:val="clear" w:color="000000" w:fill="D9D9D9"/>
            <w:noWrap/>
            <w:vAlign w:val="bottom"/>
            <w:hideMark/>
          </w:tcPr>
          <w:p w14:paraId="61F04E1A" w14:textId="77777777" w:rsidR="00D96BF7" w:rsidRPr="00D96BF7" w:rsidRDefault="00D96BF7">
            <w:pPr>
              <w:rPr>
                <w:color w:val="000000"/>
                <w:sz w:val="18"/>
                <w:szCs w:val="18"/>
              </w:rPr>
            </w:pPr>
            <w:r w:rsidRPr="00D96BF7">
              <w:rPr>
                <w:color w:val="000000"/>
                <w:sz w:val="18"/>
                <w:szCs w:val="18"/>
              </w:rPr>
              <w:t> </w:t>
            </w:r>
          </w:p>
        </w:tc>
        <w:tc>
          <w:tcPr>
            <w:tcW w:w="208" w:type="pct"/>
            <w:shd w:val="clear" w:color="000000" w:fill="D9D9D9"/>
            <w:vAlign w:val="center"/>
            <w:hideMark/>
          </w:tcPr>
          <w:p w14:paraId="5AF1192E" w14:textId="77777777" w:rsidR="00D96BF7" w:rsidRPr="00D96BF7" w:rsidRDefault="00D96BF7">
            <w:pPr>
              <w:jc w:val="right"/>
              <w:rPr>
                <w:color w:val="000000"/>
                <w:sz w:val="18"/>
                <w:szCs w:val="18"/>
              </w:rPr>
            </w:pPr>
            <w:r w:rsidRPr="00D96BF7">
              <w:rPr>
                <w:color w:val="000000"/>
                <w:sz w:val="18"/>
                <w:szCs w:val="18"/>
              </w:rPr>
              <w:t> </w:t>
            </w:r>
          </w:p>
        </w:tc>
        <w:tc>
          <w:tcPr>
            <w:tcW w:w="244" w:type="pct"/>
            <w:shd w:val="clear" w:color="000000" w:fill="D9D9D9"/>
            <w:noWrap/>
            <w:vAlign w:val="bottom"/>
            <w:hideMark/>
          </w:tcPr>
          <w:p w14:paraId="6E5FDC77" w14:textId="77777777" w:rsidR="00D96BF7" w:rsidRPr="00D96BF7" w:rsidRDefault="00D96BF7">
            <w:pPr>
              <w:rPr>
                <w:color w:val="000000"/>
                <w:sz w:val="18"/>
                <w:szCs w:val="18"/>
              </w:rPr>
            </w:pPr>
            <w:r w:rsidRPr="00D96BF7">
              <w:rPr>
                <w:color w:val="000000"/>
                <w:sz w:val="18"/>
                <w:szCs w:val="18"/>
              </w:rPr>
              <w:t> </w:t>
            </w:r>
          </w:p>
        </w:tc>
        <w:tc>
          <w:tcPr>
            <w:tcW w:w="278" w:type="pct"/>
            <w:shd w:val="clear" w:color="000000" w:fill="D9D9D9"/>
            <w:noWrap/>
            <w:vAlign w:val="bottom"/>
            <w:hideMark/>
          </w:tcPr>
          <w:p w14:paraId="6E99AA81" w14:textId="77777777" w:rsidR="00D96BF7" w:rsidRPr="00D96BF7" w:rsidRDefault="00D96BF7">
            <w:pPr>
              <w:rPr>
                <w:color w:val="000000"/>
                <w:sz w:val="18"/>
                <w:szCs w:val="18"/>
              </w:rPr>
            </w:pPr>
            <w:r w:rsidRPr="00D96BF7">
              <w:rPr>
                <w:color w:val="000000"/>
                <w:sz w:val="18"/>
                <w:szCs w:val="18"/>
              </w:rPr>
              <w:t> </w:t>
            </w:r>
          </w:p>
        </w:tc>
        <w:tc>
          <w:tcPr>
            <w:tcW w:w="278" w:type="pct"/>
            <w:shd w:val="clear" w:color="000000" w:fill="D9D9D9"/>
            <w:noWrap/>
            <w:vAlign w:val="bottom"/>
            <w:hideMark/>
          </w:tcPr>
          <w:p w14:paraId="182EF8A6" w14:textId="77777777" w:rsidR="00D96BF7" w:rsidRPr="00D96BF7" w:rsidRDefault="00D96BF7">
            <w:pPr>
              <w:rPr>
                <w:color w:val="000000"/>
                <w:sz w:val="18"/>
                <w:szCs w:val="18"/>
              </w:rPr>
            </w:pPr>
            <w:r w:rsidRPr="00D96BF7">
              <w:rPr>
                <w:color w:val="000000"/>
                <w:sz w:val="18"/>
                <w:szCs w:val="18"/>
              </w:rPr>
              <w:t> </w:t>
            </w:r>
          </w:p>
        </w:tc>
        <w:tc>
          <w:tcPr>
            <w:tcW w:w="243" w:type="pct"/>
            <w:shd w:val="clear" w:color="000000" w:fill="D9D9D9"/>
            <w:noWrap/>
            <w:vAlign w:val="bottom"/>
            <w:hideMark/>
          </w:tcPr>
          <w:p w14:paraId="5D05AD6D" w14:textId="77777777" w:rsidR="00D96BF7" w:rsidRPr="00D96BF7" w:rsidRDefault="00D96BF7">
            <w:pPr>
              <w:rPr>
                <w:color w:val="000000"/>
                <w:sz w:val="18"/>
                <w:szCs w:val="18"/>
              </w:rPr>
            </w:pPr>
            <w:r w:rsidRPr="00D96BF7">
              <w:rPr>
                <w:color w:val="000000"/>
                <w:sz w:val="18"/>
                <w:szCs w:val="18"/>
              </w:rPr>
              <w:t> </w:t>
            </w:r>
          </w:p>
        </w:tc>
        <w:tc>
          <w:tcPr>
            <w:tcW w:w="280" w:type="pct"/>
            <w:shd w:val="clear" w:color="000000" w:fill="D9D9D9"/>
            <w:noWrap/>
            <w:vAlign w:val="bottom"/>
            <w:hideMark/>
          </w:tcPr>
          <w:p w14:paraId="3DDB267C" w14:textId="77777777" w:rsidR="00D96BF7" w:rsidRPr="00D96BF7" w:rsidRDefault="00D96BF7">
            <w:pPr>
              <w:rPr>
                <w:color w:val="000000"/>
                <w:sz w:val="18"/>
                <w:szCs w:val="18"/>
              </w:rPr>
            </w:pPr>
            <w:r w:rsidRPr="00D96BF7">
              <w:rPr>
                <w:color w:val="000000"/>
                <w:sz w:val="18"/>
                <w:szCs w:val="18"/>
              </w:rPr>
              <w:t> </w:t>
            </w:r>
          </w:p>
        </w:tc>
        <w:tc>
          <w:tcPr>
            <w:tcW w:w="454" w:type="pct"/>
            <w:shd w:val="clear" w:color="000000" w:fill="D9D9D9"/>
            <w:noWrap/>
            <w:vAlign w:val="bottom"/>
            <w:hideMark/>
          </w:tcPr>
          <w:p w14:paraId="1B602E81" w14:textId="77777777" w:rsidR="00D96BF7" w:rsidRPr="00D96BF7" w:rsidRDefault="00D96BF7">
            <w:pPr>
              <w:rPr>
                <w:color w:val="000000"/>
                <w:sz w:val="18"/>
                <w:szCs w:val="18"/>
              </w:rPr>
            </w:pPr>
            <w:r w:rsidRPr="00D96BF7">
              <w:rPr>
                <w:color w:val="000000"/>
                <w:sz w:val="18"/>
                <w:szCs w:val="18"/>
              </w:rPr>
              <w:t> </w:t>
            </w:r>
          </w:p>
        </w:tc>
        <w:tc>
          <w:tcPr>
            <w:tcW w:w="376" w:type="pct"/>
            <w:shd w:val="clear" w:color="000000" w:fill="D9D9D9"/>
            <w:noWrap/>
            <w:vAlign w:val="bottom"/>
            <w:hideMark/>
          </w:tcPr>
          <w:p w14:paraId="53E4BAF7" w14:textId="77777777" w:rsidR="00D96BF7" w:rsidRPr="00D96BF7" w:rsidRDefault="00D96BF7">
            <w:pPr>
              <w:rPr>
                <w:color w:val="000000"/>
                <w:sz w:val="18"/>
                <w:szCs w:val="18"/>
              </w:rPr>
            </w:pPr>
            <w:r w:rsidRPr="00D96BF7">
              <w:rPr>
                <w:color w:val="000000"/>
                <w:sz w:val="18"/>
                <w:szCs w:val="18"/>
              </w:rPr>
              <w:t> </w:t>
            </w:r>
          </w:p>
        </w:tc>
      </w:tr>
      <w:tr w:rsidR="0070240F" w14:paraId="331D2F93" w14:textId="77777777" w:rsidTr="0070240F">
        <w:trPr>
          <w:trHeight w:val="301"/>
        </w:trPr>
        <w:tc>
          <w:tcPr>
            <w:tcW w:w="992" w:type="pct"/>
            <w:shd w:val="clear" w:color="auto" w:fill="auto"/>
            <w:vAlign w:val="bottom"/>
            <w:hideMark/>
          </w:tcPr>
          <w:p w14:paraId="687C9D1A" w14:textId="77777777" w:rsidR="00D96BF7" w:rsidRPr="00D96BF7" w:rsidRDefault="00D96BF7">
            <w:pPr>
              <w:rPr>
                <w:color w:val="000000"/>
                <w:sz w:val="18"/>
                <w:szCs w:val="18"/>
              </w:rPr>
            </w:pPr>
            <w:r w:rsidRPr="00D96BF7">
              <w:rPr>
                <w:color w:val="000000"/>
                <w:sz w:val="18"/>
                <w:szCs w:val="18"/>
              </w:rPr>
              <w:t>Mark containers with waste codes</w:t>
            </w:r>
          </w:p>
        </w:tc>
        <w:tc>
          <w:tcPr>
            <w:tcW w:w="256" w:type="pct"/>
            <w:shd w:val="clear" w:color="auto" w:fill="auto"/>
            <w:vAlign w:val="center"/>
            <w:hideMark/>
          </w:tcPr>
          <w:p w14:paraId="0FA3D22E" w14:textId="77777777" w:rsidR="00D96BF7" w:rsidRPr="00D96BF7" w:rsidRDefault="00D96BF7">
            <w:pPr>
              <w:jc w:val="right"/>
              <w:rPr>
                <w:color w:val="000000"/>
                <w:sz w:val="18"/>
                <w:szCs w:val="18"/>
              </w:rPr>
            </w:pPr>
            <w:r w:rsidRPr="00D96BF7">
              <w:rPr>
                <w:color w:val="000000"/>
                <w:sz w:val="18"/>
                <w:szCs w:val="18"/>
              </w:rPr>
              <w:t>0</w:t>
            </w:r>
          </w:p>
        </w:tc>
        <w:tc>
          <w:tcPr>
            <w:tcW w:w="242" w:type="pct"/>
            <w:shd w:val="clear" w:color="auto" w:fill="auto"/>
            <w:vAlign w:val="center"/>
            <w:hideMark/>
          </w:tcPr>
          <w:p w14:paraId="1AC2D91F" w14:textId="77777777" w:rsidR="00D96BF7" w:rsidRPr="00D96BF7" w:rsidRDefault="00D96BF7">
            <w:pPr>
              <w:jc w:val="right"/>
              <w:rPr>
                <w:color w:val="000000"/>
                <w:sz w:val="18"/>
                <w:szCs w:val="18"/>
              </w:rPr>
            </w:pPr>
            <w:r w:rsidRPr="00D96BF7">
              <w:rPr>
                <w:color w:val="000000"/>
                <w:sz w:val="18"/>
                <w:szCs w:val="18"/>
              </w:rPr>
              <w:t>0</w:t>
            </w:r>
          </w:p>
        </w:tc>
        <w:tc>
          <w:tcPr>
            <w:tcW w:w="277" w:type="pct"/>
            <w:shd w:val="clear" w:color="auto" w:fill="auto"/>
            <w:vAlign w:val="center"/>
            <w:hideMark/>
          </w:tcPr>
          <w:p w14:paraId="40104CC2" w14:textId="77777777" w:rsidR="00D96BF7" w:rsidRPr="00D96BF7" w:rsidRDefault="00D96BF7">
            <w:pPr>
              <w:jc w:val="right"/>
              <w:rPr>
                <w:color w:val="000000"/>
                <w:sz w:val="18"/>
                <w:szCs w:val="18"/>
              </w:rPr>
            </w:pPr>
            <w:r w:rsidRPr="00D96BF7">
              <w:rPr>
                <w:color w:val="000000"/>
                <w:sz w:val="18"/>
                <w:szCs w:val="18"/>
              </w:rPr>
              <w:t>0.08</w:t>
            </w:r>
          </w:p>
        </w:tc>
        <w:tc>
          <w:tcPr>
            <w:tcW w:w="313" w:type="pct"/>
            <w:shd w:val="clear" w:color="auto" w:fill="auto"/>
            <w:vAlign w:val="center"/>
            <w:hideMark/>
          </w:tcPr>
          <w:p w14:paraId="4C5D87CA" w14:textId="77777777" w:rsidR="00D96BF7" w:rsidRPr="00D96BF7" w:rsidRDefault="00D96BF7">
            <w:pPr>
              <w:jc w:val="right"/>
              <w:rPr>
                <w:color w:val="000000"/>
                <w:sz w:val="18"/>
                <w:szCs w:val="18"/>
              </w:rPr>
            </w:pPr>
            <w:r w:rsidRPr="00D96BF7">
              <w:rPr>
                <w:color w:val="000000"/>
                <w:sz w:val="18"/>
                <w:szCs w:val="18"/>
              </w:rPr>
              <w:t>0</w:t>
            </w:r>
          </w:p>
        </w:tc>
        <w:tc>
          <w:tcPr>
            <w:tcW w:w="313" w:type="pct"/>
            <w:shd w:val="clear" w:color="auto" w:fill="auto"/>
            <w:vAlign w:val="center"/>
            <w:hideMark/>
          </w:tcPr>
          <w:p w14:paraId="3B2F3E01" w14:textId="77777777" w:rsidR="00D96BF7" w:rsidRPr="00D96BF7" w:rsidRDefault="00D96BF7">
            <w:pPr>
              <w:jc w:val="right"/>
              <w:rPr>
                <w:color w:val="000000"/>
                <w:sz w:val="18"/>
                <w:szCs w:val="18"/>
              </w:rPr>
            </w:pPr>
            <w:r w:rsidRPr="00D96BF7">
              <w:rPr>
                <w:color w:val="000000"/>
                <w:sz w:val="18"/>
                <w:szCs w:val="18"/>
              </w:rPr>
              <w:t>0.08</w:t>
            </w:r>
          </w:p>
        </w:tc>
        <w:tc>
          <w:tcPr>
            <w:tcW w:w="243" w:type="pct"/>
            <w:shd w:val="clear" w:color="auto" w:fill="auto"/>
            <w:vAlign w:val="center"/>
            <w:hideMark/>
          </w:tcPr>
          <w:p w14:paraId="1E6A7C3D" w14:textId="77777777" w:rsidR="00D96BF7" w:rsidRPr="00D96BF7" w:rsidRDefault="00D96BF7">
            <w:pPr>
              <w:jc w:val="right"/>
              <w:rPr>
                <w:color w:val="000000"/>
                <w:sz w:val="18"/>
                <w:szCs w:val="18"/>
              </w:rPr>
            </w:pPr>
            <w:r w:rsidRPr="00D96BF7">
              <w:rPr>
                <w:color w:val="000000"/>
                <w:sz w:val="18"/>
                <w:szCs w:val="18"/>
              </w:rPr>
              <w:t xml:space="preserve">$4 </w:t>
            </w:r>
          </w:p>
        </w:tc>
        <w:tc>
          <w:tcPr>
            <w:tcW w:w="208" w:type="pct"/>
            <w:shd w:val="clear" w:color="auto" w:fill="auto"/>
            <w:vAlign w:val="center"/>
            <w:hideMark/>
          </w:tcPr>
          <w:p w14:paraId="762CFBC3" w14:textId="77777777" w:rsidR="00D96BF7" w:rsidRPr="00D96BF7" w:rsidRDefault="00D96BF7">
            <w:pPr>
              <w:jc w:val="right"/>
              <w:rPr>
                <w:color w:val="000000"/>
                <w:sz w:val="18"/>
                <w:szCs w:val="18"/>
              </w:rPr>
            </w:pPr>
            <w:r w:rsidRPr="00D96BF7">
              <w:rPr>
                <w:color w:val="000000"/>
                <w:sz w:val="18"/>
                <w:szCs w:val="18"/>
              </w:rPr>
              <w:t xml:space="preserve">$0 </w:t>
            </w:r>
          </w:p>
        </w:tc>
        <w:tc>
          <w:tcPr>
            <w:tcW w:w="244" w:type="pct"/>
            <w:shd w:val="clear" w:color="auto" w:fill="auto"/>
            <w:vAlign w:val="center"/>
            <w:hideMark/>
          </w:tcPr>
          <w:p w14:paraId="36C34C3F" w14:textId="77777777" w:rsidR="00D96BF7" w:rsidRPr="00D96BF7" w:rsidRDefault="00D96BF7">
            <w:pPr>
              <w:jc w:val="right"/>
              <w:rPr>
                <w:color w:val="000000"/>
                <w:sz w:val="18"/>
                <w:szCs w:val="18"/>
              </w:rPr>
            </w:pPr>
            <w:r w:rsidRPr="00D96BF7">
              <w:rPr>
                <w:color w:val="000000"/>
                <w:sz w:val="18"/>
                <w:szCs w:val="18"/>
              </w:rPr>
              <w:t xml:space="preserve">$0 </w:t>
            </w:r>
          </w:p>
        </w:tc>
        <w:tc>
          <w:tcPr>
            <w:tcW w:w="278" w:type="pct"/>
            <w:shd w:val="clear" w:color="auto" w:fill="auto"/>
            <w:vAlign w:val="center"/>
            <w:hideMark/>
          </w:tcPr>
          <w:p w14:paraId="7D50CFA5" w14:textId="77777777" w:rsidR="00D96BF7" w:rsidRPr="00D96BF7" w:rsidRDefault="00D96BF7">
            <w:pPr>
              <w:jc w:val="right"/>
              <w:rPr>
                <w:color w:val="000000"/>
                <w:sz w:val="18"/>
                <w:szCs w:val="18"/>
              </w:rPr>
            </w:pPr>
            <w:r w:rsidRPr="00D96BF7">
              <w:rPr>
                <w:color w:val="000000"/>
                <w:sz w:val="18"/>
                <w:szCs w:val="18"/>
              </w:rPr>
              <w:t>27</w:t>
            </w:r>
          </w:p>
        </w:tc>
        <w:tc>
          <w:tcPr>
            <w:tcW w:w="278" w:type="pct"/>
            <w:shd w:val="clear" w:color="auto" w:fill="auto"/>
            <w:vAlign w:val="center"/>
            <w:hideMark/>
          </w:tcPr>
          <w:p w14:paraId="203AE714" w14:textId="77777777" w:rsidR="00D96BF7" w:rsidRPr="00D96BF7" w:rsidRDefault="00D96BF7">
            <w:pPr>
              <w:jc w:val="right"/>
              <w:rPr>
                <w:color w:val="000000"/>
                <w:sz w:val="18"/>
                <w:szCs w:val="18"/>
              </w:rPr>
            </w:pPr>
            <w:r w:rsidRPr="00D96BF7">
              <w:rPr>
                <w:color w:val="000000"/>
                <w:sz w:val="18"/>
                <w:szCs w:val="18"/>
              </w:rPr>
              <w:t>27</w:t>
            </w:r>
          </w:p>
        </w:tc>
        <w:tc>
          <w:tcPr>
            <w:tcW w:w="243" w:type="pct"/>
            <w:shd w:val="clear" w:color="auto" w:fill="auto"/>
            <w:vAlign w:val="center"/>
            <w:hideMark/>
          </w:tcPr>
          <w:p w14:paraId="0EBFA0BE" w14:textId="77777777" w:rsidR="00D96BF7" w:rsidRPr="00D96BF7" w:rsidRDefault="00D96BF7">
            <w:pPr>
              <w:jc w:val="right"/>
              <w:rPr>
                <w:color w:val="000000"/>
                <w:sz w:val="18"/>
                <w:szCs w:val="18"/>
              </w:rPr>
            </w:pPr>
            <w:r w:rsidRPr="00D96BF7">
              <w:rPr>
                <w:color w:val="000000"/>
                <w:sz w:val="18"/>
                <w:szCs w:val="18"/>
              </w:rPr>
              <w:t>2</w:t>
            </w:r>
          </w:p>
        </w:tc>
        <w:tc>
          <w:tcPr>
            <w:tcW w:w="280" w:type="pct"/>
            <w:shd w:val="clear" w:color="auto" w:fill="auto"/>
            <w:vAlign w:val="center"/>
            <w:hideMark/>
          </w:tcPr>
          <w:p w14:paraId="68864E85" w14:textId="77777777" w:rsidR="00D96BF7" w:rsidRPr="00D96BF7" w:rsidRDefault="00D96BF7">
            <w:pPr>
              <w:jc w:val="right"/>
              <w:rPr>
                <w:color w:val="000000"/>
                <w:sz w:val="18"/>
                <w:szCs w:val="18"/>
              </w:rPr>
            </w:pPr>
            <w:r w:rsidRPr="00D96BF7">
              <w:rPr>
                <w:color w:val="000000"/>
                <w:sz w:val="18"/>
                <w:szCs w:val="18"/>
              </w:rPr>
              <w:t>2</w:t>
            </w:r>
          </w:p>
        </w:tc>
        <w:tc>
          <w:tcPr>
            <w:tcW w:w="454" w:type="pct"/>
            <w:shd w:val="clear" w:color="auto" w:fill="auto"/>
            <w:vAlign w:val="center"/>
            <w:hideMark/>
          </w:tcPr>
          <w:p w14:paraId="037F38AF" w14:textId="77777777" w:rsidR="00D96BF7" w:rsidRPr="00D96BF7" w:rsidRDefault="00D96BF7">
            <w:pPr>
              <w:jc w:val="right"/>
              <w:rPr>
                <w:color w:val="000000"/>
                <w:sz w:val="18"/>
                <w:szCs w:val="18"/>
              </w:rPr>
            </w:pPr>
            <w:r w:rsidRPr="00D96BF7">
              <w:rPr>
                <w:color w:val="000000"/>
                <w:sz w:val="18"/>
                <w:szCs w:val="18"/>
              </w:rPr>
              <w:t>$115</w:t>
            </w:r>
          </w:p>
        </w:tc>
        <w:tc>
          <w:tcPr>
            <w:tcW w:w="376" w:type="pct"/>
            <w:shd w:val="clear" w:color="auto" w:fill="auto"/>
            <w:vAlign w:val="center"/>
            <w:hideMark/>
          </w:tcPr>
          <w:p w14:paraId="42AE486C" w14:textId="77777777" w:rsidR="00D96BF7" w:rsidRPr="00D96BF7" w:rsidRDefault="00D96BF7">
            <w:pPr>
              <w:jc w:val="right"/>
              <w:rPr>
                <w:color w:val="000000"/>
                <w:sz w:val="18"/>
                <w:szCs w:val="18"/>
              </w:rPr>
            </w:pPr>
            <w:r w:rsidRPr="00D96BF7">
              <w:rPr>
                <w:color w:val="000000"/>
                <w:sz w:val="18"/>
                <w:szCs w:val="18"/>
              </w:rPr>
              <w:t>$115</w:t>
            </w:r>
          </w:p>
        </w:tc>
      </w:tr>
      <w:tr w:rsidR="00D96BF7" w14:paraId="369354EC" w14:textId="77777777" w:rsidTr="0070240F">
        <w:trPr>
          <w:trHeight w:val="255"/>
        </w:trPr>
        <w:tc>
          <w:tcPr>
            <w:tcW w:w="3645" w:type="pct"/>
            <w:gridSpan w:val="11"/>
            <w:shd w:val="clear" w:color="000000" w:fill="D9D9D9"/>
            <w:vAlign w:val="center"/>
            <w:hideMark/>
          </w:tcPr>
          <w:p w14:paraId="770BC87E" w14:textId="529A764C" w:rsidR="00D96BF7" w:rsidRPr="00D96BF7" w:rsidRDefault="00D96BF7" w:rsidP="00D96BF7">
            <w:pPr>
              <w:rPr>
                <w:b/>
                <w:bCs/>
                <w:color w:val="000000"/>
                <w:sz w:val="18"/>
                <w:szCs w:val="18"/>
              </w:rPr>
            </w:pPr>
            <w:r w:rsidRPr="00D96BF7">
              <w:rPr>
                <w:b/>
                <w:bCs/>
                <w:color w:val="000000"/>
                <w:sz w:val="18"/>
                <w:szCs w:val="18"/>
              </w:rPr>
              <w:t>TOTAL ONE-TIME COSTS </w:t>
            </w:r>
          </w:p>
          <w:p w14:paraId="2DF92925" w14:textId="450BF6E7" w:rsidR="00D96BF7" w:rsidRPr="00D96BF7" w:rsidRDefault="00D96BF7">
            <w:pPr>
              <w:jc w:val="center"/>
              <w:rPr>
                <w:b/>
                <w:bCs/>
                <w:color w:val="000000"/>
                <w:sz w:val="18"/>
                <w:szCs w:val="18"/>
              </w:rPr>
            </w:pPr>
            <w:r w:rsidRPr="00D96BF7">
              <w:rPr>
                <w:b/>
                <w:bCs/>
                <w:color w:val="000000"/>
                <w:sz w:val="18"/>
                <w:szCs w:val="18"/>
              </w:rPr>
              <w:t> </w:t>
            </w:r>
          </w:p>
        </w:tc>
        <w:tc>
          <w:tcPr>
            <w:tcW w:w="243" w:type="pct"/>
            <w:shd w:val="clear" w:color="000000" w:fill="D9D9D9"/>
            <w:vAlign w:val="center"/>
            <w:hideMark/>
          </w:tcPr>
          <w:p w14:paraId="4AAC464F" w14:textId="77777777" w:rsidR="00D96BF7" w:rsidRPr="0070240F" w:rsidRDefault="00D96BF7">
            <w:pPr>
              <w:jc w:val="right"/>
              <w:rPr>
                <w:b/>
                <w:bCs/>
                <w:sz w:val="18"/>
                <w:szCs w:val="18"/>
              </w:rPr>
            </w:pPr>
            <w:r w:rsidRPr="0070240F">
              <w:rPr>
                <w:b/>
                <w:bCs/>
                <w:sz w:val="18"/>
                <w:szCs w:val="18"/>
              </w:rPr>
              <w:t xml:space="preserve">       46,705 </w:t>
            </w:r>
          </w:p>
        </w:tc>
        <w:tc>
          <w:tcPr>
            <w:tcW w:w="280" w:type="pct"/>
            <w:shd w:val="clear" w:color="000000" w:fill="D9D9D9"/>
            <w:vAlign w:val="center"/>
            <w:hideMark/>
          </w:tcPr>
          <w:p w14:paraId="4E1224AF" w14:textId="77777777" w:rsidR="00D96BF7" w:rsidRPr="0070240F" w:rsidRDefault="00D96BF7">
            <w:pPr>
              <w:jc w:val="right"/>
              <w:rPr>
                <w:b/>
                <w:bCs/>
                <w:sz w:val="18"/>
                <w:szCs w:val="18"/>
              </w:rPr>
            </w:pPr>
            <w:r w:rsidRPr="0070240F">
              <w:rPr>
                <w:b/>
                <w:bCs/>
                <w:sz w:val="18"/>
                <w:szCs w:val="18"/>
              </w:rPr>
              <w:t xml:space="preserve">           53,073 </w:t>
            </w:r>
          </w:p>
        </w:tc>
        <w:tc>
          <w:tcPr>
            <w:tcW w:w="454" w:type="pct"/>
            <w:shd w:val="clear" w:color="000000" w:fill="D9D9D9"/>
            <w:vAlign w:val="center"/>
            <w:hideMark/>
          </w:tcPr>
          <w:p w14:paraId="29161B34" w14:textId="77777777" w:rsidR="00D96BF7" w:rsidRPr="0070240F" w:rsidRDefault="00D96BF7">
            <w:pPr>
              <w:jc w:val="right"/>
              <w:rPr>
                <w:b/>
                <w:bCs/>
                <w:sz w:val="18"/>
                <w:szCs w:val="18"/>
              </w:rPr>
            </w:pPr>
            <w:r w:rsidRPr="0070240F">
              <w:rPr>
                <w:b/>
                <w:bCs/>
                <w:sz w:val="18"/>
                <w:szCs w:val="18"/>
              </w:rPr>
              <w:t xml:space="preserve">$3,173,442 </w:t>
            </w:r>
          </w:p>
        </w:tc>
        <w:tc>
          <w:tcPr>
            <w:tcW w:w="378" w:type="pct"/>
            <w:shd w:val="clear" w:color="000000" w:fill="D9D9D9"/>
            <w:vAlign w:val="center"/>
            <w:hideMark/>
          </w:tcPr>
          <w:p w14:paraId="501E5442" w14:textId="77777777" w:rsidR="00D96BF7" w:rsidRPr="0070240F" w:rsidRDefault="00D96BF7">
            <w:pPr>
              <w:jc w:val="right"/>
              <w:rPr>
                <w:b/>
                <w:bCs/>
                <w:sz w:val="18"/>
                <w:szCs w:val="18"/>
              </w:rPr>
            </w:pPr>
            <w:r w:rsidRPr="0070240F">
              <w:rPr>
                <w:b/>
                <w:bCs/>
                <w:sz w:val="18"/>
                <w:szCs w:val="18"/>
              </w:rPr>
              <w:t xml:space="preserve">$3,600,329 </w:t>
            </w:r>
          </w:p>
        </w:tc>
      </w:tr>
      <w:tr w:rsidR="00D96BF7" w14:paraId="1E35E9D8" w14:textId="77777777" w:rsidTr="0070240F">
        <w:trPr>
          <w:trHeight w:val="511"/>
        </w:trPr>
        <w:tc>
          <w:tcPr>
            <w:tcW w:w="3645" w:type="pct"/>
            <w:gridSpan w:val="11"/>
            <w:shd w:val="clear" w:color="000000" w:fill="D9D9D9"/>
            <w:vAlign w:val="center"/>
            <w:hideMark/>
          </w:tcPr>
          <w:p w14:paraId="6EBDA238" w14:textId="37969FDB" w:rsidR="00D96BF7" w:rsidRPr="00D96BF7" w:rsidRDefault="00D96BF7">
            <w:pPr>
              <w:rPr>
                <w:bCs/>
                <w:color w:val="000000"/>
                <w:sz w:val="18"/>
                <w:szCs w:val="18"/>
              </w:rPr>
            </w:pPr>
            <w:r w:rsidRPr="00D96BF7">
              <w:rPr>
                <w:b/>
                <w:bCs/>
                <w:color w:val="000000"/>
                <w:sz w:val="18"/>
                <w:szCs w:val="18"/>
              </w:rPr>
              <w:t>TOTAL RECURRING COSTS</w:t>
            </w:r>
          </w:p>
        </w:tc>
        <w:tc>
          <w:tcPr>
            <w:tcW w:w="243" w:type="pct"/>
            <w:shd w:val="clear" w:color="000000" w:fill="D9D9D9"/>
            <w:vAlign w:val="center"/>
            <w:hideMark/>
          </w:tcPr>
          <w:p w14:paraId="7C051EA0" w14:textId="43C3D0D1" w:rsidR="00D96BF7" w:rsidRPr="0070240F" w:rsidRDefault="00D96BF7">
            <w:pPr>
              <w:jc w:val="right"/>
              <w:rPr>
                <w:b/>
                <w:bCs/>
                <w:sz w:val="18"/>
                <w:szCs w:val="18"/>
              </w:rPr>
            </w:pPr>
            <w:r w:rsidRPr="0070240F">
              <w:rPr>
                <w:b/>
                <w:bCs/>
                <w:sz w:val="18"/>
                <w:szCs w:val="18"/>
              </w:rPr>
              <w:t xml:space="preserve">       23,</w:t>
            </w:r>
            <w:r w:rsidR="00EC5DA5">
              <w:rPr>
                <w:b/>
                <w:bCs/>
                <w:sz w:val="18"/>
                <w:szCs w:val="18"/>
              </w:rPr>
              <w:t>889</w:t>
            </w:r>
            <w:r w:rsidRPr="0070240F">
              <w:rPr>
                <w:b/>
                <w:bCs/>
                <w:sz w:val="18"/>
                <w:szCs w:val="18"/>
              </w:rPr>
              <w:t xml:space="preserve"> </w:t>
            </w:r>
          </w:p>
        </w:tc>
        <w:tc>
          <w:tcPr>
            <w:tcW w:w="280" w:type="pct"/>
            <w:shd w:val="clear" w:color="000000" w:fill="D9D9D9"/>
            <w:vAlign w:val="center"/>
            <w:hideMark/>
          </w:tcPr>
          <w:p w14:paraId="6B74C9B2" w14:textId="61D228D1" w:rsidR="00D96BF7" w:rsidRPr="0070240F" w:rsidRDefault="00EC5DA5">
            <w:pPr>
              <w:jc w:val="right"/>
              <w:rPr>
                <w:b/>
                <w:bCs/>
                <w:sz w:val="18"/>
                <w:szCs w:val="18"/>
              </w:rPr>
            </w:pPr>
            <w:r>
              <w:rPr>
                <w:b/>
                <w:bCs/>
                <w:sz w:val="18"/>
                <w:szCs w:val="18"/>
              </w:rPr>
              <w:t xml:space="preserve">           25,886</w:t>
            </w:r>
            <w:r w:rsidR="00D96BF7" w:rsidRPr="0070240F">
              <w:rPr>
                <w:b/>
                <w:bCs/>
                <w:sz w:val="18"/>
                <w:szCs w:val="18"/>
              </w:rPr>
              <w:t xml:space="preserve"> </w:t>
            </w:r>
          </w:p>
        </w:tc>
        <w:tc>
          <w:tcPr>
            <w:tcW w:w="454" w:type="pct"/>
            <w:shd w:val="clear" w:color="000000" w:fill="D9D9D9"/>
            <w:vAlign w:val="center"/>
            <w:hideMark/>
          </w:tcPr>
          <w:p w14:paraId="7A6AAF51" w14:textId="13F03321" w:rsidR="00D96BF7" w:rsidRPr="0070240F" w:rsidRDefault="00EC5DA5">
            <w:pPr>
              <w:jc w:val="right"/>
              <w:rPr>
                <w:b/>
                <w:bCs/>
                <w:sz w:val="18"/>
                <w:szCs w:val="18"/>
              </w:rPr>
            </w:pPr>
            <w:r>
              <w:rPr>
                <w:b/>
                <w:bCs/>
                <w:sz w:val="18"/>
                <w:szCs w:val="18"/>
              </w:rPr>
              <w:t xml:space="preserve">  $ 1,243,436</w:t>
            </w:r>
            <w:r w:rsidR="00D96BF7" w:rsidRPr="0070240F">
              <w:rPr>
                <w:b/>
                <w:bCs/>
                <w:sz w:val="18"/>
                <w:szCs w:val="18"/>
              </w:rPr>
              <w:t xml:space="preserve"> </w:t>
            </w:r>
          </w:p>
        </w:tc>
        <w:tc>
          <w:tcPr>
            <w:tcW w:w="378" w:type="pct"/>
            <w:shd w:val="clear" w:color="000000" w:fill="D9D9D9"/>
            <w:vAlign w:val="center"/>
            <w:hideMark/>
          </w:tcPr>
          <w:p w14:paraId="69D4A7CA" w14:textId="50BC1645" w:rsidR="00D96BF7" w:rsidRPr="0070240F" w:rsidRDefault="00D96BF7">
            <w:pPr>
              <w:jc w:val="right"/>
              <w:rPr>
                <w:b/>
                <w:bCs/>
                <w:sz w:val="18"/>
                <w:szCs w:val="18"/>
              </w:rPr>
            </w:pPr>
            <w:r w:rsidRPr="0070240F">
              <w:rPr>
                <w:b/>
                <w:bCs/>
                <w:sz w:val="18"/>
                <w:szCs w:val="18"/>
              </w:rPr>
              <w:t xml:space="preserve">     </w:t>
            </w:r>
            <w:r w:rsidR="00EC5DA5">
              <w:rPr>
                <w:b/>
                <w:bCs/>
                <w:sz w:val="18"/>
                <w:szCs w:val="18"/>
              </w:rPr>
              <w:t>$</w:t>
            </w:r>
            <w:r w:rsidR="000D3D0F">
              <w:rPr>
                <w:b/>
                <w:bCs/>
                <w:sz w:val="18"/>
                <w:szCs w:val="18"/>
              </w:rPr>
              <w:t>1,343,300</w:t>
            </w:r>
            <w:r w:rsidRPr="0070240F">
              <w:rPr>
                <w:b/>
                <w:bCs/>
                <w:sz w:val="18"/>
                <w:szCs w:val="18"/>
              </w:rPr>
              <w:t xml:space="preserve"> </w:t>
            </w:r>
          </w:p>
        </w:tc>
      </w:tr>
      <w:tr w:rsidR="00D96BF7" w14:paraId="5E72D2B6" w14:textId="77777777" w:rsidTr="0070240F">
        <w:trPr>
          <w:trHeight w:val="301"/>
        </w:trPr>
        <w:tc>
          <w:tcPr>
            <w:tcW w:w="3645" w:type="pct"/>
            <w:gridSpan w:val="11"/>
            <w:shd w:val="clear" w:color="000000" w:fill="D9D9D9"/>
            <w:vAlign w:val="center"/>
            <w:hideMark/>
          </w:tcPr>
          <w:p w14:paraId="671868A1" w14:textId="35CF57DB" w:rsidR="00D96BF7" w:rsidRPr="00D96BF7" w:rsidRDefault="00D96BF7">
            <w:pPr>
              <w:rPr>
                <w:b/>
                <w:bCs/>
                <w:color w:val="000000"/>
                <w:sz w:val="18"/>
                <w:szCs w:val="18"/>
              </w:rPr>
            </w:pPr>
            <w:r w:rsidRPr="00D96BF7">
              <w:rPr>
                <w:b/>
                <w:bCs/>
                <w:color w:val="000000"/>
                <w:sz w:val="18"/>
                <w:szCs w:val="18"/>
              </w:rPr>
              <w:t>TOTAL AVERAGE ANNUAL COSTS FOR THE FIRST THREE YEARS</w:t>
            </w:r>
          </w:p>
        </w:tc>
        <w:tc>
          <w:tcPr>
            <w:tcW w:w="243" w:type="pct"/>
            <w:shd w:val="clear" w:color="000000" w:fill="D9D9D9"/>
            <w:vAlign w:val="center"/>
            <w:hideMark/>
          </w:tcPr>
          <w:p w14:paraId="2E72D8F5" w14:textId="49D57C80" w:rsidR="00D96BF7" w:rsidRPr="0070240F" w:rsidRDefault="00EC5DA5">
            <w:pPr>
              <w:jc w:val="right"/>
              <w:rPr>
                <w:b/>
                <w:bCs/>
                <w:sz w:val="18"/>
                <w:szCs w:val="18"/>
              </w:rPr>
            </w:pPr>
            <w:r>
              <w:rPr>
                <w:b/>
                <w:bCs/>
                <w:sz w:val="18"/>
                <w:szCs w:val="18"/>
              </w:rPr>
              <w:t xml:space="preserve">       39,458</w:t>
            </w:r>
          </w:p>
        </w:tc>
        <w:tc>
          <w:tcPr>
            <w:tcW w:w="280" w:type="pct"/>
            <w:shd w:val="clear" w:color="000000" w:fill="D9D9D9"/>
            <w:vAlign w:val="center"/>
            <w:hideMark/>
          </w:tcPr>
          <w:p w14:paraId="06F9FB23" w14:textId="1DD3F712" w:rsidR="00D96BF7" w:rsidRPr="0070240F" w:rsidRDefault="00D96BF7">
            <w:pPr>
              <w:jc w:val="right"/>
              <w:rPr>
                <w:b/>
                <w:bCs/>
                <w:sz w:val="18"/>
                <w:szCs w:val="18"/>
              </w:rPr>
            </w:pPr>
            <w:r w:rsidRPr="0070240F">
              <w:rPr>
                <w:b/>
                <w:bCs/>
                <w:sz w:val="18"/>
                <w:szCs w:val="18"/>
              </w:rPr>
              <w:t xml:space="preserve">      </w:t>
            </w:r>
            <w:r w:rsidR="00EC5DA5">
              <w:rPr>
                <w:b/>
                <w:bCs/>
                <w:sz w:val="18"/>
                <w:szCs w:val="18"/>
              </w:rPr>
              <w:t xml:space="preserve">     43,577</w:t>
            </w:r>
            <w:r w:rsidRPr="0070240F">
              <w:rPr>
                <w:b/>
                <w:bCs/>
                <w:sz w:val="18"/>
                <w:szCs w:val="18"/>
              </w:rPr>
              <w:t xml:space="preserve"> </w:t>
            </w:r>
          </w:p>
        </w:tc>
        <w:tc>
          <w:tcPr>
            <w:tcW w:w="454" w:type="pct"/>
            <w:shd w:val="clear" w:color="000000" w:fill="D9D9D9"/>
            <w:vAlign w:val="center"/>
            <w:hideMark/>
          </w:tcPr>
          <w:p w14:paraId="3F240FCF" w14:textId="234EBA50" w:rsidR="00D96BF7" w:rsidRPr="0070240F" w:rsidRDefault="00EC5DA5">
            <w:pPr>
              <w:jc w:val="right"/>
              <w:rPr>
                <w:b/>
                <w:bCs/>
                <w:sz w:val="18"/>
                <w:szCs w:val="18"/>
              </w:rPr>
            </w:pPr>
            <w:r>
              <w:rPr>
                <w:b/>
                <w:bCs/>
                <w:sz w:val="18"/>
                <w:szCs w:val="18"/>
              </w:rPr>
              <w:t>$2,301,250</w:t>
            </w:r>
            <w:r w:rsidR="00D96BF7" w:rsidRPr="0070240F">
              <w:rPr>
                <w:b/>
                <w:bCs/>
                <w:sz w:val="18"/>
                <w:szCs w:val="18"/>
              </w:rPr>
              <w:t xml:space="preserve"> </w:t>
            </w:r>
          </w:p>
        </w:tc>
        <w:tc>
          <w:tcPr>
            <w:tcW w:w="378" w:type="pct"/>
            <w:shd w:val="clear" w:color="000000" w:fill="D9D9D9"/>
            <w:vAlign w:val="center"/>
            <w:hideMark/>
          </w:tcPr>
          <w:p w14:paraId="657F4479" w14:textId="57A6B149" w:rsidR="00D96BF7" w:rsidRPr="0070240F" w:rsidRDefault="000D3D0F">
            <w:pPr>
              <w:jc w:val="right"/>
              <w:rPr>
                <w:b/>
                <w:bCs/>
                <w:sz w:val="18"/>
                <w:szCs w:val="18"/>
              </w:rPr>
            </w:pPr>
            <w:r>
              <w:rPr>
                <w:b/>
                <w:bCs/>
                <w:sz w:val="18"/>
                <w:szCs w:val="18"/>
              </w:rPr>
              <w:t>$2,543,409</w:t>
            </w:r>
            <w:r w:rsidR="00D96BF7" w:rsidRPr="0070240F">
              <w:rPr>
                <w:b/>
                <w:bCs/>
                <w:sz w:val="18"/>
                <w:szCs w:val="18"/>
              </w:rPr>
              <w:t xml:space="preserve"> </w:t>
            </w:r>
          </w:p>
        </w:tc>
      </w:tr>
    </w:tbl>
    <w:p w14:paraId="5120C131" w14:textId="4DE956FA" w:rsidR="00F13457" w:rsidRDefault="00F13457" w:rsidP="00014D13">
      <w:pPr>
        <w:rPr>
          <w:vanish/>
          <w:sz w:val="20"/>
          <w:szCs w:val="20"/>
        </w:rPr>
      </w:pPr>
    </w:p>
    <w:p w14:paraId="43FC807F" w14:textId="39D590CC" w:rsidR="00D57CF2" w:rsidRDefault="00D57CF2" w:rsidP="00014D13">
      <w:pPr>
        <w:rPr>
          <w:vanish/>
          <w:sz w:val="20"/>
          <w:szCs w:val="20"/>
        </w:rPr>
      </w:pPr>
    </w:p>
    <w:p w14:paraId="48DA4FEB" w14:textId="77777777" w:rsidR="00D57CF2" w:rsidRDefault="00D57CF2" w:rsidP="00D57CF2">
      <w:pPr>
        <w:rPr>
          <w:vanish/>
          <w:sz w:val="20"/>
          <w:szCs w:val="20"/>
        </w:rPr>
      </w:pPr>
    </w:p>
    <w:p w14:paraId="7A38C4A8" w14:textId="77777777" w:rsidR="00D57CF2" w:rsidRDefault="00D57CF2" w:rsidP="00D57CF2">
      <w:pPr>
        <w:rPr>
          <w:vanish/>
          <w:sz w:val="20"/>
          <w:szCs w:val="20"/>
        </w:rPr>
      </w:pPr>
    </w:p>
    <w:p w14:paraId="6EDD5C83" w14:textId="77777777" w:rsidR="00D57CF2" w:rsidRDefault="00D57CF2" w:rsidP="00D57CF2">
      <w:pPr>
        <w:rPr>
          <w:vanish/>
          <w:sz w:val="20"/>
          <w:szCs w:val="20"/>
        </w:rPr>
      </w:pPr>
    </w:p>
    <w:p w14:paraId="3D32F49E" w14:textId="77777777" w:rsidR="00D57CF2" w:rsidRDefault="00D57CF2" w:rsidP="00D57CF2">
      <w:pPr>
        <w:rPr>
          <w:vanish/>
          <w:sz w:val="20"/>
          <w:szCs w:val="20"/>
        </w:rPr>
      </w:pPr>
    </w:p>
    <w:p w14:paraId="051C453E" w14:textId="77777777" w:rsidR="00D57CF2" w:rsidRDefault="00D57CF2" w:rsidP="00D57CF2">
      <w:pPr>
        <w:rPr>
          <w:vanish/>
          <w:sz w:val="20"/>
          <w:szCs w:val="20"/>
        </w:rPr>
      </w:pPr>
    </w:p>
    <w:p w14:paraId="28991871" w14:textId="77777777" w:rsidR="00702916" w:rsidRDefault="00702916"/>
    <w:sectPr w:rsidR="00702916" w:rsidSect="00EC523C">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71764E" w14:textId="77777777" w:rsidR="00446ECB" w:rsidRDefault="00446ECB">
      <w:r>
        <w:separator/>
      </w:r>
    </w:p>
  </w:endnote>
  <w:endnote w:type="continuationSeparator" w:id="0">
    <w:p w14:paraId="36C70B59" w14:textId="77777777" w:rsidR="00446ECB" w:rsidRDefault="00446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FCF50C" w14:textId="77777777" w:rsidR="00446ECB" w:rsidRDefault="00446ECB">
      <w:r>
        <w:separator/>
      </w:r>
    </w:p>
  </w:footnote>
  <w:footnote w:type="continuationSeparator" w:id="0">
    <w:p w14:paraId="63EA8AD7" w14:textId="77777777" w:rsidR="00446ECB" w:rsidRDefault="00446ECB">
      <w:r>
        <w:continuationSeparator/>
      </w:r>
    </w:p>
  </w:footnote>
  <w:footnote w:id="1">
    <w:p w14:paraId="70B7D454" w14:textId="621ABB07" w:rsidR="00B3388A" w:rsidRDefault="00B3388A">
      <w:pPr>
        <w:pStyle w:val="FootnoteText"/>
      </w:pPr>
      <w:r w:rsidRPr="0082318E">
        <w:rPr>
          <w:rStyle w:val="FootnoteReference"/>
          <w:rFonts w:ascii="Times New Roman" w:hAnsi="Times New Roman"/>
        </w:rPr>
        <w:footnoteRef/>
      </w:r>
      <w:r w:rsidRPr="0082318E">
        <w:rPr>
          <w:rFonts w:ascii="Times New Roman" w:hAnsi="Times New Roman"/>
        </w:rPr>
        <w:t xml:space="preserve"> EPA will amend EPA ICR Number 0820.13 “Hazardous Waste Generator Standards” to reflect the burden reduction under this final rule. The ICR was last renewed in September 2014.</w:t>
      </w:r>
    </w:p>
  </w:footnote>
  <w:footnote w:id="2">
    <w:p w14:paraId="62B778E3" w14:textId="77777777" w:rsidR="00B3388A" w:rsidRPr="008856B6" w:rsidRDefault="00B3388A" w:rsidP="00B96F43">
      <w:pPr>
        <w:pStyle w:val="FootnoteText"/>
        <w:spacing w:after="120" w:line="240" w:lineRule="exact"/>
        <w:rPr>
          <w:rFonts w:ascii="Times New Roman" w:hAnsi="Times New Roman"/>
        </w:rPr>
      </w:pPr>
      <w:r w:rsidRPr="008856B6">
        <w:rPr>
          <w:rStyle w:val="FootnoteReference"/>
          <w:rFonts w:ascii="Times New Roman" w:hAnsi="Times New Roman"/>
        </w:rPr>
        <w:footnoteRef/>
      </w:r>
      <w:r w:rsidRPr="008856B6">
        <w:rPr>
          <w:rFonts w:ascii="Times New Roman" w:hAnsi="Times New Roman"/>
        </w:rPr>
        <w:t xml:space="preserve"> U.S. Office of Personnel Management, Salary Table 2017-GS, Incorporating the 1% General Schedule Increase, Effective January 2017, Hourly Basic Rates by Grade and Step, accessed at </w:t>
      </w:r>
      <w:hyperlink r:id="rId1" w:history="1">
        <w:r w:rsidRPr="008856B6">
          <w:rPr>
            <w:rStyle w:val="Hyperlink"/>
            <w:rFonts w:ascii="Times New Roman" w:hAnsi="Times New Roman"/>
          </w:rPr>
          <w:t>https://www.opm.gov/policy-data-oversight/pay-leave/salaries-wages/</w:t>
        </w:r>
      </w:hyperlink>
      <w:r w:rsidRPr="008856B6">
        <w:rPr>
          <w:rFonts w:ascii="Times New Roman" w:hAnsi="Times New Roman"/>
        </w:rPr>
        <w:t xml:space="preserve"> September 26, 2017.</w:t>
      </w:r>
    </w:p>
  </w:footnote>
  <w:footnote w:id="3">
    <w:p w14:paraId="33A58A89" w14:textId="77777777" w:rsidR="00B3388A" w:rsidRPr="008856B6" w:rsidRDefault="00B3388A" w:rsidP="00B96F43">
      <w:pPr>
        <w:pStyle w:val="FootnoteText"/>
        <w:rPr>
          <w:rFonts w:ascii="Times New Roman" w:hAnsi="Times New Roman"/>
        </w:rPr>
      </w:pPr>
      <w:r w:rsidRPr="008856B6">
        <w:rPr>
          <w:rStyle w:val="FootnoteReference"/>
          <w:rFonts w:ascii="Times New Roman" w:hAnsi="Times New Roman"/>
        </w:rPr>
        <w:footnoteRef/>
      </w:r>
      <w:r w:rsidRPr="008856B6">
        <w:rPr>
          <w:rFonts w:ascii="Times New Roman" w:hAnsi="Times New Roman"/>
        </w:rPr>
        <w:t xml:space="preserve"> See “Supporting Statement for EPA Information Collection Request Number </w:t>
      </w:r>
      <w:r>
        <w:rPr>
          <w:rFonts w:ascii="Times New Roman" w:hAnsi="Times New Roman"/>
        </w:rPr>
        <w:t>1597.12</w:t>
      </w:r>
      <w:r w:rsidRPr="008856B6">
        <w:rPr>
          <w:rFonts w:ascii="Times New Roman" w:hAnsi="Times New Roman"/>
        </w:rPr>
        <w:t xml:space="preserve">, “Reporting and Recordkeeping Requirements for the </w:t>
      </w:r>
      <w:r>
        <w:rPr>
          <w:rFonts w:ascii="Times New Roman" w:hAnsi="Times New Roman"/>
        </w:rPr>
        <w:t>Proposed Aerosol Can Universal Waste Rule.”</w:t>
      </w:r>
    </w:p>
  </w:footnote>
  <w:footnote w:id="4">
    <w:p w14:paraId="03A88F6A" w14:textId="642AE8AB" w:rsidR="00B3388A" w:rsidRDefault="00B3388A" w:rsidP="00B70297">
      <w:pPr>
        <w:spacing w:after="240"/>
        <w:rPr>
          <w:sz w:val="22"/>
          <w:szCs w:val="22"/>
        </w:rPr>
      </w:pPr>
      <w:r>
        <w:rPr>
          <w:rStyle w:val="FootnoteReference"/>
          <w:sz w:val="22"/>
          <w:szCs w:val="22"/>
          <w:vertAlign w:val="superscript"/>
        </w:rPr>
        <w:footnoteRef/>
      </w:r>
      <w:r>
        <w:rPr>
          <w:sz w:val="20"/>
          <w:szCs w:val="20"/>
        </w:rPr>
        <w:t xml:space="preserve">These universe assumptions are based on the </w:t>
      </w:r>
      <w:r w:rsidRPr="00D41380">
        <w:rPr>
          <w:sz w:val="20"/>
          <w:szCs w:val="20"/>
        </w:rPr>
        <w:t xml:space="preserve">economics background document developed for the </w:t>
      </w:r>
      <w:r>
        <w:rPr>
          <w:sz w:val="20"/>
          <w:szCs w:val="20"/>
        </w:rPr>
        <w:t>final</w:t>
      </w:r>
      <w:r w:rsidRPr="00D41380">
        <w:rPr>
          <w:sz w:val="20"/>
          <w:szCs w:val="20"/>
        </w:rPr>
        <w:t xml:space="preserve"> rule</w:t>
      </w:r>
      <w:r>
        <w:rPr>
          <w:sz w:val="20"/>
          <w:szCs w:val="20"/>
        </w:rPr>
        <w:t xml:space="preserve">: </w:t>
      </w:r>
      <w:r w:rsidRPr="00CA511E">
        <w:rPr>
          <w:sz w:val="20"/>
          <w:szCs w:val="20"/>
        </w:rPr>
        <w:t xml:space="preserve">“Regulatory Impact </w:t>
      </w:r>
      <w:r>
        <w:rPr>
          <w:sz w:val="20"/>
          <w:szCs w:val="20"/>
        </w:rPr>
        <w:t>Analysis</w:t>
      </w:r>
      <w:r w:rsidRPr="00CA511E">
        <w:rPr>
          <w:sz w:val="20"/>
          <w:szCs w:val="20"/>
        </w:rPr>
        <w:t xml:space="preserve"> for EPA’s </w:t>
      </w:r>
      <w:r>
        <w:rPr>
          <w:sz w:val="20"/>
          <w:szCs w:val="20"/>
        </w:rPr>
        <w:t>Final Regulations for the Management of Hazardous Waste Pharmaceuticals</w:t>
      </w:r>
      <w:r w:rsidRPr="00CA511E">
        <w:rPr>
          <w:sz w:val="20"/>
          <w:szCs w:val="20"/>
        </w:rPr>
        <w:t xml:space="preserve">.” </w:t>
      </w:r>
    </w:p>
  </w:footnote>
  <w:footnote w:id="5">
    <w:p w14:paraId="7BAE57CA" w14:textId="6E3C13F1" w:rsidR="00B3388A" w:rsidRPr="00F8698C" w:rsidRDefault="00B3388A">
      <w:pPr>
        <w:pStyle w:val="FootnoteText"/>
        <w:rPr>
          <w:rFonts w:ascii="Times New Roman" w:hAnsi="Times New Roman"/>
        </w:rPr>
      </w:pPr>
      <w:r w:rsidRPr="00F8698C">
        <w:rPr>
          <w:rStyle w:val="FootnoteReference"/>
          <w:rFonts w:ascii="Times New Roman" w:hAnsi="Times New Roman"/>
        </w:rPr>
        <w:footnoteRef/>
      </w:r>
      <w:r>
        <w:rPr>
          <w:rFonts w:ascii="Times New Roman" w:hAnsi="Times New Roman"/>
        </w:rPr>
        <w:t xml:space="preserve"> The</w:t>
      </w:r>
      <w:r w:rsidRPr="00F8698C">
        <w:rPr>
          <w:rFonts w:ascii="Times New Roman" w:hAnsi="Times New Roman"/>
        </w:rPr>
        <w:t xml:space="preserve"> assumptions </w:t>
      </w:r>
      <w:r>
        <w:rPr>
          <w:rFonts w:ascii="Times New Roman" w:hAnsi="Times New Roman"/>
        </w:rPr>
        <w:t xml:space="preserve">for the labeling estimates </w:t>
      </w:r>
      <w:r w:rsidRPr="00F8698C">
        <w:rPr>
          <w:rFonts w:ascii="Times New Roman" w:hAnsi="Times New Roman"/>
        </w:rPr>
        <w:t>are based on the economics background document developed for the final rule: “Regulatory Impact Analysis for EPA’s Final Regulations for the Management of Hazardous Waste Pharmaceuticals.”</w:t>
      </w:r>
    </w:p>
  </w:footnote>
  <w:footnote w:id="6">
    <w:p w14:paraId="64D86CA6" w14:textId="035331D1" w:rsidR="00B3388A" w:rsidRPr="00FD4887" w:rsidRDefault="00B3388A" w:rsidP="00FD4887">
      <w:pPr>
        <w:pStyle w:val="FootnoteText"/>
        <w:rPr>
          <w:rFonts w:ascii="Times New Roman" w:hAnsi="Times New Roman"/>
          <w:bCs/>
        </w:rPr>
      </w:pPr>
      <w:r w:rsidRPr="00FD4887">
        <w:rPr>
          <w:rStyle w:val="FootnoteReference"/>
          <w:rFonts w:ascii="Times New Roman" w:hAnsi="Times New Roman"/>
        </w:rPr>
        <w:footnoteRef/>
      </w:r>
      <w:r w:rsidRPr="00FD4887">
        <w:rPr>
          <w:rFonts w:ascii="Times New Roman" w:hAnsi="Times New Roman"/>
        </w:rPr>
        <w:t xml:space="preserve"> See </w:t>
      </w:r>
      <w:r w:rsidRPr="00FD4887">
        <w:rPr>
          <w:rFonts w:ascii="Times New Roman" w:hAnsi="Times New Roman"/>
          <w:bCs/>
        </w:rPr>
        <w:t xml:space="preserve">Supporting Statement </w:t>
      </w:r>
      <w:r>
        <w:rPr>
          <w:rFonts w:ascii="Times New Roman" w:hAnsi="Times New Roman"/>
          <w:bCs/>
        </w:rPr>
        <w:t>for</w:t>
      </w:r>
      <w:r w:rsidRPr="00FD4887">
        <w:rPr>
          <w:rFonts w:ascii="Times New Roman" w:hAnsi="Times New Roman"/>
          <w:bCs/>
        </w:rPr>
        <w:t xml:space="preserve"> Information Collection Request (ICR) Number 0801.22 “Requirements for Generators, Transporters, and Waste Management Facilities under the RCRA Hazardous Waste Manifest System – Final Fee Rule (Final Rule)”</w:t>
      </w:r>
    </w:p>
    <w:p w14:paraId="01801BF5" w14:textId="2AD23B82" w:rsidR="00B3388A" w:rsidRDefault="00B3388A">
      <w:pPr>
        <w:pStyle w:val="FootnoteText"/>
      </w:pPr>
    </w:p>
  </w:footnote>
  <w:footnote w:id="7">
    <w:p w14:paraId="6DE37D77" w14:textId="7297CDCF" w:rsidR="00B3388A" w:rsidRPr="008477F6" w:rsidRDefault="00B3388A">
      <w:pPr>
        <w:pStyle w:val="FootnoteText"/>
        <w:rPr>
          <w:rFonts w:ascii="Times New Roman" w:hAnsi="Times New Roman"/>
        </w:rPr>
      </w:pPr>
      <w:r w:rsidRPr="008477F6">
        <w:rPr>
          <w:rStyle w:val="FootnoteReference"/>
          <w:rFonts w:ascii="Times New Roman" w:hAnsi="Times New Roman"/>
        </w:rPr>
        <w:footnoteRef/>
      </w:r>
      <w:r w:rsidRPr="008477F6">
        <w:rPr>
          <w:rFonts w:ascii="Times New Roman" w:hAnsi="Times New Roman"/>
        </w:rPr>
        <w:t xml:space="preserve"> See supporting statement for EPA Information Collection Request number 2513.02, “Reporting and Recordkeeping Requirements for the Final Hazardous Waste Generator Improvements Rule.”</w:t>
      </w:r>
    </w:p>
  </w:footnote>
  <w:footnote w:id="8">
    <w:p w14:paraId="2188D9E2" w14:textId="54768C53" w:rsidR="00B3388A" w:rsidRDefault="00B3388A">
      <w:pPr>
        <w:pStyle w:val="FootnoteText"/>
      </w:pPr>
      <w:r w:rsidRPr="00250C8B">
        <w:rPr>
          <w:rStyle w:val="FootnoteReference"/>
          <w:rFonts w:ascii="Times New Roman" w:hAnsi="Times New Roman"/>
        </w:rPr>
        <w:footnoteRef/>
      </w:r>
      <w:r w:rsidRPr="00250C8B">
        <w:rPr>
          <w:rFonts w:ascii="Times New Roman" w:hAnsi="Times New Roman"/>
        </w:rPr>
        <w:t xml:space="preserve"> </w:t>
      </w:r>
      <w:r>
        <w:rPr>
          <w:rFonts w:ascii="Times New Roman" w:hAnsi="Times New Roman"/>
        </w:rPr>
        <w:t>The</w:t>
      </w:r>
      <w:r w:rsidRPr="00F8698C">
        <w:rPr>
          <w:rFonts w:ascii="Times New Roman" w:hAnsi="Times New Roman"/>
        </w:rPr>
        <w:t xml:space="preserve"> assumptions </w:t>
      </w:r>
      <w:r>
        <w:rPr>
          <w:rFonts w:ascii="Times New Roman" w:hAnsi="Times New Roman"/>
        </w:rPr>
        <w:t xml:space="preserve">for the manifest estimates </w:t>
      </w:r>
      <w:r w:rsidRPr="00F8698C">
        <w:rPr>
          <w:rFonts w:ascii="Times New Roman" w:hAnsi="Times New Roman"/>
        </w:rPr>
        <w:t>are based on the economics background document developed for the final rule: “Regulatory Impact Analysis for EPA’s Final Regulations for the Management of Hazardous Waste Pharmaceuticals.”</w:t>
      </w:r>
    </w:p>
  </w:footnote>
  <w:footnote w:id="9">
    <w:p w14:paraId="4A3F40D4" w14:textId="3983912A" w:rsidR="00B3388A" w:rsidRPr="007A05A7" w:rsidRDefault="00B3388A">
      <w:pPr>
        <w:pStyle w:val="FootnoteText"/>
        <w:rPr>
          <w:rFonts w:ascii="Times New Roman" w:hAnsi="Times New Roman"/>
          <w:bCs/>
        </w:rPr>
      </w:pPr>
      <w:r w:rsidRPr="00600832">
        <w:rPr>
          <w:rStyle w:val="FootnoteReference"/>
          <w:rFonts w:ascii="Times New Roman" w:hAnsi="Times New Roman"/>
        </w:rPr>
        <w:footnoteRef/>
      </w:r>
      <w:r w:rsidRPr="00600832">
        <w:rPr>
          <w:rFonts w:ascii="Times New Roman" w:hAnsi="Times New Roman"/>
        </w:rPr>
        <w:t xml:space="preserve"> </w:t>
      </w:r>
      <w:r w:rsidRPr="00600832">
        <w:rPr>
          <w:rFonts w:ascii="Times New Roman" w:hAnsi="Times New Roman"/>
          <w:bCs/>
        </w:rPr>
        <w:t>S</w:t>
      </w:r>
      <w:r>
        <w:rPr>
          <w:rFonts w:ascii="Times New Roman" w:hAnsi="Times New Roman"/>
          <w:bCs/>
        </w:rPr>
        <w:t>ee S</w:t>
      </w:r>
      <w:r w:rsidRPr="00600832">
        <w:rPr>
          <w:rFonts w:ascii="Times New Roman" w:hAnsi="Times New Roman"/>
          <w:bCs/>
        </w:rPr>
        <w:t xml:space="preserve">upporting Statement </w:t>
      </w:r>
      <w:r>
        <w:rPr>
          <w:rFonts w:ascii="Times New Roman" w:hAnsi="Times New Roman"/>
          <w:bCs/>
        </w:rPr>
        <w:t>for</w:t>
      </w:r>
      <w:r w:rsidRPr="00600832">
        <w:rPr>
          <w:rFonts w:ascii="Times New Roman" w:hAnsi="Times New Roman"/>
          <w:bCs/>
        </w:rPr>
        <w:t xml:space="preserve"> EPA Information </w:t>
      </w:r>
      <w:r>
        <w:rPr>
          <w:rFonts w:ascii="Times New Roman" w:hAnsi="Times New Roman"/>
          <w:bCs/>
        </w:rPr>
        <w:t>Collection Request Number</w:t>
      </w:r>
      <w:r w:rsidRPr="00600832">
        <w:rPr>
          <w:rFonts w:ascii="Times New Roman" w:hAnsi="Times New Roman"/>
          <w:bCs/>
        </w:rPr>
        <w:t xml:space="preserve"> 0820.13</w:t>
      </w:r>
      <w:r>
        <w:rPr>
          <w:rFonts w:ascii="Times New Roman" w:hAnsi="Times New Roman"/>
          <w:bCs/>
        </w:rPr>
        <w:t>, “Hazardous Waste Generator Standards,”</w:t>
      </w:r>
      <w:r w:rsidRPr="00600832">
        <w:rPr>
          <w:rFonts w:ascii="Times New Roman" w:hAnsi="Times New Roman"/>
        </w:rPr>
        <w:t xml:space="preserve"> </w:t>
      </w:r>
      <w:r w:rsidRPr="00600832">
        <w:rPr>
          <w:rFonts w:ascii="Times New Roman" w:hAnsi="Times New Roman"/>
          <w:bCs/>
        </w:rPr>
        <w:t>September 2014.</w:t>
      </w:r>
    </w:p>
  </w:footnote>
  <w:footnote w:id="10">
    <w:p w14:paraId="4EA94F74" w14:textId="3A513349" w:rsidR="00B3388A" w:rsidRPr="007A05A7" w:rsidRDefault="00B3388A">
      <w:pPr>
        <w:pStyle w:val="FootnoteText"/>
        <w:rPr>
          <w:rFonts w:ascii="Times New Roman" w:hAnsi="Times New Roman"/>
        </w:rPr>
      </w:pPr>
      <w:r w:rsidRPr="007A05A7">
        <w:rPr>
          <w:rStyle w:val="FootnoteReference"/>
          <w:rFonts w:ascii="Times New Roman" w:hAnsi="Times New Roman"/>
        </w:rPr>
        <w:footnoteRef/>
      </w:r>
      <w:r w:rsidRPr="007A05A7">
        <w:rPr>
          <w:rFonts w:ascii="Times New Roman" w:hAnsi="Times New Roman"/>
        </w:rPr>
        <w:t xml:space="preserve"> See Supporting Statement for EPA Information Collection Request Number 2519.01 “Hazardous Waste Export-Import Revisions Rule.”</w:t>
      </w:r>
    </w:p>
  </w:footnote>
  <w:footnote w:id="11">
    <w:p w14:paraId="0C7078AF" w14:textId="67A3FEEB" w:rsidR="00B3388A" w:rsidRDefault="00B3388A">
      <w:pPr>
        <w:pStyle w:val="FootnoteText"/>
      </w:pPr>
      <w:r w:rsidRPr="00E900CA">
        <w:rPr>
          <w:rStyle w:val="FootnoteReference"/>
          <w:rFonts w:ascii="Times New Roman" w:hAnsi="Times New Roman"/>
        </w:rPr>
        <w:footnoteRef/>
      </w:r>
      <w:r w:rsidRPr="00E900CA">
        <w:rPr>
          <w:rFonts w:ascii="Times New Roman" w:hAnsi="Times New Roman"/>
        </w:rPr>
        <w:t xml:space="preserve"> </w:t>
      </w:r>
      <w:r w:rsidRPr="00600832">
        <w:rPr>
          <w:rFonts w:ascii="Times New Roman" w:hAnsi="Times New Roman"/>
          <w:bCs/>
        </w:rPr>
        <w:t>S</w:t>
      </w:r>
      <w:r>
        <w:rPr>
          <w:rFonts w:ascii="Times New Roman" w:hAnsi="Times New Roman"/>
          <w:bCs/>
        </w:rPr>
        <w:t>ee S</w:t>
      </w:r>
      <w:r w:rsidRPr="00600832">
        <w:rPr>
          <w:rFonts w:ascii="Times New Roman" w:hAnsi="Times New Roman"/>
          <w:bCs/>
        </w:rPr>
        <w:t xml:space="preserve">upporting Statement </w:t>
      </w:r>
      <w:r>
        <w:rPr>
          <w:rFonts w:ascii="Times New Roman" w:hAnsi="Times New Roman"/>
          <w:bCs/>
        </w:rPr>
        <w:t>for</w:t>
      </w:r>
      <w:r w:rsidRPr="00600832">
        <w:rPr>
          <w:rFonts w:ascii="Times New Roman" w:hAnsi="Times New Roman"/>
          <w:bCs/>
        </w:rPr>
        <w:t xml:space="preserve"> EPA Information </w:t>
      </w:r>
      <w:r>
        <w:rPr>
          <w:rFonts w:ascii="Times New Roman" w:hAnsi="Times New Roman"/>
          <w:bCs/>
        </w:rPr>
        <w:t>Collection Request Number</w:t>
      </w:r>
      <w:r w:rsidRPr="00600832">
        <w:rPr>
          <w:rFonts w:ascii="Times New Roman" w:hAnsi="Times New Roman"/>
          <w:bCs/>
        </w:rPr>
        <w:t xml:space="preserve"> 0820.13</w:t>
      </w:r>
      <w:r>
        <w:rPr>
          <w:rFonts w:ascii="Times New Roman" w:hAnsi="Times New Roman"/>
          <w:bCs/>
        </w:rPr>
        <w:t>, “Hazardous Waste Generator Standards,”</w:t>
      </w:r>
      <w:r w:rsidRPr="00600832">
        <w:rPr>
          <w:rFonts w:ascii="Times New Roman" w:hAnsi="Times New Roman"/>
        </w:rPr>
        <w:t xml:space="preserve"> </w:t>
      </w:r>
      <w:r w:rsidRPr="00600832">
        <w:rPr>
          <w:rFonts w:ascii="Times New Roman" w:hAnsi="Times New Roman"/>
          <w:bCs/>
        </w:rPr>
        <w:t>September 2014.</w:t>
      </w:r>
    </w:p>
  </w:footnote>
  <w:footnote w:id="12">
    <w:p w14:paraId="34C2C788" w14:textId="31B65137" w:rsidR="00B3388A" w:rsidRDefault="00B3388A">
      <w:pPr>
        <w:pStyle w:val="FootnoteText"/>
      </w:pPr>
      <w:r w:rsidRPr="00C1548B">
        <w:rPr>
          <w:rStyle w:val="FootnoteReference"/>
          <w:rFonts w:ascii="Times New Roman" w:hAnsi="Times New Roman"/>
        </w:rPr>
        <w:footnoteRef/>
      </w:r>
      <w:r w:rsidRPr="00C1548B">
        <w:rPr>
          <w:rFonts w:ascii="Times New Roman" w:hAnsi="Times New Roman"/>
        </w:rPr>
        <w:t xml:space="preserve"> The</w:t>
      </w:r>
      <w:r w:rsidRPr="00F8698C">
        <w:rPr>
          <w:rFonts w:ascii="Times New Roman" w:hAnsi="Times New Roman"/>
        </w:rPr>
        <w:t xml:space="preserve"> assumptions </w:t>
      </w:r>
      <w:r>
        <w:rPr>
          <w:rFonts w:ascii="Times New Roman" w:hAnsi="Times New Roman"/>
        </w:rPr>
        <w:t xml:space="preserve">for the manifest estimates </w:t>
      </w:r>
      <w:r w:rsidRPr="00F8698C">
        <w:rPr>
          <w:rFonts w:ascii="Times New Roman" w:hAnsi="Times New Roman"/>
        </w:rPr>
        <w:t>are based on the economics background document developed for the final rule: “Regulatory Impact Analysis for EPA’s Final Regulations for the Management of Hazardous Waste Pharmaceuticals.”</w:t>
      </w:r>
    </w:p>
  </w:footnote>
  <w:footnote w:id="13">
    <w:p w14:paraId="3B9CD750" w14:textId="7A96A6F3" w:rsidR="00B3388A" w:rsidRPr="008000CC" w:rsidRDefault="00B3388A">
      <w:pPr>
        <w:pStyle w:val="FootnoteText"/>
        <w:rPr>
          <w:rFonts w:ascii="Times New Roman" w:hAnsi="Times New Roman"/>
        </w:rPr>
      </w:pPr>
      <w:r w:rsidRPr="008000CC">
        <w:rPr>
          <w:rStyle w:val="FootnoteReference"/>
          <w:rFonts w:ascii="Times New Roman" w:hAnsi="Times New Roman"/>
        </w:rPr>
        <w:footnoteRef/>
      </w:r>
      <w:r w:rsidRPr="008000CC">
        <w:rPr>
          <w:rFonts w:ascii="Times New Roman" w:hAnsi="Times New Roman"/>
        </w:rPr>
        <w:t xml:space="preserve"> See “Supporting Statement for EPA Information Collection Request Number 2513.03, “Reporting </w:t>
      </w:r>
      <w:r>
        <w:rPr>
          <w:rFonts w:ascii="Times New Roman" w:hAnsi="Times New Roman"/>
        </w:rPr>
        <w:t>and Recordkeeping</w:t>
      </w:r>
      <w:r w:rsidRPr="008000CC">
        <w:rPr>
          <w:rFonts w:ascii="Times New Roman" w:hAnsi="Times New Roman"/>
        </w:rPr>
        <w:t xml:space="preserve"> Requirements for the final Hazardous Waste Generator Improvements Rule.” </w:t>
      </w:r>
      <w:r>
        <w:rPr>
          <w:rFonts w:ascii="Times New Roman" w:hAnsi="Times New Roman"/>
        </w:rPr>
        <w:t>This ICR proposed to amend the base Generator ICR with the aerosol can rule.</w:t>
      </w:r>
    </w:p>
  </w:footnote>
  <w:footnote w:id="14">
    <w:p w14:paraId="0848161D" w14:textId="5B35E135" w:rsidR="00B3388A" w:rsidRDefault="00B3388A">
      <w:pPr>
        <w:pStyle w:val="FootnoteText"/>
      </w:pPr>
      <w:r>
        <w:rPr>
          <w:rStyle w:val="FootnoteReference"/>
        </w:rPr>
        <w:footnoteRef/>
      </w:r>
      <w:r>
        <w:t xml:space="preserve"> </w:t>
      </w:r>
      <w:r w:rsidRPr="00C1548B">
        <w:rPr>
          <w:rFonts w:ascii="Times New Roman" w:hAnsi="Times New Roman"/>
        </w:rPr>
        <w:t>The</w:t>
      </w:r>
      <w:r w:rsidRPr="00F8698C">
        <w:rPr>
          <w:rFonts w:ascii="Times New Roman" w:hAnsi="Times New Roman"/>
        </w:rPr>
        <w:t xml:space="preserve"> assumptions are based on the </w:t>
      </w:r>
      <w:r>
        <w:rPr>
          <w:rFonts w:ascii="Times New Roman" w:hAnsi="Times New Roman"/>
        </w:rPr>
        <w:t>manifest and tracking section of the RIA</w:t>
      </w:r>
      <w:r w:rsidRPr="00F8698C">
        <w:rPr>
          <w:rFonts w:ascii="Times New Roman" w:hAnsi="Times New Roman"/>
        </w:rPr>
        <w:t xml:space="preserve"> </w:t>
      </w:r>
      <w:r>
        <w:rPr>
          <w:rFonts w:ascii="Times New Roman" w:hAnsi="Times New Roman"/>
        </w:rPr>
        <w:t>developed for the final rule. See page 74 in</w:t>
      </w:r>
      <w:r w:rsidRPr="00F8698C">
        <w:rPr>
          <w:rFonts w:ascii="Times New Roman" w:hAnsi="Times New Roman"/>
        </w:rPr>
        <w:t xml:space="preserve"> “Regulatory Impact Analysis for EPA’s Final Regulations for the Management of Hazardous Waste Pharmaceuticals.”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2658F" w14:textId="77777777" w:rsidR="00B3388A" w:rsidRDefault="00B3388A" w:rsidP="006C0E9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6EEB4C" w14:textId="77777777" w:rsidR="00B3388A" w:rsidRDefault="00B3388A" w:rsidP="00D57CF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6914F" w14:textId="3BD78008" w:rsidR="00B3388A" w:rsidRDefault="00B3388A" w:rsidP="00D57CF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168C">
      <w:rPr>
        <w:rStyle w:val="PageNumber"/>
        <w:noProof/>
      </w:rPr>
      <w:t>16</w:t>
    </w:r>
    <w:r>
      <w:rPr>
        <w:rStyle w:val="PageNumber"/>
      </w:rPr>
      <w:fldChar w:fldCharType="end"/>
    </w:r>
  </w:p>
  <w:p w14:paraId="359142CB" w14:textId="77777777" w:rsidR="00B3388A" w:rsidRDefault="00B3388A" w:rsidP="007B61E5">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3BE1"/>
    <w:multiLevelType w:val="hybridMultilevel"/>
    <w:tmpl w:val="BA10AE28"/>
    <w:lvl w:ilvl="0" w:tplc="21A4EA80">
      <w:start w:val="1"/>
      <w:numFmt w:val="decimal"/>
      <w:lvlText w:val="(%1)"/>
      <w:lvlJc w:val="left"/>
      <w:pPr>
        <w:ind w:left="720" w:hanging="360"/>
      </w:pPr>
      <w:rPr>
        <w:rFonts w:ascii="Times" w:hAnsi="Time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03875"/>
    <w:multiLevelType w:val="hybridMultilevel"/>
    <w:tmpl w:val="5574BDEC"/>
    <w:lvl w:ilvl="0" w:tplc="04090009">
      <w:start w:val="1"/>
      <w:numFmt w:val="bullet"/>
      <w:lvlText w:val=""/>
      <w:lvlJc w:val="left"/>
      <w:pPr>
        <w:tabs>
          <w:tab w:val="num" w:pos="1440"/>
        </w:tabs>
        <w:ind w:left="144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93E3AF1"/>
    <w:multiLevelType w:val="hybridMultilevel"/>
    <w:tmpl w:val="E6CE1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073881"/>
    <w:multiLevelType w:val="hybridMultilevel"/>
    <w:tmpl w:val="6200F81C"/>
    <w:lvl w:ilvl="0" w:tplc="7D0CCA78">
      <w:start w:val="1"/>
      <w:numFmt w:val="decimal"/>
      <w:lvlText w:val="(%1)"/>
      <w:lvlJc w:val="left"/>
      <w:pPr>
        <w:ind w:left="630" w:hanging="360"/>
      </w:pPr>
      <w:rPr>
        <w:rFonts w:hint="default"/>
      </w:rPr>
    </w:lvl>
    <w:lvl w:ilvl="1" w:tplc="290C13E6">
      <w:start w:val="1"/>
      <w:numFmt w:val="lowerRoman"/>
      <w:lvlText w:val="(%2)"/>
      <w:lvlJc w:val="left"/>
      <w:pPr>
        <w:ind w:left="1140" w:hanging="360"/>
      </w:pPr>
      <w:rPr>
        <w:rFonts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15546181"/>
    <w:multiLevelType w:val="hybridMultilevel"/>
    <w:tmpl w:val="69DCB6C6"/>
    <w:lvl w:ilvl="0" w:tplc="261C44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E2392B"/>
    <w:multiLevelType w:val="hybridMultilevel"/>
    <w:tmpl w:val="14A68E2C"/>
    <w:lvl w:ilvl="0" w:tplc="8214C5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E85377"/>
    <w:multiLevelType w:val="hybridMultilevel"/>
    <w:tmpl w:val="7BA6FFFC"/>
    <w:lvl w:ilvl="0" w:tplc="BB82E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7B3DFA"/>
    <w:multiLevelType w:val="hybridMultilevel"/>
    <w:tmpl w:val="9E081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7A82102"/>
    <w:multiLevelType w:val="hybridMultilevel"/>
    <w:tmpl w:val="FC607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382031"/>
    <w:multiLevelType w:val="hybridMultilevel"/>
    <w:tmpl w:val="7A105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D309B8"/>
    <w:multiLevelType w:val="hybridMultilevel"/>
    <w:tmpl w:val="99D4F1DC"/>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CF398A"/>
    <w:multiLevelType w:val="hybridMultilevel"/>
    <w:tmpl w:val="69DC7C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A94041A"/>
    <w:multiLevelType w:val="hybridMultilevel"/>
    <w:tmpl w:val="1242A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E870F39"/>
    <w:multiLevelType w:val="hybridMultilevel"/>
    <w:tmpl w:val="3BE298B0"/>
    <w:lvl w:ilvl="0" w:tplc="212870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EB565B0"/>
    <w:multiLevelType w:val="hybridMultilevel"/>
    <w:tmpl w:val="4CDADDF0"/>
    <w:lvl w:ilvl="0" w:tplc="66CAC7D8">
      <w:start w:val="1"/>
      <w:numFmt w:val="decimal"/>
      <w:lvlText w:val="(%1)"/>
      <w:lvlJc w:val="left"/>
      <w:pPr>
        <w:ind w:left="720" w:hanging="360"/>
      </w:pPr>
      <w:rPr>
        <w:rFonts w:ascii="Times" w:hAnsi="Time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620E6D"/>
    <w:multiLevelType w:val="hybridMultilevel"/>
    <w:tmpl w:val="41C8E0B0"/>
    <w:lvl w:ilvl="0" w:tplc="0C1A88A2">
      <w:start w:val="1"/>
      <w:numFmt w:val="decimal"/>
      <w:lvlText w:val="(%1)"/>
      <w:lvlJc w:val="left"/>
      <w:pPr>
        <w:ind w:left="360" w:hanging="360"/>
      </w:pPr>
      <w:rPr>
        <w:rFonts w:hint="default"/>
      </w:rPr>
    </w:lvl>
    <w:lvl w:ilvl="1" w:tplc="F5EE2FB2">
      <w:start w:val="2"/>
      <w:numFmt w:val="decimal"/>
      <w:lvlText w:val="(%2)"/>
      <w:lvlJc w:val="left"/>
      <w:pPr>
        <w:ind w:left="1080" w:hanging="360"/>
      </w:pPr>
      <w:rPr>
        <w:rFonts w:hint="default"/>
      </w:rPr>
    </w:lvl>
    <w:lvl w:ilvl="2" w:tplc="DF58D64C">
      <w:start w:val="1"/>
      <w:numFmt w:val="lowerRoman"/>
      <w:lvlText w:val="(%3)"/>
      <w:lvlJc w:val="left"/>
      <w:pPr>
        <w:ind w:left="2340" w:hanging="72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2131FDA"/>
    <w:multiLevelType w:val="hybridMultilevel"/>
    <w:tmpl w:val="50DEEC62"/>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4094B5C"/>
    <w:multiLevelType w:val="hybridMultilevel"/>
    <w:tmpl w:val="354C2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58C44E2"/>
    <w:multiLevelType w:val="hybridMultilevel"/>
    <w:tmpl w:val="878EBB26"/>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7FE16F0"/>
    <w:multiLevelType w:val="hybridMultilevel"/>
    <w:tmpl w:val="30C66BD0"/>
    <w:lvl w:ilvl="0" w:tplc="D160EA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C54111"/>
    <w:multiLevelType w:val="hybridMultilevel"/>
    <w:tmpl w:val="45CCF0EA"/>
    <w:lvl w:ilvl="0" w:tplc="DE0E56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577591"/>
    <w:multiLevelType w:val="hybridMultilevel"/>
    <w:tmpl w:val="56184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4560FD"/>
    <w:multiLevelType w:val="hybridMultilevel"/>
    <w:tmpl w:val="D0F61EC6"/>
    <w:lvl w:ilvl="0" w:tplc="88D8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8F5F23"/>
    <w:multiLevelType w:val="hybridMultilevel"/>
    <w:tmpl w:val="3ABA7806"/>
    <w:lvl w:ilvl="0" w:tplc="70AE39FE">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B167E7"/>
    <w:multiLevelType w:val="hybridMultilevel"/>
    <w:tmpl w:val="C784A9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7364A0C"/>
    <w:multiLevelType w:val="hybridMultilevel"/>
    <w:tmpl w:val="6CDEE6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C6A7B64"/>
    <w:multiLevelType w:val="hybridMultilevel"/>
    <w:tmpl w:val="8188D8C4"/>
    <w:lvl w:ilvl="0" w:tplc="85C8B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616915"/>
    <w:multiLevelType w:val="hybridMultilevel"/>
    <w:tmpl w:val="DDEE9B08"/>
    <w:lvl w:ilvl="0" w:tplc="EBB8B5AA">
      <w:start w:val="1"/>
      <w:numFmt w:val="decimal"/>
      <w:lvlText w:val="(%1)"/>
      <w:lvlJc w:val="left"/>
      <w:pPr>
        <w:ind w:left="720" w:hanging="360"/>
      </w:pPr>
      <w:rPr>
        <w:rFonts w:ascii="Times" w:hAnsi="Time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4F56FA"/>
    <w:multiLevelType w:val="hybridMultilevel"/>
    <w:tmpl w:val="04408B9C"/>
    <w:lvl w:ilvl="0" w:tplc="04090009">
      <w:start w:val="1"/>
      <w:numFmt w:val="bullet"/>
      <w:lvlText w:val=""/>
      <w:lvlJc w:val="left"/>
      <w:pPr>
        <w:tabs>
          <w:tab w:val="num" w:pos="1440"/>
        </w:tabs>
        <w:ind w:left="144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CBB71CB"/>
    <w:multiLevelType w:val="hybridMultilevel"/>
    <w:tmpl w:val="B46662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7"/>
  </w:num>
  <w:num w:numId="2">
    <w:abstractNumId w:val="25"/>
  </w:num>
  <w:num w:numId="3">
    <w:abstractNumId w:val="29"/>
  </w:num>
  <w:num w:numId="4">
    <w:abstractNumId w:val="16"/>
  </w:num>
  <w:num w:numId="5">
    <w:abstractNumId w:val="18"/>
  </w:num>
  <w:num w:numId="6">
    <w:abstractNumId w:val="1"/>
  </w:num>
  <w:num w:numId="7">
    <w:abstractNumId w:val="28"/>
  </w:num>
  <w:num w:numId="8">
    <w:abstractNumId w:val="10"/>
  </w:num>
  <w:num w:numId="9">
    <w:abstractNumId w:val="7"/>
  </w:num>
  <w:num w:numId="10">
    <w:abstractNumId w:val="8"/>
  </w:num>
  <w:num w:numId="11">
    <w:abstractNumId w:val="2"/>
  </w:num>
  <w:num w:numId="12">
    <w:abstractNumId w:val="24"/>
  </w:num>
  <w:num w:numId="13">
    <w:abstractNumId w:val="9"/>
  </w:num>
  <w:num w:numId="14">
    <w:abstractNumId w:val="11"/>
  </w:num>
  <w:num w:numId="15">
    <w:abstractNumId w:val="21"/>
  </w:num>
  <w:num w:numId="16">
    <w:abstractNumId w:val="15"/>
  </w:num>
  <w:num w:numId="17">
    <w:abstractNumId w:val="13"/>
  </w:num>
  <w:num w:numId="18">
    <w:abstractNumId w:val="6"/>
  </w:num>
  <w:num w:numId="19">
    <w:abstractNumId w:val="26"/>
  </w:num>
  <w:num w:numId="20">
    <w:abstractNumId w:val="19"/>
  </w:num>
  <w:num w:numId="21">
    <w:abstractNumId w:val="14"/>
  </w:num>
  <w:num w:numId="22">
    <w:abstractNumId w:val="0"/>
  </w:num>
  <w:num w:numId="23">
    <w:abstractNumId w:val="27"/>
  </w:num>
  <w:num w:numId="24">
    <w:abstractNumId w:val="3"/>
  </w:num>
  <w:num w:numId="25">
    <w:abstractNumId w:val="23"/>
  </w:num>
  <w:num w:numId="26">
    <w:abstractNumId w:val="5"/>
  </w:num>
  <w:num w:numId="27">
    <w:abstractNumId w:val="4"/>
  </w:num>
  <w:num w:numId="28">
    <w:abstractNumId w:val="22"/>
  </w:num>
  <w:num w:numId="29">
    <w:abstractNumId w:val="20"/>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41A"/>
    <w:rsid w:val="000020AE"/>
    <w:rsid w:val="00010BE3"/>
    <w:rsid w:val="00012407"/>
    <w:rsid w:val="00014242"/>
    <w:rsid w:val="00014D13"/>
    <w:rsid w:val="00016DAB"/>
    <w:rsid w:val="00020265"/>
    <w:rsid w:val="00020B69"/>
    <w:rsid w:val="00021518"/>
    <w:rsid w:val="00027510"/>
    <w:rsid w:val="00032094"/>
    <w:rsid w:val="00032860"/>
    <w:rsid w:val="0005080C"/>
    <w:rsid w:val="0005413A"/>
    <w:rsid w:val="0006075E"/>
    <w:rsid w:val="00060F44"/>
    <w:rsid w:val="0006326C"/>
    <w:rsid w:val="000651B0"/>
    <w:rsid w:val="00066072"/>
    <w:rsid w:val="00076822"/>
    <w:rsid w:val="00086C4E"/>
    <w:rsid w:val="00090EA2"/>
    <w:rsid w:val="00092790"/>
    <w:rsid w:val="00093A2D"/>
    <w:rsid w:val="000A194C"/>
    <w:rsid w:val="000A3E6C"/>
    <w:rsid w:val="000A6FDF"/>
    <w:rsid w:val="000A74EF"/>
    <w:rsid w:val="000B1E77"/>
    <w:rsid w:val="000B6590"/>
    <w:rsid w:val="000C0E3B"/>
    <w:rsid w:val="000C0F34"/>
    <w:rsid w:val="000C1AA3"/>
    <w:rsid w:val="000C2F06"/>
    <w:rsid w:val="000D0AE2"/>
    <w:rsid w:val="000D3D0F"/>
    <w:rsid w:val="000E0585"/>
    <w:rsid w:val="000E30F6"/>
    <w:rsid w:val="000E5800"/>
    <w:rsid w:val="000E76B2"/>
    <w:rsid w:val="000F07DD"/>
    <w:rsid w:val="000F28AA"/>
    <w:rsid w:val="000F41BF"/>
    <w:rsid w:val="000F4CBA"/>
    <w:rsid w:val="000F545A"/>
    <w:rsid w:val="001008C4"/>
    <w:rsid w:val="00100D7E"/>
    <w:rsid w:val="00106B0B"/>
    <w:rsid w:val="00107DE9"/>
    <w:rsid w:val="001102DA"/>
    <w:rsid w:val="0011089B"/>
    <w:rsid w:val="001148EC"/>
    <w:rsid w:val="00115AF9"/>
    <w:rsid w:val="00126EE2"/>
    <w:rsid w:val="00127C79"/>
    <w:rsid w:val="00131F5C"/>
    <w:rsid w:val="00132081"/>
    <w:rsid w:val="00135256"/>
    <w:rsid w:val="0013712A"/>
    <w:rsid w:val="00137DD1"/>
    <w:rsid w:val="0015422E"/>
    <w:rsid w:val="0015623F"/>
    <w:rsid w:val="00156C04"/>
    <w:rsid w:val="0016041B"/>
    <w:rsid w:val="001610B4"/>
    <w:rsid w:val="00166580"/>
    <w:rsid w:val="00166689"/>
    <w:rsid w:val="001669F2"/>
    <w:rsid w:val="001739C6"/>
    <w:rsid w:val="00175DC7"/>
    <w:rsid w:val="00180BC8"/>
    <w:rsid w:val="001812E1"/>
    <w:rsid w:val="00182780"/>
    <w:rsid w:val="0019371F"/>
    <w:rsid w:val="00195B42"/>
    <w:rsid w:val="00196840"/>
    <w:rsid w:val="001A4A83"/>
    <w:rsid w:val="001A6C71"/>
    <w:rsid w:val="001B1D34"/>
    <w:rsid w:val="001B6392"/>
    <w:rsid w:val="001B714B"/>
    <w:rsid w:val="001C15EB"/>
    <w:rsid w:val="001C4982"/>
    <w:rsid w:val="001C7D5C"/>
    <w:rsid w:val="001D27FC"/>
    <w:rsid w:val="001D4B0A"/>
    <w:rsid w:val="001D4C75"/>
    <w:rsid w:val="001D5DAB"/>
    <w:rsid w:val="001D742B"/>
    <w:rsid w:val="001E1E5E"/>
    <w:rsid w:val="001E5A12"/>
    <w:rsid w:val="001E6700"/>
    <w:rsid w:val="001F0E45"/>
    <w:rsid w:val="001F0E97"/>
    <w:rsid w:val="001F1D99"/>
    <w:rsid w:val="001F5772"/>
    <w:rsid w:val="00203224"/>
    <w:rsid w:val="00205289"/>
    <w:rsid w:val="002078B4"/>
    <w:rsid w:val="00215C40"/>
    <w:rsid w:val="00220B2B"/>
    <w:rsid w:val="00223BF5"/>
    <w:rsid w:val="002327F3"/>
    <w:rsid w:val="002345A4"/>
    <w:rsid w:val="00234D63"/>
    <w:rsid w:val="002417AE"/>
    <w:rsid w:val="00250C8B"/>
    <w:rsid w:val="00264505"/>
    <w:rsid w:val="00270340"/>
    <w:rsid w:val="00271355"/>
    <w:rsid w:val="00273643"/>
    <w:rsid w:val="002737AC"/>
    <w:rsid w:val="00273D08"/>
    <w:rsid w:val="00274C11"/>
    <w:rsid w:val="00290200"/>
    <w:rsid w:val="00290BA3"/>
    <w:rsid w:val="00294DAF"/>
    <w:rsid w:val="002A4EF2"/>
    <w:rsid w:val="002A588F"/>
    <w:rsid w:val="002A597E"/>
    <w:rsid w:val="002A69DE"/>
    <w:rsid w:val="002B0B9F"/>
    <w:rsid w:val="002B15AC"/>
    <w:rsid w:val="002C1CB7"/>
    <w:rsid w:val="002C286C"/>
    <w:rsid w:val="002D1F9F"/>
    <w:rsid w:val="002D47B7"/>
    <w:rsid w:val="002E2573"/>
    <w:rsid w:val="002E42D3"/>
    <w:rsid w:val="002F18B7"/>
    <w:rsid w:val="002F3083"/>
    <w:rsid w:val="002F412F"/>
    <w:rsid w:val="002F7926"/>
    <w:rsid w:val="0030199B"/>
    <w:rsid w:val="0030433B"/>
    <w:rsid w:val="003043E8"/>
    <w:rsid w:val="00311557"/>
    <w:rsid w:val="00313D16"/>
    <w:rsid w:val="00315082"/>
    <w:rsid w:val="00315ED1"/>
    <w:rsid w:val="003241E6"/>
    <w:rsid w:val="00324387"/>
    <w:rsid w:val="00330371"/>
    <w:rsid w:val="00332BF4"/>
    <w:rsid w:val="00332F1F"/>
    <w:rsid w:val="003433F9"/>
    <w:rsid w:val="00343B2A"/>
    <w:rsid w:val="003461F7"/>
    <w:rsid w:val="00352003"/>
    <w:rsid w:val="003543AA"/>
    <w:rsid w:val="0036148E"/>
    <w:rsid w:val="003620EC"/>
    <w:rsid w:val="003621D0"/>
    <w:rsid w:val="003636C7"/>
    <w:rsid w:val="00363A50"/>
    <w:rsid w:val="00364231"/>
    <w:rsid w:val="0036663C"/>
    <w:rsid w:val="00372333"/>
    <w:rsid w:val="0037296A"/>
    <w:rsid w:val="00374A79"/>
    <w:rsid w:val="00380C7D"/>
    <w:rsid w:val="00383E2F"/>
    <w:rsid w:val="003853A3"/>
    <w:rsid w:val="00387D26"/>
    <w:rsid w:val="00390F56"/>
    <w:rsid w:val="003A05CC"/>
    <w:rsid w:val="003A4262"/>
    <w:rsid w:val="003A6641"/>
    <w:rsid w:val="003B17CD"/>
    <w:rsid w:val="003B39DE"/>
    <w:rsid w:val="003B6760"/>
    <w:rsid w:val="003C43A2"/>
    <w:rsid w:val="003D01FB"/>
    <w:rsid w:val="003D62C0"/>
    <w:rsid w:val="003E58C1"/>
    <w:rsid w:val="003F482D"/>
    <w:rsid w:val="004066CD"/>
    <w:rsid w:val="004066EC"/>
    <w:rsid w:val="00406927"/>
    <w:rsid w:val="00424D13"/>
    <w:rsid w:val="0042666A"/>
    <w:rsid w:val="00426827"/>
    <w:rsid w:val="0044616A"/>
    <w:rsid w:val="00446ECB"/>
    <w:rsid w:val="00447AE0"/>
    <w:rsid w:val="00457AB4"/>
    <w:rsid w:val="00462D9E"/>
    <w:rsid w:val="00475B81"/>
    <w:rsid w:val="00481D79"/>
    <w:rsid w:val="004832C6"/>
    <w:rsid w:val="00483394"/>
    <w:rsid w:val="00483FC6"/>
    <w:rsid w:val="00485DFE"/>
    <w:rsid w:val="00487C6E"/>
    <w:rsid w:val="0049120A"/>
    <w:rsid w:val="004A48F0"/>
    <w:rsid w:val="004A61F5"/>
    <w:rsid w:val="004B42CA"/>
    <w:rsid w:val="004B4B43"/>
    <w:rsid w:val="004B6C09"/>
    <w:rsid w:val="004C014C"/>
    <w:rsid w:val="004C10E5"/>
    <w:rsid w:val="004C1673"/>
    <w:rsid w:val="004C1C9F"/>
    <w:rsid w:val="004C3BA4"/>
    <w:rsid w:val="004C3E0F"/>
    <w:rsid w:val="004C423E"/>
    <w:rsid w:val="004C665F"/>
    <w:rsid w:val="004C6FE0"/>
    <w:rsid w:val="004D0F84"/>
    <w:rsid w:val="004E0FD3"/>
    <w:rsid w:val="004E49AB"/>
    <w:rsid w:val="004F20EA"/>
    <w:rsid w:val="00501889"/>
    <w:rsid w:val="00502304"/>
    <w:rsid w:val="0051502C"/>
    <w:rsid w:val="00525D0B"/>
    <w:rsid w:val="005268DD"/>
    <w:rsid w:val="00530DB3"/>
    <w:rsid w:val="00530FCA"/>
    <w:rsid w:val="00531969"/>
    <w:rsid w:val="00532978"/>
    <w:rsid w:val="00535D66"/>
    <w:rsid w:val="00537ACA"/>
    <w:rsid w:val="00537BF3"/>
    <w:rsid w:val="0054009A"/>
    <w:rsid w:val="00544C5C"/>
    <w:rsid w:val="005737DF"/>
    <w:rsid w:val="00580984"/>
    <w:rsid w:val="0058099D"/>
    <w:rsid w:val="00581A68"/>
    <w:rsid w:val="00591717"/>
    <w:rsid w:val="00597302"/>
    <w:rsid w:val="005A469A"/>
    <w:rsid w:val="005B1D0B"/>
    <w:rsid w:val="005B3DC8"/>
    <w:rsid w:val="005C286F"/>
    <w:rsid w:val="005D1D7F"/>
    <w:rsid w:val="005D3779"/>
    <w:rsid w:val="005D44A1"/>
    <w:rsid w:val="005D57B5"/>
    <w:rsid w:val="005D6A1E"/>
    <w:rsid w:val="005D6FF2"/>
    <w:rsid w:val="005E7883"/>
    <w:rsid w:val="005F63EC"/>
    <w:rsid w:val="005F6A5F"/>
    <w:rsid w:val="005F74DD"/>
    <w:rsid w:val="00600832"/>
    <w:rsid w:val="006013F6"/>
    <w:rsid w:val="00604702"/>
    <w:rsid w:val="0061106D"/>
    <w:rsid w:val="0061185E"/>
    <w:rsid w:val="0061509B"/>
    <w:rsid w:val="00620923"/>
    <w:rsid w:val="0062561F"/>
    <w:rsid w:val="00627182"/>
    <w:rsid w:val="00632A0D"/>
    <w:rsid w:val="006337A3"/>
    <w:rsid w:val="00635127"/>
    <w:rsid w:val="00655E7B"/>
    <w:rsid w:val="00656E0B"/>
    <w:rsid w:val="006576F9"/>
    <w:rsid w:val="00657767"/>
    <w:rsid w:val="00662725"/>
    <w:rsid w:val="0066516F"/>
    <w:rsid w:val="0067057B"/>
    <w:rsid w:val="00674E8E"/>
    <w:rsid w:val="0068117B"/>
    <w:rsid w:val="00683B0A"/>
    <w:rsid w:val="00684F33"/>
    <w:rsid w:val="006923E9"/>
    <w:rsid w:val="00693370"/>
    <w:rsid w:val="006948D3"/>
    <w:rsid w:val="006953FD"/>
    <w:rsid w:val="00696281"/>
    <w:rsid w:val="00696753"/>
    <w:rsid w:val="00696E4F"/>
    <w:rsid w:val="006A115C"/>
    <w:rsid w:val="006A334A"/>
    <w:rsid w:val="006A5A5B"/>
    <w:rsid w:val="006A6045"/>
    <w:rsid w:val="006A6E24"/>
    <w:rsid w:val="006A716F"/>
    <w:rsid w:val="006B4A87"/>
    <w:rsid w:val="006B5165"/>
    <w:rsid w:val="006B5274"/>
    <w:rsid w:val="006C061A"/>
    <w:rsid w:val="006C0E92"/>
    <w:rsid w:val="006C1AF5"/>
    <w:rsid w:val="006C1E7C"/>
    <w:rsid w:val="006C5745"/>
    <w:rsid w:val="006D2127"/>
    <w:rsid w:val="006D2A46"/>
    <w:rsid w:val="006E3CCE"/>
    <w:rsid w:val="006F45FD"/>
    <w:rsid w:val="006F52F9"/>
    <w:rsid w:val="006F53F8"/>
    <w:rsid w:val="006F695E"/>
    <w:rsid w:val="00701C61"/>
    <w:rsid w:val="0070240F"/>
    <w:rsid w:val="00702916"/>
    <w:rsid w:val="0071442E"/>
    <w:rsid w:val="007216A8"/>
    <w:rsid w:val="007267B9"/>
    <w:rsid w:val="00727302"/>
    <w:rsid w:val="00747A62"/>
    <w:rsid w:val="0075081E"/>
    <w:rsid w:val="00761D60"/>
    <w:rsid w:val="00762348"/>
    <w:rsid w:val="00766052"/>
    <w:rsid w:val="0076607B"/>
    <w:rsid w:val="00767FE4"/>
    <w:rsid w:val="0077350B"/>
    <w:rsid w:val="00773F6C"/>
    <w:rsid w:val="007804F6"/>
    <w:rsid w:val="0078348E"/>
    <w:rsid w:val="007959CD"/>
    <w:rsid w:val="00796A45"/>
    <w:rsid w:val="007A05A7"/>
    <w:rsid w:val="007A3531"/>
    <w:rsid w:val="007A35B2"/>
    <w:rsid w:val="007A47B7"/>
    <w:rsid w:val="007A6CBB"/>
    <w:rsid w:val="007B08FF"/>
    <w:rsid w:val="007B0A27"/>
    <w:rsid w:val="007B3075"/>
    <w:rsid w:val="007B38DA"/>
    <w:rsid w:val="007B61E5"/>
    <w:rsid w:val="007C40B1"/>
    <w:rsid w:val="007C55E0"/>
    <w:rsid w:val="007C5A85"/>
    <w:rsid w:val="007D328C"/>
    <w:rsid w:val="007D4855"/>
    <w:rsid w:val="007D60E7"/>
    <w:rsid w:val="007D6B8B"/>
    <w:rsid w:val="007E141A"/>
    <w:rsid w:val="007E4EFA"/>
    <w:rsid w:val="007E5011"/>
    <w:rsid w:val="007E6220"/>
    <w:rsid w:val="007E6AF5"/>
    <w:rsid w:val="007F30D9"/>
    <w:rsid w:val="007F4FC3"/>
    <w:rsid w:val="007F5361"/>
    <w:rsid w:val="007F5803"/>
    <w:rsid w:val="007F6D84"/>
    <w:rsid w:val="008000CC"/>
    <w:rsid w:val="00806372"/>
    <w:rsid w:val="00812805"/>
    <w:rsid w:val="00812BD3"/>
    <w:rsid w:val="00820154"/>
    <w:rsid w:val="00820CB5"/>
    <w:rsid w:val="0082318E"/>
    <w:rsid w:val="008261CD"/>
    <w:rsid w:val="00832804"/>
    <w:rsid w:val="0083526F"/>
    <w:rsid w:val="008357AF"/>
    <w:rsid w:val="00841A43"/>
    <w:rsid w:val="00846784"/>
    <w:rsid w:val="00847628"/>
    <w:rsid w:val="008477F6"/>
    <w:rsid w:val="0085004B"/>
    <w:rsid w:val="00851966"/>
    <w:rsid w:val="0085597A"/>
    <w:rsid w:val="008564C8"/>
    <w:rsid w:val="008565E1"/>
    <w:rsid w:val="00856BB9"/>
    <w:rsid w:val="00863282"/>
    <w:rsid w:val="0086703F"/>
    <w:rsid w:val="00867113"/>
    <w:rsid w:val="00880FAF"/>
    <w:rsid w:val="008842B9"/>
    <w:rsid w:val="00891B84"/>
    <w:rsid w:val="008A3AD2"/>
    <w:rsid w:val="008B2AD2"/>
    <w:rsid w:val="008B37A2"/>
    <w:rsid w:val="008B4E1C"/>
    <w:rsid w:val="008C1028"/>
    <w:rsid w:val="008C1E2F"/>
    <w:rsid w:val="008C310D"/>
    <w:rsid w:val="008C4F7B"/>
    <w:rsid w:val="008D1887"/>
    <w:rsid w:val="008D2243"/>
    <w:rsid w:val="008D25A3"/>
    <w:rsid w:val="008E31A6"/>
    <w:rsid w:val="008F03B5"/>
    <w:rsid w:val="008F1810"/>
    <w:rsid w:val="008F5273"/>
    <w:rsid w:val="008F5A3A"/>
    <w:rsid w:val="008F68E0"/>
    <w:rsid w:val="00901902"/>
    <w:rsid w:val="009032DE"/>
    <w:rsid w:val="00904537"/>
    <w:rsid w:val="00913962"/>
    <w:rsid w:val="00913981"/>
    <w:rsid w:val="00913EA6"/>
    <w:rsid w:val="00925BA7"/>
    <w:rsid w:val="009326C1"/>
    <w:rsid w:val="00933E0D"/>
    <w:rsid w:val="009446B0"/>
    <w:rsid w:val="00950624"/>
    <w:rsid w:val="009507EE"/>
    <w:rsid w:val="00951615"/>
    <w:rsid w:val="00955B09"/>
    <w:rsid w:val="00955D47"/>
    <w:rsid w:val="00957BCA"/>
    <w:rsid w:val="00962101"/>
    <w:rsid w:val="00973002"/>
    <w:rsid w:val="00974995"/>
    <w:rsid w:val="00975E59"/>
    <w:rsid w:val="00976E1E"/>
    <w:rsid w:val="009775D5"/>
    <w:rsid w:val="00980C69"/>
    <w:rsid w:val="009A120C"/>
    <w:rsid w:val="009A509C"/>
    <w:rsid w:val="009A5717"/>
    <w:rsid w:val="009A618B"/>
    <w:rsid w:val="009B6A52"/>
    <w:rsid w:val="009C0C57"/>
    <w:rsid w:val="009C5D91"/>
    <w:rsid w:val="009C7327"/>
    <w:rsid w:val="009E136A"/>
    <w:rsid w:val="009E494D"/>
    <w:rsid w:val="009E6A85"/>
    <w:rsid w:val="009F1650"/>
    <w:rsid w:val="009F3C17"/>
    <w:rsid w:val="009F56C1"/>
    <w:rsid w:val="00A0043E"/>
    <w:rsid w:val="00A047FC"/>
    <w:rsid w:val="00A05581"/>
    <w:rsid w:val="00A07BB1"/>
    <w:rsid w:val="00A1011A"/>
    <w:rsid w:val="00A11284"/>
    <w:rsid w:val="00A14703"/>
    <w:rsid w:val="00A14CCA"/>
    <w:rsid w:val="00A25A2A"/>
    <w:rsid w:val="00A32BC3"/>
    <w:rsid w:val="00A369C0"/>
    <w:rsid w:val="00A36A0C"/>
    <w:rsid w:val="00A47CAE"/>
    <w:rsid w:val="00A534BA"/>
    <w:rsid w:val="00A56B9E"/>
    <w:rsid w:val="00A57233"/>
    <w:rsid w:val="00A7427B"/>
    <w:rsid w:val="00A752FE"/>
    <w:rsid w:val="00A76577"/>
    <w:rsid w:val="00A77F9E"/>
    <w:rsid w:val="00A80300"/>
    <w:rsid w:val="00A83139"/>
    <w:rsid w:val="00A87C5E"/>
    <w:rsid w:val="00A92446"/>
    <w:rsid w:val="00A92C8A"/>
    <w:rsid w:val="00A94549"/>
    <w:rsid w:val="00AA3DE0"/>
    <w:rsid w:val="00AA4820"/>
    <w:rsid w:val="00AB0764"/>
    <w:rsid w:val="00AB3264"/>
    <w:rsid w:val="00AC5382"/>
    <w:rsid w:val="00AD567F"/>
    <w:rsid w:val="00AD621B"/>
    <w:rsid w:val="00AD7909"/>
    <w:rsid w:val="00AE0E6B"/>
    <w:rsid w:val="00AE7507"/>
    <w:rsid w:val="00AF1613"/>
    <w:rsid w:val="00AF168C"/>
    <w:rsid w:val="00AF2136"/>
    <w:rsid w:val="00AF509C"/>
    <w:rsid w:val="00B021E0"/>
    <w:rsid w:val="00B038B7"/>
    <w:rsid w:val="00B105D2"/>
    <w:rsid w:val="00B13216"/>
    <w:rsid w:val="00B14764"/>
    <w:rsid w:val="00B20E9A"/>
    <w:rsid w:val="00B246B7"/>
    <w:rsid w:val="00B248F9"/>
    <w:rsid w:val="00B24D95"/>
    <w:rsid w:val="00B2636C"/>
    <w:rsid w:val="00B30986"/>
    <w:rsid w:val="00B3388A"/>
    <w:rsid w:val="00B34007"/>
    <w:rsid w:val="00B54B44"/>
    <w:rsid w:val="00B63EEA"/>
    <w:rsid w:val="00B65754"/>
    <w:rsid w:val="00B6701B"/>
    <w:rsid w:val="00B70297"/>
    <w:rsid w:val="00B82C36"/>
    <w:rsid w:val="00B835F9"/>
    <w:rsid w:val="00B861EC"/>
    <w:rsid w:val="00B958C1"/>
    <w:rsid w:val="00B96EBD"/>
    <w:rsid w:val="00B96F43"/>
    <w:rsid w:val="00BA0935"/>
    <w:rsid w:val="00BB0397"/>
    <w:rsid w:val="00BB5956"/>
    <w:rsid w:val="00BB6CA6"/>
    <w:rsid w:val="00BC0EAB"/>
    <w:rsid w:val="00BC28A1"/>
    <w:rsid w:val="00BC2D94"/>
    <w:rsid w:val="00BC2F68"/>
    <w:rsid w:val="00BC3E98"/>
    <w:rsid w:val="00BC5A08"/>
    <w:rsid w:val="00BC6DD6"/>
    <w:rsid w:val="00BD5B12"/>
    <w:rsid w:val="00BD5EEA"/>
    <w:rsid w:val="00BF1FD6"/>
    <w:rsid w:val="00BF33D3"/>
    <w:rsid w:val="00BF46B6"/>
    <w:rsid w:val="00BF6794"/>
    <w:rsid w:val="00BF690B"/>
    <w:rsid w:val="00C011CA"/>
    <w:rsid w:val="00C05D4F"/>
    <w:rsid w:val="00C1496A"/>
    <w:rsid w:val="00C1548B"/>
    <w:rsid w:val="00C15E39"/>
    <w:rsid w:val="00C36035"/>
    <w:rsid w:val="00C4124A"/>
    <w:rsid w:val="00C457FA"/>
    <w:rsid w:val="00C477A8"/>
    <w:rsid w:val="00C50DFA"/>
    <w:rsid w:val="00C60441"/>
    <w:rsid w:val="00C62A1B"/>
    <w:rsid w:val="00C66487"/>
    <w:rsid w:val="00C7091C"/>
    <w:rsid w:val="00C743C8"/>
    <w:rsid w:val="00C768AB"/>
    <w:rsid w:val="00C77598"/>
    <w:rsid w:val="00C82EC7"/>
    <w:rsid w:val="00C93E72"/>
    <w:rsid w:val="00C94BCA"/>
    <w:rsid w:val="00CA022B"/>
    <w:rsid w:val="00CA0E7D"/>
    <w:rsid w:val="00CA1514"/>
    <w:rsid w:val="00CA511E"/>
    <w:rsid w:val="00CA67CD"/>
    <w:rsid w:val="00CB183F"/>
    <w:rsid w:val="00CB64CB"/>
    <w:rsid w:val="00CC0834"/>
    <w:rsid w:val="00CC1F3E"/>
    <w:rsid w:val="00CC3EAF"/>
    <w:rsid w:val="00CD078D"/>
    <w:rsid w:val="00CD2F31"/>
    <w:rsid w:val="00CD4FB2"/>
    <w:rsid w:val="00CD6F3E"/>
    <w:rsid w:val="00CE1F49"/>
    <w:rsid w:val="00CE32C4"/>
    <w:rsid w:val="00CF5439"/>
    <w:rsid w:val="00CF5C0F"/>
    <w:rsid w:val="00CF6151"/>
    <w:rsid w:val="00D011A8"/>
    <w:rsid w:val="00D176AC"/>
    <w:rsid w:val="00D20C7D"/>
    <w:rsid w:val="00D229A7"/>
    <w:rsid w:val="00D23B78"/>
    <w:rsid w:val="00D2400F"/>
    <w:rsid w:val="00D31534"/>
    <w:rsid w:val="00D323ED"/>
    <w:rsid w:val="00D37E0C"/>
    <w:rsid w:val="00D41380"/>
    <w:rsid w:val="00D549B9"/>
    <w:rsid w:val="00D57CF2"/>
    <w:rsid w:val="00D64077"/>
    <w:rsid w:val="00D6760F"/>
    <w:rsid w:val="00D70B32"/>
    <w:rsid w:val="00D710FF"/>
    <w:rsid w:val="00D734E3"/>
    <w:rsid w:val="00D8552B"/>
    <w:rsid w:val="00D85935"/>
    <w:rsid w:val="00D92526"/>
    <w:rsid w:val="00D92D40"/>
    <w:rsid w:val="00D96BF7"/>
    <w:rsid w:val="00DA086E"/>
    <w:rsid w:val="00DB4911"/>
    <w:rsid w:val="00DC1163"/>
    <w:rsid w:val="00DC1D0C"/>
    <w:rsid w:val="00DC5FC5"/>
    <w:rsid w:val="00DC64D8"/>
    <w:rsid w:val="00DD1ADE"/>
    <w:rsid w:val="00DE40A9"/>
    <w:rsid w:val="00DF22FC"/>
    <w:rsid w:val="00DF2953"/>
    <w:rsid w:val="00E01FF0"/>
    <w:rsid w:val="00E02E29"/>
    <w:rsid w:val="00E06060"/>
    <w:rsid w:val="00E07B6D"/>
    <w:rsid w:val="00E10545"/>
    <w:rsid w:val="00E14A43"/>
    <w:rsid w:val="00E163B1"/>
    <w:rsid w:val="00E167E3"/>
    <w:rsid w:val="00E17244"/>
    <w:rsid w:val="00E17A95"/>
    <w:rsid w:val="00E36EA2"/>
    <w:rsid w:val="00E42740"/>
    <w:rsid w:val="00E430BD"/>
    <w:rsid w:val="00E43C90"/>
    <w:rsid w:val="00E44405"/>
    <w:rsid w:val="00E44676"/>
    <w:rsid w:val="00E52F06"/>
    <w:rsid w:val="00E57650"/>
    <w:rsid w:val="00E64633"/>
    <w:rsid w:val="00E67928"/>
    <w:rsid w:val="00E830CC"/>
    <w:rsid w:val="00E84308"/>
    <w:rsid w:val="00E8705D"/>
    <w:rsid w:val="00E900CA"/>
    <w:rsid w:val="00E91F0A"/>
    <w:rsid w:val="00EA0B55"/>
    <w:rsid w:val="00EA6D50"/>
    <w:rsid w:val="00EA7A22"/>
    <w:rsid w:val="00EB6E07"/>
    <w:rsid w:val="00EC523C"/>
    <w:rsid w:val="00EC5DA5"/>
    <w:rsid w:val="00ED1B0E"/>
    <w:rsid w:val="00EF0901"/>
    <w:rsid w:val="00EF1CE1"/>
    <w:rsid w:val="00EF311A"/>
    <w:rsid w:val="00EF6387"/>
    <w:rsid w:val="00EF6F45"/>
    <w:rsid w:val="00F11146"/>
    <w:rsid w:val="00F11B84"/>
    <w:rsid w:val="00F12770"/>
    <w:rsid w:val="00F13457"/>
    <w:rsid w:val="00F15D02"/>
    <w:rsid w:val="00F26171"/>
    <w:rsid w:val="00F2734F"/>
    <w:rsid w:val="00F36A38"/>
    <w:rsid w:val="00F41648"/>
    <w:rsid w:val="00F46CFA"/>
    <w:rsid w:val="00F47A82"/>
    <w:rsid w:val="00F50F0D"/>
    <w:rsid w:val="00F51203"/>
    <w:rsid w:val="00F5290B"/>
    <w:rsid w:val="00F7362C"/>
    <w:rsid w:val="00F7556F"/>
    <w:rsid w:val="00F829ED"/>
    <w:rsid w:val="00F863FA"/>
    <w:rsid w:val="00F8698C"/>
    <w:rsid w:val="00F877A5"/>
    <w:rsid w:val="00F9710F"/>
    <w:rsid w:val="00FA3DA1"/>
    <w:rsid w:val="00FA545C"/>
    <w:rsid w:val="00FA6B7F"/>
    <w:rsid w:val="00FB1260"/>
    <w:rsid w:val="00FB400B"/>
    <w:rsid w:val="00FB6DB3"/>
    <w:rsid w:val="00FC079F"/>
    <w:rsid w:val="00FC7EF8"/>
    <w:rsid w:val="00FD207E"/>
    <w:rsid w:val="00FD2F05"/>
    <w:rsid w:val="00FD4887"/>
    <w:rsid w:val="00FD663C"/>
    <w:rsid w:val="00FD7656"/>
    <w:rsid w:val="00FF0F50"/>
    <w:rsid w:val="00FF3AD3"/>
    <w:rsid w:val="00FF4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08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qFormat="1"/>
    <w:lsdException w:name="footnote reference" w:uiPriority="99"/>
    <w:lsdException w:name="annotation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rmal (Web)" w:uiPriority="99"/>
    <w:lsdException w:name="Normal Table" w:semiHidden="0" w:unhideWhenUsed="0"/>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1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141A"/>
    <w:pPr>
      <w:widowControl w:val="0"/>
      <w:autoSpaceDE w:val="0"/>
      <w:autoSpaceDN w:val="0"/>
      <w:adjustRightInd w:val="0"/>
    </w:pPr>
    <w:rPr>
      <w:rFonts w:ascii="Times" w:hAnsi="Times" w:cs="Times"/>
      <w:color w:val="000000"/>
      <w:sz w:val="24"/>
      <w:szCs w:val="24"/>
    </w:rPr>
  </w:style>
  <w:style w:type="paragraph" w:customStyle="1" w:styleId="CM24">
    <w:name w:val="CM24"/>
    <w:basedOn w:val="Default"/>
    <w:next w:val="Default"/>
    <w:rsid w:val="007E141A"/>
    <w:pPr>
      <w:spacing w:after="1708"/>
    </w:pPr>
    <w:rPr>
      <w:color w:val="auto"/>
    </w:rPr>
  </w:style>
  <w:style w:type="paragraph" w:customStyle="1" w:styleId="CM1">
    <w:name w:val="CM1"/>
    <w:basedOn w:val="Default"/>
    <w:next w:val="Default"/>
    <w:rsid w:val="007E141A"/>
    <w:rPr>
      <w:color w:val="auto"/>
    </w:rPr>
  </w:style>
  <w:style w:type="paragraph" w:styleId="TOC1">
    <w:name w:val="toc 1"/>
    <w:basedOn w:val="Normal"/>
    <w:next w:val="Normal"/>
    <w:autoRedefine/>
    <w:uiPriority w:val="39"/>
    <w:rsid w:val="007E141A"/>
    <w:pPr>
      <w:widowControl w:val="0"/>
      <w:autoSpaceDE w:val="0"/>
      <w:autoSpaceDN w:val="0"/>
      <w:adjustRightInd w:val="0"/>
      <w:ind w:left="720" w:hanging="720"/>
    </w:pPr>
  </w:style>
  <w:style w:type="character" w:customStyle="1" w:styleId="Hypertext">
    <w:name w:val="Hypertext"/>
    <w:rsid w:val="007E141A"/>
    <w:rPr>
      <w:color w:val="0000FF"/>
      <w:u w:val="single"/>
    </w:rPr>
  </w:style>
  <w:style w:type="paragraph" w:styleId="TOC2">
    <w:name w:val="toc 2"/>
    <w:basedOn w:val="Normal"/>
    <w:next w:val="Normal"/>
    <w:autoRedefine/>
    <w:uiPriority w:val="39"/>
    <w:rsid w:val="007E141A"/>
    <w:pPr>
      <w:widowControl w:val="0"/>
      <w:autoSpaceDE w:val="0"/>
      <w:autoSpaceDN w:val="0"/>
      <w:adjustRightInd w:val="0"/>
      <w:ind w:left="1440" w:hanging="720"/>
    </w:pPr>
  </w:style>
  <w:style w:type="paragraph" w:customStyle="1" w:styleId="CM25">
    <w:name w:val="CM25"/>
    <w:basedOn w:val="Default"/>
    <w:next w:val="Default"/>
    <w:rsid w:val="007B61E5"/>
    <w:pPr>
      <w:spacing w:after="283"/>
    </w:pPr>
    <w:rPr>
      <w:color w:val="auto"/>
    </w:rPr>
  </w:style>
  <w:style w:type="paragraph" w:customStyle="1" w:styleId="CM30">
    <w:name w:val="CM30"/>
    <w:basedOn w:val="Default"/>
    <w:next w:val="Default"/>
    <w:rsid w:val="007B61E5"/>
    <w:pPr>
      <w:spacing w:after="488"/>
    </w:pPr>
    <w:rPr>
      <w:color w:val="auto"/>
    </w:rPr>
  </w:style>
  <w:style w:type="paragraph" w:customStyle="1" w:styleId="CM27">
    <w:name w:val="CM27"/>
    <w:basedOn w:val="Default"/>
    <w:next w:val="Default"/>
    <w:rsid w:val="007B61E5"/>
    <w:pPr>
      <w:spacing w:after="282"/>
    </w:pPr>
    <w:rPr>
      <w:color w:val="auto"/>
    </w:rPr>
  </w:style>
  <w:style w:type="paragraph" w:customStyle="1" w:styleId="CM29">
    <w:name w:val="CM29"/>
    <w:basedOn w:val="Default"/>
    <w:next w:val="Default"/>
    <w:rsid w:val="007B61E5"/>
    <w:pPr>
      <w:spacing w:after="585"/>
    </w:pPr>
    <w:rPr>
      <w:color w:val="auto"/>
    </w:rPr>
  </w:style>
  <w:style w:type="character" w:styleId="FootnoteReference">
    <w:name w:val="footnote reference"/>
    <w:uiPriority w:val="99"/>
    <w:rsid w:val="007B61E5"/>
  </w:style>
  <w:style w:type="character" w:styleId="Hyperlink">
    <w:name w:val="Hyperlink"/>
    <w:rsid w:val="007B61E5"/>
    <w:rPr>
      <w:color w:val="0000FF"/>
      <w:u w:val="single"/>
    </w:rPr>
  </w:style>
  <w:style w:type="paragraph" w:styleId="Header">
    <w:name w:val="header"/>
    <w:basedOn w:val="Normal"/>
    <w:rsid w:val="007B61E5"/>
    <w:pPr>
      <w:tabs>
        <w:tab w:val="center" w:pos="4320"/>
        <w:tab w:val="right" w:pos="8640"/>
      </w:tabs>
    </w:pPr>
  </w:style>
  <w:style w:type="character" w:styleId="PageNumber">
    <w:name w:val="page number"/>
    <w:basedOn w:val="DefaultParagraphFont"/>
    <w:rsid w:val="007B61E5"/>
  </w:style>
  <w:style w:type="paragraph" w:styleId="Footer">
    <w:name w:val="footer"/>
    <w:basedOn w:val="Normal"/>
    <w:rsid w:val="007B61E5"/>
    <w:pPr>
      <w:tabs>
        <w:tab w:val="center" w:pos="4320"/>
        <w:tab w:val="right" w:pos="8640"/>
      </w:tabs>
    </w:pPr>
  </w:style>
  <w:style w:type="paragraph" w:styleId="ListParagraph">
    <w:name w:val="List Paragraph"/>
    <w:basedOn w:val="Normal"/>
    <w:uiPriority w:val="34"/>
    <w:qFormat/>
    <w:rsid w:val="004D0F84"/>
    <w:pPr>
      <w:ind w:left="720"/>
    </w:pPr>
  </w:style>
  <w:style w:type="table" w:styleId="TableGrid">
    <w:name w:val="Table Grid"/>
    <w:basedOn w:val="TableNormal"/>
    <w:rsid w:val="00EF0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B37A2"/>
    <w:rPr>
      <w:sz w:val="24"/>
      <w:szCs w:val="22"/>
    </w:rPr>
  </w:style>
  <w:style w:type="character" w:customStyle="1" w:styleId="NoSpacingChar">
    <w:name w:val="No Spacing Char"/>
    <w:link w:val="NoSpacing"/>
    <w:uiPriority w:val="1"/>
    <w:locked/>
    <w:rsid w:val="008B37A2"/>
    <w:rPr>
      <w:sz w:val="24"/>
      <w:szCs w:val="22"/>
      <w:lang w:val="en-US" w:eastAsia="en-US" w:bidi="ar-SA"/>
    </w:rPr>
  </w:style>
  <w:style w:type="paragraph" w:styleId="NormalWeb">
    <w:name w:val="Normal (Web)"/>
    <w:basedOn w:val="Normal"/>
    <w:uiPriority w:val="99"/>
    <w:unhideWhenUsed/>
    <w:rsid w:val="00A87C5E"/>
  </w:style>
  <w:style w:type="paragraph" w:styleId="BalloonText">
    <w:name w:val="Balloon Text"/>
    <w:basedOn w:val="Normal"/>
    <w:link w:val="BalloonTextChar"/>
    <w:rsid w:val="00D92D40"/>
    <w:rPr>
      <w:rFonts w:ascii="Segoe UI" w:hAnsi="Segoe UI" w:cs="Segoe UI"/>
      <w:sz w:val="18"/>
      <w:szCs w:val="18"/>
    </w:rPr>
  </w:style>
  <w:style w:type="character" w:customStyle="1" w:styleId="BalloonTextChar">
    <w:name w:val="Balloon Text Char"/>
    <w:link w:val="BalloonText"/>
    <w:rsid w:val="00D92D40"/>
    <w:rPr>
      <w:rFonts w:ascii="Segoe UI" w:hAnsi="Segoe UI" w:cs="Segoe UI"/>
      <w:sz w:val="18"/>
      <w:szCs w:val="18"/>
    </w:rPr>
  </w:style>
  <w:style w:type="character" w:styleId="CommentReference">
    <w:name w:val="annotation reference"/>
    <w:basedOn w:val="DefaultParagraphFont"/>
    <w:uiPriority w:val="99"/>
    <w:rsid w:val="00950624"/>
    <w:rPr>
      <w:sz w:val="16"/>
      <w:szCs w:val="16"/>
    </w:rPr>
  </w:style>
  <w:style w:type="paragraph" w:styleId="CommentText">
    <w:name w:val="annotation text"/>
    <w:basedOn w:val="Normal"/>
    <w:link w:val="CommentTextChar"/>
    <w:uiPriority w:val="99"/>
    <w:rsid w:val="00950624"/>
    <w:rPr>
      <w:sz w:val="20"/>
      <w:szCs w:val="20"/>
    </w:rPr>
  </w:style>
  <w:style w:type="character" w:customStyle="1" w:styleId="CommentTextChar">
    <w:name w:val="Comment Text Char"/>
    <w:basedOn w:val="DefaultParagraphFont"/>
    <w:link w:val="CommentText"/>
    <w:uiPriority w:val="99"/>
    <w:rsid w:val="00950624"/>
  </w:style>
  <w:style w:type="paragraph" w:styleId="CommentSubject">
    <w:name w:val="annotation subject"/>
    <w:basedOn w:val="CommentText"/>
    <w:next w:val="CommentText"/>
    <w:link w:val="CommentSubjectChar"/>
    <w:rsid w:val="00950624"/>
    <w:rPr>
      <w:b/>
      <w:bCs/>
    </w:rPr>
  </w:style>
  <w:style w:type="character" w:customStyle="1" w:styleId="CommentSubjectChar">
    <w:name w:val="Comment Subject Char"/>
    <w:basedOn w:val="CommentTextChar"/>
    <w:link w:val="CommentSubject"/>
    <w:rsid w:val="00950624"/>
    <w:rPr>
      <w:b/>
      <w:bCs/>
    </w:rPr>
  </w:style>
  <w:style w:type="paragraph" w:styleId="FootnoteText">
    <w:name w:val="footnote text"/>
    <w:aliases w:val="Char, Char,Footnote Text Char1,Footnote Text Char Char,Footnote Text Char1 Char Char,Footnote Text Char Char Char Char,Footnote Text Char Char1,ALTS FOOTNOTE,fn,Char4,Footnote Text - Preamble,Char2,Footnote Text - Preamble1,Char3,f, Char4"/>
    <w:basedOn w:val="Normal"/>
    <w:link w:val="FootnoteTextChar"/>
    <w:unhideWhenUsed/>
    <w:rsid w:val="00BF6794"/>
    <w:rPr>
      <w:rFonts w:ascii="Calibri" w:eastAsia="Calibri" w:hAnsi="Calibri"/>
      <w:sz w:val="20"/>
      <w:szCs w:val="20"/>
    </w:rPr>
  </w:style>
  <w:style w:type="character" w:customStyle="1" w:styleId="FootnoteTextChar">
    <w:name w:val="Footnote Text Char"/>
    <w:aliases w:val="Char Char, Char Char,Footnote Text Char1 Char,Footnote Text Char Char Char,Footnote Text Char1 Char Char Char,Footnote Text Char Char Char Char Char,Footnote Text Char Char1 Char,ALTS FOOTNOTE Char,fn Char,Char4 Char,Char2 Char,f Char"/>
    <w:basedOn w:val="DefaultParagraphFont"/>
    <w:link w:val="FootnoteText"/>
    <w:rsid w:val="00BF6794"/>
    <w:rPr>
      <w:rFonts w:ascii="Calibri" w:eastAsia="Calibri" w:hAnsi="Calibri"/>
    </w:rPr>
  </w:style>
  <w:style w:type="paragraph" w:styleId="Revision">
    <w:name w:val="Revision"/>
    <w:hidden/>
    <w:uiPriority w:val="99"/>
    <w:semiHidden/>
    <w:rsid w:val="00976E1E"/>
    <w:rPr>
      <w:sz w:val="24"/>
      <w:szCs w:val="24"/>
    </w:rPr>
  </w:style>
  <w:style w:type="paragraph" w:customStyle="1" w:styleId="IEcFootnoteText">
    <w:name w:val="IEc Footnote Text"/>
    <w:basedOn w:val="Normal"/>
    <w:link w:val="IEcFootnoteTextChar"/>
    <w:rsid w:val="004832C6"/>
    <w:pPr>
      <w:spacing w:after="120" w:line="240" w:lineRule="exact"/>
    </w:pPr>
    <w:rPr>
      <w:rFonts w:ascii="Trebuchet MS" w:eastAsiaTheme="minorHAnsi" w:hAnsi="Trebuchet MS" w:cstheme="minorBidi"/>
      <w:sz w:val="14"/>
      <w:szCs w:val="14"/>
    </w:rPr>
  </w:style>
  <w:style w:type="character" w:customStyle="1" w:styleId="IEcFootnoteTextChar">
    <w:name w:val="IEc Footnote Text Char"/>
    <w:link w:val="IEcFootnoteText"/>
    <w:rsid w:val="004832C6"/>
    <w:rPr>
      <w:rFonts w:ascii="Trebuchet MS" w:eastAsiaTheme="minorHAnsi" w:hAnsi="Trebuchet MS" w:cstheme="minorBidi"/>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qFormat="1"/>
    <w:lsdException w:name="footnote reference" w:uiPriority="99"/>
    <w:lsdException w:name="annotation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rmal (Web)" w:uiPriority="99"/>
    <w:lsdException w:name="Normal Table" w:semiHidden="0" w:unhideWhenUsed="0"/>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1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141A"/>
    <w:pPr>
      <w:widowControl w:val="0"/>
      <w:autoSpaceDE w:val="0"/>
      <w:autoSpaceDN w:val="0"/>
      <w:adjustRightInd w:val="0"/>
    </w:pPr>
    <w:rPr>
      <w:rFonts w:ascii="Times" w:hAnsi="Times" w:cs="Times"/>
      <w:color w:val="000000"/>
      <w:sz w:val="24"/>
      <w:szCs w:val="24"/>
    </w:rPr>
  </w:style>
  <w:style w:type="paragraph" w:customStyle="1" w:styleId="CM24">
    <w:name w:val="CM24"/>
    <w:basedOn w:val="Default"/>
    <w:next w:val="Default"/>
    <w:rsid w:val="007E141A"/>
    <w:pPr>
      <w:spacing w:after="1708"/>
    </w:pPr>
    <w:rPr>
      <w:color w:val="auto"/>
    </w:rPr>
  </w:style>
  <w:style w:type="paragraph" w:customStyle="1" w:styleId="CM1">
    <w:name w:val="CM1"/>
    <w:basedOn w:val="Default"/>
    <w:next w:val="Default"/>
    <w:rsid w:val="007E141A"/>
    <w:rPr>
      <w:color w:val="auto"/>
    </w:rPr>
  </w:style>
  <w:style w:type="paragraph" w:styleId="TOC1">
    <w:name w:val="toc 1"/>
    <w:basedOn w:val="Normal"/>
    <w:next w:val="Normal"/>
    <w:autoRedefine/>
    <w:uiPriority w:val="39"/>
    <w:rsid w:val="007E141A"/>
    <w:pPr>
      <w:widowControl w:val="0"/>
      <w:autoSpaceDE w:val="0"/>
      <w:autoSpaceDN w:val="0"/>
      <w:adjustRightInd w:val="0"/>
      <w:ind w:left="720" w:hanging="720"/>
    </w:pPr>
  </w:style>
  <w:style w:type="character" w:customStyle="1" w:styleId="Hypertext">
    <w:name w:val="Hypertext"/>
    <w:rsid w:val="007E141A"/>
    <w:rPr>
      <w:color w:val="0000FF"/>
      <w:u w:val="single"/>
    </w:rPr>
  </w:style>
  <w:style w:type="paragraph" w:styleId="TOC2">
    <w:name w:val="toc 2"/>
    <w:basedOn w:val="Normal"/>
    <w:next w:val="Normal"/>
    <w:autoRedefine/>
    <w:uiPriority w:val="39"/>
    <w:rsid w:val="007E141A"/>
    <w:pPr>
      <w:widowControl w:val="0"/>
      <w:autoSpaceDE w:val="0"/>
      <w:autoSpaceDN w:val="0"/>
      <w:adjustRightInd w:val="0"/>
      <w:ind w:left="1440" w:hanging="720"/>
    </w:pPr>
  </w:style>
  <w:style w:type="paragraph" w:customStyle="1" w:styleId="CM25">
    <w:name w:val="CM25"/>
    <w:basedOn w:val="Default"/>
    <w:next w:val="Default"/>
    <w:rsid w:val="007B61E5"/>
    <w:pPr>
      <w:spacing w:after="283"/>
    </w:pPr>
    <w:rPr>
      <w:color w:val="auto"/>
    </w:rPr>
  </w:style>
  <w:style w:type="paragraph" w:customStyle="1" w:styleId="CM30">
    <w:name w:val="CM30"/>
    <w:basedOn w:val="Default"/>
    <w:next w:val="Default"/>
    <w:rsid w:val="007B61E5"/>
    <w:pPr>
      <w:spacing w:after="488"/>
    </w:pPr>
    <w:rPr>
      <w:color w:val="auto"/>
    </w:rPr>
  </w:style>
  <w:style w:type="paragraph" w:customStyle="1" w:styleId="CM27">
    <w:name w:val="CM27"/>
    <w:basedOn w:val="Default"/>
    <w:next w:val="Default"/>
    <w:rsid w:val="007B61E5"/>
    <w:pPr>
      <w:spacing w:after="282"/>
    </w:pPr>
    <w:rPr>
      <w:color w:val="auto"/>
    </w:rPr>
  </w:style>
  <w:style w:type="paragraph" w:customStyle="1" w:styleId="CM29">
    <w:name w:val="CM29"/>
    <w:basedOn w:val="Default"/>
    <w:next w:val="Default"/>
    <w:rsid w:val="007B61E5"/>
    <w:pPr>
      <w:spacing w:after="585"/>
    </w:pPr>
    <w:rPr>
      <w:color w:val="auto"/>
    </w:rPr>
  </w:style>
  <w:style w:type="character" w:styleId="FootnoteReference">
    <w:name w:val="footnote reference"/>
    <w:uiPriority w:val="99"/>
    <w:rsid w:val="007B61E5"/>
  </w:style>
  <w:style w:type="character" w:styleId="Hyperlink">
    <w:name w:val="Hyperlink"/>
    <w:rsid w:val="007B61E5"/>
    <w:rPr>
      <w:color w:val="0000FF"/>
      <w:u w:val="single"/>
    </w:rPr>
  </w:style>
  <w:style w:type="paragraph" w:styleId="Header">
    <w:name w:val="header"/>
    <w:basedOn w:val="Normal"/>
    <w:rsid w:val="007B61E5"/>
    <w:pPr>
      <w:tabs>
        <w:tab w:val="center" w:pos="4320"/>
        <w:tab w:val="right" w:pos="8640"/>
      </w:tabs>
    </w:pPr>
  </w:style>
  <w:style w:type="character" w:styleId="PageNumber">
    <w:name w:val="page number"/>
    <w:basedOn w:val="DefaultParagraphFont"/>
    <w:rsid w:val="007B61E5"/>
  </w:style>
  <w:style w:type="paragraph" w:styleId="Footer">
    <w:name w:val="footer"/>
    <w:basedOn w:val="Normal"/>
    <w:rsid w:val="007B61E5"/>
    <w:pPr>
      <w:tabs>
        <w:tab w:val="center" w:pos="4320"/>
        <w:tab w:val="right" w:pos="8640"/>
      </w:tabs>
    </w:pPr>
  </w:style>
  <w:style w:type="paragraph" w:styleId="ListParagraph">
    <w:name w:val="List Paragraph"/>
    <w:basedOn w:val="Normal"/>
    <w:uiPriority w:val="34"/>
    <w:qFormat/>
    <w:rsid w:val="004D0F84"/>
    <w:pPr>
      <w:ind w:left="720"/>
    </w:pPr>
  </w:style>
  <w:style w:type="table" w:styleId="TableGrid">
    <w:name w:val="Table Grid"/>
    <w:basedOn w:val="TableNormal"/>
    <w:rsid w:val="00EF0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B37A2"/>
    <w:rPr>
      <w:sz w:val="24"/>
      <w:szCs w:val="22"/>
    </w:rPr>
  </w:style>
  <w:style w:type="character" w:customStyle="1" w:styleId="NoSpacingChar">
    <w:name w:val="No Spacing Char"/>
    <w:link w:val="NoSpacing"/>
    <w:uiPriority w:val="1"/>
    <w:locked/>
    <w:rsid w:val="008B37A2"/>
    <w:rPr>
      <w:sz w:val="24"/>
      <w:szCs w:val="22"/>
      <w:lang w:val="en-US" w:eastAsia="en-US" w:bidi="ar-SA"/>
    </w:rPr>
  </w:style>
  <w:style w:type="paragraph" w:styleId="NormalWeb">
    <w:name w:val="Normal (Web)"/>
    <w:basedOn w:val="Normal"/>
    <w:uiPriority w:val="99"/>
    <w:unhideWhenUsed/>
    <w:rsid w:val="00A87C5E"/>
  </w:style>
  <w:style w:type="paragraph" w:styleId="BalloonText">
    <w:name w:val="Balloon Text"/>
    <w:basedOn w:val="Normal"/>
    <w:link w:val="BalloonTextChar"/>
    <w:rsid w:val="00D92D40"/>
    <w:rPr>
      <w:rFonts w:ascii="Segoe UI" w:hAnsi="Segoe UI" w:cs="Segoe UI"/>
      <w:sz w:val="18"/>
      <w:szCs w:val="18"/>
    </w:rPr>
  </w:style>
  <w:style w:type="character" w:customStyle="1" w:styleId="BalloonTextChar">
    <w:name w:val="Balloon Text Char"/>
    <w:link w:val="BalloonText"/>
    <w:rsid w:val="00D92D40"/>
    <w:rPr>
      <w:rFonts w:ascii="Segoe UI" w:hAnsi="Segoe UI" w:cs="Segoe UI"/>
      <w:sz w:val="18"/>
      <w:szCs w:val="18"/>
    </w:rPr>
  </w:style>
  <w:style w:type="character" w:styleId="CommentReference">
    <w:name w:val="annotation reference"/>
    <w:basedOn w:val="DefaultParagraphFont"/>
    <w:uiPriority w:val="99"/>
    <w:rsid w:val="00950624"/>
    <w:rPr>
      <w:sz w:val="16"/>
      <w:szCs w:val="16"/>
    </w:rPr>
  </w:style>
  <w:style w:type="paragraph" w:styleId="CommentText">
    <w:name w:val="annotation text"/>
    <w:basedOn w:val="Normal"/>
    <w:link w:val="CommentTextChar"/>
    <w:uiPriority w:val="99"/>
    <w:rsid w:val="00950624"/>
    <w:rPr>
      <w:sz w:val="20"/>
      <w:szCs w:val="20"/>
    </w:rPr>
  </w:style>
  <w:style w:type="character" w:customStyle="1" w:styleId="CommentTextChar">
    <w:name w:val="Comment Text Char"/>
    <w:basedOn w:val="DefaultParagraphFont"/>
    <w:link w:val="CommentText"/>
    <w:uiPriority w:val="99"/>
    <w:rsid w:val="00950624"/>
  </w:style>
  <w:style w:type="paragraph" w:styleId="CommentSubject">
    <w:name w:val="annotation subject"/>
    <w:basedOn w:val="CommentText"/>
    <w:next w:val="CommentText"/>
    <w:link w:val="CommentSubjectChar"/>
    <w:rsid w:val="00950624"/>
    <w:rPr>
      <w:b/>
      <w:bCs/>
    </w:rPr>
  </w:style>
  <w:style w:type="character" w:customStyle="1" w:styleId="CommentSubjectChar">
    <w:name w:val="Comment Subject Char"/>
    <w:basedOn w:val="CommentTextChar"/>
    <w:link w:val="CommentSubject"/>
    <w:rsid w:val="00950624"/>
    <w:rPr>
      <w:b/>
      <w:bCs/>
    </w:rPr>
  </w:style>
  <w:style w:type="paragraph" w:styleId="FootnoteText">
    <w:name w:val="footnote text"/>
    <w:aliases w:val="Char, Char,Footnote Text Char1,Footnote Text Char Char,Footnote Text Char1 Char Char,Footnote Text Char Char Char Char,Footnote Text Char Char1,ALTS FOOTNOTE,fn,Char4,Footnote Text - Preamble,Char2,Footnote Text - Preamble1,Char3,f, Char4"/>
    <w:basedOn w:val="Normal"/>
    <w:link w:val="FootnoteTextChar"/>
    <w:unhideWhenUsed/>
    <w:rsid w:val="00BF6794"/>
    <w:rPr>
      <w:rFonts w:ascii="Calibri" w:eastAsia="Calibri" w:hAnsi="Calibri"/>
      <w:sz w:val="20"/>
      <w:szCs w:val="20"/>
    </w:rPr>
  </w:style>
  <w:style w:type="character" w:customStyle="1" w:styleId="FootnoteTextChar">
    <w:name w:val="Footnote Text Char"/>
    <w:aliases w:val="Char Char, Char Char,Footnote Text Char1 Char,Footnote Text Char Char Char,Footnote Text Char1 Char Char Char,Footnote Text Char Char Char Char Char,Footnote Text Char Char1 Char,ALTS FOOTNOTE Char,fn Char,Char4 Char,Char2 Char,f Char"/>
    <w:basedOn w:val="DefaultParagraphFont"/>
    <w:link w:val="FootnoteText"/>
    <w:rsid w:val="00BF6794"/>
    <w:rPr>
      <w:rFonts w:ascii="Calibri" w:eastAsia="Calibri" w:hAnsi="Calibri"/>
    </w:rPr>
  </w:style>
  <w:style w:type="paragraph" w:styleId="Revision">
    <w:name w:val="Revision"/>
    <w:hidden/>
    <w:uiPriority w:val="99"/>
    <w:semiHidden/>
    <w:rsid w:val="00976E1E"/>
    <w:rPr>
      <w:sz w:val="24"/>
      <w:szCs w:val="24"/>
    </w:rPr>
  </w:style>
  <w:style w:type="paragraph" w:customStyle="1" w:styleId="IEcFootnoteText">
    <w:name w:val="IEc Footnote Text"/>
    <w:basedOn w:val="Normal"/>
    <w:link w:val="IEcFootnoteTextChar"/>
    <w:rsid w:val="004832C6"/>
    <w:pPr>
      <w:spacing w:after="120" w:line="240" w:lineRule="exact"/>
    </w:pPr>
    <w:rPr>
      <w:rFonts w:ascii="Trebuchet MS" w:eastAsiaTheme="minorHAnsi" w:hAnsi="Trebuchet MS" w:cstheme="minorBidi"/>
      <w:sz w:val="14"/>
      <w:szCs w:val="14"/>
    </w:rPr>
  </w:style>
  <w:style w:type="character" w:customStyle="1" w:styleId="IEcFootnoteTextChar">
    <w:name w:val="IEc Footnote Text Char"/>
    <w:link w:val="IEcFootnoteText"/>
    <w:rsid w:val="004832C6"/>
    <w:rPr>
      <w:rFonts w:ascii="Trebuchet MS" w:eastAsiaTheme="minorHAnsi" w:hAnsi="Trebuchet MS" w:cstheme="minorBid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81485">
      <w:bodyDiv w:val="1"/>
      <w:marLeft w:val="0"/>
      <w:marRight w:val="0"/>
      <w:marTop w:val="0"/>
      <w:marBottom w:val="0"/>
      <w:divBdr>
        <w:top w:val="none" w:sz="0" w:space="0" w:color="auto"/>
        <w:left w:val="none" w:sz="0" w:space="0" w:color="auto"/>
        <w:bottom w:val="none" w:sz="0" w:space="0" w:color="auto"/>
        <w:right w:val="none" w:sz="0" w:space="0" w:color="auto"/>
      </w:divBdr>
    </w:div>
    <w:div w:id="177696785">
      <w:bodyDiv w:val="1"/>
      <w:marLeft w:val="0"/>
      <w:marRight w:val="0"/>
      <w:marTop w:val="0"/>
      <w:marBottom w:val="0"/>
      <w:divBdr>
        <w:top w:val="none" w:sz="0" w:space="0" w:color="auto"/>
        <w:left w:val="none" w:sz="0" w:space="0" w:color="auto"/>
        <w:bottom w:val="none" w:sz="0" w:space="0" w:color="auto"/>
        <w:right w:val="none" w:sz="0" w:space="0" w:color="auto"/>
      </w:divBdr>
    </w:div>
    <w:div w:id="271129758">
      <w:bodyDiv w:val="1"/>
      <w:marLeft w:val="0"/>
      <w:marRight w:val="0"/>
      <w:marTop w:val="0"/>
      <w:marBottom w:val="0"/>
      <w:divBdr>
        <w:top w:val="none" w:sz="0" w:space="0" w:color="auto"/>
        <w:left w:val="none" w:sz="0" w:space="0" w:color="auto"/>
        <w:bottom w:val="none" w:sz="0" w:space="0" w:color="auto"/>
        <w:right w:val="none" w:sz="0" w:space="0" w:color="auto"/>
      </w:divBdr>
    </w:div>
    <w:div w:id="282617509">
      <w:bodyDiv w:val="1"/>
      <w:marLeft w:val="0"/>
      <w:marRight w:val="0"/>
      <w:marTop w:val="0"/>
      <w:marBottom w:val="0"/>
      <w:divBdr>
        <w:top w:val="none" w:sz="0" w:space="0" w:color="auto"/>
        <w:left w:val="none" w:sz="0" w:space="0" w:color="auto"/>
        <w:bottom w:val="none" w:sz="0" w:space="0" w:color="auto"/>
        <w:right w:val="none" w:sz="0" w:space="0" w:color="auto"/>
      </w:divBdr>
    </w:div>
    <w:div w:id="317729337">
      <w:bodyDiv w:val="1"/>
      <w:marLeft w:val="0"/>
      <w:marRight w:val="0"/>
      <w:marTop w:val="0"/>
      <w:marBottom w:val="0"/>
      <w:divBdr>
        <w:top w:val="none" w:sz="0" w:space="0" w:color="auto"/>
        <w:left w:val="none" w:sz="0" w:space="0" w:color="auto"/>
        <w:bottom w:val="none" w:sz="0" w:space="0" w:color="auto"/>
        <w:right w:val="none" w:sz="0" w:space="0" w:color="auto"/>
      </w:divBdr>
    </w:div>
    <w:div w:id="328095360">
      <w:bodyDiv w:val="1"/>
      <w:marLeft w:val="0"/>
      <w:marRight w:val="0"/>
      <w:marTop w:val="0"/>
      <w:marBottom w:val="0"/>
      <w:divBdr>
        <w:top w:val="none" w:sz="0" w:space="0" w:color="auto"/>
        <w:left w:val="none" w:sz="0" w:space="0" w:color="auto"/>
        <w:bottom w:val="none" w:sz="0" w:space="0" w:color="auto"/>
        <w:right w:val="none" w:sz="0" w:space="0" w:color="auto"/>
      </w:divBdr>
    </w:div>
    <w:div w:id="661007091">
      <w:bodyDiv w:val="1"/>
      <w:marLeft w:val="0"/>
      <w:marRight w:val="0"/>
      <w:marTop w:val="0"/>
      <w:marBottom w:val="0"/>
      <w:divBdr>
        <w:top w:val="none" w:sz="0" w:space="0" w:color="auto"/>
        <w:left w:val="none" w:sz="0" w:space="0" w:color="auto"/>
        <w:bottom w:val="none" w:sz="0" w:space="0" w:color="auto"/>
        <w:right w:val="none" w:sz="0" w:space="0" w:color="auto"/>
      </w:divBdr>
    </w:div>
    <w:div w:id="668754570">
      <w:bodyDiv w:val="1"/>
      <w:marLeft w:val="0"/>
      <w:marRight w:val="0"/>
      <w:marTop w:val="0"/>
      <w:marBottom w:val="0"/>
      <w:divBdr>
        <w:top w:val="none" w:sz="0" w:space="0" w:color="auto"/>
        <w:left w:val="none" w:sz="0" w:space="0" w:color="auto"/>
        <w:bottom w:val="none" w:sz="0" w:space="0" w:color="auto"/>
        <w:right w:val="none" w:sz="0" w:space="0" w:color="auto"/>
      </w:divBdr>
    </w:div>
    <w:div w:id="685209988">
      <w:bodyDiv w:val="1"/>
      <w:marLeft w:val="0"/>
      <w:marRight w:val="0"/>
      <w:marTop w:val="0"/>
      <w:marBottom w:val="0"/>
      <w:divBdr>
        <w:top w:val="none" w:sz="0" w:space="0" w:color="auto"/>
        <w:left w:val="none" w:sz="0" w:space="0" w:color="auto"/>
        <w:bottom w:val="none" w:sz="0" w:space="0" w:color="auto"/>
        <w:right w:val="none" w:sz="0" w:space="0" w:color="auto"/>
      </w:divBdr>
    </w:div>
    <w:div w:id="689915792">
      <w:bodyDiv w:val="1"/>
      <w:marLeft w:val="0"/>
      <w:marRight w:val="0"/>
      <w:marTop w:val="0"/>
      <w:marBottom w:val="0"/>
      <w:divBdr>
        <w:top w:val="none" w:sz="0" w:space="0" w:color="auto"/>
        <w:left w:val="none" w:sz="0" w:space="0" w:color="auto"/>
        <w:bottom w:val="none" w:sz="0" w:space="0" w:color="auto"/>
        <w:right w:val="none" w:sz="0" w:space="0" w:color="auto"/>
      </w:divBdr>
    </w:div>
    <w:div w:id="755974711">
      <w:bodyDiv w:val="1"/>
      <w:marLeft w:val="0"/>
      <w:marRight w:val="0"/>
      <w:marTop w:val="0"/>
      <w:marBottom w:val="0"/>
      <w:divBdr>
        <w:top w:val="none" w:sz="0" w:space="0" w:color="auto"/>
        <w:left w:val="none" w:sz="0" w:space="0" w:color="auto"/>
        <w:bottom w:val="none" w:sz="0" w:space="0" w:color="auto"/>
        <w:right w:val="none" w:sz="0" w:space="0" w:color="auto"/>
      </w:divBdr>
    </w:div>
    <w:div w:id="776104014">
      <w:bodyDiv w:val="1"/>
      <w:marLeft w:val="0"/>
      <w:marRight w:val="0"/>
      <w:marTop w:val="0"/>
      <w:marBottom w:val="0"/>
      <w:divBdr>
        <w:top w:val="none" w:sz="0" w:space="0" w:color="auto"/>
        <w:left w:val="none" w:sz="0" w:space="0" w:color="auto"/>
        <w:bottom w:val="none" w:sz="0" w:space="0" w:color="auto"/>
        <w:right w:val="none" w:sz="0" w:space="0" w:color="auto"/>
      </w:divBdr>
    </w:div>
    <w:div w:id="808942211">
      <w:bodyDiv w:val="1"/>
      <w:marLeft w:val="0"/>
      <w:marRight w:val="0"/>
      <w:marTop w:val="0"/>
      <w:marBottom w:val="0"/>
      <w:divBdr>
        <w:top w:val="none" w:sz="0" w:space="0" w:color="auto"/>
        <w:left w:val="none" w:sz="0" w:space="0" w:color="auto"/>
        <w:bottom w:val="none" w:sz="0" w:space="0" w:color="auto"/>
        <w:right w:val="none" w:sz="0" w:space="0" w:color="auto"/>
      </w:divBdr>
    </w:div>
    <w:div w:id="933784655">
      <w:bodyDiv w:val="1"/>
      <w:marLeft w:val="0"/>
      <w:marRight w:val="0"/>
      <w:marTop w:val="0"/>
      <w:marBottom w:val="0"/>
      <w:divBdr>
        <w:top w:val="none" w:sz="0" w:space="0" w:color="auto"/>
        <w:left w:val="none" w:sz="0" w:space="0" w:color="auto"/>
        <w:bottom w:val="none" w:sz="0" w:space="0" w:color="auto"/>
        <w:right w:val="none" w:sz="0" w:space="0" w:color="auto"/>
      </w:divBdr>
    </w:div>
    <w:div w:id="965702066">
      <w:bodyDiv w:val="1"/>
      <w:marLeft w:val="0"/>
      <w:marRight w:val="0"/>
      <w:marTop w:val="0"/>
      <w:marBottom w:val="0"/>
      <w:divBdr>
        <w:top w:val="none" w:sz="0" w:space="0" w:color="auto"/>
        <w:left w:val="none" w:sz="0" w:space="0" w:color="auto"/>
        <w:bottom w:val="none" w:sz="0" w:space="0" w:color="auto"/>
        <w:right w:val="none" w:sz="0" w:space="0" w:color="auto"/>
      </w:divBdr>
    </w:div>
    <w:div w:id="967199661">
      <w:bodyDiv w:val="1"/>
      <w:marLeft w:val="0"/>
      <w:marRight w:val="0"/>
      <w:marTop w:val="0"/>
      <w:marBottom w:val="0"/>
      <w:divBdr>
        <w:top w:val="none" w:sz="0" w:space="0" w:color="auto"/>
        <w:left w:val="none" w:sz="0" w:space="0" w:color="auto"/>
        <w:bottom w:val="none" w:sz="0" w:space="0" w:color="auto"/>
        <w:right w:val="none" w:sz="0" w:space="0" w:color="auto"/>
      </w:divBdr>
    </w:div>
    <w:div w:id="1052848373">
      <w:bodyDiv w:val="1"/>
      <w:marLeft w:val="0"/>
      <w:marRight w:val="0"/>
      <w:marTop w:val="0"/>
      <w:marBottom w:val="0"/>
      <w:divBdr>
        <w:top w:val="none" w:sz="0" w:space="0" w:color="auto"/>
        <w:left w:val="none" w:sz="0" w:space="0" w:color="auto"/>
        <w:bottom w:val="none" w:sz="0" w:space="0" w:color="auto"/>
        <w:right w:val="none" w:sz="0" w:space="0" w:color="auto"/>
      </w:divBdr>
    </w:div>
    <w:div w:id="1200778293">
      <w:bodyDiv w:val="1"/>
      <w:marLeft w:val="0"/>
      <w:marRight w:val="0"/>
      <w:marTop w:val="0"/>
      <w:marBottom w:val="0"/>
      <w:divBdr>
        <w:top w:val="none" w:sz="0" w:space="0" w:color="auto"/>
        <w:left w:val="none" w:sz="0" w:space="0" w:color="auto"/>
        <w:bottom w:val="none" w:sz="0" w:space="0" w:color="auto"/>
        <w:right w:val="none" w:sz="0" w:space="0" w:color="auto"/>
      </w:divBdr>
    </w:div>
    <w:div w:id="1261992772">
      <w:bodyDiv w:val="1"/>
      <w:marLeft w:val="0"/>
      <w:marRight w:val="0"/>
      <w:marTop w:val="0"/>
      <w:marBottom w:val="0"/>
      <w:divBdr>
        <w:top w:val="none" w:sz="0" w:space="0" w:color="auto"/>
        <w:left w:val="none" w:sz="0" w:space="0" w:color="auto"/>
        <w:bottom w:val="none" w:sz="0" w:space="0" w:color="auto"/>
        <w:right w:val="none" w:sz="0" w:space="0" w:color="auto"/>
      </w:divBdr>
    </w:div>
    <w:div w:id="1297176243">
      <w:bodyDiv w:val="1"/>
      <w:marLeft w:val="0"/>
      <w:marRight w:val="0"/>
      <w:marTop w:val="0"/>
      <w:marBottom w:val="0"/>
      <w:divBdr>
        <w:top w:val="none" w:sz="0" w:space="0" w:color="auto"/>
        <w:left w:val="none" w:sz="0" w:space="0" w:color="auto"/>
        <w:bottom w:val="none" w:sz="0" w:space="0" w:color="auto"/>
        <w:right w:val="none" w:sz="0" w:space="0" w:color="auto"/>
      </w:divBdr>
    </w:div>
    <w:div w:id="1330062896">
      <w:bodyDiv w:val="1"/>
      <w:marLeft w:val="0"/>
      <w:marRight w:val="0"/>
      <w:marTop w:val="0"/>
      <w:marBottom w:val="0"/>
      <w:divBdr>
        <w:top w:val="none" w:sz="0" w:space="0" w:color="auto"/>
        <w:left w:val="none" w:sz="0" w:space="0" w:color="auto"/>
        <w:bottom w:val="none" w:sz="0" w:space="0" w:color="auto"/>
        <w:right w:val="none" w:sz="0" w:space="0" w:color="auto"/>
      </w:divBdr>
    </w:div>
    <w:div w:id="1371538077">
      <w:bodyDiv w:val="1"/>
      <w:marLeft w:val="0"/>
      <w:marRight w:val="0"/>
      <w:marTop w:val="0"/>
      <w:marBottom w:val="0"/>
      <w:divBdr>
        <w:top w:val="none" w:sz="0" w:space="0" w:color="auto"/>
        <w:left w:val="none" w:sz="0" w:space="0" w:color="auto"/>
        <w:bottom w:val="none" w:sz="0" w:space="0" w:color="auto"/>
        <w:right w:val="none" w:sz="0" w:space="0" w:color="auto"/>
      </w:divBdr>
    </w:div>
    <w:div w:id="1423260913">
      <w:bodyDiv w:val="1"/>
      <w:marLeft w:val="0"/>
      <w:marRight w:val="0"/>
      <w:marTop w:val="0"/>
      <w:marBottom w:val="0"/>
      <w:divBdr>
        <w:top w:val="none" w:sz="0" w:space="0" w:color="auto"/>
        <w:left w:val="none" w:sz="0" w:space="0" w:color="auto"/>
        <w:bottom w:val="none" w:sz="0" w:space="0" w:color="auto"/>
        <w:right w:val="none" w:sz="0" w:space="0" w:color="auto"/>
      </w:divBdr>
    </w:div>
    <w:div w:id="1440375460">
      <w:bodyDiv w:val="1"/>
      <w:marLeft w:val="0"/>
      <w:marRight w:val="0"/>
      <w:marTop w:val="0"/>
      <w:marBottom w:val="0"/>
      <w:divBdr>
        <w:top w:val="none" w:sz="0" w:space="0" w:color="auto"/>
        <w:left w:val="none" w:sz="0" w:space="0" w:color="auto"/>
        <w:bottom w:val="none" w:sz="0" w:space="0" w:color="auto"/>
        <w:right w:val="none" w:sz="0" w:space="0" w:color="auto"/>
      </w:divBdr>
    </w:div>
    <w:div w:id="1456870405">
      <w:bodyDiv w:val="1"/>
      <w:marLeft w:val="0"/>
      <w:marRight w:val="0"/>
      <w:marTop w:val="0"/>
      <w:marBottom w:val="0"/>
      <w:divBdr>
        <w:top w:val="none" w:sz="0" w:space="0" w:color="auto"/>
        <w:left w:val="none" w:sz="0" w:space="0" w:color="auto"/>
        <w:bottom w:val="none" w:sz="0" w:space="0" w:color="auto"/>
        <w:right w:val="none" w:sz="0" w:space="0" w:color="auto"/>
      </w:divBdr>
    </w:div>
    <w:div w:id="1526018397">
      <w:bodyDiv w:val="1"/>
      <w:marLeft w:val="0"/>
      <w:marRight w:val="0"/>
      <w:marTop w:val="0"/>
      <w:marBottom w:val="0"/>
      <w:divBdr>
        <w:top w:val="none" w:sz="0" w:space="0" w:color="auto"/>
        <w:left w:val="none" w:sz="0" w:space="0" w:color="auto"/>
        <w:bottom w:val="none" w:sz="0" w:space="0" w:color="auto"/>
        <w:right w:val="none" w:sz="0" w:space="0" w:color="auto"/>
      </w:divBdr>
    </w:div>
    <w:div w:id="1603955038">
      <w:bodyDiv w:val="1"/>
      <w:marLeft w:val="0"/>
      <w:marRight w:val="0"/>
      <w:marTop w:val="0"/>
      <w:marBottom w:val="0"/>
      <w:divBdr>
        <w:top w:val="none" w:sz="0" w:space="0" w:color="auto"/>
        <w:left w:val="none" w:sz="0" w:space="0" w:color="auto"/>
        <w:bottom w:val="none" w:sz="0" w:space="0" w:color="auto"/>
        <w:right w:val="none" w:sz="0" w:space="0" w:color="auto"/>
      </w:divBdr>
    </w:div>
    <w:div w:id="1634604884">
      <w:bodyDiv w:val="1"/>
      <w:marLeft w:val="0"/>
      <w:marRight w:val="0"/>
      <w:marTop w:val="0"/>
      <w:marBottom w:val="0"/>
      <w:divBdr>
        <w:top w:val="none" w:sz="0" w:space="0" w:color="auto"/>
        <w:left w:val="none" w:sz="0" w:space="0" w:color="auto"/>
        <w:bottom w:val="none" w:sz="0" w:space="0" w:color="auto"/>
        <w:right w:val="none" w:sz="0" w:space="0" w:color="auto"/>
      </w:divBdr>
    </w:div>
    <w:div w:id="1710716075">
      <w:bodyDiv w:val="1"/>
      <w:marLeft w:val="0"/>
      <w:marRight w:val="0"/>
      <w:marTop w:val="0"/>
      <w:marBottom w:val="0"/>
      <w:divBdr>
        <w:top w:val="none" w:sz="0" w:space="0" w:color="auto"/>
        <w:left w:val="none" w:sz="0" w:space="0" w:color="auto"/>
        <w:bottom w:val="none" w:sz="0" w:space="0" w:color="auto"/>
        <w:right w:val="none" w:sz="0" w:space="0" w:color="auto"/>
      </w:divBdr>
    </w:div>
    <w:div w:id="1857891104">
      <w:bodyDiv w:val="1"/>
      <w:marLeft w:val="0"/>
      <w:marRight w:val="0"/>
      <w:marTop w:val="0"/>
      <w:marBottom w:val="0"/>
      <w:divBdr>
        <w:top w:val="none" w:sz="0" w:space="0" w:color="auto"/>
        <w:left w:val="none" w:sz="0" w:space="0" w:color="auto"/>
        <w:bottom w:val="none" w:sz="0" w:space="0" w:color="auto"/>
        <w:right w:val="none" w:sz="0" w:space="0" w:color="auto"/>
      </w:divBdr>
    </w:div>
    <w:div w:id="1897810223">
      <w:bodyDiv w:val="1"/>
      <w:marLeft w:val="0"/>
      <w:marRight w:val="0"/>
      <w:marTop w:val="0"/>
      <w:marBottom w:val="0"/>
      <w:divBdr>
        <w:top w:val="none" w:sz="0" w:space="0" w:color="auto"/>
        <w:left w:val="none" w:sz="0" w:space="0" w:color="auto"/>
        <w:bottom w:val="none" w:sz="0" w:space="0" w:color="auto"/>
        <w:right w:val="none" w:sz="0" w:space="0" w:color="auto"/>
      </w:divBdr>
    </w:div>
    <w:div w:id="1960332657">
      <w:bodyDiv w:val="1"/>
      <w:marLeft w:val="0"/>
      <w:marRight w:val="0"/>
      <w:marTop w:val="0"/>
      <w:marBottom w:val="0"/>
      <w:divBdr>
        <w:top w:val="none" w:sz="0" w:space="0" w:color="auto"/>
        <w:left w:val="none" w:sz="0" w:space="0" w:color="auto"/>
        <w:bottom w:val="none" w:sz="0" w:space="0" w:color="auto"/>
        <w:right w:val="none" w:sz="0" w:space="0" w:color="auto"/>
      </w:divBdr>
    </w:div>
    <w:div w:id="200450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2CF9A2208BC64D8772BAA6432FD1E5" ma:contentTypeVersion="27" ma:contentTypeDescription="Create a new document." ma:contentTypeScope="" ma:versionID="e327e7366e9c21774e53220df982a9a8">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85a2470-556b-4f35-afb1-b4943ef81b34" xmlns:ns6="df84a579-9331-434f-b40b-7832568d4177" targetNamespace="http://schemas.microsoft.com/office/2006/metadata/properties" ma:root="true" ma:fieldsID="6b830567ce88d3666d9d8a340e52a9bb" ns1:_="" ns2:_="" ns3:_="" ns4:_="" ns5:_="" ns6:_="">
    <xsd:import namespace="http://schemas.microsoft.com/sharepoint/v3"/>
    <xsd:import namespace="4ffa91fb-a0ff-4ac5-b2db-65c790d184a4"/>
    <xsd:import namespace="http://schemas.microsoft.com/sharepoint.v3"/>
    <xsd:import namespace="http://schemas.microsoft.com/sharepoint/v3/fields"/>
    <xsd:import namespace="785a2470-556b-4f35-afb1-b4943ef81b34"/>
    <xsd:import namespace="df84a579-9331-434f-b40b-7832568d4177"/>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5:LastSharedByUser" minOccurs="0"/>
                <xsd:element ref="ns5:LastSharedByTime" minOccurs="0"/>
                <xsd:element ref="ns6:MediaServiceMetadata" minOccurs="0"/>
                <xsd:element ref="ns6:MediaServiceFastMetadata" minOccurs="0"/>
                <xsd:element ref="ns6:Date_x0020_and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f4a55188-8747-4148-b735-812f52dff189}" ma:internalName="TaxCatchAllLabel" ma:readOnly="true" ma:showField="CatchAllDataLabel" ma:web="857308bd-36ec-417c-ac2d-b4e1e7c71c2e">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f4a55188-8747-4148-b735-812f52dff189}" ma:internalName="TaxCatchAll" ma:showField="CatchAllData" ma:web="857308bd-36ec-417c-ac2d-b4e1e7c71c2e">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5a2470-556b-4f35-afb1-b4943ef81b34"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84a579-9331-434f-b40b-7832568d4177"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Date_x0020_and_x0020_Time" ma:index="35" nillable="true" ma:displayName="Date and Time" ma:format="DateOnly" ma:internalName="Date_x0020_and_x0020_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2018-06-19T17:39:23+00:00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ate_x0020_and_x0020_Time xmlns="df84a579-9331-434f-b40b-7832568d4177" xsi:nil="true"/>
    <LastSharedByUser xmlns="785a2470-556b-4f35-afb1-b4943ef81b34" xsi:nil="true"/>
    <SharedWithUsers xmlns="785a2470-556b-4f35-afb1-b4943ef81b34">
      <UserInfo>
        <DisplayName/>
        <AccountId xsi:nil="true"/>
        <AccountType/>
      </UserInfo>
    </SharedWithUsers>
    <LastSharedByTime xmlns="785a2470-556b-4f35-afb1-b4943ef81b34"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078D71-A25E-4DAD-90C2-653AF86E3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85a2470-556b-4f35-afb1-b4943ef81b34"/>
    <ds:schemaRef ds:uri="df84a579-9331-434f-b40b-7832568d4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0C86ED-FF6B-4C4C-A2E9-9677B25EB5D2}">
  <ds:schemaRefs>
    <ds:schemaRef ds:uri="Microsoft.SharePoint.Taxonomy.ContentTypeSync"/>
  </ds:schemaRefs>
</ds:datastoreItem>
</file>

<file path=customXml/itemProps3.xml><?xml version="1.0" encoding="utf-8"?>
<ds:datastoreItem xmlns:ds="http://schemas.openxmlformats.org/officeDocument/2006/customXml" ds:itemID="{C506B4D5-139F-4E01-BB36-870EB401E4B2}">
  <ds:schemaRefs>
    <ds:schemaRef ds:uri="http://schemas.microsoft.com/sharepoint/v3/contenttype/forms"/>
  </ds:schemaRefs>
</ds:datastoreItem>
</file>

<file path=customXml/itemProps4.xml><?xml version="1.0" encoding="utf-8"?>
<ds:datastoreItem xmlns:ds="http://schemas.openxmlformats.org/officeDocument/2006/customXml" ds:itemID="{C3CD7252-A30A-4DCC-BFA5-7995098D8DCF}">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df84a579-9331-434f-b40b-7832568d4177"/>
    <ds:schemaRef ds:uri="785a2470-556b-4f35-afb1-b4943ef81b34"/>
  </ds:schemaRefs>
</ds:datastoreItem>
</file>

<file path=customXml/itemProps5.xml><?xml version="1.0" encoding="utf-8"?>
<ds:datastoreItem xmlns:ds="http://schemas.openxmlformats.org/officeDocument/2006/customXml" ds:itemID="{410823D8-C1E2-40CE-A931-51BE0DF91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10365</Words>
  <Characters>59082</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EPA</Company>
  <LinksUpToDate>false</LinksUpToDate>
  <CharactersWithSpaces>69309</CharactersWithSpaces>
  <SharedDoc>false</SharedDoc>
  <HLinks>
    <vt:vector size="6" baseType="variant">
      <vt:variant>
        <vt:i4>2818151</vt:i4>
      </vt:variant>
      <vt:variant>
        <vt:i4>3</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narendra chaudhari</dc:creator>
  <cp:lastModifiedBy>SYSTEM</cp:lastModifiedBy>
  <cp:revision>2</cp:revision>
  <cp:lastPrinted>2018-06-13T18:57:00Z</cp:lastPrinted>
  <dcterms:created xsi:type="dcterms:W3CDTF">2019-02-22T19:12:00Z</dcterms:created>
  <dcterms:modified xsi:type="dcterms:W3CDTF">2019-02-22T19:12:00Z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0x010100272CF9A2208BC64D8772BAA6432FD1E5</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ies>
</file>