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4A1" w:rsidRPr="009A14A1" w:rsidRDefault="009A14A1" w:rsidP="009A14A1">
      <w:pPr>
        <w:pStyle w:val="Footer"/>
        <w:tabs>
          <w:tab w:val="clear" w:pos="4320"/>
          <w:tab w:val="clear" w:pos="8640"/>
          <w:tab w:val="right" w:pos="9270"/>
        </w:tabs>
        <w:spacing w:line="480" w:lineRule="auto"/>
        <w:rPr>
          <w:rFonts w:ascii="Arial" w:hAnsi="Arial" w:cs="Arial"/>
          <w:color w:val="0D0D0D" w:themeColor="text1" w:themeTint="F2"/>
          <w:sz w:val="24"/>
          <w:szCs w:val="24"/>
        </w:rPr>
      </w:pPr>
      <w:bookmarkStart w:id="0" w:name="_GoBack"/>
      <w:bookmarkEnd w:id="0"/>
      <w:r w:rsidRPr="009A14A1">
        <w:rPr>
          <w:rFonts w:ascii="Arial" w:hAnsi="Arial" w:cs="Arial"/>
          <w:b/>
          <w:color w:val="0D0D0D" w:themeColor="text1" w:themeTint="F2"/>
          <w:sz w:val="24"/>
          <w:szCs w:val="24"/>
        </w:rPr>
        <w:t>DEPARTMENT OF VETERANS AFFAIRS</w:t>
      </w:r>
      <w:r w:rsidRPr="009A14A1">
        <w:rPr>
          <w:rFonts w:ascii="Arial" w:hAnsi="Arial" w:cs="Arial"/>
          <w:color w:val="0D0D0D" w:themeColor="text1" w:themeTint="F2"/>
          <w:sz w:val="24"/>
          <w:szCs w:val="24"/>
        </w:rPr>
        <w:tab/>
      </w:r>
    </w:p>
    <w:p w:rsidR="009A14A1" w:rsidRPr="009A14A1" w:rsidRDefault="009A14A1" w:rsidP="009A14A1">
      <w:pPr>
        <w:spacing w:line="480" w:lineRule="auto"/>
        <w:ind w:right="-187"/>
        <w:rPr>
          <w:rFonts w:ascii="Arial" w:hAnsi="Arial" w:cs="Arial"/>
          <w:b/>
          <w:color w:val="0D0D0D" w:themeColor="text1" w:themeTint="F2"/>
          <w:sz w:val="24"/>
          <w:szCs w:val="24"/>
        </w:rPr>
      </w:pPr>
      <w:r w:rsidRPr="009A14A1">
        <w:rPr>
          <w:rFonts w:ascii="Arial" w:hAnsi="Arial" w:cs="Arial"/>
          <w:b/>
          <w:color w:val="0D0D0D" w:themeColor="text1" w:themeTint="F2"/>
          <w:sz w:val="24"/>
          <w:szCs w:val="24"/>
        </w:rPr>
        <w:t>[OMB Control No. 2900-0523</w:t>
      </w:r>
    </w:p>
    <w:p w:rsidR="009A14A1" w:rsidRPr="009A14A1" w:rsidRDefault="009A14A1" w:rsidP="009A14A1">
      <w:pPr>
        <w:spacing w:line="480" w:lineRule="auto"/>
        <w:ind w:right="-187"/>
        <w:rPr>
          <w:rFonts w:ascii="Arial" w:hAnsi="Arial" w:cs="Arial"/>
          <w:b/>
          <w:color w:val="0D0D0D" w:themeColor="text1" w:themeTint="F2"/>
          <w:sz w:val="24"/>
          <w:szCs w:val="24"/>
        </w:rPr>
      </w:pPr>
      <w:r w:rsidRPr="009A14A1">
        <w:rPr>
          <w:rFonts w:ascii="Arial" w:hAnsi="Arial" w:cs="Arial"/>
          <w:b/>
          <w:color w:val="0D0D0D" w:themeColor="text1" w:themeTint="F2"/>
          <w:sz w:val="24"/>
          <w:szCs w:val="24"/>
        </w:rPr>
        <w:t>Agency Information Collection Activity:  Loan Analysis</w:t>
      </w:r>
    </w:p>
    <w:p w:rsidR="009A14A1" w:rsidRPr="009A14A1" w:rsidRDefault="009A14A1" w:rsidP="009A14A1">
      <w:pPr>
        <w:spacing w:line="480" w:lineRule="auto"/>
        <w:rPr>
          <w:rFonts w:ascii="Arial" w:hAnsi="Arial" w:cs="Arial"/>
          <w:color w:val="0D0D0D" w:themeColor="text1" w:themeTint="F2"/>
          <w:sz w:val="24"/>
          <w:szCs w:val="24"/>
        </w:rPr>
      </w:pPr>
      <w:r w:rsidRPr="009A14A1">
        <w:rPr>
          <w:rFonts w:ascii="Arial" w:hAnsi="Arial" w:cs="Arial"/>
          <w:b/>
          <w:color w:val="0D0D0D" w:themeColor="text1" w:themeTint="F2"/>
          <w:sz w:val="24"/>
          <w:szCs w:val="24"/>
        </w:rPr>
        <w:t>AGENCY:</w:t>
      </w:r>
      <w:r w:rsidRPr="009A14A1">
        <w:rPr>
          <w:rFonts w:ascii="Arial" w:hAnsi="Arial" w:cs="Arial"/>
          <w:color w:val="0D0D0D" w:themeColor="text1" w:themeTint="F2"/>
          <w:sz w:val="24"/>
          <w:szCs w:val="24"/>
        </w:rPr>
        <w:t xml:space="preserve">  Loan Guaranty Service, Department of Veterans Affairs</w:t>
      </w:r>
    </w:p>
    <w:p w:rsidR="009A14A1" w:rsidRPr="009A14A1" w:rsidRDefault="009A14A1" w:rsidP="009A14A1">
      <w:pPr>
        <w:spacing w:line="480" w:lineRule="auto"/>
        <w:rPr>
          <w:rFonts w:ascii="Arial" w:hAnsi="Arial" w:cs="Arial"/>
          <w:color w:val="0D0D0D" w:themeColor="text1" w:themeTint="F2"/>
          <w:sz w:val="24"/>
          <w:szCs w:val="24"/>
        </w:rPr>
      </w:pPr>
      <w:r w:rsidRPr="009A14A1">
        <w:rPr>
          <w:rFonts w:ascii="Arial" w:hAnsi="Arial" w:cs="Arial"/>
          <w:b/>
          <w:color w:val="0D0D0D" w:themeColor="text1" w:themeTint="F2"/>
          <w:sz w:val="24"/>
          <w:szCs w:val="24"/>
        </w:rPr>
        <w:t>ACTION:</w:t>
      </w:r>
      <w:r w:rsidRPr="009A14A1">
        <w:rPr>
          <w:rFonts w:ascii="Arial" w:hAnsi="Arial" w:cs="Arial"/>
          <w:color w:val="0D0D0D" w:themeColor="text1" w:themeTint="F2"/>
          <w:sz w:val="24"/>
          <w:szCs w:val="24"/>
        </w:rPr>
        <w:t xml:space="preserve">  Notice</w:t>
      </w:r>
    </w:p>
    <w:p w:rsidR="00AB2D96" w:rsidRPr="009A14A1" w:rsidRDefault="00AB2D96" w:rsidP="007315B5">
      <w:pPr>
        <w:tabs>
          <w:tab w:val="right" w:pos="9360"/>
        </w:tabs>
        <w:spacing w:line="480" w:lineRule="auto"/>
        <w:ind w:right="270"/>
        <w:rPr>
          <w:rFonts w:ascii="Arial" w:hAnsi="Arial" w:cs="Arial"/>
          <w:color w:val="0D0D0D" w:themeColor="text1" w:themeTint="F2"/>
          <w:sz w:val="24"/>
          <w:szCs w:val="24"/>
        </w:rPr>
      </w:pPr>
      <w:r w:rsidRPr="009A14A1">
        <w:rPr>
          <w:rFonts w:ascii="Arial" w:hAnsi="Arial" w:cs="Arial"/>
          <w:b/>
          <w:color w:val="0D0D0D" w:themeColor="text1" w:themeTint="F2"/>
          <w:sz w:val="24"/>
          <w:szCs w:val="24"/>
        </w:rPr>
        <w:t xml:space="preserve">SUMMARY:  </w:t>
      </w:r>
      <w:r w:rsidRPr="009A14A1">
        <w:rPr>
          <w:rFonts w:ascii="Arial" w:hAnsi="Arial" w:cs="Arial"/>
          <w:color w:val="0D0D0D" w:themeColor="text1" w:themeTint="F2"/>
          <w:sz w:val="24"/>
          <w:szCs w:val="24"/>
        </w:rPr>
        <w:t>In compliance with the Paperwork Reduction Ac</w:t>
      </w:r>
      <w:r w:rsidR="00A07915" w:rsidRPr="009A14A1">
        <w:rPr>
          <w:rFonts w:ascii="Arial" w:hAnsi="Arial" w:cs="Arial"/>
          <w:color w:val="0D0D0D" w:themeColor="text1" w:themeTint="F2"/>
          <w:sz w:val="24"/>
          <w:szCs w:val="24"/>
        </w:rPr>
        <w:t>t (PRA) of 1995</w:t>
      </w:r>
      <w:r w:rsidRPr="009A14A1">
        <w:rPr>
          <w:rFonts w:ascii="Arial" w:hAnsi="Arial" w:cs="Arial"/>
          <w:color w:val="0D0D0D" w:themeColor="text1" w:themeTint="F2"/>
          <w:sz w:val="24"/>
          <w:szCs w:val="24"/>
        </w:rPr>
        <w:t xml:space="preserve">, this notice announces that the </w:t>
      </w:r>
      <w:r w:rsidR="009A14A1" w:rsidRPr="009A14A1">
        <w:rPr>
          <w:rFonts w:ascii="Arial" w:hAnsi="Arial" w:cs="Arial"/>
          <w:color w:val="0D0D0D" w:themeColor="text1" w:themeTint="F2"/>
          <w:sz w:val="24"/>
          <w:szCs w:val="24"/>
        </w:rPr>
        <w:t>Loan Guaranty Service</w:t>
      </w:r>
      <w:r w:rsidR="00130F3F" w:rsidRPr="009A14A1">
        <w:rPr>
          <w:rFonts w:ascii="Arial" w:hAnsi="Arial" w:cs="Arial"/>
          <w:color w:val="0D0D0D" w:themeColor="text1" w:themeTint="F2"/>
          <w:sz w:val="24"/>
          <w:szCs w:val="24"/>
        </w:rPr>
        <w:t>,</w:t>
      </w:r>
      <w:r w:rsidRPr="009A14A1">
        <w:rPr>
          <w:rFonts w:ascii="Arial" w:hAnsi="Arial" w:cs="Arial"/>
          <w:color w:val="0D0D0D" w:themeColor="text1" w:themeTint="F2"/>
          <w:sz w:val="24"/>
          <w:szCs w:val="24"/>
        </w:rPr>
        <w:t xml:space="preserve"> Department of Veterans Affairs, </w:t>
      </w:r>
      <w:r w:rsidR="00E72140" w:rsidRPr="009A14A1">
        <w:rPr>
          <w:rFonts w:ascii="Arial" w:hAnsi="Arial" w:cs="Arial"/>
          <w:color w:val="0D0D0D" w:themeColor="text1" w:themeTint="F2"/>
          <w:sz w:val="24"/>
          <w:szCs w:val="24"/>
        </w:rPr>
        <w:t>will submit</w:t>
      </w:r>
      <w:r w:rsidRPr="009A14A1">
        <w:rPr>
          <w:rFonts w:ascii="Arial" w:hAnsi="Arial" w:cs="Arial"/>
          <w:color w:val="0D0D0D" w:themeColor="text1" w:themeTint="F2"/>
          <w:sz w:val="24"/>
          <w:szCs w:val="24"/>
        </w:rPr>
        <w:t xml:space="preserve"> the collection of information abstracted below to the Office of Management and Budget (OMB) for review and comment.  The PRA submission describes the nature of the information collection and its expected cost and burden and it includes the actual data collection instrument.</w:t>
      </w:r>
    </w:p>
    <w:p w:rsidR="00D6581D" w:rsidRPr="009A14A1" w:rsidRDefault="00D6581D" w:rsidP="006E26D6">
      <w:pPr>
        <w:pStyle w:val="BodyText"/>
        <w:tabs>
          <w:tab w:val="left" w:pos="360"/>
          <w:tab w:val="right" w:pos="9360"/>
        </w:tabs>
        <w:spacing w:line="480" w:lineRule="auto"/>
        <w:ind w:right="270"/>
        <w:rPr>
          <w:rFonts w:ascii="Arial" w:hAnsi="Arial" w:cs="Arial"/>
          <w:color w:val="0D0D0D" w:themeColor="text1" w:themeTint="F2"/>
          <w:szCs w:val="24"/>
        </w:rPr>
      </w:pPr>
      <w:r w:rsidRPr="009A14A1">
        <w:rPr>
          <w:rFonts w:ascii="Arial" w:hAnsi="Arial" w:cs="Arial"/>
          <w:b/>
          <w:color w:val="0D0D0D" w:themeColor="text1" w:themeTint="F2"/>
          <w:szCs w:val="24"/>
        </w:rPr>
        <w:t>DATES:</w:t>
      </w:r>
      <w:r w:rsidRPr="009A14A1">
        <w:rPr>
          <w:rFonts w:ascii="Arial" w:hAnsi="Arial" w:cs="Arial"/>
          <w:color w:val="0D0D0D" w:themeColor="text1" w:themeTint="F2"/>
          <w:szCs w:val="24"/>
        </w:rPr>
        <w:t xml:space="preserve">  Comments must be submitted on or before </w:t>
      </w:r>
      <w:r w:rsidR="007118D5">
        <w:rPr>
          <w:rFonts w:ascii="Arial" w:hAnsi="Arial" w:cs="Arial"/>
          <w:b/>
          <w:color w:val="0D0D0D" w:themeColor="text1" w:themeTint="F2"/>
          <w:szCs w:val="24"/>
        </w:rPr>
        <w:t xml:space="preserve">June </w:t>
      </w:r>
      <w:r w:rsidR="00E84874">
        <w:rPr>
          <w:rFonts w:ascii="Arial" w:hAnsi="Arial" w:cs="Arial"/>
          <w:b/>
          <w:color w:val="0D0D0D" w:themeColor="text1" w:themeTint="F2"/>
          <w:szCs w:val="24"/>
        </w:rPr>
        <w:t>24</w:t>
      </w:r>
      <w:r w:rsidR="007118D5">
        <w:rPr>
          <w:rFonts w:ascii="Arial" w:hAnsi="Arial" w:cs="Arial"/>
          <w:b/>
          <w:color w:val="0D0D0D" w:themeColor="text1" w:themeTint="F2"/>
          <w:szCs w:val="24"/>
        </w:rPr>
        <w:t>, 2019.</w:t>
      </w:r>
      <w:r w:rsidR="00E26799" w:rsidRPr="009A14A1">
        <w:rPr>
          <w:rFonts w:ascii="Arial" w:hAnsi="Arial" w:cs="Arial"/>
          <w:color w:val="0D0D0D" w:themeColor="text1" w:themeTint="F2"/>
          <w:szCs w:val="24"/>
        </w:rPr>
        <w:t xml:space="preserve"> </w:t>
      </w:r>
    </w:p>
    <w:p w:rsidR="003B042E" w:rsidRPr="009A14A1" w:rsidRDefault="003B042E" w:rsidP="006E26D6">
      <w:pPr>
        <w:tabs>
          <w:tab w:val="left" w:pos="0"/>
          <w:tab w:val="decimal" w:pos="576"/>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color w:val="0D0D0D" w:themeColor="text1" w:themeTint="F2"/>
          <w:sz w:val="24"/>
          <w:szCs w:val="24"/>
        </w:rPr>
      </w:pPr>
      <w:r w:rsidRPr="009A14A1">
        <w:rPr>
          <w:rFonts w:ascii="Arial" w:hAnsi="Arial" w:cs="Arial"/>
          <w:b/>
          <w:color w:val="0D0D0D" w:themeColor="text1" w:themeTint="F2"/>
          <w:sz w:val="24"/>
          <w:szCs w:val="24"/>
        </w:rPr>
        <w:t>ADDRESSES:</w:t>
      </w:r>
      <w:r w:rsidRPr="009A14A1">
        <w:rPr>
          <w:rFonts w:ascii="Arial" w:hAnsi="Arial" w:cs="Arial"/>
          <w:color w:val="0D0D0D" w:themeColor="text1" w:themeTint="F2"/>
          <w:sz w:val="24"/>
          <w:szCs w:val="24"/>
        </w:rPr>
        <w:t xml:space="preserve">  Submit written comments on the collection of information through </w:t>
      </w:r>
      <w:r w:rsidR="004A6C2A" w:rsidRPr="009A14A1">
        <w:rPr>
          <w:rFonts w:ascii="Arial" w:hAnsi="Arial" w:cs="Arial"/>
          <w:color w:val="0D0D0D" w:themeColor="text1" w:themeTint="F2"/>
          <w:sz w:val="24"/>
          <w:szCs w:val="24"/>
        </w:rPr>
        <w:t>www.Regulations.gov</w:t>
      </w:r>
      <w:r w:rsidRPr="009A14A1">
        <w:rPr>
          <w:rFonts w:ascii="Arial" w:hAnsi="Arial" w:cs="Arial"/>
          <w:color w:val="0D0D0D" w:themeColor="text1" w:themeTint="F2"/>
          <w:sz w:val="24"/>
          <w:szCs w:val="24"/>
        </w:rPr>
        <w:t>, or to Office of Information and Regulatory Affairs, Office of Management and Budget, Attn: V</w:t>
      </w:r>
      <w:r w:rsidR="004A6C2A" w:rsidRPr="009A14A1">
        <w:rPr>
          <w:rFonts w:ascii="Arial" w:hAnsi="Arial" w:cs="Arial"/>
          <w:color w:val="0D0D0D" w:themeColor="text1" w:themeTint="F2"/>
          <w:sz w:val="24"/>
          <w:szCs w:val="24"/>
        </w:rPr>
        <w:t>A Desk Officer; 725 17th St. NW</w:t>
      </w:r>
      <w:r w:rsidRPr="009A14A1">
        <w:rPr>
          <w:rFonts w:ascii="Arial" w:hAnsi="Arial" w:cs="Arial"/>
          <w:color w:val="0D0D0D" w:themeColor="text1" w:themeTint="F2"/>
          <w:sz w:val="24"/>
          <w:szCs w:val="24"/>
        </w:rPr>
        <w:t>, Washington, DC 20503 or sent through electronic mail to oira_submission@omb.eop.gov. Please refer to ‘‘OMB Control No. 2900–</w:t>
      </w:r>
      <w:r w:rsidR="008613E4" w:rsidRPr="009A14A1">
        <w:rPr>
          <w:rFonts w:ascii="Arial" w:hAnsi="Arial" w:cs="Arial"/>
          <w:color w:val="0D0D0D" w:themeColor="text1" w:themeTint="F2"/>
          <w:sz w:val="24"/>
          <w:szCs w:val="24"/>
        </w:rPr>
        <w:t>0</w:t>
      </w:r>
      <w:r w:rsidR="009A14A1" w:rsidRPr="009A14A1">
        <w:rPr>
          <w:rFonts w:ascii="Arial" w:hAnsi="Arial" w:cs="Arial"/>
          <w:color w:val="0D0D0D" w:themeColor="text1" w:themeTint="F2"/>
          <w:sz w:val="24"/>
          <w:szCs w:val="24"/>
        </w:rPr>
        <w:t>523</w:t>
      </w:r>
      <w:r w:rsidRPr="009A14A1">
        <w:rPr>
          <w:rFonts w:ascii="Arial" w:hAnsi="Arial" w:cs="Arial"/>
          <w:color w:val="0D0D0D" w:themeColor="text1" w:themeTint="F2"/>
          <w:sz w:val="24"/>
          <w:szCs w:val="24"/>
        </w:rPr>
        <w:t xml:space="preserve">” in any correspondence.  </w:t>
      </w:r>
    </w:p>
    <w:p w:rsidR="003B042E" w:rsidRPr="009A14A1" w:rsidRDefault="003B042E" w:rsidP="006E26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color w:val="0D0D0D" w:themeColor="text1" w:themeTint="F2"/>
          <w:sz w:val="24"/>
          <w:szCs w:val="24"/>
        </w:rPr>
      </w:pPr>
      <w:r w:rsidRPr="009A14A1">
        <w:rPr>
          <w:rFonts w:ascii="Arial" w:hAnsi="Arial" w:cs="Arial"/>
          <w:b/>
          <w:color w:val="0D0D0D" w:themeColor="text1" w:themeTint="F2"/>
          <w:sz w:val="24"/>
          <w:szCs w:val="24"/>
        </w:rPr>
        <w:t>FOR FURTHER INFORMATION CONTACT:</w:t>
      </w:r>
      <w:r w:rsidRPr="009A14A1">
        <w:rPr>
          <w:rFonts w:ascii="Arial" w:hAnsi="Arial" w:cs="Arial"/>
          <w:color w:val="0D0D0D" w:themeColor="text1" w:themeTint="F2"/>
          <w:sz w:val="24"/>
          <w:szCs w:val="24"/>
        </w:rPr>
        <w:t xml:space="preserve">  </w:t>
      </w:r>
      <w:r w:rsidR="00163D15" w:rsidRPr="00C65218">
        <w:rPr>
          <w:rFonts w:ascii="Arial" w:hAnsi="Arial" w:cs="Arial"/>
          <w:color w:val="0D0D0D" w:themeColor="text1" w:themeTint="F2"/>
          <w:sz w:val="24"/>
          <w:szCs w:val="24"/>
        </w:rPr>
        <w:t>Danny S. Green, Enterprise Records Service (005R1B), Department of Veterans Affairs, 811 Vermont Avenue, NW, Washington, DC 20420, (202) 421-1354</w:t>
      </w:r>
      <w:r w:rsidR="007118D5">
        <w:rPr>
          <w:rFonts w:ascii="Arial" w:hAnsi="Arial" w:cs="Arial"/>
          <w:color w:val="0D0D0D" w:themeColor="text1" w:themeTint="F2"/>
          <w:sz w:val="24"/>
          <w:szCs w:val="24"/>
        </w:rPr>
        <w:t>,</w:t>
      </w:r>
      <w:r w:rsidR="00163D15" w:rsidRPr="00C65218">
        <w:rPr>
          <w:rFonts w:ascii="Arial" w:hAnsi="Arial" w:cs="Arial"/>
          <w:color w:val="0D0D0D" w:themeColor="text1" w:themeTint="F2"/>
          <w:sz w:val="24"/>
          <w:szCs w:val="24"/>
        </w:rPr>
        <w:t xml:space="preserve"> or e-mail </w:t>
      </w:r>
      <w:hyperlink r:id="rId11" w:history="1">
        <w:r w:rsidR="00163D15" w:rsidRPr="00C65218">
          <w:rPr>
            <w:rStyle w:val="Hyperlink"/>
            <w:rFonts w:ascii="Arial" w:hAnsi="Arial" w:cs="Arial"/>
            <w:color w:val="0D0D0D" w:themeColor="text1" w:themeTint="F2"/>
            <w:sz w:val="24"/>
            <w:szCs w:val="24"/>
          </w:rPr>
          <w:t>Danny.Green2@va.gov</w:t>
        </w:r>
      </w:hyperlink>
      <w:r w:rsidR="00163D15" w:rsidRPr="00C65218">
        <w:rPr>
          <w:rFonts w:ascii="Arial" w:hAnsi="Arial" w:cs="Arial"/>
          <w:color w:val="0D0D0D" w:themeColor="text1" w:themeTint="F2"/>
          <w:sz w:val="24"/>
          <w:szCs w:val="24"/>
        </w:rPr>
        <w:t>.</w:t>
      </w:r>
      <w:r w:rsidR="00163D15" w:rsidRPr="009A14A1">
        <w:rPr>
          <w:rFonts w:ascii="Arial" w:hAnsi="Arial" w:cs="Arial"/>
          <w:color w:val="0D0D0D" w:themeColor="text1" w:themeTint="F2"/>
          <w:sz w:val="24"/>
          <w:szCs w:val="24"/>
        </w:rPr>
        <w:t xml:space="preserve">  </w:t>
      </w:r>
      <w:r w:rsidRPr="009A14A1">
        <w:rPr>
          <w:rFonts w:ascii="Arial" w:hAnsi="Arial" w:cs="Arial"/>
          <w:color w:val="0D0D0D" w:themeColor="text1" w:themeTint="F2"/>
          <w:sz w:val="24"/>
          <w:szCs w:val="24"/>
        </w:rPr>
        <w:t>Please refer to ‘‘OMB Control No. 2900–</w:t>
      </w:r>
      <w:r w:rsidR="00A07915" w:rsidRPr="009A14A1">
        <w:rPr>
          <w:rFonts w:ascii="Arial" w:hAnsi="Arial" w:cs="Arial"/>
          <w:color w:val="0D0D0D" w:themeColor="text1" w:themeTint="F2"/>
          <w:sz w:val="24"/>
          <w:szCs w:val="24"/>
        </w:rPr>
        <w:t>0</w:t>
      </w:r>
      <w:r w:rsidR="009A14A1" w:rsidRPr="009A14A1">
        <w:rPr>
          <w:rFonts w:ascii="Arial" w:hAnsi="Arial" w:cs="Arial"/>
          <w:color w:val="0D0D0D" w:themeColor="text1" w:themeTint="F2"/>
          <w:sz w:val="24"/>
          <w:szCs w:val="24"/>
        </w:rPr>
        <w:t>523</w:t>
      </w:r>
      <w:r w:rsidRPr="009A14A1">
        <w:rPr>
          <w:rFonts w:ascii="Arial" w:hAnsi="Arial" w:cs="Arial"/>
          <w:color w:val="0D0D0D" w:themeColor="text1" w:themeTint="F2"/>
          <w:sz w:val="24"/>
          <w:szCs w:val="24"/>
        </w:rPr>
        <w:t>” in any correspondence.</w:t>
      </w:r>
    </w:p>
    <w:p w:rsidR="007118D5" w:rsidRDefault="007118D5" w:rsidP="006E26D6">
      <w:pPr>
        <w:pStyle w:val="BodyText"/>
        <w:tabs>
          <w:tab w:val="right" w:pos="9360"/>
        </w:tabs>
        <w:spacing w:line="480" w:lineRule="auto"/>
        <w:ind w:right="270"/>
        <w:rPr>
          <w:rFonts w:ascii="Arial" w:hAnsi="Arial" w:cs="Arial"/>
          <w:b/>
          <w:color w:val="0D0D0D" w:themeColor="text1" w:themeTint="F2"/>
          <w:szCs w:val="24"/>
        </w:rPr>
      </w:pPr>
    </w:p>
    <w:p w:rsidR="007118D5" w:rsidRDefault="007118D5" w:rsidP="006E26D6">
      <w:pPr>
        <w:pStyle w:val="BodyText"/>
        <w:tabs>
          <w:tab w:val="right" w:pos="9360"/>
        </w:tabs>
        <w:spacing w:line="480" w:lineRule="auto"/>
        <w:ind w:right="270"/>
        <w:rPr>
          <w:rFonts w:ascii="Arial" w:hAnsi="Arial" w:cs="Arial"/>
          <w:b/>
          <w:color w:val="0D0D0D" w:themeColor="text1" w:themeTint="F2"/>
          <w:szCs w:val="24"/>
        </w:rPr>
      </w:pPr>
    </w:p>
    <w:p w:rsidR="00D6581D" w:rsidRPr="009A14A1" w:rsidRDefault="00D6581D" w:rsidP="006E26D6">
      <w:pPr>
        <w:pStyle w:val="BodyText"/>
        <w:tabs>
          <w:tab w:val="right" w:pos="9360"/>
        </w:tabs>
        <w:spacing w:line="480" w:lineRule="auto"/>
        <w:ind w:right="270"/>
        <w:rPr>
          <w:rFonts w:ascii="Arial" w:hAnsi="Arial" w:cs="Arial"/>
          <w:b/>
          <w:color w:val="0D0D0D" w:themeColor="text1" w:themeTint="F2"/>
          <w:szCs w:val="24"/>
        </w:rPr>
      </w:pPr>
      <w:r w:rsidRPr="009A14A1">
        <w:rPr>
          <w:rFonts w:ascii="Arial" w:hAnsi="Arial" w:cs="Arial"/>
          <w:b/>
          <w:color w:val="0D0D0D" w:themeColor="text1" w:themeTint="F2"/>
          <w:szCs w:val="24"/>
        </w:rPr>
        <w:lastRenderedPageBreak/>
        <w:t>SUPPLEMENTA</w:t>
      </w:r>
      <w:r w:rsidR="006E26D6" w:rsidRPr="009A14A1">
        <w:rPr>
          <w:rFonts w:ascii="Arial" w:hAnsi="Arial" w:cs="Arial"/>
          <w:b/>
          <w:color w:val="0D0D0D" w:themeColor="text1" w:themeTint="F2"/>
          <w:szCs w:val="24"/>
        </w:rPr>
        <w:t>RY</w:t>
      </w:r>
      <w:r w:rsidRPr="009A14A1">
        <w:rPr>
          <w:rFonts w:ascii="Arial" w:hAnsi="Arial" w:cs="Arial"/>
          <w:b/>
          <w:color w:val="0D0D0D" w:themeColor="text1" w:themeTint="F2"/>
          <w:szCs w:val="24"/>
        </w:rPr>
        <w:t xml:space="preserve"> INFORMATION:</w:t>
      </w:r>
    </w:p>
    <w:p w:rsidR="001273AD" w:rsidRPr="009A14A1" w:rsidRDefault="001273AD" w:rsidP="006E26D6">
      <w:pPr>
        <w:pStyle w:val="BodyText"/>
        <w:tabs>
          <w:tab w:val="right" w:pos="9360"/>
        </w:tabs>
        <w:spacing w:line="480" w:lineRule="auto"/>
        <w:ind w:right="270"/>
        <w:rPr>
          <w:rFonts w:ascii="Arial" w:hAnsi="Arial" w:cs="Arial"/>
          <w:color w:val="0D0D0D" w:themeColor="text1" w:themeTint="F2"/>
          <w:szCs w:val="24"/>
        </w:rPr>
      </w:pPr>
      <w:r w:rsidRPr="009A14A1">
        <w:rPr>
          <w:rFonts w:ascii="Arial" w:hAnsi="Arial" w:cs="Arial"/>
          <w:color w:val="0D0D0D" w:themeColor="text1" w:themeTint="F2"/>
          <w:szCs w:val="24"/>
          <w:u w:val="single"/>
        </w:rPr>
        <w:t>Authority</w:t>
      </w:r>
      <w:r w:rsidRPr="009A14A1">
        <w:rPr>
          <w:rFonts w:ascii="Arial" w:hAnsi="Arial" w:cs="Arial"/>
          <w:color w:val="0D0D0D" w:themeColor="text1" w:themeTint="F2"/>
          <w:szCs w:val="24"/>
        </w:rPr>
        <w:t>:  44 U.S.C. 3501-21</w:t>
      </w:r>
      <w:r w:rsidR="009A14A1" w:rsidRPr="009A14A1">
        <w:rPr>
          <w:rFonts w:ascii="Arial" w:hAnsi="Arial" w:cs="Arial"/>
          <w:color w:val="0D0D0D" w:themeColor="text1" w:themeTint="F2"/>
          <w:szCs w:val="24"/>
        </w:rPr>
        <w:t>.</w:t>
      </w:r>
    </w:p>
    <w:p w:rsidR="009A14A1" w:rsidRPr="009A14A1" w:rsidRDefault="009A14A1" w:rsidP="009A14A1">
      <w:pPr>
        <w:rPr>
          <w:rFonts w:ascii="Arial" w:hAnsi="Arial" w:cs="Arial"/>
          <w:color w:val="0D0D0D" w:themeColor="text1" w:themeTint="F2"/>
          <w:sz w:val="24"/>
          <w:szCs w:val="24"/>
        </w:rPr>
      </w:pPr>
      <w:r w:rsidRPr="009A14A1">
        <w:rPr>
          <w:rFonts w:ascii="Arial" w:hAnsi="Arial" w:cs="Arial"/>
          <w:color w:val="0D0D0D" w:themeColor="text1" w:themeTint="F2"/>
          <w:sz w:val="24"/>
          <w:szCs w:val="24"/>
          <w:u w:val="single"/>
        </w:rPr>
        <w:t>Title</w:t>
      </w:r>
      <w:r w:rsidRPr="009A14A1">
        <w:rPr>
          <w:rFonts w:ascii="Arial" w:hAnsi="Arial" w:cs="Arial"/>
          <w:color w:val="0D0D0D" w:themeColor="text1" w:themeTint="F2"/>
          <w:sz w:val="24"/>
          <w:szCs w:val="24"/>
        </w:rPr>
        <w:t>:  Loan Analysis, VA form 26-6393</w:t>
      </w:r>
    </w:p>
    <w:p w:rsidR="009A14A1" w:rsidRPr="009A14A1" w:rsidRDefault="009A14A1" w:rsidP="009A14A1">
      <w:pPr>
        <w:tabs>
          <w:tab w:val="left" w:pos="270"/>
        </w:tabs>
        <w:rPr>
          <w:rFonts w:ascii="Arial" w:hAnsi="Arial" w:cs="Arial"/>
          <w:color w:val="0D0D0D" w:themeColor="text1" w:themeTint="F2"/>
          <w:sz w:val="24"/>
          <w:szCs w:val="24"/>
        </w:rPr>
      </w:pPr>
    </w:p>
    <w:p w:rsidR="009A14A1" w:rsidRPr="009A14A1" w:rsidRDefault="009A14A1" w:rsidP="009A14A1">
      <w:pPr>
        <w:tabs>
          <w:tab w:val="left" w:pos="360"/>
        </w:tabs>
        <w:spacing w:line="480" w:lineRule="auto"/>
        <w:rPr>
          <w:rFonts w:ascii="Arial" w:hAnsi="Arial" w:cs="Arial"/>
          <w:color w:val="0D0D0D" w:themeColor="text1" w:themeTint="F2"/>
          <w:sz w:val="24"/>
          <w:szCs w:val="24"/>
        </w:rPr>
      </w:pPr>
      <w:r w:rsidRPr="009A14A1">
        <w:rPr>
          <w:rFonts w:ascii="Arial" w:hAnsi="Arial" w:cs="Arial"/>
          <w:color w:val="0D0D0D" w:themeColor="text1" w:themeTint="F2"/>
          <w:sz w:val="24"/>
          <w:szCs w:val="24"/>
          <w:u w:val="single"/>
        </w:rPr>
        <w:t>OMB Control Number</w:t>
      </w:r>
      <w:r w:rsidRPr="009A14A1">
        <w:rPr>
          <w:rFonts w:ascii="Arial" w:hAnsi="Arial" w:cs="Arial"/>
          <w:color w:val="0D0D0D" w:themeColor="text1" w:themeTint="F2"/>
          <w:sz w:val="24"/>
          <w:szCs w:val="24"/>
        </w:rPr>
        <w:t>:  2900-0523.</w:t>
      </w:r>
    </w:p>
    <w:p w:rsidR="009A14A1" w:rsidRPr="009A14A1" w:rsidRDefault="009A14A1" w:rsidP="009A14A1">
      <w:pPr>
        <w:tabs>
          <w:tab w:val="left" w:pos="360"/>
        </w:tabs>
        <w:spacing w:line="480" w:lineRule="auto"/>
        <w:rPr>
          <w:rFonts w:ascii="Arial" w:hAnsi="Arial" w:cs="Arial"/>
          <w:color w:val="0D0D0D" w:themeColor="text1" w:themeTint="F2"/>
          <w:sz w:val="24"/>
          <w:szCs w:val="24"/>
        </w:rPr>
      </w:pPr>
      <w:r w:rsidRPr="009A14A1">
        <w:rPr>
          <w:rFonts w:ascii="Arial" w:hAnsi="Arial" w:cs="Arial"/>
          <w:color w:val="0D0D0D" w:themeColor="text1" w:themeTint="F2"/>
          <w:sz w:val="24"/>
          <w:szCs w:val="24"/>
          <w:u w:val="single"/>
        </w:rPr>
        <w:t>Type of Review</w:t>
      </w:r>
      <w:r w:rsidRPr="009A14A1">
        <w:rPr>
          <w:rFonts w:ascii="Arial" w:hAnsi="Arial" w:cs="Arial"/>
          <w:color w:val="0D0D0D" w:themeColor="text1" w:themeTint="F2"/>
          <w:sz w:val="24"/>
          <w:szCs w:val="24"/>
        </w:rPr>
        <w:t xml:space="preserve">:  Extension </w:t>
      </w:r>
      <w:r w:rsidR="006C6149">
        <w:rPr>
          <w:rFonts w:ascii="Arial" w:hAnsi="Arial" w:cs="Arial"/>
          <w:color w:val="0D0D0D" w:themeColor="text1" w:themeTint="F2"/>
          <w:sz w:val="24"/>
          <w:szCs w:val="24"/>
        </w:rPr>
        <w:t xml:space="preserve">without change </w:t>
      </w:r>
      <w:r w:rsidRPr="009A14A1">
        <w:rPr>
          <w:rFonts w:ascii="Arial" w:hAnsi="Arial" w:cs="Arial"/>
          <w:color w:val="0D0D0D" w:themeColor="text1" w:themeTint="F2"/>
          <w:sz w:val="24"/>
          <w:szCs w:val="24"/>
        </w:rPr>
        <w:t>of a currently approved collection.</w:t>
      </w:r>
    </w:p>
    <w:p w:rsidR="009A14A1" w:rsidRPr="009A14A1" w:rsidRDefault="009A14A1" w:rsidP="009A14A1">
      <w:pPr>
        <w:pStyle w:val="BodyText3"/>
        <w:spacing w:after="0" w:line="480" w:lineRule="auto"/>
        <w:rPr>
          <w:rFonts w:ascii="Arial" w:hAnsi="Arial" w:cs="Arial"/>
          <w:color w:val="0D0D0D" w:themeColor="text1" w:themeTint="F2"/>
          <w:sz w:val="24"/>
          <w:szCs w:val="24"/>
        </w:rPr>
      </w:pPr>
      <w:r w:rsidRPr="009A14A1">
        <w:rPr>
          <w:rFonts w:ascii="Arial" w:hAnsi="Arial" w:cs="Arial"/>
          <w:color w:val="0D0D0D" w:themeColor="text1" w:themeTint="F2"/>
          <w:sz w:val="24"/>
          <w:szCs w:val="24"/>
          <w:u w:val="single"/>
        </w:rPr>
        <w:t>Abstract</w:t>
      </w:r>
      <w:r w:rsidRPr="009A14A1">
        <w:rPr>
          <w:rFonts w:ascii="Arial" w:hAnsi="Arial" w:cs="Arial"/>
          <w:color w:val="0D0D0D" w:themeColor="text1" w:themeTint="F2"/>
          <w:sz w:val="24"/>
          <w:szCs w:val="24"/>
        </w:rPr>
        <w:t>:  The form will be completed by employees of lending institutions partially from information contained on other documents in the loan file. In addition, some items will be completed on the basis of mathematical calculations and underwriting judgement resulting from interpretation of VA credit standards (38 C</w:t>
      </w:r>
      <w:r w:rsidR="007118D5">
        <w:rPr>
          <w:rFonts w:ascii="Arial" w:hAnsi="Arial" w:cs="Arial"/>
          <w:color w:val="0D0D0D" w:themeColor="text1" w:themeTint="F2"/>
          <w:sz w:val="24"/>
          <w:szCs w:val="24"/>
        </w:rPr>
        <w:t>.</w:t>
      </w:r>
      <w:r w:rsidRPr="009A14A1">
        <w:rPr>
          <w:rFonts w:ascii="Arial" w:hAnsi="Arial" w:cs="Arial"/>
          <w:color w:val="0D0D0D" w:themeColor="text1" w:themeTint="F2"/>
          <w:sz w:val="24"/>
          <w:szCs w:val="24"/>
        </w:rPr>
        <w:t>F</w:t>
      </w:r>
      <w:r w:rsidR="007118D5">
        <w:rPr>
          <w:rFonts w:ascii="Arial" w:hAnsi="Arial" w:cs="Arial"/>
          <w:color w:val="0D0D0D" w:themeColor="text1" w:themeTint="F2"/>
          <w:sz w:val="24"/>
          <w:szCs w:val="24"/>
        </w:rPr>
        <w:t>.</w:t>
      </w:r>
      <w:r w:rsidRPr="009A14A1">
        <w:rPr>
          <w:rFonts w:ascii="Arial" w:hAnsi="Arial" w:cs="Arial"/>
          <w:color w:val="0D0D0D" w:themeColor="text1" w:themeTint="F2"/>
          <w:sz w:val="24"/>
          <w:szCs w:val="24"/>
        </w:rPr>
        <w:t>R</w:t>
      </w:r>
      <w:r w:rsidR="007118D5">
        <w:rPr>
          <w:rFonts w:ascii="Arial" w:hAnsi="Arial" w:cs="Arial"/>
          <w:color w:val="0D0D0D" w:themeColor="text1" w:themeTint="F2"/>
          <w:sz w:val="24"/>
          <w:szCs w:val="24"/>
        </w:rPr>
        <w:t>.</w:t>
      </w:r>
      <w:r w:rsidRPr="009A14A1">
        <w:rPr>
          <w:rFonts w:ascii="Arial" w:hAnsi="Arial" w:cs="Arial"/>
          <w:color w:val="0D0D0D" w:themeColor="text1" w:themeTint="F2"/>
          <w:sz w:val="24"/>
          <w:szCs w:val="24"/>
        </w:rPr>
        <w:t xml:space="preserve"> 36.4337). VA employees will also be able to extract data from the completed form in order to expand the amount of information contained in VA’s data bases; i.e., income and indebtedness amounts for veteran-borrowers.</w:t>
      </w:r>
    </w:p>
    <w:p w:rsidR="00876746" w:rsidRPr="009A14A1" w:rsidRDefault="00D6581D" w:rsidP="002447C4">
      <w:pPr>
        <w:tabs>
          <w:tab w:val="left" w:pos="360"/>
          <w:tab w:val="right" w:pos="9360"/>
        </w:tabs>
        <w:spacing w:line="480" w:lineRule="auto"/>
        <w:ind w:right="270" w:firstLine="360"/>
        <w:rPr>
          <w:rFonts w:ascii="Arial" w:hAnsi="Arial" w:cs="Arial"/>
          <w:color w:val="0D0D0D" w:themeColor="text1" w:themeTint="F2"/>
          <w:sz w:val="24"/>
          <w:szCs w:val="24"/>
        </w:rPr>
      </w:pPr>
      <w:r w:rsidRPr="009A14A1">
        <w:rPr>
          <w:rFonts w:ascii="Arial" w:hAnsi="Arial" w:cs="Arial"/>
          <w:color w:val="0D0D0D" w:themeColor="text1" w:themeTint="F2"/>
          <w:sz w:val="24"/>
          <w:szCs w:val="24"/>
        </w:rPr>
        <w:t xml:space="preserve">An agency may not conduct or sponsor, and a person is not required to respond to a collection of information unless it displays a currently valid OMB control number.  The </w:t>
      </w:r>
      <w:r w:rsidRPr="009A14A1">
        <w:rPr>
          <w:rFonts w:ascii="Arial" w:hAnsi="Arial" w:cs="Arial"/>
          <w:b/>
          <w:i/>
          <w:color w:val="0D0D0D" w:themeColor="text1" w:themeTint="F2"/>
          <w:sz w:val="24"/>
          <w:szCs w:val="24"/>
        </w:rPr>
        <w:t>Federal Register</w:t>
      </w:r>
      <w:r w:rsidRPr="009A14A1">
        <w:rPr>
          <w:rFonts w:ascii="Arial" w:hAnsi="Arial" w:cs="Arial"/>
          <w:color w:val="0D0D0D" w:themeColor="text1" w:themeTint="F2"/>
          <w:sz w:val="24"/>
          <w:szCs w:val="24"/>
        </w:rPr>
        <w:t xml:space="preserve"> Notice with a 60-day comment period soliciting comments on this collection of information was pu</w:t>
      </w:r>
      <w:r w:rsidR="005B6F4F" w:rsidRPr="009A14A1">
        <w:rPr>
          <w:rFonts w:ascii="Arial" w:hAnsi="Arial" w:cs="Arial"/>
          <w:color w:val="0D0D0D" w:themeColor="text1" w:themeTint="F2"/>
          <w:sz w:val="24"/>
          <w:szCs w:val="24"/>
        </w:rPr>
        <w:t xml:space="preserve">blished </w:t>
      </w:r>
      <w:r w:rsidR="004A6C2A" w:rsidRPr="009A14A1">
        <w:rPr>
          <w:rFonts w:ascii="Arial" w:hAnsi="Arial" w:cs="Arial"/>
          <w:color w:val="0D0D0D" w:themeColor="text1" w:themeTint="F2"/>
          <w:sz w:val="24"/>
          <w:szCs w:val="24"/>
        </w:rPr>
        <w:t>at</w:t>
      </w:r>
      <w:r w:rsidR="00D670F5" w:rsidRPr="009A14A1">
        <w:rPr>
          <w:rFonts w:ascii="Arial" w:hAnsi="Arial" w:cs="Arial"/>
          <w:color w:val="0D0D0D" w:themeColor="text1" w:themeTint="F2"/>
          <w:sz w:val="24"/>
          <w:szCs w:val="24"/>
        </w:rPr>
        <w:t xml:space="preserve"> </w:t>
      </w:r>
      <w:r w:rsidR="00333F41">
        <w:rPr>
          <w:rFonts w:ascii="Arial" w:hAnsi="Arial" w:cs="Arial"/>
          <w:color w:val="0D0D0D" w:themeColor="text1" w:themeTint="F2"/>
          <w:sz w:val="24"/>
          <w:szCs w:val="24"/>
        </w:rPr>
        <w:t>84 FR 8153 on March 6, 2019 on page 8153.</w:t>
      </w:r>
    </w:p>
    <w:p w:rsidR="009A14A1" w:rsidRPr="009A14A1" w:rsidRDefault="009A14A1" w:rsidP="009A14A1">
      <w:pPr>
        <w:tabs>
          <w:tab w:val="left" w:pos="270"/>
          <w:tab w:val="right" w:pos="9360"/>
        </w:tabs>
        <w:spacing w:line="480" w:lineRule="auto"/>
        <w:rPr>
          <w:rFonts w:ascii="Arial" w:hAnsi="Arial" w:cs="Arial"/>
          <w:color w:val="0D0D0D" w:themeColor="text1" w:themeTint="F2"/>
          <w:sz w:val="24"/>
          <w:szCs w:val="24"/>
        </w:rPr>
      </w:pPr>
      <w:r w:rsidRPr="009A14A1">
        <w:rPr>
          <w:rFonts w:ascii="Arial" w:hAnsi="Arial" w:cs="Arial"/>
          <w:color w:val="0D0D0D" w:themeColor="text1" w:themeTint="F2"/>
          <w:sz w:val="24"/>
          <w:szCs w:val="24"/>
          <w:u w:val="single"/>
        </w:rPr>
        <w:t>Affected Public</w:t>
      </w:r>
      <w:r w:rsidRPr="009A14A1">
        <w:rPr>
          <w:rFonts w:ascii="Arial" w:hAnsi="Arial" w:cs="Arial"/>
          <w:color w:val="0D0D0D" w:themeColor="text1" w:themeTint="F2"/>
          <w:sz w:val="24"/>
          <w:szCs w:val="24"/>
        </w:rPr>
        <w:t>:  Individuals and households.</w:t>
      </w:r>
    </w:p>
    <w:p w:rsidR="009A14A1" w:rsidRPr="009A14A1" w:rsidRDefault="009A14A1" w:rsidP="009A14A1">
      <w:pPr>
        <w:tabs>
          <w:tab w:val="left" w:pos="360"/>
          <w:tab w:val="decimal" w:pos="576"/>
          <w:tab w:val="decimal" w:pos="5616"/>
          <w:tab w:val="decimal" w:pos="10944"/>
        </w:tabs>
        <w:spacing w:line="480" w:lineRule="auto"/>
        <w:rPr>
          <w:rFonts w:ascii="Arial" w:hAnsi="Arial" w:cs="Arial"/>
          <w:color w:val="0D0D0D" w:themeColor="text1" w:themeTint="F2"/>
          <w:sz w:val="24"/>
          <w:szCs w:val="24"/>
        </w:rPr>
      </w:pPr>
      <w:r w:rsidRPr="009A14A1">
        <w:rPr>
          <w:rFonts w:ascii="Arial" w:hAnsi="Arial" w:cs="Arial"/>
          <w:color w:val="0D0D0D" w:themeColor="text1" w:themeTint="F2"/>
          <w:sz w:val="24"/>
          <w:szCs w:val="24"/>
          <w:u w:val="single"/>
        </w:rPr>
        <w:t>Estimated Annual Burden</w:t>
      </w:r>
      <w:r w:rsidRPr="009A14A1">
        <w:rPr>
          <w:rFonts w:ascii="Arial" w:hAnsi="Arial" w:cs="Arial"/>
          <w:color w:val="0D0D0D" w:themeColor="text1" w:themeTint="F2"/>
          <w:sz w:val="24"/>
          <w:szCs w:val="24"/>
        </w:rPr>
        <w:t>:  125,000 hours.</w:t>
      </w:r>
    </w:p>
    <w:p w:rsidR="009A14A1" w:rsidRPr="009A14A1" w:rsidRDefault="009A14A1" w:rsidP="009A14A1">
      <w:pPr>
        <w:tabs>
          <w:tab w:val="left" w:pos="360"/>
          <w:tab w:val="decimal" w:pos="576"/>
          <w:tab w:val="decimal" w:pos="5616"/>
          <w:tab w:val="decimal" w:pos="10944"/>
        </w:tabs>
        <w:spacing w:line="480" w:lineRule="auto"/>
        <w:rPr>
          <w:rFonts w:ascii="Arial" w:hAnsi="Arial" w:cs="Arial"/>
          <w:color w:val="0D0D0D" w:themeColor="text1" w:themeTint="F2"/>
          <w:sz w:val="24"/>
          <w:szCs w:val="24"/>
        </w:rPr>
      </w:pPr>
      <w:r w:rsidRPr="009A14A1">
        <w:rPr>
          <w:rFonts w:ascii="Arial" w:hAnsi="Arial" w:cs="Arial"/>
          <w:color w:val="0D0D0D" w:themeColor="text1" w:themeTint="F2"/>
          <w:sz w:val="24"/>
          <w:szCs w:val="24"/>
          <w:u w:val="single"/>
        </w:rPr>
        <w:t>Estimated Average Burden Per Respondent</w:t>
      </w:r>
      <w:r w:rsidRPr="009A14A1">
        <w:rPr>
          <w:rFonts w:ascii="Arial" w:hAnsi="Arial" w:cs="Arial"/>
          <w:color w:val="0D0D0D" w:themeColor="text1" w:themeTint="F2"/>
          <w:sz w:val="24"/>
          <w:szCs w:val="24"/>
        </w:rPr>
        <w:t>:  30 minutes.</w:t>
      </w:r>
    </w:p>
    <w:p w:rsidR="009A14A1" w:rsidRPr="009A14A1" w:rsidRDefault="009A14A1" w:rsidP="009A14A1">
      <w:pPr>
        <w:tabs>
          <w:tab w:val="left" w:pos="360"/>
          <w:tab w:val="decimal" w:pos="576"/>
          <w:tab w:val="decimal" w:pos="5616"/>
          <w:tab w:val="decimal" w:pos="10944"/>
        </w:tabs>
        <w:spacing w:line="480" w:lineRule="auto"/>
        <w:rPr>
          <w:rFonts w:ascii="Arial" w:hAnsi="Arial" w:cs="Arial"/>
          <w:color w:val="0D0D0D" w:themeColor="text1" w:themeTint="F2"/>
          <w:sz w:val="24"/>
          <w:szCs w:val="24"/>
        </w:rPr>
      </w:pPr>
      <w:r w:rsidRPr="009A14A1">
        <w:rPr>
          <w:rFonts w:ascii="Arial" w:hAnsi="Arial" w:cs="Arial"/>
          <w:color w:val="0D0D0D" w:themeColor="text1" w:themeTint="F2"/>
          <w:sz w:val="24"/>
          <w:szCs w:val="24"/>
          <w:u w:val="single"/>
        </w:rPr>
        <w:t>Frequency of Response</w:t>
      </w:r>
      <w:r w:rsidRPr="009A14A1">
        <w:rPr>
          <w:rFonts w:ascii="Arial" w:hAnsi="Arial" w:cs="Arial"/>
          <w:color w:val="0D0D0D" w:themeColor="text1" w:themeTint="F2"/>
          <w:sz w:val="24"/>
          <w:szCs w:val="24"/>
        </w:rPr>
        <w:t>:  One-time.</w:t>
      </w:r>
    </w:p>
    <w:p w:rsidR="009A14A1" w:rsidRPr="009A14A1" w:rsidRDefault="009A14A1" w:rsidP="009A14A1">
      <w:pPr>
        <w:tabs>
          <w:tab w:val="left" w:pos="360"/>
          <w:tab w:val="decimal" w:pos="576"/>
          <w:tab w:val="decimal" w:pos="5616"/>
          <w:tab w:val="decimal" w:pos="10944"/>
        </w:tabs>
        <w:spacing w:line="480" w:lineRule="auto"/>
        <w:rPr>
          <w:rFonts w:ascii="Arial" w:hAnsi="Arial" w:cs="Arial"/>
          <w:color w:val="0D0D0D" w:themeColor="text1" w:themeTint="F2"/>
          <w:sz w:val="24"/>
          <w:szCs w:val="24"/>
        </w:rPr>
      </w:pPr>
      <w:r w:rsidRPr="009A14A1">
        <w:rPr>
          <w:rFonts w:ascii="Arial" w:hAnsi="Arial" w:cs="Arial"/>
          <w:color w:val="0D0D0D" w:themeColor="text1" w:themeTint="F2"/>
          <w:sz w:val="24"/>
          <w:szCs w:val="24"/>
          <w:u w:val="single"/>
        </w:rPr>
        <w:t>Estimated Number of Respondents:</w:t>
      </w:r>
      <w:r w:rsidRPr="009A14A1">
        <w:rPr>
          <w:rFonts w:ascii="Arial" w:hAnsi="Arial" w:cs="Arial"/>
          <w:color w:val="0D0D0D" w:themeColor="text1" w:themeTint="F2"/>
          <w:sz w:val="24"/>
          <w:szCs w:val="24"/>
        </w:rPr>
        <w:t xml:space="preserve">  250,000.</w:t>
      </w:r>
    </w:p>
    <w:p w:rsidR="004B705E" w:rsidRPr="009A14A1" w:rsidRDefault="004B705E">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color w:val="0D0D0D" w:themeColor="text1" w:themeTint="F2"/>
          <w:sz w:val="24"/>
          <w:szCs w:val="24"/>
        </w:rPr>
      </w:pPr>
    </w:p>
    <w:p w:rsidR="003B042E" w:rsidRPr="00C65218" w:rsidRDefault="003B042E" w:rsidP="002447C4">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right="274"/>
        <w:rPr>
          <w:rFonts w:ascii="Arial" w:hAnsi="Arial" w:cs="Arial"/>
          <w:color w:val="0D0D0D" w:themeColor="text1" w:themeTint="F2"/>
          <w:sz w:val="24"/>
          <w:szCs w:val="24"/>
        </w:rPr>
      </w:pPr>
      <w:r w:rsidRPr="00C65218">
        <w:rPr>
          <w:rFonts w:ascii="Arial" w:hAnsi="Arial" w:cs="Arial"/>
          <w:color w:val="0D0D0D" w:themeColor="text1" w:themeTint="F2"/>
          <w:sz w:val="24"/>
          <w:szCs w:val="24"/>
        </w:rPr>
        <w:lastRenderedPageBreak/>
        <w:t>By direction of the Secretary:</w:t>
      </w:r>
    </w:p>
    <w:p w:rsidR="00C65218" w:rsidRPr="00C65218" w:rsidRDefault="00C65218" w:rsidP="00C65218">
      <w:pPr>
        <w:spacing w:line="480" w:lineRule="auto"/>
        <w:rPr>
          <w:rFonts w:ascii="Arial" w:hAnsi="Arial"/>
          <w:b/>
          <w:color w:val="0D0D0D" w:themeColor="text1" w:themeTint="F2"/>
          <w:sz w:val="24"/>
          <w:szCs w:val="24"/>
        </w:rPr>
      </w:pPr>
      <w:r w:rsidRPr="00C65218">
        <w:rPr>
          <w:rFonts w:ascii="Arial" w:hAnsi="Arial"/>
          <w:b/>
          <w:color w:val="0D0D0D" w:themeColor="text1" w:themeTint="F2"/>
          <w:sz w:val="24"/>
          <w:szCs w:val="24"/>
        </w:rPr>
        <w:t xml:space="preserve">Danny Green, </w:t>
      </w:r>
    </w:p>
    <w:p w:rsidR="00C65218" w:rsidRPr="00C65218" w:rsidRDefault="006C6149" w:rsidP="00C65218">
      <w:pPr>
        <w:spacing w:line="480" w:lineRule="auto"/>
        <w:rPr>
          <w:rFonts w:ascii="Arial" w:hAnsi="Arial"/>
          <w:i/>
          <w:color w:val="0D0D0D" w:themeColor="text1" w:themeTint="F2"/>
          <w:sz w:val="24"/>
          <w:szCs w:val="24"/>
        </w:rPr>
      </w:pPr>
      <w:r>
        <w:rPr>
          <w:rFonts w:ascii="Arial" w:hAnsi="Arial"/>
          <w:i/>
          <w:color w:val="0D0D0D" w:themeColor="text1" w:themeTint="F2"/>
          <w:sz w:val="24"/>
          <w:szCs w:val="24"/>
        </w:rPr>
        <w:t xml:space="preserve">VA </w:t>
      </w:r>
      <w:r w:rsidR="00C65218" w:rsidRPr="00C65218">
        <w:rPr>
          <w:rFonts w:ascii="Arial" w:hAnsi="Arial"/>
          <w:i/>
          <w:color w:val="0D0D0D" w:themeColor="text1" w:themeTint="F2"/>
          <w:sz w:val="24"/>
          <w:szCs w:val="24"/>
        </w:rPr>
        <w:t>Interim Clearance Officer,</w:t>
      </w:r>
      <w:r w:rsidR="00C65218" w:rsidRPr="00C65218">
        <w:rPr>
          <w:rFonts w:ascii="Arial" w:hAnsi="Arial"/>
          <w:b/>
          <w:noProof/>
          <w:color w:val="0D0D0D" w:themeColor="text1" w:themeTint="F2"/>
          <w:sz w:val="24"/>
          <w:szCs w:val="24"/>
        </w:rPr>
        <w:t xml:space="preserve"> </w:t>
      </w:r>
    </w:p>
    <w:p w:rsidR="00C65218" w:rsidRPr="00C65218" w:rsidRDefault="00C65218" w:rsidP="00C65218">
      <w:pPr>
        <w:spacing w:line="480" w:lineRule="auto"/>
        <w:rPr>
          <w:rFonts w:ascii="Arial" w:hAnsi="Arial"/>
          <w:i/>
          <w:color w:val="0D0D0D" w:themeColor="text1" w:themeTint="F2"/>
          <w:sz w:val="24"/>
          <w:szCs w:val="24"/>
        </w:rPr>
      </w:pPr>
      <w:r w:rsidRPr="00C65218">
        <w:rPr>
          <w:rFonts w:ascii="Arial" w:hAnsi="Arial" w:cs="Arial"/>
          <w:color w:val="0D0D0D" w:themeColor="text1" w:themeTint="F2"/>
          <w:sz w:val="24"/>
          <w:szCs w:val="24"/>
        </w:rPr>
        <w:t xml:space="preserve">Office of Quality, </w:t>
      </w:r>
      <w:r w:rsidR="006C6149">
        <w:rPr>
          <w:rFonts w:ascii="Arial" w:hAnsi="Arial" w:cs="Arial"/>
          <w:color w:val="0D0D0D" w:themeColor="text1" w:themeTint="F2"/>
          <w:sz w:val="24"/>
          <w:szCs w:val="24"/>
        </w:rPr>
        <w:t xml:space="preserve">Performance, </w:t>
      </w:r>
      <w:r w:rsidRPr="00C65218">
        <w:rPr>
          <w:rFonts w:ascii="Arial" w:hAnsi="Arial" w:cs="Arial"/>
          <w:color w:val="0D0D0D" w:themeColor="text1" w:themeTint="F2"/>
          <w:sz w:val="24"/>
          <w:szCs w:val="24"/>
        </w:rPr>
        <w:t>Privacy and Risk (OQPR)</w:t>
      </w:r>
      <w:r w:rsidRPr="00C65218">
        <w:rPr>
          <w:rFonts w:ascii="Arial" w:hAnsi="Arial"/>
          <w:i/>
          <w:color w:val="0D0D0D" w:themeColor="text1" w:themeTint="F2"/>
          <w:sz w:val="24"/>
          <w:szCs w:val="24"/>
        </w:rPr>
        <w:t>,</w:t>
      </w:r>
    </w:p>
    <w:p w:rsidR="00C65218" w:rsidRPr="00C65218" w:rsidRDefault="00C65218" w:rsidP="00C65218">
      <w:pPr>
        <w:spacing w:after="240" w:line="480" w:lineRule="auto"/>
        <w:rPr>
          <w:rFonts w:ascii="Arial" w:hAnsi="Arial"/>
          <w:i/>
          <w:color w:val="0D0D0D" w:themeColor="text1" w:themeTint="F2"/>
          <w:sz w:val="24"/>
          <w:szCs w:val="24"/>
        </w:rPr>
      </w:pPr>
      <w:r w:rsidRPr="00C65218">
        <w:rPr>
          <w:rFonts w:ascii="Arial" w:hAnsi="Arial"/>
          <w:i/>
          <w:color w:val="0D0D0D" w:themeColor="text1" w:themeTint="F2"/>
          <w:sz w:val="24"/>
          <w:szCs w:val="24"/>
        </w:rPr>
        <w:t>Department of Veterans Affairs</w:t>
      </w:r>
    </w:p>
    <w:p w:rsidR="00C65218" w:rsidRPr="00C65218" w:rsidRDefault="00C65218" w:rsidP="00C65218">
      <w:pPr>
        <w:spacing w:after="240" w:line="480" w:lineRule="auto"/>
        <w:rPr>
          <w:rFonts w:ascii="Arial" w:hAnsi="Arial"/>
          <w:i/>
          <w:color w:val="0D0D0D" w:themeColor="text1" w:themeTint="F2"/>
          <w:sz w:val="24"/>
          <w:szCs w:val="24"/>
        </w:rPr>
      </w:pPr>
      <w:r w:rsidRPr="00C65218">
        <w:rPr>
          <w:rFonts w:ascii="Arial" w:hAnsi="Arial"/>
          <w:b/>
          <w:color w:val="0D0D0D" w:themeColor="text1" w:themeTint="F2"/>
          <w:sz w:val="24"/>
          <w:szCs w:val="24"/>
        </w:rPr>
        <w:t>BILLING CODE 8320-01-P</w:t>
      </w:r>
    </w:p>
    <w:p w:rsidR="006E26D6" w:rsidRPr="009A14A1" w:rsidRDefault="006E26D6" w:rsidP="00C65218">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left="4320" w:right="274" w:hanging="4320"/>
        <w:rPr>
          <w:rFonts w:ascii="Arial" w:hAnsi="Arial" w:cs="Arial"/>
          <w:b/>
          <w:color w:val="0D0D0D" w:themeColor="text1" w:themeTint="F2"/>
          <w:sz w:val="24"/>
          <w:szCs w:val="24"/>
        </w:rPr>
      </w:pPr>
    </w:p>
    <w:sectPr w:rsidR="006E26D6" w:rsidRPr="009A14A1" w:rsidSect="008613E4">
      <w:footerReference w:type="default" r:id="rId12"/>
      <w:pgSz w:w="12240" w:h="15840"/>
      <w:pgMar w:top="1440" w:right="135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909" w:rsidRDefault="00CC7909">
      <w:r>
        <w:separator/>
      </w:r>
    </w:p>
  </w:endnote>
  <w:endnote w:type="continuationSeparator" w:id="0">
    <w:p w:rsidR="00CC7909" w:rsidRDefault="00CC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094199"/>
      <w:docPartObj>
        <w:docPartGallery w:val="Page Numbers (Bottom of Page)"/>
        <w:docPartUnique/>
      </w:docPartObj>
    </w:sdtPr>
    <w:sdtEndPr>
      <w:rPr>
        <w:noProof/>
      </w:rPr>
    </w:sdtEndPr>
    <w:sdtContent>
      <w:p w:rsidR="00AF6C8C" w:rsidRDefault="00AF6C8C">
        <w:pPr>
          <w:pStyle w:val="Footer"/>
          <w:jc w:val="center"/>
        </w:pPr>
        <w:r>
          <w:fldChar w:fldCharType="begin"/>
        </w:r>
        <w:r>
          <w:instrText xml:space="preserve"> PAGE   \* MERGEFORMAT </w:instrText>
        </w:r>
        <w:r>
          <w:fldChar w:fldCharType="separate"/>
        </w:r>
        <w:r w:rsidR="008216EA">
          <w:rPr>
            <w:noProof/>
          </w:rPr>
          <w:t>1</w:t>
        </w:r>
        <w:r>
          <w:rPr>
            <w:noProof/>
          </w:rPr>
          <w:fldChar w:fldCharType="end"/>
        </w:r>
      </w:p>
    </w:sdtContent>
  </w:sdt>
  <w:p w:rsidR="00AF6C8C" w:rsidRDefault="00AF6C8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909" w:rsidRDefault="00CC7909">
      <w:r>
        <w:separator/>
      </w:r>
    </w:p>
  </w:footnote>
  <w:footnote w:type="continuationSeparator" w:id="0">
    <w:p w:rsidR="00CC7909" w:rsidRDefault="00CC79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F5208"/>
    <w:multiLevelType w:val="hybridMultilevel"/>
    <w:tmpl w:val="641E3046"/>
    <w:lvl w:ilvl="0" w:tplc="BBCE8568">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462B6D"/>
    <w:multiLevelType w:val="hybridMultilevel"/>
    <w:tmpl w:val="2C96BD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FF41BC"/>
    <w:multiLevelType w:val="hybridMultilevel"/>
    <w:tmpl w:val="36D01712"/>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8B6EC2"/>
    <w:multiLevelType w:val="hybridMultilevel"/>
    <w:tmpl w:val="A8289C84"/>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BF0007"/>
    <w:multiLevelType w:val="hybridMultilevel"/>
    <w:tmpl w:val="666255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6D107B"/>
    <w:multiLevelType w:val="hybridMultilevel"/>
    <w:tmpl w:val="36AC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6E6E3E"/>
    <w:multiLevelType w:val="hybridMultilevel"/>
    <w:tmpl w:val="24B6D404"/>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960520"/>
    <w:multiLevelType w:val="hybridMultilevel"/>
    <w:tmpl w:val="766C7BE8"/>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D43FDF"/>
    <w:multiLevelType w:val="hybridMultilevel"/>
    <w:tmpl w:val="2654BB66"/>
    <w:lvl w:ilvl="0" w:tplc="0D3C278C">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451347"/>
    <w:multiLevelType w:val="hybridMultilevel"/>
    <w:tmpl w:val="245A08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0E1D66"/>
    <w:multiLevelType w:val="hybridMultilevel"/>
    <w:tmpl w:val="26CE3930"/>
    <w:lvl w:ilvl="0" w:tplc="66EE5970">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FE628B"/>
    <w:multiLevelType w:val="hybridMultilevel"/>
    <w:tmpl w:val="6494F272"/>
    <w:lvl w:ilvl="0" w:tplc="44746E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AD6062"/>
    <w:multiLevelType w:val="hybridMultilevel"/>
    <w:tmpl w:val="CAC0B856"/>
    <w:lvl w:ilvl="0" w:tplc="BFE67DE4">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E3F6884"/>
    <w:multiLevelType w:val="hybridMultilevel"/>
    <w:tmpl w:val="BEE2988E"/>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E6329B"/>
    <w:multiLevelType w:val="hybridMultilevel"/>
    <w:tmpl w:val="5B1A89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2C3D01"/>
    <w:multiLevelType w:val="hybridMultilevel"/>
    <w:tmpl w:val="460E11C0"/>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7582B22"/>
    <w:multiLevelType w:val="hybridMultilevel"/>
    <w:tmpl w:val="0180D28E"/>
    <w:lvl w:ilvl="0" w:tplc="BFE67DE4">
      <w:start w:val="1"/>
      <w:numFmt w:val="lowerLetter"/>
      <w:lvlText w:val="%1."/>
      <w:lvlJc w:val="left"/>
      <w:pPr>
        <w:tabs>
          <w:tab w:val="num" w:pos="720"/>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DE812C4"/>
    <w:multiLevelType w:val="hybridMultilevel"/>
    <w:tmpl w:val="2A8CB692"/>
    <w:lvl w:ilvl="0" w:tplc="65840D7E">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12"/>
  </w:num>
  <w:num w:numId="4">
    <w:abstractNumId w:val="13"/>
  </w:num>
  <w:num w:numId="5">
    <w:abstractNumId w:val="6"/>
  </w:num>
  <w:num w:numId="6">
    <w:abstractNumId w:val="15"/>
  </w:num>
  <w:num w:numId="7">
    <w:abstractNumId w:val="14"/>
  </w:num>
  <w:num w:numId="8">
    <w:abstractNumId w:val="9"/>
  </w:num>
  <w:num w:numId="9">
    <w:abstractNumId w:val="4"/>
  </w:num>
  <w:num w:numId="10">
    <w:abstractNumId w:val="1"/>
  </w:num>
  <w:num w:numId="11">
    <w:abstractNumId w:val="8"/>
  </w:num>
  <w:num w:numId="12">
    <w:abstractNumId w:val="0"/>
  </w:num>
  <w:num w:numId="13">
    <w:abstractNumId w:val="10"/>
  </w:num>
  <w:num w:numId="14">
    <w:abstractNumId w:val="17"/>
  </w:num>
  <w:num w:numId="15">
    <w:abstractNumId w:val="2"/>
  </w:num>
  <w:num w:numId="16">
    <w:abstractNumId w:val="3"/>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D"/>
    <w:rsid w:val="00037D51"/>
    <w:rsid w:val="00072010"/>
    <w:rsid w:val="000D0D7D"/>
    <w:rsid w:val="000D4C5C"/>
    <w:rsid w:val="0010303E"/>
    <w:rsid w:val="001108D2"/>
    <w:rsid w:val="001273AD"/>
    <w:rsid w:val="00130224"/>
    <w:rsid w:val="00130F3F"/>
    <w:rsid w:val="00163D15"/>
    <w:rsid w:val="00173766"/>
    <w:rsid w:val="001A10B1"/>
    <w:rsid w:val="001A16A5"/>
    <w:rsid w:val="001C1E2C"/>
    <w:rsid w:val="00216517"/>
    <w:rsid w:val="00222A84"/>
    <w:rsid w:val="0023006D"/>
    <w:rsid w:val="00234E56"/>
    <w:rsid w:val="00237330"/>
    <w:rsid w:val="00237EAB"/>
    <w:rsid w:val="00243AD5"/>
    <w:rsid w:val="002447C4"/>
    <w:rsid w:val="00246D33"/>
    <w:rsid w:val="002600E6"/>
    <w:rsid w:val="002647BA"/>
    <w:rsid w:val="00264A78"/>
    <w:rsid w:val="002927C4"/>
    <w:rsid w:val="002A4B17"/>
    <w:rsid w:val="002B299F"/>
    <w:rsid w:val="002C21BC"/>
    <w:rsid w:val="002C3E71"/>
    <w:rsid w:val="0031657C"/>
    <w:rsid w:val="003171DB"/>
    <w:rsid w:val="003258E9"/>
    <w:rsid w:val="00333F41"/>
    <w:rsid w:val="00366230"/>
    <w:rsid w:val="00376335"/>
    <w:rsid w:val="0039352F"/>
    <w:rsid w:val="003B042E"/>
    <w:rsid w:val="003D7660"/>
    <w:rsid w:val="003E66D1"/>
    <w:rsid w:val="004019D2"/>
    <w:rsid w:val="0040238A"/>
    <w:rsid w:val="00425100"/>
    <w:rsid w:val="00436C95"/>
    <w:rsid w:val="00441392"/>
    <w:rsid w:val="00444B37"/>
    <w:rsid w:val="00452FF5"/>
    <w:rsid w:val="00456748"/>
    <w:rsid w:val="00481E16"/>
    <w:rsid w:val="004A6C2A"/>
    <w:rsid w:val="004B4C08"/>
    <w:rsid w:val="004B705E"/>
    <w:rsid w:val="004F4438"/>
    <w:rsid w:val="005208DE"/>
    <w:rsid w:val="00536CAF"/>
    <w:rsid w:val="005B6F4F"/>
    <w:rsid w:val="005B7E23"/>
    <w:rsid w:val="00652A30"/>
    <w:rsid w:val="006547F7"/>
    <w:rsid w:val="006713B6"/>
    <w:rsid w:val="006C6149"/>
    <w:rsid w:val="006E26D6"/>
    <w:rsid w:val="006F6C61"/>
    <w:rsid w:val="007118D5"/>
    <w:rsid w:val="00716C57"/>
    <w:rsid w:val="007315B5"/>
    <w:rsid w:val="00737F7D"/>
    <w:rsid w:val="00773DD6"/>
    <w:rsid w:val="00775131"/>
    <w:rsid w:val="007B3AD6"/>
    <w:rsid w:val="00805511"/>
    <w:rsid w:val="008216EA"/>
    <w:rsid w:val="0083786F"/>
    <w:rsid w:val="008613E4"/>
    <w:rsid w:val="00875723"/>
    <w:rsid w:val="00876746"/>
    <w:rsid w:val="008B4656"/>
    <w:rsid w:val="008C5FA4"/>
    <w:rsid w:val="008D02DE"/>
    <w:rsid w:val="00931258"/>
    <w:rsid w:val="009346F4"/>
    <w:rsid w:val="00966C65"/>
    <w:rsid w:val="009A14A1"/>
    <w:rsid w:val="009B1661"/>
    <w:rsid w:val="009B7931"/>
    <w:rsid w:val="009D0845"/>
    <w:rsid w:val="00A068E0"/>
    <w:rsid w:val="00A07915"/>
    <w:rsid w:val="00A40792"/>
    <w:rsid w:val="00A51482"/>
    <w:rsid w:val="00A53564"/>
    <w:rsid w:val="00AA4CC5"/>
    <w:rsid w:val="00AB2D96"/>
    <w:rsid w:val="00AD0A34"/>
    <w:rsid w:val="00AF5161"/>
    <w:rsid w:val="00AF6C8C"/>
    <w:rsid w:val="00B420E5"/>
    <w:rsid w:val="00B465DC"/>
    <w:rsid w:val="00B576D9"/>
    <w:rsid w:val="00B6763A"/>
    <w:rsid w:val="00B76618"/>
    <w:rsid w:val="00BA72FE"/>
    <w:rsid w:val="00BB5BEA"/>
    <w:rsid w:val="00BE0643"/>
    <w:rsid w:val="00BE1DE7"/>
    <w:rsid w:val="00BE47BA"/>
    <w:rsid w:val="00BF5F13"/>
    <w:rsid w:val="00C17238"/>
    <w:rsid w:val="00C65218"/>
    <w:rsid w:val="00C81543"/>
    <w:rsid w:val="00CB02A3"/>
    <w:rsid w:val="00CB6259"/>
    <w:rsid w:val="00CC6F96"/>
    <w:rsid w:val="00CC7909"/>
    <w:rsid w:val="00CD4471"/>
    <w:rsid w:val="00CF48BC"/>
    <w:rsid w:val="00D066C9"/>
    <w:rsid w:val="00D12530"/>
    <w:rsid w:val="00D20BF1"/>
    <w:rsid w:val="00D6581D"/>
    <w:rsid w:val="00D670F5"/>
    <w:rsid w:val="00D721FE"/>
    <w:rsid w:val="00D74A41"/>
    <w:rsid w:val="00D777FD"/>
    <w:rsid w:val="00D8400F"/>
    <w:rsid w:val="00DC1530"/>
    <w:rsid w:val="00DC6D31"/>
    <w:rsid w:val="00DD1F01"/>
    <w:rsid w:val="00DD58EE"/>
    <w:rsid w:val="00DF26D1"/>
    <w:rsid w:val="00E02543"/>
    <w:rsid w:val="00E26799"/>
    <w:rsid w:val="00E41CDA"/>
    <w:rsid w:val="00E45D82"/>
    <w:rsid w:val="00E62CBC"/>
    <w:rsid w:val="00E72140"/>
    <w:rsid w:val="00E84874"/>
    <w:rsid w:val="00E9383C"/>
    <w:rsid w:val="00EF7931"/>
    <w:rsid w:val="00F5006B"/>
    <w:rsid w:val="00F525D5"/>
    <w:rsid w:val="00FA63DB"/>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rsid w:val="006E26D6"/>
  </w:style>
  <w:style w:type="paragraph" w:styleId="BodyText3">
    <w:name w:val="Body Text 3"/>
    <w:basedOn w:val="Normal"/>
    <w:link w:val="BodyText3Char"/>
    <w:semiHidden/>
    <w:unhideWhenUsed/>
    <w:rsid w:val="009A14A1"/>
    <w:pPr>
      <w:spacing w:after="120"/>
    </w:pPr>
    <w:rPr>
      <w:sz w:val="16"/>
      <w:szCs w:val="16"/>
    </w:rPr>
  </w:style>
  <w:style w:type="character" w:customStyle="1" w:styleId="BodyText3Char">
    <w:name w:val="Body Text 3 Char"/>
    <w:basedOn w:val="DefaultParagraphFont"/>
    <w:link w:val="BodyText3"/>
    <w:semiHidden/>
    <w:rsid w:val="009A14A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rsid w:val="006E26D6"/>
  </w:style>
  <w:style w:type="paragraph" w:styleId="BodyText3">
    <w:name w:val="Body Text 3"/>
    <w:basedOn w:val="Normal"/>
    <w:link w:val="BodyText3Char"/>
    <w:semiHidden/>
    <w:unhideWhenUsed/>
    <w:rsid w:val="009A14A1"/>
    <w:pPr>
      <w:spacing w:after="120"/>
    </w:pPr>
    <w:rPr>
      <w:sz w:val="16"/>
      <w:szCs w:val="16"/>
    </w:rPr>
  </w:style>
  <w:style w:type="character" w:customStyle="1" w:styleId="BodyText3Char">
    <w:name w:val="Body Text 3 Char"/>
    <w:basedOn w:val="DefaultParagraphFont"/>
    <w:link w:val="BodyText3"/>
    <w:semiHidden/>
    <w:rsid w:val="009A14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820276">
      <w:bodyDiv w:val="1"/>
      <w:marLeft w:val="0"/>
      <w:marRight w:val="0"/>
      <w:marTop w:val="0"/>
      <w:marBottom w:val="0"/>
      <w:divBdr>
        <w:top w:val="none" w:sz="0" w:space="0" w:color="auto"/>
        <w:left w:val="none" w:sz="0" w:space="0" w:color="auto"/>
        <w:bottom w:val="none" w:sz="0" w:space="0" w:color="auto"/>
        <w:right w:val="none" w:sz="0" w:space="0" w:color="auto"/>
      </w:divBdr>
    </w:div>
    <w:div w:id="20775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anny.Green2@va.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34b991e3f4d58c8a6f9c5300b8cf829b">
  <xsd:schema xmlns:xsd="http://www.w3.org/2001/XMLSchema" xmlns:xs="http://www.w3.org/2001/XMLSchema" xmlns:p="http://schemas.microsoft.com/office/2006/metadata/properties" targetNamespace="http://schemas.microsoft.com/office/2006/metadata/properties" ma:root="true" ma:fieldsID="12fb864da2200c63349dfd6edbf8e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13959-1985-4023-9AB7-312ECA277753}">
  <ds:schemaRefs>
    <ds:schemaRef ds:uri="http://schemas.microsoft.com/sharepoint/v3/contenttype/forms"/>
  </ds:schemaRefs>
</ds:datastoreItem>
</file>

<file path=customXml/itemProps2.xml><?xml version="1.0" encoding="utf-8"?>
<ds:datastoreItem xmlns:ds="http://schemas.openxmlformats.org/officeDocument/2006/customXml" ds:itemID="{B7D87967-1CC1-4B09-8F57-D122BD646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23C4A5-1755-42B4-9255-06413FE48C02}">
  <ds:schemaRef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IMS</Company>
  <LinksUpToDate>false</LinksUpToDate>
  <CharactersWithSpaces>2894</CharactersWithSpaces>
  <SharedDoc>false</SharedDoc>
  <HLinks>
    <vt:vector size="12" baseType="variant">
      <vt:variant>
        <vt:i4>3145738</vt:i4>
      </vt:variant>
      <vt:variant>
        <vt:i4>3</vt:i4>
      </vt:variant>
      <vt:variant>
        <vt:i4>0</vt:i4>
      </vt:variant>
      <vt:variant>
        <vt:i4>5</vt:i4>
      </vt:variant>
      <vt:variant>
        <vt:lpwstr>mailto:denise.mclamb@%20va.gov</vt:lpwstr>
      </vt:variant>
      <vt:variant>
        <vt:lpwstr/>
      </vt:variant>
      <vt:variant>
        <vt:i4>7798816</vt:i4>
      </vt:variant>
      <vt:variant>
        <vt:i4>0</vt:i4>
      </vt:variant>
      <vt:variant>
        <vt:i4>0</vt:i4>
      </vt:variant>
      <vt:variant>
        <vt:i4>5</vt:i4>
      </vt:variant>
      <vt:variant>
        <vt:lpwstr>C:\Documents and Settings\VRECKRUG\Local Settings\Temporary Internet Files\OLK338\www.Regulations.gov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SYSTEM</cp:lastModifiedBy>
  <cp:revision>2</cp:revision>
  <cp:lastPrinted>2019-02-08T20:57:00Z</cp:lastPrinted>
  <dcterms:created xsi:type="dcterms:W3CDTF">2019-05-31T14:07:00Z</dcterms:created>
  <dcterms:modified xsi:type="dcterms:W3CDTF">2019-05-31T14:07:00Z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