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19" w:rsidRPr="00DB3F2F" w:rsidRDefault="002C031D">
      <w:pPr>
        <w:widowControl/>
        <w:tabs>
          <w:tab w:val="center" w:pos="4680"/>
        </w:tabs>
        <w:jc w:val="center"/>
        <w:rPr>
          <w:rFonts w:ascii="Times New Roman" w:hAnsi="Times New Roman"/>
          <w:color w:val="000000"/>
        </w:rPr>
      </w:pPr>
      <w:bookmarkStart w:id="0" w:name="_GoBack"/>
      <w:bookmarkEnd w:id="0"/>
      <w:r w:rsidRPr="00DB3F2F">
        <w:rPr>
          <w:rFonts w:ascii="Times New Roman" w:hAnsi="Times New Roman"/>
          <w:color w:val="000000"/>
        </w:rPr>
        <w:t>SUPPORTING STATEMENT</w:t>
      </w:r>
    </w:p>
    <w:p w:rsidR="00927719" w:rsidRPr="00DB3F2F"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National Survey of Unbanked and Underbanked Households</w:t>
      </w:r>
    </w:p>
    <w:p w:rsidR="00927719" w:rsidRPr="00DB3F2F" w:rsidRDefault="002C031D">
      <w:pPr>
        <w:widowControl/>
        <w:tabs>
          <w:tab w:val="center" w:pos="4680"/>
        </w:tabs>
        <w:jc w:val="center"/>
        <w:rPr>
          <w:rFonts w:ascii="Times New Roman" w:hAnsi="Times New Roman"/>
          <w:color w:val="000000"/>
        </w:rPr>
      </w:pPr>
      <w:r w:rsidRPr="00DB3F2F">
        <w:rPr>
          <w:rFonts w:ascii="Times New Roman" w:hAnsi="Times New Roman"/>
          <w:color w:val="000000"/>
        </w:rPr>
        <w:t>3064-0167</w:t>
      </w:r>
    </w:p>
    <w:p w:rsidR="00927719" w:rsidRPr="00DB3F2F" w:rsidRDefault="00927719">
      <w:pPr>
        <w:widowControl/>
        <w:rPr>
          <w:rFonts w:ascii="Times New Roman" w:hAnsi="Times New Roman"/>
          <w:color w:val="000000"/>
        </w:rPr>
      </w:pPr>
    </w:p>
    <w:p w:rsidR="00927719" w:rsidRPr="00DB3F2F" w:rsidRDefault="002C031D">
      <w:pPr>
        <w:widowControl/>
        <w:rPr>
          <w:rFonts w:ascii="Times New Roman" w:hAnsi="Times New Roman"/>
          <w:color w:val="000000"/>
        </w:rPr>
      </w:pPr>
      <w:r w:rsidRPr="00DB3F2F">
        <w:rPr>
          <w:rFonts w:ascii="Times New Roman" w:hAnsi="Times New Roman"/>
          <w:color w:val="000000"/>
        </w:rPr>
        <w:t xml:space="preserve">The Federal Deposit Insurance Corporation (FDIC) is requesting approval from the Office of Management and Budget (OMB) to revise its National Survey of Unbanked and Underbanked Households (“Household Survey”), which is administered as a supplement to the </w:t>
      </w:r>
      <w:r w:rsidR="0028779F" w:rsidRPr="00DB3F2F">
        <w:rPr>
          <w:rFonts w:ascii="Times New Roman" w:hAnsi="Times New Roman"/>
          <w:color w:val="000000"/>
        </w:rPr>
        <w:t xml:space="preserve">U.S. Census </w:t>
      </w:r>
      <w:r w:rsidRPr="00DB3F2F">
        <w:rPr>
          <w:rFonts w:ascii="Times New Roman" w:hAnsi="Times New Roman"/>
          <w:color w:val="000000"/>
        </w:rPr>
        <w:t>Bureau</w:t>
      </w:r>
      <w:r w:rsidR="0028779F" w:rsidRPr="00DB3F2F">
        <w:rPr>
          <w:rFonts w:ascii="Times New Roman" w:hAnsi="Times New Roman"/>
          <w:color w:val="000000"/>
        </w:rPr>
        <w:t>’s</w:t>
      </w:r>
      <w:r w:rsidRPr="00DB3F2F">
        <w:rPr>
          <w:rFonts w:ascii="Times New Roman" w:hAnsi="Times New Roman"/>
          <w:color w:val="000000"/>
        </w:rPr>
        <w:t xml:space="preserve"> Current Population Survey (CPS).  The survey is </w:t>
      </w:r>
      <w:r w:rsidR="00A770AC" w:rsidRPr="00DB3F2F">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 and collects basic data about individuals who do not have an account at a bank or credit union (the “unbanked”) and individuals who have a deposit account but also rely on alternative, non-bank financial service providers (such as check cashing firms) for transaction or credit services.  Respondents to the survey are classified as unbanked based on their responses to the survey questions.  When paired with answers to </w:t>
      </w:r>
      <w:r w:rsidR="00A770AC" w:rsidRPr="00DB3F2F">
        <w:rPr>
          <w:rFonts w:ascii="Times New Roman" w:hAnsi="Times New Roman"/>
          <w:color w:val="000000"/>
        </w:rPr>
        <w:t xml:space="preserve">household characteristics </w:t>
      </w:r>
      <w:r w:rsidRPr="00DB3F2F">
        <w:rPr>
          <w:rFonts w:ascii="Times New Roman" w:hAnsi="Times New Roman"/>
          <w:color w:val="000000"/>
        </w:rPr>
        <w:t xml:space="preserve">questions in the CPS, the survey provides an estimate of the numerical and financial size of the unbanked market in the United States.  The Household Survey is the </w:t>
      </w:r>
      <w:r w:rsidR="00A770AC" w:rsidRPr="00DB3F2F">
        <w:rPr>
          <w:rFonts w:ascii="Times New Roman" w:hAnsi="Times New Roman"/>
          <w:color w:val="000000"/>
        </w:rPr>
        <w:t xml:space="preserve">only </w:t>
      </w:r>
      <w:r w:rsidRPr="00DB3F2F">
        <w:rPr>
          <w:rFonts w:ascii="Times New Roman" w:hAnsi="Times New Roman"/>
          <w:color w:val="000000"/>
        </w:rPr>
        <w:t xml:space="preserve">nationally- and </w:t>
      </w:r>
      <w:r w:rsidR="00A770AC" w:rsidRPr="00DB3F2F">
        <w:rPr>
          <w:rFonts w:ascii="Times New Roman" w:hAnsi="Times New Roman"/>
          <w:color w:val="000000"/>
        </w:rPr>
        <w:t>state</w:t>
      </w:r>
      <w:r w:rsidRPr="00DB3F2F">
        <w:rPr>
          <w:rFonts w:ascii="Times New Roman" w:hAnsi="Times New Roman"/>
          <w:color w:val="000000"/>
        </w:rPr>
        <w:t xml:space="preserve">-representative survey of this type for the United States.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rPr>
          <w:rFonts w:ascii="Times New Roman" w:hAnsi="Times New Roman"/>
          <w:color w:val="000000"/>
        </w:rPr>
      </w:pPr>
      <w:r w:rsidRPr="00DB3F2F">
        <w:rPr>
          <w:rFonts w:ascii="Times New Roman" w:hAnsi="Times New Roman"/>
          <w:color w:val="000000"/>
        </w:rPr>
        <w:t>A.</w:t>
      </w:r>
      <w:r w:rsidRPr="00DB3F2F">
        <w:rPr>
          <w:rFonts w:ascii="Times New Roman" w:hAnsi="Times New Roman"/>
          <w:color w:val="000000"/>
        </w:rPr>
        <w:tab/>
      </w:r>
      <w:r w:rsidRPr="00DB3F2F">
        <w:rPr>
          <w:rFonts w:ascii="Times New Roman" w:hAnsi="Times New Roman"/>
          <w:color w:val="000000"/>
          <w:u w:val="single"/>
        </w:rPr>
        <w:t>JUSTIFICATION</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numPr>
          <w:ilvl w:val="0"/>
          <w:numId w:val="7"/>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Circumstances and Need</w:t>
      </w:r>
    </w:p>
    <w:p w:rsidR="00927719" w:rsidRPr="00DB3F2F" w:rsidRDefault="00927719">
      <w:pPr>
        <w:widowControl/>
        <w:tabs>
          <w:tab w:val="left" w:pos="432"/>
          <w:tab w:val="left" w:pos="1296"/>
          <w:tab w:val="left" w:pos="1728"/>
          <w:tab w:val="left" w:pos="4176"/>
        </w:tabs>
        <w:ind w:left="1287"/>
        <w:rPr>
          <w:rFonts w:ascii="Times New Roman" w:hAnsi="Times New Roman"/>
          <w:color w:val="000000"/>
          <w:szCs w:val="24"/>
        </w:rPr>
      </w:pPr>
    </w:p>
    <w:p w:rsidR="00A770AC" w:rsidRPr="00DB3F2F" w:rsidRDefault="002C031D">
      <w:pPr>
        <w:widowControl/>
        <w:ind w:left="1282"/>
        <w:rPr>
          <w:rFonts w:ascii="Times New Roman" w:hAnsi="Times New Roman"/>
          <w:color w:val="000000"/>
        </w:rPr>
      </w:pPr>
      <w:r w:rsidRPr="00DB3F2F">
        <w:rPr>
          <w:rFonts w:ascii="Times New Roman" w:hAnsi="Times New Roman"/>
          <w:color w:val="000000"/>
        </w:rPr>
        <w:t xml:space="preserve">The Federal Deposit Insurance Corporation (FDIC) </w:t>
      </w:r>
      <w:r w:rsidR="00A770AC" w:rsidRPr="00DB3F2F">
        <w:rPr>
          <w:rFonts w:ascii="Times New Roman" w:hAnsi="Times New Roman"/>
          <w:color w:val="000000"/>
        </w:rPr>
        <w:t>recognizes that public confidence in the banking system is strengthened when banks effectively serve the broadest possible set of consumers.  As a result, the agency is committed to increasing the participation of unbanked and underbanked households in the financial mainstream by ensuring that all Americans have access to safe, secure, and affordable banking services.  The Household Survey is one contribution to this end.</w:t>
      </w:r>
    </w:p>
    <w:p w:rsidR="00A770AC" w:rsidRPr="00DB3F2F" w:rsidRDefault="00A770AC">
      <w:pPr>
        <w:widowControl/>
        <w:ind w:left="1282"/>
        <w:rPr>
          <w:rFonts w:ascii="Times New Roman" w:hAnsi="Times New Roman"/>
          <w:color w:val="000000"/>
        </w:rPr>
      </w:pPr>
    </w:p>
    <w:p w:rsidR="008650D4" w:rsidRPr="00DB3F2F" w:rsidRDefault="00A770AC">
      <w:pPr>
        <w:widowControl/>
        <w:ind w:left="1282"/>
        <w:rPr>
          <w:rFonts w:ascii="Times New Roman" w:hAnsi="Times New Roman"/>
          <w:color w:val="000000"/>
        </w:rPr>
      </w:pPr>
      <w:r w:rsidRPr="00DB3F2F">
        <w:rPr>
          <w:rFonts w:ascii="Times New Roman" w:hAnsi="Times New Roman"/>
          <w:color w:val="000000"/>
        </w:rPr>
        <w:t xml:space="preserve">The FDIC </w:t>
      </w:r>
      <w:r w:rsidR="00AE6755" w:rsidRPr="00DB3F2F">
        <w:rPr>
          <w:rFonts w:ascii="Times New Roman" w:hAnsi="Times New Roman"/>
          <w:color w:val="000000"/>
        </w:rPr>
        <w:t xml:space="preserve">has administered the Household Survey approximately every two years as a supplement to the CPS since January 2009.  The FDIC </w:t>
      </w:r>
      <w:r w:rsidR="002C031D" w:rsidRPr="00DB3F2F">
        <w:rPr>
          <w:rFonts w:ascii="Times New Roman" w:hAnsi="Times New Roman"/>
          <w:color w:val="000000"/>
        </w:rPr>
        <w:t>is requesting approval from OMB to revise the Household Survey instrument</w:t>
      </w:r>
      <w:r w:rsidR="00AE6755" w:rsidRPr="00DB3F2F">
        <w:rPr>
          <w:rFonts w:ascii="Times New Roman" w:hAnsi="Times New Roman"/>
          <w:color w:val="000000"/>
        </w:rPr>
        <w:t xml:space="preserve"> </w:t>
      </w:r>
      <w:r w:rsidR="002C031D" w:rsidRPr="00DB3F2F">
        <w:rPr>
          <w:rFonts w:ascii="Times New Roman" w:hAnsi="Times New Roman"/>
          <w:color w:val="000000"/>
        </w:rPr>
        <w:t xml:space="preserve">scheduled to be administered </w:t>
      </w:r>
      <w:r w:rsidR="00AE6755" w:rsidRPr="00DB3F2F">
        <w:rPr>
          <w:rFonts w:ascii="Times New Roman" w:hAnsi="Times New Roman"/>
          <w:color w:val="000000"/>
        </w:rPr>
        <w:t>as part of the</w:t>
      </w:r>
      <w:r w:rsidR="002C031D" w:rsidRPr="00DB3F2F">
        <w:rPr>
          <w:rFonts w:ascii="Times New Roman" w:hAnsi="Times New Roman"/>
          <w:color w:val="000000"/>
        </w:rPr>
        <w:t xml:space="preserve"> June </w:t>
      </w:r>
      <w:r w:rsidR="00AA5689" w:rsidRPr="00DB3F2F">
        <w:rPr>
          <w:rFonts w:ascii="Times New Roman" w:hAnsi="Times New Roman"/>
          <w:color w:val="000000"/>
        </w:rPr>
        <w:t>201</w:t>
      </w:r>
      <w:r w:rsidR="00AA5689">
        <w:rPr>
          <w:rFonts w:ascii="Times New Roman" w:hAnsi="Times New Roman"/>
          <w:color w:val="000000"/>
        </w:rPr>
        <w:t>9</w:t>
      </w:r>
      <w:r w:rsidR="00AA5689" w:rsidRPr="00DB3F2F">
        <w:rPr>
          <w:rFonts w:ascii="Times New Roman" w:hAnsi="Times New Roman"/>
          <w:color w:val="000000"/>
        </w:rPr>
        <w:t xml:space="preserve"> </w:t>
      </w:r>
      <w:r w:rsidR="002C031D" w:rsidRPr="00DB3F2F">
        <w:rPr>
          <w:rFonts w:ascii="Times New Roman" w:hAnsi="Times New Roman"/>
          <w:color w:val="000000"/>
        </w:rPr>
        <w:t xml:space="preserve">CPS.  </w:t>
      </w:r>
    </w:p>
    <w:p w:rsidR="008650D4" w:rsidRPr="00DB3F2F" w:rsidRDefault="008650D4">
      <w:pPr>
        <w:widowControl/>
        <w:ind w:left="1282"/>
        <w:rPr>
          <w:rFonts w:ascii="Times New Roman" w:hAnsi="Times New Roman"/>
          <w:color w:val="000000"/>
        </w:rPr>
      </w:pPr>
    </w:p>
    <w:p w:rsidR="00927719" w:rsidRPr="00DB3F2F" w:rsidRDefault="002C031D">
      <w:pPr>
        <w:widowControl/>
        <w:ind w:left="1282"/>
        <w:rPr>
          <w:rFonts w:ascii="Times New Roman" w:hAnsi="Times New Roman"/>
          <w:color w:val="000000"/>
        </w:rPr>
      </w:pPr>
      <w:r w:rsidRPr="00DB3F2F">
        <w:rPr>
          <w:rFonts w:ascii="Times New Roman" w:hAnsi="Times New Roman"/>
          <w:color w:val="000000"/>
        </w:rPr>
        <w:t xml:space="preserve">The </w:t>
      </w:r>
      <w:r w:rsidR="008650D4" w:rsidRPr="00DB3F2F">
        <w:rPr>
          <w:rFonts w:ascii="Times New Roman" w:hAnsi="Times New Roman"/>
          <w:color w:val="000000"/>
        </w:rPr>
        <w:t>Household S</w:t>
      </w:r>
      <w:r w:rsidRPr="00DB3F2F">
        <w:rPr>
          <w:rFonts w:ascii="Times New Roman" w:hAnsi="Times New Roman"/>
          <w:color w:val="000000"/>
        </w:rPr>
        <w:t xml:space="preserve">urvey is </w:t>
      </w:r>
      <w:r w:rsidR="008650D4" w:rsidRPr="00DB3F2F">
        <w:rPr>
          <w:rFonts w:ascii="Times New Roman" w:hAnsi="Times New Roman"/>
          <w:color w:val="000000"/>
        </w:rPr>
        <w:t xml:space="preserve">also </w:t>
      </w:r>
      <w:r w:rsidR="00A770AC" w:rsidRPr="00DB3F2F">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 contained in section 7 of the Federal Deposit Insurance Reform Conforming Amendments Act of 2005 (“the Act”), Pub. L. 109-173, which requires the FDIC to conduct ongoing surveys on “efforts by insured financial institutions to bring those individuals and families who have rarely, if ever, held a checking account, a savings account, or other type of transaction or check cashing account at an insured depository institution (the “unbanked”) into the conventional finance system.”  The mandate further requires the FDIC to estimate the size and worth of the unbanked market in the United States and to identify the cultural, language and identification issues and transaction costs that prevent unbanked individuals from establishing conventional accounts.  </w:t>
      </w:r>
    </w:p>
    <w:p w:rsidR="00927719" w:rsidRPr="00DB3F2F" w:rsidRDefault="00927719">
      <w:pPr>
        <w:widowControl/>
        <w:ind w:left="1282"/>
        <w:rPr>
          <w:rFonts w:ascii="Times New Roman" w:hAnsi="Times New Roman"/>
          <w:color w:val="000000"/>
        </w:rPr>
      </w:pPr>
    </w:p>
    <w:p w:rsidR="00292943" w:rsidRPr="00DB3F2F" w:rsidRDefault="00292943" w:rsidP="00292943">
      <w:pPr>
        <w:widowControl/>
        <w:ind w:left="1282"/>
        <w:rPr>
          <w:rFonts w:ascii="Times New Roman" w:hAnsi="Times New Roman"/>
          <w:color w:val="000000"/>
        </w:rPr>
      </w:pPr>
      <w:r w:rsidRPr="00DB3F2F">
        <w:rPr>
          <w:rFonts w:ascii="Times New Roman" w:hAnsi="Times New Roman"/>
          <w:color w:val="000000"/>
        </w:rPr>
        <w:lastRenderedPageBreak/>
        <w:t>To obtain this information, the FDIC partnered with the U.S. Census Bureau, which administered the Household Survey supplement</w:t>
      </w:r>
      <w:r w:rsidR="00AA5689">
        <w:rPr>
          <w:rFonts w:ascii="Times New Roman" w:hAnsi="Times New Roman"/>
          <w:color w:val="000000"/>
        </w:rPr>
        <w:t xml:space="preserve"> every two years since 2009 </w:t>
      </w:r>
      <w:r w:rsidRPr="00DB3F2F">
        <w:rPr>
          <w:rFonts w:ascii="Times New Roman" w:hAnsi="Times New Roman"/>
          <w:color w:val="000000"/>
        </w:rPr>
        <w:t xml:space="preserve"> to households that participated in the CPS. The results of these surveys were released to the public</w:t>
      </w:r>
      <w:r w:rsidR="00AA5689">
        <w:rPr>
          <w:rFonts w:ascii="Times New Roman" w:hAnsi="Times New Roman"/>
          <w:color w:val="000000"/>
        </w:rPr>
        <w:t xml:space="preserve"> and</w:t>
      </w:r>
      <w:r w:rsidR="00AA5689" w:rsidRPr="00AA5689">
        <w:rPr>
          <w:rFonts w:ascii="Times New Roman" w:hAnsi="Times New Roman"/>
          <w:color w:val="000000"/>
        </w:rPr>
        <w:t xml:space="preserve"> can be accessed through the following link: http://www.economicinclusion.gov/surveys/.</w:t>
      </w:r>
      <w:r w:rsidRPr="00DB3F2F">
        <w:rPr>
          <w:rFonts w:ascii="Times New Roman" w:hAnsi="Times New Roman"/>
          <w:color w:val="000000"/>
        </w:rPr>
        <w:t xml:space="preserve">  </w:t>
      </w:r>
    </w:p>
    <w:p w:rsidR="00292943" w:rsidRPr="00DB3F2F" w:rsidRDefault="00292943" w:rsidP="00292943">
      <w:pPr>
        <w:widowControl/>
        <w:ind w:left="1282"/>
        <w:rPr>
          <w:rFonts w:ascii="Times New Roman" w:hAnsi="Times New Roman"/>
          <w:color w:val="000000"/>
        </w:rPr>
      </w:pPr>
    </w:p>
    <w:p w:rsidR="00927719" w:rsidRPr="00DB3F2F" w:rsidRDefault="00292943" w:rsidP="00292943">
      <w:pPr>
        <w:widowControl/>
        <w:ind w:left="1282"/>
        <w:rPr>
          <w:rFonts w:ascii="Times New Roman" w:hAnsi="Times New Roman"/>
          <w:color w:val="000000"/>
        </w:rPr>
      </w:pPr>
      <w:r w:rsidRPr="00DB3F2F">
        <w:rPr>
          <w:rFonts w:ascii="Times New Roman" w:hAnsi="Times New Roman"/>
          <w:color w:val="000000"/>
        </w:rPr>
        <w:t xml:space="preserve">The </w:t>
      </w:r>
      <w:r w:rsidR="008650D4" w:rsidRPr="00DB3F2F">
        <w:rPr>
          <w:rFonts w:ascii="Times New Roman" w:hAnsi="Times New Roman"/>
          <w:color w:val="000000"/>
        </w:rPr>
        <w:t>Household Survey</w:t>
      </w:r>
      <w:r w:rsidRPr="00DB3F2F">
        <w:rPr>
          <w:rFonts w:ascii="Times New Roman" w:hAnsi="Times New Roman"/>
          <w:color w:val="000000"/>
        </w:rPr>
        <w:t xml:space="preserve"> has yielded nationally-representative data, not otherwise available, on the size and characteristics of the population that is unbanked or underbanked, the use by this population of alternative financial services</w:t>
      </w:r>
      <w:r w:rsidR="002D16C7" w:rsidRPr="00DB3F2F">
        <w:rPr>
          <w:rFonts w:ascii="Times New Roman" w:hAnsi="Times New Roman"/>
          <w:color w:val="000000"/>
        </w:rPr>
        <w:t xml:space="preserve"> (AFS)</w:t>
      </w:r>
      <w:r w:rsidRPr="00DB3F2F">
        <w:rPr>
          <w:rFonts w:ascii="Times New Roman" w:hAnsi="Times New Roman"/>
          <w:color w:val="000000"/>
        </w:rPr>
        <w:t>, and the reasons why some households do not make greater use of mainstream banking services.  The Household</w:t>
      </w:r>
      <w:r w:rsidR="008650D4" w:rsidRPr="00DB3F2F">
        <w:rPr>
          <w:rFonts w:ascii="Times New Roman" w:hAnsi="Times New Roman"/>
          <w:color w:val="000000"/>
        </w:rPr>
        <w:t xml:space="preserve"> Survey</w:t>
      </w:r>
      <w:r w:rsidRPr="00DB3F2F">
        <w:rPr>
          <w:rFonts w:ascii="Times New Roman" w:hAnsi="Times New Roman"/>
          <w:color w:val="000000"/>
        </w:rPr>
        <w:t xml:space="preserve"> is the only population-representative survey conducted at the national level that provides state-level estimates of the size and characteristics of unbanked and underbanked households for all 50 states and the District of Columbia.  An executive summary of the results of the </w:t>
      </w:r>
      <w:r w:rsidR="00EB64F4">
        <w:rPr>
          <w:rFonts w:ascii="Times New Roman" w:hAnsi="Times New Roman"/>
          <w:color w:val="000000"/>
        </w:rPr>
        <w:t>previous</w:t>
      </w:r>
      <w:r w:rsidRPr="00DB3F2F">
        <w:rPr>
          <w:rFonts w:ascii="Times New Roman" w:hAnsi="Times New Roman"/>
          <w:color w:val="000000"/>
        </w:rPr>
        <w:t xml:space="preserve"> Household Surveys, the full reports, and the survey instruments</w:t>
      </w:r>
      <w:r w:rsidR="00BD64C0">
        <w:rPr>
          <w:rFonts w:ascii="Times New Roman" w:hAnsi="Times New Roman"/>
          <w:color w:val="000000"/>
        </w:rPr>
        <w:t xml:space="preserve"> are also available throught the link</w:t>
      </w:r>
      <w:r w:rsidRPr="00DB3F2F">
        <w:rPr>
          <w:rFonts w:ascii="Times New Roman" w:hAnsi="Times New Roman"/>
          <w:color w:val="000000"/>
        </w:rPr>
        <w:t xml:space="preserve">: http://www.economicinclusion.gov/surveys/.  </w:t>
      </w:r>
    </w:p>
    <w:p w:rsidR="00927719" w:rsidRPr="00DB3F2F" w:rsidRDefault="00927719">
      <w:pPr>
        <w:widowControl/>
        <w:ind w:left="1282"/>
        <w:rPr>
          <w:rFonts w:ascii="Times New Roman" w:hAnsi="Times New Roman"/>
          <w:color w:val="000000"/>
        </w:rPr>
      </w:pPr>
    </w:p>
    <w:p w:rsidR="00246D87" w:rsidRPr="00DB3F2F" w:rsidRDefault="00246D87" w:rsidP="00862786">
      <w:pPr>
        <w:ind w:left="1260"/>
        <w:rPr>
          <w:rFonts w:ascii="Times New Roman" w:hAnsi="Times New Roman"/>
          <w:color w:val="000000"/>
        </w:rPr>
      </w:pPr>
      <w:r w:rsidRPr="00DB3F2F">
        <w:rPr>
          <w:rFonts w:ascii="Times New Roman" w:hAnsi="Times New Roman"/>
          <w:color w:val="000000"/>
        </w:rPr>
        <w:t>Based on past survey experience</w:t>
      </w:r>
      <w:r w:rsidR="00D674FE" w:rsidRPr="00DB3F2F">
        <w:rPr>
          <w:rFonts w:ascii="Times New Roman" w:hAnsi="Times New Roman"/>
          <w:color w:val="000000"/>
        </w:rPr>
        <w:t>,</w:t>
      </w:r>
      <w:r w:rsidRPr="00DB3F2F">
        <w:rPr>
          <w:rFonts w:ascii="Times New Roman" w:hAnsi="Times New Roman"/>
          <w:color w:val="000000"/>
        </w:rPr>
        <w:t xml:space="preserve"> feedback received in response to th</w:t>
      </w:r>
      <w:r w:rsidR="00BD64C0">
        <w:rPr>
          <w:rFonts w:ascii="Times New Roman" w:hAnsi="Times New Roman"/>
          <w:color w:val="000000"/>
        </w:rPr>
        <w:t>e on going</w:t>
      </w:r>
      <w:r w:rsidR="00B170B4" w:rsidRPr="00DB3F2F">
        <w:rPr>
          <w:rFonts w:ascii="Times New Roman" w:hAnsi="Times New Roman"/>
          <w:color w:val="000000"/>
        </w:rPr>
        <w:t xml:space="preserve"> </w:t>
      </w:r>
      <w:r w:rsidRPr="00DB3F2F">
        <w:rPr>
          <w:rFonts w:ascii="Times New Roman" w:hAnsi="Times New Roman"/>
          <w:color w:val="000000"/>
        </w:rPr>
        <w:t>survey</w:t>
      </w:r>
      <w:r w:rsidR="00BD64C0">
        <w:rPr>
          <w:rFonts w:ascii="Times New Roman" w:hAnsi="Times New Roman"/>
          <w:color w:val="000000"/>
        </w:rPr>
        <w:t xml:space="preserve"> effort</w:t>
      </w:r>
      <w:r w:rsidR="00D674FE" w:rsidRPr="00DB3F2F">
        <w:rPr>
          <w:rFonts w:ascii="Times New Roman" w:hAnsi="Times New Roman"/>
          <w:color w:val="000000"/>
        </w:rPr>
        <w:t>,</w:t>
      </w:r>
      <w:r w:rsidRPr="00DB3F2F">
        <w:rPr>
          <w:rFonts w:ascii="Times New Roman" w:hAnsi="Times New Roman"/>
          <w:color w:val="000000"/>
        </w:rPr>
        <w:t xml:space="preserve"> </w:t>
      </w:r>
      <w:r w:rsidR="00AE6755" w:rsidRPr="00DB3F2F">
        <w:rPr>
          <w:rFonts w:ascii="Times New Roman" w:hAnsi="Times New Roman"/>
          <w:color w:val="000000"/>
        </w:rPr>
        <w:t xml:space="preserve">and </w:t>
      </w:r>
      <w:r w:rsidR="00D674FE" w:rsidRPr="00DB3F2F">
        <w:rPr>
          <w:rFonts w:ascii="Times New Roman" w:hAnsi="Times New Roman"/>
          <w:color w:val="000000"/>
        </w:rPr>
        <w:t xml:space="preserve">recent </w:t>
      </w:r>
      <w:r w:rsidR="00BD64C0">
        <w:rPr>
          <w:rFonts w:ascii="Times New Roman" w:hAnsi="Times New Roman"/>
          <w:color w:val="000000"/>
        </w:rPr>
        <w:t>econom</w:t>
      </w:r>
      <w:r w:rsidR="00BD64C0" w:rsidRPr="007E34F7">
        <w:rPr>
          <w:rFonts w:ascii="Times New Roman" w:hAnsi="Times New Roman"/>
          <w:color w:val="000000"/>
        </w:rPr>
        <w:t xml:space="preserve">ic inclusion </w:t>
      </w:r>
      <w:r w:rsidR="00AE6755" w:rsidRPr="004F02E1">
        <w:rPr>
          <w:rFonts w:ascii="Times New Roman" w:hAnsi="Times New Roman"/>
          <w:color w:val="000000"/>
        </w:rPr>
        <w:t>research</w:t>
      </w:r>
      <w:r w:rsidRPr="007E34F7">
        <w:rPr>
          <w:rFonts w:ascii="Times New Roman" w:hAnsi="Times New Roman"/>
          <w:color w:val="000000"/>
        </w:rPr>
        <w:t xml:space="preserve">, the FDIC has </w:t>
      </w:r>
      <w:r w:rsidR="00D674FE" w:rsidRPr="007E34F7">
        <w:rPr>
          <w:rFonts w:ascii="Times New Roman" w:hAnsi="Times New Roman"/>
          <w:color w:val="000000"/>
        </w:rPr>
        <w:t xml:space="preserve">revised the Household Survey for </w:t>
      </w:r>
      <w:r w:rsidR="00BD64C0" w:rsidRPr="007E34F7">
        <w:rPr>
          <w:rFonts w:ascii="Times New Roman" w:hAnsi="Times New Roman"/>
          <w:color w:val="000000"/>
        </w:rPr>
        <w:t>2019</w:t>
      </w:r>
      <w:r w:rsidR="00D674FE" w:rsidRPr="007E34F7">
        <w:rPr>
          <w:rFonts w:ascii="Times New Roman" w:hAnsi="Times New Roman"/>
          <w:color w:val="000000"/>
        </w:rPr>
        <w:t>.  The revisions preserve</w:t>
      </w:r>
      <w:r w:rsidR="00BD64C0" w:rsidRPr="007E34F7">
        <w:rPr>
          <w:rFonts w:ascii="Times New Roman" w:hAnsi="Times New Roman"/>
          <w:color w:val="000000"/>
        </w:rPr>
        <w:t xml:space="preserve"> many </w:t>
      </w:r>
      <w:r w:rsidR="00D674FE" w:rsidRPr="007E34F7">
        <w:rPr>
          <w:rFonts w:ascii="Times New Roman" w:hAnsi="Times New Roman"/>
          <w:color w:val="000000"/>
        </w:rPr>
        <w:t xml:space="preserve">elements of </w:t>
      </w:r>
      <w:r w:rsidR="00316617" w:rsidRPr="007E34F7">
        <w:rPr>
          <w:rFonts w:ascii="Times New Roman" w:hAnsi="Times New Roman"/>
          <w:color w:val="000000"/>
        </w:rPr>
        <w:t xml:space="preserve"> </w:t>
      </w:r>
      <w:r w:rsidR="00BD64C0" w:rsidRPr="007E34F7">
        <w:rPr>
          <w:rFonts w:ascii="Times New Roman" w:hAnsi="Times New Roman"/>
          <w:color w:val="000000"/>
        </w:rPr>
        <w:t>past</w:t>
      </w:r>
      <w:r w:rsidR="00B170B4" w:rsidRPr="007E34F7">
        <w:rPr>
          <w:rFonts w:ascii="Times New Roman" w:hAnsi="Times New Roman"/>
          <w:color w:val="000000"/>
        </w:rPr>
        <w:t xml:space="preserve"> </w:t>
      </w:r>
      <w:r w:rsidR="00D674FE" w:rsidRPr="007E34F7">
        <w:rPr>
          <w:rFonts w:ascii="Times New Roman" w:hAnsi="Times New Roman"/>
          <w:color w:val="000000"/>
        </w:rPr>
        <w:t>survey</w:t>
      </w:r>
      <w:r w:rsidR="00BD64C0" w:rsidRPr="007E34F7">
        <w:rPr>
          <w:rFonts w:ascii="Times New Roman" w:hAnsi="Times New Roman"/>
          <w:color w:val="000000"/>
        </w:rPr>
        <w:t xml:space="preserve"> questionnaires</w:t>
      </w:r>
      <w:r w:rsidR="0065339F">
        <w:rPr>
          <w:rFonts w:ascii="Times New Roman" w:hAnsi="Times New Roman"/>
          <w:color w:val="000000"/>
        </w:rPr>
        <w:t xml:space="preserve"> </w:t>
      </w:r>
      <w:r w:rsidR="00092B62">
        <w:rPr>
          <w:rFonts w:ascii="Times New Roman" w:hAnsi="Times New Roman"/>
          <w:color w:val="000000"/>
        </w:rPr>
        <w:t xml:space="preserve">and help meet </w:t>
      </w:r>
      <w:r w:rsidR="0065339F">
        <w:rPr>
          <w:rFonts w:ascii="Times New Roman" w:hAnsi="Times New Roman"/>
          <w:color w:val="000000"/>
        </w:rPr>
        <w:t xml:space="preserve">the objective </w:t>
      </w:r>
      <w:r w:rsidR="0065339F" w:rsidRPr="00862786">
        <w:rPr>
          <w:rFonts w:ascii="Times New Roman" w:hAnsi="Times New Roman"/>
          <w:color w:val="000000"/>
        </w:rPr>
        <w:t xml:space="preserve">of </w:t>
      </w:r>
      <w:r w:rsidR="00862786">
        <w:rPr>
          <w:rFonts w:ascii="Times New Roman" w:hAnsi="Times New Roman"/>
          <w:color w:val="000000"/>
        </w:rPr>
        <w:t xml:space="preserve">assessing the </w:t>
      </w:r>
      <w:r w:rsidR="00862786" w:rsidRPr="004D208D">
        <w:rPr>
          <w:rFonts w:ascii="Times New Roman" w:hAnsi="Times New Roman"/>
          <w:szCs w:val="24"/>
        </w:rPr>
        <w:t xml:space="preserve">accessibility and sustainability of </w:t>
      </w:r>
      <w:r w:rsidR="00862786">
        <w:rPr>
          <w:rFonts w:ascii="Times New Roman" w:hAnsi="Times New Roman"/>
          <w:szCs w:val="24"/>
        </w:rPr>
        <w:t xml:space="preserve">account-based </w:t>
      </w:r>
      <w:r w:rsidR="00862786" w:rsidRPr="004D208D">
        <w:rPr>
          <w:rFonts w:ascii="Times New Roman" w:hAnsi="Times New Roman"/>
          <w:szCs w:val="24"/>
        </w:rPr>
        <w:t>banking relationships</w:t>
      </w:r>
      <w:r w:rsidR="00A00C1F" w:rsidRPr="00441A1B">
        <w:rPr>
          <w:rFonts w:ascii="Times New Roman" w:hAnsi="Times New Roman"/>
          <w:color w:val="000000"/>
        </w:rPr>
        <w:t>. The survey continues to capture information about household use of an array of transaction and credit products from bank and non</w:t>
      </w:r>
      <w:r w:rsidR="0065339F">
        <w:rPr>
          <w:rFonts w:ascii="Times New Roman" w:hAnsi="Times New Roman"/>
          <w:color w:val="000000"/>
        </w:rPr>
        <w:t>-</w:t>
      </w:r>
      <w:r w:rsidR="00A00C1F" w:rsidRPr="00441A1B">
        <w:rPr>
          <w:rFonts w:ascii="Times New Roman" w:hAnsi="Times New Roman"/>
          <w:color w:val="000000"/>
        </w:rPr>
        <w:t>bank providers.</w:t>
      </w:r>
      <w:r w:rsidR="004F02E1">
        <w:rPr>
          <w:rFonts w:ascii="Times New Roman" w:hAnsi="Times New Roman"/>
          <w:color w:val="000000"/>
        </w:rPr>
        <w:t xml:space="preserve"> For households with bank accounts, the survey also asks about t</w:t>
      </w:r>
      <w:r w:rsidR="00A00C1F" w:rsidRPr="00441A1B">
        <w:rPr>
          <w:rFonts w:ascii="Times New Roman" w:hAnsi="Times New Roman"/>
          <w:color w:val="000000"/>
        </w:rPr>
        <w:t xml:space="preserve">he banking channels consumers use to access their account, including </w:t>
      </w:r>
      <w:r w:rsidR="004F02E1">
        <w:rPr>
          <w:rFonts w:ascii="Times New Roman" w:hAnsi="Times New Roman"/>
          <w:color w:val="000000"/>
        </w:rPr>
        <w:t xml:space="preserve">mobile banking and </w:t>
      </w:r>
      <w:r w:rsidR="00A00C1F" w:rsidRPr="00441A1B">
        <w:rPr>
          <w:rFonts w:ascii="Times New Roman" w:hAnsi="Times New Roman"/>
          <w:color w:val="000000"/>
        </w:rPr>
        <w:t>bank branches.</w:t>
      </w:r>
      <w:r w:rsidR="004F02E1">
        <w:rPr>
          <w:rFonts w:ascii="Times New Roman" w:hAnsi="Times New Roman"/>
          <w:color w:val="000000"/>
        </w:rPr>
        <w:t xml:space="preserve"> </w:t>
      </w:r>
      <w:r w:rsidR="00A00C1F" w:rsidRPr="00441A1B">
        <w:rPr>
          <w:rFonts w:ascii="Times New Roman" w:hAnsi="Times New Roman"/>
          <w:color w:val="000000"/>
        </w:rPr>
        <w:t>The 2019 survey</w:t>
      </w:r>
      <w:r w:rsidR="00892C6F">
        <w:rPr>
          <w:rFonts w:ascii="Times New Roman" w:hAnsi="Times New Roman"/>
          <w:color w:val="000000"/>
        </w:rPr>
        <w:t xml:space="preserve"> introduces questions regarding the intensity of use of nonbank transaction services, and asks for the first time about the use of nonbank bill pay and person</w:t>
      </w:r>
      <w:r w:rsidR="0065339F">
        <w:rPr>
          <w:rFonts w:ascii="Times New Roman" w:hAnsi="Times New Roman"/>
          <w:color w:val="000000"/>
        </w:rPr>
        <w:t>-</w:t>
      </w:r>
      <w:r w:rsidR="00892C6F">
        <w:rPr>
          <w:rFonts w:ascii="Times New Roman" w:hAnsi="Times New Roman"/>
          <w:color w:val="000000"/>
        </w:rPr>
        <w:t>to</w:t>
      </w:r>
      <w:r w:rsidR="0065339F">
        <w:rPr>
          <w:rFonts w:ascii="Times New Roman" w:hAnsi="Times New Roman"/>
          <w:color w:val="000000"/>
        </w:rPr>
        <w:t>-</w:t>
      </w:r>
      <w:r w:rsidR="00892C6F">
        <w:rPr>
          <w:rFonts w:ascii="Times New Roman" w:hAnsi="Times New Roman"/>
          <w:color w:val="000000"/>
        </w:rPr>
        <w:t>person payment services.</w:t>
      </w:r>
      <w:r w:rsidR="00A00C1F" w:rsidRPr="00441A1B">
        <w:rPr>
          <w:rFonts w:ascii="Times New Roman" w:hAnsi="Times New Roman"/>
          <w:color w:val="000000"/>
        </w:rPr>
        <w:t xml:space="preserve"> </w:t>
      </w:r>
      <w:r w:rsidR="00D674FE" w:rsidRPr="004F02E1">
        <w:rPr>
          <w:rFonts w:ascii="Times New Roman" w:hAnsi="Times New Roman"/>
          <w:color w:val="000000"/>
        </w:rPr>
        <w:t xml:space="preserve"> </w:t>
      </w:r>
      <w:r w:rsidR="00892C6F">
        <w:rPr>
          <w:rFonts w:ascii="Times New Roman" w:hAnsi="Times New Roman"/>
          <w:color w:val="000000"/>
        </w:rPr>
        <w:t xml:space="preserve">Other </w:t>
      </w:r>
      <w:r w:rsidR="00E7163F" w:rsidRPr="00441A1B">
        <w:rPr>
          <w:rFonts w:ascii="Times New Roman" w:hAnsi="Times New Roman"/>
          <w:color w:val="000000"/>
        </w:rPr>
        <w:t xml:space="preserve">new questions focus on households’ </w:t>
      </w:r>
      <w:r w:rsidR="006C7D13">
        <w:rPr>
          <w:rFonts w:ascii="Times New Roman" w:hAnsi="Times New Roman"/>
          <w:color w:val="000000"/>
        </w:rPr>
        <w:t xml:space="preserve">general satisfaction with banking and their perceptions of </w:t>
      </w:r>
      <w:r w:rsidR="00892C6F">
        <w:rPr>
          <w:rFonts w:ascii="Times New Roman" w:hAnsi="Times New Roman"/>
          <w:color w:val="000000"/>
        </w:rPr>
        <w:t>fee transparency</w:t>
      </w:r>
      <w:r w:rsidR="00E7163F" w:rsidRPr="00441A1B">
        <w:rPr>
          <w:rFonts w:ascii="Times New Roman" w:hAnsi="Times New Roman"/>
          <w:color w:val="000000"/>
        </w:rPr>
        <w:t xml:space="preserve">. </w:t>
      </w:r>
      <w:r w:rsidR="00A00C1F" w:rsidRPr="00441A1B">
        <w:rPr>
          <w:rFonts w:ascii="Times New Roman" w:hAnsi="Times New Roman"/>
          <w:color w:val="000000"/>
        </w:rPr>
        <w:t xml:space="preserve">This information will help </w:t>
      </w:r>
      <w:r w:rsidR="00BD64C0" w:rsidRPr="004F02E1">
        <w:rPr>
          <w:rFonts w:ascii="Times New Roman" w:hAnsi="Times New Roman"/>
          <w:color w:val="000000"/>
        </w:rPr>
        <w:t>better</w:t>
      </w:r>
      <w:r w:rsidR="00316617" w:rsidRPr="004F02E1">
        <w:rPr>
          <w:rFonts w:ascii="Times New Roman" w:hAnsi="Times New Roman"/>
          <w:color w:val="000000"/>
        </w:rPr>
        <w:t xml:space="preserve"> </w:t>
      </w:r>
      <w:r w:rsidR="00E7163F" w:rsidRPr="00441A1B">
        <w:rPr>
          <w:rFonts w:ascii="Times New Roman" w:hAnsi="Times New Roman"/>
          <w:color w:val="000000"/>
        </w:rPr>
        <w:t>describe the b</w:t>
      </w:r>
      <w:r w:rsidR="00BD64C0" w:rsidRPr="007E34F7">
        <w:rPr>
          <w:rFonts w:ascii="Times New Roman" w:hAnsi="Times New Roman"/>
          <w:color w:val="000000"/>
        </w:rPr>
        <w:t>anking experience o</w:t>
      </w:r>
      <w:r w:rsidR="00BD64C0" w:rsidRPr="004F02E1">
        <w:rPr>
          <w:rFonts w:ascii="Times New Roman" w:hAnsi="Times New Roman"/>
          <w:color w:val="000000"/>
        </w:rPr>
        <w:t>f all households</w:t>
      </w:r>
      <w:r w:rsidR="00275C5C">
        <w:rPr>
          <w:rFonts w:ascii="Times New Roman" w:hAnsi="Times New Roman"/>
          <w:color w:val="000000"/>
        </w:rPr>
        <w:t xml:space="preserve"> and </w:t>
      </w:r>
      <w:r w:rsidR="00E7163F" w:rsidRPr="00441A1B">
        <w:rPr>
          <w:rFonts w:ascii="Times New Roman" w:hAnsi="Times New Roman"/>
          <w:color w:val="000000"/>
        </w:rPr>
        <w:t xml:space="preserve">identify potential opportunities to better </w:t>
      </w:r>
      <w:r w:rsidR="00934879">
        <w:rPr>
          <w:rFonts w:ascii="Times New Roman" w:hAnsi="Times New Roman"/>
          <w:color w:val="000000"/>
        </w:rPr>
        <w:t xml:space="preserve">meet </w:t>
      </w:r>
      <w:r w:rsidR="00E7163F" w:rsidRPr="00441A1B">
        <w:rPr>
          <w:rFonts w:ascii="Times New Roman" w:hAnsi="Times New Roman"/>
          <w:color w:val="000000"/>
        </w:rPr>
        <w:t>consumers</w:t>
      </w:r>
      <w:r w:rsidR="00934879">
        <w:rPr>
          <w:rFonts w:ascii="Times New Roman" w:hAnsi="Times New Roman"/>
          <w:color w:val="000000"/>
        </w:rPr>
        <w:t xml:space="preserve">’ financial needs within the mainstream </w:t>
      </w:r>
      <w:r w:rsidR="00E7163F" w:rsidRPr="00441A1B">
        <w:rPr>
          <w:rFonts w:ascii="Times New Roman" w:hAnsi="Times New Roman"/>
          <w:color w:val="000000"/>
        </w:rPr>
        <w:t>banking</w:t>
      </w:r>
      <w:r w:rsidR="00934879">
        <w:rPr>
          <w:rFonts w:ascii="Times New Roman" w:hAnsi="Times New Roman"/>
          <w:color w:val="000000"/>
        </w:rPr>
        <w:t xml:space="preserve"> system</w:t>
      </w:r>
      <w:r w:rsidR="00E7163F" w:rsidRPr="00441A1B">
        <w:rPr>
          <w:rFonts w:ascii="Times New Roman" w:hAnsi="Times New Roman"/>
          <w:color w:val="000000"/>
        </w:rPr>
        <w:t>.</w:t>
      </w:r>
      <w:r w:rsidR="007E34F7" w:rsidRPr="00441A1B">
        <w:rPr>
          <w:rFonts w:ascii="Times New Roman" w:hAnsi="Times New Roman"/>
          <w:color w:val="000000"/>
        </w:rPr>
        <w:t xml:space="preserve"> </w:t>
      </w:r>
      <w:r w:rsidR="00471F21" w:rsidRPr="007E34F7">
        <w:rPr>
          <w:rFonts w:ascii="Times New Roman" w:hAnsi="Times New Roman"/>
          <w:color w:val="000000"/>
        </w:rPr>
        <w:t>In addition</w:t>
      </w:r>
      <w:r w:rsidR="0065339F">
        <w:rPr>
          <w:rFonts w:ascii="Times New Roman" w:hAnsi="Times New Roman"/>
          <w:color w:val="000000"/>
        </w:rPr>
        <w:t>,</w:t>
      </w:r>
      <w:r w:rsidR="00471F21" w:rsidRPr="007E34F7">
        <w:rPr>
          <w:rFonts w:ascii="Times New Roman" w:hAnsi="Times New Roman"/>
          <w:color w:val="000000"/>
        </w:rPr>
        <w:t xml:space="preserve"> miscellaneous changes to l</w:t>
      </w:r>
      <w:r w:rsidR="00471F21" w:rsidRPr="004F02E1">
        <w:rPr>
          <w:rFonts w:ascii="Times New Roman" w:hAnsi="Times New Roman"/>
          <w:color w:val="000000"/>
        </w:rPr>
        <w:t xml:space="preserve">anguage and </w:t>
      </w:r>
      <w:r w:rsidR="00B25764" w:rsidRPr="004F02E1">
        <w:rPr>
          <w:rFonts w:ascii="Times New Roman" w:hAnsi="Times New Roman"/>
          <w:color w:val="000000"/>
        </w:rPr>
        <w:t>universe descriptions were made</w:t>
      </w:r>
      <w:r w:rsidR="00471F21" w:rsidRPr="004F02E1">
        <w:rPr>
          <w:rFonts w:ascii="Times New Roman" w:hAnsi="Times New Roman"/>
          <w:color w:val="000000"/>
        </w:rPr>
        <w:t xml:space="preserve"> </w:t>
      </w:r>
      <w:r w:rsidR="00B25764" w:rsidRPr="004F02E1">
        <w:rPr>
          <w:rFonts w:ascii="Times New Roman" w:hAnsi="Times New Roman"/>
          <w:color w:val="000000"/>
        </w:rPr>
        <w:t>for clarity</w:t>
      </w:r>
      <w:r w:rsidR="00471F21" w:rsidRPr="004F02E1">
        <w:rPr>
          <w:rFonts w:ascii="Times New Roman" w:hAnsi="Times New Roman"/>
          <w:color w:val="000000"/>
        </w:rPr>
        <w:t>.</w:t>
      </w:r>
      <w:r w:rsidR="007B0F82">
        <w:rPr>
          <w:rFonts w:ascii="Times New Roman" w:hAnsi="Times New Roman"/>
          <w:color w:val="000000"/>
        </w:rPr>
        <w:t xml:space="preserve"> And, the survey was revised to have consumers who do not have a deposit account but do have a bank prepaid card </w:t>
      </w:r>
      <w:r w:rsidR="00580A12">
        <w:rPr>
          <w:rFonts w:ascii="Times New Roman" w:hAnsi="Times New Roman"/>
          <w:color w:val="000000"/>
        </w:rPr>
        <w:t xml:space="preserve">answer </w:t>
      </w:r>
      <w:r w:rsidR="007B0F82">
        <w:rPr>
          <w:rFonts w:ascii="Times New Roman" w:hAnsi="Times New Roman"/>
          <w:color w:val="000000"/>
        </w:rPr>
        <w:t>the same questions as consumers with deposit accounts.</w:t>
      </w:r>
    </w:p>
    <w:p w:rsidR="00246D87" w:rsidRPr="00DB3F2F" w:rsidRDefault="00246D87" w:rsidP="00246D87">
      <w:pPr>
        <w:ind w:left="1260"/>
        <w:rPr>
          <w:rFonts w:ascii="Times New Roman" w:hAnsi="Times New Roman"/>
          <w:color w:val="000000"/>
        </w:rPr>
      </w:pPr>
    </w:p>
    <w:p w:rsidR="008E5DEF" w:rsidRPr="00DB3F2F" w:rsidRDefault="00246D87" w:rsidP="00246D87">
      <w:pPr>
        <w:ind w:left="1260"/>
        <w:rPr>
          <w:rFonts w:ascii="Times New Roman" w:hAnsi="Times New Roman"/>
          <w:color w:val="000000"/>
        </w:rPr>
      </w:pPr>
      <w:r w:rsidRPr="00DB3F2F">
        <w:rPr>
          <w:rFonts w:ascii="Times New Roman" w:hAnsi="Times New Roman"/>
          <w:color w:val="000000"/>
        </w:rPr>
        <w:t xml:space="preserve">In order to keep the survey instrument short and accommodate the new questions, a number of questions </w:t>
      </w:r>
      <w:r w:rsidR="00774011" w:rsidRPr="00DB3F2F">
        <w:rPr>
          <w:rFonts w:ascii="Times New Roman" w:hAnsi="Times New Roman"/>
          <w:color w:val="000000"/>
        </w:rPr>
        <w:t>were</w:t>
      </w:r>
      <w:r w:rsidRPr="00DB3F2F">
        <w:rPr>
          <w:rFonts w:ascii="Times New Roman" w:hAnsi="Times New Roman"/>
          <w:color w:val="000000"/>
        </w:rPr>
        <w:t xml:space="preserve"> dropped from the survey</w:t>
      </w:r>
      <w:r w:rsidR="00B170B4" w:rsidRPr="00DB3F2F">
        <w:rPr>
          <w:rFonts w:ascii="Times New Roman" w:hAnsi="Times New Roman"/>
          <w:color w:val="000000"/>
        </w:rPr>
        <w:t xml:space="preserve">.  </w:t>
      </w:r>
      <w:r w:rsidR="00F11735" w:rsidRPr="00DB3F2F">
        <w:rPr>
          <w:rFonts w:ascii="Times New Roman" w:hAnsi="Times New Roman"/>
          <w:color w:val="000000"/>
        </w:rPr>
        <w:t>R</w:t>
      </w:r>
      <w:r w:rsidR="008E5DEF" w:rsidRPr="00DB3F2F">
        <w:rPr>
          <w:rFonts w:ascii="Times New Roman" w:hAnsi="Times New Roman"/>
          <w:color w:val="000000"/>
        </w:rPr>
        <w:t>evisions made to the survey</w:t>
      </w:r>
      <w:r w:rsidR="006D0771" w:rsidRPr="00DB3F2F">
        <w:rPr>
          <w:rFonts w:ascii="Times New Roman" w:hAnsi="Times New Roman"/>
          <w:color w:val="000000"/>
        </w:rPr>
        <w:t xml:space="preserve"> can be found in Attachment A-2</w:t>
      </w:r>
      <w:r w:rsidR="008E5DEF" w:rsidRPr="00DB3F2F">
        <w:rPr>
          <w:rFonts w:ascii="Times New Roman" w:hAnsi="Times New Roman"/>
          <w:color w:val="000000"/>
        </w:rPr>
        <w:t>.</w:t>
      </w:r>
    </w:p>
    <w:p w:rsidR="00927719" w:rsidRPr="00DB3F2F" w:rsidRDefault="002C031D" w:rsidP="003D4315">
      <w:pPr>
        <w:widowControl/>
        <w:ind w:left="1282"/>
        <w:rPr>
          <w:rFonts w:ascii="Times New Roman" w:hAnsi="Times New Roman"/>
          <w:color w:val="000000"/>
        </w:rPr>
      </w:pPr>
      <w:r w:rsidRPr="00DB3F2F">
        <w:rPr>
          <w:rFonts w:ascii="Times New Roman" w:hAnsi="Times New Roman"/>
          <w:color w:val="000000"/>
        </w:rPr>
        <w:t xml:space="preserve">     </w:t>
      </w:r>
    </w:p>
    <w:p w:rsidR="00927719" w:rsidRPr="00DB3F2F" w:rsidRDefault="002C031D">
      <w:pPr>
        <w:widowControl/>
        <w:tabs>
          <w:tab w:val="left" w:pos="432"/>
          <w:tab w:val="left" w:pos="1296"/>
          <w:tab w:val="left" w:pos="1728"/>
          <w:tab w:val="left" w:pos="4176"/>
        </w:tabs>
        <w:ind w:firstLine="432"/>
        <w:rPr>
          <w:rFonts w:ascii="Times New Roman" w:hAnsi="Times New Roman"/>
          <w:color w:val="000000"/>
          <w:u w:val="single"/>
        </w:rPr>
      </w:pPr>
      <w:r w:rsidRPr="00DB3F2F">
        <w:rPr>
          <w:rFonts w:ascii="Times New Roman" w:hAnsi="Times New Roman"/>
          <w:color w:val="000000"/>
        </w:rPr>
        <w:t>2.</w:t>
      </w:r>
      <w:r w:rsidRPr="00DB3F2F">
        <w:rPr>
          <w:rFonts w:ascii="Times New Roman" w:hAnsi="Times New Roman"/>
          <w:color w:val="000000"/>
        </w:rPr>
        <w:tab/>
      </w:r>
      <w:r w:rsidRPr="00DB3F2F">
        <w:rPr>
          <w:rFonts w:ascii="Times New Roman" w:hAnsi="Times New Roman"/>
          <w:color w:val="000000"/>
          <w:u w:val="single"/>
        </w:rPr>
        <w:t>Use of Information Collected</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4A539F" w:rsidRPr="00DB3F2F" w:rsidRDefault="002C031D" w:rsidP="00030F2F">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color w:val="000000"/>
          <w:szCs w:val="24"/>
        </w:rPr>
        <w:t xml:space="preserve">The FDIC uses the information collected from the survey to </w:t>
      </w:r>
      <w:r w:rsidRPr="00DB3F2F">
        <w:rPr>
          <w:rFonts w:ascii="Times New Roman" w:hAnsi="Times New Roman"/>
        </w:rPr>
        <w:t xml:space="preserve">produce studies on the number and the characteristics of </w:t>
      </w:r>
      <w:r w:rsidR="00DE7D53">
        <w:rPr>
          <w:rFonts w:ascii="Times New Roman" w:hAnsi="Times New Roman"/>
        </w:rPr>
        <w:t xml:space="preserve">households that do not participate in banking, </w:t>
      </w:r>
      <w:r w:rsidR="00A0090F">
        <w:rPr>
          <w:rFonts w:ascii="Times New Roman" w:hAnsi="Times New Roman"/>
        </w:rPr>
        <w:t>or</w:t>
      </w:r>
      <w:r w:rsidR="00DE7D53">
        <w:rPr>
          <w:rFonts w:ascii="Times New Roman" w:hAnsi="Times New Roman"/>
        </w:rPr>
        <w:t xml:space="preserve"> </w:t>
      </w:r>
      <w:r w:rsidR="0017138D">
        <w:rPr>
          <w:rFonts w:ascii="Times New Roman" w:hAnsi="Times New Roman"/>
        </w:rPr>
        <w:t xml:space="preserve">are </w:t>
      </w:r>
      <w:r w:rsidR="00DE7D53">
        <w:rPr>
          <w:rFonts w:ascii="Times New Roman" w:hAnsi="Times New Roman"/>
        </w:rPr>
        <w:t>a</w:t>
      </w:r>
      <w:r w:rsidR="00A0090F">
        <w:rPr>
          <w:rFonts w:ascii="Times New Roman" w:hAnsi="Times New Roman"/>
        </w:rPr>
        <w:t>t risk of</w:t>
      </w:r>
      <w:r w:rsidR="00DE7D53">
        <w:rPr>
          <w:rFonts w:ascii="Times New Roman" w:hAnsi="Times New Roman"/>
        </w:rPr>
        <w:t xml:space="preserve"> becoming </w:t>
      </w:r>
      <w:r w:rsidR="00A0090F">
        <w:rPr>
          <w:rFonts w:ascii="Times New Roman" w:hAnsi="Times New Roman"/>
        </w:rPr>
        <w:t>dis</w:t>
      </w:r>
      <w:r w:rsidR="00DE7D53">
        <w:rPr>
          <w:rFonts w:ascii="Times New Roman" w:hAnsi="Times New Roman"/>
        </w:rPr>
        <w:t xml:space="preserve">engaged </w:t>
      </w:r>
      <w:r w:rsidR="00783A73">
        <w:rPr>
          <w:rFonts w:ascii="Times New Roman" w:hAnsi="Times New Roman"/>
        </w:rPr>
        <w:t>from</w:t>
      </w:r>
      <w:r w:rsidR="00DE7D53">
        <w:rPr>
          <w:rFonts w:ascii="Times New Roman" w:hAnsi="Times New Roman"/>
        </w:rPr>
        <w:t xml:space="preserve"> the banking system</w:t>
      </w:r>
      <w:r w:rsidR="0017138D">
        <w:rPr>
          <w:rFonts w:ascii="Times New Roman" w:hAnsi="Times New Roman"/>
        </w:rPr>
        <w:t>,</w:t>
      </w:r>
      <w:r w:rsidR="00DE7D53">
        <w:rPr>
          <w:rFonts w:ascii="Times New Roman" w:hAnsi="Times New Roman"/>
        </w:rPr>
        <w:t xml:space="preserve"> </w:t>
      </w:r>
      <w:r w:rsidRPr="00DB3F2F">
        <w:rPr>
          <w:rFonts w:ascii="Times New Roman" w:hAnsi="Times New Roman"/>
          <w:color w:val="000000"/>
          <w:szCs w:val="24"/>
        </w:rPr>
        <w:t xml:space="preserve">and the factors that may inhibit their use of products and services offered by insured depository institutions. </w:t>
      </w:r>
      <w:r w:rsidRPr="00DB3F2F">
        <w:rPr>
          <w:rFonts w:ascii="Times New Roman" w:hAnsi="Times New Roman"/>
        </w:rPr>
        <w:t xml:space="preserve">The results are published and used to inform policymaking on issues related to economic inclusion and </w:t>
      </w:r>
      <w:r w:rsidR="007C5734" w:rsidRPr="00DB3F2F">
        <w:rPr>
          <w:rFonts w:ascii="Times New Roman" w:hAnsi="Times New Roman"/>
        </w:rPr>
        <w:t xml:space="preserve">also to inform </w:t>
      </w:r>
      <w:r w:rsidRPr="00DB3F2F">
        <w:rPr>
          <w:rFonts w:ascii="Times New Roman" w:hAnsi="Times New Roman"/>
        </w:rPr>
        <w:t>bank efforts to serve the unbanked and underbanked.</w:t>
      </w:r>
      <w:r w:rsidR="004A539F" w:rsidRPr="00DB3F2F">
        <w:rPr>
          <w:rFonts w:ascii="Times New Roman" w:hAnsi="Times New Roman"/>
        </w:rPr>
        <w:t xml:space="preserve"> </w:t>
      </w:r>
      <w:r w:rsidR="00030F2F" w:rsidRPr="00DB3F2F">
        <w:rPr>
          <w:rFonts w:ascii="Times New Roman" w:hAnsi="Times New Roman"/>
        </w:rPr>
        <w:t xml:space="preserve"> </w:t>
      </w:r>
      <w:r w:rsidR="004A539F" w:rsidRPr="00DB3F2F">
        <w:rPr>
          <w:rFonts w:ascii="Times New Roman" w:hAnsi="Times New Roman"/>
          <w:color w:val="000000"/>
          <w:szCs w:val="24"/>
        </w:rPr>
        <w:t>The</w:t>
      </w:r>
      <w:r w:rsidR="00030F2F" w:rsidRPr="00DB3F2F">
        <w:rPr>
          <w:rFonts w:ascii="Times New Roman" w:hAnsi="Times New Roman"/>
          <w:color w:val="000000"/>
          <w:szCs w:val="24"/>
        </w:rPr>
        <w:t xml:space="preserve"> survey results and </w:t>
      </w:r>
      <w:r w:rsidR="004A539F" w:rsidRPr="00DB3F2F">
        <w:rPr>
          <w:rFonts w:ascii="Times New Roman" w:hAnsi="Times New Roman"/>
          <w:color w:val="000000"/>
          <w:szCs w:val="24"/>
        </w:rPr>
        <w:t xml:space="preserve">corresponding data </w:t>
      </w:r>
      <w:r w:rsidR="00030F2F" w:rsidRPr="00DB3F2F">
        <w:rPr>
          <w:rFonts w:ascii="Times New Roman" w:hAnsi="Times New Roman"/>
          <w:color w:val="000000"/>
          <w:szCs w:val="24"/>
        </w:rPr>
        <w:t>are</w:t>
      </w:r>
      <w:r w:rsidR="004A539F" w:rsidRPr="00DB3F2F">
        <w:rPr>
          <w:rFonts w:ascii="Times New Roman" w:hAnsi="Times New Roman"/>
          <w:color w:val="000000"/>
          <w:szCs w:val="24"/>
        </w:rPr>
        <w:t xml:space="preserve"> publicly available at: </w:t>
      </w:r>
      <w:hyperlink r:id="rId8" w:history="1">
        <w:r w:rsidR="004A539F" w:rsidRPr="00DB3F2F">
          <w:rPr>
            <w:rStyle w:val="Hyperlink"/>
            <w:rFonts w:ascii="Times New Roman" w:hAnsi="Times New Roman"/>
            <w:szCs w:val="24"/>
          </w:rPr>
          <w:t>www.economicinclusion.gov</w:t>
        </w:r>
      </w:hyperlink>
      <w:r w:rsidR="004A539F" w:rsidRPr="00DB3F2F">
        <w:rPr>
          <w:rFonts w:ascii="Times New Roman" w:hAnsi="Times New Roman"/>
          <w:color w:val="000000"/>
          <w:szCs w:val="24"/>
        </w:rPr>
        <w:t>.</w:t>
      </w:r>
    </w:p>
    <w:p w:rsidR="00927719" w:rsidRPr="00DB3F2F" w:rsidRDefault="002C031D" w:rsidP="003D4315">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rPr>
        <w:t xml:space="preserve"> </w:t>
      </w: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3.</w:t>
      </w:r>
      <w:r w:rsidRPr="00DB3F2F">
        <w:rPr>
          <w:rFonts w:ascii="Times New Roman" w:hAnsi="Times New Roman"/>
          <w:color w:val="000000"/>
        </w:rPr>
        <w:tab/>
      </w:r>
      <w:r w:rsidRPr="00DB3F2F">
        <w:rPr>
          <w:rFonts w:ascii="Times New Roman" w:hAnsi="Times New Roman"/>
          <w:color w:val="000000"/>
          <w:u w:val="single"/>
        </w:rPr>
        <w:t xml:space="preserve">Use of Technology to Reduce Burden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E7216A" w:rsidRPr="00DB3F2F" w:rsidRDefault="002C031D" w:rsidP="00E7216A">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rPr>
        <w:t xml:space="preserve">The Census Bureau collects CPS data using computer-assisted methods.  Specifically, it uses computer-assisted personal interviewing </w:t>
      </w:r>
      <w:r w:rsidR="00246D87" w:rsidRPr="00DB3F2F">
        <w:rPr>
          <w:rFonts w:ascii="Times New Roman" w:hAnsi="Times New Roman"/>
        </w:rPr>
        <w:t>(</w:t>
      </w:r>
      <w:r w:rsidRPr="00DB3F2F">
        <w:rPr>
          <w:rFonts w:ascii="Times New Roman" w:hAnsi="Times New Roman"/>
        </w:rPr>
        <w:t>CAPI) for conducting in-person interviews and computer-assisted telephone interviewing (CATI) for conducting telephone interviews.</w:t>
      </w:r>
    </w:p>
    <w:p w:rsidR="00E7216A" w:rsidRPr="00DB3F2F" w:rsidRDefault="00E7216A">
      <w:pPr>
        <w:widowControl/>
        <w:tabs>
          <w:tab w:val="left" w:pos="432"/>
          <w:tab w:val="left" w:pos="1296"/>
          <w:tab w:val="left" w:pos="1728"/>
          <w:tab w:val="left" w:pos="4176"/>
        </w:tabs>
        <w:ind w:left="1296"/>
        <w:rPr>
          <w:rFonts w:ascii="Times New Roman" w:hAnsi="Times New Roman"/>
          <w:color w:val="000000"/>
          <w:szCs w:val="24"/>
        </w:rPr>
      </w:pPr>
    </w:p>
    <w:p w:rsidR="00927719" w:rsidRPr="00DB3F2F" w:rsidRDefault="002C031D">
      <w:pPr>
        <w:widowControl/>
        <w:numPr>
          <w:ilvl w:val="0"/>
          <w:numId w:val="8"/>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 xml:space="preserve">Efforts to Identify Duplication </w:t>
      </w:r>
    </w:p>
    <w:p w:rsidR="00927719" w:rsidRPr="00DB3F2F" w:rsidRDefault="00927719">
      <w:pPr>
        <w:widowControl/>
        <w:tabs>
          <w:tab w:val="left" w:pos="432"/>
          <w:tab w:val="left" w:pos="1728"/>
          <w:tab w:val="left" w:pos="4176"/>
        </w:tabs>
        <w:ind w:left="432"/>
        <w:rPr>
          <w:rFonts w:ascii="Times New Roman" w:hAnsi="Times New Roman"/>
          <w:color w:val="000000"/>
          <w:szCs w:val="24"/>
        </w:rPr>
      </w:pPr>
    </w:p>
    <w:p w:rsidR="00927719" w:rsidRPr="00DB3F2F" w:rsidRDefault="006D0771">
      <w:pPr>
        <w:widowControl/>
        <w:tabs>
          <w:tab w:val="left" w:pos="432"/>
          <w:tab w:val="left" w:pos="1728"/>
          <w:tab w:val="left" w:pos="4176"/>
        </w:tabs>
        <w:ind w:left="1287"/>
        <w:rPr>
          <w:rFonts w:ascii="Times New Roman" w:hAnsi="Times New Roman"/>
          <w:color w:val="000000"/>
          <w:szCs w:val="24"/>
          <w:u w:val="single"/>
        </w:rPr>
      </w:pPr>
      <w:r w:rsidRPr="00DB3F2F">
        <w:rPr>
          <w:rFonts w:ascii="Times New Roman" w:hAnsi="Times New Roman"/>
          <w:color w:val="000000"/>
          <w:szCs w:val="24"/>
        </w:rPr>
        <w:t>Other than the Household Survey, t</w:t>
      </w:r>
      <w:r w:rsidR="002C031D" w:rsidRPr="00DB3F2F">
        <w:rPr>
          <w:rFonts w:ascii="Times New Roman" w:hAnsi="Times New Roman"/>
          <w:color w:val="000000"/>
          <w:szCs w:val="24"/>
        </w:rPr>
        <w:t xml:space="preserve">here is currently no single source of national, metropolitan, and state-level data for the United States on the number of unbanked and underbanked households, their characteristics, and the factors preventing or limiting their use of </w:t>
      </w:r>
      <w:r w:rsidR="007C5734" w:rsidRPr="00DB3F2F">
        <w:rPr>
          <w:rFonts w:ascii="Times New Roman" w:hAnsi="Times New Roman"/>
          <w:color w:val="000000"/>
          <w:szCs w:val="24"/>
        </w:rPr>
        <w:t xml:space="preserve">financial services offered by </w:t>
      </w:r>
      <w:r w:rsidR="002C031D" w:rsidRPr="00DB3F2F">
        <w:rPr>
          <w:rFonts w:ascii="Times New Roman" w:hAnsi="Times New Roman"/>
          <w:color w:val="000000"/>
          <w:szCs w:val="24"/>
        </w:rPr>
        <w:t>insured depositories. While a number of studies and surveys have been conducted on the general topic of the unbanked and underbanked households, these studies have focused on either narrow geographic areas within the United States, often including limited subsets of the unbanked and underbanked population, or extremely broad, nationally aggregated survey data measures for the unbanked population</w:t>
      </w:r>
      <w:r w:rsidR="007C5734" w:rsidRPr="00DB3F2F">
        <w:rPr>
          <w:rFonts w:ascii="Times New Roman" w:hAnsi="Times New Roman"/>
          <w:color w:val="000000"/>
          <w:szCs w:val="24"/>
        </w:rPr>
        <w:t xml:space="preserve">.  </w:t>
      </w:r>
    </w:p>
    <w:p w:rsidR="003D4315" w:rsidRPr="00DB3F2F" w:rsidRDefault="003D4315">
      <w:pPr>
        <w:widowControl/>
        <w:tabs>
          <w:tab w:val="left" w:pos="432"/>
          <w:tab w:val="left" w:pos="1296"/>
          <w:tab w:val="left" w:pos="1728"/>
          <w:tab w:val="left" w:pos="4176"/>
        </w:tabs>
        <w:rPr>
          <w:rFonts w:ascii="Times New Roman" w:hAnsi="Times New Roman"/>
          <w:color w:val="000000"/>
          <w:szCs w:val="24"/>
        </w:rPr>
      </w:pPr>
    </w:p>
    <w:p w:rsidR="00927719" w:rsidRPr="00DB3F2F" w:rsidRDefault="002C031D">
      <w:pPr>
        <w:keepNext/>
        <w:widowControl/>
        <w:numPr>
          <w:ilvl w:val="0"/>
          <w:numId w:val="1"/>
        </w:numPr>
        <w:tabs>
          <w:tab w:val="left" w:pos="432"/>
          <w:tab w:val="left" w:pos="1728"/>
          <w:tab w:val="left" w:pos="4176"/>
        </w:tabs>
        <w:ind w:left="1282"/>
        <w:rPr>
          <w:rFonts w:ascii="Times New Roman" w:hAnsi="Times New Roman"/>
          <w:color w:val="000000"/>
          <w:u w:val="single"/>
        </w:rPr>
      </w:pPr>
      <w:r w:rsidRPr="00DB3F2F">
        <w:rPr>
          <w:rFonts w:ascii="Times New Roman" w:hAnsi="Times New Roman"/>
          <w:color w:val="000000"/>
          <w:u w:val="single"/>
        </w:rPr>
        <w:t>Minimizing the Burden on Small Entities</w:t>
      </w:r>
    </w:p>
    <w:p w:rsidR="00927719" w:rsidRPr="00DB3F2F" w:rsidRDefault="00927719">
      <w:pPr>
        <w:keepNext/>
        <w:widowControl/>
        <w:tabs>
          <w:tab w:val="left" w:pos="432"/>
          <w:tab w:val="left" w:pos="1296"/>
          <w:tab w:val="left" w:pos="1728"/>
          <w:tab w:val="left" w:pos="4176"/>
        </w:tabs>
        <w:ind w:left="1282"/>
        <w:rPr>
          <w:rFonts w:ascii="Times New Roman" w:hAnsi="Times New Roman"/>
          <w:color w:val="000000"/>
        </w:rPr>
      </w:pP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pPr>
      <w:r w:rsidRPr="00DB3F2F">
        <w:rPr>
          <w:rFonts w:ascii="Times New Roman" w:hAnsi="Times New Roman"/>
        </w:rPr>
        <w:t>The collection of information does not involve small businesses or other small entities</w:t>
      </w:r>
      <w:r w:rsidR="0065339F">
        <w:t>.</w:t>
      </w:r>
    </w:p>
    <w:p w:rsidR="00927719" w:rsidRPr="00DB3F2F" w:rsidRDefault="002C031D">
      <w:pPr>
        <w:widowControl/>
        <w:tabs>
          <w:tab w:val="left" w:pos="432"/>
          <w:tab w:val="left" w:pos="1296"/>
          <w:tab w:val="left" w:pos="1728"/>
          <w:tab w:val="left" w:pos="4176"/>
        </w:tabs>
        <w:ind w:left="1287"/>
        <w:rPr>
          <w:rFonts w:ascii="Times New Roman" w:hAnsi="Times New Roman"/>
          <w:color w:val="000000"/>
        </w:rPr>
      </w:pPr>
      <w:r w:rsidRPr="00DB3F2F">
        <w:rPr>
          <w:rFonts w:ascii="Times New Roman" w:hAnsi="Times New Roman"/>
          <w:color w:val="000000"/>
          <w:szCs w:val="24"/>
        </w:rPr>
        <w:t xml:space="preserve"> </w:t>
      </w:r>
    </w:p>
    <w:p w:rsidR="00927719" w:rsidRPr="00DB3F2F" w:rsidRDefault="002C031D">
      <w:pPr>
        <w:keepNext/>
        <w:keepLines/>
        <w:widowControl/>
        <w:numPr>
          <w:ilvl w:val="0"/>
          <w:numId w:val="1"/>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Consequences of Less Frequent Collection</w:t>
      </w:r>
    </w:p>
    <w:p w:rsidR="00927719" w:rsidRPr="00DB3F2F" w:rsidRDefault="00927719">
      <w:pPr>
        <w:keepNext/>
        <w:keepLines/>
        <w:widowControl/>
        <w:tabs>
          <w:tab w:val="left" w:pos="432"/>
          <w:tab w:val="left" w:pos="1296"/>
          <w:tab w:val="left" w:pos="1728"/>
          <w:tab w:val="left" w:pos="4176"/>
        </w:tabs>
        <w:ind w:left="432"/>
        <w:rPr>
          <w:rFonts w:ascii="Times New Roman" w:hAnsi="Times New Roman"/>
          <w:color w:val="000000"/>
        </w:rPr>
      </w:pPr>
    </w:p>
    <w:p w:rsidR="00927719" w:rsidRPr="00DB3F2F" w:rsidRDefault="002C031D">
      <w:pPr>
        <w:keepNext/>
        <w:keepLines/>
        <w:widowControl/>
        <w:tabs>
          <w:tab w:val="left" w:pos="432"/>
          <w:tab w:val="left" w:pos="1296"/>
          <w:tab w:val="left" w:pos="1728"/>
          <w:tab w:val="left" w:pos="4176"/>
        </w:tabs>
        <w:ind w:left="1287"/>
        <w:rPr>
          <w:rFonts w:ascii="Times New Roman" w:hAnsi="Times New Roman"/>
        </w:rPr>
      </w:pPr>
      <w:r w:rsidRPr="00DB3F2F">
        <w:rPr>
          <w:rFonts w:ascii="Times New Roman" w:hAnsi="Times New Roman"/>
        </w:rPr>
        <w:t xml:space="preserve">FDIC’s statutory mandate requires the conduct of studies every two years to </w:t>
      </w:r>
      <w:r w:rsidRPr="00DB3F2F">
        <w:rPr>
          <w:rFonts w:ascii="Times New Roman" w:hAnsi="Times New Roman"/>
          <w:color w:val="000000"/>
        </w:rPr>
        <w:t xml:space="preserve">estimate the size and worth of the unbanked market in the </w:t>
      </w:r>
      <w:smartTag w:uri="urn:schemas-microsoft-com:office:smarttags" w:element="place">
        <w:smartTag w:uri="urn:schemas-microsoft-com:office:smarttags" w:element="country-region">
          <w:r w:rsidRPr="00DB3F2F">
            <w:rPr>
              <w:rFonts w:ascii="Times New Roman" w:hAnsi="Times New Roman"/>
              <w:color w:val="000000"/>
            </w:rPr>
            <w:t>United States</w:t>
          </w:r>
        </w:smartTag>
      </w:smartTag>
      <w:r w:rsidRPr="00DB3F2F">
        <w:rPr>
          <w:rFonts w:ascii="Times New Roman" w:hAnsi="Times New Roman"/>
          <w:color w:val="000000"/>
        </w:rPr>
        <w:t xml:space="preserve"> and to identify the cultural, language and identification issues and transaction costs that most prevent unbanked individuals from establishing conventional accounts.</w:t>
      </w:r>
      <w:r w:rsidRPr="00DB3F2F">
        <w:rPr>
          <w:rFonts w:ascii="Times New Roman" w:hAnsi="Times New Roman"/>
        </w:rPr>
        <w:t xml:space="preserve">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7.</w:t>
      </w:r>
      <w:r w:rsidRPr="00DB3F2F">
        <w:rPr>
          <w:rFonts w:ascii="Times New Roman" w:hAnsi="Times New Roman"/>
          <w:color w:val="000000"/>
        </w:rPr>
        <w:tab/>
      </w:r>
      <w:r w:rsidRPr="00DB3F2F">
        <w:rPr>
          <w:rFonts w:ascii="Times New Roman" w:hAnsi="Times New Roman"/>
          <w:color w:val="000000"/>
          <w:u w:val="single"/>
        </w:rPr>
        <w:t>Special Circumstances</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special circumstances.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8.</w:t>
      </w:r>
      <w:r w:rsidRPr="00DB3F2F">
        <w:rPr>
          <w:rFonts w:ascii="Times New Roman" w:hAnsi="Times New Roman"/>
          <w:color w:val="000000"/>
        </w:rPr>
        <w:tab/>
      </w:r>
      <w:r w:rsidRPr="00DB3F2F">
        <w:rPr>
          <w:rFonts w:ascii="Times New Roman" w:hAnsi="Times New Roman"/>
          <w:color w:val="000000"/>
          <w:u w:val="single"/>
        </w:rPr>
        <w:t>Consultation with Persons Outside the FDIC</w:t>
      </w:r>
    </w:p>
    <w:p w:rsidR="00783A73" w:rsidRDefault="00783A73" w:rsidP="007C6E10">
      <w:pPr>
        <w:widowControl/>
        <w:tabs>
          <w:tab w:val="left" w:pos="1350"/>
        </w:tabs>
        <w:ind w:left="1350"/>
        <w:rPr>
          <w:rFonts w:ascii="Times New Roman" w:hAnsi="Times New Roman"/>
          <w:color w:val="000000"/>
          <w:szCs w:val="24"/>
        </w:rPr>
      </w:pPr>
    </w:p>
    <w:p w:rsidR="006E7111" w:rsidRPr="00DB3F2F" w:rsidRDefault="006E7111" w:rsidP="007C6E10">
      <w:pPr>
        <w:widowControl/>
        <w:tabs>
          <w:tab w:val="left" w:pos="1350"/>
        </w:tabs>
        <w:ind w:left="1350"/>
        <w:rPr>
          <w:rFonts w:ascii="Times New Roman" w:hAnsi="Times New Roman"/>
          <w:color w:val="000000"/>
          <w:szCs w:val="24"/>
        </w:rPr>
      </w:pPr>
      <w:r w:rsidRPr="00DB3F2F">
        <w:rPr>
          <w:rFonts w:ascii="Times New Roman" w:hAnsi="Times New Roman"/>
          <w:color w:val="000000"/>
          <w:szCs w:val="24"/>
        </w:rPr>
        <w:t xml:space="preserve">On </w:t>
      </w:r>
      <w:r w:rsidR="00471F21" w:rsidRPr="00DB3F2F">
        <w:rPr>
          <w:rFonts w:ascii="Times New Roman" w:hAnsi="Times New Roman"/>
          <w:color w:val="000000"/>
          <w:szCs w:val="24"/>
        </w:rPr>
        <w:t xml:space="preserve">November </w:t>
      </w:r>
      <w:r w:rsidR="0016402D">
        <w:rPr>
          <w:rFonts w:ascii="Times New Roman" w:hAnsi="Times New Roman"/>
          <w:color w:val="000000"/>
          <w:szCs w:val="24"/>
        </w:rPr>
        <w:t>6</w:t>
      </w:r>
      <w:r w:rsidRPr="00DB3F2F">
        <w:rPr>
          <w:rFonts w:ascii="Times New Roman" w:hAnsi="Times New Roman"/>
          <w:color w:val="000000"/>
          <w:szCs w:val="24"/>
        </w:rPr>
        <w:t xml:space="preserve">, </w:t>
      </w:r>
      <w:r w:rsidR="0016402D" w:rsidRPr="00DB3F2F">
        <w:rPr>
          <w:rFonts w:ascii="Times New Roman" w:hAnsi="Times New Roman"/>
          <w:color w:val="000000"/>
          <w:szCs w:val="24"/>
        </w:rPr>
        <w:t>201</w:t>
      </w:r>
      <w:r w:rsidR="0016402D">
        <w:rPr>
          <w:rFonts w:ascii="Times New Roman" w:hAnsi="Times New Roman"/>
          <w:color w:val="000000"/>
          <w:szCs w:val="24"/>
        </w:rPr>
        <w:t>8</w:t>
      </w:r>
      <w:r w:rsidR="0016402D" w:rsidRPr="00DB3F2F">
        <w:rPr>
          <w:rFonts w:ascii="Times New Roman" w:hAnsi="Times New Roman"/>
          <w:color w:val="000000"/>
          <w:szCs w:val="24"/>
        </w:rPr>
        <w:t xml:space="preserve"> </w:t>
      </w:r>
      <w:r w:rsidRPr="00DB3F2F">
        <w:rPr>
          <w:rFonts w:ascii="Times New Roman" w:hAnsi="Times New Roman"/>
          <w:color w:val="000000"/>
          <w:szCs w:val="24"/>
        </w:rPr>
        <w:t>(</w:t>
      </w:r>
      <w:r w:rsidR="008F348E" w:rsidRPr="008F348E">
        <w:rPr>
          <w:rFonts w:ascii="Times New Roman" w:hAnsi="Times New Roman"/>
          <w:color w:val="000000"/>
          <w:szCs w:val="24"/>
        </w:rPr>
        <w:t>83 FR 55532</w:t>
      </w:r>
      <w:r w:rsidRPr="00DB3F2F">
        <w:rPr>
          <w:rFonts w:ascii="Times New Roman" w:hAnsi="Times New Roman"/>
          <w:color w:val="000000"/>
          <w:szCs w:val="24"/>
        </w:rPr>
        <w:t>), the FDIC issued a</w:t>
      </w:r>
      <w:r w:rsidR="003441E1" w:rsidRPr="00DB3F2F">
        <w:rPr>
          <w:rFonts w:ascii="Times New Roman" w:hAnsi="Times New Roman"/>
          <w:color w:val="000000"/>
          <w:szCs w:val="24"/>
        </w:rPr>
        <w:t>n initial</w:t>
      </w:r>
      <w:r w:rsidRPr="00DB3F2F">
        <w:rPr>
          <w:rFonts w:ascii="Times New Roman" w:hAnsi="Times New Roman"/>
          <w:color w:val="000000"/>
          <w:szCs w:val="24"/>
        </w:rPr>
        <w:t xml:space="preserve"> request for comment on possible revisions to the </w:t>
      </w:r>
      <w:r w:rsidR="007F1DE3" w:rsidRPr="00DB3F2F">
        <w:rPr>
          <w:rFonts w:ascii="Times New Roman" w:hAnsi="Times New Roman"/>
          <w:color w:val="000000"/>
          <w:szCs w:val="24"/>
        </w:rPr>
        <w:t xml:space="preserve">Household </w:t>
      </w:r>
      <w:r w:rsidRPr="00DB3F2F">
        <w:rPr>
          <w:rFonts w:ascii="Times New Roman" w:hAnsi="Times New Roman"/>
          <w:color w:val="000000"/>
          <w:szCs w:val="24"/>
        </w:rPr>
        <w:t>Survey.  The FDIC received</w:t>
      </w:r>
      <w:r w:rsidR="00C57D85">
        <w:rPr>
          <w:rFonts w:ascii="Times New Roman" w:hAnsi="Times New Roman"/>
          <w:color w:val="000000"/>
          <w:szCs w:val="24"/>
        </w:rPr>
        <w:t xml:space="preserve"> two</w:t>
      </w:r>
      <w:r w:rsidR="00471F21" w:rsidRPr="00DB3F2F">
        <w:rPr>
          <w:rFonts w:ascii="Times New Roman" w:hAnsi="Times New Roman"/>
          <w:color w:val="000000"/>
          <w:szCs w:val="24"/>
        </w:rPr>
        <w:t xml:space="preserve"> </w:t>
      </w:r>
      <w:r w:rsidRPr="00DB3F2F">
        <w:rPr>
          <w:rFonts w:ascii="Times New Roman" w:hAnsi="Times New Roman"/>
          <w:color w:val="000000"/>
          <w:szCs w:val="24"/>
        </w:rPr>
        <w:t>comment</w:t>
      </w:r>
      <w:r w:rsidR="007F1DE3" w:rsidRPr="00DB3F2F">
        <w:rPr>
          <w:rFonts w:ascii="Times New Roman" w:hAnsi="Times New Roman"/>
          <w:color w:val="000000"/>
          <w:szCs w:val="24"/>
        </w:rPr>
        <w:t>s</w:t>
      </w:r>
      <w:r w:rsidRPr="00DB3F2F">
        <w:rPr>
          <w:rFonts w:ascii="Times New Roman" w:hAnsi="Times New Roman"/>
          <w:color w:val="000000"/>
          <w:szCs w:val="24"/>
        </w:rPr>
        <w:t xml:space="preserve"> related to this survey effort. </w:t>
      </w:r>
      <w:r w:rsidR="00C57D85">
        <w:rPr>
          <w:rFonts w:ascii="Times New Roman" w:hAnsi="Times New Roman"/>
        </w:rPr>
        <w:t xml:space="preserve">Both commenters were supportive of the survey effort. </w:t>
      </w:r>
      <w:r w:rsidR="009D7FD3">
        <w:rPr>
          <w:rFonts w:ascii="Times New Roman" w:hAnsi="Times New Roman"/>
        </w:rPr>
        <w:t xml:space="preserve">One did not provide specific suggestions about the survey. </w:t>
      </w:r>
      <w:r w:rsidR="00C57D85">
        <w:rPr>
          <w:rFonts w:ascii="Times New Roman" w:hAnsi="Times New Roman"/>
        </w:rPr>
        <w:t>One commenter suggested that the FDIC collect information on the types of activities that consumers conduct at bank branches. The FDIC is interested in better understanding consumer’s use of banking channels, including physical branch locations. The 2019 survey includes questions on the use of bank tellers and the intensity of branch use. However, including a question about the types of activity performed at branches would not be feasible at this point due to survey length constraints.</w:t>
      </w:r>
    </w:p>
    <w:p w:rsidR="006E7111" w:rsidRPr="00DB3F2F" w:rsidRDefault="006E7111" w:rsidP="007C6E10">
      <w:pPr>
        <w:widowControl/>
        <w:tabs>
          <w:tab w:val="left" w:pos="1350"/>
        </w:tabs>
        <w:ind w:left="1350"/>
        <w:rPr>
          <w:rFonts w:ascii="Times New Roman" w:hAnsi="Times New Roman"/>
          <w:color w:val="000000"/>
          <w:szCs w:val="24"/>
        </w:rPr>
      </w:pP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numPr>
          <w:ilvl w:val="0"/>
          <w:numId w:val="2"/>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Pay</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 or Gift to Respondents</w:t>
      </w: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 xml:space="preserve">No gifts will be given to respondents.  </w:t>
      </w: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tabs>
          <w:tab w:val="left" w:pos="432"/>
          <w:tab w:val="left" w:pos="1296"/>
          <w:tab w:val="left" w:pos="1728"/>
          <w:tab w:val="left" w:pos="4176"/>
        </w:tabs>
        <w:ind w:left="432"/>
        <w:rPr>
          <w:rFonts w:ascii="Times New Roman" w:hAnsi="Times New Roman"/>
          <w:color w:val="000000"/>
        </w:rPr>
      </w:pPr>
      <w:r w:rsidRPr="00DB3F2F">
        <w:rPr>
          <w:rFonts w:ascii="Times New Roman" w:hAnsi="Times New Roman"/>
          <w:color w:val="000000"/>
        </w:rPr>
        <w:t>10.</w:t>
      </w:r>
      <w:r w:rsidRPr="00DB3F2F">
        <w:rPr>
          <w:rFonts w:ascii="Times New Roman" w:hAnsi="Times New Roman"/>
          <w:color w:val="000000"/>
        </w:rPr>
        <w:tab/>
      </w:r>
      <w:r w:rsidR="002331D9" w:rsidRPr="00441A1B">
        <w:rPr>
          <w:rFonts w:ascii="Times New Roman" w:hAnsi="Times New Roman"/>
          <w:color w:val="000000"/>
          <w:u w:val="single"/>
        </w:rPr>
        <w:t xml:space="preserve">Assurance of </w:t>
      </w:r>
      <w:r w:rsidRPr="00441A1B">
        <w:rPr>
          <w:rFonts w:ascii="Times New Roman" w:hAnsi="Times New Roman"/>
          <w:color w:val="000000"/>
          <w:u w:val="single"/>
        </w:rPr>
        <w:t>Confidentiality</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C50286" w:rsidRPr="00DB3F2F" w:rsidRDefault="002331D9" w:rsidP="00DB3F2F">
      <w:pPr>
        <w:pStyle w:val="NormalWeb"/>
        <w:ind w:left="1440"/>
        <w:rPr>
          <w:color w:val="000000"/>
        </w:rPr>
      </w:pPr>
      <w:r w:rsidRPr="002331D9">
        <w:rPr>
          <w:color w:val="000000"/>
        </w:rPr>
        <w:t>The Census Bureau will collect data in compliance with the Privacy Act of 1974 and the OMB Circular A-130.  Each sample household receives an advance letter approximately one week before the start of CPS interviewing (see Attachments D-1 and D-2).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The U.S. Census Bureau Respects Your Privacy and Protects Your Personal Information and Fact Sheet for the Current Population Survey (see Attachments C1 and C2).  All information given by respondents to Census Bureau employees is held in strict confidence under Title 13, United States Code, Section 9.  Every Census Bureau employee has taken an oath to that effect and is subject to a jail penalty and/or substantial fine if they disclose any information given to them. The FDIC will receive a microdata file containing the full battery of labor force and demographic data along with data from the supplemental survey.  The actual identities of survey respondents will not be included in the data file received by the FDIC.  Per the Federal Cybersecurity Enhancement Act of 2015, all data is  protected from cybersecurity risks through screening of the systems that transmit your data.</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11.</w:t>
      </w:r>
      <w:r w:rsidRPr="00DB3F2F">
        <w:rPr>
          <w:rFonts w:ascii="Times New Roman" w:hAnsi="Times New Roman"/>
          <w:color w:val="000000"/>
        </w:rPr>
        <w:tab/>
      </w:r>
      <w:r w:rsidRPr="00DB3F2F">
        <w:rPr>
          <w:rFonts w:ascii="Times New Roman" w:hAnsi="Times New Roman"/>
          <w:color w:val="000000"/>
          <w:u w:val="single"/>
        </w:rPr>
        <w:t>Information of a Sensitive Nature</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 study conforms to privacy rules and Census Bureau criteria and does not request any information of a sensitive nature. </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keepLines/>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12.</w:t>
      </w:r>
      <w:r w:rsidRPr="00DB3F2F">
        <w:rPr>
          <w:rFonts w:ascii="Times New Roman" w:hAnsi="Times New Roman"/>
          <w:color w:val="000000"/>
        </w:rPr>
        <w:tab/>
      </w:r>
      <w:r w:rsidRPr="00DB3F2F">
        <w:rPr>
          <w:rFonts w:ascii="Times New Roman" w:hAnsi="Times New Roman"/>
          <w:color w:val="000000"/>
          <w:u w:val="single"/>
        </w:rPr>
        <w:t>Estimate of Annual Burden</w:t>
      </w:r>
    </w:p>
    <w:p w:rsidR="00927719" w:rsidRPr="00DB3F2F" w:rsidRDefault="00927719">
      <w:pPr>
        <w:keepLines/>
        <w:widowControl/>
        <w:tabs>
          <w:tab w:val="left" w:pos="432"/>
          <w:tab w:val="left" w:pos="1296"/>
          <w:tab w:val="left" w:pos="1728"/>
          <w:tab w:val="left" w:pos="4176"/>
        </w:tabs>
        <w:rPr>
          <w:rFonts w:ascii="Times New Roman" w:hAnsi="Times New Roman"/>
          <w:color w:val="000000"/>
        </w:rPr>
      </w:pPr>
    </w:p>
    <w:p w:rsidR="00471F21" w:rsidRPr="00DB3F2F" w:rsidRDefault="00471F21">
      <w:pPr>
        <w:widowControl/>
        <w:tabs>
          <w:tab w:val="left" w:pos="432"/>
          <w:tab w:val="left" w:pos="1296"/>
          <w:tab w:val="left" w:pos="1728"/>
          <w:tab w:val="left" w:pos="4176"/>
        </w:tabs>
        <w:ind w:left="1296"/>
        <w:rPr>
          <w:rFonts w:ascii="Times New Roman" w:hAnsi="Times New Roman"/>
          <w:color w:val="000000"/>
        </w:rPr>
      </w:pP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Frequency of Response:  Once.</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Affected Public: U.S. Households.</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Estimated Number of Respondents:  40,000.</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Average time per response:   9 minutes (0.15 hours) per respondent.</w:t>
      </w:r>
    </w:p>
    <w:p w:rsidR="00471F21" w:rsidRPr="00DB3F2F" w:rsidRDefault="00471F21" w:rsidP="00DB3F2F">
      <w:pPr>
        <w:spacing w:line="480" w:lineRule="auto"/>
        <w:ind w:left="1296"/>
        <w:rPr>
          <w:rFonts w:ascii="Times New Roman" w:eastAsiaTheme="minorHAnsi" w:hAnsi="Times New Roman"/>
          <w:snapToGrid/>
          <w:color w:val="000000"/>
          <w:szCs w:val="24"/>
        </w:rPr>
      </w:pPr>
      <w:r w:rsidRPr="00DB3F2F">
        <w:rPr>
          <w:rFonts w:ascii="Times New Roman" w:eastAsiaTheme="minorHAnsi" w:hAnsi="Times New Roman"/>
          <w:snapToGrid/>
          <w:color w:val="000000"/>
          <w:szCs w:val="24"/>
        </w:rPr>
        <w:t>Estimated Total Annual Burden:  0.15 hours x 40,000 respondents = 6,000 hours.</w:t>
      </w:r>
    </w:p>
    <w:p w:rsidR="00471F21" w:rsidRDefault="00471F21">
      <w:pPr>
        <w:widowControl/>
        <w:tabs>
          <w:tab w:val="left" w:pos="432"/>
          <w:tab w:val="left" w:pos="1296"/>
          <w:tab w:val="left" w:pos="1728"/>
          <w:tab w:val="left" w:pos="4176"/>
        </w:tabs>
        <w:ind w:left="1296"/>
        <w:rPr>
          <w:rFonts w:ascii="Times New Roman" w:hAnsi="Times New Roman"/>
          <w:color w:val="000000"/>
        </w:rPr>
      </w:pPr>
    </w:p>
    <w:p w:rsidR="006C7D13" w:rsidRPr="006C7D13" w:rsidRDefault="006C7D13">
      <w:pPr>
        <w:widowControl/>
        <w:tabs>
          <w:tab w:val="left" w:pos="432"/>
          <w:tab w:val="left" w:pos="1296"/>
          <w:tab w:val="left" w:pos="1728"/>
          <w:tab w:val="left" w:pos="4176"/>
        </w:tabs>
        <w:ind w:left="1296"/>
        <w:rPr>
          <w:rFonts w:ascii="Times New Roman" w:hAnsi="Times New Roman"/>
          <w:color w:val="000000"/>
          <w:u w:val="single"/>
        </w:rPr>
      </w:pPr>
      <w:r w:rsidRPr="006C7D13">
        <w:rPr>
          <w:rFonts w:ascii="Times New Roman" w:hAnsi="Times New Roman"/>
          <w:color w:val="000000"/>
          <w:u w:val="single"/>
        </w:rPr>
        <w:t>Estimated Dollar Value of Burden Hours</w:t>
      </w:r>
    </w:p>
    <w:p w:rsidR="006C7D13" w:rsidRPr="00932171" w:rsidRDefault="006C7D13" w:rsidP="006C7D13">
      <w:pPr>
        <w:tabs>
          <w:tab w:val="left" w:pos="4027"/>
        </w:tabs>
        <w:rPr>
          <w:rFonts w:ascii="Times New Roman" w:hAnsi="Times New Roman"/>
          <w:b/>
          <w:szCs w:val="24"/>
        </w:rPr>
      </w:pPr>
    </w:p>
    <w:p w:rsidR="006C7D13" w:rsidRDefault="006C7D13" w:rsidP="006C7D13">
      <w:pPr>
        <w:tabs>
          <w:tab w:val="left" w:pos="1440"/>
          <w:tab w:val="left" w:pos="5040"/>
        </w:tabs>
        <w:ind w:left="1260"/>
        <w:rPr>
          <w:rFonts w:ascii="Times New Roman" w:hAnsi="Times New Roman"/>
          <w:szCs w:val="24"/>
        </w:rPr>
      </w:pPr>
      <w:r w:rsidRPr="00932171">
        <w:rPr>
          <w:rFonts w:ascii="Times New Roman" w:hAnsi="Times New Roman"/>
          <w:szCs w:val="24"/>
        </w:rPr>
        <w:t xml:space="preserve">Using the total estimated hour burden and the hourly cost estimate, the total estimated cost burden for the IC is: </w:t>
      </w:r>
    </w:p>
    <w:p w:rsidR="006C7D13" w:rsidRPr="00932171" w:rsidRDefault="006C7D13" w:rsidP="006C7D13">
      <w:pPr>
        <w:tabs>
          <w:tab w:val="left" w:pos="1440"/>
          <w:tab w:val="left" w:pos="5040"/>
        </w:tabs>
        <w:ind w:left="1260"/>
        <w:rPr>
          <w:rFonts w:ascii="Times New Roman" w:hAnsi="Times New Roman"/>
          <w:szCs w:val="24"/>
        </w:rPr>
      </w:pPr>
    </w:p>
    <w:p w:rsidR="006C7D13" w:rsidRPr="006C7D13" w:rsidRDefault="006C7D13" w:rsidP="006C7D13">
      <w:pPr>
        <w:widowControl/>
        <w:tabs>
          <w:tab w:val="left" w:pos="432"/>
          <w:tab w:val="left" w:pos="1296"/>
          <w:tab w:val="left" w:pos="1728"/>
          <w:tab w:val="left" w:pos="4176"/>
        </w:tabs>
        <w:ind w:left="1296"/>
        <w:rPr>
          <w:rFonts w:ascii="Times New Roman" w:hAnsi="Times New Roman"/>
          <w:color w:val="000000"/>
        </w:rPr>
      </w:pPr>
      <w:r w:rsidRPr="00932171">
        <w:rPr>
          <w:rFonts w:ascii="Times New Roman" w:hAnsi="Times New Roman"/>
          <w:szCs w:val="24"/>
        </w:rPr>
        <w:tab/>
        <w:t>6,000 hours x $29.38/hr = $176,280</w:t>
      </w:r>
    </w:p>
    <w:p w:rsidR="006C7D13" w:rsidRDefault="006C7D13" w:rsidP="006C7D13">
      <w:pPr>
        <w:tabs>
          <w:tab w:val="left" w:pos="1440"/>
          <w:tab w:val="left" w:pos="5040"/>
        </w:tabs>
        <w:rPr>
          <w:rFonts w:ascii="Times New Roman" w:hAnsi="Times New Roman"/>
          <w:b/>
          <w:szCs w:val="24"/>
        </w:rPr>
      </w:pPr>
    </w:p>
    <w:p w:rsidR="006C7D13" w:rsidRPr="006C7D13" w:rsidRDefault="006C7D13" w:rsidP="006C7D13">
      <w:pPr>
        <w:tabs>
          <w:tab w:val="left" w:pos="1440"/>
          <w:tab w:val="left" w:pos="5040"/>
        </w:tabs>
        <w:ind w:left="1260"/>
        <w:rPr>
          <w:rFonts w:ascii="Times New Roman" w:hAnsi="Times New Roman"/>
          <w:szCs w:val="24"/>
        </w:rPr>
      </w:pPr>
      <w:r w:rsidRPr="006C7D13">
        <w:rPr>
          <w:rFonts w:ascii="Times New Roman" w:hAnsi="Times New Roman"/>
          <w:szCs w:val="24"/>
        </w:rPr>
        <w:t>Wage Estimate:</w:t>
      </w:r>
    </w:p>
    <w:p w:rsidR="006C7D13" w:rsidRPr="006C7D13" w:rsidRDefault="006C7D13" w:rsidP="006C7D13">
      <w:pPr>
        <w:tabs>
          <w:tab w:val="left" w:pos="4027"/>
        </w:tabs>
        <w:rPr>
          <w:rFonts w:ascii="Times New Roman" w:hAnsi="Times New Roman"/>
          <w:szCs w:val="24"/>
        </w:rPr>
      </w:pPr>
    </w:p>
    <w:p w:rsidR="006C7D13" w:rsidRPr="006C7D13" w:rsidRDefault="006C7D13" w:rsidP="006C7D13">
      <w:pPr>
        <w:tabs>
          <w:tab w:val="left" w:pos="4027"/>
        </w:tabs>
        <w:ind w:left="1260"/>
        <w:rPr>
          <w:rFonts w:ascii="Times New Roman" w:hAnsi="Times New Roman"/>
          <w:szCs w:val="24"/>
        </w:rPr>
      </w:pPr>
      <w:r w:rsidRPr="006C7D13">
        <w:rPr>
          <w:rFonts w:ascii="Times New Roman" w:hAnsi="Times New Roman"/>
          <w:szCs w:val="24"/>
        </w:rPr>
        <w:t>Calculating a dollar value for the estimated time it will take respondents to complete the survey is difficult as it will vary from person to person depending on their propensity for leisure and work, their subjective value for engaging in the survey, and their profession. As a general proxy for the dollar value I have chosen to use the 75</w:t>
      </w:r>
      <w:r w:rsidRPr="006C7D13">
        <w:rPr>
          <w:rFonts w:ascii="Times New Roman" w:hAnsi="Times New Roman"/>
          <w:szCs w:val="24"/>
          <w:vertAlign w:val="superscript"/>
        </w:rPr>
        <w:t>th</w:t>
      </w:r>
      <w:r w:rsidRPr="006C7D13">
        <w:rPr>
          <w:rFonts w:ascii="Times New Roman" w:hAnsi="Times New Roman"/>
          <w:szCs w:val="24"/>
        </w:rPr>
        <w:t xml:space="preserve"> percentile wage for all occupations. I utilized data gathered from the Bureau of Labor Statistics (BLS) as of December 2018. According to the May 2017 National Industry-Specific Occupational Employment and Wage Estimates the 75</w:t>
      </w:r>
      <w:r w:rsidRPr="006C7D13">
        <w:rPr>
          <w:rFonts w:ascii="Times New Roman" w:hAnsi="Times New Roman"/>
          <w:szCs w:val="24"/>
          <w:vertAlign w:val="superscript"/>
        </w:rPr>
        <w:t xml:space="preserve">th </w:t>
      </w:r>
      <w:r w:rsidRPr="006C7D13">
        <w:rPr>
          <w:rFonts w:ascii="Times New Roman" w:hAnsi="Times New Roman"/>
          <w:szCs w:val="24"/>
        </w:rPr>
        <w:t>percentile wage for all occupations is $29.38 per hour. Therefore, the dollar value for the estimated time it will take respondents to complete the survey cost is $29.38 per hour.</w:t>
      </w:r>
    </w:p>
    <w:p w:rsidR="006C7D13" w:rsidRPr="006C7D13" w:rsidRDefault="006C7D13" w:rsidP="006C7D13">
      <w:pPr>
        <w:tabs>
          <w:tab w:val="left" w:pos="4027"/>
        </w:tabs>
        <w:rPr>
          <w:rFonts w:ascii="Times New Roman" w:hAnsi="Times New Roman"/>
          <w:szCs w:val="24"/>
        </w:rPr>
      </w:pPr>
    </w:p>
    <w:p w:rsidR="00927719" w:rsidRPr="00DB3F2F" w:rsidRDefault="002C031D">
      <w:pPr>
        <w:widowControl/>
        <w:tabs>
          <w:tab w:val="left" w:pos="432"/>
          <w:tab w:val="left" w:pos="1296"/>
          <w:tab w:val="left" w:pos="1728"/>
          <w:tab w:val="left" w:pos="4176"/>
        </w:tabs>
        <w:ind w:left="1296" w:hanging="864"/>
        <w:rPr>
          <w:rFonts w:ascii="Times New Roman" w:hAnsi="Times New Roman"/>
          <w:color w:val="000000"/>
        </w:rPr>
      </w:pPr>
      <w:r w:rsidRPr="00DB3F2F">
        <w:rPr>
          <w:rFonts w:ascii="Times New Roman" w:hAnsi="Times New Roman"/>
          <w:color w:val="000000"/>
        </w:rPr>
        <w:t>13.</w:t>
      </w:r>
      <w:r w:rsidRPr="00DB3F2F">
        <w:rPr>
          <w:rFonts w:ascii="Times New Roman" w:hAnsi="Times New Roman"/>
          <w:color w:val="000000"/>
        </w:rPr>
        <w:tab/>
      </w:r>
      <w:r w:rsidRPr="00DB3F2F">
        <w:rPr>
          <w:rFonts w:ascii="Times New Roman" w:hAnsi="Times New Roman"/>
          <w:color w:val="000000"/>
          <w:u w:val="single"/>
        </w:rPr>
        <w:t>Capital, Start-up, and Operating Costs</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anticipated capital, start-up, or operating costs. </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927719" w:rsidRPr="00DB3F2F" w:rsidRDefault="002C031D">
      <w:pPr>
        <w:widowControl/>
        <w:numPr>
          <w:ilvl w:val="0"/>
          <w:numId w:val="3"/>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Estimates of Annualized Cost to the Federal Govern</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w:t>
      </w:r>
    </w:p>
    <w:p w:rsidR="00927719" w:rsidRPr="00DB3F2F" w:rsidRDefault="00927719">
      <w:pPr>
        <w:widowControl/>
        <w:tabs>
          <w:tab w:val="left" w:pos="432"/>
          <w:tab w:val="left" w:pos="1296"/>
          <w:tab w:val="left" w:pos="1728"/>
          <w:tab w:val="left" w:pos="4176"/>
        </w:tabs>
        <w:ind w:left="435"/>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The estimated cost to the FDIC is approximately $</w:t>
      </w:r>
      <w:r w:rsidR="00395DD0">
        <w:rPr>
          <w:rFonts w:ascii="Times New Roman" w:hAnsi="Times New Roman"/>
          <w:color w:val="000000"/>
        </w:rPr>
        <w:t>9</w:t>
      </w:r>
      <w:r w:rsidR="00044154">
        <w:rPr>
          <w:rFonts w:ascii="Times New Roman" w:hAnsi="Times New Roman"/>
          <w:color w:val="000000"/>
        </w:rPr>
        <w:t>8</w:t>
      </w:r>
      <w:r w:rsidR="00395DD0">
        <w:rPr>
          <w:rFonts w:ascii="Times New Roman" w:hAnsi="Times New Roman"/>
          <w:color w:val="000000"/>
        </w:rPr>
        <w:t>5</w:t>
      </w:r>
      <w:r w:rsidRPr="00DB3F2F">
        <w:rPr>
          <w:rFonts w:ascii="Times New Roman" w:hAnsi="Times New Roman"/>
          <w:color w:val="000000"/>
        </w:rPr>
        <w:t>,000</w:t>
      </w:r>
      <w:r w:rsidR="004112DF">
        <w:rPr>
          <w:rFonts w:ascii="Times New Roman" w:hAnsi="Times New Roman"/>
          <w:color w:val="000000"/>
        </w:rPr>
        <w:t>, which includes programming, administration and testing of the survey</w:t>
      </w:r>
      <w:r w:rsidR="0073724B">
        <w:rPr>
          <w:rFonts w:ascii="Times New Roman" w:hAnsi="Times New Roman"/>
          <w:color w:val="000000"/>
        </w:rPr>
        <w:t xml:space="preserve"> over two years. This results in an annual cost of $492,500</w:t>
      </w:r>
    </w:p>
    <w:p w:rsidR="00927719" w:rsidRPr="00DB3F2F" w:rsidRDefault="00927719">
      <w:pPr>
        <w:widowControl/>
        <w:tabs>
          <w:tab w:val="left" w:pos="432"/>
          <w:tab w:val="left" w:pos="1296"/>
          <w:tab w:val="left" w:pos="1728"/>
          <w:tab w:val="left" w:pos="4176"/>
        </w:tabs>
        <w:ind w:left="1290"/>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15.</w:t>
      </w:r>
      <w:r w:rsidRPr="00DB3F2F">
        <w:rPr>
          <w:rFonts w:ascii="Times New Roman" w:hAnsi="Times New Roman"/>
          <w:color w:val="000000"/>
        </w:rPr>
        <w:tab/>
      </w:r>
      <w:r w:rsidRPr="00DB3F2F">
        <w:rPr>
          <w:rFonts w:ascii="Times New Roman" w:hAnsi="Times New Roman"/>
          <w:color w:val="000000"/>
          <w:u w:val="single"/>
        </w:rPr>
        <w:t>Change in Burden</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DD25B1" w:rsidP="002D3CA4">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We estimate that the revisions made </w:t>
      </w:r>
      <w:r w:rsidR="001926C5">
        <w:rPr>
          <w:rFonts w:ascii="Times New Roman" w:hAnsi="Times New Roman"/>
          <w:color w:val="000000"/>
        </w:rPr>
        <w:t xml:space="preserve">in the </w:t>
      </w:r>
      <w:r w:rsidR="00395DD0">
        <w:rPr>
          <w:rFonts w:ascii="Times New Roman" w:hAnsi="Times New Roman"/>
          <w:color w:val="000000"/>
        </w:rPr>
        <w:t>2019</w:t>
      </w:r>
      <w:r w:rsidR="00395DD0" w:rsidRPr="00DB3F2F">
        <w:rPr>
          <w:rFonts w:ascii="Times New Roman" w:hAnsi="Times New Roman"/>
          <w:color w:val="000000"/>
        </w:rPr>
        <w:t xml:space="preserve"> </w:t>
      </w:r>
      <w:r w:rsidRPr="00DB3F2F">
        <w:rPr>
          <w:rFonts w:ascii="Times New Roman" w:hAnsi="Times New Roman"/>
          <w:color w:val="000000"/>
        </w:rPr>
        <w:t xml:space="preserve">survey instrument </w:t>
      </w:r>
      <w:r w:rsidR="001A47C4" w:rsidRPr="00DB3F2F">
        <w:rPr>
          <w:rFonts w:ascii="Times New Roman" w:hAnsi="Times New Roman"/>
          <w:color w:val="000000"/>
        </w:rPr>
        <w:t xml:space="preserve">did not impact the </w:t>
      </w:r>
      <w:r w:rsidRPr="00DB3F2F">
        <w:rPr>
          <w:rFonts w:ascii="Times New Roman" w:hAnsi="Times New Roman"/>
          <w:color w:val="000000"/>
        </w:rPr>
        <w:t xml:space="preserve">average response time. </w:t>
      </w:r>
      <w:r w:rsidR="00471F21" w:rsidRPr="00DB3F2F">
        <w:rPr>
          <w:rFonts w:ascii="Times New Roman" w:hAnsi="Times New Roman"/>
          <w:color w:val="000000"/>
        </w:rPr>
        <w:t>The average time</w:t>
      </w:r>
      <w:r w:rsidR="005E0271" w:rsidRPr="00DB3F2F">
        <w:rPr>
          <w:rFonts w:ascii="Times New Roman" w:hAnsi="Times New Roman"/>
          <w:color w:val="000000"/>
        </w:rPr>
        <w:t xml:space="preserve"> of 9 minutes</w:t>
      </w:r>
      <w:r w:rsidR="00471F21" w:rsidRPr="00DB3F2F">
        <w:rPr>
          <w:rFonts w:ascii="Times New Roman" w:hAnsi="Times New Roman"/>
          <w:color w:val="000000"/>
        </w:rPr>
        <w:t xml:space="preserve"> for the survey </w:t>
      </w:r>
      <w:r w:rsidR="005E0271" w:rsidRPr="00DB3F2F">
        <w:rPr>
          <w:rFonts w:ascii="Times New Roman" w:hAnsi="Times New Roman"/>
          <w:color w:val="000000"/>
        </w:rPr>
        <w:t xml:space="preserve">burden estimate </w:t>
      </w:r>
      <w:r w:rsidR="00471F21" w:rsidRPr="00DB3F2F">
        <w:rPr>
          <w:rFonts w:ascii="Times New Roman" w:hAnsi="Times New Roman"/>
          <w:color w:val="000000"/>
        </w:rPr>
        <w:t>reflect</w:t>
      </w:r>
      <w:r w:rsidR="005E0271" w:rsidRPr="00DB3F2F">
        <w:rPr>
          <w:rFonts w:ascii="Times New Roman" w:hAnsi="Times New Roman"/>
          <w:color w:val="000000"/>
        </w:rPr>
        <w:t xml:space="preserve">s </w:t>
      </w:r>
      <w:r w:rsidR="00C37454" w:rsidRPr="00DB3F2F">
        <w:rPr>
          <w:rFonts w:ascii="Times New Roman" w:hAnsi="Times New Roman"/>
          <w:color w:val="000000"/>
        </w:rPr>
        <w:t xml:space="preserve">the </w:t>
      </w:r>
      <w:r w:rsidR="005E0271" w:rsidRPr="00DB3F2F">
        <w:rPr>
          <w:rFonts w:ascii="Times New Roman" w:hAnsi="Times New Roman"/>
          <w:color w:val="000000"/>
        </w:rPr>
        <w:t xml:space="preserve">actual </w:t>
      </w:r>
      <w:r w:rsidR="00C37454" w:rsidRPr="00DB3F2F">
        <w:rPr>
          <w:rFonts w:ascii="Times New Roman" w:hAnsi="Times New Roman"/>
          <w:color w:val="000000"/>
        </w:rPr>
        <w:t xml:space="preserve">average time spent by </w:t>
      </w:r>
      <w:r w:rsidR="00395DD0" w:rsidRPr="00DB3F2F">
        <w:rPr>
          <w:rFonts w:ascii="Times New Roman" w:hAnsi="Times New Roman"/>
          <w:color w:val="000000"/>
        </w:rPr>
        <w:t>201</w:t>
      </w:r>
      <w:r w:rsidR="00395DD0">
        <w:rPr>
          <w:rFonts w:ascii="Times New Roman" w:hAnsi="Times New Roman"/>
          <w:color w:val="000000"/>
        </w:rPr>
        <w:t>7</w:t>
      </w:r>
      <w:r w:rsidR="00395DD0" w:rsidRPr="00DB3F2F">
        <w:rPr>
          <w:rFonts w:ascii="Times New Roman" w:hAnsi="Times New Roman"/>
          <w:color w:val="000000"/>
        </w:rPr>
        <w:t xml:space="preserve"> </w:t>
      </w:r>
      <w:r w:rsidR="00C37454" w:rsidRPr="00DB3F2F">
        <w:rPr>
          <w:rFonts w:ascii="Times New Roman" w:hAnsi="Times New Roman"/>
          <w:color w:val="000000"/>
        </w:rPr>
        <w:t xml:space="preserve">survey respondents, of 8 minutes with a cushion of 1 minute to be conservative. </w:t>
      </w:r>
      <w:r w:rsidR="001926C5">
        <w:rPr>
          <w:rFonts w:ascii="Times New Roman" w:hAnsi="Times New Roman"/>
          <w:color w:val="000000"/>
        </w:rPr>
        <w:t>In addition</w:t>
      </w:r>
      <w:r w:rsidR="00622A23">
        <w:rPr>
          <w:rFonts w:ascii="Times New Roman" w:hAnsi="Times New Roman"/>
          <w:color w:val="000000"/>
        </w:rPr>
        <w:t xml:space="preserve">, the number of survey respondents </w:t>
      </w:r>
      <w:r w:rsidR="00395DD0">
        <w:rPr>
          <w:rFonts w:ascii="Times New Roman" w:hAnsi="Times New Roman"/>
          <w:color w:val="000000"/>
        </w:rPr>
        <w:t xml:space="preserve">is consistent with 2017 </w:t>
      </w:r>
      <w:r w:rsidR="00EA1170">
        <w:rPr>
          <w:rFonts w:ascii="Times New Roman" w:hAnsi="Times New Roman"/>
          <w:color w:val="000000"/>
        </w:rPr>
        <w:t>results</w:t>
      </w:r>
      <w:r w:rsidR="001926C5">
        <w:rPr>
          <w:rFonts w:ascii="Times New Roman" w:hAnsi="Times New Roman"/>
          <w:color w:val="000000"/>
        </w:rPr>
        <w:t xml:space="preserve">. </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16.</w:t>
      </w:r>
      <w:r w:rsidRPr="00DB3F2F">
        <w:rPr>
          <w:rFonts w:ascii="Times New Roman" w:hAnsi="Times New Roman"/>
          <w:color w:val="000000"/>
        </w:rPr>
        <w:tab/>
      </w:r>
      <w:r w:rsidRPr="00DB3F2F">
        <w:rPr>
          <w:rFonts w:ascii="Times New Roman" w:hAnsi="Times New Roman"/>
          <w:color w:val="000000"/>
          <w:u w:val="single"/>
        </w:rPr>
        <w:t>Publication</w:t>
      </w:r>
    </w:p>
    <w:p w:rsidR="00927719" w:rsidRPr="00DB3F2F" w:rsidRDefault="00927719">
      <w:pPr>
        <w:widowControl/>
        <w:tabs>
          <w:tab w:val="left" w:pos="432"/>
          <w:tab w:val="left" w:pos="1296"/>
          <w:tab w:val="left" w:pos="1728"/>
          <w:tab w:val="left" w:pos="4176"/>
        </w:tabs>
        <w:rPr>
          <w:rFonts w:ascii="Times New Roman" w:hAnsi="Times New Roman"/>
          <w:color w:val="000000"/>
        </w:rPr>
      </w:pPr>
    </w:p>
    <w:p w:rsidR="00927719" w:rsidRPr="00DB3F2F" w:rsidRDefault="002C031D">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The findings of this survey will be published by the FDIC.</w:t>
      </w:r>
    </w:p>
    <w:p w:rsidR="00927719" w:rsidRPr="00DB3F2F" w:rsidRDefault="00927719">
      <w:pPr>
        <w:widowControl/>
        <w:tabs>
          <w:tab w:val="left" w:pos="432"/>
          <w:tab w:val="left" w:pos="1296"/>
          <w:tab w:val="left" w:pos="1728"/>
          <w:tab w:val="left" w:pos="4176"/>
        </w:tabs>
        <w:ind w:left="1296"/>
        <w:rPr>
          <w:rFonts w:ascii="Times New Roman" w:hAnsi="Times New Roman"/>
          <w:color w:val="000000"/>
        </w:rPr>
      </w:pPr>
    </w:p>
    <w:p w:rsidR="00395DD0" w:rsidRPr="00395DD0" w:rsidRDefault="002C031D" w:rsidP="00395DD0">
      <w:pPr>
        <w:widowControl/>
        <w:tabs>
          <w:tab w:val="left" w:pos="432"/>
          <w:tab w:val="left" w:pos="1296"/>
          <w:tab w:val="left" w:pos="1728"/>
          <w:tab w:val="left" w:pos="4176"/>
        </w:tabs>
        <w:ind w:left="1296" w:hanging="864"/>
        <w:rPr>
          <w:rFonts w:ascii="Times New Roman" w:hAnsi="Times New Roman"/>
          <w:color w:val="000000"/>
          <w:u w:val="single"/>
        </w:rPr>
      </w:pPr>
      <w:r w:rsidRPr="00DB3F2F">
        <w:rPr>
          <w:rFonts w:ascii="Times New Roman" w:hAnsi="Times New Roman"/>
          <w:color w:val="000000"/>
        </w:rPr>
        <w:t>17.</w:t>
      </w:r>
      <w:r w:rsidRPr="00DB3F2F">
        <w:rPr>
          <w:rFonts w:ascii="Times New Roman" w:hAnsi="Times New Roman"/>
          <w:color w:val="000000"/>
        </w:rPr>
        <w:tab/>
      </w:r>
      <w:r w:rsidR="00395DD0" w:rsidRPr="00395DD0">
        <w:rPr>
          <w:rFonts w:ascii="Times New Roman" w:hAnsi="Times New Roman"/>
          <w:color w:val="000000"/>
          <w:u w:val="single"/>
        </w:rPr>
        <w:t xml:space="preserve">Request to Not Display Expiration Date </w:t>
      </w:r>
    </w:p>
    <w:p w:rsidR="00395DD0" w:rsidRDefault="00395DD0" w:rsidP="00395DD0">
      <w:pPr>
        <w:widowControl/>
        <w:tabs>
          <w:tab w:val="left" w:pos="432"/>
          <w:tab w:val="left" w:pos="1296"/>
          <w:tab w:val="left" w:pos="1728"/>
          <w:tab w:val="left" w:pos="4176"/>
        </w:tabs>
        <w:ind w:left="1296" w:hanging="864"/>
        <w:rPr>
          <w:rFonts w:ascii="Times New Roman" w:hAnsi="Times New Roman"/>
          <w:color w:val="000000"/>
        </w:rPr>
      </w:pPr>
    </w:p>
    <w:p w:rsidR="00927719" w:rsidRPr="00DB3F2F" w:rsidRDefault="00395DD0" w:rsidP="00395DD0">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ab/>
      </w:r>
      <w:r w:rsidRPr="00395DD0">
        <w:rPr>
          <w:rFonts w:ascii="Times New Roman" w:hAnsi="Times New Roman"/>
          <w:color w:val="000000"/>
        </w:rPr>
        <w:t>The FDIC has been advised that the Census Bureau has requested a waiver of the requirement to display the expiration for the CPS because the respondents’ length of participation in the CPS is not likely to coincide with the expiration date of this clearance.  To avoid confusion that may arise from this fact and given that the CPS has been in place for over 50 years and the basic CPS interview has remained relatively unchanged over the past 10 years, we request a waiver of the requirement to display the expiration date.</w:t>
      </w:r>
    </w:p>
    <w:p w:rsidR="00927719" w:rsidRPr="00DB3F2F" w:rsidRDefault="00927719">
      <w:pPr>
        <w:keepNext/>
        <w:widowControl/>
        <w:tabs>
          <w:tab w:val="left" w:pos="432"/>
          <w:tab w:val="left" w:pos="1296"/>
          <w:tab w:val="left" w:pos="1728"/>
          <w:tab w:val="left" w:pos="4176"/>
        </w:tabs>
        <w:rPr>
          <w:rFonts w:ascii="Times New Roman" w:hAnsi="Times New Roman"/>
          <w:color w:val="000000"/>
        </w:rPr>
      </w:pPr>
    </w:p>
    <w:p w:rsidR="00927719" w:rsidRPr="00DB3F2F" w:rsidRDefault="002C031D">
      <w:pPr>
        <w:keepNext/>
        <w:widowControl/>
        <w:numPr>
          <w:ilvl w:val="0"/>
          <w:numId w:val="4"/>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Exceptions to Certification</w:t>
      </w:r>
    </w:p>
    <w:p w:rsidR="00927719" w:rsidRPr="00DB3F2F" w:rsidRDefault="00927719">
      <w:pPr>
        <w:keepNext/>
        <w:widowControl/>
        <w:tabs>
          <w:tab w:val="left" w:pos="432"/>
          <w:tab w:val="left" w:pos="1296"/>
          <w:tab w:val="left" w:pos="1728"/>
          <w:tab w:val="left" w:pos="4176"/>
        </w:tabs>
        <w:ind w:left="435"/>
        <w:rPr>
          <w:rFonts w:ascii="Times New Roman" w:hAnsi="Times New Roman"/>
          <w:color w:val="000000"/>
        </w:rPr>
      </w:pPr>
    </w:p>
    <w:p w:rsidR="00927719" w:rsidRPr="00DB3F2F" w:rsidRDefault="002C031D">
      <w:pPr>
        <w:keepNext/>
        <w:widowControl/>
        <w:tabs>
          <w:tab w:val="left" w:pos="432"/>
          <w:tab w:val="left" w:pos="1296"/>
          <w:tab w:val="left" w:pos="1728"/>
          <w:tab w:val="left" w:pos="4176"/>
        </w:tabs>
        <w:ind w:left="435"/>
        <w:rPr>
          <w:rFonts w:ascii="Times New Roman" w:hAnsi="Times New Roman"/>
          <w:color w:val="000000"/>
          <w:szCs w:val="24"/>
        </w:rPr>
      </w:pPr>
      <w:r w:rsidRPr="00DB3F2F">
        <w:rPr>
          <w:rFonts w:ascii="Times New Roman" w:hAnsi="Times New Roman"/>
          <w:color w:val="000000"/>
        </w:rPr>
        <w:tab/>
        <w:t>None.</w:t>
      </w:r>
    </w:p>
    <w:p w:rsidR="00927719" w:rsidRPr="00DB3F2F" w:rsidRDefault="00927719">
      <w:pPr>
        <w:widowControl/>
        <w:tabs>
          <w:tab w:val="left" w:pos="432"/>
          <w:tab w:val="left" w:pos="1296"/>
          <w:tab w:val="left" w:pos="1728"/>
          <w:tab w:val="left" w:pos="4176"/>
        </w:tabs>
        <w:rPr>
          <w:rFonts w:ascii="Times New Roman" w:hAnsi="Times New Roman"/>
          <w:color w:val="000000"/>
          <w:szCs w:val="24"/>
        </w:rPr>
      </w:pPr>
    </w:p>
    <w:p w:rsidR="00927719" w:rsidRPr="00DB3F2F"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DB3F2F">
        <w:rPr>
          <w:rFonts w:ascii="Times New Roman" w:hAnsi="Times New Roman"/>
          <w:szCs w:val="24"/>
          <w:u w:val="single"/>
        </w:rPr>
        <w:t>ATTACHMENTS</w:t>
      </w: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A1.</w:t>
      </w:r>
      <w:r w:rsidRPr="00DB3F2F">
        <w:rPr>
          <w:rFonts w:ascii="Times New Roman" w:hAnsi="Times New Roman"/>
          <w:szCs w:val="24"/>
        </w:rPr>
        <w:tab/>
      </w:r>
      <w:r w:rsidR="00395DD0" w:rsidRPr="00DB3F2F">
        <w:rPr>
          <w:rFonts w:ascii="Times New Roman" w:hAnsi="Times New Roman"/>
          <w:szCs w:val="24"/>
        </w:rPr>
        <w:t>201</w:t>
      </w:r>
      <w:r w:rsidR="00395DD0">
        <w:rPr>
          <w:rFonts w:ascii="Times New Roman" w:hAnsi="Times New Roman"/>
          <w:szCs w:val="24"/>
        </w:rPr>
        <w:t>9</w:t>
      </w:r>
      <w:r w:rsidR="00395DD0" w:rsidRPr="00DB3F2F">
        <w:rPr>
          <w:rFonts w:ascii="Times New Roman" w:hAnsi="Times New Roman"/>
          <w:szCs w:val="24"/>
        </w:rPr>
        <w:t xml:space="preserve"> </w:t>
      </w:r>
      <w:r w:rsidRPr="00DB3F2F">
        <w:rPr>
          <w:rFonts w:ascii="Times New Roman" w:hAnsi="Times New Roman"/>
          <w:szCs w:val="24"/>
        </w:rPr>
        <w:t>FDIC National</w:t>
      </w:r>
      <w:r w:rsidR="0060464E" w:rsidRPr="00DB3F2F">
        <w:rPr>
          <w:rFonts w:ascii="Times New Roman" w:hAnsi="Times New Roman"/>
          <w:szCs w:val="24"/>
        </w:rPr>
        <w:t xml:space="preserve"> Survey of</w:t>
      </w:r>
      <w:r w:rsidRPr="00DB3F2F">
        <w:rPr>
          <w:rFonts w:ascii="Times New Roman" w:hAnsi="Times New Roman"/>
          <w:szCs w:val="24"/>
        </w:rPr>
        <w:t xml:space="preserve"> Unbanked </w:t>
      </w:r>
      <w:r w:rsidR="0060464E" w:rsidRPr="00DB3F2F">
        <w:rPr>
          <w:rFonts w:ascii="Times New Roman" w:hAnsi="Times New Roman"/>
          <w:szCs w:val="24"/>
        </w:rPr>
        <w:t xml:space="preserve">and Underbanked Households </w:t>
      </w:r>
    </w:p>
    <w:p w:rsidR="00316538" w:rsidRPr="00DB3F2F" w:rsidRDefault="002C031D" w:rsidP="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A2.</w:t>
      </w:r>
      <w:r w:rsidRPr="00DB3F2F">
        <w:rPr>
          <w:rFonts w:ascii="Times New Roman" w:hAnsi="Times New Roman"/>
          <w:szCs w:val="24"/>
        </w:rPr>
        <w:tab/>
      </w:r>
      <w:r w:rsidR="00E86FFE" w:rsidRPr="00DB3F2F">
        <w:rPr>
          <w:rFonts w:ascii="Times New Roman" w:hAnsi="Times New Roman"/>
          <w:szCs w:val="24"/>
        </w:rPr>
        <w:t xml:space="preserve">Redlined version of the </w:t>
      </w:r>
      <w:r w:rsidR="00316538" w:rsidRPr="00DB3F2F">
        <w:rPr>
          <w:rFonts w:ascii="Times New Roman" w:hAnsi="Times New Roman"/>
          <w:szCs w:val="24"/>
        </w:rPr>
        <w:t xml:space="preserve">survey instrument </w:t>
      </w:r>
      <w:r w:rsidR="00E86FFE" w:rsidRPr="00DB3F2F">
        <w:rPr>
          <w:rFonts w:ascii="Times New Roman" w:hAnsi="Times New Roman"/>
          <w:szCs w:val="24"/>
        </w:rPr>
        <w:t>highlighting differences relative to the 201</w:t>
      </w:r>
      <w:r w:rsidR="00C6708E">
        <w:rPr>
          <w:rFonts w:ascii="Times New Roman" w:hAnsi="Times New Roman"/>
          <w:szCs w:val="24"/>
        </w:rPr>
        <w:t>7</w:t>
      </w:r>
      <w:r w:rsidR="00E86FFE" w:rsidRPr="00DB3F2F">
        <w:rPr>
          <w:rFonts w:ascii="Times New Roman" w:hAnsi="Times New Roman"/>
          <w:szCs w:val="24"/>
        </w:rPr>
        <w:t xml:space="preserve"> survey</w:t>
      </w:r>
      <w:r w:rsidR="00316538" w:rsidRPr="00DB3F2F">
        <w:rPr>
          <w:rFonts w:ascii="Times New Roman" w:hAnsi="Times New Roman"/>
          <w:szCs w:val="24"/>
        </w:rPr>
        <w:t>.</w:t>
      </w:r>
    </w:p>
    <w:p w:rsidR="0060464E" w:rsidRPr="00DB3F2F"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A3</w:t>
      </w:r>
      <w:r w:rsidR="00A9781A" w:rsidRPr="00DB3F2F">
        <w:rPr>
          <w:rFonts w:ascii="Times New Roman" w:hAnsi="Times New Roman"/>
          <w:szCs w:val="24"/>
        </w:rPr>
        <w:t>.</w:t>
      </w:r>
      <w:r w:rsidR="00066970" w:rsidRPr="00DB3F2F">
        <w:rPr>
          <w:rFonts w:ascii="Times New Roman" w:hAnsi="Times New Roman"/>
          <w:szCs w:val="24"/>
        </w:rPr>
        <w:t>A</w:t>
      </w:r>
      <w:r w:rsidR="0060464E" w:rsidRPr="00DB3F2F">
        <w:rPr>
          <w:rFonts w:ascii="Times New Roman" w:hAnsi="Times New Roman"/>
          <w:szCs w:val="24"/>
        </w:rPr>
        <w:t>.</w:t>
      </w:r>
      <w:r w:rsidR="0060464E" w:rsidRPr="00DB3F2F">
        <w:rPr>
          <w:rFonts w:ascii="Times New Roman" w:hAnsi="Times New Roman"/>
          <w:szCs w:val="24"/>
        </w:rPr>
        <w:tab/>
      </w:r>
      <w:r w:rsidR="00395DD0" w:rsidRPr="00DB3F2F">
        <w:rPr>
          <w:rFonts w:ascii="Times New Roman" w:hAnsi="Times New Roman"/>
          <w:szCs w:val="24"/>
        </w:rPr>
        <w:t>201</w:t>
      </w:r>
      <w:r w:rsidR="00395DD0">
        <w:rPr>
          <w:rFonts w:ascii="Times New Roman" w:hAnsi="Times New Roman"/>
          <w:szCs w:val="24"/>
        </w:rPr>
        <w:t>7</w:t>
      </w:r>
      <w:r w:rsidR="00395DD0" w:rsidRPr="00DB3F2F">
        <w:rPr>
          <w:rFonts w:ascii="Times New Roman" w:hAnsi="Times New Roman"/>
          <w:szCs w:val="24"/>
        </w:rPr>
        <w:t xml:space="preserve"> </w:t>
      </w:r>
      <w:r w:rsidR="0060464E" w:rsidRPr="00DB3F2F">
        <w:rPr>
          <w:rFonts w:ascii="Times New Roman" w:hAnsi="Times New Roman"/>
          <w:szCs w:val="24"/>
        </w:rPr>
        <w:t>FDIC National Survey of Unbanked and Underbanked Households Report</w:t>
      </w:r>
    </w:p>
    <w:p w:rsidR="00066970" w:rsidRPr="00DB3F2F"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sidRPr="00DB3F2F">
        <w:rPr>
          <w:rFonts w:ascii="Times New Roman" w:hAnsi="Times New Roman"/>
          <w:szCs w:val="24"/>
        </w:rPr>
        <w:t>A3</w:t>
      </w:r>
      <w:r w:rsidR="00A9781A" w:rsidRPr="00DB3F2F">
        <w:rPr>
          <w:rFonts w:ascii="Times New Roman" w:hAnsi="Times New Roman"/>
          <w:szCs w:val="24"/>
        </w:rPr>
        <w:t>.</w:t>
      </w:r>
      <w:r w:rsidR="00066970" w:rsidRPr="00DB3F2F">
        <w:rPr>
          <w:rFonts w:ascii="Times New Roman" w:hAnsi="Times New Roman"/>
          <w:szCs w:val="24"/>
        </w:rPr>
        <w:t>B.</w:t>
      </w:r>
      <w:r w:rsidR="00066970" w:rsidRPr="00DB3F2F">
        <w:rPr>
          <w:rFonts w:ascii="Times New Roman" w:hAnsi="Times New Roman"/>
          <w:szCs w:val="24"/>
        </w:rPr>
        <w:tab/>
      </w:r>
      <w:r w:rsidR="00395DD0" w:rsidRPr="00DB3F2F">
        <w:rPr>
          <w:rFonts w:ascii="Times New Roman" w:hAnsi="Times New Roman"/>
          <w:szCs w:val="24"/>
        </w:rPr>
        <w:t>201</w:t>
      </w:r>
      <w:r w:rsidR="00395DD0">
        <w:rPr>
          <w:rFonts w:ascii="Times New Roman" w:hAnsi="Times New Roman"/>
          <w:szCs w:val="24"/>
        </w:rPr>
        <w:t>7</w:t>
      </w:r>
      <w:r w:rsidR="00395DD0" w:rsidRPr="00DB3F2F">
        <w:rPr>
          <w:rFonts w:ascii="Times New Roman" w:hAnsi="Times New Roman"/>
          <w:szCs w:val="24"/>
        </w:rPr>
        <w:t xml:space="preserve"> </w:t>
      </w:r>
      <w:r w:rsidR="00066970" w:rsidRPr="00DB3F2F">
        <w:rPr>
          <w:rFonts w:ascii="Times New Roman" w:hAnsi="Times New Roman"/>
          <w:szCs w:val="24"/>
        </w:rPr>
        <w:t>FDIC National Survey of Unbanked and Underbanked Households Report- Appendices</w:t>
      </w: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B.</w:t>
      </w:r>
      <w:r w:rsidRPr="00DB3F2F">
        <w:rPr>
          <w:rFonts w:ascii="Times New Roman" w:hAnsi="Times New Roman"/>
          <w:szCs w:val="24"/>
        </w:rPr>
        <w:tab/>
        <w:t xml:space="preserve">Current Population Survey – Advance Letter and Frequently Asked Questions </w:t>
      </w:r>
    </w:p>
    <w:p w:rsidR="00927719" w:rsidRPr="00DB3F2F"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 xml:space="preserve">C1. </w:t>
      </w:r>
      <w:r w:rsidRPr="00DB3F2F">
        <w:rPr>
          <w:rFonts w:ascii="Times New Roman" w:hAnsi="Times New Roman"/>
          <w:szCs w:val="24"/>
        </w:rPr>
        <w:tab/>
        <w:t>Current Population Survey Confidentiality Brochure</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C2.</w:t>
      </w:r>
      <w:r w:rsidRPr="00DB3F2F">
        <w:rPr>
          <w:rFonts w:ascii="Times New Roman" w:hAnsi="Times New Roman"/>
          <w:szCs w:val="24"/>
        </w:rPr>
        <w:tab/>
        <w:t>Fact Sheet for the Current Population Survey</w:t>
      </w:r>
    </w:p>
    <w:p w:rsidR="00927719" w:rsidRDefault="002C031D">
      <w:pPr>
        <w:widowControl/>
        <w:autoSpaceDE w:val="0"/>
        <w:autoSpaceDN w:val="0"/>
        <w:adjustRightInd w:val="0"/>
        <w:ind w:left="720" w:hanging="720"/>
        <w:rPr>
          <w:rFonts w:ascii="Times New Roman" w:hAnsi="Times New Roman"/>
          <w:snapToGrid/>
          <w:szCs w:val="24"/>
        </w:rPr>
      </w:pPr>
      <w:r>
        <w:rPr>
          <w:rFonts w:ascii="Times New Roman" w:hAnsi="Times New Roman"/>
          <w:szCs w:val="24"/>
        </w:rPr>
        <w:t>D.</w:t>
      </w:r>
      <w:r>
        <w:rPr>
          <w:rFonts w:ascii="Times New Roman" w:hAnsi="Times New Roman"/>
          <w:szCs w:val="24"/>
        </w:rPr>
        <w:tab/>
        <w:t xml:space="preserve">Current Population Survey Design and Methodology Overview, October 2006 (available at the following link: </w:t>
      </w:r>
      <w:hyperlink r:id="rId9" w:history="1">
        <w:r>
          <w:rPr>
            <w:rFonts w:ascii="Times New Roman" w:hAnsi="Times New Roman"/>
            <w:snapToGrid/>
            <w:color w:val="0000FF"/>
            <w:szCs w:val="24"/>
            <w:u w:val="single"/>
          </w:rPr>
          <w:t>http://www.census.gov/prod/2006pubs/tp-66.pdf</w:t>
        </w:r>
      </w:hyperlink>
    </w:p>
    <w:p w:rsidR="00927719" w:rsidRDefault="00927719">
      <w:pPr>
        <w:widowControl/>
        <w:tabs>
          <w:tab w:val="left" w:pos="432"/>
          <w:tab w:val="left" w:pos="1296"/>
          <w:tab w:val="left" w:pos="1728"/>
          <w:tab w:val="left" w:pos="4176"/>
        </w:tabs>
        <w:rPr>
          <w:rFonts w:ascii="Times New Roman" w:hAnsi="Times New Roman"/>
          <w:color w:val="000000"/>
          <w:szCs w:val="24"/>
        </w:rPr>
      </w:pPr>
    </w:p>
    <w:sectPr w:rsidR="00927719" w:rsidSect="00417EA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38" w:rsidRDefault="00AF4538">
      <w:r>
        <w:separator/>
      </w:r>
    </w:p>
  </w:endnote>
  <w:endnote w:type="continuationSeparator" w:id="0">
    <w:p w:rsidR="00AF4538" w:rsidRDefault="00A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1B" w:rsidRDefault="00600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29" w:rsidRPr="00600F1B" w:rsidRDefault="00EB5E29" w:rsidP="00600F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1B" w:rsidRDefault="00600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38" w:rsidRDefault="00AF4538">
      <w:r>
        <w:separator/>
      </w:r>
    </w:p>
  </w:footnote>
  <w:footnote w:type="continuationSeparator" w:id="0">
    <w:p w:rsidR="00AF4538" w:rsidRDefault="00AF4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1B" w:rsidRDefault="00600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1B" w:rsidRDefault="00600F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1B" w:rsidRDefault="00600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9D64C5"/>
    <w:multiLevelType w:val="hybridMultilevel"/>
    <w:tmpl w:val="3692F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6">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8">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5"/>
  </w:num>
  <w:num w:numId="2">
    <w:abstractNumId w:val="2"/>
  </w:num>
  <w:num w:numId="3">
    <w:abstractNumId w:val="4"/>
  </w:num>
  <w:num w:numId="4">
    <w:abstractNumId w:val="3"/>
  </w:num>
  <w:num w:numId="5">
    <w:abstractNumId w:val="7"/>
  </w:num>
  <w:num w:numId="6">
    <w:abstractNumId w:val="8"/>
  </w:num>
  <w:num w:numId="7">
    <w:abstractNumId w:val="9"/>
  </w:num>
  <w:num w:numId="8">
    <w:abstractNumId w:val="6"/>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8"/>
    <w:rsid w:val="00030F2F"/>
    <w:rsid w:val="00044154"/>
    <w:rsid w:val="000576A5"/>
    <w:rsid w:val="000603EA"/>
    <w:rsid w:val="0006197F"/>
    <w:rsid w:val="00066970"/>
    <w:rsid w:val="00092B0C"/>
    <w:rsid w:val="00092B62"/>
    <w:rsid w:val="000F68DF"/>
    <w:rsid w:val="0014587C"/>
    <w:rsid w:val="0016402D"/>
    <w:rsid w:val="0017138D"/>
    <w:rsid w:val="001926C5"/>
    <w:rsid w:val="001A2B77"/>
    <w:rsid w:val="001A47C4"/>
    <w:rsid w:val="001C05D2"/>
    <w:rsid w:val="001E1E40"/>
    <w:rsid w:val="001E7B4D"/>
    <w:rsid w:val="001F30B0"/>
    <w:rsid w:val="002209DC"/>
    <w:rsid w:val="002233B4"/>
    <w:rsid w:val="002255DA"/>
    <w:rsid w:val="002331D9"/>
    <w:rsid w:val="002406B9"/>
    <w:rsid w:val="00246D87"/>
    <w:rsid w:val="002636CD"/>
    <w:rsid w:val="002637A0"/>
    <w:rsid w:val="00274FFB"/>
    <w:rsid w:val="00275C5C"/>
    <w:rsid w:val="0028659B"/>
    <w:rsid w:val="0028779F"/>
    <w:rsid w:val="00292943"/>
    <w:rsid w:val="00294331"/>
    <w:rsid w:val="002A7207"/>
    <w:rsid w:val="002B34D1"/>
    <w:rsid w:val="002C031D"/>
    <w:rsid w:val="002C694A"/>
    <w:rsid w:val="002D16C7"/>
    <w:rsid w:val="002D3CA4"/>
    <w:rsid w:val="002E583D"/>
    <w:rsid w:val="002F4878"/>
    <w:rsid w:val="00302628"/>
    <w:rsid w:val="003144F5"/>
    <w:rsid w:val="00315FF9"/>
    <w:rsid w:val="00316538"/>
    <w:rsid w:val="00316617"/>
    <w:rsid w:val="003441E1"/>
    <w:rsid w:val="00345567"/>
    <w:rsid w:val="00367B76"/>
    <w:rsid w:val="00374983"/>
    <w:rsid w:val="00394B69"/>
    <w:rsid w:val="00395DD0"/>
    <w:rsid w:val="003A4413"/>
    <w:rsid w:val="003D4315"/>
    <w:rsid w:val="004112DF"/>
    <w:rsid w:val="00417EA6"/>
    <w:rsid w:val="004307CA"/>
    <w:rsid w:val="00441A1B"/>
    <w:rsid w:val="004429E3"/>
    <w:rsid w:val="00460939"/>
    <w:rsid w:val="00471E18"/>
    <w:rsid w:val="00471F21"/>
    <w:rsid w:val="004876D2"/>
    <w:rsid w:val="004A539F"/>
    <w:rsid w:val="004C0527"/>
    <w:rsid w:val="004D208D"/>
    <w:rsid w:val="004E2BD7"/>
    <w:rsid w:val="004F02E1"/>
    <w:rsid w:val="00513AEA"/>
    <w:rsid w:val="005142EB"/>
    <w:rsid w:val="0053009D"/>
    <w:rsid w:val="005500E9"/>
    <w:rsid w:val="00580A12"/>
    <w:rsid w:val="0059451C"/>
    <w:rsid w:val="005A4137"/>
    <w:rsid w:val="005D7FA9"/>
    <w:rsid w:val="005E0271"/>
    <w:rsid w:val="005E08B7"/>
    <w:rsid w:val="005E4EAF"/>
    <w:rsid w:val="00600F1B"/>
    <w:rsid w:val="0060464E"/>
    <w:rsid w:val="006065FC"/>
    <w:rsid w:val="00622A23"/>
    <w:rsid w:val="0065339F"/>
    <w:rsid w:val="00660E64"/>
    <w:rsid w:val="00667BE0"/>
    <w:rsid w:val="00683D70"/>
    <w:rsid w:val="00695324"/>
    <w:rsid w:val="006C7D13"/>
    <w:rsid w:val="006D0771"/>
    <w:rsid w:val="006E7111"/>
    <w:rsid w:val="006F28FB"/>
    <w:rsid w:val="0073672E"/>
    <w:rsid w:val="0073724B"/>
    <w:rsid w:val="00757D88"/>
    <w:rsid w:val="007607ED"/>
    <w:rsid w:val="00774011"/>
    <w:rsid w:val="00776F5B"/>
    <w:rsid w:val="00783A73"/>
    <w:rsid w:val="00791FA2"/>
    <w:rsid w:val="007B0F82"/>
    <w:rsid w:val="007C5734"/>
    <w:rsid w:val="007C6E10"/>
    <w:rsid w:val="007E34F7"/>
    <w:rsid w:val="007E3815"/>
    <w:rsid w:val="007F1DE3"/>
    <w:rsid w:val="00862786"/>
    <w:rsid w:val="008650D4"/>
    <w:rsid w:val="00885DE5"/>
    <w:rsid w:val="00892C6F"/>
    <w:rsid w:val="00893482"/>
    <w:rsid w:val="00896649"/>
    <w:rsid w:val="008B1715"/>
    <w:rsid w:val="008B2C72"/>
    <w:rsid w:val="008B7DCD"/>
    <w:rsid w:val="008C2E4A"/>
    <w:rsid w:val="008E3601"/>
    <w:rsid w:val="008E5DEF"/>
    <w:rsid w:val="008F348E"/>
    <w:rsid w:val="00907C4E"/>
    <w:rsid w:val="00927719"/>
    <w:rsid w:val="00934879"/>
    <w:rsid w:val="009437F2"/>
    <w:rsid w:val="00962DAE"/>
    <w:rsid w:val="009973AD"/>
    <w:rsid w:val="009D4F24"/>
    <w:rsid w:val="009D7FD3"/>
    <w:rsid w:val="00A0090F"/>
    <w:rsid w:val="00A00C1F"/>
    <w:rsid w:val="00A038B9"/>
    <w:rsid w:val="00A27E1D"/>
    <w:rsid w:val="00A33058"/>
    <w:rsid w:val="00A406E1"/>
    <w:rsid w:val="00A54C12"/>
    <w:rsid w:val="00A62651"/>
    <w:rsid w:val="00A64CA8"/>
    <w:rsid w:val="00A770AC"/>
    <w:rsid w:val="00A913A4"/>
    <w:rsid w:val="00A9781A"/>
    <w:rsid w:val="00AA3040"/>
    <w:rsid w:val="00AA5689"/>
    <w:rsid w:val="00AE6755"/>
    <w:rsid w:val="00AF4538"/>
    <w:rsid w:val="00AF6742"/>
    <w:rsid w:val="00B05973"/>
    <w:rsid w:val="00B170B4"/>
    <w:rsid w:val="00B25764"/>
    <w:rsid w:val="00B35476"/>
    <w:rsid w:val="00B45B7A"/>
    <w:rsid w:val="00B93EDB"/>
    <w:rsid w:val="00BD64C0"/>
    <w:rsid w:val="00BF4621"/>
    <w:rsid w:val="00C149B6"/>
    <w:rsid w:val="00C37454"/>
    <w:rsid w:val="00C50286"/>
    <w:rsid w:val="00C57D85"/>
    <w:rsid w:val="00C61F2A"/>
    <w:rsid w:val="00C6708E"/>
    <w:rsid w:val="00C97832"/>
    <w:rsid w:val="00CA1F9C"/>
    <w:rsid w:val="00D02BC4"/>
    <w:rsid w:val="00D15D89"/>
    <w:rsid w:val="00D566E4"/>
    <w:rsid w:val="00D674FE"/>
    <w:rsid w:val="00DB3F2F"/>
    <w:rsid w:val="00DB7862"/>
    <w:rsid w:val="00DC3443"/>
    <w:rsid w:val="00DD25B1"/>
    <w:rsid w:val="00DE46E4"/>
    <w:rsid w:val="00DE7D53"/>
    <w:rsid w:val="00DF539B"/>
    <w:rsid w:val="00E2756B"/>
    <w:rsid w:val="00E31460"/>
    <w:rsid w:val="00E34B40"/>
    <w:rsid w:val="00E400C7"/>
    <w:rsid w:val="00E7163F"/>
    <w:rsid w:val="00E7216A"/>
    <w:rsid w:val="00E86FFE"/>
    <w:rsid w:val="00EA0BAB"/>
    <w:rsid w:val="00EA1170"/>
    <w:rsid w:val="00EA2AEE"/>
    <w:rsid w:val="00EA34EF"/>
    <w:rsid w:val="00EB5E29"/>
    <w:rsid w:val="00EB64F4"/>
    <w:rsid w:val="00EC482B"/>
    <w:rsid w:val="00ED2A90"/>
    <w:rsid w:val="00EE2436"/>
    <w:rsid w:val="00F029F5"/>
    <w:rsid w:val="00F11735"/>
    <w:rsid w:val="00F14CF8"/>
    <w:rsid w:val="00F239E0"/>
    <w:rsid w:val="00F67B29"/>
    <w:rsid w:val="00F85421"/>
    <w:rsid w:val="00F87B71"/>
    <w:rsid w:val="00FA71CD"/>
    <w:rsid w:val="00FD5BAA"/>
    <w:rsid w:val="00FE2193"/>
    <w:rsid w:val="00FE2395"/>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eastAsiaTheme="minorHAnsi" w:hAnsi="Calibri"/>
      <w:snapToGrid/>
      <w:sz w:val="22"/>
      <w:szCs w:val="22"/>
    </w:rPr>
  </w:style>
  <w:style w:type="paragraph" w:styleId="NormalWeb">
    <w:name w:val="Normal (Web)"/>
    <w:basedOn w:val="Normal"/>
    <w:uiPriority w:val="99"/>
    <w:unhideWhenUsed/>
    <w:rsid w:val="00C50286"/>
    <w:pPr>
      <w:widowControl/>
    </w:pPr>
    <w:rPr>
      <w:rFonts w:ascii="Times New Roman" w:eastAsiaTheme="minorHAnsi"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eastAsiaTheme="minorHAnsi" w:hAnsi="Calibri"/>
      <w:snapToGrid/>
      <w:sz w:val="22"/>
      <w:szCs w:val="22"/>
    </w:rPr>
  </w:style>
  <w:style w:type="paragraph" w:styleId="NormalWeb">
    <w:name w:val="Normal (Web)"/>
    <w:basedOn w:val="Normal"/>
    <w:uiPriority w:val="99"/>
    <w:unhideWhenUsed/>
    <w:rsid w:val="00C50286"/>
    <w:pPr>
      <w:widowControl/>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2513">
      <w:bodyDiv w:val="1"/>
      <w:marLeft w:val="0"/>
      <w:marRight w:val="0"/>
      <w:marTop w:val="0"/>
      <w:marBottom w:val="0"/>
      <w:divBdr>
        <w:top w:val="none" w:sz="0" w:space="0" w:color="auto"/>
        <w:left w:val="none" w:sz="0" w:space="0" w:color="auto"/>
        <w:bottom w:val="none" w:sz="0" w:space="0" w:color="auto"/>
        <w:right w:val="none" w:sz="0" w:space="0" w:color="auto"/>
      </w:divBdr>
    </w:div>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498228826">
      <w:bodyDiv w:val="1"/>
      <w:marLeft w:val="0"/>
      <w:marRight w:val="0"/>
      <w:marTop w:val="0"/>
      <w:marBottom w:val="0"/>
      <w:divBdr>
        <w:top w:val="none" w:sz="0" w:space="0" w:color="auto"/>
        <w:left w:val="none" w:sz="0" w:space="0" w:color="auto"/>
        <w:bottom w:val="none" w:sz="0" w:space="0" w:color="auto"/>
        <w:right w:val="none" w:sz="0" w:space="0" w:color="auto"/>
      </w:divBdr>
    </w:div>
    <w:div w:id="963736983">
      <w:bodyDiv w:val="1"/>
      <w:marLeft w:val="0"/>
      <w:marRight w:val="0"/>
      <w:marTop w:val="0"/>
      <w:marBottom w:val="0"/>
      <w:divBdr>
        <w:top w:val="none" w:sz="0" w:space="0" w:color="auto"/>
        <w:left w:val="none" w:sz="0" w:space="0" w:color="auto"/>
        <w:bottom w:val="none" w:sz="0" w:space="0" w:color="auto"/>
        <w:right w:val="none" w:sz="0" w:space="0" w:color="auto"/>
      </w:divBdr>
    </w:div>
    <w:div w:id="1041175949">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 w:id="1387071101">
      <w:bodyDiv w:val="1"/>
      <w:marLeft w:val="0"/>
      <w:marRight w:val="0"/>
      <w:marTop w:val="0"/>
      <w:marBottom w:val="0"/>
      <w:divBdr>
        <w:top w:val="none" w:sz="0" w:space="0" w:color="auto"/>
        <w:left w:val="none" w:sz="0" w:space="0" w:color="auto"/>
        <w:bottom w:val="none" w:sz="0" w:space="0" w:color="auto"/>
        <w:right w:val="none" w:sz="0" w:space="0" w:color="auto"/>
      </w:divBdr>
    </w:div>
    <w:div w:id="21076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cinclusion.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prod/2006pubs/tp-6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2095</Words>
  <Characters>11942</Characters>
  <Application>Microsoft Office Word</Application>
  <DocSecurity>0</DocSecurity>
  <Lines>99</Lines>
  <Paragraphs>28</Paragraphs>
  <ScaleCrop>false</ScaleCrop>
  <Company/>
  <LinksUpToDate>false</LinksUpToDate>
  <CharactersWithSpaces>14009</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2019-02-22T15:16:00Z</dcterms:created>
  <dcterms:modified xsi:type="dcterms:W3CDTF">2019-02-22T15:16:00Z</dcterms:modified>
</cp:coreProperties>
</file>