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771A8" w14:textId="77777777" w:rsidR="004846B3" w:rsidRPr="004846B3" w:rsidRDefault="004846B3" w:rsidP="003A0D60">
      <w:pPr>
        <w:pStyle w:val="ListParagraph"/>
        <w:tabs>
          <w:tab w:val="num" w:pos="450"/>
        </w:tabs>
        <w:ind w:left="446" w:hanging="360"/>
        <w:jc w:val="center"/>
        <w:rPr>
          <w:bCs/>
        </w:rPr>
      </w:pPr>
      <w:bookmarkStart w:id="0" w:name="_GoBack"/>
      <w:bookmarkEnd w:id="0"/>
      <w:r w:rsidRPr="004846B3">
        <w:rPr>
          <w:bCs/>
        </w:rPr>
        <w:t>National Credit Union Administration</w:t>
      </w:r>
    </w:p>
    <w:p w14:paraId="3413282D" w14:textId="77777777" w:rsidR="004846B3" w:rsidRDefault="003A0D60" w:rsidP="003A0D60">
      <w:pPr>
        <w:pStyle w:val="ListParagraph"/>
        <w:tabs>
          <w:tab w:val="num" w:pos="450"/>
        </w:tabs>
        <w:ind w:left="446" w:hanging="360"/>
        <w:jc w:val="center"/>
        <w:rPr>
          <w:b/>
          <w:bCs/>
        </w:rPr>
      </w:pPr>
      <w:r w:rsidRPr="008F2C6B">
        <w:rPr>
          <w:b/>
          <w:bCs/>
        </w:rPr>
        <w:t xml:space="preserve">SUPPORTING STATEMENT </w:t>
      </w:r>
    </w:p>
    <w:p w14:paraId="5FDD353D" w14:textId="77777777" w:rsidR="004846B3" w:rsidRDefault="004846B3" w:rsidP="003A0D60">
      <w:pPr>
        <w:pStyle w:val="ListParagraph"/>
        <w:tabs>
          <w:tab w:val="num" w:pos="450"/>
        </w:tabs>
        <w:ind w:left="446" w:hanging="360"/>
        <w:jc w:val="center"/>
        <w:rPr>
          <w:b/>
          <w:bCs/>
        </w:rPr>
      </w:pPr>
    </w:p>
    <w:p w14:paraId="52E67B0A" w14:textId="24689108" w:rsidR="00565BA9" w:rsidRDefault="003E3166" w:rsidP="003A0D60">
      <w:pPr>
        <w:pStyle w:val="ListParagraph"/>
        <w:tabs>
          <w:tab w:val="num" w:pos="450"/>
        </w:tabs>
        <w:ind w:left="446" w:hanging="360"/>
        <w:jc w:val="center"/>
        <w:rPr>
          <w:b/>
          <w:bCs/>
        </w:rPr>
      </w:pPr>
      <w:r w:rsidRPr="008F2C6B">
        <w:rPr>
          <w:b/>
          <w:bCs/>
        </w:rPr>
        <w:t>Investment and Deposit Activities</w:t>
      </w:r>
      <w:r w:rsidR="004846B3">
        <w:rPr>
          <w:b/>
          <w:bCs/>
        </w:rPr>
        <w:t>, 12 CFR Part 703</w:t>
      </w:r>
    </w:p>
    <w:p w14:paraId="6F0B1D99" w14:textId="4A1729DC" w:rsidR="003A0D60" w:rsidRPr="008F2C6B" w:rsidRDefault="0048409D" w:rsidP="003A0D60">
      <w:pPr>
        <w:pStyle w:val="ListParagraph"/>
        <w:tabs>
          <w:tab w:val="num" w:pos="450"/>
        </w:tabs>
        <w:ind w:left="446" w:hanging="360"/>
        <w:jc w:val="center"/>
        <w:rPr>
          <w:b/>
          <w:bCs/>
        </w:rPr>
      </w:pPr>
      <w:r>
        <w:rPr>
          <w:b/>
          <w:bCs/>
        </w:rPr>
        <w:t xml:space="preserve">OMB No. </w:t>
      </w:r>
      <w:r w:rsidR="00565BA9">
        <w:rPr>
          <w:b/>
          <w:bCs/>
        </w:rPr>
        <w:t>3133-0133</w:t>
      </w:r>
    </w:p>
    <w:p w14:paraId="187B7729" w14:textId="3D4D9BA4" w:rsidR="003A0D60" w:rsidRDefault="003A0D60" w:rsidP="003A0D60">
      <w:pPr>
        <w:pStyle w:val="ListParagraph"/>
        <w:ind w:left="0"/>
        <w:rPr>
          <w:b/>
        </w:rPr>
      </w:pPr>
    </w:p>
    <w:p w14:paraId="6558A749" w14:textId="77777777" w:rsidR="004846B3" w:rsidRPr="008F2C6B" w:rsidRDefault="004846B3" w:rsidP="003A0D60">
      <w:pPr>
        <w:pStyle w:val="ListParagraph"/>
        <w:ind w:left="0"/>
        <w:rPr>
          <w:b/>
        </w:rPr>
      </w:pPr>
    </w:p>
    <w:p w14:paraId="53972E0B" w14:textId="77777777" w:rsidR="003A0D60" w:rsidRPr="008F2C6B" w:rsidRDefault="003A0D60" w:rsidP="00885634">
      <w:pPr>
        <w:pStyle w:val="ListParagraph"/>
        <w:numPr>
          <w:ilvl w:val="0"/>
          <w:numId w:val="2"/>
        </w:numPr>
        <w:tabs>
          <w:tab w:val="left" w:pos="720"/>
        </w:tabs>
        <w:ind w:left="720" w:hanging="720"/>
        <w:rPr>
          <w:b/>
        </w:rPr>
      </w:pPr>
      <w:r w:rsidRPr="008F2C6B">
        <w:rPr>
          <w:b/>
        </w:rPr>
        <w:t>JUSTIFICATION</w:t>
      </w:r>
    </w:p>
    <w:p w14:paraId="69CE4724" w14:textId="77777777" w:rsidR="003A0D60" w:rsidRPr="008F2C6B" w:rsidRDefault="003A0D60" w:rsidP="00885634">
      <w:pPr>
        <w:pStyle w:val="ListParagraph"/>
        <w:tabs>
          <w:tab w:val="left" w:pos="720"/>
        </w:tabs>
        <w:ind w:hanging="720"/>
        <w:rPr>
          <w:b/>
        </w:rPr>
      </w:pPr>
    </w:p>
    <w:p w14:paraId="298C268B" w14:textId="7DCFBF5F" w:rsidR="003A0D60" w:rsidRPr="004846B3" w:rsidRDefault="004846B3" w:rsidP="004846B3">
      <w:pPr>
        <w:pStyle w:val="ListParagraph"/>
        <w:numPr>
          <w:ilvl w:val="0"/>
          <w:numId w:val="3"/>
        </w:numPr>
        <w:ind w:left="720" w:hanging="720"/>
        <w:rPr>
          <w:b/>
        </w:rPr>
      </w:pPr>
      <w:r w:rsidRPr="00625090">
        <w:rPr>
          <w:b/>
        </w:rPr>
        <w:t>Circumstances that make the collection of information necessary</w:t>
      </w:r>
      <w:r>
        <w:rPr>
          <w:b/>
        </w:rPr>
        <w:t>.</w:t>
      </w:r>
    </w:p>
    <w:p w14:paraId="00AF5CA5" w14:textId="78F8F163" w:rsidR="003A74AF" w:rsidRPr="003A74AF" w:rsidRDefault="00885634" w:rsidP="00885634">
      <w:pPr>
        <w:pStyle w:val="ListParagraph"/>
        <w:tabs>
          <w:tab w:val="left" w:pos="720"/>
        </w:tabs>
        <w:suppressAutoHyphens/>
        <w:ind w:hanging="720"/>
        <w:rPr>
          <w:u w:val="single"/>
        </w:rPr>
      </w:pPr>
      <w:r w:rsidRPr="00885634">
        <w:tab/>
      </w:r>
      <w:r w:rsidR="003A74AF" w:rsidRPr="003A74AF">
        <w:rPr>
          <w:u w:val="single"/>
        </w:rPr>
        <w:t>Subpart A</w:t>
      </w:r>
    </w:p>
    <w:p w14:paraId="6281D79E" w14:textId="24A6DFD2" w:rsidR="003A0D60" w:rsidRPr="008F2C6B" w:rsidRDefault="00885634" w:rsidP="00885634">
      <w:pPr>
        <w:pStyle w:val="ListParagraph"/>
        <w:suppressAutoHyphens/>
        <w:ind w:hanging="720"/>
      </w:pPr>
      <w:r>
        <w:tab/>
      </w:r>
      <w:r w:rsidR="003A74AF">
        <w:t>The Federal Credit Union Act (Act) provides FCUs with the authority to invest in certain securities, obligations, and accounts</w:t>
      </w:r>
      <w:r w:rsidR="00FA0955">
        <w:t xml:space="preserve"> (</w:t>
      </w:r>
      <w:r w:rsidR="003A74AF">
        <w:t>12 U.S.C. 1757(7) and (15)</w:t>
      </w:r>
      <w:r w:rsidR="00FA0955">
        <w:t>)</w:t>
      </w:r>
      <w:r w:rsidR="003A74AF">
        <w:t xml:space="preserve">.  </w:t>
      </w:r>
      <w:r w:rsidR="00826992" w:rsidRPr="008F2C6B">
        <w:t>T</w:t>
      </w:r>
      <w:r w:rsidR="007E7A1F" w:rsidRPr="008F2C6B">
        <w:t xml:space="preserve">he National Credit Union Administration </w:t>
      </w:r>
      <w:r w:rsidR="00826992" w:rsidRPr="008F2C6B">
        <w:t xml:space="preserve">(NCUA) </w:t>
      </w:r>
      <w:r w:rsidR="007E7A1F" w:rsidRPr="008F2C6B">
        <w:t>Board</w:t>
      </w:r>
      <w:r w:rsidR="00E81E98" w:rsidRPr="008F2C6B">
        <w:t xml:space="preserve"> has regulations in place </w:t>
      </w:r>
      <w:r w:rsidR="00782C1E">
        <w:t xml:space="preserve">to enforce </w:t>
      </w:r>
      <w:r w:rsidR="007E7A1F" w:rsidRPr="008F2C6B">
        <w:t>Sections 107(7), 107(8), and 107(15) of the Federal Credit Union Act, 12 U.S.C. 1757(7), 1757(8), 1</w:t>
      </w:r>
      <w:r w:rsidR="00C37516">
        <w:t>757</w:t>
      </w:r>
      <w:r w:rsidR="006E1926">
        <w:t>(</w:t>
      </w:r>
      <w:r w:rsidR="007E7A1F" w:rsidRPr="008F2C6B">
        <w:t xml:space="preserve">15), which list those securities, deposits, and other obligations in which a Federal </w:t>
      </w:r>
      <w:r w:rsidR="00FB5D13" w:rsidRPr="008F2C6B">
        <w:t>Credit Union (FCU)</w:t>
      </w:r>
      <w:r w:rsidR="007E7A1F" w:rsidRPr="008F2C6B">
        <w:t xml:space="preserve"> </w:t>
      </w:r>
      <w:r w:rsidR="00826992" w:rsidRPr="008F2C6B">
        <w:t>may invest.  The regulations related</w:t>
      </w:r>
      <w:r w:rsidR="007E7A1F" w:rsidRPr="008F2C6B">
        <w:t xml:space="preserve"> </w:t>
      </w:r>
      <w:r w:rsidR="00826992" w:rsidRPr="008F2C6B">
        <w:t>to these areas are contained in P</w:t>
      </w:r>
      <w:r w:rsidR="003A74AF">
        <w:t>art 703 and Section 721.</w:t>
      </w:r>
      <w:r w:rsidR="00826992" w:rsidRPr="008F2C6B">
        <w:t xml:space="preserve">3 </w:t>
      </w:r>
      <w:r w:rsidR="00FA0955">
        <w:t xml:space="preserve">(Incidental Powers) </w:t>
      </w:r>
      <w:r w:rsidR="00826992" w:rsidRPr="008F2C6B">
        <w:t>of NCUA</w:t>
      </w:r>
      <w:r w:rsidR="003A74AF">
        <w:t>’s</w:t>
      </w:r>
      <w:r w:rsidR="00826992" w:rsidRPr="008F2C6B">
        <w:t xml:space="preserve"> Rules and Regulations.</w:t>
      </w:r>
    </w:p>
    <w:p w14:paraId="2A39B2A6" w14:textId="77777777" w:rsidR="00E81E98" w:rsidRPr="008F2C6B" w:rsidRDefault="00E81E98" w:rsidP="00885634">
      <w:pPr>
        <w:pStyle w:val="ListParagraph"/>
        <w:tabs>
          <w:tab w:val="left" w:pos="-720"/>
          <w:tab w:val="left" w:pos="286"/>
          <w:tab w:val="left" w:pos="403"/>
          <w:tab w:val="left" w:pos="720"/>
        </w:tabs>
        <w:suppressAutoHyphens/>
        <w:ind w:hanging="720"/>
      </w:pPr>
    </w:p>
    <w:p w14:paraId="1D07B697" w14:textId="6982E97D" w:rsidR="003A74AF" w:rsidRDefault="00885634" w:rsidP="004846B3">
      <w:pPr>
        <w:tabs>
          <w:tab w:val="left" w:pos="720"/>
        </w:tabs>
        <w:ind w:left="720" w:hanging="720"/>
        <w:rPr>
          <w:u w:val="single"/>
        </w:rPr>
      </w:pPr>
      <w:r>
        <w:tab/>
      </w:r>
      <w:r w:rsidR="003A74AF" w:rsidRPr="003A74AF">
        <w:rPr>
          <w:u w:val="single"/>
        </w:rPr>
        <w:t>Subpart B</w:t>
      </w:r>
    </w:p>
    <w:p w14:paraId="4BF47BB2" w14:textId="02021BF5" w:rsidR="003A74AF" w:rsidRDefault="003A74AF" w:rsidP="00652B0A">
      <w:pPr>
        <w:pStyle w:val="FootnoteText"/>
        <w:ind w:left="720"/>
        <w:rPr>
          <w:rFonts w:ascii="Times New Roman" w:hAnsi="Times New Roman"/>
          <w:sz w:val="24"/>
          <w:szCs w:val="24"/>
        </w:rPr>
      </w:pPr>
      <w:r>
        <w:rPr>
          <w:rFonts w:ascii="Times New Roman" w:hAnsi="Times New Roman"/>
          <w:sz w:val="24"/>
          <w:szCs w:val="24"/>
        </w:rPr>
        <w:t xml:space="preserve">In January 2014, the NCUA Board approved a new regulation permitting federal credit unions (FCUs) to engage in limited derivatives activities for the purpose of mitigating interest rate risk </w:t>
      </w:r>
      <w:r w:rsidR="00437BC1">
        <w:rPr>
          <w:rFonts w:ascii="Times New Roman" w:hAnsi="Times New Roman"/>
          <w:sz w:val="24"/>
          <w:szCs w:val="24"/>
        </w:rPr>
        <w:t>(</w:t>
      </w:r>
      <w:r>
        <w:rPr>
          <w:rFonts w:ascii="Times New Roman" w:hAnsi="Times New Roman"/>
          <w:sz w:val="24"/>
          <w:szCs w:val="24"/>
        </w:rPr>
        <w:t xml:space="preserve">Final Rule, Derivatives Authority, 79 </w:t>
      </w:r>
      <w:r w:rsidR="00437BC1">
        <w:rPr>
          <w:rFonts w:ascii="Times New Roman" w:hAnsi="Times New Roman"/>
          <w:sz w:val="24"/>
          <w:szCs w:val="24"/>
        </w:rPr>
        <w:t>FR</w:t>
      </w:r>
      <w:r>
        <w:rPr>
          <w:rFonts w:ascii="Times New Roman" w:hAnsi="Times New Roman"/>
          <w:sz w:val="24"/>
          <w:szCs w:val="24"/>
        </w:rPr>
        <w:t xml:space="preserve"> 5228</w:t>
      </w:r>
      <w:r w:rsidR="00437BC1">
        <w:rPr>
          <w:rFonts w:ascii="Times New Roman" w:hAnsi="Times New Roman"/>
          <w:sz w:val="24"/>
          <w:szCs w:val="24"/>
        </w:rPr>
        <w:t>,</w:t>
      </w:r>
      <w:r>
        <w:rPr>
          <w:rFonts w:ascii="Times New Roman" w:hAnsi="Times New Roman"/>
          <w:sz w:val="24"/>
          <w:szCs w:val="24"/>
        </w:rPr>
        <w:t xml:space="preserve"> Jan</w:t>
      </w:r>
      <w:r w:rsidR="00437BC1">
        <w:rPr>
          <w:rFonts w:ascii="Times New Roman" w:hAnsi="Times New Roman"/>
          <w:sz w:val="24"/>
          <w:szCs w:val="24"/>
        </w:rPr>
        <w:t xml:space="preserve">uary </w:t>
      </w:r>
      <w:r>
        <w:rPr>
          <w:rFonts w:ascii="Times New Roman" w:hAnsi="Times New Roman"/>
          <w:sz w:val="24"/>
          <w:szCs w:val="24"/>
        </w:rPr>
        <w:t xml:space="preserve">31, 2014).  The Rule </w:t>
      </w:r>
      <w:r w:rsidR="00437BC1">
        <w:rPr>
          <w:rFonts w:ascii="Times New Roman" w:hAnsi="Times New Roman"/>
          <w:sz w:val="24"/>
          <w:szCs w:val="24"/>
        </w:rPr>
        <w:t xml:space="preserve">is codified </w:t>
      </w:r>
      <w:r>
        <w:rPr>
          <w:rFonts w:ascii="Times New Roman" w:hAnsi="Times New Roman"/>
          <w:sz w:val="24"/>
          <w:szCs w:val="24"/>
        </w:rPr>
        <w:t xml:space="preserve">at 12 CFR Part 703 Subpart B (sections 703.100 – 703.114 and an Appendix) </w:t>
      </w:r>
    </w:p>
    <w:p w14:paraId="7D3A4862" w14:textId="77777777" w:rsidR="003A74AF" w:rsidRDefault="003A74AF" w:rsidP="00652B0A">
      <w:pPr>
        <w:autoSpaceDE w:val="0"/>
        <w:autoSpaceDN w:val="0"/>
        <w:adjustRightInd w:val="0"/>
        <w:ind w:left="720"/>
      </w:pPr>
    </w:p>
    <w:p w14:paraId="3FF7C6F2" w14:textId="69520D16" w:rsidR="003A74AF" w:rsidRDefault="003A74AF" w:rsidP="00652B0A">
      <w:pPr>
        <w:autoSpaceDE w:val="0"/>
        <w:autoSpaceDN w:val="0"/>
        <w:adjustRightInd w:val="0"/>
        <w:ind w:left="720"/>
      </w:pPr>
      <w:r>
        <w:t xml:space="preserve">Before the Rule was issued in January 2014, derivatives (with certain exceptions) were among the investments specifically prohibited by NCUA </w:t>
      </w:r>
      <w:r w:rsidR="00437BC1">
        <w:t>(</w:t>
      </w:r>
      <w:r>
        <w:t>12 CFR. 703.16(a) (2014)</w:t>
      </w:r>
      <w:r w:rsidR="00437BC1">
        <w:t>)</w:t>
      </w:r>
      <w:r>
        <w:t>.  The Rule applies only to FCUs, except for one provision that requires any federally insured, state-chartered credit union (FISCU) to notify NCUA before it begins engaging in derivatives transactions</w:t>
      </w:r>
      <w:r w:rsidR="00437BC1">
        <w:t xml:space="preserve"> (</w:t>
      </w:r>
      <w:r>
        <w:t>12 CFR 741.219(b)</w:t>
      </w:r>
      <w:r w:rsidR="00437BC1">
        <w:t>)</w:t>
      </w:r>
      <w:r w:rsidR="004846B3">
        <w:t>.</w:t>
      </w:r>
    </w:p>
    <w:p w14:paraId="1F9808C2" w14:textId="77777777" w:rsidR="003A74AF" w:rsidRDefault="003A74AF" w:rsidP="00652B0A">
      <w:pPr>
        <w:autoSpaceDE w:val="0"/>
        <w:autoSpaceDN w:val="0"/>
        <w:adjustRightInd w:val="0"/>
        <w:ind w:left="720"/>
      </w:pPr>
    </w:p>
    <w:p w14:paraId="3196F1AC" w14:textId="66B397D8" w:rsidR="003A74AF" w:rsidRDefault="003A74AF" w:rsidP="004846B3">
      <w:pPr>
        <w:autoSpaceDE w:val="0"/>
        <w:autoSpaceDN w:val="0"/>
        <w:adjustRightInd w:val="0"/>
        <w:ind w:left="720"/>
      </w:pPr>
      <w:r>
        <w:t xml:space="preserve">The Rule addresses permissible derivatives and characteristics, limits on derivatives, operational requirements, counterparty and margining requirements, and the procedures a credit union must follow to request derivatives authority.  </w:t>
      </w:r>
    </w:p>
    <w:p w14:paraId="06C23306" w14:textId="77777777" w:rsidR="003A74AF" w:rsidRPr="003A74AF" w:rsidRDefault="003A74AF" w:rsidP="00FB5D13">
      <w:pPr>
        <w:rPr>
          <w:u w:val="single"/>
        </w:rPr>
      </w:pPr>
    </w:p>
    <w:p w14:paraId="2C94D9BC" w14:textId="1B8E554C" w:rsidR="003A0D60" w:rsidRPr="008F2C6B" w:rsidRDefault="004846B3" w:rsidP="00652B0A">
      <w:pPr>
        <w:pStyle w:val="ListParagraph"/>
        <w:numPr>
          <w:ilvl w:val="0"/>
          <w:numId w:val="3"/>
        </w:numPr>
        <w:tabs>
          <w:tab w:val="left" w:pos="720"/>
        </w:tabs>
        <w:ind w:left="720" w:hanging="720"/>
        <w:rPr>
          <w:b/>
        </w:rPr>
      </w:pPr>
      <w:r>
        <w:rPr>
          <w:b/>
        </w:rPr>
        <w:t>Purpose and use of the information c</w:t>
      </w:r>
      <w:r w:rsidR="003A0D60" w:rsidRPr="008F2C6B">
        <w:rPr>
          <w:b/>
        </w:rPr>
        <w:t>ollection</w:t>
      </w:r>
      <w:r>
        <w:rPr>
          <w:b/>
        </w:rPr>
        <w:t>.</w:t>
      </w:r>
    </w:p>
    <w:p w14:paraId="6571C5A1" w14:textId="6A86C92E" w:rsidR="003A74AF" w:rsidRPr="008F2C6B" w:rsidRDefault="00652B0A" w:rsidP="00652B0A">
      <w:pPr>
        <w:pStyle w:val="ListParagraph"/>
        <w:tabs>
          <w:tab w:val="left" w:pos="720"/>
        </w:tabs>
        <w:ind w:hanging="720"/>
      </w:pPr>
      <w:r>
        <w:tab/>
      </w:r>
      <w:r w:rsidR="003A74AF">
        <w:t xml:space="preserve">NCUA uses this information to ensure </w:t>
      </w:r>
      <w:r w:rsidR="003A74AF" w:rsidRPr="008F2C6B">
        <w:t xml:space="preserve">compliance </w:t>
      </w:r>
      <w:r w:rsidR="00CA3FD1">
        <w:t xml:space="preserve">under 12 U.S.C. 1757a </w:t>
      </w:r>
      <w:r w:rsidR="003A74AF" w:rsidRPr="008F2C6B">
        <w:t xml:space="preserve">of the Federal Credit Union </w:t>
      </w:r>
      <w:r w:rsidR="003A74AF">
        <w:t>and NCUA’s Rules and Regulations.  Additionally, the information is used to limit and monitor</w:t>
      </w:r>
      <w:r w:rsidR="003A74AF" w:rsidRPr="008F2C6B">
        <w:t xml:space="preserve"> the level of risk that exists within a credit union, the actions taken by the credit union to mitigate such risk, </w:t>
      </w:r>
      <w:r w:rsidR="003A74AF">
        <w:t>and helps prevent losses to FCUs</w:t>
      </w:r>
      <w:r w:rsidR="003A74AF" w:rsidRPr="008F2C6B">
        <w:t xml:space="preserve"> and the National Credit Union Share Insurance Fund (NCUSIF).</w:t>
      </w:r>
    </w:p>
    <w:p w14:paraId="58B7A481" w14:textId="77777777" w:rsidR="003A74AF" w:rsidRDefault="003A74AF" w:rsidP="00652B0A">
      <w:pPr>
        <w:tabs>
          <w:tab w:val="left" w:pos="720"/>
        </w:tabs>
        <w:ind w:left="720" w:hanging="720"/>
      </w:pPr>
    </w:p>
    <w:p w14:paraId="182EBBBD" w14:textId="72A0AC97" w:rsidR="003A74AF" w:rsidRDefault="00652B0A" w:rsidP="00652B0A">
      <w:pPr>
        <w:tabs>
          <w:tab w:val="left" w:pos="720"/>
        </w:tabs>
        <w:ind w:left="720" w:hanging="720"/>
      </w:pPr>
      <w:r>
        <w:tab/>
      </w:r>
      <w:r w:rsidR="003A74AF">
        <w:t xml:space="preserve">Credit unions use this information to engage in a sound investment program.  Credit unions use the information to engage is a sound derivatives program as a tool to mitigate </w:t>
      </w:r>
      <w:r w:rsidR="003A74AF">
        <w:lastRenderedPageBreak/>
        <w:t xml:space="preserve">interest rate risk and to evidence compliance with the Rule and safety and soundness requirements.   </w:t>
      </w:r>
    </w:p>
    <w:p w14:paraId="1101D860" w14:textId="77777777" w:rsidR="003A0D60" w:rsidRPr="008F2C6B" w:rsidRDefault="003A0D60" w:rsidP="00652B0A">
      <w:pPr>
        <w:tabs>
          <w:tab w:val="left" w:pos="720"/>
        </w:tabs>
        <w:ind w:left="720" w:hanging="720"/>
      </w:pPr>
    </w:p>
    <w:p w14:paraId="0ED68643" w14:textId="0C2EB2C9" w:rsidR="003A0D60" w:rsidRPr="008F2C6B" w:rsidRDefault="004846B3" w:rsidP="00652B0A">
      <w:pPr>
        <w:pStyle w:val="ListParagraph"/>
        <w:numPr>
          <w:ilvl w:val="0"/>
          <w:numId w:val="3"/>
        </w:numPr>
        <w:tabs>
          <w:tab w:val="left" w:pos="720"/>
        </w:tabs>
        <w:ind w:left="720" w:hanging="720"/>
        <w:rPr>
          <w:b/>
        </w:rPr>
      </w:pPr>
      <w:r>
        <w:rPr>
          <w:b/>
        </w:rPr>
        <w:t>Use of</w:t>
      </w:r>
      <w:r w:rsidR="003A0D60" w:rsidRPr="008F2C6B">
        <w:rPr>
          <w:b/>
        </w:rPr>
        <w:t xml:space="preserve"> Information Technology</w:t>
      </w:r>
    </w:p>
    <w:p w14:paraId="56E97255" w14:textId="190A1E1C" w:rsidR="006E45FE" w:rsidRDefault="00652B0A" w:rsidP="00652B0A">
      <w:pPr>
        <w:tabs>
          <w:tab w:val="left" w:pos="720"/>
        </w:tabs>
        <w:suppressAutoHyphens/>
        <w:ind w:left="720" w:hanging="720"/>
      </w:pPr>
      <w:r>
        <w:tab/>
      </w:r>
      <w:r w:rsidR="006E45FE">
        <w:t xml:space="preserve">Credit unions may submit and retain the information collections in a number of ways, including electronically. </w:t>
      </w:r>
    </w:p>
    <w:p w14:paraId="54D41758" w14:textId="77777777" w:rsidR="003A0D60" w:rsidRPr="008F2C6B" w:rsidRDefault="003A0D60" w:rsidP="00652B0A">
      <w:pPr>
        <w:tabs>
          <w:tab w:val="left" w:pos="720"/>
        </w:tabs>
        <w:ind w:left="720" w:hanging="720"/>
      </w:pPr>
    </w:p>
    <w:p w14:paraId="67907D75" w14:textId="4E6E1392" w:rsidR="003A0D60" w:rsidRPr="008F2C6B" w:rsidRDefault="003A0D60" w:rsidP="00652B0A">
      <w:pPr>
        <w:pStyle w:val="ListParagraph"/>
        <w:numPr>
          <w:ilvl w:val="0"/>
          <w:numId w:val="3"/>
        </w:numPr>
        <w:tabs>
          <w:tab w:val="left" w:pos="720"/>
        </w:tabs>
        <w:ind w:left="720" w:hanging="720"/>
        <w:rPr>
          <w:b/>
        </w:rPr>
      </w:pPr>
      <w:r w:rsidRPr="008F2C6B">
        <w:rPr>
          <w:b/>
        </w:rPr>
        <w:t xml:space="preserve">Duplication </w:t>
      </w:r>
    </w:p>
    <w:p w14:paraId="2D29E053" w14:textId="3DDCDA6E" w:rsidR="006E45FE" w:rsidRDefault="00652B0A" w:rsidP="00652B0A">
      <w:pPr>
        <w:tabs>
          <w:tab w:val="left" w:pos="720"/>
        </w:tabs>
        <w:autoSpaceDE w:val="0"/>
        <w:autoSpaceDN w:val="0"/>
        <w:adjustRightInd w:val="0"/>
        <w:ind w:left="720" w:hanging="720"/>
      </w:pPr>
      <w:r>
        <w:tab/>
      </w:r>
      <w:r w:rsidR="00D31506">
        <w:t>The r</w:t>
      </w:r>
      <w:r w:rsidR="006E45FE">
        <w:t>ule requires credit unions engaging in derivatives activities to obtain an annual financial statement audit performed by a certified public accountant.  Section 715.5(a) of NCUA’s Regulations already requires FCUs with assets of $500 million or greater to obtain an annual f</w:t>
      </w:r>
      <w:r w:rsidR="00D31506">
        <w:t>inancial statement audit.  12 CF</w:t>
      </w:r>
      <w:r w:rsidR="006E45FE">
        <w:t xml:space="preserve">R. 715.5(a).  However, FCUs that already obtain an annual financial statement audit under section 715.5(a) may use that audit to </w:t>
      </w:r>
      <w:r w:rsidR="00D31506">
        <w:t>satisfy the requirement of the r</w:t>
      </w:r>
      <w:r w:rsidR="006E45FE">
        <w:t xml:space="preserve">ule, thereby eliminating duplication.  Otherwise, the information collections are unique to each credit union and are not duplicated elsewhere. </w:t>
      </w:r>
    </w:p>
    <w:p w14:paraId="3A8F9C6E" w14:textId="77777777" w:rsidR="003A0D60" w:rsidRPr="008F2C6B" w:rsidRDefault="003A0D60" w:rsidP="00652B0A">
      <w:pPr>
        <w:pStyle w:val="ListParagraph"/>
        <w:tabs>
          <w:tab w:val="left" w:pos="720"/>
        </w:tabs>
        <w:suppressAutoHyphens/>
        <w:ind w:hanging="720"/>
      </w:pPr>
    </w:p>
    <w:p w14:paraId="3270FE5B" w14:textId="346FF78A" w:rsidR="003A0D60" w:rsidRPr="008F2C6B" w:rsidRDefault="003A0D60" w:rsidP="00652B0A">
      <w:pPr>
        <w:pStyle w:val="ListParagraph"/>
        <w:numPr>
          <w:ilvl w:val="0"/>
          <w:numId w:val="3"/>
        </w:numPr>
        <w:tabs>
          <w:tab w:val="left" w:pos="720"/>
        </w:tabs>
        <w:ind w:left="720" w:hanging="720"/>
        <w:rPr>
          <w:b/>
        </w:rPr>
      </w:pPr>
      <w:r w:rsidRPr="008F2C6B">
        <w:rPr>
          <w:b/>
        </w:rPr>
        <w:t>Effect</w:t>
      </w:r>
      <w:r w:rsidR="004846B3">
        <w:rPr>
          <w:b/>
        </w:rPr>
        <w:t>s to reduce burden</w:t>
      </w:r>
      <w:r w:rsidRPr="008F2C6B">
        <w:rPr>
          <w:b/>
        </w:rPr>
        <w:t xml:space="preserve"> on Small Entities</w:t>
      </w:r>
    </w:p>
    <w:p w14:paraId="33DAAD18" w14:textId="022FCB0C" w:rsidR="008F2C6B" w:rsidRDefault="00652B0A" w:rsidP="00652B0A">
      <w:pPr>
        <w:tabs>
          <w:tab w:val="left" w:pos="720"/>
        </w:tabs>
        <w:ind w:left="720" w:hanging="720"/>
        <w:rPr>
          <w:rFonts w:ascii="CG Times (W1)" w:hAnsi="CG Times (W1)"/>
        </w:rPr>
      </w:pPr>
      <w:r>
        <w:rPr>
          <w:rFonts w:ascii="CG Times (W1)" w:hAnsi="CG Times (W1)"/>
        </w:rPr>
        <w:tab/>
      </w:r>
      <w:r w:rsidR="006E45FE">
        <w:rPr>
          <w:rFonts w:ascii="CG Times (W1)" w:hAnsi="CG Times (W1)"/>
        </w:rPr>
        <w:t xml:space="preserve">The type of policies will vary depending on the complexity of the credit union’s investment program.  Therefore, small entities </w:t>
      </w:r>
      <w:r w:rsidR="00437BC1">
        <w:rPr>
          <w:rFonts w:ascii="CG Times (W1)" w:hAnsi="CG Times (W1)"/>
        </w:rPr>
        <w:t xml:space="preserve">with </w:t>
      </w:r>
      <w:r w:rsidR="006E45FE">
        <w:rPr>
          <w:rFonts w:ascii="CG Times (W1)" w:hAnsi="CG Times (W1)"/>
        </w:rPr>
        <w:t xml:space="preserve">simple and low-risk investment programs can develop and maintain basic investment policies.  Most collections are </w:t>
      </w:r>
      <w:r w:rsidR="007F1A2E">
        <w:rPr>
          <w:rFonts w:ascii="CG Times (W1)" w:hAnsi="CG Times (W1)"/>
        </w:rPr>
        <w:t xml:space="preserve">required only if the credit union elects to invest in higher-risk investment activities.  </w:t>
      </w:r>
      <w:r w:rsidR="006E45FE">
        <w:rPr>
          <w:rFonts w:ascii="CG Times (W1)" w:hAnsi="CG Times (W1)"/>
        </w:rPr>
        <w:t>NCUA estimates that very f</w:t>
      </w:r>
      <w:r w:rsidR="008F2C6B">
        <w:rPr>
          <w:rFonts w:ascii="CG Times (W1)" w:hAnsi="CG Times (W1)"/>
        </w:rPr>
        <w:t>ew small credit unions purchase the types of investments that are subject to the increased monitoring and reporting requirements.</w:t>
      </w:r>
    </w:p>
    <w:p w14:paraId="672F48DC" w14:textId="77777777" w:rsidR="006E45FE" w:rsidRDefault="006E45FE" w:rsidP="00652B0A">
      <w:pPr>
        <w:tabs>
          <w:tab w:val="left" w:pos="720"/>
        </w:tabs>
        <w:ind w:left="720" w:hanging="720"/>
        <w:rPr>
          <w:rFonts w:ascii="CG Times (W1)" w:hAnsi="CG Times (W1)"/>
        </w:rPr>
      </w:pPr>
    </w:p>
    <w:p w14:paraId="1C0B0348" w14:textId="6CB2DD7F" w:rsidR="006E45FE" w:rsidRDefault="00652B0A" w:rsidP="00652B0A">
      <w:pPr>
        <w:pStyle w:val="ListParagraph"/>
        <w:tabs>
          <w:tab w:val="left" w:pos="-4466"/>
          <w:tab w:val="left" w:pos="-3460"/>
          <w:tab w:val="left" w:pos="-3343"/>
        </w:tabs>
        <w:suppressAutoHyphens/>
        <w:ind w:hanging="720"/>
      </w:pPr>
      <w:r>
        <w:tab/>
      </w:r>
      <w:r w:rsidR="006E45FE">
        <w:t xml:space="preserve">While small credit unions may request to apply for derivative authority, NCUA anticipates that the majority of credit unions engaging in derivatives activity will have over $250 million in assets. </w:t>
      </w:r>
    </w:p>
    <w:p w14:paraId="6D898F16" w14:textId="77777777" w:rsidR="003A0D60" w:rsidRPr="008F2C6B" w:rsidRDefault="003A0D60" w:rsidP="00652B0A">
      <w:pPr>
        <w:pStyle w:val="ListParagraph"/>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ind w:hanging="720"/>
      </w:pPr>
    </w:p>
    <w:p w14:paraId="51432618" w14:textId="77777777" w:rsidR="003A0D60" w:rsidRPr="008F2C6B" w:rsidRDefault="003A0D60" w:rsidP="00652B0A">
      <w:pPr>
        <w:pStyle w:val="ListParagraph"/>
        <w:numPr>
          <w:ilvl w:val="0"/>
          <w:numId w:val="3"/>
        </w:numPr>
        <w:tabs>
          <w:tab w:val="left" w:pos="720"/>
        </w:tabs>
        <w:ind w:left="720" w:hanging="720"/>
        <w:rPr>
          <w:b/>
        </w:rPr>
      </w:pPr>
      <w:r w:rsidRPr="008F2C6B">
        <w:rPr>
          <w:b/>
        </w:rPr>
        <w:t xml:space="preserve">Consequences of Not Conducting Collection </w:t>
      </w:r>
    </w:p>
    <w:p w14:paraId="18193E2A" w14:textId="1CF8FC33" w:rsidR="008F2C6B" w:rsidRDefault="003A0D60" w:rsidP="00652B0A">
      <w:pPr>
        <w:pStyle w:val="ListParagraph"/>
        <w:tabs>
          <w:tab w:val="left" w:pos="-4466"/>
          <w:tab w:val="left" w:pos="-3460"/>
          <w:tab w:val="left" w:pos="-3343"/>
        </w:tabs>
        <w:suppressAutoHyphens/>
        <w:ind w:hanging="720"/>
        <w:rPr>
          <w:rFonts w:ascii="CG Times (W1)" w:hAnsi="CG Times (W1)"/>
        </w:rPr>
      </w:pPr>
      <w:r w:rsidRPr="008F2C6B">
        <w:tab/>
      </w:r>
      <w:r w:rsidR="008F2C6B">
        <w:rPr>
          <w:rFonts w:ascii="CG Times (W1)" w:hAnsi="CG Times (W1)"/>
        </w:rPr>
        <w:t xml:space="preserve">Investment markets change rapidly and FCUs without adequate information </w:t>
      </w:r>
      <w:r w:rsidR="00C02FFC">
        <w:rPr>
          <w:rFonts w:ascii="CG Times (W1)" w:hAnsi="CG Times (W1)"/>
        </w:rPr>
        <w:t>cannot</w:t>
      </w:r>
      <w:r w:rsidR="008F2C6B">
        <w:rPr>
          <w:rFonts w:ascii="CG Times (W1)" w:hAnsi="CG Times (W1)"/>
        </w:rPr>
        <w:t xml:space="preserve"> take advantage of market movements.  The monthly report of </w:t>
      </w:r>
      <w:r w:rsidR="00C02FFC">
        <w:rPr>
          <w:rFonts w:ascii="CG Times (W1)" w:hAnsi="CG Times (W1)"/>
        </w:rPr>
        <w:t>investments, trading activity,</w:t>
      </w:r>
      <w:r w:rsidR="008F2C6B">
        <w:rPr>
          <w:rFonts w:ascii="CG Times (W1)" w:hAnsi="CG Times (W1)"/>
        </w:rPr>
        <w:t xml:space="preserve"> monthly review of the fair value of each security</w:t>
      </w:r>
      <w:r w:rsidR="00C02FFC">
        <w:rPr>
          <w:rFonts w:ascii="CG Times (W1)" w:hAnsi="CG Times (W1)"/>
        </w:rPr>
        <w:t>, and the quarterly report of shares and deposits at banks, other financial institutions, and credit unions</w:t>
      </w:r>
      <w:r w:rsidR="008F2C6B">
        <w:rPr>
          <w:rFonts w:ascii="CG Times (W1)" w:hAnsi="CG Times (W1)"/>
        </w:rPr>
        <w:t xml:space="preserve"> are vital tools to provide necessary information to the FCU upon which they may base decisions.  Any less frequently, and the information would be outdated and useless.  </w:t>
      </w:r>
    </w:p>
    <w:p w14:paraId="1B7283C3" w14:textId="77777777" w:rsidR="008F2C6B" w:rsidRDefault="008F2C6B" w:rsidP="00652B0A">
      <w:pPr>
        <w:tabs>
          <w:tab w:val="left" w:pos="720"/>
        </w:tabs>
        <w:ind w:left="720" w:hanging="720"/>
        <w:rPr>
          <w:rFonts w:ascii="CG Times (W1)" w:hAnsi="CG Times (W1)"/>
        </w:rPr>
      </w:pPr>
    </w:p>
    <w:p w14:paraId="133593A7" w14:textId="112CB240" w:rsidR="008F2C6B" w:rsidRDefault="007D1EC4" w:rsidP="00652B0A">
      <w:pPr>
        <w:tabs>
          <w:tab w:val="left" w:pos="720"/>
        </w:tabs>
        <w:ind w:left="720" w:hanging="720"/>
        <w:rPr>
          <w:rFonts w:ascii="CG Times (W1)" w:hAnsi="CG Times (W1)"/>
        </w:rPr>
      </w:pPr>
      <w:r>
        <w:rPr>
          <w:rFonts w:ascii="CG Times (W1)" w:hAnsi="CG Times (W1)"/>
        </w:rPr>
        <w:tab/>
      </w:r>
      <w:r w:rsidR="008F2C6B">
        <w:rPr>
          <w:rFonts w:ascii="CG Times (W1)" w:hAnsi="CG Times (W1)"/>
        </w:rPr>
        <w:t xml:space="preserve">The requirement to </w:t>
      </w:r>
      <w:r w:rsidR="002B7A2D">
        <w:rPr>
          <w:rFonts w:ascii="CG Times (W1)" w:hAnsi="CG Times (W1)"/>
        </w:rPr>
        <w:t xml:space="preserve">conduct annual due diligence on broker-dealers and safekeepers and to </w:t>
      </w:r>
      <w:r w:rsidR="008F2C6B">
        <w:rPr>
          <w:rFonts w:ascii="CG Times (W1)" w:hAnsi="CG Times (W1)"/>
        </w:rPr>
        <w:t xml:space="preserve">obtain at least two price quotes on securities prior to purchase or sale is for the protection of the FCU.  If the FCU does not get this information, there is no assurance that the </w:t>
      </w:r>
      <w:r w:rsidR="002B7A2D">
        <w:rPr>
          <w:rFonts w:ascii="CG Times (W1)" w:hAnsi="CG Times (W1)"/>
        </w:rPr>
        <w:t>parties they are doing business with are acceptable of that a price quoted is realistic.</w:t>
      </w:r>
    </w:p>
    <w:p w14:paraId="6330A0A2" w14:textId="77777777" w:rsidR="008F2C6B" w:rsidRDefault="008F2C6B" w:rsidP="00652B0A">
      <w:pPr>
        <w:tabs>
          <w:tab w:val="left" w:pos="720"/>
        </w:tabs>
        <w:ind w:left="720" w:hanging="720"/>
        <w:rPr>
          <w:rFonts w:ascii="CG Times (W1)" w:hAnsi="CG Times (W1)"/>
        </w:rPr>
      </w:pPr>
    </w:p>
    <w:p w14:paraId="5B8F6062" w14:textId="0A6E77E8" w:rsidR="008F2C6B" w:rsidRDefault="007D1EC4" w:rsidP="00652B0A">
      <w:pPr>
        <w:tabs>
          <w:tab w:val="left" w:pos="720"/>
        </w:tabs>
        <w:ind w:left="720" w:hanging="720"/>
        <w:rPr>
          <w:rFonts w:ascii="CG Times (W1)" w:hAnsi="CG Times (W1)"/>
        </w:rPr>
      </w:pPr>
      <w:r>
        <w:rPr>
          <w:rFonts w:ascii="CG Times (W1)" w:hAnsi="CG Times (W1)"/>
        </w:rPr>
        <w:tab/>
      </w:r>
      <w:r w:rsidR="008F2C6B">
        <w:rPr>
          <w:rFonts w:ascii="CG Times (W1)" w:hAnsi="CG Times (W1)"/>
        </w:rPr>
        <w:t xml:space="preserve">The collection of information described in the </w:t>
      </w:r>
      <w:r w:rsidR="006300D3">
        <w:rPr>
          <w:rFonts w:ascii="CG Times (W1)" w:hAnsi="CG Times (W1)"/>
        </w:rPr>
        <w:t>regulations</w:t>
      </w:r>
      <w:r w:rsidR="008F2C6B">
        <w:rPr>
          <w:rFonts w:ascii="CG Times (W1)" w:hAnsi="CG Times (W1)"/>
        </w:rPr>
        <w:t xml:space="preserve"> </w:t>
      </w:r>
      <w:r w:rsidR="006300D3">
        <w:rPr>
          <w:rFonts w:ascii="CG Times (W1)" w:hAnsi="CG Times (W1)"/>
        </w:rPr>
        <w:t>are</w:t>
      </w:r>
      <w:r w:rsidR="008F2C6B">
        <w:rPr>
          <w:rFonts w:ascii="CG Times (W1)" w:hAnsi="CG Times (W1)"/>
        </w:rPr>
        <w:t xml:space="preserve"> necessary to prevent losses to FCUs and the NCUSIF.</w:t>
      </w:r>
    </w:p>
    <w:p w14:paraId="26718145" w14:textId="77777777" w:rsidR="00C819AB" w:rsidRDefault="00C819AB" w:rsidP="00652B0A">
      <w:pPr>
        <w:pStyle w:val="ListParagraph"/>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ind w:hanging="720"/>
      </w:pPr>
    </w:p>
    <w:p w14:paraId="6B78FC98" w14:textId="0A43BACF" w:rsidR="00C819AB" w:rsidRDefault="007D1EC4" w:rsidP="007A7FC4">
      <w:pPr>
        <w:pStyle w:val="ListParagraph"/>
        <w:tabs>
          <w:tab w:val="left" w:pos="720"/>
        </w:tabs>
        <w:suppressAutoHyphens/>
        <w:ind w:hanging="720"/>
      </w:pPr>
      <w:r>
        <w:lastRenderedPageBreak/>
        <w:tab/>
      </w:r>
      <w:r w:rsidR="00C819AB">
        <w:t xml:space="preserve">The information provided in an FCU’s application to engage in derivatives activity is necessary to assist NCUA is determining if the FCU is capable of developing and implementing a sound derivatives program.  The additional reporting and recordkeeping requirements are used to monitor and assess an FCU’s derivatives program.  Failure to collect this information would result in inconsistent determinations of individual derivative programs and lead to an FCU engaging in an activity that is excessively risky in relation to that FCUs financial and operational condition.   </w:t>
      </w:r>
    </w:p>
    <w:p w14:paraId="7DB3335C" w14:textId="77777777" w:rsidR="003A0D60" w:rsidRPr="008F2C6B" w:rsidRDefault="003A0D60" w:rsidP="00652B0A">
      <w:pPr>
        <w:tabs>
          <w:tab w:val="left" w:pos="720"/>
        </w:tabs>
        <w:ind w:left="720" w:hanging="720"/>
      </w:pPr>
    </w:p>
    <w:p w14:paraId="5EC64229" w14:textId="77777777" w:rsidR="003A0D60" w:rsidRPr="008F2C6B" w:rsidRDefault="003A0D60" w:rsidP="00652B0A">
      <w:pPr>
        <w:pStyle w:val="ListParagraph"/>
        <w:numPr>
          <w:ilvl w:val="0"/>
          <w:numId w:val="3"/>
        </w:numPr>
        <w:tabs>
          <w:tab w:val="left" w:pos="720"/>
        </w:tabs>
        <w:ind w:left="720" w:hanging="720"/>
        <w:rPr>
          <w:b/>
        </w:rPr>
      </w:pPr>
      <w:r w:rsidRPr="008F2C6B">
        <w:rPr>
          <w:b/>
        </w:rPr>
        <w:t>Inconsistencies with Guidelines in 5 CFR 1320.5(d)(2)</w:t>
      </w:r>
    </w:p>
    <w:p w14:paraId="76E514E7" w14:textId="5FBC8054" w:rsidR="007532FF" w:rsidRDefault="00652B0A" w:rsidP="00652B0A">
      <w:pPr>
        <w:numPr>
          <w:ilvl w:val="12"/>
          <w:numId w:val="0"/>
        </w:numPr>
        <w:tabs>
          <w:tab w:val="left" w:pos="720"/>
        </w:tabs>
        <w:ind w:left="720" w:hanging="720"/>
        <w:rPr>
          <w:rFonts w:ascii="CG Times (W1)" w:hAnsi="CG Times (W1)"/>
        </w:rPr>
      </w:pPr>
      <w:r>
        <w:rPr>
          <w:rFonts w:ascii="CG Times (W1)" w:hAnsi="CG Times (W1)"/>
        </w:rPr>
        <w:tab/>
      </w:r>
      <w:r w:rsidR="002B7A2D">
        <w:rPr>
          <w:rFonts w:ascii="CG Times (W1)" w:hAnsi="CG Times (W1)"/>
        </w:rPr>
        <w:t xml:space="preserve">FCUs are required to retain investment purchase information for each investment transaction for as long as it holds the investment and until the documentation has been audited </w:t>
      </w:r>
      <w:r w:rsidR="00F2578C">
        <w:rPr>
          <w:rFonts w:ascii="CG Times (W1)" w:hAnsi="CG Times (W1)"/>
        </w:rPr>
        <w:t xml:space="preserve">in accordance with §715.4 </w:t>
      </w:r>
      <w:r w:rsidR="002B7A2D">
        <w:rPr>
          <w:rFonts w:ascii="CG Times (W1)" w:hAnsi="CG Times (W1)"/>
        </w:rPr>
        <w:t>and examined by NCUA</w:t>
      </w:r>
      <w:r w:rsidR="007532FF">
        <w:rPr>
          <w:rFonts w:ascii="CG Times (W1)" w:hAnsi="CG Times (W1)"/>
        </w:rPr>
        <w:t xml:space="preserve">.  </w:t>
      </w:r>
    </w:p>
    <w:p w14:paraId="4D5FE557" w14:textId="77777777" w:rsidR="003A0D60" w:rsidRPr="008F2C6B" w:rsidRDefault="003A0D60" w:rsidP="00652B0A">
      <w:pPr>
        <w:pStyle w:val="ListParagraph"/>
        <w:tabs>
          <w:tab w:val="left" w:pos="720"/>
        </w:tabs>
        <w:ind w:hanging="720"/>
        <w:rPr>
          <w:b/>
        </w:rPr>
      </w:pPr>
    </w:p>
    <w:p w14:paraId="72EE2B85" w14:textId="77777777" w:rsidR="003A0D60" w:rsidRDefault="003A0D60" w:rsidP="00652B0A">
      <w:pPr>
        <w:pStyle w:val="ListParagraph"/>
        <w:numPr>
          <w:ilvl w:val="0"/>
          <w:numId w:val="3"/>
        </w:numPr>
        <w:tabs>
          <w:tab w:val="left" w:pos="720"/>
        </w:tabs>
        <w:ind w:left="720" w:hanging="720"/>
        <w:rPr>
          <w:b/>
        </w:rPr>
      </w:pPr>
      <w:r w:rsidRPr="008F2C6B">
        <w:rPr>
          <w:b/>
        </w:rPr>
        <w:t>Consultations Outside the Agency</w:t>
      </w:r>
    </w:p>
    <w:p w14:paraId="7FA02ADA" w14:textId="453D3583" w:rsidR="00C819AB" w:rsidRDefault="00652B0A" w:rsidP="00D31506">
      <w:pPr>
        <w:tabs>
          <w:tab w:val="left" w:pos="720"/>
        </w:tabs>
        <w:ind w:left="720" w:hanging="720"/>
      </w:pPr>
      <w:r>
        <w:tab/>
      </w:r>
      <w:r w:rsidR="006300D3">
        <w:t xml:space="preserve">A 60-day </w:t>
      </w:r>
      <w:r w:rsidR="00C819AB">
        <w:t xml:space="preserve">notice </w:t>
      </w:r>
      <w:r w:rsidR="006300D3">
        <w:t xml:space="preserve">was publish </w:t>
      </w:r>
      <w:r w:rsidR="00B02721">
        <w:t xml:space="preserve">in the </w:t>
      </w:r>
      <w:r w:rsidR="00B02721" w:rsidRPr="00B02721">
        <w:rPr>
          <w:i/>
        </w:rPr>
        <w:t>Federal Register</w:t>
      </w:r>
      <w:r w:rsidR="00E53B8C">
        <w:rPr>
          <w:i/>
        </w:rPr>
        <w:t xml:space="preserve"> </w:t>
      </w:r>
      <w:r w:rsidR="00D31506" w:rsidRPr="00D31506">
        <w:t>on June 17, 2019, at 84</w:t>
      </w:r>
      <w:r w:rsidR="00B02721" w:rsidRPr="00D31506">
        <w:t xml:space="preserve"> FR</w:t>
      </w:r>
      <w:r w:rsidR="00B02721">
        <w:t xml:space="preserve"> </w:t>
      </w:r>
      <w:r w:rsidR="00D31506">
        <w:t>28101</w:t>
      </w:r>
      <w:r w:rsidR="00B02721">
        <w:t>,</w:t>
      </w:r>
      <w:r w:rsidR="006300D3">
        <w:t xml:space="preserve"> </w:t>
      </w:r>
      <w:r w:rsidR="00C819AB">
        <w:t xml:space="preserve">soliciting comments </w:t>
      </w:r>
      <w:r w:rsidR="00D31506">
        <w:t xml:space="preserve">from the public </w:t>
      </w:r>
      <w:r w:rsidR="00C819AB">
        <w:t>on this collection of information</w:t>
      </w:r>
      <w:r w:rsidR="00D31506">
        <w:t xml:space="preserve"> and no comments were received.</w:t>
      </w:r>
    </w:p>
    <w:p w14:paraId="583AC532" w14:textId="77777777" w:rsidR="00D31506" w:rsidRPr="008F2C6B" w:rsidRDefault="00D31506" w:rsidP="00D31506">
      <w:pPr>
        <w:tabs>
          <w:tab w:val="left" w:pos="720"/>
        </w:tabs>
        <w:ind w:left="720" w:hanging="720"/>
        <w:rPr>
          <w:b/>
        </w:rPr>
      </w:pPr>
    </w:p>
    <w:p w14:paraId="3E98F005" w14:textId="6638960F" w:rsidR="003A0D60" w:rsidRDefault="003A0D60" w:rsidP="00D31506">
      <w:pPr>
        <w:pStyle w:val="ListParagraph"/>
        <w:numPr>
          <w:ilvl w:val="0"/>
          <w:numId w:val="3"/>
        </w:numPr>
        <w:tabs>
          <w:tab w:val="left" w:pos="720"/>
        </w:tabs>
        <w:ind w:left="720" w:hanging="720"/>
        <w:rPr>
          <w:b/>
        </w:rPr>
      </w:pPr>
      <w:r w:rsidRPr="008F2C6B">
        <w:rPr>
          <w:b/>
        </w:rPr>
        <w:t>Payment or Gif</w:t>
      </w:r>
      <w:r w:rsidRPr="00D31506">
        <w:rPr>
          <w:b/>
        </w:rPr>
        <w:t>t</w:t>
      </w:r>
    </w:p>
    <w:p w14:paraId="0C3CCF5A" w14:textId="1FDFFB97" w:rsidR="00C819AB" w:rsidRDefault="00652B0A" w:rsidP="00652B0A">
      <w:pPr>
        <w:tabs>
          <w:tab w:val="left" w:pos="-8213"/>
          <w:tab w:val="left" w:pos="-7207"/>
          <w:tab w:val="left" w:pos="-7090"/>
          <w:tab w:val="left" w:pos="-3415"/>
          <w:tab w:val="left" w:pos="-3298"/>
          <w:tab w:val="left" w:pos="-2159"/>
          <w:tab w:val="left" w:pos="-2041"/>
        </w:tabs>
        <w:suppressAutoHyphens/>
        <w:ind w:left="720" w:hanging="720"/>
      </w:pPr>
      <w:r>
        <w:tab/>
      </w:r>
      <w:r w:rsidR="00C819AB">
        <w:t>No payment or gift is given in conjunction with this collection.</w:t>
      </w:r>
    </w:p>
    <w:p w14:paraId="13EB79E1" w14:textId="77777777" w:rsidR="003A0D60" w:rsidRPr="008F2C6B" w:rsidRDefault="003A0D60" w:rsidP="00652B0A">
      <w:pPr>
        <w:tabs>
          <w:tab w:val="left" w:pos="720"/>
        </w:tabs>
        <w:ind w:left="720" w:hanging="720"/>
      </w:pPr>
    </w:p>
    <w:p w14:paraId="4BAF5978" w14:textId="77777777" w:rsidR="003A0D60" w:rsidRPr="008F2C6B" w:rsidRDefault="003A0D60" w:rsidP="00652B0A">
      <w:pPr>
        <w:pStyle w:val="ListParagraph"/>
        <w:numPr>
          <w:ilvl w:val="0"/>
          <w:numId w:val="3"/>
        </w:numPr>
        <w:tabs>
          <w:tab w:val="left" w:pos="720"/>
        </w:tabs>
        <w:ind w:left="720" w:hanging="720"/>
        <w:rPr>
          <w:b/>
        </w:rPr>
      </w:pPr>
      <w:r w:rsidRPr="008F2C6B">
        <w:rPr>
          <w:b/>
        </w:rPr>
        <w:t xml:space="preserve">Confidentiality </w:t>
      </w:r>
    </w:p>
    <w:p w14:paraId="21083B4B" w14:textId="0DC145A0" w:rsidR="00C819AB" w:rsidRDefault="00422D63" w:rsidP="00422D63">
      <w:pPr>
        <w:tabs>
          <w:tab w:val="left" w:pos="720"/>
        </w:tabs>
        <w:ind w:left="720"/>
      </w:pPr>
      <w:r>
        <w:t>There is no assurance of confidentiality other than that provided by law.</w:t>
      </w:r>
    </w:p>
    <w:p w14:paraId="53D778E6" w14:textId="77777777" w:rsidR="002B7A2D" w:rsidRDefault="002B7A2D" w:rsidP="00652B0A">
      <w:pPr>
        <w:tabs>
          <w:tab w:val="left" w:pos="720"/>
          <w:tab w:val="left" w:pos="6187"/>
        </w:tabs>
        <w:ind w:left="720" w:hanging="720"/>
      </w:pPr>
    </w:p>
    <w:p w14:paraId="0C45E26E" w14:textId="77777777" w:rsidR="003A0D60" w:rsidRPr="008F2C6B" w:rsidRDefault="003A0D60" w:rsidP="00652B0A">
      <w:pPr>
        <w:pStyle w:val="ListParagraph"/>
        <w:numPr>
          <w:ilvl w:val="0"/>
          <w:numId w:val="3"/>
        </w:numPr>
        <w:tabs>
          <w:tab w:val="left" w:pos="720"/>
        </w:tabs>
        <w:ind w:left="720" w:hanging="720"/>
        <w:rPr>
          <w:b/>
        </w:rPr>
      </w:pPr>
      <w:r w:rsidRPr="008F2C6B">
        <w:rPr>
          <w:b/>
        </w:rPr>
        <w:t>Sensitive Questions</w:t>
      </w:r>
    </w:p>
    <w:p w14:paraId="700C4563" w14:textId="77777777" w:rsidR="003A0D60" w:rsidRPr="007532FF" w:rsidRDefault="003A0D60" w:rsidP="00652B0A">
      <w:pPr>
        <w:pStyle w:val="ListParagraph"/>
        <w:tabs>
          <w:tab w:val="left" w:pos="-8213"/>
          <w:tab w:val="left" w:pos="-7207"/>
          <w:tab w:val="left" w:pos="-7090"/>
          <w:tab w:val="left" w:pos="-3415"/>
          <w:tab w:val="left" w:pos="-3298"/>
          <w:tab w:val="left" w:pos="-2159"/>
          <w:tab w:val="left" w:pos="-2041"/>
        </w:tabs>
        <w:suppressAutoHyphens/>
        <w:ind w:hanging="720"/>
      </w:pPr>
      <w:r w:rsidRPr="008F2C6B">
        <w:tab/>
      </w:r>
      <w:r w:rsidRPr="008F2C6B">
        <w:rPr>
          <w:spacing w:val="-3"/>
        </w:rPr>
        <w:t xml:space="preserve">No questions of a sensitive nature are asked.  </w:t>
      </w:r>
      <w:r w:rsidRPr="008F2C6B">
        <w:t xml:space="preserve">The information collection does not collect any Personally </w:t>
      </w:r>
      <w:r w:rsidR="007532FF">
        <w:t>Identifiable Information (PII).</w:t>
      </w:r>
    </w:p>
    <w:p w14:paraId="21CEE658" w14:textId="77777777" w:rsidR="003A0D60" w:rsidRPr="002B7A2D" w:rsidRDefault="003A0D60" w:rsidP="00652B0A">
      <w:pPr>
        <w:tabs>
          <w:tab w:val="left" w:pos="720"/>
        </w:tabs>
        <w:ind w:left="720" w:hanging="720"/>
      </w:pPr>
    </w:p>
    <w:p w14:paraId="19678FB8" w14:textId="77777777" w:rsidR="003A0D60" w:rsidRDefault="003A0D60" w:rsidP="00652B0A">
      <w:pPr>
        <w:pStyle w:val="ListParagraph"/>
        <w:numPr>
          <w:ilvl w:val="0"/>
          <w:numId w:val="3"/>
        </w:numPr>
        <w:tabs>
          <w:tab w:val="left" w:pos="720"/>
        </w:tabs>
        <w:ind w:left="720" w:hanging="720"/>
        <w:rPr>
          <w:b/>
        </w:rPr>
      </w:pPr>
      <w:r w:rsidRPr="008F2C6B">
        <w:rPr>
          <w:b/>
        </w:rPr>
        <w:t>Burden of Information Collection</w:t>
      </w:r>
    </w:p>
    <w:p w14:paraId="556F2D2D" w14:textId="163CE067" w:rsidR="00422D63" w:rsidRDefault="00652B0A" w:rsidP="00422D63">
      <w:pPr>
        <w:tabs>
          <w:tab w:val="left" w:pos="-8213"/>
          <w:tab w:val="left" w:pos="-7207"/>
          <w:tab w:val="left" w:pos="-7090"/>
          <w:tab w:val="left" w:pos="-3415"/>
          <w:tab w:val="left" w:pos="-3298"/>
          <w:tab w:val="left" w:pos="-2159"/>
          <w:tab w:val="left" w:pos="-2041"/>
        </w:tabs>
        <w:suppressAutoHyphens/>
        <w:ind w:left="720" w:hanging="720"/>
      </w:pPr>
      <w:r>
        <w:tab/>
      </w:r>
    </w:p>
    <w:p w14:paraId="109934A4" w14:textId="77777777" w:rsidR="00422D63" w:rsidRDefault="00422D63">
      <w:pPr>
        <w:spacing w:after="200" w:line="276" w:lineRule="auto"/>
        <w:sectPr w:rsidR="00422D63" w:rsidSect="00A2283D">
          <w:footerReference w:type="default" r:id="rId9"/>
          <w:pgSz w:w="12240" w:h="15840"/>
          <w:pgMar w:top="1440" w:right="1440" w:bottom="1440" w:left="1440" w:header="720" w:footer="720" w:gutter="0"/>
          <w:cols w:space="720"/>
          <w:docGrid w:linePitch="360"/>
        </w:sectPr>
      </w:pPr>
      <w:r>
        <w:br w:type="page"/>
      </w:r>
    </w:p>
    <w:tbl>
      <w:tblPr>
        <w:tblW w:w="14397" w:type="dxa"/>
        <w:tblLayout w:type="fixed"/>
        <w:tblLook w:val="04A0" w:firstRow="1" w:lastRow="0" w:firstColumn="1" w:lastColumn="0" w:noHBand="0" w:noVBand="1"/>
      </w:tblPr>
      <w:tblGrid>
        <w:gridCol w:w="428"/>
        <w:gridCol w:w="1398"/>
        <w:gridCol w:w="6269"/>
        <w:gridCol w:w="1100"/>
        <w:gridCol w:w="980"/>
        <w:gridCol w:w="1067"/>
        <w:gridCol w:w="960"/>
        <w:gridCol w:w="967"/>
        <w:gridCol w:w="1221"/>
        <w:gridCol w:w="7"/>
      </w:tblGrid>
      <w:tr w:rsidR="00225E6D" w:rsidRPr="003D61B6" w14:paraId="49240137" w14:textId="77777777" w:rsidTr="00225E6D">
        <w:trPr>
          <w:gridAfter w:val="1"/>
          <w:wAfter w:w="7" w:type="dxa"/>
          <w:trHeight w:val="620"/>
        </w:trPr>
        <w:tc>
          <w:tcPr>
            <w:tcW w:w="428" w:type="dxa"/>
            <w:tcBorders>
              <w:top w:val="single" w:sz="4" w:space="0" w:color="auto"/>
              <w:left w:val="single" w:sz="4" w:space="0" w:color="auto"/>
              <w:bottom w:val="single" w:sz="12" w:space="0" w:color="auto"/>
              <w:right w:val="single" w:sz="4" w:space="0" w:color="auto"/>
            </w:tcBorders>
            <w:shd w:val="clear" w:color="000000" w:fill="DDEBF7"/>
            <w:textDirection w:val="btLr"/>
            <w:vAlign w:val="center"/>
            <w:hideMark/>
          </w:tcPr>
          <w:p w14:paraId="0ABDF11F" w14:textId="77777777" w:rsidR="00225E6D" w:rsidRPr="003D61B6" w:rsidRDefault="00225E6D" w:rsidP="00225E6D">
            <w:pPr>
              <w:jc w:val="center"/>
              <w:rPr>
                <w:rFonts w:ascii="Arial Narrow" w:hAnsi="Arial Narrow" w:cs="Calibri"/>
                <w:color w:val="000000"/>
                <w:sz w:val="18"/>
                <w:szCs w:val="18"/>
              </w:rPr>
            </w:pPr>
            <w:r w:rsidRPr="003D61B6">
              <w:rPr>
                <w:rFonts w:ascii="Arial Narrow" w:hAnsi="Arial Narrow" w:cs="Calibri"/>
                <w:color w:val="000000"/>
                <w:sz w:val="18"/>
                <w:szCs w:val="18"/>
              </w:rPr>
              <w:t>Line Item</w:t>
            </w:r>
          </w:p>
        </w:tc>
        <w:tc>
          <w:tcPr>
            <w:tcW w:w="1398" w:type="dxa"/>
            <w:tcBorders>
              <w:top w:val="single" w:sz="4" w:space="0" w:color="auto"/>
              <w:left w:val="nil"/>
              <w:bottom w:val="single" w:sz="12" w:space="0" w:color="auto"/>
              <w:right w:val="single" w:sz="4" w:space="0" w:color="auto"/>
            </w:tcBorders>
            <w:shd w:val="clear" w:color="000000" w:fill="DDEBF7"/>
            <w:vAlign w:val="center"/>
            <w:hideMark/>
          </w:tcPr>
          <w:p w14:paraId="33D7E4FD" w14:textId="77777777" w:rsidR="00225E6D" w:rsidRPr="003D61B6" w:rsidRDefault="00225E6D" w:rsidP="00225E6D">
            <w:pPr>
              <w:jc w:val="center"/>
              <w:rPr>
                <w:rFonts w:ascii="Arial Narrow" w:hAnsi="Arial Narrow" w:cs="Calibri"/>
                <w:color w:val="000000"/>
                <w:sz w:val="18"/>
                <w:szCs w:val="18"/>
              </w:rPr>
            </w:pPr>
            <w:r w:rsidRPr="003D61B6">
              <w:rPr>
                <w:rFonts w:ascii="Arial Narrow" w:hAnsi="Arial Narrow" w:cs="Calibri"/>
                <w:color w:val="000000"/>
                <w:sz w:val="18"/>
                <w:szCs w:val="18"/>
              </w:rPr>
              <w:t>12 CFR</w:t>
            </w:r>
          </w:p>
        </w:tc>
        <w:tc>
          <w:tcPr>
            <w:tcW w:w="6269" w:type="dxa"/>
            <w:tcBorders>
              <w:top w:val="single" w:sz="4" w:space="0" w:color="auto"/>
              <w:left w:val="nil"/>
              <w:bottom w:val="single" w:sz="12" w:space="0" w:color="auto"/>
              <w:right w:val="nil"/>
            </w:tcBorders>
            <w:shd w:val="clear" w:color="000000" w:fill="DDEBF7"/>
            <w:vAlign w:val="center"/>
            <w:hideMark/>
          </w:tcPr>
          <w:p w14:paraId="7C78969F" w14:textId="77777777" w:rsidR="00225E6D" w:rsidRPr="003D61B6" w:rsidRDefault="00225E6D" w:rsidP="00225E6D">
            <w:pPr>
              <w:jc w:val="center"/>
              <w:rPr>
                <w:rFonts w:ascii="Arial Narrow" w:hAnsi="Arial Narrow" w:cs="Calibri"/>
                <w:color w:val="000000"/>
                <w:sz w:val="18"/>
                <w:szCs w:val="18"/>
              </w:rPr>
            </w:pPr>
            <w:r w:rsidRPr="003D61B6">
              <w:rPr>
                <w:rFonts w:ascii="Arial Narrow" w:hAnsi="Arial Narrow" w:cs="Calibri"/>
                <w:color w:val="000000"/>
                <w:sz w:val="18"/>
                <w:szCs w:val="18"/>
              </w:rPr>
              <w:t>Information Collection</w:t>
            </w:r>
          </w:p>
        </w:tc>
        <w:tc>
          <w:tcPr>
            <w:tcW w:w="1100" w:type="dxa"/>
            <w:tcBorders>
              <w:top w:val="single" w:sz="4" w:space="0" w:color="auto"/>
              <w:left w:val="single" w:sz="8" w:space="0" w:color="auto"/>
              <w:bottom w:val="single" w:sz="12" w:space="0" w:color="auto"/>
              <w:right w:val="single" w:sz="4" w:space="0" w:color="auto"/>
            </w:tcBorders>
            <w:shd w:val="clear" w:color="000000" w:fill="DDEBF7"/>
            <w:vAlign w:val="center"/>
            <w:hideMark/>
          </w:tcPr>
          <w:p w14:paraId="3937545D"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Type of Burden</w:t>
            </w:r>
          </w:p>
        </w:tc>
        <w:tc>
          <w:tcPr>
            <w:tcW w:w="980" w:type="dxa"/>
            <w:tcBorders>
              <w:top w:val="single" w:sz="4" w:space="0" w:color="auto"/>
              <w:left w:val="single" w:sz="12" w:space="0" w:color="auto"/>
              <w:bottom w:val="single" w:sz="12" w:space="0" w:color="auto"/>
              <w:right w:val="single" w:sz="4" w:space="0" w:color="auto"/>
            </w:tcBorders>
            <w:shd w:val="clear" w:color="000000" w:fill="DDEBF7"/>
            <w:vAlign w:val="center"/>
            <w:hideMark/>
          </w:tcPr>
          <w:p w14:paraId="1AAC3E57"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Respon- dents</w:t>
            </w:r>
          </w:p>
        </w:tc>
        <w:tc>
          <w:tcPr>
            <w:tcW w:w="1067" w:type="dxa"/>
            <w:tcBorders>
              <w:top w:val="single" w:sz="4" w:space="0" w:color="auto"/>
              <w:left w:val="nil"/>
              <w:bottom w:val="single" w:sz="12" w:space="0" w:color="auto"/>
              <w:right w:val="single" w:sz="4" w:space="0" w:color="auto"/>
            </w:tcBorders>
            <w:shd w:val="clear" w:color="000000" w:fill="DDEBF7"/>
            <w:vAlign w:val="center"/>
            <w:hideMark/>
          </w:tcPr>
          <w:p w14:paraId="5CE05F2E"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Responses Per Respondent</w:t>
            </w:r>
          </w:p>
        </w:tc>
        <w:tc>
          <w:tcPr>
            <w:tcW w:w="960" w:type="dxa"/>
            <w:tcBorders>
              <w:top w:val="single" w:sz="4" w:space="0" w:color="auto"/>
              <w:left w:val="nil"/>
              <w:bottom w:val="single" w:sz="12" w:space="0" w:color="auto"/>
              <w:right w:val="single" w:sz="4" w:space="0" w:color="auto"/>
            </w:tcBorders>
            <w:shd w:val="clear" w:color="000000" w:fill="DDEBF7"/>
            <w:vAlign w:val="center"/>
            <w:hideMark/>
          </w:tcPr>
          <w:p w14:paraId="26B03DCE"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Annual Responses</w:t>
            </w:r>
          </w:p>
        </w:tc>
        <w:tc>
          <w:tcPr>
            <w:tcW w:w="967" w:type="dxa"/>
            <w:tcBorders>
              <w:top w:val="single" w:sz="4" w:space="0" w:color="auto"/>
              <w:left w:val="nil"/>
              <w:bottom w:val="single" w:sz="12" w:space="0" w:color="auto"/>
              <w:right w:val="single" w:sz="4" w:space="0" w:color="auto"/>
            </w:tcBorders>
            <w:shd w:val="clear" w:color="000000" w:fill="DDEBF7"/>
            <w:vAlign w:val="center"/>
            <w:hideMark/>
          </w:tcPr>
          <w:p w14:paraId="523FD65C"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Hours Per Response</w:t>
            </w:r>
          </w:p>
        </w:tc>
        <w:tc>
          <w:tcPr>
            <w:tcW w:w="1221" w:type="dxa"/>
            <w:tcBorders>
              <w:top w:val="single" w:sz="4" w:space="0" w:color="auto"/>
              <w:left w:val="nil"/>
              <w:bottom w:val="single" w:sz="12" w:space="0" w:color="auto"/>
              <w:right w:val="single" w:sz="4" w:space="0" w:color="auto"/>
            </w:tcBorders>
            <w:shd w:val="clear" w:color="000000" w:fill="DDEBF7"/>
            <w:vAlign w:val="center"/>
            <w:hideMark/>
          </w:tcPr>
          <w:p w14:paraId="760F6F0B"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Total Annual Reporting Burden</w:t>
            </w:r>
          </w:p>
        </w:tc>
      </w:tr>
      <w:tr w:rsidR="00225E6D" w:rsidRPr="003D61B6" w14:paraId="558EDEF5" w14:textId="77777777" w:rsidTr="00225E6D">
        <w:trPr>
          <w:trHeight w:val="300"/>
        </w:trPr>
        <w:tc>
          <w:tcPr>
            <w:tcW w:w="14397" w:type="dxa"/>
            <w:gridSpan w:val="10"/>
            <w:tcBorders>
              <w:top w:val="single" w:sz="12" w:space="0" w:color="auto"/>
              <w:left w:val="single" w:sz="4" w:space="0" w:color="auto"/>
              <w:bottom w:val="nil"/>
              <w:right w:val="single" w:sz="4" w:space="0" w:color="000000"/>
            </w:tcBorders>
            <w:shd w:val="clear" w:color="000000" w:fill="D9D9D9"/>
            <w:vAlign w:val="center"/>
            <w:hideMark/>
          </w:tcPr>
          <w:p w14:paraId="054F7D84" w14:textId="77777777" w:rsidR="00225E6D" w:rsidRPr="003D61B6" w:rsidRDefault="00225E6D" w:rsidP="00225E6D">
            <w:pPr>
              <w:rPr>
                <w:rFonts w:ascii="Arial" w:hAnsi="Arial" w:cs="Arial"/>
                <w:b/>
                <w:bCs/>
                <w:color w:val="000000"/>
                <w:sz w:val="18"/>
                <w:szCs w:val="18"/>
              </w:rPr>
            </w:pPr>
            <w:r w:rsidRPr="003D61B6">
              <w:rPr>
                <w:rFonts w:ascii="Arial" w:hAnsi="Arial" w:cs="Arial"/>
                <w:b/>
                <w:bCs/>
                <w:color w:val="000000"/>
                <w:sz w:val="18"/>
                <w:szCs w:val="18"/>
              </w:rPr>
              <w:t>Subpart A - General Investment and Deposit Activities</w:t>
            </w:r>
          </w:p>
        </w:tc>
      </w:tr>
      <w:tr w:rsidR="00225E6D" w:rsidRPr="003D61B6" w14:paraId="2CBF0482" w14:textId="77777777" w:rsidTr="00225E6D">
        <w:trPr>
          <w:gridAfter w:val="1"/>
          <w:wAfter w:w="7" w:type="dxa"/>
          <w:trHeight w:val="46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C4B12"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w:t>
            </w:r>
          </w:p>
        </w:tc>
        <w:tc>
          <w:tcPr>
            <w:tcW w:w="1398" w:type="dxa"/>
            <w:tcBorders>
              <w:top w:val="single" w:sz="4" w:space="0" w:color="auto"/>
              <w:left w:val="nil"/>
              <w:bottom w:val="nil"/>
              <w:right w:val="single" w:sz="4" w:space="0" w:color="auto"/>
            </w:tcBorders>
            <w:shd w:val="clear" w:color="auto" w:fill="auto"/>
            <w:noWrap/>
            <w:vAlign w:val="center"/>
            <w:hideMark/>
          </w:tcPr>
          <w:p w14:paraId="23A8EB3A"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703.3</w:t>
            </w:r>
          </w:p>
        </w:tc>
        <w:tc>
          <w:tcPr>
            <w:tcW w:w="6269" w:type="dxa"/>
            <w:tcBorders>
              <w:top w:val="single" w:sz="4" w:space="0" w:color="auto"/>
              <w:left w:val="nil"/>
              <w:bottom w:val="single" w:sz="4" w:space="0" w:color="auto"/>
              <w:right w:val="nil"/>
            </w:tcBorders>
            <w:shd w:val="clear" w:color="auto" w:fill="auto"/>
            <w:vAlign w:val="center"/>
            <w:hideMark/>
          </w:tcPr>
          <w:p w14:paraId="2254C2F3"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Investment policies.  A FCU’s board of directors must establish written investment policies consistent with the Act, ….</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8C7A491"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single" w:sz="4" w:space="0" w:color="auto"/>
              <w:left w:val="single" w:sz="12" w:space="0" w:color="auto"/>
              <w:bottom w:val="single" w:sz="4" w:space="0" w:color="000000"/>
              <w:right w:val="single" w:sz="4" w:space="0" w:color="auto"/>
            </w:tcBorders>
            <w:shd w:val="clear" w:color="auto" w:fill="auto"/>
            <w:vAlign w:val="center"/>
            <w:hideMark/>
          </w:tcPr>
          <w:p w14:paraId="0E0122AC"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w:t>
            </w:r>
          </w:p>
        </w:tc>
        <w:tc>
          <w:tcPr>
            <w:tcW w:w="1067" w:type="dxa"/>
            <w:tcBorders>
              <w:top w:val="single" w:sz="4" w:space="0" w:color="auto"/>
              <w:left w:val="nil"/>
              <w:bottom w:val="single" w:sz="4" w:space="0" w:color="000000"/>
              <w:right w:val="single" w:sz="4" w:space="0" w:color="000000"/>
            </w:tcBorders>
            <w:shd w:val="clear" w:color="auto" w:fill="auto"/>
            <w:vAlign w:val="center"/>
            <w:hideMark/>
          </w:tcPr>
          <w:p w14:paraId="5C9BEBB6"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14:paraId="64AE8D0A"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w:t>
            </w:r>
          </w:p>
        </w:tc>
        <w:tc>
          <w:tcPr>
            <w:tcW w:w="967" w:type="dxa"/>
            <w:tcBorders>
              <w:top w:val="single" w:sz="4" w:space="0" w:color="auto"/>
              <w:left w:val="nil"/>
              <w:bottom w:val="single" w:sz="4" w:space="0" w:color="000000"/>
              <w:right w:val="single" w:sz="4" w:space="0" w:color="000000"/>
            </w:tcBorders>
            <w:shd w:val="clear" w:color="auto" w:fill="auto"/>
            <w:vAlign w:val="center"/>
            <w:hideMark/>
          </w:tcPr>
          <w:p w14:paraId="1765B65E"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single" w:sz="4" w:space="0" w:color="auto"/>
              <w:left w:val="nil"/>
              <w:bottom w:val="single" w:sz="4" w:space="0" w:color="000000"/>
              <w:right w:val="single" w:sz="4" w:space="0" w:color="auto"/>
            </w:tcBorders>
            <w:shd w:val="clear" w:color="auto" w:fill="auto"/>
            <w:vAlign w:val="center"/>
            <w:hideMark/>
          </w:tcPr>
          <w:p w14:paraId="3411DFAF"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3</w:t>
            </w:r>
          </w:p>
        </w:tc>
      </w:tr>
      <w:tr w:rsidR="00225E6D" w:rsidRPr="003D61B6" w14:paraId="17033DFF" w14:textId="77777777" w:rsidTr="00225E6D">
        <w:trPr>
          <w:gridAfter w:val="1"/>
          <w:wAfter w:w="7" w:type="dxa"/>
          <w:trHeight w:val="746"/>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71CB117"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62C28C3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703.4(b)</w:t>
            </w:r>
          </w:p>
        </w:tc>
        <w:tc>
          <w:tcPr>
            <w:tcW w:w="6269" w:type="dxa"/>
            <w:tcBorders>
              <w:top w:val="nil"/>
              <w:left w:val="nil"/>
              <w:bottom w:val="single" w:sz="4" w:space="0" w:color="auto"/>
              <w:right w:val="nil"/>
            </w:tcBorders>
            <w:shd w:val="clear" w:color="auto" w:fill="auto"/>
            <w:vAlign w:val="center"/>
            <w:hideMark/>
          </w:tcPr>
          <w:p w14:paraId="5C8A9B35"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Recordkeeping and documentation requirements.  (b) A FCU must maintain documentation for each investment transaction for as long as it holds the investment and until the documentation has been audited in accordance with § 715.4 of this chapter and examined by NCUA. </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4C71300C"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2D4D168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3,350</w:t>
            </w:r>
          </w:p>
        </w:tc>
        <w:tc>
          <w:tcPr>
            <w:tcW w:w="1067" w:type="dxa"/>
            <w:tcBorders>
              <w:top w:val="nil"/>
              <w:left w:val="nil"/>
              <w:bottom w:val="single" w:sz="4" w:space="0" w:color="000000"/>
              <w:right w:val="single" w:sz="4" w:space="0" w:color="000000"/>
            </w:tcBorders>
            <w:shd w:val="clear" w:color="auto" w:fill="auto"/>
            <w:noWrap/>
            <w:vAlign w:val="center"/>
            <w:hideMark/>
          </w:tcPr>
          <w:p w14:paraId="0164F3B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14:paraId="18E5497B"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67,000</w:t>
            </w:r>
          </w:p>
        </w:tc>
        <w:tc>
          <w:tcPr>
            <w:tcW w:w="967" w:type="dxa"/>
            <w:tcBorders>
              <w:top w:val="nil"/>
              <w:left w:val="nil"/>
              <w:bottom w:val="single" w:sz="4" w:space="0" w:color="000000"/>
              <w:right w:val="single" w:sz="4" w:space="0" w:color="000000"/>
            </w:tcBorders>
            <w:shd w:val="clear" w:color="auto" w:fill="auto"/>
            <w:noWrap/>
            <w:vAlign w:val="center"/>
            <w:hideMark/>
          </w:tcPr>
          <w:p w14:paraId="2F40C369"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0.25</w:t>
            </w:r>
          </w:p>
        </w:tc>
        <w:tc>
          <w:tcPr>
            <w:tcW w:w="1221" w:type="dxa"/>
            <w:tcBorders>
              <w:top w:val="nil"/>
              <w:left w:val="nil"/>
              <w:bottom w:val="single" w:sz="4" w:space="0" w:color="000000"/>
              <w:right w:val="single" w:sz="4" w:space="0" w:color="auto"/>
            </w:tcBorders>
            <w:shd w:val="clear" w:color="auto" w:fill="auto"/>
            <w:vAlign w:val="center"/>
            <w:hideMark/>
          </w:tcPr>
          <w:p w14:paraId="62955C4F"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16,750</w:t>
            </w:r>
          </w:p>
        </w:tc>
      </w:tr>
      <w:tr w:rsidR="00225E6D" w:rsidRPr="003D61B6" w14:paraId="3121815E" w14:textId="77777777" w:rsidTr="00225E6D">
        <w:trPr>
          <w:gridAfter w:val="1"/>
          <w:wAfter w:w="7" w:type="dxa"/>
          <w:trHeight w:val="92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26E2205"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w:t>
            </w:r>
          </w:p>
        </w:tc>
        <w:tc>
          <w:tcPr>
            <w:tcW w:w="1398" w:type="dxa"/>
            <w:tcBorders>
              <w:top w:val="nil"/>
              <w:left w:val="nil"/>
              <w:bottom w:val="single" w:sz="4" w:space="0" w:color="auto"/>
              <w:right w:val="single" w:sz="4" w:space="0" w:color="auto"/>
            </w:tcBorders>
            <w:shd w:val="clear" w:color="auto" w:fill="auto"/>
            <w:noWrap/>
            <w:vAlign w:val="center"/>
            <w:hideMark/>
          </w:tcPr>
          <w:p w14:paraId="061C177A"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703.4(c)</w:t>
            </w:r>
          </w:p>
        </w:tc>
        <w:tc>
          <w:tcPr>
            <w:tcW w:w="6269" w:type="dxa"/>
            <w:tcBorders>
              <w:top w:val="nil"/>
              <w:left w:val="nil"/>
              <w:bottom w:val="single" w:sz="4" w:space="0" w:color="auto"/>
              <w:right w:val="nil"/>
            </w:tcBorders>
            <w:shd w:val="clear" w:color="auto" w:fill="auto"/>
            <w:vAlign w:val="center"/>
            <w:hideMark/>
          </w:tcPr>
          <w:p w14:paraId="7EBD47F5"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(c) A FCU must maintain documentation its board of directors used to approve a brokerdealer or a safekeeper for as long as the broker-dealer or safekeeper is approved and until the documentation has been audited in accordance with § 715.4 of this chapter and examined by NCUA.</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3E7E7B63"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155068B3"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300</w:t>
            </w:r>
          </w:p>
        </w:tc>
        <w:tc>
          <w:tcPr>
            <w:tcW w:w="1067" w:type="dxa"/>
            <w:tcBorders>
              <w:top w:val="nil"/>
              <w:left w:val="nil"/>
              <w:bottom w:val="single" w:sz="4" w:space="0" w:color="000000"/>
              <w:right w:val="single" w:sz="4" w:space="0" w:color="000000"/>
            </w:tcBorders>
            <w:shd w:val="clear" w:color="auto" w:fill="auto"/>
            <w:vAlign w:val="center"/>
            <w:hideMark/>
          </w:tcPr>
          <w:p w14:paraId="48CD457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w:t>
            </w:r>
          </w:p>
        </w:tc>
        <w:tc>
          <w:tcPr>
            <w:tcW w:w="960" w:type="dxa"/>
            <w:tcBorders>
              <w:top w:val="nil"/>
              <w:left w:val="nil"/>
              <w:bottom w:val="single" w:sz="4" w:space="0" w:color="000000"/>
              <w:right w:val="single" w:sz="4" w:space="0" w:color="000000"/>
            </w:tcBorders>
            <w:shd w:val="clear" w:color="auto" w:fill="auto"/>
            <w:vAlign w:val="center"/>
            <w:hideMark/>
          </w:tcPr>
          <w:p w14:paraId="05EDAC3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600</w:t>
            </w:r>
          </w:p>
        </w:tc>
        <w:tc>
          <w:tcPr>
            <w:tcW w:w="967" w:type="dxa"/>
            <w:tcBorders>
              <w:top w:val="nil"/>
              <w:left w:val="nil"/>
              <w:bottom w:val="single" w:sz="4" w:space="0" w:color="000000"/>
              <w:right w:val="single" w:sz="4" w:space="0" w:color="000000"/>
            </w:tcBorders>
            <w:shd w:val="clear" w:color="auto" w:fill="auto"/>
            <w:vAlign w:val="center"/>
            <w:hideMark/>
          </w:tcPr>
          <w:p w14:paraId="09F36064"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sz="4" w:space="0" w:color="000000"/>
              <w:right w:val="single" w:sz="4" w:space="0" w:color="auto"/>
            </w:tcBorders>
            <w:shd w:val="clear" w:color="auto" w:fill="auto"/>
            <w:vAlign w:val="center"/>
            <w:hideMark/>
          </w:tcPr>
          <w:p w14:paraId="58C5A39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300</w:t>
            </w:r>
          </w:p>
        </w:tc>
      </w:tr>
      <w:tr w:rsidR="00225E6D" w:rsidRPr="003D61B6" w14:paraId="7586A209" w14:textId="77777777" w:rsidTr="00225E6D">
        <w:trPr>
          <w:gridAfter w:val="1"/>
          <w:wAfter w:w="7" w:type="dxa"/>
          <w:trHeight w:val="46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D6CBEC0"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4</w:t>
            </w:r>
          </w:p>
        </w:tc>
        <w:tc>
          <w:tcPr>
            <w:tcW w:w="1398" w:type="dxa"/>
            <w:tcBorders>
              <w:top w:val="nil"/>
              <w:left w:val="nil"/>
              <w:bottom w:val="single" w:sz="4" w:space="0" w:color="auto"/>
              <w:right w:val="single" w:sz="4" w:space="0" w:color="auto"/>
            </w:tcBorders>
            <w:shd w:val="clear" w:color="auto" w:fill="auto"/>
            <w:noWrap/>
            <w:vAlign w:val="center"/>
            <w:hideMark/>
          </w:tcPr>
          <w:p w14:paraId="7FDEB026"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703.4(d)</w:t>
            </w:r>
          </w:p>
        </w:tc>
        <w:tc>
          <w:tcPr>
            <w:tcW w:w="6269" w:type="dxa"/>
            <w:tcBorders>
              <w:top w:val="nil"/>
              <w:left w:val="nil"/>
              <w:bottom w:val="single" w:sz="4" w:space="0" w:color="auto"/>
              <w:right w:val="nil"/>
            </w:tcBorders>
            <w:shd w:val="clear" w:color="auto" w:fill="auto"/>
            <w:vAlign w:val="center"/>
            <w:hideMark/>
          </w:tcPr>
          <w:p w14:paraId="1D18B14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(d) A FCU must obtain an individual confirmation statement from each broker-dealer for each investment purchased or sold.</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57565E17"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27647C03"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3,350</w:t>
            </w:r>
          </w:p>
        </w:tc>
        <w:tc>
          <w:tcPr>
            <w:tcW w:w="1067" w:type="dxa"/>
            <w:tcBorders>
              <w:top w:val="nil"/>
              <w:left w:val="nil"/>
              <w:bottom w:val="single" w:sz="4" w:space="0" w:color="000000"/>
              <w:right w:val="single" w:sz="4" w:space="0" w:color="000000"/>
            </w:tcBorders>
            <w:shd w:val="clear" w:color="auto" w:fill="auto"/>
            <w:vAlign w:val="center"/>
            <w:hideMark/>
          </w:tcPr>
          <w:p w14:paraId="54F648E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20</w:t>
            </w:r>
          </w:p>
        </w:tc>
        <w:tc>
          <w:tcPr>
            <w:tcW w:w="960" w:type="dxa"/>
            <w:tcBorders>
              <w:top w:val="nil"/>
              <w:left w:val="nil"/>
              <w:bottom w:val="single" w:sz="4" w:space="0" w:color="000000"/>
              <w:right w:val="single" w:sz="4" w:space="0" w:color="000000"/>
            </w:tcBorders>
            <w:shd w:val="clear" w:color="auto" w:fill="auto"/>
            <w:vAlign w:val="center"/>
            <w:hideMark/>
          </w:tcPr>
          <w:p w14:paraId="07574FD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67,000</w:t>
            </w:r>
          </w:p>
        </w:tc>
        <w:tc>
          <w:tcPr>
            <w:tcW w:w="967" w:type="dxa"/>
            <w:tcBorders>
              <w:top w:val="nil"/>
              <w:left w:val="nil"/>
              <w:bottom w:val="single" w:sz="4" w:space="0" w:color="000000"/>
              <w:right w:val="single" w:sz="4" w:space="0" w:color="000000"/>
            </w:tcBorders>
            <w:shd w:val="clear" w:color="auto" w:fill="auto"/>
            <w:vAlign w:val="center"/>
            <w:hideMark/>
          </w:tcPr>
          <w:p w14:paraId="3B9D9124"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0.25</w:t>
            </w:r>
          </w:p>
        </w:tc>
        <w:tc>
          <w:tcPr>
            <w:tcW w:w="1221" w:type="dxa"/>
            <w:tcBorders>
              <w:top w:val="nil"/>
              <w:left w:val="nil"/>
              <w:bottom w:val="single" w:sz="4" w:space="0" w:color="000000"/>
              <w:right w:val="single" w:sz="4" w:space="0" w:color="auto"/>
            </w:tcBorders>
            <w:shd w:val="clear" w:color="auto" w:fill="auto"/>
            <w:vAlign w:val="center"/>
            <w:hideMark/>
          </w:tcPr>
          <w:p w14:paraId="26D5DCDC"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16,750</w:t>
            </w:r>
          </w:p>
        </w:tc>
      </w:tr>
      <w:tr w:rsidR="00225E6D" w:rsidRPr="003D61B6" w14:paraId="62E4E4BF" w14:textId="77777777" w:rsidTr="00225E6D">
        <w:trPr>
          <w:gridAfter w:val="1"/>
          <w:wAfter w:w="7" w:type="dxa"/>
          <w:trHeight w:val="1124"/>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4903235D"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5</w:t>
            </w:r>
          </w:p>
        </w:tc>
        <w:tc>
          <w:tcPr>
            <w:tcW w:w="1398" w:type="dxa"/>
            <w:tcBorders>
              <w:top w:val="nil"/>
              <w:left w:val="nil"/>
              <w:bottom w:val="single" w:sz="4" w:space="0" w:color="auto"/>
              <w:right w:val="single" w:sz="4" w:space="0" w:color="auto"/>
            </w:tcBorders>
            <w:shd w:val="clear" w:color="auto" w:fill="auto"/>
            <w:noWrap/>
            <w:vAlign w:val="center"/>
            <w:hideMark/>
          </w:tcPr>
          <w:p w14:paraId="1870767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703.5(b)(2)</w:t>
            </w:r>
          </w:p>
        </w:tc>
        <w:tc>
          <w:tcPr>
            <w:tcW w:w="6269" w:type="dxa"/>
            <w:tcBorders>
              <w:top w:val="nil"/>
              <w:left w:val="nil"/>
              <w:bottom w:val="single" w:sz="4" w:space="0" w:color="auto"/>
              <w:right w:val="nil"/>
            </w:tcBorders>
            <w:shd w:val="clear" w:color="auto" w:fill="auto"/>
            <w:vAlign w:val="center"/>
            <w:hideMark/>
          </w:tcPr>
          <w:p w14:paraId="2D7C5D63"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Discretionary control over investments and investment advisers.  (2) At least annually, the FCU must adjust the amount of funds held under discretionary control to comply with the 100 % of net worth cap. The FCU’s board of directors must receive notice as soon as possible, but no later than the next regularly scheduled board meeting, of the amount exceeding the net worth cap and notify in writing NCUA within 5 days after the board meeting. </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1717695F"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7832232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50</w:t>
            </w:r>
          </w:p>
        </w:tc>
        <w:tc>
          <w:tcPr>
            <w:tcW w:w="1067" w:type="dxa"/>
            <w:tcBorders>
              <w:top w:val="nil"/>
              <w:left w:val="nil"/>
              <w:bottom w:val="single" w:sz="4" w:space="0" w:color="000000"/>
              <w:right w:val="single" w:sz="4" w:space="0" w:color="000000"/>
            </w:tcBorders>
            <w:shd w:val="clear" w:color="auto" w:fill="auto"/>
            <w:noWrap/>
            <w:vAlign w:val="center"/>
            <w:hideMark/>
          </w:tcPr>
          <w:p w14:paraId="367B4724"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sz="4" w:space="0" w:color="000000"/>
              <w:right w:val="single" w:sz="4" w:space="0" w:color="000000"/>
            </w:tcBorders>
            <w:shd w:val="clear" w:color="auto" w:fill="auto"/>
            <w:noWrap/>
            <w:vAlign w:val="center"/>
            <w:hideMark/>
          </w:tcPr>
          <w:p w14:paraId="3264FDEE"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50</w:t>
            </w:r>
          </w:p>
        </w:tc>
        <w:tc>
          <w:tcPr>
            <w:tcW w:w="967" w:type="dxa"/>
            <w:tcBorders>
              <w:top w:val="nil"/>
              <w:left w:val="nil"/>
              <w:bottom w:val="single" w:sz="4" w:space="0" w:color="000000"/>
              <w:right w:val="single" w:sz="4" w:space="0" w:color="000000"/>
            </w:tcBorders>
            <w:shd w:val="clear" w:color="auto" w:fill="auto"/>
            <w:noWrap/>
            <w:vAlign w:val="center"/>
            <w:hideMark/>
          </w:tcPr>
          <w:p w14:paraId="676E62BC"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2.00</w:t>
            </w:r>
          </w:p>
        </w:tc>
        <w:tc>
          <w:tcPr>
            <w:tcW w:w="1221" w:type="dxa"/>
            <w:tcBorders>
              <w:top w:val="nil"/>
              <w:left w:val="nil"/>
              <w:bottom w:val="single" w:sz="4" w:space="0" w:color="000000"/>
              <w:right w:val="single" w:sz="4" w:space="0" w:color="auto"/>
            </w:tcBorders>
            <w:shd w:val="clear" w:color="auto" w:fill="auto"/>
            <w:noWrap/>
            <w:vAlign w:val="center"/>
            <w:hideMark/>
          </w:tcPr>
          <w:p w14:paraId="10CEA6E2"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100</w:t>
            </w:r>
          </w:p>
        </w:tc>
      </w:tr>
      <w:tr w:rsidR="00225E6D" w:rsidRPr="003D61B6" w14:paraId="6355E761" w14:textId="77777777" w:rsidTr="00225E6D">
        <w:trPr>
          <w:gridAfter w:val="1"/>
          <w:wAfter w:w="7" w:type="dxa"/>
          <w:trHeight w:val="1151"/>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2285985"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6</w:t>
            </w:r>
          </w:p>
        </w:tc>
        <w:tc>
          <w:tcPr>
            <w:tcW w:w="1398" w:type="dxa"/>
            <w:tcBorders>
              <w:top w:val="nil"/>
              <w:left w:val="nil"/>
              <w:bottom w:val="single" w:sz="4" w:space="0" w:color="auto"/>
              <w:right w:val="single" w:sz="4" w:space="0" w:color="auto"/>
            </w:tcBorders>
            <w:shd w:val="clear" w:color="auto" w:fill="auto"/>
            <w:noWrap/>
            <w:vAlign w:val="center"/>
            <w:hideMark/>
          </w:tcPr>
          <w:p w14:paraId="60FEE688"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703.6</w:t>
            </w:r>
          </w:p>
        </w:tc>
        <w:tc>
          <w:tcPr>
            <w:tcW w:w="6269" w:type="dxa"/>
            <w:tcBorders>
              <w:top w:val="nil"/>
              <w:left w:val="nil"/>
              <w:bottom w:val="single" w:sz="4" w:space="0" w:color="auto"/>
              <w:right w:val="nil"/>
            </w:tcBorders>
            <w:shd w:val="clear" w:color="auto" w:fill="auto"/>
            <w:vAlign w:val="center"/>
            <w:hideMark/>
          </w:tcPr>
          <w:p w14:paraId="2DDED77C"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Credit analysis</w:t>
            </w:r>
            <w:r w:rsidRPr="003D61B6">
              <w:rPr>
                <w:rFonts w:ascii="Arial" w:hAnsi="Arial" w:cs="Arial"/>
                <w:b/>
                <w:bCs/>
                <w:color w:val="000000"/>
                <w:sz w:val="16"/>
                <w:szCs w:val="16"/>
              </w:rPr>
              <w:t xml:space="preserve">.  </w:t>
            </w:r>
            <w:r w:rsidRPr="003D61B6">
              <w:rPr>
                <w:rFonts w:ascii="Arial" w:hAnsi="Arial" w:cs="Arial"/>
                <w:color w:val="000000"/>
                <w:sz w:val="16"/>
                <w:szCs w:val="16"/>
              </w:rPr>
              <w:t>A FCU must conduct and document a credit analysis on an investment and the issuing entity before purchasing it, except for investments issued or fully guaranteed as to principal and interest by the U.S. government or its agencies, enterprises, or corporations or fully insured (including accumulated interest) by the NCUA or the FDIC. A FCU must update this analysis at least annually for as long as it holds the investment.</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58FD85FD"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110A21DD"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850</w:t>
            </w:r>
          </w:p>
        </w:tc>
        <w:tc>
          <w:tcPr>
            <w:tcW w:w="1067" w:type="dxa"/>
            <w:tcBorders>
              <w:top w:val="nil"/>
              <w:left w:val="nil"/>
              <w:bottom w:val="single" w:sz="4" w:space="0" w:color="000000"/>
              <w:right w:val="single" w:sz="4" w:space="0" w:color="000000"/>
            </w:tcBorders>
            <w:shd w:val="clear" w:color="auto" w:fill="auto"/>
            <w:vAlign w:val="center"/>
            <w:hideMark/>
          </w:tcPr>
          <w:p w14:paraId="4CC1E4CA"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10</w:t>
            </w:r>
          </w:p>
        </w:tc>
        <w:tc>
          <w:tcPr>
            <w:tcW w:w="960" w:type="dxa"/>
            <w:tcBorders>
              <w:top w:val="nil"/>
              <w:left w:val="nil"/>
              <w:bottom w:val="single" w:sz="4" w:space="0" w:color="000000"/>
              <w:right w:val="single" w:sz="4" w:space="0" w:color="000000"/>
            </w:tcBorders>
            <w:shd w:val="clear" w:color="auto" w:fill="auto"/>
            <w:noWrap/>
            <w:vAlign w:val="center"/>
            <w:hideMark/>
          </w:tcPr>
          <w:p w14:paraId="4572FA7D"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8,500</w:t>
            </w:r>
          </w:p>
        </w:tc>
        <w:tc>
          <w:tcPr>
            <w:tcW w:w="967" w:type="dxa"/>
            <w:tcBorders>
              <w:top w:val="nil"/>
              <w:left w:val="nil"/>
              <w:bottom w:val="single" w:sz="4" w:space="0" w:color="000000"/>
              <w:right w:val="single" w:sz="4" w:space="0" w:color="000000"/>
            </w:tcBorders>
            <w:shd w:val="clear" w:color="auto" w:fill="auto"/>
            <w:vAlign w:val="center"/>
            <w:hideMark/>
          </w:tcPr>
          <w:p w14:paraId="670076D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sz="4" w:space="0" w:color="000000"/>
              <w:right w:val="single" w:sz="4" w:space="0" w:color="auto"/>
            </w:tcBorders>
            <w:shd w:val="clear" w:color="auto" w:fill="auto"/>
            <w:noWrap/>
            <w:vAlign w:val="center"/>
            <w:hideMark/>
          </w:tcPr>
          <w:p w14:paraId="17DBB906"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4,250</w:t>
            </w:r>
          </w:p>
        </w:tc>
      </w:tr>
      <w:tr w:rsidR="00225E6D" w:rsidRPr="003D61B6" w14:paraId="2EB99AC7" w14:textId="77777777" w:rsidTr="00225E6D">
        <w:trPr>
          <w:gridAfter w:val="1"/>
          <w:wAfter w:w="7" w:type="dxa"/>
          <w:trHeight w:val="69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19A6A06"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7</w:t>
            </w:r>
          </w:p>
        </w:tc>
        <w:tc>
          <w:tcPr>
            <w:tcW w:w="1398" w:type="dxa"/>
            <w:tcBorders>
              <w:top w:val="nil"/>
              <w:left w:val="nil"/>
              <w:bottom w:val="single" w:sz="4" w:space="0" w:color="auto"/>
              <w:right w:val="single" w:sz="4" w:space="0" w:color="auto"/>
            </w:tcBorders>
            <w:shd w:val="clear" w:color="auto" w:fill="auto"/>
            <w:noWrap/>
            <w:vAlign w:val="center"/>
            <w:hideMark/>
          </w:tcPr>
          <w:p w14:paraId="4BE256B3"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703.7</w:t>
            </w:r>
          </w:p>
        </w:tc>
        <w:tc>
          <w:tcPr>
            <w:tcW w:w="6269" w:type="dxa"/>
            <w:tcBorders>
              <w:top w:val="nil"/>
              <w:left w:val="nil"/>
              <w:bottom w:val="single" w:sz="4" w:space="0" w:color="auto"/>
              <w:right w:val="nil"/>
            </w:tcBorders>
            <w:shd w:val="clear" w:color="auto" w:fill="auto"/>
            <w:vAlign w:val="center"/>
            <w:hideMark/>
          </w:tcPr>
          <w:p w14:paraId="4524E7DF"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Notice of non-complianct investments.   The FCU must notify in writing the appropriate regional director of an investment that has failed a requirement of this part within 5 days after the board meeting.</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33E01D7F"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37D84F8E"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w:t>
            </w:r>
          </w:p>
        </w:tc>
        <w:tc>
          <w:tcPr>
            <w:tcW w:w="1067" w:type="dxa"/>
            <w:tcBorders>
              <w:top w:val="nil"/>
              <w:left w:val="nil"/>
              <w:bottom w:val="single" w:sz="4" w:space="0" w:color="000000"/>
              <w:right w:val="single" w:sz="4" w:space="0" w:color="000000"/>
            </w:tcBorders>
            <w:shd w:val="clear" w:color="auto" w:fill="auto"/>
            <w:vAlign w:val="center"/>
            <w:hideMark/>
          </w:tcPr>
          <w:p w14:paraId="0070B9D4"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c>
          <w:tcPr>
            <w:tcW w:w="960" w:type="dxa"/>
            <w:tcBorders>
              <w:top w:val="nil"/>
              <w:left w:val="nil"/>
              <w:bottom w:val="single" w:sz="4" w:space="0" w:color="000000"/>
              <w:right w:val="single" w:sz="4" w:space="0" w:color="000000"/>
            </w:tcBorders>
            <w:shd w:val="clear" w:color="auto" w:fill="auto"/>
            <w:vAlign w:val="center"/>
            <w:hideMark/>
          </w:tcPr>
          <w:p w14:paraId="7F95B92D"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c>
          <w:tcPr>
            <w:tcW w:w="967" w:type="dxa"/>
            <w:tcBorders>
              <w:top w:val="nil"/>
              <w:left w:val="nil"/>
              <w:bottom w:val="single" w:sz="4" w:space="0" w:color="000000"/>
              <w:right w:val="single" w:sz="4" w:space="0" w:color="000000"/>
            </w:tcBorders>
            <w:shd w:val="clear" w:color="auto" w:fill="auto"/>
            <w:vAlign w:val="center"/>
            <w:hideMark/>
          </w:tcPr>
          <w:p w14:paraId="2DEDF846"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0.00</w:t>
            </w:r>
          </w:p>
        </w:tc>
        <w:tc>
          <w:tcPr>
            <w:tcW w:w="1221" w:type="dxa"/>
            <w:tcBorders>
              <w:top w:val="nil"/>
              <w:left w:val="nil"/>
              <w:bottom w:val="single" w:sz="4" w:space="0" w:color="000000"/>
              <w:right w:val="single" w:sz="4" w:space="0" w:color="auto"/>
            </w:tcBorders>
            <w:shd w:val="clear" w:color="auto" w:fill="auto"/>
            <w:vAlign w:val="center"/>
            <w:hideMark/>
          </w:tcPr>
          <w:p w14:paraId="1D5A5D4A"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0.00</w:t>
            </w:r>
          </w:p>
        </w:tc>
      </w:tr>
      <w:tr w:rsidR="00225E6D" w:rsidRPr="003D61B6" w14:paraId="0762E513" w14:textId="77777777" w:rsidTr="00225E6D">
        <w:trPr>
          <w:gridAfter w:val="1"/>
          <w:wAfter w:w="7" w:type="dxa"/>
          <w:trHeight w:val="791"/>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173954B"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8</w:t>
            </w:r>
          </w:p>
        </w:tc>
        <w:tc>
          <w:tcPr>
            <w:tcW w:w="1398" w:type="dxa"/>
            <w:tcBorders>
              <w:top w:val="nil"/>
              <w:left w:val="nil"/>
              <w:bottom w:val="nil"/>
              <w:right w:val="single" w:sz="4" w:space="0" w:color="auto"/>
            </w:tcBorders>
            <w:shd w:val="clear" w:color="auto" w:fill="auto"/>
            <w:vAlign w:val="center"/>
            <w:hideMark/>
          </w:tcPr>
          <w:p w14:paraId="6A331F48"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703.9(a)</w:t>
            </w:r>
          </w:p>
        </w:tc>
        <w:tc>
          <w:tcPr>
            <w:tcW w:w="6269" w:type="dxa"/>
            <w:tcBorders>
              <w:top w:val="nil"/>
              <w:left w:val="nil"/>
              <w:bottom w:val="single" w:sz="4" w:space="0" w:color="auto"/>
              <w:right w:val="nil"/>
            </w:tcBorders>
            <w:shd w:val="clear" w:color="auto" w:fill="auto"/>
            <w:hideMark/>
          </w:tcPr>
          <w:p w14:paraId="46440079"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Safekeeping of investments. (a) A FCU’s purchased investments and repurchase collateral must be in the FCU’s possession, recorded as owned by the FC union through the FRB-Entry System, or held by a board-approved safekeeper under a written custodial agreement that requires the safekeeper to exercise, at least, ordinary care.</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39D2EA57"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6B74D0E9"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2,000</w:t>
            </w:r>
          </w:p>
        </w:tc>
        <w:tc>
          <w:tcPr>
            <w:tcW w:w="1067" w:type="dxa"/>
            <w:tcBorders>
              <w:top w:val="nil"/>
              <w:left w:val="nil"/>
              <w:bottom w:val="single" w:sz="4" w:space="0" w:color="000000"/>
              <w:right w:val="single" w:sz="4" w:space="0" w:color="000000"/>
            </w:tcBorders>
            <w:shd w:val="clear" w:color="auto" w:fill="auto"/>
            <w:noWrap/>
            <w:vAlign w:val="center"/>
            <w:hideMark/>
          </w:tcPr>
          <w:p w14:paraId="7B7F7B8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14:paraId="64B28757"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2,000</w:t>
            </w:r>
          </w:p>
        </w:tc>
        <w:tc>
          <w:tcPr>
            <w:tcW w:w="967" w:type="dxa"/>
            <w:tcBorders>
              <w:top w:val="nil"/>
              <w:left w:val="nil"/>
              <w:bottom w:val="single" w:sz="4" w:space="0" w:color="000000"/>
              <w:right w:val="single" w:sz="4" w:space="0" w:color="000000"/>
            </w:tcBorders>
            <w:shd w:val="clear" w:color="auto" w:fill="auto"/>
            <w:noWrap/>
            <w:vAlign w:val="center"/>
            <w:hideMark/>
          </w:tcPr>
          <w:p w14:paraId="2FFEEF58"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0.25</w:t>
            </w:r>
          </w:p>
        </w:tc>
        <w:tc>
          <w:tcPr>
            <w:tcW w:w="1221" w:type="dxa"/>
            <w:tcBorders>
              <w:top w:val="nil"/>
              <w:left w:val="nil"/>
              <w:bottom w:val="single" w:sz="4" w:space="0" w:color="000000"/>
              <w:right w:val="single" w:sz="4" w:space="0" w:color="auto"/>
            </w:tcBorders>
            <w:shd w:val="clear" w:color="auto" w:fill="auto"/>
            <w:vAlign w:val="center"/>
            <w:hideMark/>
          </w:tcPr>
          <w:p w14:paraId="6230DB88"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500</w:t>
            </w:r>
          </w:p>
        </w:tc>
      </w:tr>
      <w:tr w:rsidR="00225E6D" w:rsidRPr="003D61B6" w14:paraId="7CD5A4FB" w14:textId="77777777" w:rsidTr="00225E6D">
        <w:trPr>
          <w:gridAfter w:val="1"/>
          <w:wAfter w:w="7" w:type="dxa"/>
          <w:trHeight w:val="62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7FAB642"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9</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682EF032"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703.10(a)</w:t>
            </w:r>
          </w:p>
        </w:tc>
        <w:tc>
          <w:tcPr>
            <w:tcW w:w="6269" w:type="dxa"/>
            <w:tcBorders>
              <w:top w:val="nil"/>
              <w:left w:val="nil"/>
              <w:bottom w:val="single" w:sz="4" w:space="0" w:color="auto"/>
              <w:right w:val="nil"/>
            </w:tcBorders>
            <w:shd w:val="clear" w:color="auto" w:fill="auto"/>
            <w:vAlign w:val="center"/>
            <w:hideMark/>
          </w:tcPr>
          <w:p w14:paraId="6BC18F7E"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Monitoring non-security investments. (a) At least quarterly, a FCU must prepare a written report listing all of its shares and deposits in banks, credit unions, and other depository institutions.</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7BAAD319"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63716FE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2,600</w:t>
            </w:r>
          </w:p>
        </w:tc>
        <w:tc>
          <w:tcPr>
            <w:tcW w:w="1067" w:type="dxa"/>
            <w:tcBorders>
              <w:top w:val="nil"/>
              <w:left w:val="nil"/>
              <w:bottom w:val="single" w:sz="4" w:space="0" w:color="000000"/>
              <w:right w:val="single" w:sz="4" w:space="0" w:color="000000"/>
            </w:tcBorders>
            <w:shd w:val="clear" w:color="auto" w:fill="auto"/>
            <w:noWrap/>
            <w:vAlign w:val="center"/>
            <w:hideMark/>
          </w:tcPr>
          <w:p w14:paraId="11DDBFB7"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4</w:t>
            </w:r>
          </w:p>
        </w:tc>
        <w:tc>
          <w:tcPr>
            <w:tcW w:w="960" w:type="dxa"/>
            <w:tcBorders>
              <w:top w:val="nil"/>
              <w:left w:val="nil"/>
              <w:bottom w:val="single" w:sz="4" w:space="0" w:color="000000"/>
              <w:right w:val="single" w:sz="4" w:space="0" w:color="000000"/>
            </w:tcBorders>
            <w:shd w:val="clear" w:color="auto" w:fill="auto"/>
            <w:noWrap/>
            <w:vAlign w:val="center"/>
            <w:hideMark/>
          </w:tcPr>
          <w:p w14:paraId="03109312"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10,400</w:t>
            </w:r>
          </w:p>
        </w:tc>
        <w:tc>
          <w:tcPr>
            <w:tcW w:w="967" w:type="dxa"/>
            <w:tcBorders>
              <w:top w:val="nil"/>
              <w:left w:val="nil"/>
              <w:bottom w:val="single" w:sz="4" w:space="0" w:color="000000"/>
              <w:right w:val="single" w:sz="4" w:space="0" w:color="000000"/>
            </w:tcBorders>
            <w:shd w:val="clear" w:color="auto" w:fill="auto"/>
            <w:noWrap/>
            <w:vAlign w:val="center"/>
            <w:hideMark/>
          </w:tcPr>
          <w:p w14:paraId="2DE6C6DF"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sz="4" w:space="0" w:color="000000"/>
              <w:right w:val="single" w:sz="4" w:space="0" w:color="auto"/>
            </w:tcBorders>
            <w:shd w:val="clear" w:color="auto" w:fill="auto"/>
            <w:noWrap/>
            <w:vAlign w:val="center"/>
            <w:hideMark/>
          </w:tcPr>
          <w:p w14:paraId="09682EBC"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5,200</w:t>
            </w:r>
          </w:p>
        </w:tc>
      </w:tr>
      <w:tr w:rsidR="00225E6D" w:rsidRPr="003D61B6" w14:paraId="3B736800" w14:textId="77777777" w:rsidTr="00225E6D">
        <w:trPr>
          <w:gridAfter w:val="1"/>
          <w:wAfter w:w="7" w:type="dxa"/>
          <w:trHeight w:val="13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B27245A"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10</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17AA4B38" w14:textId="77777777" w:rsidR="00225E6D" w:rsidRPr="003D61B6" w:rsidRDefault="00225E6D" w:rsidP="00225E6D">
            <w:pPr>
              <w:rPr>
                <w:rFonts w:ascii="Arial" w:hAnsi="Arial" w:cs="Arial"/>
                <w:sz w:val="16"/>
                <w:szCs w:val="16"/>
              </w:rPr>
            </w:pPr>
            <w:r w:rsidRPr="003D61B6">
              <w:rPr>
                <w:rFonts w:ascii="Arial" w:hAnsi="Arial" w:cs="Arial"/>
                <w:sz w:val="16"/>
                <w:szCs w:val="16"/>
              </w:rPr>
              <w:t>721.3</w:t>
            </w:r>
            <w:r w:rsidRPr="003D61B6">
              <w:rPr>
                <w:rFonts w:ascii="Arial" w:hAnsi="Arial" w:cs="Arial"/>
                <w:sz w:val="16"/>
                <w:szCs w:val="16"/>
              </w:rPr>
              <w:br/>
              <w:t>(b)(2)(iv)</w:t>
            </w:r>
          </w:p>
        </w:tc>
        <w:tc>
          <w:tcPr>
            <w:tcW w:w="6269" w:type="dxa"/>
            <w:tcBorders>
              <w:top w:val="single" w:sz="4" w:space="0" w:color="auto"/>
              <w:left w:val="nil"/>
              <w:bottom w:val="single" w:sz="4" w:space="0" w:color="auto"/>
              <w:right w:val="nil"/>
            </w:tcBorders>
            <w:shd w:val="clear" w:color="auto" w:fill="auto"/>
            <w:vAlign w:val="center"/>
            <w:hideMark/>
          </w:tcPr>
          <w:p w14:paraId="7B14517F"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Annually review charitable donation account policy. (iv) Account documentation and other written requirements. The parties to the CDA, typically the funding credit union and trustee or other manager of the account, must document the terms and conditions controlling the account in a written agreement. The terms of the agreement must be consistent with this section. Your board of directors must adopt written policies governing the creation, funding, and management of a CDA that are consistent with this section, must review the policies annually, and may amend them from time to time. </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5587712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auto"/>
              <w:right w:val="single" w:sz="4" w:space="0" w:color="auto"/>
            </w:tcBorders>
            <w:shd w:val="clear" w:color="auto" w:fill="auto"/>
            <w:noWrap/>
            <w:vAlign w:val="center"/>
            <w:hideMark/>
          </w:tcPr>
          <w:p w14:paraId="480C6398"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100</w:t>
            </w:r>
          </w:p>
        </w:tc>
        <w:tc>
          <w:tcPr>
            <w:tcW w:w="1067" w:type="dxa"/>
            <w:tcBorders>
              <w:top w:val="nil"/>
              <w:left w:val="nil"/>
              <w:bottom w:val="single" w:sz="4" w:space="0" w:color="auto"/>
              <w:right w:val="single" w:sz="4" w:space="0" w:color="000000"/>
            </w:tcBorders>
            <w:shd w:val="clear" w:color="auto" w:fill="auto"/>
            <w:noWrap/>
            <w:vAlign w:val="center"/>
            <w:hideMark/>
          </w:tcPr>
          <w:p w14:paraId="1E559F2E"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sz="4" w:space="0" w:color="auto"/>
              <w:right w:val="single" w:sz="4" w:space="0" w:color="000000"/>
            </w:tcBorders>
            <w:shd w:val="clear" w:color="auto" w:fill="auto"/>
            <w:vAlign w:val="center"/>
            <w:hideMark/>
          </w:tcPr>
          <w:p w14:paraId="55C85CD6"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100</w:t>
            </w:r>
          </w:p>
        </w:tc>
        <w:tc>
          <w:tcPr>
            <w:tcW w:w="967" w:type="dxa"/>
            <w:tcBorders>
              <w:top w:val="nil"/>
              <w:left w:val="nil"/>
              <w:bottom w:val="single" w:sz="4" w:space="0" w:color="auto"/>
              <w:right w:val="single" w:sz="4" w:space="0" w:color="000000"/>
            </w:tcBorders>
            <w:shd w:val="clear" w:color="auto" w:fill="auto"/>
            <w:noWrap/>
            <w:vAlign w:val="center"/>
            <w:hideMark/>
          </w:tcPr>
          <w:p w14:paraId="029E4F4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sz="4" w:space="0" w:color="auto"/>
              <w:right w:val="single" w:sz="4" w:space="0" w:color="auto"/>
            </w:tcBorders>
            <w:shd w:val="clear" w:color="auto" w:fill="auto"/>
            <w:vAlign w:val="center"/>
            <w:hideMark/>
          </w:tcPr>
          <w:p w14:paraId="0E53AF29"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50</w:t>
            </w:r>
          </w:p>
        </w:tc>
      </w:tr>
      <w:tr w:rsidR="00225E6D" w:rsidRPr="003D61B6" w14:paraId="056FCC93" w14:textId="77777777" w:rsidTr="00225E6D">
        <w:trPr>
          <w:gridAfter w:val="1"/>
          <w:wAfter w:w="7" w:type="dxa"/>
          <w:trHeight w:val="620"/>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9AA01"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11</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51ABD8AE"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703.12(a)</w:t>
            </w:r>
          </w:p>
        </w:tc>
        <w:tc>
          <w:tcPr>
            <w:tcW w:w="6269" w:type="dxa"/>
            <w:tcBorders>
              <w:top w:val="single" w:sz="4" w:space="0" w:color="auto"/>
              <w:left w:val="nil"/>
              <w:bottom w:val="single" w:sz="4" w:space="0" w:color="auto"/>
              <w:right w:val="nil"/>
            </w:tcBorders>
            <w:shd w:val="clear" w:color="auto" w:fill="auto"/>
            <w:hideMark/>
          </w:tcPr>
          <w:p w14:paraId="48A46FC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Monitoring securities.  (a) At least monthly, a FCU must prepare a written report setting forth, for each security held, the fair value and dollar change since the prior month-end, with summary information for the entire portfolio.</w:t>
            </w:r>
          </w:p>
        </w:tc>
        <w:tc>
          <w:tcPr>
            <w:tcW w:w="11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6082E6"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single" w:sz="4" w:space="0" w:color="auto"/>
              <w:left w:val="single" w:sz="12" w:space="0" w:color="auto"/>
              <w:bottom w:val="single" w:sz="4" w:space="0" w:color="000000"/>
              <w:right w:val="single" w:sz="4" w:space="0" w:color="auto"/>
            </w:tcBorders>
            <w:shd w:val="clear" w:color="auto" w:fill="auto"/>
            <w:vAlign w:val="center"/>
            <w:hideMark/>
          </w:tcPr>
          <w:p w14:paraId="7C8AA371"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1,200</w:t>
            </w:r>
          </w:p>
        </w:tc>
        <w:tc>
          <w:tcPr>
            <w:tcW w:w="1067" w:type="dxa"/>
            <w:tcBorders>
              <w:top w:val="single" w:sz="4" w:space="0" w:color="auto"/>
              <w:left w:val="nil"/>
              <w:bottom w:val="single" w:sz="4" w:space="0" w:color="000000"/>
              <w:right w:val="single" w:sz="4" w:space="0" w:color="000000"/>
            </w:tcBorders>
            <w:shd w:val="clear" w:color="auto" w:fill="auto"/>
            <w:vAlign w:val="center"/>
            <w:hideMark/>
          </w:tcPr>
          <w:p w14:paraId="6DAD29D9"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12</w:t>
            </w:r>
          </w:p>
        </w:tc>
        <w:tc>
          <w:tcPr>
            <w:tcW w:w="960" w:type="dxa"/>
            <w:tcBorders>
              <w:top w:val="single" w:sz="4" w:space="0" w:color="auto"/>
              <w:left w:val="nil"/>
              <w:bottom w:val="single" w:sz="4" w:space="0" w:color="000000"/>
              <w:right w:val="single" w:sz="4" w:space="0" w:color="000000"/>
            </w:tcBorders>
            <w:shd w:val="clear" w:color="auto" w:fill="auto"/>
            <w:vAlign w:val="center"/>
            <w:hideMark/>
          </w:tcPr>
          <w:p w14:paraId="272B5727"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14,400</w:t>
            </w:r>
          </w:p>
        </w:tc>
        <w:tc>
          <w:tcPr>
            <w:tcW w:w="967" w:type="dxa"/>
            <w:tcBorders>
              <w:top w:val="single" w:sz="4" w:space="0" w:color="auto"/>
              <w:left w:val="nil"/>
              <w:bottom w:val="single" w:sz="4" w:space="0" w:color="000000"/>
              <w:right w:val="single" w:sz="4" w:space="0" w:color="000000"/>
            </w:tcBorders>
            <w:shd w:val="clear" w:color="auto" w:fill="auto"/>
            <w:vAlign w:val="center"/>
            <w:hideMark/>
          </w:tcPr>
          <w:p w14:paraId="44BB4D9B"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single" w:sz="4" w:space="0" w:color="auto"/>
              <w:left w:val="nil"/>
              <w:bottom w:val="single" w:sz="4" w:space="0" w:color="000000"/>
              <w:right w:val="single" w:sz="4" w:space="0" w:color="auto"/>
            </w:tcBorders>
            <w:shd w:val="clear" w:color="auto" w:fill="auto"/>
            <w:vAlign w:val="center"/>
            <w:hideMark/>
          </w:tcPr>
          <w:p w14:paraId="609D165D"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7,200</w:t>
            </w:r>
          </w:p>
        </w:tc>
      </w:tr>
      <w:tr w:rsidR="00225E6D" w:rsidRPr="003D61B6" w14:paraId="25C8B7F6" w14:textId="77777777" w:rsidTr="00225E6D">
        <w:trPr>
          <w:gridAfter w:val="1"/>
          <w:wAfter w:w="7" w:type="dxa"/>
          <w:trHeight w:val="46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D07CE43"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12</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1F80B649"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703.12(b)</w:t>
            </w:r>
          </w:p>
        </w:tc>
        <w:tc>
          <w:tcPr>
            <w:tcW w:w="6269" w:type="dxa"/>
            <w:tcBorders>
              <w:top w:val="nil"/>
              <w:left w:val="nil"/>
              <w:bottom w:val="single" w:sz="4" w:space="0" w:color="auto"/>
              <w:right w:val="nil"/>
            </w:tcBorders>
            <w:shd w:val="clear" w:color="auto" w:fill="auto"/>
            <w:vAlign w:val="center"/>
            <w:hideMark/>
          </w:tcPr>
          <w:p w14:paraId="27DDCF1C"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(b) At least quarterly, a FCU must prepare a written report setting forth the sum of the fair values of all fixed and variable rate securities held.</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035F2EAE"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758E83F4"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1200</w:t>
            </w:r>
          </w:p>
        </w:tc>
        <w:tc>
          <w:tcPr>
            <w:tcW w:w="1067" w:type="dxa"/>
            <w:tcBorders>
              <w:top w:val="nil"/>
              <w:left w:val="nil"/>
              <w:bottom w:val="single" w:sz="4" w:space="0" w:color="auto"/>
              <w:right w:val="single" w:sz="4" w:space="0" w:color="000000"/>
            </w:tcBorders>
            <w:shd w:val="clear" w:color="auto" w:fill="auto"/>
            <w:vAlign w:val="center"/>
            <w:hideMark/>
          </w:tcPr>
          <w:p w14:paraId="7769111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4</w:t>
            </w:r>
          </w:p>
        </w:tc>
        <w:tc>
          <w:tcPr>
            <w:tcW w:w="960" w:type="dxa"/>
            <w:tcBorders>
              <w:top w:val="nil"/>
              <w:left w:val="nil"/>
              <w:bottom w:val="single" w:sz="4" w:space="0" w:color="auto"/>
              <w:right w:val="single" w:sz="4" w:space="0" w:color="000000"/>
            </w:tcBorders>
            <w:shd w:val="clear" w:color="auto" w:fill="auto"/>
            <w:vAlign w:val="center"/>
            <w:hideMark/>
          </w:tcPr>
          <w:p w14:paraId="14C08289"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4,800</w:t>
            </w:r>
          </w:p>
        </w:tc>
        <w:tc>
          <w:tcPr>
            <w:tcW w:w="967" w:type="dxa"/>
            <w:tcBorders>
              <w:top w:val="nil"/>
              <w:left w:val="nil"/>
              <w:bottom w:val="single" w:sz="4" w:space="0" w:color="auto"/>
              <w:right w:val="single" w:sz="4" w:space="0" w:color="000000"/>
            </w:tcBorders>
            <w:shd w:val="clear" w:color="auto" w:fill="auto"/>
            <w:vAlign w:val="center"/>
            <w:hideMark/>
          </w:tcPr>
          <w:p w14:paraId="385C6EA7"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sz="4" w:space="0" w:color="auto"/>
              <w:right w:val="single" w:sz="4" w:space="0" w:color="auto"/>
            </w:tcBorders>
            <w:shd w:val="clear" w:color="auto" w:fill="auto"/>
            <w:vAlign w:val="center"/>
            <w:hideMark/>
          </w:tcPr>
          <w:p w14:paraId="4D0DCEF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2,400</w:t>
            </w:r>
          </w:p>
        </w:tc>
      </w:tr>
    </w:tbl>
    <w:p w14:paraId="14CBB82A" w14:textId="3ADD606F" w:rsidR="00225E6D" w:rsidRDefault="00225E6D"/>
    <w:tbl>
      <w:tblPr>
        <w:tblW w:w="15522" w:type="dxa"/>
        <w:tblLayout w:type="fixed"/>
        <w:tblLook w:val="04A0" w:firstRow="1" w:lastRow="0" w:firstColumn="1" w:lastColumn="0" w:noHBand="0" w:noVBand="1"/>
      </w:tblPr>
      <w:tblGrid>
        <w:gridCol w:w="428"/>
        <w:gridCol w:w="1398"/>
        <w:gridCol w:w="6179"/>
        <w:gridCol w:w="1100"/>
        <w:gridCol w:w="980"/>
        <w:gridCol w:w="1067"/>
        <w:gridCol w:w="960"/>
        <w:gridCol w:w="967"/>
        <w:gridCol w:w="26"/>
        <w:gridCol w:w="1195"/>
        <w:gridCol w:w="25"/>
        <w:gridCol w:w="1197"/>
      </w:tblGrid>
      <w:tr w:rsidR="00225E6D" w:rsidRPr="003D61B6" w14:paraId="3E892D6F" w14:textId="77777777" w:rsidTr="00225E6D">
        <w:trPr>
          <w:trHeight w:val="710"/>
        </w:trPr>
        <w:tc>
          <w:tcPr>
            <w:tcW w:w="4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462BFD" w14:textId="20DE8CC9" w:rsidR="00225E6D" w:rsidRPr="003D61B6" w:rsidRDefault="00225E6D" w:rsidP="00225E6D">
            <w:pPr>
              <w:jc w:val="center"/>
              <w:rPr>
                <w:rFonts w:ascii="Arial Narrow" w:hAnsi="Arial Narrow" w:cs="Calibri"/>
                <w:color w:val="000000"/>
                <w:sz w:val="18"/>
                <w:szCs w:val="18"/>
              </w:rPr>
            </w:pPr>
          </w:p>
        </w:tc>
        <w:tc>
          <w:tcPr>
            <w:tcW w:w="1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1257A9" w14:textId="77777777" w:rsidR="00225E6D" w:rsidRPr="003D61B6" w:rsidRDefault="00225E6D" w:rsidP="00225E6D">
            <w:pPr>
              <w:jc w:val="center"/>
              <w:rPr>
                <w:rFonts w:ascii="Arial Narrow" w:hAnsi="Arial Narrow" w:cs="Calibri"/>
                <w:color w:val="000000"/>
                <w:sz w:val="18"/>
                <w:szCs w:val="18"/>
              </w:rPr>
            </w:pPr>
            <w:r w:rsidRPr="003D61B6">
              <w:rPr>
                <w:rFonts w:ascii="Arial Narrow" w:hAnsi="Arial Narrow" w:cs="Calibri"/>
                <w:color w:val="000000"/>
                <w:sz w:val="18"/>
                <w:szCs w:val="18"/>
              </w:rPr>
              <w:t>12 CFR</w:t>
            </w:r>
          </w:p>
        </w:tc>
        <w:tc>
          <w:tcPr>
            <w:tcW w:w="61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9C490" w14:textId="77777777" w:rsidR="00225E6D" w:rsidRPr="003D61B6" w:rsidRDefault="00225E6D" w:rsidP="00225E6D">
            <w:pPr>
              <w:jc w:val="center"/>
              <w:rPr>
                <w:rFonts w:ascii="Arial Narrow" w:hAnsi="Arial Narrow" w:cs="Calibri"/>
                <w:color w:val="000000"/>
                <w:sz w:val="18"/>
                <w:szCs w:val="18"/>
              </w:rPr>
            </w:pPr>
            <w:r w:rsidRPr="003D61B6">
              <w:rPr>
                <w:rFonts w:ascii="Arial Narrow" w:hAnsi="Arial Narrow" w:cs="Calibri"/>
                <w:color w:val="000000"/>
                <w:sz w:val="18"/>
                <w:szCs w:val="18"/>
              </w:rPr>
              <w:t>Information Collection</w:t>
            </w:r>
          </w:p>
        </w:tc>
        <w:tc>
          <w:tcPr>
            <w:tcW w:w="11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69DCF"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Type of Burden</w:t>
            </w:r>
          </w:p>
        </w:tc>
        <w:tc>
          <w:tcPr>
            <w:tcW w:w="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D0CB57"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Respon- dents</w:t>
            </w:r>
          </w:p>
        </w:tc>
        <w:tc>
          <w:tcPr>
            <w:tcW w:w="10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5AAD6"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Responses Per Respondent</w:t>
            </w:r>
          </w:p>
        </w:tc>
        <w:tc>
          <w:tcPr>
            <w:tcW w:w="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B2AD"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Annual Responses</w:t>
            </w:r>
          </w:p>
        </w:tc>
        <w:tc>
          <w:tcPr>
            <w:tcW w:w="9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9E7601"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Hours Per Response</w:t>
            </w:r>
          </w:p>
        </w:tc>
        <w:tc>
          <w:tcPr>
            <w:tcW w:w="12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1F86D"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Total Annual Reporting Burden</w:t>
            </w:r>
          </w:p>
        </w:tc>
        <w:tc>
          <w:tcPr>
            <w:tcW w:w="1222" w:type="dxa"/>
            <w:gridSpan w:val="2"/>
            <w:vAlign w:val="center"/>
          </w:tcPr>
          <w:p w14:paraId="1E44554D" w14:textId="77777777" w:rsidR="00225E6D" w:rsidRPr="003D61B6" w:rsidRDefault="00225E6D" w:rsidP="00225E6D">
            <w:pPr>
              <w:jc w:val="right"/>
              <w:rPr>
                <w:rFonts w:ascii="Arial" w:hAnsi="Arial" w:cs="Arial"/>
                <w:color w:val="000000"/>
                <w:sz w:val="18"/>
                <w:szCs w:val="18"/>
              </w:rPr>
            </w:pPr>
          </w:p>
        </w:tc>
      </w:tr>
      <w:tr w:rsidR="00225E6D" w:rsidRPr="003D61B6" w14:paraId="142D7A63" w14:textId="77777777" w:rsidTr="00225E6D">
        <w:trPr>
          <w:gridAfter w:val="2"/>
          <w:wAfter w:w="1222" w:type="dxa"/>
          <w:trHeight w:val="78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FA0D996"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13</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48C8164D"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703.13(c)(2)</w:t>
            </w:r>
          </w:p>
        </w:tc>
        <w:tc>
          <w:tcPr>
            <w:tcW w:w="6179" w:type="dxa"/>
            <w:tcBorders>
              <w:top w:val="nil"/>
              <w:left w:val="nil"/>
              <w:bottom w:val="single" w:sz="4" w:space="0" w:color="auto"/>
              <w:right w:val="nil"/>
            </w:tcBorders>
            <w:shd w:val="clear" w:color="auto" w:fill="auto"/>
            <w:vAlign w:val="center"/>
            <w:hideMark/>
          </w:tcPr>
          <w:p w14:paraId="3F0C5466"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Permissible investment activities.  (c) Investment repurchase transaction.  A FCU may enter into a investment repurchase transaction so long as: </w:t>
            </w:r>
            <w:r w:rsidRPr="003D61B6">
              <w:rPr>
                <w:rFonts w:ascii="Arial" w:hAnsi="Arial" w:cs="Arial"/>
                <w:color w:val="000000"/>
                <w:sz w:val="16"/>
                <w:szCs w:val="16"/>
              </w:rPr>
              <w:br/>
              <w:t>(2) The FCU has entered into a signed contracts with all approved counterparties.</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570EB162"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69B7DEC1"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w:t>
            </w:r>
          </w:p>
        </w:tc>
        <w:tc>
          <w:tcPr>
            <w:tcW w:w="1067" w:type="dxa"/>
            <w:tcBorders>
              <w:top w:val="nil"/>
              <w:left w:val="nil"/>
              <w:bottom w:val="single" w:sz="4" w:space="0" w:color="auto"/>
              <w:right w:val="single" w:sz="4" w:space="0" w:color="000000"/>
            </w:tcBorders>
            <w:shd w:val="clear" w:color="auto" w:fill="auto"/>
            <w:vAlign w:val="center"/>
            <w:hideMark/>
          </w:tcPr>
          <w:p w14:paraId="4DE9905E"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sz="4" w:space="0" w:color="auto"/>
              <w:right w:val="single" w:sz="4" w:space="0" w:color="000000"/>
            </w:tcBorders>
            <w:shd w:val="clear" w:color="auto" w:fill="auto"/>
            <w:vAlign w:val="center"/>
            <w:hideMark/>
          </w:tcPr>
          <w:p w14:paraId="14544277"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10</w:t>
            </w:r>
          </w:p>
        </w:tc>
        <w:tc>
          <w:tcPr>
            <w:tcW w:w="967" w:type="dxa"/>
            <w:tcBorders>
              <w:top w:val="nil"/>
              <w:left w:val="nil"/>
              <w:bottom w:val="single" w:sz="4" w:space="0" w:color="auto"/>
              <w:right w:val="single" w:sz="4" w:space="0" w:color="000000"/>
            </w:tcBorders>
            <w:shd w:val="clear" w:color="auto" w:fill="auto"/>
            <w:vAlign w:val="center"/>
            <w:hideMark/>
          </w:tcPr>
          <w:p w14:paraId="7F867A5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gridSpan w:val="2"/>
            <w:tcBorders>
              <w:top w:val="nil"/>
              <w:left w:val="nil"/>
              <w:bottom w:val="single" w:sz="4" w:space="0" w:color="auto"/>
              <w:right w:val="single" w:sz="4" w:space="0" w:color="auto"/>
            </w:tcBorders>
            <w:shd w:val="clear" w:color="auto" w:fill="auto"/>
            <w:vAlign w:val="center"/>
            <w:hideMark/>
          </w:tcPr>
          <w:p w14:paraId="650F39E9"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w:t>
            </w:r>
          </w:p>
        </w:tc>
      </w:tr>
      <w:tr w:rsidR="00225E6D" w:rsidRPr="003D61B6" w14:paraId="69A2FEC4" w14:textId="77777777" w:rsidTr="00225E6D">
        <w:trPr>
          <w:gridAfter w:val="2"/>
          <w:wAfter w:w="1222" w:type="dxa"/>
          <w:trHeight w:val="1079"/>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FBCDA2B"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14</w:t>
            </w:r>
          </w:p>
        </w:tc>
        <w:tc>
          <w:tcPr>
            <w:tcW w:w="1398" w:type="dxa"/>
            <w:tcBorders>
              <w:top w:val="nil"/>
              <w:left w:val="nil"/>
              <w:bottom w:val="nil"/>
              <w:right w:val="single" w:sz="4" w:space="0" w:color="auto"/>
            </w:tcBorders>
            <w:shd w:val="clear" w:color="auto" w:fill="auto"/>
            <w:vAlign w:val="center"/>
            <w:hideMark/>
          </w:tcPr>
          <w:p w14:paraId="7B0A71E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703.13(e)(1) and (4); (f)(2)</w:t>
            </w:r>
          </w:p>
        </w:tc>
        <w:tc>
          <w:tcPr>
            <w:tcW w:w="6179" w:type="dxa"/>
            <w:tcBorders>
              <w:top w:val="nil"/>
              <w:left w:val="nil"/>
              <w:bottom w:val="single" w:sz="4" w:space="0" w:color="auto"/>
              <w:right w:val="nil"/>
            </w:tcBorders>
            <w:shd w:val="clear" w:color="auto" w:fill="auto"/>
            <w:vAlign w:val="center"/>
            <w:hideMark/>
          </w:tcPr>
          <w:p w14:paraId="5AC13D7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(e) </w:t>
            </w:r>
            <w:r w:rsidRPr="003D61B6">
              <w:rPr>
                <w:rFonts w:ascii="Arial" w:hAnsi="Arial" w:cs="Arial"/>
                <w:i/>
                <w:iCs/>
                <w:color w:val="000000"/>
                <w:sz w:val="16"/>
                <w:szCs w:val="16"/>
              </w:rPr>
              <w:t>Securities lending transaction</w:t>
            </w:r>
            <w:r w:rsidRPr="003D61B6">
              <w:rPr>
                <w:rFonts w:ascii="Arial" w:hAnsi="Arial" w:cs="Arial"/>
                <w:color w:val="000000"/>
                <w:sz w:val="16"/>
                <w:szCs w:val="16"/>
              </w:rPr>
              <w:t xml:space="preserve">. A FCU may enter into a securities lending transaction so long as: (1) The FCU receives written confirmation of the loan; </w:t>
            </w:r>
            <w:r w:rsidRPr="003D61B6">
              <w:rPr>
                <w:rFonts w:ascii="Arial" w:hAnsi="Arial" w:cs="Arial"/>
                <w:color w:val="000000"/>
                <w:sz w:val="16"/>
                <w:szCs w:val="16"/>
              </w:rPr>
              <w:br/>
              <w:t>(4) The FCU has executed a written loan and security agreement with the borrower.</w:t>
            </w:r>
            <w:r w:rsidRPr="003D61B6">
              <w:rPr>
                <w:rFonts w:ascii="Arial" w:hAnsi="Arial" w:cs="Arial"/>
                <w:color w:val="000000"/>
                <w:sz w:val="16"/>
                <w:szCs w:val="16"/>
              </w:rPr>
              <w:br/>
            </w:r>
            <w:r w:rsidRPr="003D61B6">
              <w:rPr>
                <w:rFonts w:ascii="Arial" w:hAnsi="Arial" w:cs="Arial"/>
                <w:color w:val="000000"/>
                <w:sz w:val="16"/>
                <w:szCs w:val="16"/>
              </w:rPr>
              <w:br/>
              <w:t>(f)(1) Trading securities.  (2) A FCU must record any security it purchases or sells for trading purposes at fair value on the trade date.</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425F795C"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63BF9FAD"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5</w:t>
            </w:r>
          </w:p>
        </w:tc>
        <w:tc>
          <w:tcPr>
            <w:tcW w:w="1067" w:type="dxa"/>
            <w:tcBorders>
              <w:top w:val="nil"/>
              <w:left w:val="nil"/>
              <w:bottom w:val="single" w:sz="4" w:space="0" w:color="000000"/>
              <w:right w:val="single" w:sz="4" w:space="0" w:color="000000"/>
            </w:tcBorders>
            <w:shd w:val="clear" w:color="auto" w:fill="auto"/>
            <w:vAlign w:val="center"/>
            <w:hideMark/>
          </w:tcPr>
          <w:p w14:paraId="495DA73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sz="4" w:space="0" w:color="000000"/>
              <w:right w:val="single" w:sz="4" w:space="0" w:color="000000"/>
            </w:tcBorders>
            <w:shd w:val="clear" w:color="auto" w:fill="auto"/>
            <w:vAlign w:val="center"/>
            <w:hideMark/>
          </w:tcPr>
          <w:p w14:paraId="28E483A8"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10</w:t>
            </w:r>
          </w:p>
        </w:tc>
        <w:tc>
          <w:tcPr>
            <w:tcW w:w="967" w:type="dxa"/>
            <w:tcBorders>
              <w:top w:val="nil"/>
              <w:left w:val="nil"/>
              <w:bottom w:val="single" w:sz="4" w:space="0" w:color="000000"/>
              <w:right w:val="single" w:sz="4" w:space="0" w:color="000000"/>
            </w:tcBorders>
            <w:shd w:val="clear" w:color="auto" w:fill="auto"/>
            <w:vAlign w:val="center"/>
            <w:hideMark/>
          </w:tcPr>
          <w:p w14:paraId="619B90FB"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0.00</w:t>
            </w:r>
          </w:p>
        </w:tc>
        <w:tc>
          <w:tcPr>
            <w:tcW w:w="1221" w:type="dxa"/>
            <w:gridSpan w:val="2"/>
            <w:tcBorders>
              <w:top w:val="nil"/>
              <w:left w:val="nil"/>
              <w:bottom w:val="single" w:sz="4" w:space="0" w:color="000000"/>
              <w:right w:val="single" w:sz="4" w:space="0" w:color="auto"/>
            </w:tcBorders>
            <w:shd w:val="clear" w:color="auto" w:fill="auto"/>
            <w:vAlign w:val="center"/>
            <w:hideMark/>
          </w:tcPr>
          <w:p w14:paraId="2815DBEE"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r>
      <w:tr w:rsidR="00225E6D" w:rsidRPr="003D61B6" w14:paraId="079DE8AF" w14:textId="77777777" w:rsidTr="00225E6D">
        <w:trPr>
          <w:gridAfter w:val="2"/>
          <w:wAfter w:w="1222" w:type="dxa"/>
          <w:trHeight w:val="60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D14A615"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15</w:t>
            </w:r>
          </w:p>
        </w:tc>
        <w:tc>
          <w:tcPr>
            <w:tcW w:w="1398" w:type="dxa"/>
            <w:tcBorders>
              <w:top w:val="single" w:sz="4" w:space="0" w:color="auto"/>
              <w:left w:val="nil"/>
              <w:bottom w:val="nil"/>
              <w:right w:val="single" w:sz="4" w:space="0" w:color="auto"/>
            </w:tcBorders>
            <w:shd w:val="clear" w:color="auto" w:fill="auto"/>
            <w:vAlign w:val="center"/>
            <w:hideMark/>
          </w:tcPr>
          <w:p w14:paraId="0C34374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703.13(f)(3)</w:t>
            </w:r>
          </w:p>
        </w:tc>
        <w:tc>
          <w:tcPr>
            <w:tcW w:w="6179" w:type="dxa"/>
            <w:tcBorders>
              <w:top w:val="nil"/>
              <w:left w:val="nil"/>
              <w:bottom w:val="single" w:sz="4" w:space="0" w:color="auto"/>
              <w:right w:val="nil"/>
            </w:tcBorders>
            <w:shd w:val="clear" w:color="auto" w:fill="auto"/>
            <w:vAlign w:val="center"/>
            <w:hideMark/>
          </w:tcPr>
          <w:p w14:paraId="4A39EC8C"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(3) At least monthly, the FCU must give its board of directors or investment-related committee a written report listing all purchase and sale transactions of trading securities and the resulting gain or loss on an individual basis.</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2B348875"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1963C2ED"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w:t>
            </w:r>
          </w:p>
        </w:tc>
        <w:tc>
          <w:tcPr>
            <w:tcW w:w="1067" w:type="dxa"/>
            <w:tcBorders>
              <w:top w:val="nil"/>
              <w:left w:val="nil"/>
              <w:bottom w:val="single" w:sz="4" w:space="0" w:color="000000"/>
              <w:right w:val="single" w:sz="4" w:space="0" w:color="000000"/>
            </w:tcBorders>
            <w:shd w:val="clear" w:color="auto" w:fill="auto"/>
            <w:vAlign w:val="center"/>
            <w:hideMark/>
          </w:tcPr>
          <w:p w14:paraId="2339D072"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w:t>
            </w:r>
          </w:p>
        </w:tc>
        <w:tc>
          <w:tcPr>
            <w:tcW w:w="960" w:type="dxa"/>
            <w:tcBorders>
              <w:top w:val="nil"/>
              <w:left w:val="nil"/>
              <w:bottom w:val="single" w:sz="4" w:space="0" w:color="000000"/>
              <w:right w:val="single" w:sz="4" w:space="0" w:color="000000"/>
            </w:tcBorders>
            <w:shd w:val="clear" w:color="auto" w:fill="auto"/>
            <w:vAlign w:val="center"/>
            <w:hideMark/>
          </w:tcPr>
          <w:p w14:paraId="7BFE70C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25</w:t>
            </w:r>
          </w:p>
        </w:tc>
        <w:tc>
          <w:tcPr>
            <w:tcW w:w="967" w:type="dxa"/>
            <w:tcBorders>
              <w:top w:val="nil"/>
              <w:left w:val="nil"/>
              <w:bottom w:val="single" w:sz="4" w:space="0" w:color="000000"/>
              <w:right w:val="single" w:sz="4" w:space="0" w:color="000000"/>
            </w:tcBorders>
            <w:shd w:val="clear" w:color="auto" w:fill="auto"/>
            <w:vAlign w:val="center"/>
            <w:hideMark/>
          </w:tcPr>
          <w:p w14:paraId="6B39EB3E"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0.25</w:t>
            </w:r>
          </w:p>
        </w:tc>
        <w:tc>
          <w:tcPr>
            <w:tcW w:w="1221" w:type="dxa"/>
            <w:gridSpan w:val="2"/>
            <w:tcBorders>
              <w:top w:val="nil"/>
              <w:left w:val="nil"/>
              <w:bottom w:val="single" w:sz="4" w:space="0" w:color="000000"/>
              <w:right w:val="single" w:sz="4" w:space="0" w:color="auto"/>
            </w:tcBorders>
            <w:shd w:val="clear" w:color="auto" w:fill="auto"/>
            <w:vAlign w:val="center"/>
            <w:hideMark/>
          </w:tcPr>
          <w:p w14:paraId="28029F16"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6</w:t>
            </w:r>
          </w:p>
        </w:tc>
      </w:tr>
      <w:tr w:rsidR="00225E6D" w:rsidRPr="003D61B6" w14:paraId="70081AF8" w14:textId="77777777" w:rsidTr="00225E6D">
        <w:trPr>
          <w:gridAfter w:val="2"/>
          <w:wAfter w:w="1222" w:type="dxa"/>
          <w:trHeight w:val="69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4FF4454F"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16</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6913C95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703.14(e)</w:t>
            </w:r>
          </w:p>
        </w:tc>
        <w:tc>
          <w:tcPr>
            <w:tcW w:w="6179" w:type="dxa"/>
            <w:tcBorders>
              <w:top w:val="nil"/>
              <w:left w:val="nil"/>
              <w:bottom w:val="single" w:sz="4" w:space="0" w:color="auto"/>
              <w:right w:val="nil"/>
            </w:tcBorders>
            <w:shd w:val="clear" w:color="auto" w:fill="auto"/>
            <w:vAlign w:val="center"/>
            <w:hideMark/>
          </w:tcPr>
          <w:p w14:paraId="371F8F5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Permissible investments. (e) Municipal security. A FCU may purchase and hold a municipal security only if it conducts and documents an analysis that reasonably concludes the security is at least investment grade.</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50CB68D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2682686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50</w:t>
            </w:r>
          </w:p>
        </w:tc>
        <w:tc>
          <w:tcPr>
            <w:tcW w:w="1067" w:type="dxa"/>
            <w:tcBorders>
              <w:top w:val="nil"/>
              <w:left w:val="nil"/>
              <w:bottom w:val="single" w:sz="4" w:space="0" w:color="auto"/>
              <w:right w:val="single" w:sz="4" w:space="0" w:color="000000"/>
            </w:tcBorders>
            <w:shd w:val="clear" w:color="auto" w:fill="auto"/>
            <w:vAlign w:val="center"/>
            <w:hideMark/>
          </w:tcPr>
          <w:p w14:paraId="73EB54BC"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w:t>
            </w:r>
          </w:p>
        </w:tc>
        <w:tc>
          <w:tcPr>
            <w:tcW w:w="960" w:type="dxa"/>
            <w:tcBorders>
              <w:top w:val="nil"/>
              <w:left w:val="nil"/>
              <w:bottom w:val="single" w:sz="4" w:space="0" w:color="auto"/>
              <w:right w:val="single" w:sz="4" w:space="0" w:color="000000"/>
            </w:tcBorders>
            <w:shd w:val="clear" w:color="auto" w:fill="auto"/>
            <w:vAlign w:val="center"/>
            <w:hideMark/>
          </w:tcPr>
          <w:p w14:paraId="261EA809"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250</w:t>
            </w:r>
          </w:p>
        </w:tc>
        <w:tc>
          <w:tcPr>
            <w:tcW w:w="967" w:type="dxa"/>
            <w:tcBorders>
              <w:top w:val="nil"/>
              <w:left w:val="nil"/>
              <w:bottom w:val="single" w:sz="4" w:space="0" w:color="auto"/>
              <w:right w:val="single" w:sz="4" w:space="0" w:color="000000"/>
            </w:tcBorders>
            <w:shd w:val="clear" w:color="auto" w:fill="auto"/>
            <w:vAlign w:val="center"/>
            <w:hideMark/>
          </w:tcPr>
          <w:p w14:paraId="01211EF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0.50</w:t>
            </w:r>
          </w:p>
        </w:tc>
        <w:tc>
          <w:tcPr>
            <w:tcW w:w="1221" w:type="dxa"/>
            <w:gridSpan w:val="2"/>
            <w:tcBorders>
              <w:top w:val="nil"/>
              <w:left w:val="nil"/>
              <w:bottom w:val="single" w:sz="4" w:space="0" w:color="auto"/>
              <w:right w:val="single" w:sz="4" w:space="0" w:color="auto"/>
            </w:tcBorders>
            <w:shd w:val="clear" w:color="auto" w:fill="auto"/>
            <w:vAlign w:val="center"/>
            <w:hideMark/>
          </w:tcPr>
          <w:p w14:paraId="6EACA378"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125.00</w:t>
            </w:r>
          </w:p>
        </w:tc>
      </w:tr>
      <w:tr w:rsidR="00225E6D" w:rsidRPr="003D61B6" w14:paraId="2F11029D" w14:textId="77777777" w:rsidTr="00B90E17">
        <w:trPr>
          <w:gridAfter w:val="2"/>
          <w:wAfter w:w="1222" w:type="dxa"/>
          <w:trHeight w:val="728"/>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1FF8286"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17</w:t>
            </w:r>
          </w:p>
        </w:tc>
        <w:tc>
          <w:tcPr>
            <w:tcW w:w="1398" w:type="dxa"/>
            <w:tcBorders>
              <w:top w:val="nil"/>
              <w:left w:val="nil"/>
              <w:bottom w:val="nil"/>
              <w:right w:val="single" w:sz="4" w:space="0" w:color="auto"/>
            </w:tcBorders>
            <w:shd w:val="clear" w:color="auto" w:fill="auto"/>
            <w:vAlign w:val="center"/>
            <w:hideMark/>
          </w:tcPr>
          <w:p w14:paraId="423F0DD8"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703.14(j)(1)</w:t>
            </w:r>
          </w:p>
        </w:tc>
        <w:tc>
          <w:tcPr>
            <w:tcW w:w="6179" w:type="dxa"/>
            <w:tcBorders>
              <w:top w:val="nil"/>
              <w:left w:val="nil"/>
              <w:bottom w:val="single" w:sz="4" w:space="0" w:color="auto"/>
              <w:right w:val="nil"/>
            </w:tcBorders>
            <w:shd w:val="clear" w:color="auto" w:fill="auto"/>
            <w:vAlign w:val="center"/>
            <w:hideMark/>
          </w:tcPr>
          <w:p w14:paraId="0802F609"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(j) Commercial mortgage related security (CMRS). A FCU may purchase a CMRS provided:</w:t>
            </w:r>
            <w:r w:rsidRPr="003D61B6">
              <w:rPr>
                <w:rFonts w:ascii="Arial" w:hAnsi="Arial" w:cs="Arial"/>
                <w:color w:val="000000"/>
                <w:sz w:val="16"/>
                <w:szCs w:val="16"/>
              </w:rPr>
              <w:br/>
              <w:t>(1) The FCU conducts and documents a credit analysis that reasonably concludes the CMRS is at least investment grade.</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74A56439"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0802DE5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10</w:t>
            </w:r>
          </w:p>
        </w:tc>
        <w:tc>
          <w:tcPr>
            <w:tcW w:w="1067" w:type="dxa"/>
            <w:tcBorders>
              <w:top w:val="nil"/>
              <w:left w:val="nil"/>
              <w:bottom w:val="single" w:sz="4" w:space="0" w:color="000000"/>
              <w:right w:val="single" w:sz="4" w:space="0" w:color="000000"/>
            </w:tcBorders>
            <w:shd w:val="clear" w:color="auto" w:fill="auto"/>
            <w:vAlign w:val="center"/>
            <w:hideMark/>
          </w:tcPr>
          <w:p w14:paraId="7117636C"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w:t>
            </w:r>
          </w:p>
        </w:tc>
        <w:tc>
          <w:tcPr>
            <w:tcW w:w="960" w:type="dxa"/>
            <w:tcBorders>
              <w:top w:val="nil"/>
              <w:left w:val="nil"/>
              <w:bottom w:val="single" w:sz="4" w:space="0" w:color="000000"/>
              <w:right w:val="single" w:sz="4" w:space="0" w:color="000000"/>
            </w:tcBorders>
            <w:shd w:val="clear" w:color="auto" w:fill="auto"/>
            <w:vAlign w:val="center"/>
            <w:hideMark/>
          </w:tcPr>
          <w:p w14:paraId="294E279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20</w:t>
            </w:r>
          </w:p>
        </w:tc>
        <w:tc>
          <w:tcPr>
            <w:tcW w:w="967" w:type="dxa"/>
            <w:tcBorders>
              <w:top w:val="nil"/>
              <w:left w:val="nil"/>
              <w:bottom w:val="single" w:sz="4" w:space="0" w:color="000000"/>
              <w:right w:val="single" w:sz="4" w:space="0" w:color="000000"/>
            </w:tcBorders>
            <w:shd w:val="clear" w:color="auto" w:fill="auto"/>
            <w:vAlign w:val="center"/>
            <w:hideMark/>
          </w:tcPr>
          <w:p w14:paraId="36508692"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0.50</w:t>
            </w:r>
          </w:p>
        </w:tc>
        <w:tc>
          <w:tcPr>
            <w:tcW w:w="1221" w:type="dxa"/>
            <w:gridSpan w:val="2"/>
            <w:tcBorders>
              <w:top w:val="nil"/>
              <w:left w:val="nil"/>
              <w:bottom w:val="single" w:sz="4" w:space="0" w:color="000000"/>
              <w:right w:val="single" w:sz="4" w:space="0" w:color="auto"/>
            </w:tcBorders>
            <w:shd w:val="clear" w:color="auto" w:fill="auto"/>
            <w:vAlign w:val="center"/>
            <w:hideMark/>
          </w:tcPr>
          <w:p w14:paraId="4A475EE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10</w:t>
            </w:r>
          </w:p>
        </w:tc>
      </w:tr>
      <w:tr w:rsidR="00225E6D" w:rsidRPr="003D61B6" w14:paraId="41ECD367" w14:textId="77777777" w:rsidTr="00225E6D">
        <w:trPr>
          <w:gridAfter w:val="2"/>
          <w:wAfter w:w="1222" w:type="dxa"/>
          <w:trHeight w:val="69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A9DFF14"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18</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5A4F6507"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703.19(b)</w:t>
            </w:r>
          </w:p>
        </w:tc>
        <w:tc>
          <w:tcPr>
            <w:tcW w:w="6179" w:type="dxa"/>
            <w:tcBorders>
              <w:top w:val="nil"/>
              <w:left w:val="nil"/>
              <w:bottom w:val="single" w:sz="4" w:space="0" w:color="auto"/>
              <w:right w:val="nil"/>
            </w:tcBorders>
            <w:shd w:val="clear" w:color="auto" w:fill="auto"/>
            <w:vAlign w:val="center"/>
            <w:hideMark/>
          </w:tcPr>
          <w:p w14:paraId="32E3915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Investment pilot program. (b) Before a FCU may engage in additional activities it must obtain written approval from NCUA. To obtain approval, a FCU must submit a request to its regional director.</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5F4A86BF"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492041AD"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1067" w:type="dxa"/>
            <w:tcBorders>
              <w:top w:val="nil"/>
              <w:left w:val="nil"/>
              <w:bottom w:val="single" w:sz="4" w:space="0" w:color="000000"/>
              <w:right w:val="single" w:sz="4" w:space="0" w:color="000000"/>
            </w:tcBorders>
            <w:shd w:val="clear" w:color="auto" w:fill="auto"/>
            <w:vAlign w:val="center"/>
            <w:hideMark/>
          </w:tcPr>
          <w:p w14:paraId="75846016"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0" w:type="dxa"/>
            <w:tcBorders>
              <w:top w:val="nil"/>
              <w:left w:val="nil"/>
              <w:bottom w:val="single" w:sz="4" w:space="0" w:color="000000"/>
              <w:right w:val="single" w:sz="4" w:space="0" w:color="000000"/>
            </w:tcBorders>
            <w:shd w:val="clear" w:color="auto" w:fill="auto"/>
            <w:vAlign w:val="center"/>
            <w:hideMark/>
          </w:tcPr>
          <w:p w14:paraId="72672ED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7" w:type="dxa"/>
            <w:tcBorders>
              <w:top w:val="nil"/>
              <w:left w:val="nil"/>
              <w:bottom w:val="single" w:sz="4" w:space="0" w:color="000000"/>
              <w:right w:val="single" w:sz="4" w:space="0" w:color="000000"/>
            </w:tcBorders>
            <w:shd w:val="clear" w:color="auto" w:fill="auto"/>
            <w:vAlign w:val="center"/>
            <w:hideMark/>
          </w:tcPr>
          <w:p w14:paraId="7B7BE775"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0.00</w:t>
            </w:r>
          </w:p>
        </w:tc>
        <w:tc>
          <w:tcPr>
            <w:tcW w:w="1221" w:type="dxa"/>
            <w:gridSpan w:val="2"/>
            <w:tcBorders>
              <w:top w:val="nil"/>
              <w:left w:val="nil"/>
              <w:bottom w:val="single" w:sz="4" w:space="0" w:color="000000"/>
              <w:right w:val="single" w:sz="4" w:space="0" w:color="auto"/>
            </w:tcBorders>
            <w:shd w:val="clear" w:color="auto" w:fill="auto"/>
            <w:vAlign w:val="center"/>
            <w:hideMark/>
          </w:tcPr>
          <w:p w14:paraId="5B6B641F"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r>
      <w:tr w:rsidR="00225E6D" w:rsidRPr="003D61B6" w14:paraId="3D64F287" w14:textId="77777777" w:rsidTr="00225E6D">
        <w:trPr>
          <w:gridAfter w:val="2"/>
          <w:wAfter w:w="1222" w:type="dxa"/>
          <w:trHeight w:val="449"/>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576DD9A"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19</w:t>
            </w:r>
          </w:p>
        </w:tc>
        <w:tc>
          <w:tcPr>
            <w:tcW w:w="1398" w:type="dxa"/>
            <w:tcBorders>
              <w:top w:val="nil"/>
              <w:left w:val="nil"/>
              <w:bottom w:val="single" w:sz="4" w:space="0" w:color="auto"/>
              <w:right w:val="single" w:sz="4" w:space="0" w:color="auto"/>
            </w:tcBorders>
            <w:shd w:val="clear" w:color="auto" w:fill="auto"/>
            <w:noWrap/>
            <w:vAlign w:val="center"/>
            <w:hideMark/>
          </w:tcPr>
          <w:p w14:paraId="2C2025DA"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703.19(c)</w:t>
            </w:r>
          </w:p>
        </w:tc>
        <w:tc>
          <w:tcPr>
            <w:tcW w:w="6179" w:type="dxa"/>
            <w:tcBorders>
              <w:top w:val="nil"/>
              <w:left w:val="nil"/>
              <w:bottom w:val="single" w:sz="4" w:space="0" w:color="auto"/>
              <w:right w:val="nil"/>
            </w:tcBorders>
            <w:shd w:val="clear" w:color="auto" w:fill="auto"/>
            <w:vAlign w:val="center"/>
            <w:hideMark/>
          </w:tcPr>
          <w:p w14:paraId="6858EBE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(c) A third-party seeking approval of an investment pilot program must submit a request to the Director of the Office of Capital Markets and Planning.</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365F7A67"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07E787B4"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1067" w:type="dxa"/>
            <w:tcBorders>
              <w:top w:val="nil"/>
              <w:left w:val="nil"/>
              <w:bottom w:val="single" w:sz="4" w:space="0" w:color="000000"/>
              <w:right w:val="single" w:sz="4" w:space="0" w:color="000000"/>
            </w:tcBorders>
            <w:shd w:val="clear" w:color="auto" w:fill="auto"/>
            <w:vAlign w:val="center"/>
            <w:hideMark/>
          </w:tcPr>
          <w:p w14:paraId="584DC667"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0" w:type="dxa"/>
            <w:tcBorders>
              <w:top w:val="nil"/>
              <w:left w:val="nil"/>
              <w:bottom w:val="single" w:sz="4" w:space="0" w:color="000000"/>
              <w:right w:val="single" w:sz="4" w:space="0" w:color="000000"/>
            </w:tcBorders>
            <w:shd w:val="clear" w:color="auto" w:fill="auto"/>
            <w:vAlign w:val="center"/>
            <w:hideMark/>
          </w:tcPr>
          <w:p w14:paraId="3AC1383B"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7" w:type="dxa"/>
            <w:tcBorders>
              <w:top w:val="nil"/>
              <w:left w:val="nil"/>
              <w:bottom w:val="single" w:sz="4" w:space="0" w:color="000000"/>
              <w:right w:val="single" w:sz="4" w:space="0" w:color="000000"/>
            </w:tcBorders>
            <w:shd w:val="clear" w:color="auto" w:fill="auto"/>
            <w:vAlign w:val="center"/>
            <w:hideMark/>
          </w:tcPr>
          <w:p w14:paraId="21970EF8"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0.00</w:t>
            </w:r>
          </w:p>
        </w:tc>
        <w:tc>
          <w:tcPr>
            <w:tcW w:w="1221" w:type="dxa"/>
            <w:gridSpan w:val="2"/>
            <w:tcBorders>
              <w:top w:val="nil"/>
              <w:left w:val="nil"/>
              <w:bottom w:val="single" w:sz="4" w:space="0" w:color="000000"/>
              <w:right w:val="single" w:sz="4" w:space="0" w:color="auto"/>
            </w:tcBorders>
            <w:shd w:val="clear" w:color="auto" w:fill="auto"/>
            <w:vAlign w:val="center"/>
            <w:hideMark/>
          </w:tcPr>
          <w:p w14:paraId="3B260A46"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r>
      <w:tr w:rsidR="00225E6D" w:rsidRPr="003D61B6" w14:paraId="26416962" w14:textId="77777777" w:rsidTr="00B90E17">
        <w:trPr>
          <w:gridAfter w:val="2"/>
          <w:wAfter w:w="1222" w:type="dxa"/>
          <w:trHeight w:val="44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4B8E960"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20</w:t>
            </w:r>
          </w:p>
        </w:tc>
        <w:tc>
          <w:tcPr>
            <w:tcW w:w="1398" w:type="dxa"/>
            <w:tcBorders>
              <w:top w:val="nil"/>
              <w:left w:val="nil"/>
              <w:bottom w:val="single" w:sz="4" w:space="0" w:color="auto"/>
              <w:right w:val="single" w:sz="4" w:space="0" w:color="auto"/>
            </w:tcBorders>
            <w:shd w:val="clear" w:color="auto" w:fill="auto"/>
            <w:vAlign w:val="center"/>
            <w:hideMark/>
          </w:tcPr>
          <w:p w14:paraId="24DDFAE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702.20(b) </w:t>
            </w:r>
          </w:p>
        </w:tc>
        <w:tc>
          <w:tcPr>
            <w:tcW w:w="6179" w:type="dxa"/>
            <w:tcBorders>
              <w:top w:val="nil"/>
              <w:left w:val="nil"/>
              <w:bottom w:val="single" w:sz="4" w:space="0" w:color="auto"/>
              <w:right w:val="nil"/>
            </w:tcBorders>
            <w:shd w:val="clear" w:color="auto" w:fill="auto"/>
            <w:vAlign w:val="center"/>
            <w:hideMark/>
          </w:tcPr>
          <w:p w14:paraId="72EECFB2"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(b) Written request.  A FCU desiring additional authority above the prescribed limits must submit a written request to the NCUA regional office.</w:t>
            </w:r>
          </w:p>
        </w:tc>
        <w:tc>
          <w:tcPr>
            <w:tcW w:w="1100" w:type="dxa"/>
            <w:tcBorders>
              <w:top w:val="nil"/>
              <w:left w:val="single" w:sz="8" w:space="0" w:color="auto"/>
              <w:bottom w:val="single" w:sz="4" w:space="0" w:color="auto"/>
              <w:right w:val="single" w:sz="4" w:space="0" w:color="auto"/>
            </w:tcBorders>
            <w:shd w:val="clear" w:color="auto" w:fill="auto"/>
            <w:vAlign w:val="center"/>
            <w:hideMark/>
          </w:tcPr>
          <w:p w14:paraId="4EA2DBD2"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58D7E06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w:t>
            </w:r>
          </w:p>
        </w:tc>
        <w:tc>
          <w:tcPr>
            <w:tcW w:w="1067" w:type="dxa"/>
            <w:tcBorders>
              <w:top w:val="nil"/>
              <w:left w:val="nil"/>
              <w:bottom w:val="single" w:sz="4" w:space="0" w:color="auto"/>
              <w:right w:val="single" w:sz="4" w:space="0" w:color="000000"/>
            </w:tcBorders>
            <w:shd w:val="clear" w:color="auto" w:fill="auto"/>
            <w:vAlign w:val="center"/>
            <w:hideMark/>
          </w:tcPr>
          <w:p w14:paraId="6CC7C1F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tcBorders>
              <w:top w:val="nil"/>
              <w:left w:val="nil"/>
              <w:bottom w:val="single" w:sz="4" w:space="0" w:color="auto"/>
              <w:right w:val="single" w:sz="4" w:space="0" w:color="000000"/>
            </w:tcBorders>
            <w:shd w:val="clear" w:color="auto" w:fill="auto"/>
            <w:vAlign w:val="center"/>
            <w:hideMark/>
          </w:tcPr>
          <w:p w14:paraId="466889E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w:t>
            </w:r>
          </w:p>
        </w:tc>
        <w:tc>
          <w:tcPr>
            <w:tcW w:w="967" w:type="dxa"/>
            <w:tcBorders>
              <w:top w:val="nil"/>
              <w:left w:val="nil"/>
              <w:bottom w:val="single" w:sz="4" w:space="0" w:color="auto"/>
              <w:right w:val="single" w:sz="4" w:space="0" w:color="000000"/>
            </w:tcBorders>
            <w:shd w:val="clear" w:color="auto" w:fill="auto"/>
            <w:vAlign w:val="center"/>
            <w:hideMark/>
          </w:tcPr>
          <w:p w14:paraId="337E474B"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3.00</w:t>
            </w:r>
          </w:p>
        </w:tc>
        <w:tc>
          <w:tcPr>
            <w:tcW w:w="1221" w:type="dxa"/>
            <w:gridSpan w:val="2"/>
            <w:tcBorders>
              <w:top w:val="nil"/>
              <w:left w:val="nil"/>
              <w:bottom w:val="single" w:sz="4" w:space="0" w:color="auto"/>
              <w:right w:val="single" w:sz="4" w:space="0" w:color="auto"/>
            </w:tcBorders>
            <w:shd w:val="clear" w:color="auto" w:fill="auto"/>
            <w:vAlign w:val="center"/>
            <w:hideMark/>
          </w:tcPr>
          <w:p w14:paraId="0E81D7D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15</w:t>
            </w:r>
          </w:p>
        </w:tc>
      </w:tr>
      <w:tr w:rsidR="00225E6D" w:rsidRPr="003D61B6" w14:paraId="5E6B89F5" w14:textId="77777777" w:rsidTr="00225E6D">
        <w:trPr>
          <w:gridAfter w:val="2"/>
          <w:wAfter w:w="1222" w:type="dxa"/>
          <w:trHeight w:val="92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674A321"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21</w:t>
            </w:r>
          </w:p>
        </w:tc>
        <w:tc>
          <w:tcPr>
            <w:tcW w:w="1398" w:type="dxa"/>
            <w:tcBorders>
              <w:top w:val="nil"/>
              <w:left w:val="nil"/>
              <w:bottom w:val="single" w:sz="4" w:space="0" w:color="auto"/>
              <w:right w:val="single" w:sz="4" w:space="0" w:color="auto"/>
            </w:tcBorders>
            <w:shd w:val="clear" w:color="auto" w:fill="auto"/>
            <w:vAlign w:val="center"/>
            <w:hideMark/>
          </w:tcPr>
          <w:p w14:paraId="33A2EA4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702.20(d)</w:t>
            </w:r>
          </w:p>
        </w:tc>
        <w:tc>
          <w:tcPr>
            <w:tcW w:w="6179" w:type="dxa"/>
            <w:tcBorders>
              <w:top w:val="nil"/>
              <w:left w:val="nil"/>
              <w:bottom w:val="single" w:sz="4" w:space="0" w:color="auto"/>
              <w:right w:val="nil"/>
            </w:tcBorders>
            <w:shd w:val="clear" w:color="auto" w:fill="auto"/>
            <w:vAlign w:val="center"/>
            <w:hideMark/>
          </w:tcPr>
          <w:p w14:paraId="0C017B1C"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(d) Appeal to NCUA Board. A FCU may request the regional director to reconsider any part of the determination made under paragraph (c) of this section and/or file an appeal with the NCUA Board in accordance with the procedures set forth in subpart B to part 746 of this chapter.</w:t>
            </w:r>
          </w:p>
        </w:tc>
        <w:tc>
          <w:tcPr>
            <w:tcW w:w="1100" w:type="dxa"/>
            <w:tcBorders>
              <w:top w:val="nil"/>
              <w:left w:val="single" w:sz="8" w:space="0" w:color="auto"/>
              <w:bottom w:val="single" w:sz="4" w:space="0" w:color="auto"/>
              <w:right w:val="single" w:sz="12" w:space="0" w:color="auto"/>
            </w:tcBorders>
            <w:shd w:val="clear" w:color="auto" w:fill="auto"/>
            <w:vAlign w:val="center"/>
            <w:hideMark/>
          </w:tcPr>
          <w:p w14:paraId="2FDC9D31"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3974" w:type="dxa"/>
            <w:gridSpan w:val="4"/>
            <w:tcBorders>
              <w:top w:val="single" w:sz="4" w:space="0" w:color="auto"/>
              <w:left w:val="nil"/>
              <w:bottom w:val="single" w:sz="4" w:space="0" w:color="auto"/>
              <w:right w:val="single" w:sz="4" w:space="0" w:color="000000"/>
            </w:tcBorders>
            <w:shd w:val="clear" w:color="auto" w:fill="auto"/>
            <w:vAlign w:val="center"/>
            <w:hideMark/>
          </w:tcPr>
          <w:p w14:paraId="3D87273C" w14:textId="77777777" w:rsidR="00225E6D" w:rsidRPr="003D61B6" w:rsidRDefault="00225E6D" w:rsidP="00225E6D">
            <w:pPr>
              <w:jc w:val="center"/>
              <w:rPr>
                <w:rFonts w:ascii="Arial" w:hAnsi="Arial" w:cs="Arial"/>
                <w:color w:val="000000"/>
                <w:sz w:val="18"/>
                <w:szCs w:val="18"/>
              </w:rPr>
            </w:pPr>
            <w:r w:rsidRPr="003D61B6">
              <w:rPr>
                <w:rFonts w:ascii="Arial" w:hAnsi="Arial" w:cs="Arial"/>
                <w:color w:val="000000"/>
                <w:sz w:val="18"/>
                <w:szCs w:val="18"/>
              </w:rPr>
              <w:t>Burden covered under 3133-0198</w:t>
            </w:r>
          </w:p>
        </w:tc>
        <w:tc>
          <w:tcPr>
            <w:tcW w:w="1221" w:type="dxa"/>
            <w:gridSpan w:val="2"/>
            <w:tcBorders>
              <w:top w:val="nil"/>
              <w:left w:val="nil"/>
              <w:bottom w:val="nil"/>
              <w:right w:val="single" w:sz="4" w:space="0" w:color="auto"/>
            </w:tcBorders>
            <w:shd w:val="clear" w:color="auto" w:fill="auto"/>
            <w:vAlign w:val="center"/>
            <w:hideMark/>
          </w:tcPr>
          <w:p w14:paraId="04F8F8C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r>
      <w:tr w:rsidR="00225E6D" w:rsidRPr="003D61B6" w14:paraId="07973009" w14:textId="77777777" w:rsidTr="00225E6D">
        <w:trPr>
          <w:gridAfter w:val="2"/>
          <w:wAfter w:w="1222" w:type="dxa"/>
          <w:trHeight w:val="300"/>
        </w:trPr>
        <w:tc>
          <w:tcPr>
            <w:tcW w:w="428" w:type="dxa"/>
            <w:tcBorders>
              <w:top w:val="nil"/>
              <w:left w:val="single" w:sz="4" w:space="0" w:color="auto"/>
              <w:bottom w:val="nil"/>
              <w:right w:val="single" w:sz="4" w:space="0" w:color="auto"/>
            </w:tcBorders>
            <w:shd w:val="clear" w:color="auto" w:fill="auto"/>
            <w:vAlign w:val="center"/>
            <w:hideMark/>
          </w:tcPr>
          <w:p w14:paraId="5E985C49" w14:textId="77777777" w:rsidR="00225E6D" w:rsidRPr="003D61B6" w:rsidRDefault="00225E6D" w:rsidP="00225E6D">
            <w:pPr>
              <w:jc w:val="center"/>
              <w:rPr>
                <w:rFonts w:ascii="Arial" w:hAnsi="Arial" w:cs="Arial"/>
                <w:b/>
                <w:bCs/>
                <w:color w:val="000000"/>
                <w:sz w:val="18"/>
                <w:szCs w:val="18"/>
              </w:rPr>
            </w:pPr>
            <w:r w:rsidRPr="003D61B6">
              <w:rPr>
                <w:rFonts w:ascii="Arial" w:hAnsi="Arial" w:cs="Arial"/>
                <w:b/>
                <w:bCs/>
                <w:color w:val="000000"/>
                <w:sz w:val="18"/>
                <w:szCs w:val="18"/>
              </w:rPr>
              <w:t> </w:t>
            </w:r>
          </w:p>
        </w:tc>
        <w:tc>
          <w:tcPr>
            <w:tcW w:w="1398" w:type="dxa"/>
            <w:tcBorders>
              <w:top w:val="nil"/>
              <w:left w:val="nil"/>
              <w:bottom w:val="nil"/>
              <w:right w:val="nil"/>
            </w:tcBorders>
            <w:shd w:val="clear" w:color="auto" w:fill="auto"/>
            <w:vAlign w:val="center"/>
            <w:hideMark/>
          </w:tcPr>
          <w:p w14:paraId="16194605" w14:textId="77777777" w:rsidR="00225E6D" w:rsidRPr="003D61B6" w:rsidRDefault="00225E6D" w:rsidP="00225E6D">
            <w:pPr>
              <w:rPr>
                <w:rFonts w:ascii="Arial" w:hAnsi="Arial" w:cs="Arial"/>
                <w:color w:val="000000"/>
                <w:sz w:val="18"/>
                <w:szCs w:val="18"/>
              </w:rPr>
            </w:pPr>
            <w:r w:rsidRPr="003D61B6">
              <w:rPr>
                <w:rFonts w:ascii="Arial" w:hAnsi="Arial" w:cs="Arial"/>
                <w:color w:val="000000"/>
                <w:sz w:val="18"/>
                <w:szCs w:val="18"/>
              </w:rPr>
              <w:t> </w:t>
            </w:r>
          </w:p>
        </w:tc>
        <w:tc>
          <w:tcPr>
            <w:tcW w:w="6179" w:type="dxa"/>
            <w:tcBorders>
              <w:top w:val="nil"/>
              <w:left w:val="nil"/>
              <w:bottom w:val="nil"/>
              <w:right w:val="nil"/>
            </w:tcBorders>
            <w:shd w:val="clear" w:color="auto" w:fill="auto"/>
            <w:vAlign w:val="center"/>
            <w:hideMark/>
          </w:tcPr>
          <w:p w14:paraId="629FFE10" w14:textId="77777777" w:rsidR="00225E6D" w:rsidRPr="003D61B6" w:rsidRDefault="00225E6D" w:rsidP="00225E6D">
            <w:pPr>
              <w:rPr>
                <w:rFonts w:ascii="Arial" w:hAnsi="Arial" w:cs="Arial"/>
                <w:color w:val="000000"/>
                <w:sz w:val="18"/>
                <w:szCs w:val="18"/>
              </w:rPr>
            </w:pPr>
          </w:p>
        </w:tc>
        <w:tc>
          <w:tcPr>
            <w:tcW w:w="1100" w:type="dxa"/>
            <w:tcBorders>
              <w:top w:val="nil"/>
              <w:left w:val="nil"/>
              <w:bottom w:val="nil"/>
              <w:right w:val="nil"/>
            </w:tcBorders>
            <w:shd w:val="clear" w:color="auto" w:fill="auto"/>
            <w:vAlign w:val="center"/>
            <w:hideMark/>
          </w:tcPr>
          <w:p w14:paraId="2EE29A42" w14:textId="77777777" w:rsidR="00225E6D" w:rsidRPr="003D61B6" w:rsidRDefault="00225E6D" w:rsidP="00225E6D">
            <w:pPr>
              <w:rPr>
                <w:sz w:val="20"/>
                <w:szCs w:val="20"/>
              </w:rPr>
            </w:pPr>
          </w:p>
        </w:tc>
        <w:tc>
          <w:tcPr>
            <w:tcW w:w="980" w:type="dxa"/>
            <w:tcBorders>
              <w:top w:val="nil"/>
              <w:left w:val="single" w:sz="4" w:space="0" w:color="auto"/>
              <w:bottom w:val="single" w:sz="4" w:space="0" w:color="auto"/>
              <w:right w:val="single" w:sz="4" w:space="0" w:color="auto"/>
            </w:tcBorders>
            <w:shd w:val="clear" w:color="000000" w:fill="F2F2F2"/>
            <w:vAlign w:val="center"/>
            <w:hideMark/>
          </w:tcPr>
          <w:p w14:paraId="4644A5C6" w14:textId="11404E13" w:rsidR="00225E6D" w:rsidRPr="003D61B6" w:rsidRDefault="00225E6D" w:rsidP="00225E6D">
            <w:pPr>
              <w:jc w:val="center"/>
              <w:rPr>
                <w:rFonts w:ascii="Arial" w:hAnsi="Arial" w:cs="Arial"/>
                <w:color w:val="000000"/>
                <w:sz w:val="18"/>
                <w:szCs w:val="18"/>
              </w:rPr>
            </w:pPr>
            <w:r w:rsidRPr="003D61B6">
              <w:rPr>
                <w:rFonts w:ascii="Arial" w:hAnsi="Arial" w:cs="Arial"/>
                <w:color w:val="000000"/>
                <w:sz w:val="18"/>
                <w:szCs w:val="18"/>
              </w:rPr>
              <w:t>3</w:t>
            </w:r>
            <w:r w:rsidR="00B90E17">
              <w:rPr>
                <w:rFonts w:ascii="Arial" w:hAnsi="Arial" w:cs="Arial"/>
                <w:color w:val="000000"/>
                <w:sz w:val="18"/>
                <w:szCs w:val="18"/>
              </w:rPr>
              <w:t>,</w:t>
            </w:r>
            <w:r w:rsidRPr="003D61B6">
              <w:rPr>
                <w:rFonts w:ascii="Arial" w:hAnsi="Arial" w:cs="Arial"/>
                <w:color w:val="000000"/>
                <w:sz w:val="18"/>
                <w:szCs w:val="18"/>
              </w:rPr>
              <w:t>350</w:t>
            </w:r>
          </w:p>
        </w:tc>
        <w:tc>
          <w:tcPr>
            <w:tcW w:w="1067" w:type="dxa"/>
            <w:tcBorders>
              <w:top w:val="nil"/>
              <w:left w:val="nil"/>
              <w:bottom w:val="single" w:sz="4" w:space="0" w:color="auto"/>
              <w:right w:val="single" w:sz="4" w:space="0" w:color="auto"/>
            </w:tcBorders>
            <w:shd w:val="clear" w:color="000000" w:fill="F2F2F2"/>
            <w:vAlign w:val="center"/>
            <w:hideMark/>
          </w:tcPr>
          <w:p w14:paraId="529887ED" w14:textId="4361AF89" w:rsidR="00225E6D" w:rsidRPr="003D61B6" w:rsidRDefault="00B90E17" w:rsidP="00225E6D">
            <w:pPr>
              <w:jc w:val="center"/>
              <w:rPr>
                <w:rFonts w:ascii="Arial" w:hAnsi="Arial" w:cs="Arial"/>
                <w:color w:val="000000"/>
                <w:sz w:val="18"/>
                <w:szCs w:val="18"/>
              </w:rPr>
            </w:pPr>
            <w:r>
              <w:rPr>
                <w:rFonts w:ascii="Arial" w:hAnsi="Arial" w:cs="Arial"/>
                <w:color w:val="000000"/>
                <w:sz w:val="18"/>
                <w:szCs w:val="18"/>
              </w:rPr>
              <w:t>,</w:t>
            </w:r>
          </w:p>
        </w:tc>
        <w:tc>
          <w:tcPr>
            <w:tcW w:w="960" w:type="dxa"/>
            <w:tcBorders>
              <w:top w:val="nil"/>
              <w:left w:val="nil"/>
              <w:bottom w:val="single" w:sz="4" w:space="0" w:color="auto"/>
              <w:right w:val="single" w:sz="4" w:space="0" w:color="auto"/>
            </w:tcBorders>
            <w:shd w:val="clear" w:color="000000" w:fill="F2F2F2"/>
            <w:vAlign w:val="center"/>
            <w:hideMark/>
          </w:tcPr>
          <w:p w14:paraId="40A3779F" w14:textId="77777777" w:rsidR="00225E6D" w:rsidRPr="003D61B6" w:rsidRDefault="00225E6D" w:rsidP="00225E6D">
            <w:pPr>
              <w:jc w:val="center"/>
              <w:rPr>
                <w:rFonts w:ascii="Arial" w:hAnsi="Arial" w:cs="Arial"/>
                <w:color w:val="000000"/>
                <w:sz w:val="18"/>
                <w:szCs w:val="18"/>
              </w:rPr>
            </w:pPr>
            <w:r w:rsidRPr="003D61B6">
              <w:rPr>
                <w:rFonts w:ascii="Arial" w:hAnsi="Arial" w:cs="Arial"/>
                <w:color w:val="000000"/>
                <w:sz w:val="18"/>
                <w:szCs w:val="18"/>
              </w:rPr>
              <w:t>175,175</w:t>
            </w:r>
          </w:p>
        </w:tc>
        <w:tc>
          <w:tcPr>
            <w:tcW w:w="967" w:type="dxa"/>
            <w:tcBorders>
              <w:top w:val="nil"/>
              <w:left w:val="nil"/>
              <w:bottom w:val="single" w:sz="4" w:space="0" w:color="auto"/>
              <w:right w:val="single" w:sz="4" w:space="0" w:color="auto"/>
            </w:tcBorders>
            <w:shd w:val="clear" w:color="000000" w:fill="F2F2F2"/>
            <w:vAlign w:val="center"/>
            <w:hideMark/>
          </w:tcPr>
          <w:p w14:paraId="5A30F783" w14:textId="41825BD4" w:rsidR="00225E6D" w:rsidRPr="003D61B6" w:rsidRDefault="00B90E17" w:rsidP="00225E6D">
            <w:pPr>
              <w:jc w:val="center"/>
              <w:rPr>
                <w:rFonts w:ascii="Arial" w:hAnsi="Arial" w:cs="Arial"/>
                <w:color w:val="000000"/>
                <w:sz w:val="18"/>
                <w:szCs w:val="18"/>
              </w:rPr>
            </w:pPr>
            <w:r>
              <w:rPr>
                <w:rFonts w:ascii="Arial" w:hAnsi="Arial" w:cs="Arial"/>
                <w:color w:val="000000"/>
                <w:sz w:val="18"/>
                <w:szCs w:val="18"/>
              </w:rPr>
              <w:t>,</w:t>
            </w:r>
          </w:p>
        </w:tc>
        <w:tc>
          <w:tcPr>
            <w:tcW w:w="1221" w:type="dxa"/>
            <w:gridSpan w:val="2"/>
            <w:tcBorders>
              <w:top w:val="single" w:sz="4" w:space="0" w:color="auto"/>
              <w:left w:val="nil"/>
              <w:bottom w:val="single" w:sz="4" w:space="0" w:color="auto"/>
              <w:right w:val="single" w:sz="4" w:space="0" w:color="auto"/>
            </w:tcBorders>
            <w:shd w:val="clear" w:color="000000" w:fill="F2F2F2"/>
            <w:vAlign w:val="center"/>
            <w:hideMark/>
          </w:tcPr>
          <w:p w14:paraId="239433E2"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53,664</w:t>
            </w:r>
          </w:p>
        </w:tc>
      </w:tr>
      <w:tr w:rsidR="00225E6D" w:rsidRPr="003D61B6" w14:paraId="74BA3E05" w14:textId="77777777" w:rsidTr="00B90E17">
        <w:trPr>
          <w:gridAfter w:val="1"/>
          <w:wAfter w:w="1197" w:type="dxa"/>
          <w:trHeight w:val="448"/>
        </w:trPr>
        <w:tc>
          <w:tcPr>
            <w:tcW w:w="428" w:type="dxa"/>
            <w:tcBorders>
              <w:top w:val="nil"/>
              <w:left w:val="single" w:sz="4" w:space="0" w:color="auto"/>
              <w:bottom w:val="nil"/>
              <w:right w:val="single" w:sz="4" w:space="0" w:color="auto"/>
            </w:tcBorders>
            <w:shd w:val="clear" w:color="auto" w:fill="auto"/>
            <w:vAlign w:val="center"/>
            <w:hideMark/>
          </w:tcPr>
          <w:p w14:paraId="4E1A6EF5" w14:textId="77777777" w:rsidR="00225E6D" w:rsidRPr="003D61B6" w:rsidRDefault="00225E6D" w:rsidP="00225E6D">
            <w:pPr>
              <w:rPr>
                <w:rFonts w:ascii="Arial" w:hAnsi="Arial" w:cs="Arial"/>
                <w:b/>
                <w:bCs/>
                <w:color w:val="000000"/>
                <w:sz w:val="18"/>
                <w:szCs w:val="18"/>
              </w:rPr>
            </w:pPr>
            <w:r w:rsidRPr="003D61B6">
              <w:rPr>
                <w:rFonts w:ascii="Arial" w:hAnsi="Arial" w:cs="Arial"/>
                <w:b/>
                <w:bCs/>
                <w:color w:val="000000"/>
                <w:sz w:val="18"/>
                <w:szCs w:val="18"/>
              </w:rPr>
              <w:t> </w:t>
            </w:r>
          </w:p>
        </w:tc>
        <w:tc>
          <w:tcPr>
            <w:tcW w:w="12677" w:type="dxa"/>
            <w:gridSpan w:val="8"/>
            <w:tcBorders>
              <w:top w:val="single" w:sz="8" w:space="0" w:color="auto"/>
              <w:left w:val="nil"/>
              <w:bottom w:val="single" w:sz="8" w:space="0" w:color="auto"/>
              <w:right w:val="single" w:sz="8" w:space="0" w:color="000000"/>
            </w:tcBorders>
            <w:shd w:val="clear" w:color="auto" w:fill="auto"/>
            <w:vAlign w:val="center"/>
            <w:hideMark/>
          </w:tcPr>
          <w:p w14:paraId="671F94DA" w14:textId="77777777" w:rsidR="00225E6D" w:rsidRPr="00B90E17" w:rsidRDefault="00225E6D" w:rsidP="00225E6D">
            <w:pPr>
              <w:jc w:val="right"/>
              <w:rPr>
                <w:rFonts w:ascii="Arial" w:hAnsi="Arial" w:cs="Arial"/>
                <w:b/>
                <w:bCs/>
                <w:color w:val="000000"/>
                <w:sz w:val="18"/>
                <w:szCs w:val="18"/>
              </w:rPr>
            </w:pPr>
            <w:r w:rsidRPr="00B90E17">
              <w:rPr>
                <w:rFonts w:ascii="Arial" w:hAnsi="Arial" w:cs="Arial"/>
                <w:b/>
                <w:bCs/>
                <w:color w:val="000000"/>
                <w:sz w:val="18"/>
                <w:szCs w:val="18"/>
              </w:rPr>
              <w:t>Burden Requested - Subpart A</w:t>
            </w:r>
          </w:p>
        </w:tc>
        <w:tc>
          <w:tcPr>
            <w:tcW w:w="1220" w:type="dxa"/>
            <w:gridSpan w:val="2"/>
            <w:tcBorders>
              <w:top w:val="nil"/>
              <w:left w:val="nil"/>
              <w:bottom w:val="single" w:sz="8" w:space="0" w:color="auto"/>
              <w:right w:val="single" w:sz="4" w:space="0" w:color="auto"/>
            </w:tcBorders>
            <w:shd w:val="clear" w:color="auto" w:fill="auto"/>
            <w:noWrap/>
            <w:vAlign w:val="center"/>
            <w:hideMark/>
          </w:tcPr>
          <w:p w14:paraId="419E65F5" w14:textId="77777777" w:rsidR="00225E6D" w:rsidRPr="00B90E17" w:rsidRDefault="00225E6D" w:rsidP="00225E6D">
            <w:pPr>
              <w:jc w:val="right"/>
              <w:rPr>
                <w:rFonts w:ascii="Arial" w:hAnsi="Arial" w:cs="Arial"/>
                <w:b/>
                <w:bCs/>
                <w:sz w:val="18"/>
                <w:szCs w:val="18"/>
              </w:rPr>
            </w:pPr>
            <w:r w:rsidRPr="00B90E17">
              <w:rPr>
                <w:rFonts w:ascii="Arial" w:hAnsi="Arial" w:cs="Arial"/>
                <w:b/>
                <w:bCs/>
                <w:sz w:val="18"/>
                <w:szCs w:val="18"/>
              </w:rPr>
              <w:t>53,664</w:t>
            </w:r>
          </w:p>
        </w:tc>
      </w:tr>
      <w:tr w:rsidR="00225E6D" w:rsidRPr="003D61B6" w14:paraId="601D7A1D" w14:textId="77777777" w:rsidTr="00225E6D">
        <w:trPr>
          <w:gridAfter w:val="1"/>
          <w:wAfter w:w="1197" w:type="dxa"/>
          <w:trHeight w:val="435"/>
        </w:trPr>
        <w:tc>
          <w:tcPr>
            <w:tcW w:w="428" w:type="dxa"/>
            <w:tcBorders>
              <w:top w:val="nil"/>
              <w:left w:val="single" w:sz="4" w:space="0" w:color="auto"/>
              <w:bottom w:val="nil"/>
              <w:right w:val="single" w:sz="4" w:space="0" w:color="auto"/>
            </w:tcBorders>
            <w:shd w:val="clear" w:color="auto" w:fill="auto"/>
            <w:vAlign w:val="center"/>
            <w:hideMark/>
          </w:tcPr>
          <w:p w14:paraId="27EA33BD" w14:textId="77777777" w:rsidR="00225E6D" w:rsidRPr="003D61B6" w:rsidRDefault="00225E6D" w:rsidP="00225E6D">
            <w:pPr>
              <w:rPr>
                <w:rFonts w:ascii="Arial" w:hAnsi="Arial" w:cs="Arial"/>
                <w:b/>
                <w:bCs/>
                <w:color w:val="000000"/>
                <w:sz w:val="18"/>
                <w:szCs w:val="18"/>
              </w:rPr>
            </w:pPr>
            <w:r w:rsidRPr="003D61B6">
              <w:rPr>
                <w:rFonts w:ascii="Arial" w:hAnsi="Arial" w:cs="Arial"/>
                <w:b/>
                <w:bCs/>
                <w:color w:val="000000"/>
                <w:sz w:val="18"/>
                <w:szCs w:val="18"/>
              </w:rPr>
              <w:t> </w:t>
            </w:r>
          </w:p>
        </w:tc>
        <w:tc>
          <w:tcPr>
            <w:tcW w:w="12677" w:type="dxa"/>
            <w:gridSpan w:val="8"/>
            <w:tcBorders>
              <w:top w:val="single" w:sz="8" w:space="0" w:color="auto"/>
              <w:left w:val="nil"/>
              <w:bottom w:val="single" w:sz="8" w:space="0" w:color="auto"/>
              <w:right w:val="single" w:sz="8" w:space="0" w:color="000000"/>
            </w:tcBorders>
            <w:shd w:val="clear" w:color="auto" w:fill="auto"/>
            <w:vAlign w:val="center"/>
            <w:hideMark/>
          </w:tcPr>
          <w:p w14:paraId="5ECF9F1E" w14:textId="77777777" w:rsidR="00225E6D" w:rsidRPr="00B90E17" w:rsidRDefault="00225E6D" w:rsidP="00225E6D">
            <w:pPr>
              <w:jc w:val="right"/>
              <w:rPr>
                <w:rFonts w:ascii="Arial" w:hAnsi="Arial" w:cs="Arial"/>
                <w:color w:val="000000"/>
                <w:sz w:val="18"/>
                <w:szCs w:val="18"/>
              </w:rPr>
            </w:pPr>
            <w:r w:rsidRPr="00B90E17">
              <w:rPr>
                <w:rFonts w:ascii="Arial" w:hAnsi="Arial" w:cs="Arial"/>
                <w:color w:val="000000"/>
                <w:sz w:val="18"/>
                <w:szCs w:val="18"/>
              </w:rPr>
              <w:t>Previously Approved Burden</w:t>
            </w:r>
          </w:p>
        </w:tc>
        <w:tc>
          <w:tcPr>
            <w:tcW w:w="1220" w:type="dxa"/>
            <w:gridSpan w:val="2"/>
            <w:tcBorders>
              <w:top w:val="nil"/>
              <w:left w:val="nil"/>
              <w:bottom w:val="single" w:sz="8" w:space="0" w:color="auto"/>
              <w:right w:val="single" w:sz="4" w:space="0" w:color="auto"/>
            </w:tcBorders>
            <w:shd w:val="clear" w:color="000000" w:fill="E2EFDA"/>
            <w:noWrap/>
            <w:vAlign w:val="center"/>
            <w:hideMark/>
          </w:tcPr>
          <w:p w14:paraId="5E182A59" w14:textId="77777777" w:rsidR="00225E6D" w:rsidRPr="00B90E17" w:rsidRDefault="00225E6D" w:rsidP="00225E6D">
            <w:pPr>
              <w:jc w:val="right"/>
              <w:rPr>
                <w:rFonts w:ascii="Arial" w:hAnsi="Arial" w:cs="Arial"/>
                <w:color w:val="000000"/>
                <w:sz w:val="18"/>
                <w:szCs w:val="18"/>
              </w:rPr>
            </w:pPr>
            <w:r w:rsidRPr="00B90E17">
              <w:rPr>
                <w:rFonts w:ascii="Arial" w:hAnsi="Arial" w:cs="Arial"/>
                <w:color w:val="000000"/>
                <w:sz w:val="18"/>
                <w:szCs w:val="18"/>
              </w:rPr>
              <w:t>204,816</w:t>
            </w:r>
          </w:p>
        </w:tc>
      </w:tr>
      <w:tr w:rsidR="00225E6D" w:rsidRPr="003D61B6" w14:paraId="2B6765BC" w14:textId="77777777" w:rsidTr="00225E6D">
        <w:trPr>
          <w:gridAfter w:val="1"/>
          <w:wAfter w:w="1197" w:type="dxa"/>
          <w:trHeight w:val="42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5E285F2" w14:textId="77777777" w:rsidR="00225E6D" w:rsidRPr="003D61B6" w:rsidRDefault="00225E6D" w:rsidP="00225E6D">
            <w:pPr>
              <w:rPr>
                <w:rFonts w:ascii="Arial" w:hAnsi="Arial" w:cs="Arial"/>
                <w:b/>
                <w:bCs/>
                <w:color w:val="000000"/>
                <w:sz w:val="18"/>
                <w:szCs w:val="18"/>
              </w:rPr>
            </w:pPr>
            <w:r w:rsidRPr="003D61B6">
              <w:rPr>
                <w:rFonts w:ascii="Arial" w:hAnsi="Arial" w:cs="Arial"/>
                <w:b/>
                <w:bCs/>
                <w:color w:val="000000"/>
                <w:sz w:val="18"/>
                <w:szCs w:val="18"/>
              </w:rPr>
              <w:t> </w:t>
            </w:r>
          </w:p>
        </w:tc>
        <w:tc>
          <w:tcPr>
            <w:tcW w:w="12677" w:type="dxa"/>
            <w:gridSpan w:val="8"/>
            <w:tcBorders>
              <w:top w:val="single" w:sz="8" w:space="0" w:color="auto"/>
              <w:left w:val="nil"/>
              <w:bottom w:val="single" w:sz="4" w:space="0" w:color="auto"/>
              <w:right w:val="single" w:sz="8" w:space="0" w:color="000000"/>
            </w:tcBorders>
            <w:shd w:val="clear" w:color="auto" w:fill="auto"/>
            <w:vAlign w:val="center"/>
            <w:hideMark/>
          </w:tcPr>
          <w:p w14:paraId="3E3985D5" w14:textId="77777777" w:rsidR="00225E6D" w:rsidRPr="00B90E17" w:rsidRDefault="00225E6D" w:rsidP="00225E6D">
            <w:pPr>
              <w:jc w:val="right"/>
              <w:rPr>
                <w:rFonts w:ascii="Arial" w:hAnsi="Arial" w:cs="Arial"/>
                <w:color w:val="000000"/>
                <w:sz w:val="18"/>
                <w:szCs w:val="18"/>
              </w:rPr>
            </w:pPr>
            <w:r w:rsidRPr="00B90E17">
              <w:rPr>
                <w:rFonts w:ascii="Arial" w:hAnsi="Arial" w:cs="Arial"/>
                <w:color w:val="000000"/>
                <w:sz w:val="18"/>
                <w:szCs w:val="18"/>
              </w:rPr>
              <w:t>Adjustment</w:t>
            </w:r>
          </w:p>
        </w:tc>
        <w:tc>
          <w:tcPr>
            <w:tcW w:w="1220" w:type="dxa"/>
            <w:gridSpan w:val="2"/>
            <w:tcBorders>
              <w:top w:val="nil"/>
              <w:left w:val="nil"/>
              <w:bottom w:val="single" w:sz="4" w:space="0" w:color="auto"/>
              <w:right w:val="single" w:sz="4" w:space="0" w:color="auto"/>
            </w:tcBorders>
            <w:shd w:val="clear" w:color="000000" w:fill="FFF2CC"/>
            <w:noWrap/>
            <w:vAlign w:val="center"/>
            <w:hideMark/>
          </w:tcPr>
          <w:p w14:paraId="3FD00BF4" w14:textId="77777777" w:rsidR="00225E6D" w:rsidRPr="00B90E17" w:rsidRDefault="00225E6D" w:rsidP="00225E6D">
            <w:pPr>
              <w:jc w:val="right"/>
              <w:rPr>
                <w:rFonts w:ascii="Arial" w:hAnsi="Arial" w:cs="Arial"/>
                <w:color w:val="000000"/>
                <w:sz w:val="18"/>
                <w:szCs w:val="18"/>
              </w:rPr>
            </w:pPr>
            <w:r w:rsidRPr="00B90E17">
              <w:rPr>
                <w:rFonts w:ascii="Arial" w:hAnsi="Arial" w:cs="Arial"/>
                <w:color w:val="000000"/>
                <w:sz w:val="18"/>
                <w:szCs w:val="18"/>
              </w:rPr>
              <w:t>-151,153</w:t>
            </w:r>
          </w:p>
        </w:tc>
      </w:tr>
    </w:tbl>
    <w:p w14:paraId="3115E630" w14:textId="77777777" w:rsidR="00B90E17" w:rsidRDefault="00B90E17">
      <w:r>
        <w:br w:type="page"/>
      </w:r>
    </w:p>
    <w:tbl>
      <w:tblPr>
        <w:tblW w:w="14417" w:type="dxa"/>
        <w:tblLayout w:type="fixed"/>
        <w:tblLook w:val="04A0" w:firstRow="1" w:lastRow="0" w:firstColumn="1" w:lastColumn="0" w:noHBand="0" w:noVBand="1"/>
      </w:tblPr>
      <w:tblGrid>
        <w:gridCol w:w="428"/>
        <w:gridCol w:w="14"/>
        <w:gridCol w:w="1260"/>
        <w:gridCol w:w="6303"/>
        <w:gridCol w:w="1170"/>
        <w:gridCol w:w="980"/>
        <w:gridCol w:w="10"/>
        <w:gridCol w:w="1057"/>
        <w:gridCol w:w="23"/>
        <w:gridCol w:w="937"/>
        <w:gridCol w:w="53"/>
        <w:gridCol w:w="900"/>
        <w:gridCol w:w="14"/>
        <w:gridCol w:w="40"/>
        <w:gridCol w:w="1181"/>
        <w:gridCol w:w="47"/>
      </w:tblGrid>
      <w:tr w:rsidR="00225E6D" w:rsidRPr="003D61B6" w14:paraId="31E92144" w14:textId="77777777" w:rsidTr="00B90E17">
        <w:trPr>
          <w:trHeight w:val="300"/>
        </w:trPr>
        <w:tc>
          <w:tcPr>
            <w:tcW w:w="442"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52EA7EEA" w14:textId="49D2A522" w:rsidR="00225E6D" w:rsidRPr="003D61B6" w:rsidRDefault="00225E6D" w:rsidP="00225E6D">
            <w:pPr>
              <w:jc w:val="center"/>
              <w:rPr>
                <w:rFonts w:ascii="Arial Narrow" w:hAnsi="Arial Narrow" w:cs="Calibri"/>
                <w:color w:val="000000"/>
                <w:sz w:val="16"/>
                <w:szCs w:val="16"/>
              </w:rPr>
            </w:pPr>
          </w:p>
        </w:tc>
        <w:tc>
          <w:tcPr>
            <w:tcW w:w="1260"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0913B8DE"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12 CFR</w:t>
            </w:r>
          </w:p>
        </w:tc>
        <w:tc>
          <w:tcPr>
            <w:tcW w:w="6303"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54A7D8AA"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Information Collection</w:t>
            </w:r>
          </w:p>
        </w:tc>
        <w:tc>
          <w:tcPr>
            <w:tcW w:w="1170"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62FDE8E"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Type of Burden</w:t>
            </w:r>
          </w:p>
        </w:tc>
        <w:tc>
          <w:tcPr>
            <w:tcW w:w="99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3579BD89"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Respon- dents</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1A690358"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Responses Per Respondent</w:t>
            </w:r>
          </w:p>
        </w:tc>
        <w:tc>
          <w:tcPr>
            <w:tcW w:w="99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9B200E3"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Annual Responses</w:t>
            </w:r>
          </w:p>
        </w:tc>
        <w:tc>
          <w:tcPr>
            <w:tcW w:w="900" w:type="dxa"/>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4CD8EDF7"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Hours Per Response</w:t>
            </w:r>
          </w:p>
        </w:tc>
        <w:tc>
          <w:tcPr>
            <w:tcW w:w="1282" w:type="dxa"/>
            <w:gridSpan w:val="4"/>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14:paraId="392DECFB"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Total Annual Reporting Burden</w:t>
            </w:r>
          </w:p>
        </w:tc>
      </w:tr>
      <w:tr w:rsidR="00225E6D" w:rsidRPr="003D61B6" w14:paraId="48E3027F" w14:textId="77777777" w:rsidTr="00B90E17">
        <w:trPr>
          <w:trHeight w:val="300"/>
        </w:trPr>
        <w:tc>
          <w:tcPr>
            <w:tcW w:w="14416" w:type="dxa"/>
            <w:gridSpan w:val="1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ADFD80" w14:textId="77777777" w:rsidR="00225E6D" w:rsidRPr="003D61B6" w:rsidRDefault="00225E6D" w:rsidP="00225E6D">
            <w:pPr>
              <w:rPr>
                <w:rFonts w:ascii="Arial" w:hAnsi="Arial" w:cs="Arial"/>
                <w:b/>
                <w:bCs/>
                <w:color w:val="000000"/>
                <w:sz w:val="18"/>
                <w:szCs w:val="18"/>
              </w:rPr>
            </w:pPr>
            <w:r w:rsidRPr="003D61B6">
              <w:rPr>
                <w:rFonts w:ascii="Arial" w:hAnsi="Arial" w:cs="Arial"/>
                <w:b/>
                <w:bCs/>
                <w:color w:val="000000"/>
                <w:sz w:val="18"/>
                <w:szCs w:val="18"/>
              </w:rPr>
              <w:t>Subpart B - Derivatives Authority</w:t>
            </w:r>
          </w:p>
        </w:tc>
      </w:tr>
      <w:tr w:rsidR="00225E6D" w:rsidRPr="003D61B6" w14:paraId="0D12062B" w14:textId="77777777" w:rsidTr="00B90E17">
        <w:trPr>
          <w:gridAfter w:val="1"/>
          <w:wAfter w:w="47" w:type="dxa"/>
          <w:trHeight w:val="69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47E3AAA9"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22</w:t>
            </w:r>
          </w:p>
        </w:tc>
        <w:tc>
          <w:tcPr>
            <w:tcW w:w="1274" w:type="dxa"/>
            <w:gridSpan w:val="2"/>
            <w:tcBorders>
              <w:top w:val="nil"/>
              <w:left w:val="nil"/>
              <w:bottom w:val="single" w:sz="4" w:space="0" w:color="auto"/>
              <w:right w:val="single" w:sz="4" w:space="0" w:color="auto"/>
            </w:tcBorders>
            <w:shd w:val="clear" w:color="auto" w:fill="auto"/>
            <w:vAlign w:val="center"/>
            <w:hideMark/>
          </w:tcPr>
          <w:p w14:paraId="0416FE26"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703.106(a)(1)</w:t>
            </w:r>
          </w:p>
        </w:tc>
        <w:tc>
          <w:tcPr>
            <w:tcW w:w="6303" w:type="dxa"/>
            <w:tcBorders>
              <w:top w:val="nil"/>
              <w:left w:val="nil"/>
              <w:bottom w:val="single" w:sz="4" w:space="0" w:color="auto"/>
              <w:right w:val="nil"/>
            </w:tcBorders>
            <w:shd w:val="clear" w:color="auto" w:fill="auto"/>
            <w:vAlign w:val="center"/>
            <w:hideMark/>
          </w:tcPr>
          <w:p w14:paraId="0120A8BD"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(a) Operational support requirements. The FCU must maintain evidence of this training, in accordance with its document retention policy, until its next NCUA examination.</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5CF5FF39" w14:textId="432F7AB2" w:rsidR="00225E6D" w:rsidRPr="003D61B6" w:rsidRDefault="00B90E17" w:rsidP="00B90E17">
            <w:pPr>
              <w:ind w:left="173" w:right="148" w:hanging="173"/>
              <w:rPr>
                <w:rFonts w:ascii="Arial" w:hAnsi="Arial" w:cs="Arial"/>
                <w:color w:val="000000"/>
                <w:sz w:val="16"/>
                <w:szCs w:val="16"/>
              </w:rPr>
            </w:pPr>
            <w:r>
              <w:rPr>
                <w:rFonts w:ascii="Arial" w:hAnsi="Arial" w:cs="Arial"/>
                <w:color w:val="000000"/>
                <w:sz w:val="16"/>
                <w:szCs w:val="16"/>
              </w:rPr>
              <w:t xml:space="preserve">Record- </w:t>
            </w:r>
            <w:r w:rsidR="00225E6D" w:rsidRPr="003D61B6">
              <w:rPr>
                <w:rFonts w:ascii="Arial" w:hAnsi="Arial" w:cs="Arial"/>
                <w:color w:val="000000"/>
                <w:sz w:val="16"/>
                <w:szCs w:val="16"/>
              </w:rPr>
              <w:t>keeping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644D201F"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26</w:t>
            </w:r>
          </w:p>
        </w:tc>
        <w:tc>
          <w:tcPr>
            <w:tcW w:w="1067" w:type="dxa"/>
            <w:gridSpan w:val="2"/>
            <w:tcBorders>
              <w:top w:val="nil"/>
              <w:left w:val="nil"/>
              <w:bottom w:val="single" w:sz="4" w:space="0" w:color="auto"/>
              <w:right w:val="single" w:sz="4" w:space="0" w:color="auto"/>
            </w:tcBorders>
            <w:shd w:val="clear" w:color="auto" w:fill="auto"/>
            <w:vAlign w:val="center"/>
            <w:hideMark/>
          </w:tcPr>
          <w:p w14:paraId="7DD6389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0.67</w:t>
            </w:r>
          </w:p>
        </w:tc>
        <w:tc>
          <w:tcPr>
            <w:tcW w:w="960" w:type="dxa"/>
            <w:gridSpan w:val="2"/>
            <w:tcBorders>
              <w:top w:val="nil"/>
              <w:left w:val="nil"/>
              <w:bottom w:val="single" w:sz="4" w:space="0" w:color="auto"/>
              <w:right w:val="single" w:sz="4" w:space="0" w:color="auto"/>
            </w:tcBorders>
            <w:shd w:val="clear" w:color="auto" w:fill="auto"/>
            <w:vAlign w:val="center"/>
            <w:hideMark/>
          </w:tcPr>
          <w:p w14:paraId="1E454E26"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17.42</w:t>
            </w:r>
          </w:p>
        </w:tc>
        <w:tc>
          <w:tcPr>
            <w:tcW w:w="967" w:type="dxa"/>
            <w:gridSpan w:val="3"/>
            <w:tcBorders>
              <w:top w:val="nil"/>
              <w:left w:val="nil"/>
              <w:bottom w:val="single" w:sz="4" w:space="0" w:color="auto"/>
              <w:right w:val="single" w:sz="4" w:space="0" w:color="auto"/>
            </w:tcBorders>
            <w:shd w:val="clear" w:color="auto" w:fill="auto"/>
            <w:vAlign w:val="center"/>
            <w:hideMark/>
          </w:tcPr>
          <w:p w14:paraId="63D3CD4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1.00</w:t>
            </w:r>
          </w:p>
        </w:tc>
        <w:tc>
          <w:tcPr>
            <w:tcW w:w="1221" w:type="dxa"/>
            <w:gridSpan w:val="2"/>
            <w:tcBorders>
              <w:top w:val="nil"/>
              <w:left w:val="nil"/>
              <w:bottom w:val="single" w:sz="4" w:space="0" w:color="auto"/>
              <w:right w:val="single" w:sz="4" w:space="0" w:color="auto"/>
            </w:tcBorders>
            <w:shd w:val="clear" w:color="auto" w:fill="auto"/>
            <w:vAlign w:val="center"/>
            <w:hideMark/>
          </w:tcPr>
          <w:p w14:paraId="4F766BC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17.42</w:t>
            </w:r>
          </w:p>
        </w:tc>
      </w:tr>
      <w:tr w:rsidR="00225E6D" w:rsidRPr="003D61B6" w14:paraId="3CBBD612" w14:textId="77777777" w:rsidTr="00B90E17">
        <w:trPr>
          <w:gridAfter w:val="1"/>
          <w:wAfter w:w="47" w:type="dxa"/>
          <w:trHeight w:val="78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78354AD"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23</w:t>
            </w:r>
          </w:p>
        </w:tc>
        <w:tc>
          <w:tcPr>
            <w:tcW w:w="1274" w:type="dxa"/>
            <w:gridSpan w:val="2"/>
            <w:tcBorders>
              <w:top w:val="nil"/>
              <w:left w:val="nil"/>
              <w:bottom w:val="single" w:sz="4" w:space="0" w:color="auto"/>
              <w:right w:val="single" w:sz="4" w:space="0" w:color="auto"/>
            </w:tcBorders>
            <w:shd w:val="clear" w:color="auto" w:fill="auto"/>
            <w:vAlign w:val="center"/>
            <w:hideMark/>
          </w:tcPr>
          <w:p w14:paraId="5454150A"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703.106(b)(1)</w:t>
            </w:r>
          </w:p>
        </w:tc>
        <w:tc>
          <w:tcPr>
            <w:tcW w:w="6303" w:type="dxa"/>
            <w:tcBorders>
              <w:top w:val="nil"/>
              <w:left w:val="nil"/>
              <w:bottom w:val="single" w:sz="4" w:space="0" w:color="auto"/>
              <w:right w:val="nil"/>
            </w:tcBorders>
            <w:shd w:val="clear" w:color="auto" w:fill="auto"/>
            <w:vAlign w:val="center"/>
            <w:hideMark/>
          </w:tcPr>
          <w:p w14:paraId="38B7F035"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(1) Transaction support. Before executing any derivatives transaction, a FCU must identify and document the circumstances that lead to the decision to hedge, specify the derivatives strategy the FCU will employ, and demonstrate the economic effectiveness of the hedge;</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0386F75A"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6BCBDFDB"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26</w:t>
            </w:r>
          </w:p>
        </w:tc>
        <w:tc>
          <w:tcPr>
            <w:tcW w:w="1067" w:type="dxa"/>
            <w:gridSpan w:val="2"/>
            <w:tcBorders>
              <w:top w:val="nil"/>
              <w:left w:val="nil"/>
              <w:bottom w:val="single" w:sz="4" w:space="0" w:color="auto"/>
              <w:right w:val="single" w:sz="4" w:space="0" w:color="auto"/>
            </w:tcBorders>
            <w:shd w:val="clear" w:color="auto" w:fill="auto"/>
            <w:vAlign w:val="center"/>
            <w:hideMark/>
          </w:tcPr>
          <w:p w14:paraId="0757BC3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gridSpan w:val="2"/>
            <w:tcBorders>
              <w:top w:val="nil"/>
              <w:left w:val="nil"/>
              <w:bottom w:val="single" w:sz="4" w:space="0" w:color="auto"/>
              <w:right w:val="single" w:sz="4" w:space="0" w:color="auto"/>
            </w:tcBorders>
            <w:shd w:val="clear" w:color="auto" w:fill="auto"/>
            <w:vAlign w:val="center"/>
            <w:hideMark/>
          </w:tcPr>
          <w:p w14:paraId="4BDB390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26</w:t>
            </w:r>
          </w:p>
        </w:tc>
        <w:tc>
          <w:tcPr>
            <w:tcW w:w="967" w:type="dxa"/>
            <w:gridSpan w:val="3"/>
            <w:tcBorders>
              <w:top w:val="nil"/>
              <w:left w:val="nil"/>
              <w:bottom w:val="single" w:sz="4" w:space="0" w:color="auto"/>
              <w:right w:val="single" w:sz="4" w:space="0" w:color="auto"/>
            </w:tcBorders>
            <w:shd w:val="clear" w:color="auto" w:fill="auto"/>
            <w:vAlign w:val="center"/>
            <w:hideMark/>
          </w:tcPr>
          <w:p w14:paraId="3426C4B7"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0.50</w:t>
            </w:r>
          </w:p>
        </w:tc>
        <w:tc>
          <w:tcPr>
            <w:tcW w:w="1221" w:type="dxa"/>
            <w:gridSpan w:val="2"/>
            <w:tcBorders>
              <w:top w:val="nil"/>
              <w:left w:val="nil"/>
              <w:bottom w:val="single" w:sz="4" w:space="0" w:color="auto"/>
              <w:right w:val="single" w:sz="4" w:space="0" w:color="auto"/>
            </w:tcBorders>
            <w:shd w:val="clear" w:color="auto" w:fill="auto"/>
            <w:vAlign w:val="center"/>
            <w:hideMark/>
          </w:tcPr>
          <w:p w14:paraId="4E5562CB"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13</w:t>
            </w:r>
          </w:p>
        </w:tc>
      </w:tr>
      <w:tr w:rsidR="00225E6D" w:rsidRPr="003D61B6" w14:paraId="238439A8" w14:textId="77777777" w:rsidTr="00B90E17">
        <w:trPr>
          <w:gridAfter w:val="1"/>
          <w:wAfter w:w="47" w:type="dxa"/>
          <w:trHeight w:val="62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D103F98"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24</w:t>
            </w:r>
          </w:p>
        </w:tc>
        <w:tc>
          <w:tcPr>
            <w:tcW w:w="1274" w:type="dxa"/>
            <w:gridSpan w:val="2"/>
            <w:tcBorders>
              <w:top w:val="nil"/>
              <w:left w:val="nil"/>
              <w:bottom w:val="nil"/>
              <w:right w:val="single" w:sz="4" w:space="0" w:color="auto"/>
            </w:tcBorders>
            <w:shd w:val="clear" w:color="auto" w:fill="auto"/>
            <w:vAlign w:val="center"/>
            <w:hideMark/>
          </w:tcPr>
          <w:p w14:paraId="43644F88"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703.106(b)(4)</w:t>
            </w:r>
          </w:p>
        </w:tc>
        <w:tc>
          <w:tcPr>
            <w:tcW w:w="6303" w:type="dxa"/>
            <w:tcBorders>
              <w:top w:val="nil"/>
              <w:left w:val="nil"/>
              <w:bottom w:val="single" w:sz="4" w:space="0" w:color="auto"/>
              <w:right w:val="nil"/>
            </w:tcBorders>
            <w:shd w:val="clear" w:color="auto" w:fill="auto"/>
            <w:vAlign w:val="center"/>
            <w:hideMark/>
          </w:tcPr>
          <w:p w14:paraId="7A4BFFC6"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(4) Process and responsibility framework. A FCU must maintain a written and schematic description (e.g., flow chart or organizational chart) of the derivatives management process in its derivatives policies and procedures.  </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50A05A4C"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32B4E9C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43</w:t>
            </w:r>
          </w:p>
        </w:tc>
        <w:tc>
          <w:tcPr>
            <w:tcW w:w="1067" w:type="dxa"/>
            <w:gridSpan w:val="2"/>
            <w:tcBorders>
              <w:top w:val="nil"/>
              <w:left w:val="nil"/>
              <w:bottom w:val="single" w:sz="4" w:space="0" w:color="auto"/>
              <w:right w:val="single" w:sz="4" w:space="0" w:color="auto"/>
            </w:tcBorders>
            <w:shd w:val="clear" w:color="auto" w:fill="auto"/>
            <w:vAlign w:val="center"/>
            <w:hideMark/>
          </w:tcPr>
          <w:p w14:paraId="61786A47"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gridSpan w:val="2"/>
            <w:tcBorders>
              <w:top w:val="nil"/>
              <w:left w:val="nil"/>
              <w:bottom w:val="single" w:sz="4" w:space="0" w:color="auto"/>
              <w:right w:val="single" w:sz="4" w:space="0" w:color="auto"/>
            </w:tcBorders>
            <w:shd w:val="clear" w:color="auto" w:fill="auto"/>
            <w:vAlign w:val="center"/>
            <w:hideMark/>
          </w:tcPr>
          <w:p w14:paraId="63920579"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43</w:t>
            </w:r>
          </w:p>
        </w:tc>
        <w:tc>
          <w:tcPr>
            <w:tcW w:w="967" w:type="dxa"/>
            <w:gridSpan w:val="3"/>
            <w:tcBorders>
              <w:top w:val="nil"/>
              <w:left w:val="nil"/>
              <w:bottom w:val="single" w:sz="4" w:space="0" w:color="auto"/>
              <w:right w:val="single" w:sz="4" w:space="0" w:color="auto"/>
            </w:tcBorders>
            <w:shd w:val="clear" w:color="auto" w:fill="auto"/>
            <w:vAlign w:val="center"/>
            <w:hideMark/>
          </w:tcPr>
          <w:p w14:paraId="73E8F16F"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0.50</w:t>
            </w:r>
          </w:p>
        </w:tc>
        <w:tc>
          <w:tcPr>
            <w:tcW w:w="1221" w:type="dxa"/>
            <w:gridSpan w:val="2"/>
            <w:tcBorders>
              <w:top w:val="nil"/>
              <w:left w:val="nil"/>
              <w:bottom w:val="single" w:sz="4" w:space="0" w:color="auto"/>
              <w:right w:val="single" w:sz="4" w:space="0" w:color="auto"/>
            </w:tcBorders>
            <w:shd w:val="clear" w:color="auto" w:fill="auto"/>
            <w:vAlign w:val="center"/>
            <w:hideMark/>
          </w:tcPr>
          <w:p w14:paraId="4A83208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21.5</w:t>
            </w:r>
          </w:p>
        </w:tc>
      </w:tr>
      <w:tr w:rsidR="00225E6D" w:rsidRPr="003D61B6" w14:paraId="0CF5FBBB" w14:textId="77777777" w:rsidTr="00B90E17">
        <w:trPr>
          <w:gridAfter w:val="1"/>
          <w:wAfter w:w="47" w:type="dxa"/>
          <w:trHeight w:val="80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2A4AE9C"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25</w:t>
            </w:r>
          </w:p>
        </w:tc>
        <w:tc>
          <w:tcPr>
            <w:tcW w:w="1274" w:type="dxa"/>
            <w:gridSpan w:val="2"/>
            <w:tcBorders>
              <w:top w:val="single" w:sz="4" w:space="0" w:color="auto"/>
              <w:left w:val="nil"/>
              <w:bottom w:val="nil"/>
              <w:right w:val="nil"/>
            </w:tcBorders>
            <w:shd w:val="clear" w:color="auto" w:fill="auto"/>
            <w:vAlign w:val="center"/>
            <w:hideMark/>
          </w:tcPr>
          <w:p w14:paraId="22CB6294" w14:textId="77777777" w:rsidR="00225E6D" w:rsidRPr="003D61B6" w:rsidRDefault="00225E6D" w:rsidP="00225E6D">
            <w:pPr>
              <w:rPr>
                <w:rFonts w:ascii="Arial" w:hAnsi="Arial" w:cs="Arial"/>
                <w:sz w:val="16"/>
                <w:szCs w:val="16"/>
              </w:rPr>
            </w:pPr>
            <w:r w:rsidRPr="003D61B6">
              <w:rPr>
                <w:rFonts w:ascii="Arial" w:hAnsi="Arial" w:cs="Arial"/>
                <w:sz w:val="16"/>
                <w:szCs w:val="16"/>
              </w:rPr>
              <w:t>703.106(b)(1)</w:t>
            </w:r>
          </w:p>
        </w:tc>
        <w:tc>
          <w:tcPr>
            <w:tcW w:w="6303" w:type="dxa"/>
            <w:tcBorders>
              <w:top w:val="nil"/>
              <w:left w:val="single" w:sz="4" w:space="0" w:color="auto"/>
              <w:bottom w:val="single" w:sz="4" w:space="0" w:color="auto"/>
              <w:right w:val="nil"/>
            </w:tcBorders>
            <w:shd w:val="clear" w:color="auto" w:fill="auto"/>
            <w:hideMark/>
          </w:tcPr>
          <w:p w14:paraId="6F917B5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(1) Transaction support. Before executing any derivatives transaction, a FCU must identify and document the circumstances that lead to the decision to hedge, specify the derivatives strategy the FCU will employ, and demonstrate the economic effectiveness of the hedge (Pre-execution analysis).</w:t>
            </w:r>
          </w:p>
        </w:tc>
        <w:tc>
          <w:tcPr>
            <w:tcW w:w="1170" w:type="dxa"/>
            <w:tcBorders>
              <w:top w:val="nil"/>
              <w:left w:val="single" w:sz="8" w:space="0" w:color="auto"/>
              <w:bottom w:val="single" w:sz="4" w:space="0" w:color="auto"/>
              <w:right w:val="nil"/>
            </w:tcBorders>
            <w:shd w:val="clear" w:color="auto" w:fill="auto"/>
            <w:vAlign w:val="center"/>
            <w:hideMark/>
          </w:tcPr>
          <w:p w14:paraId="3B34AB11"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6E938084"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26</w:t>
            </w:r>
          </w:p>
        </w:tc>
        <w:tc>
          <w:tcPr>
            <w:tcW w:w="1067" w:type="dxa"/>
            <w:gridSpan w:val="2"/>
            <w:tcBorders>
              <w:top w:val="nil"/>
              <w:left w:val="nil"/>
              <w:bottom w:val="single" w:sz="4" w:space="0" w:color="auto"/>
              <w:right w:val="single" w:sz="4" w:space="0" w:color="auto"/>
            </w:tcBorders>
            <w:shd w:val="clear" w:color="auto" w:fill="auto"/>
            <w:vAlign w:val="center"/>
            <w:hideMark/>
          </w:tcPr>
          <w:p w14:paraId="2BB643E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gridSpan w:val="2"/>
            <w:tcBorders>
              <w:top w:val="nil"/>
              <w:left w:val="nil"/>
              <w:bottom w:val="single" w:sz="4" w:space="0" w:color="auto"/>
              <w:right w:val="single" w:sz="4" w:space="0" w:color="auto"/>
            </w:tcBorders>
            <w:shd w:val="clear" w:color="auto" w:fill="auto"/>
            <w:vAlign w:val="center"/>
            <w:hideMark/>
          </w:tcPr>
          <w:p w14:paraId="0A571FB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26</w:t>
            </w:r>
          </w:p>
        </w:tc>
        <w:tc>
          <w:tcPr>
            <w:tcW w:w="967" w:type="dxa"/>
            <w:gridSpan w:val="3"/>
            <w:tcBorders>
              <w:top w:val="nil"/>
              <w:left w:val="nil"/>
              <w:bottom w:val="single" w:sz="4" w:space="0" w:color="auto"/>
              <w:right w:val="single" w:sz="4" w:space="0" w:color="auto"/>
            </w:tcBorders>
            <w:shd w:val="clear" w:color="auto" w:fill="auto"/>
            <w:vAlign w:val="center"/>
            <w:hideMark/>
          </w:tcPr>
          <w:p w14:paraId="4B68E84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0.50</w:t>
            </w:r>
          </w:p>
        </w:tc>
        <w:tc>
          <w:tcPr>
            <w:tcW w:w="1221" w:type="dxa"/>
            <w:gridSpan w:val="2"/>
            <w:tcBorders>
              <w:top w:val="nil"/>
              <w:left w:val="nil"/>
              <w:bottom w:val="single" w:sz="4" w:space="0" w:color="auto"/>
              <w:right w:val="single" w:sz="4" w:space="0" w:color="auto"/>
            </w:tcBorders>
            <w:shd w:val="clear" w:color="auto" w:fill="auto"/>
            <w:vAlign w:val="center"/>
            <w:hideMark/>
          </w:tcPr>
          <w:p w14:paraId="12A2DC9C"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13</w:t>
            </w:r>
          </w:p>
        </w:tc>
      </w:tr>
      <w:tr w:rsidR="00225E6D" w:rsidRPr="003D61B6" w14:paraId="6767E90F" w14:textId="77777777" w:rsidTr="00B90E17">
        <w:trPr>
          <w:gridAfter w:val="1"/>
          <w:wAfter w:w="47" w:type="dxa"/>
          <w:trHeight w:val="62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53C6EB1B"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26</w:t>
            </w:r>
          </w:p>
        </w:tc>
        <w:tc>
          <w:tcPr>
            <w:tcW w:w="1274" w:type="dxa"/>
            <w:gridSpan w:val="2"/>
            <w:tcBorders>
              <w:top w:val="single" w:sz="4" w:space="0" w:color="auto"/>
              <w:left w:val="nil"/>
              <w:bottom w:val="nil"/>
              <w:right w:val="single" w:sz="4" w:space="0" w:color="auto"/>
            </w:tcBorders>
            <w:shd w:val="clear" w:color="auto" w:fill="auto"/>
            <w:vAlign w:val="center"/>
            <w:hideMark/>
          </w:tcPr>
          <w:p w14:paraId="1136512A"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703.106(d)</w:t>
            </w:r>
          </w:p>
        </w:tc>
        <w:tc>
          <w:tcPr>
            <w:tcW w:w="6303" w:type="dxa"/>
            <w:tcBorders>
              <w:top w:val="nil"/>
              <w:left w:val="nil"/>
              <w:bottom w:val="single" w:sz="4" w:space="0" w:color="auto"/>
              <w:right w:val="nil"/>
            </w:tcBorders>
            <w:shd w:val="clear" w:color="auto" w:fill="auto"/>
            <w:vAlign w:val="center"/>
            <w:hideMark/>
          </w:tcPr>
          <w:p w14:paraId="6BD4706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(d) Policies and procedures. A FCU credit union with derivatives authority must operate according to comprehensive written policies and procedures for control, measurement, and management of derivatives transactions.  </w:t>
            </w:r>
          </w:p>
        </w:tc>
        <w:tc>
          <w:tcPr>
            <w:tcW w:w="1170" w:type="dxa"/>
            <w:tcBorders>
              <w:top w:val="nil"/>
              <w:left w:val="single" w:sz="8" w:space="0" w:color="auto"/>
              <w:bottom w:val="single" w:sz="4" w:space="0" w:color="auto"/>
              <w:right w:val="single" w:sz="12" w:space="0" w:color="auto"/>
            </w:tcBorders>
            <w:shd w:val="clear" w:color="auto" w:fill="auto"/>
            <w:vAlign w:val="center"/>
            <w:hideMark/>
          </w:tcPr>
          <w:p w14:paraId="4FE814F3"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nil"/>
              <w:bottom w:val="single" w:sz="4" w:space="0" w:color="auto"/>
              <w:right w:val="single" w:sz="4" w:space="0" w:color="auto"/>
            </w:tcBorders>
            <w:shd w:val="clear" w:color="auto" w:fill="auto"/>
            <w:vAlign w:val="center"/>
            <w:hideMark/>
          </w:tcPr>
          <w:p w14:paraId="157894B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43</w:t>
            </w:r>
          </w:p>
        </w:tc>
        <w:tc>
          <w:tcPr>
            <w:tcW w:w="1067" w:type="dxa"/>
            <w:gridSpan w:val="2"/>
            <w:tcBorders>
              <w:top w:val="nil"/>
              <w:left w:val="nil"/>
              <w:bottom w:val="single" w:sz="4" w:space="0" w:color="auto"/>
              <w:right w:val="single" w:sz="4" w:space="0" w:color="auto"/>
            </w:tcBorders>
            <w:shd w:val="clear" w:color="auto" w:fill="auto"/>
            <w:vAlign w:val="center"/>
            <w:hideMark/>
          </w:tcPr>
          <w:p w14:paraId="4DEDA2D8"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w:t>
            </w:r>
          </w:p>
        </w:tc>
        <w:tc>
          <w:tcPr>
            <w:tcW w:w="960" w:type="dxa"/>
            <w:gridSpan w:val="2"/>
            <w:tcBorders>
              <w:top w:val="nil"/>
              <w:left w:val="nil"/>
              <w:bottom w:val="single" w:sz="4" w:space="0" w:color="auto"/>
              <w:right w:val="single" w:sz="4" w:space="0" w:color="auto"/>
            </w:tcBorders>
            <w:shd w:val="clear" w:color="auto" w:fill="auto"/>
            <w:vAlign w:val="center"/>
            <w:hideMark/>
          </w:tcPr>
          <w:p w14:paraId="308D1010"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43</w:t>
            </w:r>
          </w:p>
        </w:tc>
        <w:tc>
          <w:tcPr>
            <w:tcW w:w="967" w:type="dxa"/>
            <w:gridSpan w:val="3"/>
            <w:tcBorders>
              <w:top w:val="nil"/>
              <w:left w:val="nil"/>
              <w:bottom w:val="single" w:sz="4" w:space="0" w:color="auto"/>
              <w:right w:val="single" w:sz="4" w:space="0" w:color="auto"/>
            </w:tcBorders>
            <w:shd w:val="clear" w:color="auto" w:fill="auto"/>
            <w:vAlign w:val="center"/>
            <w:hideMark/>
          </w:tcPr>
          <w:p w14:paraId="2EADF641"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gridSpan w:val="2"/>
            <w:tcBorders>
              <w:top w:val="nil"/>
              <w:left w:val="nil"/>
              <w:bottom w:val="single" w:sz="4" w:space="0" w:color="auto"/>
              <w:right w:val="single" w:sz="4" w:space="0" w:color="auto"/>
            </w:tcBorders>
            <w:shd w:val="clear" w:color="auto" w:fill="auto"/>
            <w:vAlign w:val="center"/>
            <w:hideMark/>
          </w:tcPr>
          <w:p w14:paraId="62CCD72E"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22</w:t>
            </w:r>
          </w:p>
        </w:tc>
      </w:tr>
      <w:tr w:rsidR="00225E6D" w:rsidRPr="003D61B6" w14:paraId="7E10F4F6" w14:textId="77777777" w:rsidTr="00B90E17">
        <w:trPr>
          <w:gridAfter w:val="1"/>
          <w:wAfter w:w="47" w:type="dxa"/>
          <w:trHeight w:val="773"/>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1864CD20"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27</w:t>
            </w:r>
          </w:p>
        </w:tc>
        <w:tc>
          <w:tcPr>
            <w:tcW w:w="1274" w:type="dxa"/>
            <w:gridSpan w:val="2"/>
            <w:tcBorders>
              <w:top w:val="single" w:sz="4" w:space="0" w:color="auto"/>
              <w:left w:val="nil"/>
              <w:bottom w:val="single" w:sz="4" w:space="0" w:color="auto"/>
              <w:right w:val="single" w:sz="4" w:space="0" w:color="auto"/>
            </w:tcBorders>
            <w:shd w:val="clear" w:color="auto" w:fill="auto"/>
            <w:vAlign w:val="center"/>
            <w:hideMark/>
          </w:tcPr>
          <w:p w14:paraId="6E1E14F2"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703.107(a)(3)</w:t>
            </w:r>
          </w:p>
        </w:tc>
        <w:tc>
          <w:tcPr>
            <w:tcW w:w="6303" w:type="dxa"/>
            <w:tcBorders>
              <w:top w:val="nil"/>
              <w:left w:val="nil"/>
              <w:bottom w:val="single" w:sz="4" w:space="0" w:color="auto"/>
              <w:right w:val="nil"/>
            </w:tcBorders>
            <w:shd w:val="clear" w:color="auto" w:fill="auto"/>
            <w:vAlign w:val="center"/>
            <w:hideMark/>
          </w:tcPr>
          <w:p w14:paraId="13167D5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External service </w:t>
            </w:r>
            <w:r w:rsidRPr="00E62CDF">
              <w:rPr>
                <w:rFonts w:ascii="Arial" w:hAnsi="Arial" w:cs="Arial"/>
                <w:color w:val="000000"/>
                <w:sz w:val="16"/>
                <w:szCs w:val="16"/>
              </w:rPr>
              <w:t>providers</w:t>
            </w:r>
            <w:r w:rsidRPr="003D61B6">
              <w:rPr>
                <w:rFonts w:ascii="Arial" w:hAnsi="Arial" w:cs="Arial"/>
                <w:color w:val="000000"/>
                <w:sz w:val="16"/>
                <w:szCs w:val="16"/>
              </w:rPr>
              <w:t>. (3) The FCU documents the specific uses of external service providers in its process and responsibility framework, as described in § 703.106(b)(1) of this subpart and the application. [Only for newly applying FCUs.]</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60D2CB4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11CCE20C"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1067" w:type="dxa"/>
            <w:gridSpan w:val="2"/>
            <w:tcBorders>
              <w:top w:val="nil"/>
              <w:left w:val="nil"/>
              <w:bottom w:val="single" w:sz="4" w:space="0" w:color="000000"/>
              <w:right w:val="single" w:sz="4" w:space="0" w:color="000000"/>
            </w:tcBorders>
            <w:shd w:val="clear" w:color="auto" w:fill="auto"/>
            <w:vAlign w:val="center"/>
            <w:hideMark/>
          </w:tcPr>
          <w:p w14:paraId="7C08A0E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gridSpan w:val="2"/>
            <w:tcBorders>
              <w:top w:val="nil"/>
              <w:left w:val="nil"/>
              <w:bottom w:val="single" w:sz="4" w:space="0" w:color="000000"/>
              <w:right w:val="single" w:sz="4" w:space="0" w:color="000000"/>
            </w:tcBorders>
            <w:shd w:val="clear" w:color="auto" w:fill="auto"/>
            <w:vAlign w:val="center"/>
            <w:hideMark/>
          </w:tcPr>
          <w:p w14:paraId="7210AC4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967" w:type="dxa"/>
            <w:gridSpan w:val="3"/>
            <w:tcBorders>
              <w:top w:val="nil"/>
              <w:left w:val="nil"/>
              <w:bottom w:val="single" w:sz="4" w:space="0" w:color="000000"/>
              <w:right w:val="single" w:sz="4" w:space="0" w:color="000000"/>
            </w:tcBorders>
            <w:shd w:val="clear" w:color="auto" w:fill="auto"/>
            <w:vAlign w:val="center"/>
            <w:hideMark/>
          </w:tcPr>
          <w:p w14:paraId="04AD35A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0.3</w:t>
            </w:r>
          </w:p>
        </w:tc>
        <w:tc>
          <w:tcPr>
            <w:tcW w:w="1221" w:type="dxa"/>
            <w:gridSpan w:val="2"/>
            <w:tcBorders>
              <w:top w:val="nil"/>
              <w:left w:val="nil"/>
              <w:bottom w:val="single" w:sz="4" w:space="0" w:color="000000"/>
              <w:right w:val="single" w:sz="4" w:space="0" w:color="auto"/>
            </w:tcBorders>
            <w:shd w:val="clear" w:color="auto" w:fill="auto"/>
            <w:vAlign w:val="center"/>
            <w:hideMark/>
          </w:tcPr>
          <w:p w14:paraId="03EEDFEB"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1.2</w:t>
            </w:r>
          </w:p>
        </w:tc>
      </w:tr>
      <w:tr w:rsidR="00225E6D" w:rsidRPr="003D61B6" w14:paraId="2E277135" w14:textId="77777777" w:rsidTr="00B90E17">
        <w:trPr>
          <w:gridAfter w:val="1"/>
          <w:wAfter w:w="47" w:type="dxa"/>
          <w:trHeight w:val="953"/>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B928337"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28</w:t>
            </w:r>
          </w:p>
        </w:tc>
        <w:tc>
          <w:tcPr>
            <w:tcW w:w="1274" w:type="dxa"/>
            <w:gridSpan w:val="2"/>
            <w:tcBorders>
              <w:top w:val="nil"/>
              <w:left w:val="nil"/>
              <w:bottom w:val="single" w:sz="4" w:space="0" w:color="auto"/>
              <w:right w:val="single" w:sz="4" w:space="0" w:color="auto"/>
            </w:tcBorders>
            <w:shd w:val="clear" w:color="auto" w:fill="auto"/>
            <w:vAlign w:val="center"/>
            <w:hideMark/>
          </w:tcPr>
          <w:p w14:paraId="6EC0CCF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703.109</w:t>
            </w:r>
          </w:p>
        </w:tc>
        <w:tc>
          <w:tcPr>
            <w:tcW w:w="6303" w:type="dxa"/>
            <w:tcBorders>
              <w:top w:val="nil"/>
              <w:left w:val="nil"/>
              <w:bottom w:val="single" w:sz="4" w:space="0" w:color="auto"/>
              <w:right w:val="nil"/>
            </w:tcBorders>
            <w:shd w:val="clear" w:color="auto" w:fill="auto"/>
            <w:vAlign w:val="center"/>
            <w:hideMark/>
          </w:tcPr>
          <w:p w14:paraId="75830C0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Applying for derivatives authority. An eligible FCU must receive written approval to use derivatives by submitting a detailed application, consistent with this subpart and any guidance issued by NCUA.  A FCU must submit its application to the applicable field director. [One-time application for approval to engage in derivatives activity.]</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3F7201C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auto"/>
              <w:right w:val="single" w:sz="4" w:space="0" w:color="auto"/>
            </w:tcBorders>
            <w:shd w:val="clear" w:color="auto" w:fill="auto"/>
            <w:vAlign w:val="center"/>
            <w:hideMark/>
          </w:tcPr>
          <w:p w14:paraId="13B9F10E"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1067" w:type="dxa"/>
            <w:gridSpan w:val="2"/>
            <w:tcBorders>
              <w:top w:val="nil"/>
              <w:left w:val="nil"/>
              <w:bottom w:val="single" w:sz="4" w:space="0" w:color="auto"/>
              <w:right w:val="single" w:sz="4" w:space="0" w:color="auto"/>
            </w:tcBorders>
            <w:shd w:val="clear" w:color="auto" w:fill="auto"/>
            <w:vAlign w:val="center"/>
            <w:hideMark/>
          </w:tcPr>
          <w:p w14:paraId="5F61527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gridSpan w:val="2"/>
            <w:tcBorders>
              <w:top w:val="nil"/>
              <w:left w:val="nil"/>
              <w:bottom w:val="single" w:sz="4" w:space="0" w:color="auto"/>
              <w:right w:val="single" w:sz="4" w:space="0" w:color="auto"/>
            </w:tcBorders>
            <w:shd w:val="clear" w:color="auto" w:fill="auto"/>
            <w:vAlign w:val="center"/>
            <w:hideMark/>
          </w:tcPr>
          <w:p w14:paraId="33A4A745"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967" w:type="dxa"/>
            <w:gridSpan w:val="3"/>
            <w:tcBorders>
              <w:top w:val="nil"/>
              <w:left w:val="nil"/>
              <w:bottom w:val="single" w:sz="4" w:space="0" w:color="auto"/>
              <w:right w:val="single" w:sz="4" w:space="0" w:color="auto"/>
            </w:tcBorders>
            <w:shd w:val="clear" w:color="auto" w:fill="auto"/>
            <w:vAlign w:val="center"/>
            <w:hideMark/>
          </w:tcPr>
          <w:p w14:paraId="4EB1E35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50.00</w:t>
            </w:r>
          </w:p>
        </w:tc>
        <w:tc>
          <w:tcPr>
            <w:tcW w:w="1221" w:type="dxa"/>
            <w:gridSpan w:val="2"/>
            <w:tcBorders>
              <w:top w:val="nil"/>
              <w:left w:val="nil"/>
              <w:bottom w:val="single" w:sz="4" w:space="0" w:color="auto"/>
              <w:right w:val="single" w:sz="4" w:space="0" w:color="auto"/>
            </w:tcBorders>
            <w:shd w:val="clear" w:color="auto" w:fill="auto"/>
            <w:vAlign w:val="center"/>
            <w:hideMark/>
          </w:tcPr>
          <w:p w14:paraId="196AB827"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200</w:t>
            </w:r>
          </w:p>
        </w:tc>
      </w:tr>
      <w:tr w:rsidR="00225E6D" w:rsidRPr="003D61B6" w14:paraId="70ED2083" w14:textId="77777777" w:rsidTr="00B90E17">
        <w:trPr>
          <w:gridAfter w:val="1"/>
          <w:wAfter w:w="47" w:type="dxa"/>
          <w:trHeight w:val="69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3A2ECB35"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29</w:t>
            </w:r>
          </w:p>
        </w:tc>
        <w:tc>
          <w:tcPr>
            <w:tcW w:w="1274" w:type="dxa"/>
            <w:gridSpan w:val="2"/>
            <w:tcBorders>
              <w:top w:val="nil"/>
              <w:left w:val="nil"/>
              <w:bottom w:val="single" w:sz="4" w:space="0" w:color="auto"/>
              <w:right w:val="single" w:sz="4" w:space="0" w:color="auto"/>
            </w:tcBorders>
            <w:shd w:val="clear" w:color="auto" w:fill="auto"/>
            <w:vAlign w:val="center"/>
            <w:hideMark/>
          </w:tcPr>
          <w:p w14:paraId="303678A3"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703.111(b)</w:t>
            </w:r>
          </w:p>
        </w:tc>
        <w:tc>
          <w:tcPr>
            <w:tcW w:w="6303" w:type="dxa"/>
            <w:tcBorders>
              <w:top w:val="nil"/>
              <w:left w:val="nil"/>
              <w:bottom w:val="single" w:sz="4" w:space="0" w:color="auto"/>
              <w:right w:val="nil"/>
            </w:tcBorders>
            <w:shd w:val="clear" w:color="auto" w:fill="auto"/>
            <w:vAlign w:val="center"/>
            <w:hideMark/>
          </w:tcPr>
          <w:p w14:paraId="34BECA86"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(b) Notice of readiness. A Federal credit union approved under paragraph (a) of this section must provide written notification to NCUA when it is ready to begin using derivatives. [Only for newly applying FCUs]</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166C5132"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vAlign w:val="center"/>
            <w:hideMark/>
          </w:tcPr>
          <w:p w14:paraId="5473AED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1067" w:type="dxa"/>
            <w:gridSpan w:val="2"/>
            <w:tcBorders>
              <w:top w:val="nil"/>
              <w:left w:val="nil"/>
              <w:bottom w:val="single" w:sz="4" w:space="0" w:color="000000"/>
              <w:right w:val="single" w:sz="4" w:space="0" w:color="000000"/>
            </w:tcBorders>
            <w:shd w:val="clear" w:color="auto" w:fill="auto"/>
            <w:vAlign w:val="center"/>
            <w:hideMark/>
          </w:tcPr>
          <w:p w14:paraId="7506AF5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gridSpan w:val="2"/>
            <w:tcBorders>
              <w:top w:val="nil"/>
              <w:left w:val="nil"/>
              <w:bottom w:val="single" w:sz="4" w:space="0" w:color="000000"/>
              <w:right w:val="single" w:sz="4" w:space="0" w:color="000000"/>
            </w:tcBorders>
            <w:shd w:val="clear" w:color="auto" w:fill="auto"/>
            <w:vAlign w:val="center"/>
            <w:hideMark/>
          </w:tcPr>
          <w:p w14:paraId="1C808806"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967" w:type="dxa"/>
            <w:gridSpan w:val="3"/>
            <w:tcBorders>
              <w:top w:val="nil"/>
              <w:left w:val="nil"/>
              <w:bottom w:val="single" w:sz="4" w:space="0" w:color="000000"/>
              <w:right w:val="single" w:sz="4" w:space="0" w:color="000000"/>
            </w:tcBorders>
            <w:shd w:val="clear" w:color="auto" w:fill="auto"/>
            <w:vAlign w:val="center"/>
            <w:hideMark/>
          </w:tcPr>
          <w:p w14:paraId="09EF20AE"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1221" w:type="dxa"/>
            <w:gridSpan w:val="2"/>
            <w:tcBorders>
              <w:top w:val="nil"/>
              <w:left w:val="nil"/>
              <w:bottom w:val="single" w:sz="4" w:space="0" w:color="000000"/>
              <w:right w:val="single" w:sz="4" w:space="0" w:color="auto"/>
            </w:tcBorders>
            <w:shd w:val="clear" w:color="auto" w:fill="auto"/>
            <w:vAlign w:val="center"/>
            <w:hideMark/>
          </w:tcPr>
          <w:p w14:paraId="35C5662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r>
      <w:tr w:rsidR="00225E6D" w:rsidRPr="003D61B6" w14:paraId="1148A771" w14:textId="77777777" w:rsidTr="00B90E17">
        <w:trPr>
          <w:gridAfter w:val="1"/>
          <w:wAfter w:w="47" w:type="dxa"/>
          <w:trHeight w:val="854"/>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540537D3"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30</w:t>
            </w:r>
          </w:p>
        </w:tc>
        <w:tc>
          <w:tcPr>
            <w:tcW w:w="1274" w:type="dxa"/>
            <w:gridSpan w:val="2"/>
            <w:tcBorders>
              <w:top w:val="nil"/>
              <w:left w:val="nil"/>
              <w:bottom w:val="single" w:sz="4" w:space="0" w:color="auto"/>
              <w:right w:val="single" w:sz="4" w:space="0" w:color="auto"/>
            </w:tcBorders>
            <w:shd w:val="clear" w:color="auto" w:fill="auto"/>
            <w:vAlign w:val="center"/>
            <w:hideMark/>
          </w:tcPr>
          <w:p w14:paraId="673B8BC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703.111(c)</w:t>
            </w:r>
          </w:p>
        </w:tc>
        <w:tc>
          <w:tcPr>
            <w:tcW w:w="6303" w:type="dxa"/>
            <w:tcBorders>
              <w:top w:val="nil"/>
              <w:left w:val="nil"/>
              <w:bottom w:val="single" w:sz="4" w:space="0" w:color="auto"/>
              <w:right w:val="nil"/>
            </w:tcBorders>
            <w:shd w:val="clear" w:color="auto" w:fill="auto"/>
            <w:vAlign w:val="center"/>
            <w:hideMark/>
          </w:tcPr>
          <w:p w14:paraId="726DD08A"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NCUA will notify the FCU in writing if granted final approval and the FCU may begin entering into derivatives transactions.  If </w:t>
            </w:r>
            <w:r w:rsidRPr="00E62CDF">
              <w:rPr>
                <w:rFonts w:ascii="Arial" w:hAnsi="Arial" w:cs="Arial"/>
                <w:color w:val="000000"/>
                <w:sz w:val="16"/>
                <w:szCs w:val="16"/>
              </w:rPr>
              <w:t>applicable</w:t>
            </w:r>
            <w:r w:rsidRPr="003D61B6">
              <w:rPr>
                <w:rFonts w:ascii="Arial" w:hAnsi="Arial" w:cs="Arial"/>
                <w:color w:val="000000"/>
                <w:sz w:val="16"/>
                <w:szCs w:val="16"/>
              </w:rPr>
              <w:t>, the notification will include the reason(s) for any denial.  At NCUA's discretion a FCU may reapply under this subsection if NCUA has demonstrated compliance with this subpart and its application. [Only for newly applying FCUs.]</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79E6456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12006ED6" w14:textId="77777777" w:rsidR="00225E6D" w:rsidRPr="003D61B6" w:rsidRDefault="00225E6D" w:rsidP="00225E6D">
            <w:pPr>
              <w:jc w:val="right"/>
              <w:rPr>
                <w:rFonts w:ascii="Calibri" w:hAnsi="Calibri" w:cs="Calibri"/>
                <w:color w:val="000000"/>
                <w:sz w:val="20"/>
                <w:szCs w:val="20"/>
              </w:rPr>
            </w:pPr>
            <w:r w:rsidRPr="003D61B6">
              <w:rPr>
                <w:rFonts w:ascii="Calibri" w:hAnsi="Calibri" w:cs="Calibri"/>
                <w:color w:val="000000"/>
                <w:sz w:val="20"/>
                <w:szCs w:val="20"/>
              </w:rPr>
              <w:t>4</w:t>
            </w:r>
          </w:p>
        </w:tc>
        <w:tc>
          <w:tcPr>
            <w:tcW w:w="1067" w:type="dxa"/>
            <w:gridSpan w:val="2"/>
            <w:tcBorders>
              <w:top w:val="nil"/>
              <w:left w:val="nil"/>
              <w:bottom w:val="single" w:sz="4" w:space="0" w:color="000000"/>
              <w:right w:val="single" w:sz="4" w:space="0" w:color="000000"/>
            </w:tcBorders>
            <w:shd w:val="clear" w:color="auto" w:fill="auto"/>
            <w:noWrap/>
            <w:vAlign w:val="center"/>
            <w:hideMark/>
          </w:tcPr>
          <w:p w14:paraId="35A8BE1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14:paraId="2590601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967" w:type="dxa"/>
            <w:gridSpan w:val="3"/>
            <w:tcBorders>
              <w:top w:val="nil"/>
              <w:left w:val="nil"/>
              <w:bottom w:val="single" w:sz="4" w:space="0" w:color="000000"/>
              <w:right w:val="single" w:sz="4" w:space="0" w:color="000000"/>
            </w:tcBorders>
            <w:shd w:val="clear" w:color="auto" w:fill="auto"/>
            <w:noWrap/>
            <w:vAlign w:val="center"/>
            <w:hideMark/>
          </w:tcPr>
          <w:p w14:paraId="2EC39BB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0.25</w:t>
            </w:r>
          </w:p>
        </w:tc>
        <w:tc>
          <w:tcPr>
            <w:tcW w:w="1221" w:type="dxa"/>
            <w:gridSpan w:val="2"/>
            <w:tcBorders>
              <w:top w:val="nil"/>
              <w:left w:val="nil"/>
              <w:bottom w:val="single" w:sz="4" w:space="0" w:color="000000"/>
              <w:right w:val="single" w:sz="4" w:space="0" w:color="auto"/>
            </w:tcBorders>
            <w:shd w:val="clear" w:color="auto" w:fill="auto"/>
            <w:noWrap/>
            <w:vAlign w:val="center"/>
            <w:hideMark/>
          </w:tcPr>
          <w:p w14:paraId="21388B67"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r>
      <w:tr w:rsidR="00225E6D" w:rsidRPr="003D61B6" w14:paraId="00E31C81" w14:textId="77777777" w:rsidTr="00B90E17">
        <w:trPr>
          <w:gridAfter w:val="1"/>
          <w:wAfter w:w="47" w:type="dxa"/>
          <w:trHeight w:val="809"/>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B4C564B"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31</w:t>
            </w:r>
          </w:p>
        </w:tc>
        <w:tc>
          <w:tcPr>
            <w:tcW w:w="1274" w:type="dxa"/>
            <w:gridSpan w:val="2"/>
            <w:tcBorders>
              <w:top w:val="nil"/>
              <w:left w:val="nil"/>
              <w:bottom w:val="single" w:sz="4" w:space="0" w:color="auto"/>
              <w:right w:val="single" w:sz="4" w:space="0" w:color="auto"/>
            </w:tcBorders>
            <w:shd w:val="clear" w:color="auto" w:fill="auto"/>
            <w:vAlign w:val="center"/>
            <w:hideMark/>
          </w:tcPr>
          <w:p w14:paraId="2A975696"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703.111(d)</w:t>
            </w:r>
          </w:p>
        </w:tc>
        <w:tc>
          <w:tcPr>
            <w:tcW w:w="6303" w:type="dxa"/>
            <w:tcBorders>
              <w:top w:val="nil"/>
              <w:left w:val="nil"/>
              <w:bottom w:val="single" w:sz="4" w:space="0" w:color="auto"/>
              <w:right w:val="nil"/>
            </w:tcBorders>
            <w:shd w:val="clear" w:color="auto" w:fill="auto"/>
            <w:vAlign w:val="center"/>
            <w:hideMark/>
          </w:tcPr>
          <w:p w14:paraId="0AE17C15"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(d) Right to appeal. A Federal credit union may request the field director to reconsider a determination made under paragraph (a) or (c) of this section and/or file an appeal with the NCUA Board in accordance with the procedures set forth in subpart B to part 746 of this chapter.</w:t>
            </w:r>
          </w:p>
        </w:tc>
        <w:tc>
          <w:tcPr>
            <w:tcW w:w="1170" w:type="dxa"/>
            <w:tcBorders>
              <w:top w:val="nil"/>
              <w:left w:val="single" w:sz="8" w:space="0" w:color="auto"/>
              <w:bottom w:val="single" w:sz="4" w:space="0" w:color="auto"/>
              <w:right w:val="single" w:sz="12" w:space="0" w:color="auto"/>
            </w:tcBorders>
            <w:shd w:val="clear" w:color="auto" w:fill="auto"/>
            <w:vAlign w:val="center"/>
            <w:hideMark/>
          </w:tcPr>
          <w:p w14:paraId="0761DEF7"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3974"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50B35916" w14:textId="77777777" w:rsidR="00225E6D" w:rsidRPr="003D61B6" w:rsidRDefault="00225E6D" w:rsidP="00225E6D">
            <w:pPr>
              <w:jc w:val="center"/>
              <w:rPr>
                <w:rFonts w:ascii="Arial" w:hAnsi="Arial" w:cs="Arial"/>
                <w:color w:val="000000"/>
                <w:sz w:val="18"/>
                <w:szCs w:val="18"/>
              </w:rPr>
            </w:pPr>
            <w:r w:rsidRPr="003D61B6">
              <w:rPr>
                <w:rFonts w:ascii="Arial" w:hAnsi="Arial" w:cs="Arial"/>
                <w:color w:val="000000"/>
                <w:sz w:val="18"/>
                <w:szCs w:val="18"/>
              </w:rPr>
              <w:t>Burden covered under 3133-0198</w:t>
            </w:r>
          </w:p>
        </w:tc>
        <w:tc>
          <w:tcPr>
            <w:tcW w:w="1221" w:type="dxa"/>
            <w:gridSpan w:val="2"/>
            <w:tcBorders>
              <w:top w:val="nil"/>
              <w:left w:val="nil"/>
              <w:bottom w:val="single" w:sz="4" w:space="0" w:color="000000"/>
              <w:right w:val="single" w:sz="4" w:space="0" w:color="auto"/>
            </w:tcBorders>
            <w:shd w:val="clear" w:color="auto" w:fill="auto"/>
            <w:noWrap/>
            <w:vAlign w:val="center"/>
            <w:hideMark/>
          </w:tcPr>
          <w:p w14:paraId="0B6D730B"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r>
      <w:tr w:rsidR="00225E6D" w:rsidRPr="003D61B6" w14:paraId="5824F25B" w14:textId="77777777" w:rsidTr="00B90E17">
        <w:trPr>
          <w:gridAfter w:val="1"/>
          <w:wAfter w:w="47" w:type="dxa"/>
          <w:trHeight w:val="80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3C93A7C"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32</w:t>
            </w:r>
          </w:p>
        </w:tc>
        <w:tc>
          <w:tcPr>
            <w:tcW w:w="1274" w:type="dxa"/>
            <w:gridSpan w:val="2"/>
            <w:tcBorders>
              <w:top w:val="nil"/>
              <w:left w:val="nil"/>
              <w:bottom w:val="single" w:sz="4" w:space="0" w:color="auto"/>
              <w:right w:val="single" w:sz="4" w:space="0" w:color="auto"/>
            </w:tcBorders>
            <w:shd w:val="clear" w:color="auto" w:fill="auto"/>
            <w:vAlign w:val="center"/>
            <w:hideMark/>
          </w:tcPr>
          <w:p w14:paraId="79D574AC"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703.112(a) corrected</w:t>
            </w:r>
          </w:p>
        </w:tc>
        <w:tc>
          <w:tcPr>
            <w:tcW w:w="6303" w:type="dxa"/>
            <w:tcBorders>
              <w:top w:val="nil"/>
              <w:left w:val="nil"/>
              <w:bottom w:val="single" w:sz="4" w:space="0" w:color="auto"/>
              <w:right w:val="nil"/>
            </w:tcBorders>
            <w:shd w:val="clear" w:color="auto" w:fill="auto"/>
            <w:vAlign w:val="center"/>
            <w:hideMark/>
          </w:tcPr>
          <w:p w14:paraId="0CE9D6B9"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Applying for additional products or characteristics. (a) A FCU with derivatives authority may subsequently apply for approval to use additional products and characteristics, described in § 703.102 of this subpart, that it did not request in its initial application. [Only for newly applying FCUs.]</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01DF2631"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68C8D50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1067" w:type="dxa"/>
            <w:gridSpan w:val="2"/>
            <w:tcBorders>
              <w:top w:val="nil"/>
              <w:left w:val="nil"/>
              <w:bottom w:val="single" w:sz="4" w:space="0" w:color="000000"/>
              <w:right w:val="single" w:sz="4" w:space="0" w:color="000000"/>
            </w:tcBorders>
            <w:shd w:val="clear" w:color="auto" w:fill="auto"/>
            <w:noWrap/>
            <w:vAlign w:val="center"/>
            <w:hideMark/>
          </w:tcPr>
          <w:p w14:paraId="7BA071D6"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0" w:type="dxa"/>
            <w:gridSpan w:val="2"/>
            <w:tcBorders>
              <w:top w:val="nil"/>
              <w:left w:val="nil"/>
              <w:bottom w:val="single" w:sz="4" w:space="0" w:color="000000"/>
              <w:right w:val="single" w:sz="4" w:space="0" w:color="000000"/>
            </w:tcBorders>
            <w:shd w:val="clear" w:color="auto" w:fill="auto"/>
            <w:vAlign w:val="center"/>
            <w:hideMark/>
          </w:tcPr>
          <w:p w14:paraId="553C13DB"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7" w:type="dxa"/>
            <w:gridSpan w:val="3"/>
            <w:tcBorders>
              <w:top w:val="nil"/>
              <w:left w:val="nil"/>
              <w:bottom w:val="single" w:sz="4" w:space="0" w:color="000000"/>
              <w:right w:val="single" w:sz="4" w:space="0" w:color="000000"/>
            </w:tcBorders>
            <w:shd w:val="clear" w:color="auto" w:fill="auto"/>
            <w:noWrap/>
            <w:vAlign w:val="center"/>
            <w:hideMark/>
          </w:tcPr>
          <w:p w14:paraId="7CD28ECC"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1221" w:type="dxa"/>
            <w:gridSpan w:val="2"/>
            <w:tcBorders>
              <w:top w:val="nil"/>
              <w:left w:val="nil"/>
              <w:bottom w:val="single" w:sz="4" w:space="0" w:color="000000"/>
              <w:right w:val="single" w:sz="4" w:space="0" w:color="auto"/>
            </w:tcBorders>
            <w:shd w:val="clear" w:color="auto" w:fill="auto"/>
            <w:vAlign w:val="center"/>
            <w:hideMark/>
          </w:tcPr>
          <w:p w14:paraId="34BD2AEF"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r>
      <w:tr w:rsidR="00225E6D" w:rsidRPr="003D61B6" w14:paraId="51A76382" w14:textId="77777777" w:rsidTr="00B90E17">
        <w:trPr>
          <w:gridAfter w:val="1"/>
          <w:wAfter w:w="47" w:type="dxa"/>
          <w:trHeight w:val="92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1C727D9A"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33</w:t>
            </w:r>
          </w:p>
        </w:tc>
        <w:tc>
          <w:tcPr>
            <w:tcW w:w="1274" w:type="dxa"/>
            <w:gridSpan w:val="2"/>
            <w:tcBorders>
              <w:top w:val="nil"/>
              <w:left w:val="nil"/>
              <w:bottom w:val="single" w:sz="4" w:space="0" w:color="auto"/>
              <w:right w:val="single" w:sz="4" w:space="0" w:color="auto"/>
            </w:tcBorders>
            <w:shd w:val="clear" w:color="auto" w:fill="auto"/>
            <w:vAlign w:val="center"/>
            <w:hideMark/>
          </w:tcPr>
          <w:p w14:paraId="6F49500A"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703.112(c ) </w:t>
            </w:r>
          </w:p>
        </w:tc>
        <w:tc>
          <w:tcPr>
            <w:tcW w:w="6303" w:type="dxa"/>
            <w:tcBorders>
              <w:top w:val="nil"/>
              <w:left w:val="nil"/>
              <w:bottom w:val="single" w:sz="4" w:space="0" w:color="auto"/>
              <w:right w:val="nil"/>
            </w:tcBorders>
            <w:shd w:val="clear" w:color="auto" w:fill="auto"/>
            <w:vAlign w:val="center"/>
            <w:hideMark/>
          </w:tcPr>
          <w:p w14:paraId="6A907A5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(c) A FCU may request the regional director to reconsider a denial of an application for additional products or characteristics and/or file an appeal with the NCUA Board in accordance with the procedures set forth in subpart B to part 746 of this chapter.</w:t>
            </w:r>
          </w:p>
        </w:tc>
        <w:tc>
          <w:tcPr>
            <w:tcW w:w="1170" w:type="dxa"/>
            <w:tcBorders>
              <w:top w:val="nil"/>
              <w:left w:val="single" w:sz="8" w:space="0" w:color="auto"/>
              <w:bottom w:val="single" w:sz="4" w:space="0" w:color="auto"/>
              <w:right w:val="single" w:sz="12" w:space="0" w:color="auto"/>
            </w:tcBorders>
            <w:shd w:val="clear" w:color="auto" w:fill="auto"/>
            <w:vAlign w:val="center"/>
            <w:hideMark/>
          </w:tcPr>
          <w:p w14:paraId="43B1DB88"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3974" w:type="dxa"/>
            <w:gridSpan w:val="8"/>
            <w:tcBorders>
              <w:top w:val="single" w:sz="4" w:space="0" w:color="000000"/>
              <w:left w:val="nil"/>
              <w:bottom w:val="single" w:sz="4" w:space="0" w:color="auto"/>
              <w:right w:val="single" w:sz="4" w:space="0" w:color="000000"/>
            </w:tcBorders>
            <w:shd w:val="clear" w:color="auto" w:fill="auto"/>
            <w:noWrap/>
            <w:vAlign w:val="center"/>
            <w:hideMark/>
          </w:tcPr>
          <w:p w14:paraId="193FC348" w14:textId="77777777" w:rsidR="00225E6D" w:rsidRPr="003D61B6" w:rsidRDefault="00225E6D" w:rsidP="00225E6D">
            <w:pPr>
              <w:jc w:val="center"/>
              <w:rPr>
                <w:rFonts w:ascii="Arial" w:hAnsi="Arial" w:cs="Arial"/>
                <w:color w:val="000000"/>
                <w:sz w:val="18"/>
                <w:szCs w:val="18"/>
              </w:rPr>
            </w:pPr>
            <w:r w:rsidRPr="003D61B6">
              <w:rPr>
                <w:rFonts w:ascii="Arial" w:hAnsi="Arial" w:cs="Arial"/>
                <w:color w:val="000000"/>
                <w:sz w:val="18"/>
                <w:szCs w:val="18"/>
              </w:rPr>
              <w:t>Burden covered under 3133-0198</w:t>
            </w:r>
          </w:p>
        </w:tc>
        <w:tc>
          <w:tcPr>
            <w:tcW w:w="1221" w:type="dxa"/>
            <w:gridSpan w:val="2"/>
            <w:tcBorders>
              <w:top w:val="nil"/>
              <w:left w:val="nil"/>
              <w:bottom w:val="single" w:sz="4" w:space="0" w:color="auto"/>
              <w:right w:val="single" w:sz="4" w:space="0" w:color="auto"/>
            </w:tcBorders>
            <w:shd w:val="clear" w:color="auto" w:fill="auto"/>
            <w:noWrap/>
            <w:vAlign w:val="center"/>
            <w:hideMark/>
          </w:tcPr>
          <w:p w14:paraId="3E335096"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r>
      <w:tr w:rsidR="00225E6D" w:rsidRPr="00E62CDF" w14:paraId="64CB4DA1" w14:textId="77777777" w:rsidTr="00B90E17">
        <w:trPr>
          <w:gridAfter w:val="1"/>
          <w:wAfter w:w="47" w:type="dxa"/>
          <w:trHeight w:val="440"/>
        </w:trPr>
        <w:tc>
          <w:tcPr>
            <w:tcW w:w="4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143FA" w14:textId="77777777" w:rsidR="00225E6D" w:rsidRPr="003D61B6" w:rsidRDefault="00225E6D" w:rsidP="00225E6D">
            <w:pPr>
              <w:jc w:val="center"/>
              <w:rPr>
                <w:rFonts w:ascii="Arial Narrow" w:hAnsi="Arial Narrow" w:cs="Calibri"/>
                <w:color w:val="000000"/>
                <w:sz w:val="16"/>
                <w:szCs w:val="16"/>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B987D0"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12 CFR</w:t>
            </w:r>
          </w:p>
        </w:tc>
        <w:tc>
          <w:tcPr>
            <w:tcW w:w="63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C2708"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Information Collection</w:t>
            </w:r>
          </w:p>
        </w:tc>
        <w:tc>
          <w:tcPr>
            <w:tcW w:w="11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22A0A"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Type of Burden</w:t>
            </w:r>
          </w:p>
        </w:tc>
        <w:tc>
          <w:tcPr>
            <w:tcW w:w="9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D6363BB"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Respon- dents</w:t>
            </w:r>
          </w:p>
        </w:tc>
        <w:tc>
          <w:tcPr>
            <w:tcW w:w="10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8F5A2D9"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Responses Per Respondent</w:t>
            </w:r>
          </w:p>
        </w:tc>
        <w:tc>
          <w:tcPr>
            <w:tcW w:w="9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53539"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 Annual Responses</w:t>
            </w:r>
          </w:p>
        </w:tc>
        <w:tc>
          <w:tcPr>
            <w:tcW w:w="96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587B61B"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Hours Per Response</w:t>
            </w:r>
          </w:p>
        </w:tc>
        <w:tc>
          <w:tcPr>
            <w:tcW w:w="12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200F3" w14:textId="77777777" w:rsidR="00225E6D" w:rsidRPr="003D61B6" w:rsidRDefault="00225E6D" w:rsidP="00225E6D">
            <w:pPr>
              <w:jc w:val="center"/>
              <w:rPr>
                <w:rFonts w:ascii="Arial Narrow" w:hAnsi="Arial Narrow" w:cs="Calibri"/>
                <w:color w:val="000000"/>
                <w:sz w:val="16"/>
                <w:szCs w:val="16"/>
              </w:rPr>
            </w:pPr>
            <w:r w:rsidRPr="003D61B6">
              <w:rPr>
                <w:rFonts w:ascii="Arial Narrow" w:hAnsi="Arial Narrow" w:cs="Calibri"/>
                <w:color w:val="000000"/>
                <w:sz w:val="16"/>
                <w:szCs w:val="16"/>
              </w:rPr>
              <w:t>Total Annual Reporting Burden</w:t>
            </w:r>
          </w:p>
        </w:tc>
      </w:tr>
      <w:tr w:rsidR="00225E6D" w:rsidRPr="003D61B6" w14:paraId="7BF99CA9" w14:textId="77777777" w:rsidTr="00B90E17">
        <w:trPr>
          <w:gridAfter w:val="1"/>
          <w:wAfter w:w="47" w:type="dxa"/>
          <w:trHeight w:val="773"/>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E1425"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34</w:t>
            </w:r>
          </w:p>
        </w:tc>
        <w:tc>
          <w:tcPr>
            <w:tcW w:w="1274" w:type="dxa"/>
            <w:gridSpan w:val="2"/>
            <w:tcBorders>
              <w:top w:val="single" w:sz="4" w:space="0" w:color="auto"/>
              <w:left w:val="nil"/>
              <w:bottom w:val="nil"/>
              <w:right w:val="nil"/>
            </w:tcBorders>
            <w:shd w:val="clear" w:color="auto" w:fill="auto"/>
            <w:vAlign w:val="center"/>
            <w:hideMark/>
          </w:tcPr>
          <w:p w14:paraId="2807B68B" w14:textId="77777777" w:rsidR="00225E6D" w:rsidRPr="003D61B6" w:rsidRDefault="00225E6D" w:rsidP="00225E6D">
            <w:pPr>
              <w:rPr>
                <w:rFonts w:ascii="Arial" w:hAnsi="Arial" w:cs="Arial"/>
                <w:sz w:val="16"/>
                <w:szCs w:val="16"/>
              </w:rPr>
            </w:pPr>
            <w:r w:rsidRPr="003D61B6">
              <w:rPr>
                <w:rFonts w:ascii="Arial" w:hAnsi="Arial" w:cs="Arial"/>
                <w:sz w:val="16"/>
                <w:szCs w:val="16"/>
              </w:rPr>
              <w:t>741.219(b)</w:t>
            </w:r>
          </w:p>
        </w:tc>
        <w:tc>
          <w:tcPr>
            <w:tcW w:w="6303" w:type="dxa"/>
            <w:tcBorders>
              <w:top w:val="single" w:sz="4" w:space="0" w:color="auto"/>
              <w:left w:val="single" w:sz="4" w:space="0" w:color="auto"/>
              <w:bottom w:val="single" w:sz="4" w:space="0" w:color="auto"/>
              <w:right w:val="nil"/>
            </w:tcBorders>
            <w:shd w:val="clear" w:color="auto" w:fill="auto"/>
            <w:vAlign w:val="center"/>
            <w:hideMark/>
          </w:tcPr>
          <w:p w14:paraId="4AF2C9F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(b) Any credit union which is insured pursuant to title II of the Act must notify the applicable NCUA Regional Director in writing at least 30 days before it begins engaging in derivatives.  (at time of initially entering into derivatives activities)</w:t>
            </w:r>
          </w:p>
        </w:tc>
        <w:tc>
          <w:tcPr>
            <w:tcW w:w="11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39D50D"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48AF3DE5"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1067" w:type="dxa"/>
            <w:gridSpan w:val="2"/>
            <w:tcBorders>
              <w:top w:val="single" w:sz="4" w:space="0" w:color="auto"/>
              <w:left w:val="nil"/>
              <w:bottom w:val="single" w:sz="4" w:space="0" w:color="000000"/>
              <w:right w:val="single" w:sz="4" w:space="0" w:color="000000"/>
            </w:tcBorders>
            <w:shd w:val="clear" w:color="auto" w:fill="auto"/>
            <w:noWrap/>
            <w:vAlign w:val="center"/>
            <w:hideMark/>
          </w:tcPr>
          <w:p w14:paraId="05E662CC"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960" w:type="dxa"/>
            <w:gridSpan w:val="2"/>
            <w:tcBorders>
              <w:top w:val="single" w:sz="4" w:space="0" w:color="auto"/>
              <w:left w:val="nil"/>
              <w:bottom w:val="single" w:sz="4" w:space="0" w:color="000000"/>
              <w:right w:val="single" w:sz="4" w:space="0" w:color="000000"/>
            </w:tcBorders>
            <w:shd w:val="clear" w:color="auto" w:fill="auto"/>
            <w:vAlign w:val="center"/>
            <w:hideMark/>
          </w:tcPr>
          <w:p w14:paraId="7268CF19"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w:t>
            </w:r>
          </w:p>
        </w:tc>
        <w:tc>
          <w:tcPr>
            <w:tcW w:w="967" w:type="dxa"/>
            <w:gridSpan w:val="3"/>
            <w:tcBorders>
              <w:top w:val="single" w:sz="4" w:space="0" w:color="auto"/>
              <w:left w:val="nil"/>
              <w:bottom w:val="single" w:sz="4" w:space="0" w:color="000000"/>
              <w:right w:val="single" w:sz="4" w:space="0" w:color="000000"/>
            </w:tcBorders>
            <w:shd w:val="clear" w:color="auto" w:fill="auto"/>
            <w:noWrap/>
            <w:vAlign w:val="center"/>
            <w:hideMark/>
          </w:tcPr>
          <w:p w14:paraId="39DDEB9E"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0.5</w:t>
            </w:r>
          </w:p>
        </w:tc>
        <w:tc>
          <w:tcPr>
            <w:tcW w:w="1221" w:type="dxa"/>
            <w:gridSpan w:val="2"/>
            <w:tcBorders>
              <w:top w:val="single" w:sz="4" w:space="0" w:color="auto"/>
              <w:left w:val="nil"/>
              <w:bottom w:val="single" w:sz="4" w:space="0" w:color="000000"/>
              <w:right w:val="single" w:sz="4" w:space="0" w:color="auto"/>
            </w:tcBorders>
            <w:shd w:val="clear" w:color="auto" w:fill="auto"/>
            <w:vAlign w:val="center"/>
            <w:hideMark/>
          </w:tcPr>
          <w:p w14:paraId="11A4D7DB"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w:t>
            </w:r>
          </w:p>
        </w:tc>
      </w:tr>
      <w:tr w:rsidR="00225E6D" w:rsidRPr="003D61B6" w14:paraId="519CBA33" w14:textId="77777777" w:rsidTr="00B90E17">
        <w:trPr>
          <w:gridAfter w:val="1"/>
          <w:wAfter w:w="47" w:type="dxa"/>
          <w:trHeight w:val="440"/>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1FBF0C3"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35</w:t>
            </w:r>
          </w:p>
        </w:tc>
        <w:tc>
          <w:tcPr>
            <w:tcW w:w="1274" w:type="dxa"/>
            <w:gridSpan w:val="2"/>
            <w:tcBorders>
              <w:top w:val="single" w:sz="4" w:space="0" w:color="auto"/>
              <w:left w:val="nil"/>
              <w:bottom w:val="single" w:sz="4" w:space="0" w:color="auto"/>
              <w:right w:val="single" w:sz="4" w:space="0" w:color="auto"/>
            </w:tcBorders>
            <w:shd w:val="clear" w:color="auto" w:fill="auto"/>
            <w:vAlign w:val="center"/>
            <w:hideMark/>
          </w:tcPr>
          <w:p w14:paraId="29503BF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703.113(b)(a)</w:t>
            </w:r>
          </w:p>
        </w:tc>
        <w:tc>
          <w:tcPr>
            <w:tcW w:w="6303" w:type="dxa"/>
            <w:tcBorders>
              <w:top w:val="nil"/>
              <w:left w:val="nil"/>
              <w:bottom w:val="single" w:sz="4" w:space="0" w:color="auto"/>
              <w:right w:val="nil"/>
            </w:tcBorders>
            <w:shd w:val="clear" w:color="auto" w:fill="auto"/>
            <w:vAlign w:val="center"/>
            <w:hideMark/>
          </w:tcPr>
          <w:p w14:paraId="06182A87"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Pilot program participants with active derivatives positions.  (2) Within 30 days, present a corrective action plan to NCUA describing how the FCU will cure any deficiencies or wind down its derivatives program.</w:t>
            </w:r>
          </w:p>
        </w:tc>
        <w:tc>
          <w:tcPr>
            <w:tcW w:w="1170" w:type="dxa"/>
            <w:tcBorders>
              <w:top w:val="nil"/>
              <w:left w:val="single" w:sz="8" w:space="0" w:color="auto"/>
              <w:bottom w:val="single" w:sz="4" w:space="0" w:color="auto"/>
              <w:right w:val="single" w:sz="4" w:space="0" w:color="auto"/>
            </w:tcBorders>
            <w:shd w:val="clear" w:color="auto" w:fill="auto"/>
            <w:noWrap/>
            <w:vAlign w:val="center"/>
            <w:hideMark/>
          </w:tcPr>
          <w:p w14:paraId="68242354"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4D6C46C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1067" w:type="dxa"/>
            <w:gridSpan w:val="2"/>
            <w:tcBorders>
              <w:top w:val="nil"/>
              <w:left w:val="nil"/>
              <w:bottom w:val="single" w:sz="4" w:space="0" w:color="000000"/>
              <w:right w:val="single" w:sz="4" w:space="0" w:color="000000"/>
            </w:tcBorders>
            <w:shd w:val="clear" w:color="auto" w:fill="auto"/>
            <w:noWrap/>
            <w:vAlign w:val="center"/>
            <w:hideMark/>
          </w:tcPr>
          <w:p w14:paraId="4DE3098B"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0" w:type="dxa"/>
            <w:gridSpan w:val="2"/>
            <w:tcBorders>
              <w:top w:val="nil"/>
              <w:left w:val="nil"/>
              <w:bottom w:val="single" w:sz="4" w:space="0" w:color="000000"/>
              <w:right w:val="single" w:sz="4" w:space="0" w:color="000000"/>
            </w:tcBorders>
            <w:shd w:val="clear" w:color="auto" w:fill="auto"/>
            <w:noWrap/>
            <w:vAlign w:val="center"/>
            <w:hideMark/>
          </w:tcPr>
          <w:p w14:paraId="19F1F28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7" w:type="dxa"/>
            <w:gridSpan w:val="3"/>
            <w:tcBorders>
              <w:top w:val="nil"/>
              <w:left w:val="nil"/>
              <w:bottom w:val="single" w:sz="4" w:space="0" w:color="000000"/>
              <w:right w:val="single" w:sz="4" w:space="0" w:color="000000"/>
            </w:tcBorders>
            <w:shd w:val="clear" w:color="auto" w:fill="auto"/>
            <w:noWrap/>
            <w:vAlign w:val="center"/>
            <w:hideMark/>
          </w:tcPr>
          <w:p w14:paraId="71F15D55"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1221" w:type="dxa"/>
            <w:gridSpan w:val="2"/>
            <w:tcBorders>
              <w:top w:val="nil"/>
              <w:left w:val="nil"/>
              <w:bottom w:val="single" w:sz="4" w:space="0" w:color="000000"/>
              <w:right w:val="single" w:sz="4" w:space="0" w:color="auto"/>
            </w:tcBorders>
            <w:shd w:val="clear" w:color="auto" w:fill="auto"/>
            <w:noWrap/>
            <w:vAlign w:val="center"/>
            <w:hideMark/>
          </w:tcPr>
          <w:p w14:paraId="53968C99"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r>
      <w:tr w:rsidR="00225E6D" w:rsidRPr="003D61B6" w14:paraId="1D202B0E" w14:textId="77777777" w:rsidTr="00B90E17">
        <w:trPr>
          <w:gridAfter w:val="1"/>
          <w:wAfter w:w="47" w:type="dxa"/>
          <w:trHeight w:val="791"/>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4A01098"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36</w:t>
            </w:r>
          </w:p>
        </w:tc>
        <w:tc>
          <w:tcPr>
            <w:tcW w:w="1274" w:type="dxa"/>
            <w:gridSpan w:val="2"/>
            <w:tcBorders>
              <w:top w:val="nil"/>
              <w:left w:val="nil"/>
              <w:bottom w:val="single" w:sz="4" w:space="0" w:color="auto"/>
              <w:right w:val="single" w:sz="4" w:space="0" w:color="auto"/>
            </w:tcBorders>
            <w:shd w:val="clear" w:color="auto" w:fill="auto"/>
            <w:vAlign w:val="center"/>
            <w:hideMark/>
          </w:tcPr>
          <w:p w14:paraId="0BA95770"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703.114(a)(2)</w:t>
            </w:r>
          </w:p>
        </w:tc>
        <w:tc>
          <w:tcPr>
            <w:tcW w:w="6303" w:type="dxa"/>
            <w:tcBorders>
              <w:top w:val="nil"/>
              <w:left w:val="nil"/>
              <w:bottom w:val="single" w:sz="4" w:space="0" w:color="auto"/>
              <w:right w:val="nil"/>
            </w:tcBorders>
            <w:shd w:val="clear" w:color="auto" w:fill="auto"/>
            <w:vAlign w:val="center"/>
            <w:hideMark/>
          </w:tcPr>
          <w:p w14:paraId="7A8C0A59"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Regulatory violation. (2) Within 3 business days from the regulatory violation, provide NCUA notification of the regulatory violation, which must include a description of the violation and the immediate corrective action the FCU is taking; and</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6975EE0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6C3A039F"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1</w:t>
            </w:r>
          </w:p>
        </w:tc>
        <w:tc>
          <w:tcPr>
            <w:tcW w:w="1067" w:type="dxa"/>
            <w:gridSpan w:val="2"/>
            <w:tcBorders>
              <w:top w:val="nil"/>
              <w:left w:val="nil"/>
              <w:bottom w:val="single" w:sz="4" w:space="0" w:color="000000"/>
              <w:right w:val="single" w:sz="4" w:space="0" w:color="auto"/>
            </w:tcBorders>
            <w:shd w:val="clear" w:color="auto" w:fill="auto"/>
            <w:noWrap/>
            <w:vAlign w:val="center"/>
            <w:hideMark/>
          </w:tcPr>
          <w:p w14:paraId="08A9CC9F"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c>
          <w:tcPr>
            <w:tcW w:w="960" w:type="dxa"/>
            <w:gridSpan w:val="2"/>
            <w:tcBorders>
              <w:top w:val="nil"/>
              <w:left w:val="nil"/>
              <w:bottom w:val="single" w:sz="4" w:space="0" w:color="000000"/>
              <w:right w:val="single" w:sz="4" w:space="0" w:color="auto"/>
            </w:tcBorders>
            <w:shd w:val="clear" w:color="auto" w:fill="auto"/>
            <w:noWrap/>
            <w:vAlign w:val="center"/>
            <w:hideMark/>
          </w:tcPr>
          <w:p w14:paraId="751BABED"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c>
          <w:tcPr>
            <w:tcW w:w="967" w:type="dxa"/>
            <w:gridSpan w:val="3"/>
            <w:tcBorders>
              <w:top w:val="nil"/>
              <w:left w:val="nil"/>
              <w:bottom w:val="single" w:sz="4" w:space="0" w:color="000000"/>
              <w:right w:val="single" w:sz="4" w:space="0" w:color="auto"/>
            </w:tcBorders>
            <w:shd w:val="clear" w:color="auto" w:fill="auto"/>
            <w:noWrap/>
            <w:vAlign w:val="center"/>
            <w:hideMark/>
          </w:tcPr>
          <w:p w14:paraId="419F9DD5"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c>
          <w:tcPr>
            <w:tcW w:w="1221" w:type="dxa"/>
            <w:gridSpan w:val="2"/>
            <w:tcBorders>
              <w:top w:val="nil"/>
              <w:left w:val="nil"/>
              <w:bottom w:val="single" w:sz="4" w:space="0" w:color="000000"/>
              <w:right w:val="single" w:sz="4" w:space="0" w:color="auto"/>
            </w:tcBorders>
            <w:shd w:val="clear" w:color="auto" w:fill="auto"/>
            <w:noWrap/>
            <w:vAlign w:val="center"/>
            <w:hideMark/>
          </w:tcPr>
          <w:p w14:paraId="2376BC3D"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r>
      <w:tr w:rsidR="00225E6D" w:rsidRPr="003D61B6" w14:paraId="2DE9E4AC" w14:textId="77777777" w:rsidTr="00B90E17">
        <w:trPr>
          <w:gridAfter w:val="1"/>
          <w:wAfter w:w="47" w:type="dxa"/>
          <w:trHeight w:val="46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6208915"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37</w:t>
            </w:r>
          </w:p>
        </w:tc>
        <w:tc>
          <w:tcPr>
            <w:tcW w:w="1274" w:type="dxa"/>
            <w:gridSpan w:val="2"/>
            <w:tcBorders>
              <w:top w:val="nil"/>
              <w:left w:val="nil"/>
              <w:bottom w:val="single" w:sz="4" w:space="0" w:color="auto"/>
              <w:right w:val="single" w:sz="4" w:space="0" w:color="auto"/>
            </w:tcBorders>
            <w:shd w:val="clear" w:color="auto" w:fill="auto"/>
            <w:vAlign w:val="center"/>
            <w:hideMark/>
          </w:tcPr>
          <w:p w14:paraId="5937D207"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 xml:space="preserve">703.114(a)(3) </w:t>
            </w:r>
          </w:p>
        </w:tc>
        <w:tc>
          <w:tcPr>
            <w:tcW w:w="6303" w:type="dxa"/>
            <w:tcBorders>
              <w:top w:val="nil"/>
              <w:left w:val="nil"/>
              <w:bottom w:val="single" w:sz="4" w:space="0" w:color="auto"/>
              <w:right w:val="nil"/>
            </w:tcBorders>
            <w:shd w:val="clear" w:color="auto" w:fill="auto"/>
            <w:vAlign w:val="center"/>
            <w:hideMark/>
          </w:tcPr>
          <w:p w14:paraId="4D8149D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Regulatory violation. (3) Within 15 business days after notifying NCUA, submit a written corrective action plan to the appropriate field director.</w:t>
            </w:r>
          </w:p>
        </w:tc>
        <w:tc>
          <w:tcPr>
            <w:tcW w:w="1170" w:type="dxa"/>
            <w:tcBorders>
              <w:top w:val="nil"/>
              <w:left w:val="single" w:sz="8" w:space="0" w:color="auto"/>
              <w:bottom w:val="single" w:sz="4" w:space="0" w:color="auto"/>
              <w:right w:val="single" w:sz="4" w:space="0" w:color="auto"/>
            </w:tcBorders>
            <w:shd w:val="clear" w:color="auto" w:fill="auto"/>
            <w:vAlign w:val="center"/>
            <w:hideMark/>
          </w:tcPr>
          <w:p w14:paraId="73FB454D"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sz="12" w:space="0" w:color="auto"/>
              <w:bottom w:val="single" w:sz="4" w:space="0" w:color="000000"/>
              <w:right w:val="single" w:sz="4" w:space="0" w:color="auto"/>
            </w:tcBorders>
            <w:shd w:val="clear" w:color="auto" w:fill="auto"/>
            <w:noWrap/>
            <w:vAlign w:val="center"/>
            <w:hideMark/>
          </w:tcPr>
          <w:p w14:paraId="099E86A6"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w:t>
            </w:r>
          </w:p>
        </w:tc>
        <w:tc>
          <w:tcPr>
            <w:tcW w:w="1067" w:type="dxa"/>
            <w:gridSpan w:val="2"/>
            <w:tcBorders>
              <w:top w:val="nil"/>
              <w:left w:val="nil"/>
              <w:bottom w:val="single" w:sz="4" w:space="0" w:color="000000"/>
              <w:right w:val="single" w:sz="4" w:space="0" w:color="auto"/>
            </w:tcBorders>
            <w:shd w:val="clear" w:color="auto" w:fill="auto"/>
            <w:noWrap/>
            <w:vAlign w:val="center"/>
            <w:hideMark/>
          </w:tcPr>
          <w:p w14:paraId="21A04288"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0" w:type="dxa"/>
            <w:gridSpan w:val="2"/>
            <w:tcBorders>
              <w:top w:val="nil"/>
              <w:left w:val="nil"/>
              <w:bottom w:val="single" w:sz="4" w:space="0" w:color="000000"/>
              <w:right w:val="single" w:sz="4" w:space="0" w:color="auto"/>
            </w:tcBorders>
            <w:shd w:val="clear" w:color="auto" w:fill="auto"/>
            <w:noWrap/>
            <w:vAlign w:val="center"/>
            <w:hideMark/>
          </w:tcPr>
          <w:p w14:paraId="1C25260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967" w:type="dxa"/>
            <w:gridSpan w:val="3"/>
            <w:tcBorders>
              <w:top w:val="nil"/>
              <w:left w:val="nil"/>
              <w:bottom w:val="single" w:sz="4" w:space="0" w:color="000000"/>
              <w:right w:val="single" w:sz="4" w:space="0" w:color="auto"/>
            </w:tcBorders>
            <w:shd w:val="clear" w:color="auto" w:fill="auto"/>
            <w:noWrap/>
            <w:vAlign w:val="center"/>
            <w:hideMark/>
          </w:tcPr>
          <w:p w14:paraId="5830FDD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c>
          <w:tcPr>
            <w:tcW w:w="1221" w:type="dxa"/>
            <w:gridSpan w:val="2"/>
            <w:tcBorders>
              <w:top w:val="nil"/>
              <w:left w:val="nil"/>
              <w:bottom w:val="single" w:sz="4" w:space="0" w:color="000000"/>
              <w:right w:val="single" w:sz="4" w:space="0" w:color="auto"/>
            </w:tcBorders>
            <w:shd w:val="clear" w:color="auto" w:fill="auto"/>
            <w:vAlign w:val="center"/>
            <w:hideMark/>
          </w:tcPr>
          <w:p w14:paraId="6A85E688"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w:t>
            </w:r>
          </w:p>
        </w:tc>
      </w:tr>
      <w:tr w:rsidR="00225E6D" w:rsidRPr="003D61B6" w14:paraId="51F24612" w14:textId="77777777" w:rsidTr="00B90E17">
        <w:trPr>
          <w:gridAfter w:val="1"/>
          <w:wAfter w:w="47" w:type="dxa"/>
          <w:trHeight w:val="683"/>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583B" w14:textId="77777777" w:rsidR="00225E6D" w:rsidRPr="003D61B6" w:rsidRDefault="00225E6D" w:rsidP="00225E6D">
            <w:pPr>
              <w:jc w:val="center"/>
              <w:rPr>
                <w:rFonts w:ascii="Arial" w:hAnsi="Arial" w:cs="Arial"/>
                <w:b/>
                <w:bCs/>
                <w:color w:val="000000"/>
                <w:sz w:val="16"/>
                <w:szCs w:val="16"/>
              </w:rPr>
            </w:pPr>
            <w:r w:rsidRPr="003D61B6">
              <w:rPr>
                <w:rFonts w:ascii="Arial" w:hAnsi="Arial" w:cs="Arial"/>
                <w:b/>
                <w:bCs/>
                <w:color w:val="000000"/>
                <w:sz w:val="16"/>
                <w:szCs w:val="16"/>
              </w:rPr>
              <w:t>38</w:t>
            </w:r>
          </w:p>
        </w:tc>
        <w:tc>
          <w:tcPr>
            <w:tcW w:w="1274" w:type="dxa"/>
            <w:gridSpan w:val="2"/>
            <w:tcBorders>
              <w:top w:val="nil"/>
              <w:left w:val="nil"/>
              <w:bottom w:val="single" w:sz="4" w:space="0" w:color="auto"/>
              <w:right w:val="single" w:sz="4" w:space="0" w:color="auto"/>
            </w:tcBorders>
            <w:shd w:val="clear" w:color="auto" w:fill="auto"/>
            <w:vAlign w:val="center"/>
            <w:hideMark/>
          </w:tcPr>
          <w:p w14:paraId="05A37653"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703.114(c)</w:t>
            </w:r>
          </w:p>
        </w:tc>
        <w:tc>
          <w:tcPr>
            <w:tcW w:w="6303" w:type="dxa"/>
            <w:tcBorders>
              <w:top w:val="nil"/>
              <w:left w:val="nil"/>
              <w:bottom w:val="single" w:sz="4" w:space="0" w:color="auto"/>
              <w:right w:val="nil"/>
            </w:tcBorders>
            <w:shd w:val="clear" w:color="auto" w:fill="auto"/>
            <w:vAlign w:val="center"/>
            <w:hideMark/>
          </w:tcPr>
          <w:p w14:paraId="6AFF0C0B"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(c) A FCU may request NCUA to reconsider a revocation of derivatives authority or an order to terminate existing derivatives positions and/or file an appeal with the NCUA Board in accordance with the procedures set forth in subpart B to part 746 of this chapter.</w:t>
            </w:r>
          </w:p>
        </w:tc>
        <w:tc>
          <w:tcPr>
            <w:tcW w:w="1170" w:type="dxa"/>
            <w:tcBorders>
              <w:top w:val="nil"/>
              <w:left w:val="single" w:sz="8" w:space="0" w:color="auto"/>
              <w:bottom w:val="single" w:sz="4" w:space="0" w:color="auto"/>
              <w:right w:val="single" w:sz="12" w:space="0" w:color="auto"/>
            </w:tcBorders>
            <w:shd w:val="clear" w:color="auto" w:fill="auto"/>
            <w:noWrap/>
            <w:vAlign w:val="center"/>
            <w:hideMark/>
          </w:tcPr>
          <w:p w14:paraId="557DE8AE" w14:textId="77777777" w:rsidR="00225E6D" w:rsidRPr="003D61B6" w:rsidRDefault="00225E6D" w:rsidP="00225E6D">
            <w:pPr>
              <w:rPr>
                <w:rFonts w:ascii="Arial" w:hAnsi="Arial" w:cs="Arial"/>
                <w:color w:val="000000"/>
                <w:sz w:val="16"/>
                <w:szCs w:val="16"/>
              </w:rPr>
            </w:pPr>
            <w:r w:rsidRPr="003D61B6">
              <w:rPr>
                <w:rFonts w:ascii="Arial" w:hAnsi="Arial" w:cs="Arial"/>
                <w:color w:val="000000"/>
                <w:sz w:val="16"/>
                <w:szCs w:val="16"/>
              </w:rPr>
              <w:t>Reporting</w:t>
            </w:r>
          </w:p>
        </w:tc>
        <w:tc>
          <w:tcPr>
            <w:tcW w:w="3007" w:type="dxa"/>
            <w:gridSpan w:val="5"/>
            <w:tcBorders>
              <w:top w:val="single" w:sz="4" w:space="0" w:color="000000"/>
              <w:left w:val="single" w:sz="12" w:space="0" w:color="auto"/>
              <w:bottom w:val="nil"/>
              <w:right w:val="nil"/>
            </w:tcBorders>
            <w:shd w:val="clear" w:color="auto" w:fill="auto"/>
            <w:noWrap/>
            <w:vAlign w:val="center"/>
            <w:hideMark/>
          </w:tcPr>
          <w:p w14:paraId="5A543E57" w14:textId="77777777" w:rsidR="00225E6D" w:rsidRPr="003D61B6" w:rsidRDefault="00225E6D" w:rsidP="00225E6D">
            <w:pPr>
              <w:rPr>
                <w:rFonts w:ascii="Arial" w:hAnsi="Arial" w:cs="Arial"/>
                <w:color w:val="000000"/>
                <w:sz w:val="18"/>
                <w:szCs w:val="18"/>
              </w:rPr>
            </w:pPr>
            <w:r w:rsidRPr="003D61B6">
              <w:rPr>
                <w:rFonts w:ascii="Arial" w:hAnsi="Arial" w:cs="Arial"/>
                <w:color w:val="000000"/>
                <w:sz w:val="18"/>
                <w:szCs w:val="18"/>
              </w:rPr>
              <w:t>Burden covered under 3133-0198</w:t>
            </w:r>
          </w:p>
        </w:tc>
        <w:tc>
          <w:tcPr>
            <w:tcW w:w="967" w:type="dxa"/>
            <w:gridSpan w:val="3"/>
            <w:tcBorders>
              <w:top w:val="nil"/>
              <w:left w:val="nil"/>
              <w:bottom w:val="nil"/>
              <w:right w:val="single" w:sz="4" w:space="0" w:color="auto"/>
            </w:tcBorders>
            <w:shd w:val="clear" w:color="auto" w:fill="auto"/>
            <w:noWrap/>
            <w:vAlign w:val="center"/>
            <w:hideMark/>
          </w:tcPr>
          <w:p w14:paraId="6CE8755B" w14:textId="77777777" w:rsidR="00225E6D" w:rsidRPr="003D61B6" w:rsidRDefault="00225E6D" w:rsidP="00225E6D">
            <w:pPr>
              <w:rPr>
                <w:rFonts w:ascii="Arial" w:hAnsi="Arial" w:cs="Arial"/>
                <w:color w:val="000000"/>
                <w:sz w:val="18"/>
                <w:szCs w:val="18"/>
              </w:rPr>
            </w:pPr>
            <w:r w:rsidRPr="003D61B6">
              <w:rPr>
                <w:rFonts w:ascii="Arial" w:hAnsi="Arial" w:cs="Arial"/>
                <w:color w:val="000000"/>
                <w:sz w:val="18"/>
                <w:szCs w:val="18"/>
              </w:rPr>
              <w:t> </w:t>
            </w:r>
          </w:p>
        </w:tc>
        <w:tc>
          <w:tcPr>
            <w:tcW w:w="1221" w:type="dxa"/>
            <w:gridSpan w:val="2"/>
            <w:tcBorders>
              <w:top w:val="nil"/>
              <w:left w:val="nil"/>
              <w:bottom w:val="nil"/>
              <w:right w:val="single" w:sz="4" w:space="0" w:color="auto"/>
            </w:tcBorders>
            <w:shd w:val="clear" w:color="auto" w:fill="auto"/>
            <w:vAlign w:val="center"/>
            <w:hideMark/>
          </w:tcPr>
          <w:p w14:paraId="2CEB1786" w14:textId="77777777" w:rsidR="00225E6D" w:rsidRPr="003D61B6" w:rsidRDefault="00225E6D" w:rsidP="00225E6D">
            <w:pPr>
              <w:jc w:val="right"/>
              <w:rPr>
                <w:rFonts w:ascii="Arial" w:hAnsi="Arial" w:cs="Arial"/>
                <w:color w:val="000000"/>
                <w:sz w:val="18"/>
                <w:szCs w:val="18"/>
              </w:rPr>
            </w:pPr>
            <w:r w:rsidRPr="003D61B6">
              <w:rPr>
                <w:rFonts w:ascii="Arial" w:hAnsi="Arial" w:cs="Arial"/>
                <w:color w:val="000000"/>
                <w:sz w:val="18"/>
                <w:szCs w:val="18"/>
              </w:rPr>
              <w:t>0</w:t>
            </w:r>
          </w:p>
        </w:tc>
      </w:tr>
      <w:tr w:rsidR="00225E6D" w:rsidRPr="003D61B6" w14:paraId="6BF0F602" w14:textId="77777777" w:rsidTr="00B90E17">
        <w:trPr>
          <w:gridAfter w:val="1"/>
          <w:wAfter w:w="47" w:type="dxa"/>
          <w:trHeight w:val="290"/>
        </w:trPr>
        <w:tc>
          <w:tcPr>
            <w:tcW w:w="428" w:type="dxa"/>
            <w:tcBorders>
              <w:top w:val="single" w:sz="4" w:space="0" w:color="auto"/>
              <w:bottom w:val="nil"/>
              <w:right w:val="single" w:sz="4" w:space="0" w:color="auto"/>
            </w:tcBorders>
            <w:shd w:val="clear" w:color="auto" w:fill="auto"/>
            <w:vAlign w:val="center"/>
            <w:hideMark/>
          </w:tcPr>
          <w:p w14:paraId="56770AF0" w14:textId="77777777" w:rsidR="00225E6D" w:rsidRPr="003D61B6" w:rsidRDefault="00225E6D" w:rsidP="00225E6D">
            <w:pPr>
              <w:jc w:val="center"/>
              <w:rPr>
                <w:rFonts w:ascii="Arial" w:hAnsi="Arial" w:cs="Arial"/>
                <w:b/>
                <w:bCs/>
                <w:color w:val="000000"/>
                <w:sz w:val="18"/>
                <w:szCs w:val="18"/>
              </w:rPr>
            </w:pPr>
            <w:r w:rsidRPr="003D61B6">
              <w:rPr>
                <w:rFonts w:ascii="Arial" w:hAnsi="Arial" w:cs="Arial"/>
                <w:b/>
                <w:bCs/>
                <w:color w:val="000000"/>
                <w:sz w:val="18"/>
                <w:szCs w:val="18"/>
              </w:rPr>
              <w:t> </w:t>
            </w:r>
          </w:p>
        </w:tc>
        <w:tc>
          <w:tcPr>
            <w:tcW w:w="1274" w:type="dxa"/>
            <w:gridSpan w:val="2"/>
            <w:tcBorders>
              <w:top w:val="nil"/>
              <w:left w:val="single" w:sz="4" w:space="0" w:color="auto"/>
              <w:bottom w:val="nil"/>
              <w:right w:val="nil"/>
            </w:tcBorders>
            <w:shd w:val="clear" w:color="auto" w:fill="auto"/>
            <w:vAlign w:val="center"/>
            <w:hideMark/>
          </w:tcPr>
          <w:p w14:paraId="2FEB7055" w14:textId="77777777" w:rsidR="00225E6D" w:rsidRPr="003D61B6" w:rsidRDefault="00225E6D" w:rsidP="00225E6D">
            <w:pPr>
              <w:rPr>
                <w:rFonts w:ascii="Arial" w:hAnsi="Arial" w:cs="Arial"/>
                <w:color w:val="000000"/>
                <w:sz w:val="18"/>
                <w:szCs w:val="18"/>
              </w:rPr>
            </w:pPr>
            <w:r w:rsidRPr="003D61B6">
              <w:rPr>
                <w:rFonts w:ascii="Arial" w:hAnsi="Arial" w:cs="Arial"/>
                <w:color w:val="000000"/>
                <w:sz w:val="18"/>
                <w:szCs w:val="18"/>
              </w:rPr>
              <w:t> </w:t>
            </w:r>
          </w:p>
        </w:tc>
        <w:tc>
          <w:tcPr>
            <w:tcW w:w="6303" w:type="dxa"/>
            <w:tcBorders>
              <w:top w:val="nil"/>
              <w:left w:val="nil"/>
              <w:bottom w:val="nil"/>
              <w:right w:val="nil"/>
            </w:tcBorders>
            <w:shd w:val="clear" w:color="auto" w:fill="auto"/>
            <w:vAlign w:val="center"/>
            <w:hideMark/>
          </w:tcPr>
          <w:p w14:paraId="764129DE" w14:textId="77777777" w:rsidR="00225E6D" w:rsidRPr="003D61B6" w:rsidRDefault="00225E6D" w:rsidP="00225E6D">
            <w:pPr>
              <w:rPr>
                <w:rFonts w:ascii="Arial" w:hAnsi="Arial" w:cs="Arial"/>
                <w:color w:val="000000"/>
                <w:sz w:val="18"/>
                <w:szCs w:val="18"/>
              </w:rPr>
            </w:pPr>
            <w:r w:rsidRPr="003D61B6">
              <w:rPr>
                <w:rFonts w:ascii="Arial" w:hAnsi="Arial" w:cs="Arial"/>
                <w:color w:val="000000"/>
                <w:sz w:val="18"/>
                <w:szCs w:val="18"/>
              </w:rPr>
              <w:t xml:space="preserve"> </w:t>
            </w: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14:paraId="3CF0244E" w14:textId="77777777" w:rsidR="00225E6D" w:rsidRPr="003D61B6" w:rsidRDefault="00225E6D" w:rsidP="00225E6D">
            <w:pPr>
              <w:rPr>
                <w:rFonts w:ascii="Arial" w:hAnsi="Arial" w:cs="Arial"/>
                <w:color w:val="000000"/>
                <w:sz w:val="20"/>
                <w:szCs w:val="20"/>
              </w:rPr>
            </w:pPr>
            <w:r w:rsidRPr="003D61B6">
              <w:rPr>
                <w:rFonts w:ascii="Arial" w:hAnsi="Arial" w:cs="Arial"/>
                <w:color w:val="000000"/>
                <w:sz w:val="20"/>
                <w:szCs w:val="20"/>
              </w:rPr>
              <w:t>Part A</w:t>
            </w:r>
          </w:p>
        </w:tc>
        <w:tc>
          <w:tcPr>
            <w:tcW w:w="980" w:type="dxa"/>
            <w:tcBorders>
              <w:top w:val="single" w:sz="4" w:space="0" w:color="auto"/>
              <w:left w:val="nil"/>
              <w:bottom w:val="single" w:sz="4" w:space="0" w:color="auto"/>
              <w:right w:val="single" w:sz="4" w:space="0" w:color="auto"/>
            </w:tcBorders>
            <w:shd w:val="clear" w:color="000000" w:fill="F2F2F2"/>
            <w:vAlign w:val="center"/>
            <w:hideMark/>
          </w:tcPr>
          <w:p w14:paraId="63ADAB8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3350</w:t>
            </w:r>
          </w:p>
        </w:tc>
        <w:tc>
          <w:tcPr>
            <w:tcW w:w="1067" w:type="dxa"/>
            <w:gridSpan w:val="2"/>
            <w:tcBorders>
              <w:top w:val="single" w:sz="4" w:space="0" w:color="auto"/>
              <w:left w:val="nil"/>
              <w:bottom w:val="single" w:sz="4" w:space="0" w:color="auto"/>
              <w:right w:val="single" w:sz="4" w:space="0" w:color="auto"/>
            </w:tcBorders>
            <w:shd w:val="clear" w:color="000000" w:fill="F2F2F2"/>
            <w:vAlign w:val="center"/>
            <w:hideMark/>
          </w:tcPr>
          <w:p w14:paraId="18999F0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 xml:space="preserve"> </w:t>
            </w:r>
          </w:p>
        </w:tc>
        <w:tc>
          <w:tcPr>
            <w:tcW w:w="960" w:type="dxa"/>
            <w:gridSpan w:val="2"/>
            <w:tcBorders>
              <w:top w:val="single" w:sz="4" w:space="0" w:color="auto"/>
              <w:left w:val="nil"/>
              <w:bottom w:val="single" w:sz="4" w:space="0" w:color="auto"/>
              <w:right w:val="single" w:sz="4" w:space="0" w:color="auto"/>
            </w:tcBorders>
            <w:shd w:val="clear" w:color="000000" w:fill="F2F2F2"/>
            <w:vAlign w:val="center"/>
            <w:hideMark/>
          </w:tcPr>
          <w:p w14:paraId="587597BE"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175,175</w:t>
            </w:r>
          </w:p>
        </w:tc>
        <w:tc>
          <w:tcPr>
            <w:tcW w:w="967" w:type="dxa"/>
            <w:gridSpan w:val="3"/>
            <w:tcBorders>
              <w:top w:val="single" w:sz="4" w:space="0" w:color="auto"/>
              <w:left w:val="nil"/>
              <w:bottom w:val="single" w:sz="4" w:space="0" w:color="auto"/>
              <w:right w:val="single" w:sz="4" w:space="0" w:color="auto"/>
            </w:tcBorders>
            <w:shd w:val="clear" w:color="000000" w:fill="F2F2F2"/>
            <w:vAlign w:val="center"/>
            <w:hideMark/>
          </w:tcPr>
          <w:p w14:paraId="324B3E93"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 xml:space="preserve"> </w:t>
            </w:r>
          </w:p>
        </w:tc>
        <w:tc>
          <w:tcPr>
            <w:tcW w:w="1221" w:type="dxa"/>
            <w:gridSpan w:val="2"/>
            <w:tcBorders>
              <w:top w:val="single" w:sz="4" w:space="0" w:color="auto"/>
              <w:left w:val="nil"/>
              <w:bottom w:val="single" w:sz="4" w:space="0" w:color="auto"/>
              <w:right w:val="single" w:sz="4" w:space="0" w:color="auto"/>
            </w:tcBorders>
            <w:shd w:val="clear" w:color="000000" w:fill="F2F2F2"/>
            <w:vAlign w:val="center"/>
            <w:hideMark/>
          </w:tcPr>
          <w:p w14:paraId="0BAC4C1F"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53,664</w:t>
            </w:r>
          </w:p>
        </w:tc>
      </w:tr>
      <w:tr w:rsidR="00225E6D" w:rsidRPr="003D61B6" w14:paraId="2F718F0F" w14:textId="77777777" w:rsidTr="00B90E17">
        <w:trPr>
          <w:gridAfter w:val="1"/>
          <w:wAfter w:w="47" w:type="dxa"/>
          <w:trHeight w:val="290"/>
        </w:trPr>
        <w:tc>
          <w:tcPr>
            <w:tcW w:w="428" w:type="dxa"/>
            <w:tcBorders>
              <w:bottom w:val="nil"/>
              <w:right w:val="single" w:sz="4" w:space="0" w:color="auto"/>
            </w:tcBorders>
            <w:shd w:val="clear" w:color="auto" w:fill="auto"/>
            <w:vAlign w:val="center"/>
            <w:hideMark/>
          </w:tcPr>
          <w:p w14:paraId="161AA623" w14:textId="77777777" w:rsidR="00225E6D" w:rsidRPr="003D61B6" w:rsidRDefault="00225E6D" w:rsidP="00225E6D">
            <w:pPr>
              <w:jc w:val="center"/>
              <w:rPr>
                <w:rFonts w:ascii="Arial" w:hAnsi="Arial" w:cs="Arial"/>
                <w:b/>
                <w:bCs/>
                <w:color w:val="000000"/>
                <w:sz w:val="18"/>
                <w:szCs w:val="18"/>
              </w:rPr>
            </w:pPr>
            <w:r w:rsidRPr="003D61B6">
              <w:rPr>
                <w:rFonts w:ascii="Arial" w:hAnsi="Arial" w:cs="Arial"/>
                <w:b/>
                <w:bCs/>
                <w:color w:val="000000"/>
                <w:sz w:val="18"/>
                <w:szCs w:val="18"/>
              </w:rPr>
              <w:t> </w:t>
            </w:r>
          </w:p>
        </w:tc>
        <w:tc>
          <w:tcPr>
            <w:tcW w:w="1274" w:type="dxa"/>
            <w:gridSpan w:val="2"/>
            <w:tcBorders>
              <w:top w:val="nil"/>
              <w:left w:val="single" w:sz="4" w:space="0" w:color="auto"/>
              <w:bottom w:val="nil"/>
              <w:right w:val="nil"/>
            </w:tcBorders>
            <w:shd w:val="clear" w:color="auto" w:fill="auto"/>
            <w:vAlign w:val="center"/>
            <w:hideMark/>
          </w:tcPr>
          <w:p w14:paraId="1764467D" w14:textId="77777777" w:rsidR="00225E6D" w:rsidRPr="003D61B6" w:rsidRDefault="00225E6D" w:rsidP="00225E6D">
            <w:pPr>
              <w:rPr>
                <w:rFonts w:ascii="Arial" w:hAnsi="Arial" w:cs="Arial"/>
                <w:color w:val="000000"/>
                <w:sz w:val="18"/>
                <w:szCs w:val="18"/>
              </w:rPr>
            </w:pPr>
            <w:r w:rsidRPr="003D61B6">
              <w:rPr>
                <w:rFonts w:ascii="Arial" w:hAnsi="Arial" w:cs="Arial"/>
                <w:color w:val="000000"/>
                <w:sz w:val="18"/>
                <w:szCs w:val="18"/>
              </w:rPr>
              <w:t> </w:t>
            </w:r>
          </w:p>
        </w:tc>
        <w:tc>
          <w:tcPr>
            <w:tcW w:w="6303" w:type="dxa"/>
            <w:tcBorders>
              <w:top w:val="nil"/>
              <w:left w:val="nil"/>
              <w:bottom w:val="nil"/>
              <w:right w:val="nil"/>
            </w:tcBorders>
            <w:shd w:val="clear" w:color="auto" w:fill="auto"/>
            <w:vAlign w:val="center"/>
            <w:hideMark/>
          </w:tcPr>
          <w:p w14:paraId="7CF0DE9B" w14:textId="77777777" w:rsidR="00225E6D" w:rsidRPr="003D61B6" w:rsidRDefault="00225E6D" w:rsidP="00225E6D">
            <w:pPr>
              <w:rPr>
                <w:rFonts w:ascii="Arial" w:hAnsi="Arial" w:cs="Arial"/>
                <w:color w:val="000000"/>
                <w:sz w:val="18"/>
                <w:szCs w:val="18"/>
              </w:rPr>
            </w:pP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14:paraId="3F98DF2A" w14:textId="77777777" w:rsidR="00225E6D" w:rsidRPr="003D61B6" w:rsidRDefault="00225E6D" w:rsidP="00225E6D">
            <w:pPr>
              <w:rPr>
                <w:rFonts w:ascii="Arial" w:hAnsi="Arial" w:cs="Arial"/>
                <w:color w:val="000000"/>
                <w:sz w:val="20"/>
                <w:szCs w:val="20"/>
              </w:rPr>
            </w:pPr>
            <w:r w:rsidRPr="003D61B6">
              <w:rPr>
                <w:rFonts w:ascii="Arial" w:hAnsi="Arial" w:cs="Arial"/>
                <w:color w:val="000000"/>
                <w:sz w:val="20"/>
                <w:szCs w:val="20"/>
              </w:rPr>
              <w:t>Part B</w:t>
            </w:r>
          </w:p>
        </w:tc>
        <w:tc>
          <w:tcPr>
            <w:tcW w:w="980" w:type="dxa"/>
            <w:tcBorders>
              <w:top w:val="nil"/>
              <w:left w:val="nil"/>
              <w:bottom w:val="single" w:sz="4" w:space="0" w:color="auto"/>
              <w:right w:val="single" w:sz="4" w:space="0" w:color="auto"/>
            </w:tcBorders>
            <w:shd w:val="clear" w:color="000000" w:fill="F2F2F2"/>
            <w:noWrap/>
            <w:vAlign w:val="center"/>
            <w:hideMark/>
          </w:tcPr>
          <w:p w14:paraId="66B615AA"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43</w:t>
            </w:r>
          </w:p>
        </w:tc>
        <w:tc>
          <w:tcPr>
            <w:tcW w:w="1067" w:type="dxa"/>
            <w:gridSpan w:val="2"/>
            <w:tcBorders>
              <w:top w:val="nil"/>
              <w:left w:val="nil"/>
              <w:bottom w:val="single" w:sz="4" w:space="0" w:color="auto"/>
              <w:right w:val="single" w:sz="4" w:space="0" w:color="auto"/>
            </w:tcBorders>
            <w:shd w:val="clear" w:color="000000" w:fill="F2F2F2"/>
            <w:noWrap/>
            <w:vAlign w:val="center"/>
            <w:hideMark/>
          </w:tcPr>
          <w:p w14:paraId="7269F891"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 </w:t>
            </w:r>
          </w:p>
        </w:tc>
        <w:tc>
          <w:tcPr>
            <w:tcW w:w="960" w:type="dxa"/>
            <w:gridSpan w:val="2"/>
            <w:tcBorders>
              <w:top w:val="nil"/>
              <w:left w:val="nil"/>
              <w:bottom w:val="single" w:sz="4" w:space="0" w:color="auto"/>
              <w:right w:val="single" w:sz="4" w:space="0" w:color="auto"/>
            </w:tcBorders>
            <w:shd w:val="clear" w:color="000000" w:fill="F2F2F2"/>
            <w:noWrap/>
            <w:vAlign w:val="center"/>
            <w:hideMark/>
          </w:tcPr>
          <w:p w14:paraId="6671BC66"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175.42</w:t>
            </w:r>
          </w:p>
        </w:tc>
        <w:tc>
          <w:tcPr>
            <w:tcW w:w="967" w:type="dxa"/>
            <w:gridSpan w:val="3"/>
            <w:tcBorders>
              <w:top w:val="nil"/>
              <w:left w:val="nil"/>
              <w:bottom w:val="single" w:sz="4" w:space="0" w:color="auto"/>
              <w:right w:val="single" w:sz="4" w:space="0" w:color="auto"/>
            </w:tcBorders>
            <w:shd w:val="clear" w:color="000000" w:fill="F2F2F2"/>
            <w:noWrap/>
            <w:vAlign w:val="center"/>
            <w:hideMark/>
          </w:tcPr>
          <w:p w14:paraId="34557A49"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 </w:t>
            </w:r>
          </w:p>
        </w:tc>
        <w:tc>
          <w:tcPr>
            <w:tcW w:w="1221" w:type="dxa"/>
            <w:gridSpan w:val="2"/>
            <w:tcBorders>
              <w:top w:val="nil"/>
              <w:left w:val="nil"/>
              <w:bottom w:val="single" w:sz="4" w:space="0" w:color="auto"/>
              <w:right w:val="single" w:sz="4" w:space="0" w:color="auto"/>
            </w:tcBorders>
            <w:shd w:val="clear" w:color="000000" w:fill="F2F2F2"/>
            <w:vAlign w:val="center"/>
            <w:hideMark/>
          </w:tcPr>
          <w:p w14:paraId="4E410535"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295</w:t>
            </w:r>
          </w:p>
        </w:tc>
      </w:tr>
      <w:tr w:rsidR="00225E6D" w:rsidRPr="003D61B6" w14:paraId="50EA19EB" w14:textId="77777777" w:rsidTr="00B90E17">
        <w:trPr>
          <w:gridAfter w:val="1"/>
          <w:wAfter w:w="47" w:type="dxa"/>
          <w:trHeight w:val="290"/>
        </w:trPr>
        <w:tc>
          <w:tcPr>
            <w:tcW w:w="428" w:type="dxa"/>
            <w:tcBorders>
              <w:bottom w:val="nil"/>
              <w:right w:val="single" w:sz="4" w:space="0" w:color="auto"/>
            </w:tcBorders>
            <w:shd w:val="clear" w:color="auto" w:fill="auto"/>
            <w:vAlign w:val="center"/>
            <w:hideMark/>
          </w:tcPr>
          <w:p w14:paraId="3289ECE5" w14:textId="77777777" w:rsidR="00225E6D" w:rsidRPr="003D61B6" w:rsidRDefault="00225E6D" w:rsidP="00225E6D">
            <w:pPr>
              <w:jc w:val="center"/>
              <w:rPr>
                <w:rFonts w:ascii="Arial" w:hAnsi="Arial" w:cs="Arial"/>
                <w:b/>
                <w:bCs/>
                <w:color w:val="000000"/>
                <w:sz w:val="18"/>
                <w:szCs w:val="18"/>
              </w:rPr>
            </w:pPr>
            <w:r w:rsidRPr="003D61B6">
              <w:rPr>
                <w:rFonts w:ascii="Arial" w:hAnsi="Arial" w:cs="Arial"/>
                <w:b/>
                <w:bCs/>
                <w:color w:val="000000"/>
                <w:sz w:val="18"/>
                <w:szCs w:val="18"/>
              </w:rPr>
              <w:t> </w:t>
            </w:r>
          </w:p>
        </w:tc>
        <w:tc>
          <w:tcPr>
            <w:tcW w:w="1274" w:type="dxa"/>
            <w:gridSpan w:val="2"/>
            <w:tcBorders>
              <w:top w:val="nil"/>
              <w:left w:val="single" w:sz="4" w:space="0" w:color="auto"/>
              <w:bottom w:val="nil"/>
              <w:right w:val="nil"/>
            </w:tcBorders>
            <w:shd w:val="clear" w:color="auto" w:fill="auto"/>
            <w:vAlign w:val="center"/>
            <w:hideMark/>
          </w:tcPr>
          <w:p w14:paraId="7051DABD" w14:textId="77777777" w:rsidR="00225E6D" w:rsidRPr="003D61B6" w:rsidRDefault="00225E6D" w:rsidP="00225E6D">
            <w:pPr>
              <w:rPr>
                <w:rFonts w:ascii="Arial" w:hAnsi="Arial" w:cs="Arial"/>
                <w:color w:val="000000"/>
                <w:sz w:val="18"/>
                <w:szCs w:val="18"/>
              </w:rPr>
            </w:pPr>
            <w:r w:rsidRPr="003D61B6">
              <w:rPr>
                <w:rFonts w:ascii="Arial" w:hAnsi="Arial" w:cs="Arial"/>
                <w:color w:val="000000"/>
                <w:sz w:val="18"/>
                <w:szCs w:val="18"/>
              </w:rPr>
              <w:t> </w:t>
            </w:r>
          </w:p>
        </w:tc>
        <w:tc>
          <w:tcPr>
            <w:tcW w:w="6303" w:type="dxa"/>
            <w:tcBorders>
              <w:top w:val="nil"/>
              <w:left w:val="nil"/>
              <w:bottom w:val="nil"/>
              <w:right w:val="nil"/>
            </w:tcBorders>
            <w:shd w:val="clear" w:color="auto" w:fill="auto"/>
            <w:vAlign w:val="center"/>
            <w:hideMark/>
          </w:tcPr>
          <w:p w14:paraId="0F4184CA" w14:textId="77777777" w:rsidR="00225E6D" w:rsidRPr="003D61B6" w:rsidRDefault="00225E6D" w:rsidP="00225E6D">
            <w:pPr>
              <w:rPr>
                <w:rFonts w:ascii="Arial" w:hAnsi="Arial" w:cs="Arial"/>
                <w:color w:val="000000"/>
                <w:sz w:val="18"/>
                <w:szCs w:val="18"/>
              </w:rPr>
            </w:pPr>
          </w:p>
        </w:tc>
        <w:tc>
          <w:tcPr>
            <w:tcW w:w="1170" w:type="dxa"/>
            <w:tcBorders>
              <w:top w:val="nil"/>
              <w:left w:val="single" w:sz="4" w:space="0" w:color="auto"/>
              <w:bottom w:val="single" w:sz="4" w:space="0" w:color="auto"/>
              <w:right w:val="single" w:sz="4" w:space="0" w:color="auto"/>
            </w:tcBorders>
            <w:shd w:val="clear" w:color="000000" w:fill="F2F2F2"/>
            <w:noWrap/>
            <w:vAlign w:val="center"/>
            <w:hideMark/>
          </w:tcPr>
          <w:p w14:paraId="5F90043C" w14:textId="77777777" w:rsidR="00225E6D" w:rsidRPr="003D61B6" w:rsidRDefault="00225E6D" w:rsidP="00225E6D">
            <w:pPr>
              <w:rPr>
                <w:rFonts w:ascii="Arial" w:hAnsi="Arial" w:cs="Arial"/>
                <w:color w:val="000000"/>
                <w:sz w:val="20"/>
                <w:szCs w:val="20"/>
              </w:rPr>
            </w:pPr>
            <w:r w:rsidRPr="003D61B6">
              <w:rPr>
                <w:rFonts w:ascii="Arial" w:hAnsi="Arial" w:cs="Arial"/>
                <w:color w:val="000000"/>
                <w:sz w:val="20"/>
                <w:szCs w:val="20"/>
              </w:rPr>
              <w:t>ALL</w:t>
            </w:r>
          </w:p>
        </w:tc>
        <w:tc>
          <w:tcPr>
            <w:tcW w:w="980" w:type="dxa"/>
            <w:tcBorders>
              <w:top w:val="nil"/>
              <w:left w:val="nil"/>
              <w:bottom w:val="single" w:sz="4" w:space="0" w:color="auto"/>
              <w:right w:val="single" w:sz="4" w:space="0" w:color="auto"/>
            </w:tcBorders>
            <w:shd w:val="clear" w:color="000000" w:fill="F2F2F2"/>
            <w:noWrap/>
            <w:vAlign w:val="center"/>
            <w:hideMark/>
          </w:tcPr>
          <w:p w14:paraId="32FF5D3F"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3393</w:t>
            </w:r>
          </w:p>
        </w:tc>
        <w:tc>
          <w:tcPr>
            <w:tcW w:w="1067" w:type="dxa"/>
            <w:gridSpan w:val="2"/>
            <w:tcBorders>
              <w:top w:val="nil"/>
              <w:left w:val="nil"/>
              <w:bottom w:val="single" w:sz="4" w:space="0" w:color="auto"/>
              <w:right w:val="single" w:sz="4" w:space="0" w:color="auto"/>
            </w:tcBorders>
            <w:shd w:val="clear" w:color="000000" w:fill="F2F2F2"/>
            <w:noWrap/>
            <w:vAlign w:val="center"/>
            <w:hideMark/>
          </w:tcPr>
          <w:p w14:paraId="09A8FF80"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51.68005</w:t>
            </w:r>
          </w:p>
        </w:tc>
        <w:tc>
          <w:tcPr>
            <w:tcW w:w="960" w:type="dxa"/>
            <w:gridSpan w:val="2"/>
            <w:tcBorders>
              <w:top w:val="nil"/>
              <w:left w:val="nil"/>
              <w:bottom w:val="single" w:sz="4" w:space="0" w:color="auto"/>
              <w:right w:val="single" w:sz="4" w:space="0" w:color="auto"/>
            </w:tcBorders>
            <w:shd w:val="clear" w:color="000000" w:fill="F2F2F2"/>
            <w:noWrap/>
            <w:vAlign w:val="center"/>
            <w:hideMark/>
          </w:tcPr>
          <w:p w14:paraId="335E7B29"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175,350</w:t>
            </w:r>
          </w:p>
        </w:tc>
        <w:tc>
          <w:tcPr>
            <w:tcW w:w="967" w:type="dxa"/>
            <w:gridSpan w:val="3"/>
            <w:tcBorders>
              <w:top w:val="nil"/>
              <w:left w:val="nil"/>
              <w:bottom w:val="single" w:sz="4" w:space="0" w:color="auto"/>
              <w:right w:val="single" w:sz="4" w:space="0" w:color="auto"/>
            </w:tcBorders>
            <w:shd w:val="clear" w:color="000000" w:fill="F2F2F2"/>
            <w:noWrap/>
            <w:vAlign w:val="center"/>
            <w:hideMark/>
          </w:tcPr>
          <w:p w14:paraId="4AA7AD6F"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0.30772</w:t>
            </w:r>
          </w:p>
        </w:tc>
        <w:tc>
          <w:tcPr>
            <w:tcW w:w="1221" w:type="dxa"/>
            <w:gridSpan w:val="2"/>
            <w:tcBorders>
              <w:top w:val="nil"/>
              <w:left w:val="nil"/>
              <w:bottom w:val="single" w:sz="4" w:space="0" w:color="auto"/>
              <w:right w:val="single" w:sz="4" w:space="0" w:color="auto"/>
            </w:tcBorders>
            <w:shd w:val="clear" w:color="000000" w:fill="F2F2F2"/>
            <w:vAlign w:val="center"/>
            <w:hideMark/>
          </w:tcPr>
          <w:p w14:paraId="1DB5577D" w14:textId="77777777" w:rsidR="00225E6D" w:rsidRPr="003D61B6" w:rsidRDefault="00225E6D" w:rsidP="00225E6D">
            <w:pPr>
              <w:jc w:val="right"/>
              <w:rPr>
                <w:rFonts w:ascii="Arial" w:hAnsi="Arial" w:cs="Arial"/>
                <w:color w:val="000000"/>
                <w:sz w:val="20"/>
                <w:szCs w:val="20"/>
              </w:rPr>
            </w:pPr>
            <w:r w:rsidRPr="003D61B6">
              <w:rPr>
                <w:rFonts w:ascii="Arial" w:hAnsi="Arial" w:cs="Arial"/>
                <w:color w:val="000000"/>
                <w:sz w:val="20"/>
                <w:szCs w:val="20"/>
              </w:rPr>
              <w:t>53,959</w:t>
            </w:r>
          </w:p>
        </w:tc>
      </w:tr>
      <w:tr w:rsidR="00225E6D" w:rsidRPr="003D61B6" w14:paraId="59B4BEFC" w14:textId="77777777" w:rsidTr="00B90E17">
        <w:trPr>
          <w:trHeight w:val="630"/>
        </w:trPr>
        <w:tc>
          <w:tcPr>
            <w:tcW w:w="428" w:type="dxa"/>
            <w:tcBorders>
              <w:bottom w:val="nil"/>
              <w:right w:val="single" w:sz="4" w:space="0" w:color="auto"/>
            </w:tcBorders>
            <w:shd w:val="clear" w:color="auto" w:fill="auto"/>
            <w:vAlign w:val="center"/>
            <w:hideMark/>
          </w:tcPr>
          <w:p w14:paraId="3FF13F76" w14:textId="77777777" w:rsidR="00225E6D" w:rsidRPr="003D61B6" w:rsidRDefault="00225E6D" w:rsidP="00225E6D">
            <w:pPr>
              <w:rPr>
                <w:rFonts w:ascii="Arial" w:hAnsi="Arial" w:cs="Arial"/>
                <w:b/>
                <w:bCs/>
                <w:color w:val="000000"/>
                <w:sz w:val="18"/>
                <w:szCs w:val="18"/>
              </w:rPr>
            </w:pPr>
            <w:r w:rsidRPr="003D61B6">
              <w:rPr>
                <w:rFonts w:ascii="Arial" w:hAnsi="Arial" w:cs="Arial"/>
                <w:b/>
                <w:bCs/>
                <w:color w:val="000000"/>
                <w:sz w:val="18"/>
                <w:szCs w:val="18"/>
              </w:rPr>
              <w:t> </w:t>
            </w:r>
          </w:p>
        </w:tc>
        <w:tc>
          <w:tcPr>
            <w:tcW w:w="12761" w:type="dxa"/>
            <w:gridSpan w:val="13"/>
            <w:tcBorders>
              <w:top w:val="nil"/>
              <w:left w:val="single" w:sz="4" w:space="0" w:color="auto"/>
              <w:bottom w:val="single" w:sz="8" w:space="0" w:color="auto"/>
              <w:right w:val="single" w:sz="8" w:space="0" w:color="000000"/>
            </w:tcBorders>
            <w:shd w:val="clear" w:color="auto" w:fill="auto"/>
            <w:vAlign w:val="center"/>
            <w:hideMark/>
          </w:tcPr>
          <w:p w14:paraId="251C6BB5" w14:textId="77777777" w:rsidR="00225E6D" w:rsidRPr="00B90E17" w:rsidRDefault="00225E6D" w:rsidP="00225E6D">
            <w:pPr>
              <w:jc w:val="right"/>
              <w:rPr>
                <w:rFonts w:ascii="Arial" w:hAnsi="Arial" w:cs="Arial"/>
                <w:b/>
                <w:bCs/>
                <w:color w:val="000000"/>
                <w:sz w:val="18"/>
                <w:szCs w:val="18"/>
              </w:rPr>
            </w:pPr>
            <w:r w:rsidRPr="00B90E17">
              <w:rPr>
                <w:rFonts w:ascii="Arial" w:hAnsi="Arial" w:cs="Arial"/>
                <w:b/>
                <w:bCs/>
                <w:color w:val="000000"/>
                <w:sz w:val="18"/>
                <w:szCs w:val="18"/>
              </w:rPr>
              <w:t>Burden Requested - Subpart B</w:t>
            </w:r>
          </w:p>
        </w:tc>
        <w:tc>
          <w:tcPr>
            <w:tcW w:w="1227" w:type="dxa"/>
            <w:gridSpan w:val="2"/>
            <w:tcBorders>
              <w:top w:val="nil"/>
              <w:left w:val="nil"/>
              <w:bottom w:val="single" w:sz="8" w:space="0" w:color="auto"/>
              <w:right w:val="single" w:sz="4" w:space="0" w:color="auto"/>
            </w:tcBorders>
            <w:shd w:val="clear" w:color="auto" w:fill="auto"/>
            <w:vAlign w:val="center"/>
            <w:hideMark/>
          </w:tcPr>
          <w:p w14:paraId="4E5CD06D" w14:textId="77777777" w:rsidR="00225E6D" w:rsidRPr="00B90E17" w:rsidRDefault="00225E6D" w:rsidP="00225E6D">
            <w:pPr>
              <w:jc w:val="right"/>
              <w:rPr>
                <w:rFonts w:ascii="Arial" w:hAnsi="Arial" w:cs="Arial"/>
                <w:b/>
                <w:bCs/>
                <w:color w:val="000000"/>
                <w:sz w:val="18"/>
                <w:szCs w:val="18"/>
              </w:rPr>
            </w:pPr>
            <w:r w:rsidRPr="00B90E17">
              <w:rPr>
                <w:rFonts w:ascii="Arial" w:hAnsi="Arial" w:cs="Arial"/>
                <w:b/>
                <w:bCs/>
                <w:color w:val="000000"/>
                <w:sz w:val="18"/>
                <w:szCs w:val="18"/>
              </w:rPr>
              <w:t>295</w:t>
            </w:r>
          </w:p>
        </w:tc>
      </w:tr>
      <w:tr w:rsidR="00225E6D" w:rsidRPr="003D61B6" w14:paraId="14259CED" w14:textId="77777777" w:rsidTr="00B90E17">
        <w:trPr>
          <w:trHeight w:val="480"/>
        </w:trPr>
        <w:tc>
          <w:tcPr>
            <w:tcW w:w="428" w:type="dxa"/>
            <w:tcBorders>
              <w:top w:val="nil"/>
              <w:bottom w:val="nil"/>
              <w:right w:val="single" w:sz="4" w:space="0" w:color="auto"/>
            </w:tcBorders>
            <w:shd w:val="clear" w:color="auto" w:fill="auto"/>
            <w:vAlign w:val="center"/>
            <w:hideMark/>
          </w:tcPr>
          <w:p w14:paraId="060FBE24" w14:textId="77777777" w:rsidR="00225E6D" w:rsidRPr="003D61B6" w:rsidRDefault="00225E6D" w:rsidP="00225E6D">
            <w:pPr>
              <w:jc w:val="right"/>
              <w:rPr>
                <w:rFonts w:ascii="Arial" w:hAnsi="Arial" w:cs="Arial"/>
                <w:b/>
                <w:bCs/>
                <w:color w:val="000000"/>
                <w:sz w:val="18"/>
                <w:szCs w:val="18"/>
              </w:rPr>
            </w:pPr>
            <w:r w:rsidRPr="003D61B6">
              <w:rPr>
                <w:rFonts w:ascii="Arial" w:hAnsi="Arial" w:cs="Arial"/>
                <w:b/>
                <w:bCs/>
                <w:color w:val="000000"/>
                <w:sz w:val="18"/>
                <w:szCs w:val="18"/>
              </w:rPr>
              <w:t> </w:t>
            </w:r>
          </w:p>
        </w:tc>
        <w:tc>
          <w:tcPr>
            <w:tcW w:w="12761" w:type="dxa"/>
            <w:gridSpan w:val="13"/>
            <w:tcBorders>
              <w:top w:val="single" w:sz="8" w:space="0" w:color="auto"/>
              <w:left w:val="single" w:sz="4" w:space="0" w:color="auto"/>
              <w:bottom w:val="single" w:sz="8" w:space="0" w:color="auto"/>
              <w:right w:val="single" w:sz="8" w:space="0" w:color="000000"/>
            </w:tcBorders>
            <w:shd w:val="clear" w:color="auto" w:fill="auto"/>
            <w:vAlign w:val="center"/>
            <w:hideMark/>
          </w:tcPr>
          <w:p w14:paraId="24FE1078" w14:textId="77777777" w:rsidR="00225E6D" w:rsidRPr="00B90E17" w:rsidRDefault="00225E6D" w:rsidP="00225E6D">
            <w:pPr>
              <w:jc w:val="right"/>
              <w:rPr>
                <w:rFonts w:ascii="Arial" w:hAnsi="Arial" w:cs="Arial"/>
                <w:color w:val="000000"/>
                <w:sz w:val="18"/>
                <w:szCs w:val="18"/>
              </w:rPr>
            </w:pPr>
            <w:r w:rsidRPr="00B90E17">
              <w:rPr>
                <w:rFonts w:ascii="Arial" w:hAnsi="Arial" w:cs="Arial"/>
                <w:color w:val="000000"/>
                <w:sz w:val="18"/>
                <w:szCs w:val="18"/>
              </w:rPr>
              <w:t>Previously Approved Burden</w:t>
            </w:r>
          </w:p>
        </w:tc>
        <w:tc>
          <w:tcPr>
            <w:tcW w:w="1227" w:type="dxa"/>
            <w:gridSpan w:val="2"/>
            <w:tcBorders>
              <w:top w:val="nil"/>
              <w:left w:val="nil"/>
              <w:bottom w:val="single" w:sz="8" w:space="0" w:color="auto"/>
              <w:right w:val="single" w:sz="4" w:space="0" w:color="auto"/>
            </w:tcBorders>
            <w:shd w:val="clear" w:color="000000" w:fill="E2EFDA"/>
            <w:vAlign w:val="center"/>
            <w:hideMark/>
          </w:tcPr>
          <w:p w14:paraId="41CA9792" w14:textId="77777777" w:rsidR="00225E6D" w:rsidRPr="00B90E17" w:rsidRDefault="00225E6D" w:rsidP="00225E6D">
            <w:pPr>
              <w:jc w:val="right"/>
              <w:rPr>
                <w:rFonts w:ascii="Arial" w:hAnsi="Arial" w:cs="Arial"/>
                <w:color w:val="000000"/>
                <w:sz w:val="18"/>
                <w:szCs w:val="18"/>
              </w:rPr>
            </w:pPr>
            <w:r w:rsidRPr="00B90E17">
              <w:rPr>
                <w:rFonts w:ascii="Arial" w:hAnsi="Arial" w:cs="Arial"/>
                <w:color w:val="000000"/>
                <w:sz w:val="18"/>
                <w:szCs w:val="18"/>
              </w:rPr>
              <w:t>7,119</w:t>
            </w:r>
          </w:p>
        </w:tc>
      </w:tr>
      <w:tr w:rsidR="00225E6D" w:rsidRPr="003D61B6" w14:paraId="66005E13" w14:textId="77777777" w:rsidTr="00B90E17">
        <w:trPr>
          <w:trHeight w:val="480"/>
        </w:trPr>
        <w:tc>
          <w:tcPr>
            <w:tcW w:w="428" w:type="dxa"/>
            <w:tcBorders>
              <w:top w:val="nil"/>
              <w:right w:val="single" w:sz="4" w:space="0" w:color="auto"/>
            </w:tcBorders>
            <w:shd w:val="clear" w:color="auto" w:fill="auto"/>
            <w:vAlign w:val="center"/>
            <w:hideMark/>
          </w:tcPr>
          <w:p w14:paraId="0201DE42" w14:textId="77777777" w:rsidR="00225E6D" w:rsidRPr="003D61B6" w:rsidRDefault="00225E6D" w:rsidP="00225E6D">
            <w:pPr>
              <w:jc w:val="right"/>
              <w:rPr>
                <w:rFonts w:ascii="Arial" w:hAnsi="Arial" w:cs="Arial"/>
                <w:b/>
                <w:bCs/>
                <w:color w:val="000000"/>
                <w:sz w:val="18"/>
                <w:szCs w:val="18"/>
              </w:rPr>
            </w:pPr>
            <w:r w:rsidRPr="003D61B6">
              <w:rPr>
                <w:rFonts w:ascii="Arial" w:hAnsi="Arial" w:cs="Arial"/>
                <w:b/>
                <w:bCs/>
                <w:color w:val="000000"/>
                <w:sz w:val="18"/>
                <w:szCs w:val="18"/>
              </w:rPr>
              <w:t> </w:t>
            </w:r>
          </w:p>
        </w:tc>
        <w:tc>
          <w:tcPr>
            <w:tcW w:w="12761" w:type="dxa"/>
            <w:gridSpan w:val="13"/>
            <w:tcBorders>
              <w:top w:val="single" w:sz="8" w:space="0" w:color="auto"/>
              <w:left w:val="single" w:sz="4" w:space="0" w:color="auto"/>
              <w:bottom w:val="single" w:sz="8" w:space="0" w:color="auto"/>
              <w:right w:val="single" w:sz="8" w:space="0" w:color="000000"/>
            </w:tcBorders>
            <w:shd w:val="clear" w:color="auto" w:fill="auto"/>
            <w:vAlign w:val="center"/>
            <w:hideMark/>
          </w:tcPr>
          <w:p w14:paraId="1CB83942" w14:textId="77777777" w:rsidR="00225E6D" w:rsidRPr="00B90E17" w:rsidRDefault="00225E6D" w:rsidP="00225E6D">
            <w:pPr>
              <w:jc w:val="right"/>
              <w:rPr>
                <w:rFonts w:ascii="Arial" w:hAnsi="Arial" w:cs="Arial"/>
                <w:color w:val="000000"/>
                <w:sz w:val="18"/>
                <w:szCs w:val="18"/>
              </w:rPr>
            </w:pPr>
            <w:r w:rsidRPr="00B90E17">
              <w:rPr>
                <w:rFonts w:ascii="Arial" w:hAnsi="Arial" w:cs="Arial"/>
                <w:color w:val="000000"/>
                <w:sz w:val="18"/>
                <w:szCs w:val="18"/>
              </w:rPr>
              <w:t>Adjustment</w:t>
            </w:r>
          </w:p>
        </w:tc>
        <w:tc>
          <w:tcPr>
            <w:tcW w:w="1227" w:type="dxa"/>
            <w:gridSpan w:val="2"/>
            <w:tcBorders>
              <w:top w:val="nil"/>
              <w:left w:val="nil"/>
              <w:bottom w:val="single" w:sz="8" w:space="0" w:color="auto"/>
              <w:right w:val="single" w:sz="4" w:space="0" w:color="auto"/>
            </w:tcBorders>
            <w:shd w:val="clear" w:color="000000" w:fill="FFF2CC"/>
            <w:vAlign w:val="center"/>
            <w:hideMark/>
          </w:tcPr>
          <w:p w14:paraId="6279640E" w14:textId="77777777" w:rsidR="00225E6D" w:rsidRPr="00B90E17" w:rsidRDefault="00225E6D" w:rsidP="00225E6D">
            <w:pPr>
              <w:jc w:val="right"/>
              <w:rPr>
                <w:rFonts w:ascii="Arial" w:hAnsi="Arial" w:cs="Arial"/>
                <w:color w:val="000000"/>
                <w:sz w:val="18"/>
                <w:szCs w:val="18"/>
              </w:rPr>
            </w:pPr>
            <w:r w:rsidRPr="00B90E17">
              <w:rPr>
                <w:rFonts w:ascii="Arial" w:hAnsi="Arial" w:cs="Arial"/>
                <w:color w:val="000000"/>
                <w:sz w:val="18"/>
                <w:szCs w:val="18"/>
              </w:rPr>
              <w:t>-6,824</w:t>
            </w:r>
          </w:p>
        </w:tc>
      </w:tr>
      <w:tr w:rsidR="00225E6D" w:rsidRPr="003D61B6" w14:paraId="180B94E3" w14:textId="77777777" w:rsidTr="00B90E17">
        <w:trPr>
          <w:trHeight w:val="645"/>
        </w:trPr>
        <w:tc>
          <w:tcPr>
            <w:tcW w:w="13189" w:type="dxa"/>
            <w:gridSpan w:val="14"/>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3725FBCF" w14:textId="77777777" w:rsidR="00225E6D" w:rsidRPr="00B90E17" w:rsidRDefault="00225E6D" w:rsidP="00225E6D">
            <w:pPr>
              <w:jc w:val="right"/>
              <w:rPr>
                <w:rFonts w:ascii="Arial" w:hAnsi="Arial" w:cs="Arial"/>
                <w:b/>
                <w:bCs/>
                <w:color w:val="000000"/>
                <w:sz w:val="18"/>
                <w:szCs w:val="18"/>
              </w:rPr>
            </w:pPr>
            <w:r w:rsidRPr="00B90E17">
              <w:rPr>
                <w:rFonts w:ascii="Arial" w:hAnsi="Arial" w:cs="Arial"/>
                <w:b/>
                <w:bCs/>
                <w:color w:val="000000"/>
                <w:sz w:val="18"/>
                <w:szCs w:val="18"/>
              </w:rPr>
              <w:t>Total Burden - Part 703</w:t>
            </w:r>
          </w:p>
        </w:tc>
        <w:tc>
          <w:tcPr>
            <w:tcW w:w="1227" w:type="dxa"/>
            <w:gridSpan w:val="2"/>
            <w:tcBorders>
              <w:top w:val="nil"/>
              <w:left w:val="nil"/>
              <w:bottom w:val="single" w:sz="8" w:space="0" w:color="auto"/>
              <w:right w:val="single" w:sz="4" w:space="0" w:color="auto"/>
            </w:tcBorders>
            <w:shd w:val="clear" w:color="000000" w:fill="FFFF00"/>
            <w:noWrap/>
            <w:vAlign w:val="center"/>
            <w:hideMark/>
          </w:tcPr>
          <w:p w14:paraId="473A062C" w14:textId="77777777" w:rsidR="00225E6D" w:rsidRPr="00B90E17" w:rsidRDefault="00225E6D" w:rsidP="00225E6D">
            <w:pPr>
              <w:jc w:val="right"/>
              <w:rPr>
                <w:rFonts w:ascii="Arial" w:hAnsi="Arial" w:cs="Arial"/>
                <w:b/>
                <w:bCs/>
                <w:color w:val="000000"/>
                <w:sz w:val="18"/>
                <w:szCs w:val="18"/>
              </w:rPr>
            </w:pPr>
            <w:r w:rsidRPr="00B90E17">
              <w:rPr>
                <w:rFonts w:ascii="Arial" w:hAnsi="Arial" w:cs="Arial"/>
                <w:b/>
                <w:bCs/>
                <w:color w:val="000000"/>
                <w:sz w:val="18"/>
                <w:szCs w:val="18"/>
              </w:rPr>
              <w:t>53,958</w:t>
            </w:r>
          </w:p>
        </w:tc>
      </w:tr>
    </w:tbl>
    <w:p w14:paraId="0F5B8636" w14:textId="77777777" w:rsidR="00225E6D" w:rsidRDefault="00225E6D" w:rsidP="00225E6D"/>
    <w:p w14:paraId="1E9C7937" w14:textId="67ED2B0B" w:rsidR="00422D63" w:rsidRDefault="00422D63">
      <w:pPr>
        <w:spacing w:after="200" w:line="276" w:lineRule="auto"/>
      </w:pPr>
    </w:p>
    <w:p w14:paraId="084C4F5F" w14:textId="77777777" w:rsidR="00B90E17" w:rsidRDefault="00B90E17">
      <w:pPr>
        <w:spacing w:after="200" w:line="276" w:lineRule="auto"/>
      </w:pPr>
      <w:r>
        <w:br w:type="page"/>
      </w:r>
    </w:p>
    <w:p w14:paraId="294B83DA" w14:textId="77777777" w:rsidR="00B90E17" w:rsidRDefault="00B90E17" w:rsidP="00422D63">
      <w:pPr>
        <w:tabs>
          <w:tab w:val="left" w:pos="3529"/>
        </w:tabs>
        <w:spacing w:after="200" w:line="276" w:lineRule="auto"/>
        <w:sectPr w:rsidR="00B90E17" w:rsidSect="00225E6D">
          <w:pgSz w:w="15840" w:h="12240" w:orient="landscape"/>
          <w:pgMar w:top="720" w:right="720" w:bottom="720" w:left="720" w:header="720" w:footer="432" w:gutter="0"/>
          <w:cols w:space="720"/>
          <w:docGrid w:linePitch="360"/>
        </w:sectPr>
      </w:pPr>
    </w:p>
    <w:p w14:paraId="701C5CDA" w14:textId="195A5E19" w:rsidR="006B5D0A" w:rsidRDefault="00B90E17" w:rsidP="00097CA6">
      <w:pPr>
        <w:pStyle w:val="ListParagraph"/>
        <w:tabs>
          <w:tab w:val="left" w:pos="720"/>
        </w:tabs>
      </w:pPr>
      <w:r>
        <w:t>Based on the labor rate of $35 per hour, the total cost to respondents is $1,888,530.</w:t>
      </w:r>
      <w:r w:rsidR="006B5D0A">
        <w:t xml:space="preserve">  </w:t>
      </w:r>
    </w:p>
    <w:p w14:paraId="1077E010" w14:textId="48C47577" w:rsidR="00714736" w:rsidRDefault="00714736" w:rsidP="00714736">
      <w:pPr>
        <w:pStyle w:val="ListParagraph"/>
        <w:ind w:left="0"/>
      </w:pPr>
    </w:p>
    <w:p w14:paraId="00A61A03" w14:textId="5F55010B" w:rsidR="00C46374" w:rsidRPr="00C46374" w:rsidRDefault="00C46374" w:rsidP="00C46374">
      <w:pPr>
        <w:pStyle w:val="ListParagraph"/>
        <w:numPr>
          <w:ilvl w:val="0"/>
          <w:numId w:val="3"/>
        </w:numPr>
        <w:ind w:left="720" w:hanging="720"/>
        <w:rPr>
          <w:b/>
        </w:rPr>
      </w:pPr>
      <w:r w:rsidRPr="00C46374">
        <w:rPr>
          <w:b/>
        </w:rPr>
        <w:t>Capital start-up or on-going operation and maintenance costs.</w:t>
      </w:r>
    </w:p>
    <w:p w14:paraId="0DDB5BC1" w14:textId="77777777" w:rsidR="00C46374" w:rsidRPr="00753B95" w:rsidRDefault="00C46374" w:rsidP="00C46374">
      <w:pPr>
        <w:tabs>
          <w:tab w:val="left" w:pos="720"/>
        </w:tabs>
        <w:ind w:left="720"/>
      </w:pPr>
      <w:r>
        <w:t>There are no capital start-up or maintenance costs.</w:t>
      </w:r>
    </w:p>
    <w:p w14:paraId="7FAFD0DA" w14:textId="77777777" w:rsidR="009A5F24" w:rsidRDefault="009A5F24" w:rsidP="009A5F24">
      <w:pPr>
        <w:pStyle w:val="ListParagraph"/>
        <w:tabs>
          <w:tab w:val="left" w:pos="-720"/>
          <w:tab w:val="left" w:pos="286"/>
          <w:tab w:val="left" w:pos="403"/>
        </w:tabs>
        <w:suppressAutoHyphens/>
      </w:pPr>
    </w:p>
    <w:p w14:paraId="3CABC926" w14:textId="77777777" w:rsidR="003A0D60" w:rsidRDefault="003A0D60" w:rsidP="009A5F24">
      <w:pPr>
        <w:pStyle w:val="ListParagraph"/>
        <w:numPr>
          <w:ilvl w:val="0"/>
          <w:numId w:val="3"/>
        </w:numPr>
        <w:tabs>
          <w:tab w:val="left" w:pos="720"/>
        </w:tabs>
        <w:ind w:left="720" w:hanging="720"/>
        <w:rPr>
          <w:b/>
        </w:rPr>
      </w:pPr>
      <w:r w:rsidRPr="008F2C6B">
        <w:rPr>
          <w:b/>
        </w:rPr>
        <w:t>Costs to Federal Government</w:t>
      </w:r>
    </w:p>
    <w:p w14:paraId="76957A67" w14:textId="79B5551C" w:rsidR="00CF1D40" w:rsidRPr="00B90E17" w:rsidRDefault="009A5F24" w:rsidP="00B90E17">
      <w:pPr>
        <w:pStyle w:val="ListParagraph"/>
        <w:tabs>
          <w:tab w:val="left" w:pos="720"/>
        </w:tabs>
        <w:ind w:hanging="720"/>
      </w:pPr>
      <w:r>
        <w:tab/>
      </w:r>
      <w:r w:rsidR="00B77BE0" w:rsidRPr="00B77BE0">
        <w:t xml:space="preserve">Most items are reviewed by an NCUA examiner as part of the normal examination process. </w:t>
      </w:r>
      <w:r w:rsidR="00FD0986">
        <w:t xml:space="preserve"> </w:t>
      </w:r>
      <w:r w:rsidR="00B77BE0" w:rsidRPr="00B77BE0">
        <w:t xml:space="preserve">However, </w:t>
      </w:r>
      <w:r w:rsidR="00B77BE0">
        <w:t xml:space="preserve">additional costs </w:t>
      </w:r>
      <w:r w:rsidR="00CF1D40">
        <w:t xml:space="preserve">for Subpart A and B is </w:t>
      </w:r>
      <w:r w:rsidR="00B90E17">
        <w:t xml:space="preserve">estimated at </w:t>
      </w:r>
      <w:r w:rsidR="00CF1D40">
        <w:t>$283,444.</w:t>
      </w:r>
    </w:p>
    <w:p w14:paraId="5F85C2AB" w14:textId="77777777" w:rsidR="003A0D60" w:rsidRPr="008F2C6B" w:rsidRDefault="003A0D60" w:rsidP="0040203A">
      <w:pPr>
        <w:tabs>
          <w:tab w:val="left" w:pos="720"/>
        </w:tabs>
        <w:suppressAutoHyphens/>
        <w:ind w:left="720" w:hanging="720"/>
      </w:pPr>
    </w:p>
    <w:p w14:paraId="298A00B3" w14:textId="77777777" w:rsidR="003A0D60" w:rsidRPr="008F2C6B" w:rsidRDefault="003A0D60" w:rsidP="0040203A">
      <w:pPr>
        <w:pStyle w:val="ListParagraph"/>
        <w:numPr>
          <w:ilvl w:val="0"/>
          <w:numId w:val="3"/>
        </w:numPr>
        <w:tabs>
          <w:tab w:val="left" w:pos="720"/>
        </w:tabs>
        <w:ind w:left="720" w:hanging="720"/>
        <w:rPr>
          <w:b/>
        </w:rPr>
      </w:pPr>
      <w:r w:rsidRPr="008F2C6B">
        <w:rPr>
          <w:b/>
        </w:rPr>
        <w:t>Changes in Burden</w:t>
      </w:r>
    </w:p>
    <w:p w14:paraId="2E49A00E" w14:textId="59EF7BE0" w:rsidR="003A0D60" w:rsidRDefault="0040203A" w:rsidP="0040203A">
      <w:pPr>
        <w:tabs>
          <w:tab w:val="left" w:pos="720"/>
        </w:tabs>
        <w:ind w:left="720" w:hanging="720"/>
      </w:pPr>
      <w:r>
        <w:tab/>
      </w:r>
      <w:r w:rsidR="00B14E41">
        <w:t xml:space="preserve">The number of respondents have decreased </w:t>
      </w:r>
      <w:r w:rsidR="007C596D">
        <w:t>due to an adjustment in the</w:t>
      </w:r>
      <w:r w:rsidR="00B14E41">
        <w:t xml:space="preserve"> number of </w:t>
      </w:r>
      <w:r w:rsidR="00340804">
        <w:t>FCUs</w:t>
      </w:r>
      <w:r w:rsidR="007C596D">
        <w:t xml:space="preserve">, decreasing the </w:t>
      </w:r>
      <w:r w:rsidR="00C26760">
        <w:t xml:space="preserve">total burden and increases in the number of responses are attributed to adjustments to reflect actual program activity.  </w:t>
      </w:r>
      <w:r w:rsidR="00D92173">
        <w:t>A total of 53,95</w:t>
      </w:r>
      <w:r w:rsidR="00476F31">
        <w:t>9 burden hours requested.</w:t>
      </w:r>
    </w:p>
    <w:p w14:paraId="7358C3FA" w14:textId="2154A434" w:rsidR="00B14E41" w:rsidRDefault="00B14E41" w:rsidP="0040203A">
      <w:pPr>
        <w:tabs>
          <w:tab w:val="left" w:pos="720"/>
        </w:tabs>
        <w:ind w:left="720" w:hanging="720"/>
      </w:pPr>
    </w:p>
    <w:p w14:paraId="38E671E0" w14:textId="77777777" w:rsidR="003A0D60" w:rsidRPr="008F2C6B" w:rsidRDefault="003A0D60" w:rsidP="0040203A">
      <w:pPr>
        <w:pStyle w:val="ListParagraph"/>
        <w:numPr>
          <w:ilvl w:val="0"/>
          <w:numId w:val="3"/>
        </w:numPr>
        <w:tabs>
          <w:tab w:val="left" w:pos="720"/>
        </w:tabs>
        <w:ind w:left="720" w:hanging="720"/>
        <w:rPr>
          <w:b/>
        </w:rPr>
      </w:pPr>
      <w:r w:rsidRPr="008F2C6B">
        <w:rPr>
          <w:b/>
        </w:rPr>
        <w:t>Information Collection Planned for Statistical Purposes</w:t>
      </w:r>
    </w:p>
    <w:p w14:paraId="7BAB7942" w14:textId="472C18F6" w:rsidR="003A0D60" w:rsidRPr="008F2C6B" w:rsidRDefault="003A0D60" w:rsidP="0040203A">
      <w:pPr>
        <w:tabs>
          <w:tab w:val="left" w:pos="720"/>
        </w:tabs>
        <w:suppressAutoHyphens/>
        <w:ind w:left="720" w:hanging="720"/>
      </w:pPr>
      <w:r w:rsidRPr="008F2C6B">
        <w:tab/>
        <w:t>The information collection is no</w:t>
      </w:r>
      <w:r w:rsidR="00785CDE">
        <w:t>t used for statistical purposes.</w:t>
      </w:r>
    </w:p>
    <w:p w14:paraId="7C57E5D7" w14:textId="77777777" w:rsidR="003A0D60" w:rsidRPr="008F2C6B" w:rsidRDefault="003A0D60" w:rsidP="0040203A">
      <w:pPr>
        <w:tabs>
          <w:tab w:val="left" w:pos="720"/>
        </w:tabs>
        <w:ind w:left="720" w:hanging="720"/>
      </w:pPr>
    </w:p>
    <w:p w14:paraId="53195587" w14:textId="77777777" w:rsidR="003A0D60" w:rsidRPr="008F2C6B" w:rsidRDefault="003A0D60" w:rsidP="0040203A">
      <w:pPr>
        <w:pStyle w:val="ListParagraph"/>
        <w:keepNext/>
        <w:numPr>
          <w:ilvl w:val="0"/>
          <w:numId w:val="3"/>
        </w:numPr>
        <w:tabs>
          <w:tab w:val="left" w:pos="720"/>
        </w:tabs>
        <w:ind w:left="720" w:hanging="720"/>
        <w:rPr>
          <w:b/>
        </w:rPr>
      </w:pPr>
      <w:r w:rsidRPr="008F2C6B">
        <w:rPr>
          <w:b/>
        </w:rPr>
        <w:t>Approval to Omit OMB Expiration Date</w:t>
      </w:r>
    </w:p>
    <w:p w14:paraId="3A925D1D" w14:textId="45F414A4" w:rsidR="00E53B8C" w:rsidRPr="00E53B8C" w:rsidRDefault="00B7656B" w:rsidP="0040203A">
      <w:pPr>
        <w:tabs>
          <w:tab w:val="left" w:pos="720"/>
        </w:tabs>
        <w:suppressAutoHyphens/>
        <w:ind w:left="720" w:hanging="720"/>
        <w:rPr>
          <w:spacing w:val="-1"/>
        </w:rPr>
      </w:pPr>
      <w:r>
        <w:rPr>
          <w:spacing w:val="-1"/>
        </w:rPr>
        <w:tab/>
        <w:t>The OMB</w:t>
      </w:r>
      <w:r>
        <w:t xml:space="preserve"> </w:t>
      </w:r>
      <w:r>
        <w:rPr>
          <w:spacing w:val="-1"/>
        </w:rPr>
        <w:t>control</w:t>
      </w:r>
      <w:r>
        <w:t xml:space="preserve"> number</w:t>
      </w:r>
      <w:r>
        <w:rPr>
          <w:spacing w:val="-1"/>
        </w:rPr>
        <w:t xml:space="preserve"> and</w:t>
      </w:r>
      <w:r>
        <w:t xml:space="preserve"> </w:t>
      </w:r>
      <w:r>
        <w:rPr>
          <w:spacing w:val="-1"/>
        </w:rPr>
        <w:t>expiration</w:t>
      </w:r>
      <w:r>
        <w:t xml:space="preserve"> </w:t>
      </w:r>
      <w:r>
        <w:rPr>
          <w:spacing w:val="-1"/>
        </w:rPr>
        <w:t>date associated</w:t>
      </w:r>
      <w:r>
        <w:t xml:space="preserve"> </w:t>
      </w:r>
      <w:r>
        <w:rPr>
          <w:spacing w:val="-1"/>
        </w:rPr>
        <w:t>with</w:t>
      </w:r>
      <w:r>
        <w:t xml:space="preserve"> this PRA</w:t>
      </w:r>
      <w:r>
        <w:rPr>
          <w:spacing w:val="-1"/>
        </w:rPr>
        <w:t xml:space="preserve"> </w:t>
      </w:r>
      <w:r>
        <w:t xml:space="preserve">submission </w:t>
      </w:r>
      <w:r>
        <w:rPr>
          <w:spacing w:val="-1"/>
        </w:rPr>
        <w:t>will</w:t>
      </w:r>
      <w:r>
        <w:rPr>
          <w:spacing w:val="77"/>
        </w:rPr>
        <w:t xml:space="preserve"> </w:t>
      </w:r>
      <w:r>
        <w:t>be</w:t>
      </w:r>
      <w:r>
        <w:rPr>
          <w:spacing w:val="-1"/>
        </w:rPr>
        <w:t xml:space="preserve"> displayed</w:t>
      </w:r>
      <w:r>
        <w:t xml:space="preserve"> on the</w:t>
      </w:r>
      <w:r>
        <w:rPr>
          <w:spacing w:val="-1"/>
        </w:rPr>
        <w:t xml:space="preserve"> Federal</w:t>
      </w:r>
      <w:r>
        <w:t xml:space="preserve"> </w:t>
      </w:r>
      <w:r>
        <w:rPr>
          <w:spacing w:val="-1"/>
        </w:rPr>
        <w:t>government’s</w:t>
      </w:r>
      <w:r>
        <w:rPr>
          <w:spacing w:val="2"/>
        </w:rPr>
        <w:t xml:space="preserve"> </w:t>
      </w:r>
      <w:r>
        <w:rPr>
          <w:spacing w:val="-1"/>
        </w:rPr>
        <w:t xml:space="preserve">electronic </w:t>
      </w:r>
      <w:r>
        <w:t>PRA</w:t>
      </w:r>
      <w:r>
        <w:rPr>
          <w:spacing w:val="-1"/>
        </w:rPr>
        <w:t xml:space="preserve"> docket</w:t>
      </w:r>
      <w:r>
        <w:t xml:space="preserve"> </w:t>
      </w:r>
      <w:r>
        <w:rPr>
          <w:spacing w:val="-1"/>
        </w:rPr>
        <w:t>at</w:t>
      </w:r>
      <w:r>
        <w:t xml:space="preserve"> </w:t>
      </w:r>
      <w:hyperlink r:id="rId10" w:history="1">
        <w:r w:rsidR="00E53B8C" w:rsidRPr="00B809E1">
          <w:rPr>
            <w:rStyle w:val="Hyperlink"/>
            <w:spacing w:val="-1"/>
          </w:rPr>
          <w:t>www.reginfo.gov</w:t>
        </w:r>
      </w:hyperlink>
      <w:r w:rsidR="00E53B8C">
        <w:rPr>
          <w:spacing w:val="-1"/>
        </w:rPr>
        <w:t>.</w:t>
      </w:r>
    </w:p>
    <w:p w14:paraId="4BCAD611" w14:textId="77777777" w:rsidR="00B7656B" w:rsidRPr="008F2C6B" w:rsidRDefault="00B7656B" w:rsidP="0040203A">
      <w:pPr>
        <w:tabs>
          <w:tab w:val="left" w:pos="720"/>
        </w:tabs>
        <w:suppressAutoHyphens/>
        <w:ind w:left="720" w:hanging="720"/>
      </w:pPr>
    </w:p>
    <w:p w14:paraId="57A2B681" w14:textId="77777777" w:rsidR="003A0D60" w:rsidRPr="008F2C6B" w:rsidRDefault="003A0D60" w:rsidP="0040203A">
      <w:pPr>
        <w:pStyle w:val="ListParagraph"/>
        <w:numPr>
          <w:ilvl w:val="0"/>
          <w:numId w:val="3"/>
        </w:numPr>
        <w:tabs>
          <w:tab w:val="left" w:pos="720"/>
        </w:tabs>
        <w:ind w:left="720" w:hanging="720"/>
        <w:rPr>
          <w:b/>
        </w:rPr>
      </w:pPr>
      <w:r w:rsidRPr="008F2C6B">
        <w:rPr>
          <w:b/>
        </w:rPr>
        <w:t>Exceptions to Certification for Paperwork Reduction Act Submissions</w:t>
      </w:r>
    </w:p>
    <w:p w14:paraId="184047FC" w14:textId="77777777" w:rsidR="003A0D60" w:rsidRPr="008F2C6B" w:rsidRDefault="00F75B44" w:rsidP="0040203A">
      <w:pPr>
        <w:tabs>
          <w:tab w:val="left" w:pos="720"/>
        </w:tabs>
        <w:suppressAutoHyphens/>
        <w:ind w:left="720" w:hanging="720"/>
      </w:pPr>
      <w:r>
        <w:tab/>
      </w:r>
      <w:r w:rsidR="003A0D60" w:rsidRPr="008F2C6B">
        <w:t>This collection complies with the requirements in 5 CFR 1320.9</w:t>
      </w:r>
      <w:r>
        <w:t>.</w:t>
      </w:r>
    </w:p>
    <w:p w14:paraId="1A86938E" w14:textId="77777777" w:rsidR="0040203A" w:rsidRDefault="0040203A" w:rsidP="0040203A">
      <w:pPr>
        <w:tabs>
          <w:tab w:val="left" w:pos="720"/>
        </w:tabs>
        <w:suppressAutoHyphens/>
        <w:ind w:left="720" w:hanging="720"/>
        <w:rPr>
          <w:caps/>
        </w:rPr>
      </w:pPr>
    </w:p>
    <w:p w14:paraId="3FC8A069" w14:textId="77777777" w:rsidR="00E53B8C" w:rsidRPr="008F2C6B" w:rsidRDefault="00E53B8C" w:rsidP="0040203A">
      <w:pPr>
        <w:tabs>
          <w:tab w:val="left" w:pos="720"/>
        </w:tabs>
        <w:suppressAutoHyphens/>
        <w:ind w:left="720" w:hanging="720"/>
        <w:rPr>
          <w:caps/>
        </w:rPr>
      </w:pPr>
    </w:p>
    <w:p w14:paraId="63EF9E7D" w14:textId="77777777" w:rsidR="003A0D60" w:rsidRPr="008F2C6B" w:rsidRDefault="003A0D60" w:rsidP="0040203A">
      <w:pPr>
        <w:pStyle w:val="ListParagraph"/>
        <w:numPr>
          <w:ilvl w:val="0"/>
          <w:numId w:val="2"/>
        </w:numPr>
        <w:tabs>
          <w:tab w:val="left" w:pos="720"/>
        </w:tabs>
        <w:suppressAutoHyphens/>
        <w:ind w:left="720" w:hanging="720"/>
        <w:rPr>
          <w:b/>
          <w:caps/>
        </w:rPr>
      </w:pPr>
      <w:r w:rsidRPr="008F2C6B">
        <w:rPr>
          <w:b/>
          <w:caps/>
        </w:rPr>
        <w:t>Collections of Information Employing Statistical Methods</w:t>
      </w:r>
    </w:p>
    <w:p w14:paraId="7AA01938" w14:textId="77777777" w:rsidR="003A0D60" w:rsidRPr="008F2C6B" w:rsidRDefault="003A0D60" w:rsidP="0040203A">
      <w:pPr>
        <w:pStyle w:val="ListParagraph"/>
        <w:tabs>
          <w:tab w:val="left" w:pos="-8213"/>
          <w:tab w:val="left" w:pos="-7207"/>
          <w:tab w:val="left" w:pos="-7090"/>
          <w:tab w:val="left" w:pos="-3415"/>
          <w:tab w:val="left" w:pos="-3298"/>
          <w:tab w:val="left" w:pos="-2159"/>
          <w:tab w:val="left" w:pos="-2041"/>
          <w:tab w:val="left" w:pos="720"/>
        </w:tabs>
        <w:suppressAutoHyphens/>
        <w:ind w:hanging="720"/>
      </w:pPr>
    </w:p>
    <w:p w14:paraId="3CB4868A" w14:textId="2496EB5C" w:rsidR="00221200" w:rsidRPr="008F2C6B" w:rsidRDefault="003A0D60" w:rsidP="00E53B8C">
      <w:pPr>
        <w:tabs>
          <w:tab w:val="left" w:pos="-8213"/>
          <w:tab w:val="left" w:pos="-7207"/>
          <w:tab w:val="left" w:pos="-7090"/>
          <w:tab w:val="left" w:pos="-3415"/>
          <w:tab w:val="left" w:pos="-3298"/>
          <w:tab w:val="left" w:pos="-2159"/>
          <w:tab w:val="left" w:pos="-2041"/>
          <w:tab w:val="left" w:pos="720"/>
        </w:tabs>
        <w:suppressAutoHyphens/>
        <w:ind w:left="720" w:hanging="720"/>
      </w:pPr>
      <w:r w:rsidRPr="008F2C6B">
        <w:tab/>
        <w:t>This collection does not</w:t>
      </w:r>
      <w:r w:rsidR="00471714">
        <w:t xml:space="preserve"> involve statistical methods.</w:t>
      </w:r>
    </w:p>
    <w:sectPr w:rsidR="00221200" w:rsidRPr="008F2C6B" w:rsidSect="00B90E1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0AC02" w14:textId="77777777" w:rsidR="00225E6D" w:rsidRDefault="00225E6D" w:rsidP="00F31F02">
      <w:r>
        <w:separator/>
      </w:r>
    </w:p>
  </w:endnote>
  <w:endnote w:type="continuationSeparator" w:id="0">
    <w:p w14:paraId="40CF94D9" w14:textId="77777777" w:rsidR="00225E6D" w:rsidRDefault="00225E6D" w:rsidP="00F3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98286023"/>
      <w:docPartObj>
        <w:docPartGallery w:val="Page Numbers (Bottom of Page)"/>
        <w:docPartUnique/>
      </w:docPartObj>
    </w:sdtPr>
    <w:sdtEndPr>
      <w:rPr>
        <w:noProof/>
      </w:rPr>
    </w:sdtEndPr>
    <w:sdtContent>
      <w:p w14:paraId="48A17E81" w14:textId="38F71FC9" w:rsidR="00225E6D" w:rsidRPr="00225E6D" w:rsidRDefault="00225E6D" w:rsidP="00225E6D">
        <w:pPr>
          <w:pStyle w:val="Footer"/>
          <w:tabs>
            <w:tab w:val="left" w:pos="11970"/>
            <w:tab w:val="left" w:pos="13320"/>
          </w:tabs>
          <w:rPr>
            <w:sz w:val="20"/>
            <w:szCs w:val="20"/>
          </w:rPr>
        </w:pPr>
        <w:r w:rsidRPr="00225E6D">
          <w:rPr>
            <w:i/>
            <w:sz w:val="20"/>
            <w:szCs w:val="20"/>
          </w:rPr>
          <w:t>OMB No. 3133-0133, August 2019</w:t>
        </w:r>
        <w:r w:rsidRPr="00225E6D">
          <w:rPr>
            <w:sz w:val="20"/>
            <w:szCs w:val="20"/>
          </w:rPr>
          <w:tab/>
        </w:r>
        <w:r w:rsidRPr="00225E6D">
          <w:rPr>
            <w:sz w:val="20"/>
            <w:szCs w:val="20"/>
          </w:rPr>
          <w:tab/>
        </w:r>
        <w:r w:rsidRPr="00225E6D">
          <w:rPr>
            <w:sz w:val="20"/>
            <w:szCs w:val="20"/>
          </w:rPr>
          <w:fldChar w:fldCharType="begin"/>
        </w:r>
        <w:r w:rsidRPr="00225E6D">
          <w:rPr>
            <w:sz w:val="20"/>
            <w:szCs w:val="20"/>
          </w:rPr>
          <w:instrText xml:space="preserve"> PAGE   \* MERGEFORMAT </w:instrText>
        </w:r>
        <w:r w:rsidRPr="00225E6D">
          <w:rPr>
            <w:sz w:val="20"/>
            <w:szCs w:val="20"/>
          </w:rPr>
          <w:fldChar w:fldCharType="separate"/>
        </w:r>
        <w:r w:rsidR="007877D4">
          <w:rPr>
            <w:noProof/>
            <w:sz w:val="20"/>
            <w:szCs w:val="20"/>
          </w:rPr>
          <w:t>1</w:t>
        </w:r>
        <w:r w:rsidRPr="00225E6D">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B1F33" w14:textId="77777777" w:rsidR="00225E6D" w:rsidRDefault="00225E6D" w:rsidP="00F31F02">
      <w:r>
        <w:separator/>
      </w:r>
    </w:p>
  </w:footnote>
  <w:footnote w:type="continuationSeparator" w:id="0">
    <w:p w14:paraId="0FCC4A50" w14:textId="77777777" w:rsidR="00225E6D" w:rsidRDefault="00225E6D" w:rsidP="00F31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84FBF"/>
    <w:multiLevelType w:val="hybridMultilevel"/>
    <w:tmpl w:val="5706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B245D"/>
    <w:multiLevelType w:val="hybridMultilevel"/>
    <w:tmpl w:val="8AE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B2D1D"/>
    <w:multiLevelType w:val="hybridMultilevel"/>
    <w:tmpl w:val="D852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22094"/>
    <w:multiLevelType w:val="hybridMultilevel"/>
    <w:tmpl w:val="18A4B89A"/>
    <w:lvl w:ilvl="0" w:tplc="F4C4BB42">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3764CA"/>
    <w:multiLevelType w:val="hybridMultilevel"/>
    <w:tmpl w:val="EC30B0C0"/>
    <w:lvl w:ilvl="0" w:tplc="F4C4BB42">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7170"/>
    <w:multiLevelType w:val="hybridMultilevel"/>
    <w:tmpl w:val="6926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nothing"/>
      <w:lvlText w:val="Appendix %7"/>
      <w:lvlJc w:val="left"/>
      <w:pPr>
        <w:ind w:left="0" w:firstLine="0"/>
      </w:pPr>
      <w:rPr>
        <w:rFonts w:hint="default"/>
        <w:b/>
        <w:i w:val="0"/>
        <w:sz w:val="24"/>
        <w:szCs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nsid w:val="33BD066C"/>
    <w:multiLevelType w:val="hybridMultilevel"/>
    <w:tmpl w:val="168E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2">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4">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C40236"/>
    <w:multiLevelType w:val="hybridMultilevel"/>
    <w:tmpl w:val="07D0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45FD6"/>
    <w:multiLevelType w:val="hybridMultilevel"/>
    <w:tmpl w:val="B5B45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233A35"/>
    <w:multiLevelType w:val="hybridMultilevel"/>
    <w:tmpl w:val="A278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72BF1"/>
    <w:multiLevelType w:val="hybridMultilevel"/>
    <w:tmpl w:val="A310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A36D77"/>
    <w:multiLevelType w:val="hybridMultilevel"/>
    <w:tmpl w:val="6B4C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D412705"/>
    <w:multiLevelType w:val="hybridMultilevel"/>
    <w:tmpl w:val="B3D6CD9A"/>
    <w:lvl w:ilvl="0" w:tplc="D03C0ACA">
      <w:start w:val="1"/>
      <w:numFmt w:val="decimal"/>
      <w:lvlText w:val="%1."/>
      <w:lvlJc w:val="left"/>
      <w:pPr>
        <w:ind w:left="360" w:hanging="360"/>
      </w:pPr>
      <w:rPr>
        <w:rFonts w:hint="default"/>
      </w:rPr>
    </w:lvl>
    <w:lvl w:ilvl="1" w:tplc="1B9CB9E4">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78666D"/>
    <w:multiLevelType w:val="hybridMultilevel"/>
    <w:tmpl w:val="31666352"/>
    <w:lvl w:ilvl="0" w:tplc="3E68A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4733E9"/>
    <w:multiLevelType w:val="hybridMultilevel"/>
    <w:tmpl w:val="6D74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7EC6ACE"/>
    <w:multiLevelType w:val="hybridMultilevel"/>
    <w:tmpl w:val="3F8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F9793E"/>
    <w:multiLevelType w:val="hybridMultilevel"/>
    <w:tmpl w:val="BAE4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3"/>
  </w:num>
  <w:num w:numId="4">
    <w:abstractNumId w:val="6"/>
  </w:num>
  <w:num w:numId="5">
    <w:abstractNumId w:val="0"/>
  </w:num>
  <w:num w:numId="6">
    <w:abstractNumId w:val="13"/>
  </w:num>
  <w:num w:numId="7">
    <w:abstractNumId w:val="11"/>
  </w:num>
  <w:num w:numId="8">
    <w:abstractNumId w:val="5"/>
  </w:num>
  <w:num w:numId="9">
    <w:abstractNumId w:val="18"/>
  </w:num>
  <w:num w:numId="10">
    <w:abstractNumId w:val="22"/>
  </w:num>
  <w:num w:numId="11">
    <w:abstractNumId w:val="21"/>
  </w:num>
  <w:num w:numId="12">
    <w:abstractNumId w:val="7"/>
  </w:num>
  <w:num w:numId="13">
    <w:abstractNumId w:val="4"/>
  </w:num>
  <w:num w:numId="14">
    <w:abstractNumId w:val="25"/>
  </w:num>
  <w:num w:numId="15">
    <w:abstractNumId w:val="9"/>
  </w:num>
  <w:num w:numId="16">
    <w:abstractNumId w:val="1"/>
  </w:num>
  <w:num w:numId="17">
    <w:abstractNumId w:val="8"/>
  </w:num>
  <w:num w:numId="18">
    <w:abstractNumId w:val="15"/>
  </w:num>
  <w:num w:numId="19">
    <w:abstractNumId w:val="26"/>
  </w:num>
  <w:num w:numId="20">
    <w:abstractNumId w:val="10"/>
  </w:num>
  <w:num w:numId="21">
    <w:abstractNumId w:val="17"/>
  </w:num>
  <w:num w:numId="22">
    <w:abstractNumId w:val="3"/>
  </w:num>
  <w:num w:numId="23">
    <w:abstractNumId w:val="19"/>
  </w:num>
  <w:num w:numId="24">
    <w:abstractNumId w:val="27"/>
  </w:num>
  <w:num w:numId="25">
    <w:abstractNumId w:val="24"/>
  </w:num>
  <w:num w:numId="26">
    <w:abstractNumId w:val="2"/>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1143E"/>
    <w:rsid w:val="00025CF5"/>
    <w:rsid w:val="00072304"/>
    <w:rsid w:val="00074B9D"/>
    <w:rsid w:val="00097CA6"/>
    <w:rsid w:val="000B50CC"/>
    <w:rsid w:val="00112078"/>
    <w:rsid w:val="00126DA3"/>
    <w:rsid w:val="00135401"/>
    <w:rsid w:val="00141ABB"/>
    <w:rsid w:val="001426F5"/>
    <w:rsid w:val="00151D71"/>
    <w:rsid w:val="00157B2E"/>
    <w:rsid w:val="00171FCA"/>
    <w:rsid w:val="00182A2A"/>
    <w:rsid w:val="0019668A"/>
    <w:rsid w:val="001A1AC4"/>
    <w:rsid w:val="001A58C5"/>
    <w:rsid w:val="001E7BD9"/>
    <w:rsid w:val="00204BAE"/>
    <w:rsid w:val="00221200"/>
    <w:rsid w:val="00225E6D"/>
    <w:rsid w:val="00265A8A"/>
    <w:rsid w:val="00277275"/>
    <w:rsid w:val="00293732"/>
    <w:rsid w:val="00297A5B"/>
    <w:rsid w:val="002B7A2D"/>
    <w:rsid w:val="002C3934"/>
    <w:rsid w:val="002C5E0D"/>
    <w:rsid w:val="002D48C5"/>
    <w:rsid w:val="002D6E3C"/>
    <w:rsid w:val="00302159"/>
    <w:rsid w:val="00315828"/>
    <w:rsid w:val="00316D52"/>
    <w:rsid w:val="00325BD3"/>
    <w:rsid w:val="003310F4"/>
    <w:rsid w:val="00333735"/>
    <w:rsid w:val="00340804"/>
    <w:rsid w:val="003466BC"/>
    <w:rsid w:val="00352D28"/>
    <w:rsid w:val="00354D5E"/>
    <w:rsid w:val="00355747"/>
    <w:rsid w:val="00380F9C"/>
    <w:rsid w:val="00381567"/>
    <w:rsid w:val="003A0D60"/>
    <w:rsid w:val="003A5978"/>
    <w:rsid w:val="003A74AF"/>
    <w:rsid w:val="003A7E5B"/>
    <w:rsid w:val="003B38B1"/>
    <w:rsid w:val="003D4C48"/>
    <w:rsid w:val="003E3166"/>
    <w:rsid w:val="003F5F25"/>
    <w:rsid w:val="0040203A"/>
    <w:rsid w:val="00422D63"/>
    <w:rsid w:val="00434E15"/>
    <w:rsid w:val="00437BC1"/>
    <w:rsid w:val="00471714"/>
    <w:rsid w:val="00476778"/>
    <w:rsid w:val="00476F31"/>
    <w:rsid w:val="00477AAF"/>
    <w:rsid w:val="0048409D"/>
    <w:rsid w:val="004846B3"/>
    <w:rsid w:val="004A14E8"/>
    <w:rsid w:val="004A1645"/>
    <w:rsid w:val="004C22E3"/>
    <w:rsid w:val="004D0FCD"/>
    <w:rsid w:val="004F2F38"/>
    <w:rsid w:val="00502392"/>
    <w:rsid w:val="00525208"/>
    <w:rsid w:val="00532FF4"/>
    <w:rsid w:val="005468C3"/>
    <w:rsid w:val="005519AB"/>
    <w:rsid w:val="00564EC0"/>
    <w:rsid w:val="00565BA9"/>
    <w:rsid w:val="005821A0"/>
    <w:rsid w:val="00592C0F"/>
    <w:rsid w:val="00595FA7"/>
    <w:rsid w:val="005A449B"/>
    <w:rsid w:val="005C27E2"/>
    <w:rsid w:val="005C388D"/>
    <w:rsid w:val="005E5530"/>
    <w:rsid w:val="006132E0"/>
    <w:rsid w:val="006300D3"/>
    <w:rsid w:val="00652B0A"/>
    <w:rsid w:val="006718C9"/>
    <w:rsid w:val="00684C14"/>
    <w:rsid w:val="00690A1B"/>
    <w:rsid w:val="006923ED"/>
    <w:rsid w:val="00697395"/>
    <w:rsid w:val="006A2DCA"/>
    <w:rsid w:val="006B5B8E"/>
    <w:rsid w:val="006B5D0A"/>
    <w:rsid w:val="006E1926"/>
    <w:rsid w:val="006E45FE"/>
    <w:rsid w:val="007042FC"/>
    <w:rsid w:val="00714736"/>
    <w:rsid w:val="00734389"/>
    <w:rsid w:val="00744966"/>
    <w:rsid w:val="007532FF"/>
    <w:rsid w:val="00753AA7"/>
    <w:rsid w:val="007566B3"/>
    <w:rsid w:val="00782C1E"/>
    <w:rsid w:val="00785CDE"/>
    <w:rsid w:val="007877D4"/>
    <w:rsid w:val="007A7FC4"/>
    <w:rsid w:val="007C596D"/>
    <w:rsid w:val="007D1EC4"/>
    <w:rsid w:val="007D66D7"/>
    <w:rsid w:val="007E6B63"/>
    <w:rsid w:val="007E7A1F"/>
    <w:rsid w:val="007F1A2E"/>
    <w:rsid w:val="00805FEC"/>
    <w:rsid w:val="00821BC0"/>
    <w:rsid w:val="00826992"/>
    <w:rsid w:val="00826BD7"/>
    <w:rsid w:val="008349F5"/>
    <w:rsid w:val="00846DE7"/>
    <w:rsid w:val="00846E93"/>
    <w:rsid w:val="008638A1"/>
    <w:rsid w:val="0086702E"/>
    <w:rsid w:val="008824F9"/>
    <w:rsid w:val="00885634"/>
    <w:rsid w:val="008A7629"/>
    <w:rsid w:val="008D20E5"/>
    <w:rsid w:val="008D3201"/>
    <w:rsid w:val="008F2C6B"/>
    <w:rsid w:val="008F2DCB"/>
    <w:rsid w:val="00961A29"/>
    <w:rsid w:val="00964506"/>
    <w:rsid w:val="009765A2"/>
    <w:rsid w:val="00977D0F"/>
    <w:rsid w:val="009849BC"/>
    <w:rsid w:val="009A5F24"/>
    <w:rsid w:val="009E1796"/>
    <w:rsid w:val="009E2C07"/>
    <w:rsid w:val="009E3D12"/>
    <w:rsid w:val="009E5DC7"/>
    <w:rsid w:val="00A12568"/>
    <w:rsid w:val="00A16A5A"/>
    <w:rsid w:val="00A2084A"/>
    <w:rsid w:val="00A2283D"/>
    <w:rsid w:val="00A416C6"/>
    <w:rsid w:val="00A74DCA"/>
    <w:rsid w:val="00A80615"/>
    <w:rsid w:val="00A81018"/>
    <w:rsid w:val="00A90920"/>
    <w:rsid w:val="00AB0922"/>
    <w:rsid w:val="00AD0332"/>
    <w:rsid w:val="00B02721"/>
    <w:rsid w:val="00B14E41"/>
    <w:rsid w:val="00B23C2C"/>
    <w:rsid w:val="00B33806"/>
    <w:rsid w:val="00B477DA"/>
    <w:rsid w:val="00B57FA6"/>
    <w:rsid w:val="00B6435C"/>
    <w:rsid w:val="00B7656B"/>
    <w:rsid w:val="00B77BE0"/>
    <w:rsid w:val="00B90250"/>
    <w:rsid w:val="00B90E17"/>
    <w:rsid w:val="00B97532"/>
    <w:rsid w:val="00BA446C"/>
    <w:rsid w:val="00BA5F57"/>
    <w:rsid w:val="00BA71B1"/>
    <w:rsid w:val="00BC51A5"/>
    <w:rsid w:val="00BD1FE3"/>
    <w:rsid w:val="00BE1BE0"/>
    <w:rsid w:val="00BF04F3"/>
    <w:rsid w:val="00C02FFC"/>
    <w:rsid w:val="00C26760"/>
    <w:rsid w:val="00C34B91"/>
    <w:rsid w:val="00C371A1"/>
    <w:rsid w:val="00C37516"/>
    <w:rsid w:val="00C46374"/>
    <w:rsid w:val="00C57D10"/>
    <w:rsid w:val="00C737FC"/>
    <w:rsid w:val="00C819AB"/>
    <w:rsid w:val="00C87FF8"/>
    <w:rsid w:val="00C9114E"/>
    <w:rsid w:val="00CA3FD1"/>
    <w:rsid w:val="00CA41D3"/>
    <w:rsid w:val="00CA4F41"/>
    <w:rsid w:val="00CC0DB4"/>
    <w:rsid w:val="00CE6645"/>
    <w:rsid w:val="00CF1D40"/>
    <w:rsid w:val="00CF5AF7"/>
    <w:rsid w:val="00D222E5"/>
    <w:rsid w:val="00D2548B"/>
    <w:rsid w:val="00D31506"/>
    <w:rsid w:val="00D46B88"/>
    <w:rsid w:val="00D47878"/>
    <w:rsid w:val="00D51076"/>
    <w:rsid w:val="00D92173"/>
    <w:rsid w:val="00D961EC"/>
    <w:rsid w:val="00DB65C6"/>
    <w:rsid w:val="00DC1C4A"/>
    <w:rsid w:val="00DF1D27"/>
    <w:rsid w:val="00E03F5A"/>
    <w:rsid w:val="00E43C79"/>
    <w:rsid w:val="00E50BB4"/>
    <w:rsid w:val="00E53B8C"/>
    <w:rsid w:val="00E61766"/>
    <w:rsid w:val="00E62E31"/>
    <w:rsid w:val="00E73983"/>
    <w:rsid w:val="00E81E98"/>
    <w:rsid w:val="00ED2BFB"/>
    <w:rsid w:val="00EE771B"/>
    <w:rsid w:val="00EF5742"/>
    <w:rsid w:val="00F0156C"/>
    <w:rsid w:val="00F042C0"/>
    <w:rsid w:val="00F04359"/>
    <w:rsid w:val="00F2578C"/>
    <w:rsid w:val="00F31F02"/>
    <w:rsid w:val="00F3698E"/>
    <w:rsid w:val="00F75B44"/>
    <w:rsid w:val="00FA031A"/>
    <w:rsid w:val="00FA0955"/>
    <w:rsid w:val="00FB2AFC"/>
    <w:rsid w:val="00FB5D13"/>
    <w:rsid w:val="00FC2EFB"/>
    <w:rsid w:val="00FD0986"/>
    <w:rsid w:val="00FE08C2"/>
    <w:rsid w:val="00FE5F49"/>
    <w:rsid w:val="00FF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4B9D"/>
    <w:pPr>
      <w:keepNext/>
      <w:numPr>
        <w:numId w:val="15"/>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074B9D"/>
    <w:pPr>
      <w:keepNext/>
      <w:numPr>
        <w:ilvl w:val="1"/>
        <w:numId w:val="15"/>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 w:val="22"/>
      <w:szCs w:val="28"/>
    </w:rPr>
  </w:style>
  <w:style w:type="paragraph" w:styleId="Heading3">
    <w:name w:val="heading 3"/>
    <w:basedOn w:val="Normal"/>
    <w:next w:val="Normal"/>
    <w:link w:val="Heading3Char"/>
    <w:qFormat/>
    <w:rsid w:val="00074B9D"/>
    <w:pPr>
      <w:keepNext/>
      <w:numPr>
        <w:ilvl w:val="2"/>
        <w:numId w:val="15"/>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 w:val="22"/>
      <w:szCs w:val="26"/>
    </w:rPr>
  </w:style>
  <w:style w:type="paragraph" w:styleId="Heading4">
    <w:name w:val="heading 4"/>
    <w:basedOn w:val="Normal"/>
    <w:next w:val="Normal"/>
    <w:link w:val="Heading4Char"/>
    <w:uiPriority w:val="9"/>
    <w:unhideWhenUsed/>
    <w:qFormat/>
    <w:rsid w:val="00074B9D"/>
    <w:pPr>
      <w:keepNext/>
      <w:keepLines/>
      <w:numPr>
        <w:ilvl w:val="3"/>
        <w:numId w:val="15"/>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74B9D"/>
    <w:pPr>
      <w:keepNext/>
      <w:keepLines/>
      <w:numPr>
        <w:ilvl w:val="4"/>
        <w:numId w:val="15"/>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74B9D"/>
    <w:pPr>
      <w:keepNext/>
      <w:keepLines/>
      <w:numPr>
        <w:ilvl w:val="5"/>
        <w:numId w:val="15"/>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074B9D"/>
    <w:pPr>
      <w:keepNext/>
      <w:keepLines/>
      <w:numPr>
        <w:ilvl w:val="6"/>
        <w:numId w:val="15"/>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74B9D"/>
    <w:pPr>
      <w:keepNext/>
      <w:keepLines/>
      <w:numPr>
        <w:ilvl w:val="7"/>
        <w:numId w:val="15"/>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4B9D"/>
    <w:pPr>
      <w:keepNext/>
      <w:keepLines/>
      <w:numPr>
        <w:ilvl w:val="8"/>
        <w:numId w:val="15"/>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alloonText">
    <w:name w:val="Balloon Text"/>
    <w:basedOn w:val="Normal"/>
    <w:link w:val="BalloonTextChar"/>
    <w:uiPriority w:val="99"/>
    <w:semiHidden/>
    <w:unhideWhenUsed/>
    <w:rsid w:val="00EE7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71B"/>
    <w:rPr>
      <w:rFonts w:ascii="Segoe UI" w:eastAsia="Times New Roman" w:hAnsi="Segoe UI" w:cs="Segoe UI"/>
      <w:sz w:val="18"/>
      <w:szCs w:val="18"/>
    </w:rPr>
  </w:style>
  <w:style w:type="paragraph" w:styleId="Header">
    <w:name w:val="header"/>
    <w:basedOn w:val="Normal"/>
    <w:link w:val="HeaderChar"/>
    <w:uiPriority w:val="99"/>
    <w:unhideWhenUsed/>
    <w:rsid w:val="00F31F02"/>
    <w:pPr>
      <w:tabs>
        <w:tab w:val="center" w:pos="4680"/>
        <w:tab w:val="right" w:pos="9360"/>
      </w:tabs>
    </w:pPr>
  </w:style>
  <w:style w:type="character" w:customStyle="1" w:styleId="HeaderChar">
    <w:name w:val="Header Char"/>
    <w:basedOn w:val="DefaultParagraphFont"/>
    <w:link w:val="Header"/>
    <w:uiPriority w:val="99"/>
    <w:rsid w:val="00F31F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1F02"/>
    <w:pPr>
      <w:tabs>
        <w:tab w:val="center" w:pos="4680"/>
        <w:tab w:val="right" w:pos="9360"/>
      </w:tabs>
    </w:pPr>
  </w:style>
  <w:style w:type="character" w:customStyle="1" w:styleId="FooterChar">
    <w:name w:val="Footer Char"/>
    <w:basedOn w:val="DefaultParagraphFont"/>
    <w:link w:val="Footer"/>
    <w:uiPriority w:val="99"/>
    <w:rsid w:val="00F31F02"/>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3A74AF"/>
    <w:pPr>
      <w:jc w:val="both"/>
    </w:pPr>
    <w:rPr>
      <w:rFonts w:ascii="Calibri" w:hAnsi="Calibri"/>
      <w:sz w:val="20"/>
      <w:szCs w:val="20"/>
    </w:rPr>
  </w:style>
  <w:style w:type="character" w:customStyle="1" w:styleId="FootnoteTextChar">
    <w:name w:val="Footnote Text Char"/>
    <w:basedOn w:val="DefaultParagraphFont"/>
    <w:link w:val="FootnoteText"/>
    <w:semiHidden/>
    <w:rsid w:val="003A74AF"/>
    <w:rPr>
      <w:rFonts w:ascii="Calibri" w:eastAsia="Times New Roman" w:hAnsi="Calibri" w:cs="Times New Roman"/>
      <w:sz w:val="20"/>
      <w:szCs w:val="20"/>
    </w:rPr>
  </w:style>
  <w:style w:type="character" w:styleId="CommentReference">
    <w:name w:val="annotation reference"/>
    <w:basedOn w:val="DefaultParagraphFont"/>
    <w:unhideWhenUsed/>
    <w:rsid w:val="00714736"/>
    <w:rPr>
      <w:sz w:val="16"/>
      <w:szCs w:val="16"/>
    </w:rPr>
  </w:style>
  <w:style w:type="paragraph" w:styleId="CommentText">
    <w:name w:val="annotation text"/>
    <w:basedOn w:val="Normal"/>
    <w:link w:val="CommentTextChar"/>
    <w:uiPriority w:val="99"/>
    <w:unhideWhenUsed/>
    <w:rsid w:val="00714736"/>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714736"/>
    <w:rPr>
      <w:rFonts w:ascii="Calibri" w:eastAsia="Calibri" w:hAnsi="Calibri" w:cs="Times New Roman"/>
      <w:sz w:val="20"/>
      <w:szCs w:val="20"/>
    </w:rPr>
  </w:style>
  <w:style w:type="character" w:customStyle="1" w:styleId="Heading1Char">
    <w:name w:val="Heading 1 Char"/>
    <w:basedOn w:val="DefaultParagraphFont"/>
    <w:link w:val="Heading1"/>
    <w:rsid w:val="00074B9D"/>
    <w:rPr>
      <w:rFonts w:ascii="Cambria" w:eastAsia="Times New Roman" w:hAnsi="Cambria" w:cs="Arial"/>
      <w:b/>
      <w:bCs/>
      <w:kern w:val="32"/>
      <w:sz w:val="24"/>
      <w:szCs w:val="32"/>
    </w:rPr>
  </w:style>
  <w:style w:type="character" w:customStyle="1" w:styleId="Heading2Char">
    <w:name w:val="Heading 2 Char"/>
    <w:basedOn w:val="DefaultParagraphFont"/>
    <w:link w:val="Heading2"/>
    <w:rsid w:val="00074B9D"/>
    <w:rPr>
      <w:rFonts w:ascii="Cambria" w:eastAsia="Times New Roman" w:hAnsi="Cambria" w:cs="Arial"/>
      <w:b/>
      <w:bCs/>
      <w:iCs/>
      <w:szCs w:val="28"/>
    </w:rPr>
  </w:style>
  <w:style w:type="character" w:customStyle="1" w:styleId="Heading3Char">
    <w:name w:val="Heading 3 Char"/>
    <w:basedOn w:val="DefaultParagraphFont"/>
    <w:link w:val="Heading3"/>
    <w:rsid w:val="00074B9D"/>
    <w:rPr>
      <w:rFonts w:ascii="Cambria" w:eastAsia="Times New Roman" w:hAnsi="Cambria" w:cs="Arial"/>
      <w:b/>
      <w:bCs/>
      <w:szCs w:val="26"/>
    </w:rPr>
  </w:style>
  <w:style w:type="character" w:customStyle="1" w:styleId="Heading4Char">
    <w:name w:val="Heading 4 Char"/>
    <w:basedOn w:val="DefaultParagraphFont"/>
    <w:link w:val="Heading4"/>
    <w:uiPriority w:val="9"/>
    <w:rsid w:val="00074B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4B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74B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4B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4B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4B9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A4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449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5A449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564EC0"/>
    <w:rPr>
      <w:color w:val="808080"/>
    </w:rPr>
  </w:style>
  <w:style w:type="paragraph" w:styleId="Revision">
    <w:name w:val="Revision"/>
    <w:hidden/>
    <w:uiPriority w:val="99"/>
    <w:semiHidden/>
    <w:rsid w:val="005519AB"/>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B0922"/>
    <w:pPr>
      <w:widowControl w:val="0"/>
      <w:spacing w:before="69"/>
      <w:ind w:left="120" w:firstLine="720"/>
    </w:pPr>
  </w:style>
  <w:style w:type="character" w:customStyle="1" w:styleId="BodyTextChar">
    <w:name w:val="Body Text Char"/>
    <w:basedOn w:val="DefaultParagraphFont"/>
    <w:link w:val="BodyText"/>
    <w:uiPriority w:val="1"/>
    <w:rsid w:val="00AB09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4B9D"/>
    <w:pPr>
      <w:keepNext/>
      <w:numPr>
        <w:numId w:val="15"/>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074B9D"/>
    <w:pPr>
      <w:keepNext/>
      <w:numPr>
        <w:ilvl w:val="1"/>
        <w:numId w:val="15"/>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 w:val="22"/>
      <w:szCs w:val="28"/>
    </w:rPr>
  </w:style>
  <w:style w:type="paragraph" w:styleId="Heading3">
    <w:name w:val="heading 3"/>
    <w:basedOn w:val="Normal"/>
    <w:next w:val="Normal"/>
    <w:link w:val="Heading3Char"/>
    <w:qFormat/>
    <w:rsid w:val="00074B9D"/>
    <w:pPr>
      <w:keepNext/>
      <w:numPr>
        <w:ilvl w:val="2"/>
        <w:numId w:val="15"/>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 w:val="22"/>
      <w:szCs w:val="26"/>
    </w:rPr>
  </w:style>
  <w:style w:type="paragraph" w:styleId="Heading4">
    <w:name w:val="heading 4"/>
    <w:basedOn w:val="Normal"/>
    <w:next w:val="Normal"/>
    <w:link w:val="Heading4Char"/>
    <w:uiPriority w:val="9"/>
    <w:unhideWhenUsed/>
    <w:qFormat/>
    <w:rsid w:val="00074B9D"/>
    <w:pPr>
      <w:keepNext/>
      <w:keepLines/>
      <w:numPr>
        <w:ilvl w:val="3"/>
        <w:numId w:val="15"/>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74B9D"/>
    <w:pPr>
      <w:keepNext/>
      <w:keepLines/>
      <w:numPr>
        <w:ilvl w:val="4"/>
        <w:numId w:val="15"/>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74B9D"/>
    <w:pPr>
      <w:keepNext/>
      <w:keepLines/>
      <w:numPr>
        <w:ilvl w:val="5"/>
        <w:numId w:val="15"/>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074B9D"/>
    <w:pPr>
      <w:keepNext/>
      <w:keepLines/>
      <w:numPr>
        <w:ilvl w:val="6"/>
        <w:numId w:val="15"/>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74B9D"/>
    <w:pPr>
      <w:keepNext/>
      <w:keepLines/>
      <w:numPr>
        <w:ilvl w:val="7"/>
        <w:numId w:val="15"/>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4B9D"/>
    <w:pPr>
      <w:keepNext/>
      <w:keepLines/>
      <w:numPr>
        <w:ilvl w:val="8"/>
        <w:numId w:val="15"/>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alloonText">
    <w:name w:val="Balloon Text"/>
    <w:basedOn w:val="Normal"/>
    <w:link w:val="BalloonTextChar"/>
    <w:uiPriority w:val="99"/>
    <w:semiHidden/>
    <w:unhideWhenUsed/>
    <w:rsid w:val="00EE7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71B"/>
    <w:rPr>
      <w:rFonts w:ascii="Segoe UI" w:eastAsia="Times New Roman" w:hAnsi="Segoe UI" w:cs="Segoe UI"/>
      <w:sz w:val="18"/>
      <w:szCs w:val="18"/>
    </w:rPr>
  </w:style>
  <w:style w:type="paragraph" w:styleId="Header">
    <w:name w:val="header"/>
    <w:basedOn w:val="Normal"/>
    <w:link w:val="HeaderChar"/>
    <w:uiPriority w:val="99"/>
    <w:unhideWhenUsed/>
    <w:rsid w:val="00F31F02"/>
    <w:pPr>
      <w:tabs>
        <w:tab w:val="center" w:pos="4680"/>
        <w:tab w:val="right" w:pos="9360"/>
      </w:tabs>
    </w:pPr>
  </w:style>
  <w:style w:type="character" w:customStyle="1" w:styleId="HeaderChar">
    <w:name w:val="Header Char"/>
    <w:basedOn w:val="DefaultParagraphFont"/>
    <w:link w:val="Header"/>
    <w:uiPriority w:val="99"/>
    <w:rsid w:val="00F31F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1F02"/>
    <w:pPr>
      <w:tabs>
        <w:tab w:val="center" w:pos="4680"/>
        <w:tab w:val="right" w:pos="9360"/>
      </w:tabs>
    </w:pPr>
  </w:style>
  <w:style w:type="character" w:customStyle="1" w:styleId="FooterChar">
    <w:name w:val="Footer Char"/>
    <w:basedOn w:val="DefaultParagraphFont"/>
    <w:link w:val="Footer"/>
    <w:uiPriority w:val="99"/>
    <w:rsid w:val="00F31F02"/>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3A74AF"/>
    <w:pPr>
      <w:jc w:val="both"/>
    </w:pPr>
    <w:rPr>
      <w:rFonts w:ascii="Calibri" w:hAnsi="Calibri"/>
      <w:sz w:val="20"/>
      <w:szCs w:val="20"/>
    </w:rPr>
  </w:style>
  <w:style w:type="character" w:customStyle="1" w:styleId="FootnoteTextChar">
    <w:name w:val="Footnote Text Char"/>
    <w:basedOn w:val="DefaultParagraphFont"/>
    <w:link w:val="FootnoteText"/>
    <w:semiHidden/>
    <w:rsid w:val="003A74AF"/>
    <w:rPr>
      <w:rFonts w:ascii="Calibri" w:eastAsia="Times New Roman" w:hAnsi="Calibri" w:cs="Times New Roman"/>
      <w:sz w:val="20"/>
      <w:szCs w:val="20"/>
    </w:rPr>
  </w:style>
  <w:style w:type="character" w:styleId="CommentReference">
    <w:name w:val="annotation reference"/>
    <w:basedOn w:val="DefaultParagraphFont"/>
    <w:unhideWhenUsed/>
    <w:rsid w:val="00714736"/>
    <w:rPr>
      <w:sz w:val="16"/>
      <w:szCs w:val="16"/>
    </w:rPr>
  </w:style>
  <w:style w:type="paragraph" w:styleId="CommentText">
    <w:name w:val="annotation text"/>
    <w:basedOn w:val="Normal"/>
    <w:link w:val="CommentTextChar"/>
    <w:uiPriority w:val="99"/>
    <w:unhideWhenUsed/>
    <w:rsid w:val="00714736"/>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714736"/>
    <w:rPr>
      <w:rFonts w:ascii="Calibri" w:eastAsia="Calibri" w:hAnsi="Calibri" w:cs="Times New Roman"/>
      <w:sz w:val="20"/>
      <w:szCs w:val="20"/>
    </w:rPr>
  </w:style>
  <w:style w:type="character" w:customStyle="1" w:styleId="Heading1Char">
    <w:name w:val="Heading 1 Char"/>
    <w:basedOn w:val="DefaultParagraphFont"/>
    <w:link w:val="Heading1"/>
    <w:rsid w:val="00074B9D"/>
    <w:rPr>
      <w:rFonts w:ascii="Cambria" w:eastAsia="Times New Roman" w:hAnsi="Cambria" w:cs="Arial"/>
      <w:b/>
      <w:bCs/>
      <w:kern w:val="32"/>
      <w:sz w:val="24"/>
      <w:szCs w:val="32"/>
    </w:rPr>
  </w:style>
  <w:style w:type="character" w:customStyle="1" w:styleId="Heading2Char">
    <w:name w:val="Heading 2 Char"/>
    <w:basedOn w:val="DefaultParagraphFont"/>
    <w:link w:val="Heading2"/>
    <w:rsid w:val="00074B9D"/>
    <w:rPr>
      <w:rFonts w:ascii="Cambria" w:eastAsia="Times New Roman" w:hAnsi="Cambria" w:cs="Arial"/>
      <w:b/>
      <w:bCs/>
      <w:iCs/>
      <w:szCs w:val="28"/>
    </w:rPr>
  </w:style>
  <w:style w:type="character" w:customStyle="1" w:styleId="Heading3Char">
    <w:name w:val="Heading 3 Char"/>
    <w:basedOn w:val="DefaultParagraphFont"/>
    <w:link w:val="Heading3"/>
    <w:rsid w:val="00074B9D"/>
    <w:rPr>
      <w:rFonts w:ascii="Cambria" w:eastAsia="Times New Roman" w:hAnsi="Cambria" w:cs="Arial"/>
      <w:b/>
      <w:bCs/>
      <w:szCs w:val="26"/>
    </w:rPr>
  </w:style>
  <w:style w:type="character" w:customStyle="1" w:styleId="Heading4Char">
    <w:name w:val="Heading 4 Char"/>
    <w:basedOn w:val="DefaultParagraphFont"/>
    <w:link w:val="Heading4"/>
    <w:uiPriority w:val="9"/>
    <w:rsid w:val="00074B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4B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74B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4B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4B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4B9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A4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449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5A449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564EC0"/>
    <w:rPr>
      <w:color w:val="808080"/>
    </w:rPr>
  </w:style>
  <w:style w:type="paragraph" w:styleId="Revision">
    <w:name w:val="Revision"/>
    <w:hidden/>
    <w:uiPriority w:val="99"/>
    <w:semiHidden/>
    <w:rsid w:val="005519AB"/>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B0922"/>
    <w:pPr>
      <w:widowControl w:val="0"/>
      <w:spacing w:before="69"/>
      <w:ind w:left="120" w:firstLine="720"/>
    </w:pPr>
  </w:style>
  <w:style w:type="character" w:customStyle="1" w:styleId="BodyTextChar">
    <w:name w:val="Body Text Char"/>
    <w:basedOn w:val="DefaultParagraphFont"/>
    <w:link w:val="BodyText"/>
    <w:uiPriority w:val="1"/>
    <w:rsid w:val="00AB09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4515">
      <w:bodyDiv w:val="1"/>
      <w:marLeft w:val="0"/>
      <w:marRight w:val="0"/>
      <w:marTop w:val="0"/>
      <w:marBottom w:val="0"/>
      <w:divBdr>
        <w:top w:val="none" w:sz="0" w:space="0" w:color="auto"/>
        <w:left w:val="none" w:sz="0" w:space="0" w:color="auto"/>
        <w:bottom w:val="none" w:sz="0" w:space="0" w:color="auto"/>
        <w:right w:val="none" w:sz="0" w:space="0" w:color="auto"/>
      </w:divBdr>
    </w:div>
    <w:div w:id="271398177">
      <w:bodyDiv w:val="1"/>
      <w:marLeft w:val="0"/>
      <w:marRight w:val="0"/>
      <w:marTop w:val="0"/>
      <w:marBottom w:val="0"/>
      <w:divBdr>
        <w:top w:val="none" w:sz="0" w:space="0" w:color="auto"/>
        <w:left w:val="none" w:sz="0" w:space="0" w:color="auto"/>
        <w:bottom w:val="none" w:sz="0" w:space="0" w:color="auto"/>
        <w:right w:val="none" w:sz="0" w:space="0" w:color="auto"/>
      </w:divBdr>
    </w:div>
    <w:div w:id="359478874">
      <w:bodyDiv w:val="1"/>
      <w:marLeft w:val="0"/>
      <w:marRight w:val="0"/>
      <w:marTop w:val="0"/>
      <w:marBottom w:val="0"/>
      <w:divBdr>
        <w:top w:val="none" w:sz="0" w:space="0" w:color="auto"/>
        <w:left w:val="none" w:sz="0" w:space="0" w:color="auto"/>
        <w:bottom w:val="none" w:sz="0" w:space="0" w:color="auto"/>
        <w:right w:val="none" w:sz="0" w:space="0" w:color="auto"/>
      </w:divBdr>
    </w:div>
    <w:div w:id="606429356">
      <w:bodyDiv w:val="1"/>
      <w:marLeft w:val="0"/>
      <w:marRight w:val="0"/>
      <w:marTop w:val="0"/>
      <w:marBottom w:val="0"/>
      <w:divBdr>
        <w:top w:val="none" w:sz="0" w:space="0" w:color="auto"/>
        <w:left w:val="none" w:sz="0" w:space="0" w:color="auto"/>
        <w:bottom w:val="none" w:sz="0" w:space="0" w:color="auto"/>
        <w:right w:val="none" w:sz="0" w:space="0" w:color="auto"/>
      </w:divBdr>
    </w:div>
    <w:div w:id="865947421">
      <w:bodyDiv w:val="1"/>
      <w:marLeft w:val="0"/>
      <w:marRight w:val="0"/>
      <w:marTop w:val="0"/>
      <w:marBottom w:val="0"/>
      <w:divBdr>
        <w:top w:val="none" w:sz="0" w:space="0" w:color="auto"/>
        <w:left w:val="none" w:sz="0" w:space="0" w:color="auto"/>
        <w:bottom w:val="none" w:sz="0" w:space="0" w:color="auto"/>
        <w:right w:val="none" w:sz="0" w:space="0" w:color="auto"/>
      </w:divBdr>
    </w:div>
    <w:div w:id="909654366">
      <w:bodyDiv w:val="1"/>
      <w:marLeft w:val="0"/>
      <w:marRight w:val="0"/>
      <w:marTop w:val="0"/>
      <w:marBottom w:val="0"/>
      <w:divBdr>
        <w:top w:val="none" w:sz="0" w:space="0" w:color="auto"/>
        <w:left w:val="none" w:sz="0" w:space="0" w:color="auto"/>
        <w:bottom w:val="none" w:sz="0" w:space="0" w:color="auto"/>
        <w:right w:val="none" w:sz="0" w:space="0" w:color="auto"/>
      </w:divBdr>
    </w:div>
    <w:div w:id="1107309991">
      <w:bodyDiv w:val="1"/>
      <w:marLeft w:val="0"/>
      <w:marRight w:val="0"/>
      <w:marTop w:val="0"/>
      <w:marBottom w:val="0"/>
      <w:divBdr>
        <w:top w:val="none" w:sz="0" w:space="0" w:color="auto"/>
        <w:left w:val="none" w:sz="0" w:space="0" w:color="auto"/>
        <w:bottom w:val="none" w:sz="0" w:space="0" w:color="auto"/>
        <w:right w:val="none" w:sz="0" w:space="0" w:color="auto"/>
      </w:divBdr>
    </w:div>
    <w:div w:id="1345590622">
      <w:bodyDiv w:val="1"/>
      <w:marLeft w:val="0"/>
      <w:marRight w:val="0"/>
      <w:marTop w:val="0"/>
      <w:marBottom w:val="0"/>
      <w:divBdr>
        <w:top w:val="none" w:sz="0" w:space="0" w:color="auto"/>
        <w:left w:val="none" w:sz="0" w:space="0" w:color="auto"/>
        <w:bottom w:val="none" w:sz="0" w:space="0" w:color="auto"/>
        <w:right w:val="none" w:sz="0" w:space="0" w:color="auto"/>
      </w:divBdr>
    </w:div>
    <w:div w:id="1356268099">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500389476">
      <w:bodyDiv w:val="1"/>
      <w:marLeft w:val="0"/>
      <w:marRight w:val="0"/>
      <w:marTop w:val="0"/>
      <w:marBottom w:val="0"/>
      <w:divBdr>
        <w:top w:val="none" w:sz="0" w:space="0" w:color="auto"/>
        <w:left w:val="none" w:sz="0" w:space="0" w:color="auto"/>
        <w:bottom w:val="none" w:sz="0" w:space="0" w:color="auto"/>
        <w:right w:val="none" w:sz="0" w:space="0" w:color="auto"/>
      </w:divBdr>
    </w:div>
    <w:div w:id="1556160775">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20759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ginfo.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4F1E-2EE7-4AC6-9BE8-40C22AE2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20409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SYSTEM</cp:lastModifiedBy>
  <cp:revision>2</cp:revision>
  <cp:lastPrinted>2016-03-10T18:49:00Z</cp:lastPrinted>
  <dcterms:created xsi:type="dcterms:W3CDTF">2019-08-31T01:37:00Z</dcterms:created>
  <dcterms:modified xsi:type="dcterms:W3CDTF">2019-08-31T01:37:00Z</dcterms:modified>
</cp:coreProperties>
</file>