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432" w:rsidP="00271503" w:rsidRDefault="00626D16" w14:paraId="7B58D732" w14:textId="77777777">
      <w:pPr>
        <w:ind w:left="2160" w:firstLine="720"/>
        <w:rPr>
          <w:sz w:val="22"/>
          <w:szCs w:val="22"/>
        </w:rPr>
      </w:pPr>
      <w:r>
        <w:rPr>
          <w:sz w:val="22"/>
          <w:szCs w:val="22"/>
        </w:rPr>
        <w:t>FINAL</w:t>
      </w:r>
      <w:r w:rsidR="001B535D">
        <w:rPr>
          <w:sz w:val="22"/>
          <w:szCs w:val="22"/>
        </w:rPr>
        <w:t xml:space="preserve"> </w:t>
      </w:r>
      <w:r w:rsidRPr="006D2719" w:rsidR="00ED20E5">
        <w:rPr>
          <w:sz w:val="22"/>
          <w:szCs w:val="22"/>
        </w:rPr>
        <w:t>SUPPORTING STATEMENT</w:t>
      </w:r>
      <w:r w:rsidR="00027980">
        <w:rPr>
          <w:sz w:val="22"/>
          <w:szCs w:val="22"/>
        </w:rPr>
        <w:t xml:space="preserve"> </w:t>
      </w:r>
      <w:r w:rsidRPr="006D2719" w:rsidR="00ED20E5">
        <w:rPr>
          <w:sz w:val="22"/>
          <w:szCs w:val="22"/>
        </w:rPr>
        <w:t>FOR</w:t>
      </w:r>
    </w:p>
    <w:p w:rsidRPr="00B94248" w:rsidR="00B94248" w:rsidP="00B26856" w:rsidRDefault="00B94248" w14:paraId="7B58D733" w14:textId="77777777">
      <w:pPr>
        <w:jc w:val="center"/>
        <w:rPr>
          <w:rFonts w:cs="Arial"/>
          <w:sz w:val="22"/>
          <w:szCs w:val="22"/>
        </w:rPr>
      </w:pPr>
      <w:r w:rsidRPr="00B94248">
        <w:rPr>
          <w:rFonts w:cs="Arial"/>
          <w:sz w:val="22"/>
          <w:szCs w:val="22"/>
        </w:rPr>
        <w:t>10 CFR PART 37</w:t>
      </w:r>
    </w:p>
    <w:p w:rsidR="00B94248" w:rsidP="00B94248" w:rsidRDefault="00E25466" w14:paraId="7B58D734" w14:textId="77777777">
      <w:pPr>
        <w:jc w:val="center"/>
        <w:rPr>
          <w:rFonts w:cs="Arial"/>
          <w:sz w:val="22"/>
          <w:szCs w:val="22"/>
        </w:rPr>
      </w:pPr>
      <w:r w:rsidRPr="00E25466">
        <w:rPr>
          <w:rFonts w:cs="Arial"/>
          <w:sz w:val="22"/>
          <w:szCs w:val="22"/>
        </w:rPr>
        <w:t>PHYSICAL PROTECTION OF CATEGORY 1 AND CATEGORY 2 QUANTITIES OF RADIOACTIVE MATERIAL</w:t>
      </w:r>
    </w:p>
    <w:p w:rsidRPr="00B94248" w:rsidR="004F3E6C" w:rsidP="00B94248" w:rsidRDefault="004F3E6C" w14:paraId="7B58D735" w14:textId="77777777">
      <w:pPr>
        <w:jc w:val="center"/>
        <w:rPr>
          <w:rFonts w:cs="Arial"/>
          <w:sz w:val="22"/>
          <w:szCs w:val="22"/>
        </w:rPr>
      </w:pPr>
    </w:p>
    <w:p w:rsidRPr="00B94248" w:rsidR="00F25AFA" w:rsidP="00B94248" w:rsidRDefault="00F25AFA" w14:paraId="7B58D736" w14:textId="77777777">
      <w:pPr>
        <w:jc w:val="center"/>
        <w:rPr>
          <w:rFonts w:cs="Arial"/>
          <w:sz w:val="22"/>
          <w:szCs w:val="22"/>
        </w:rPr>
      </w:pPr>
      <w:r w:rsidRPr="00B94248">
        <w:rPr>
          <w:rFonts w:cs="Arial"/>
          <w:sz w:val="22"/>
          <w:szCs w:val="22"/>
        </w:rPr>
        <w:t>(</w:t>
      </w:r>
      <w:r w:rsidRPr="004F3E6C" w:rsidR="004F3E6C">
        <w:rPr>
          <w:rFonts w:cs="Arial"/>
          <w:sz w:val="22"/>
          <w:szCs w:val="22"/>
        </w:rPr>
        <w:t xml:space="preserve">OMB CLEARANCE NO. </w:t>
      </w:r>
      <w:r w:rsidRPr="00B94248">
        <w:rPr>
          <w:rFonts w:cs="Arial"/>
          <w:sz w:val="22"/>
          <w:szCs w:val="22"/>
        </w:rPr>
        <w:t>3150-</w:t>
      </w:r>
      <w:r w:rsidR="00E25466">
        <w:rPr>
          <w:rFonts w:cs="Arial"/>
          <w:sz w:val="22"/>
          <w:szCs w:val="22"/>
        </w:rPr>
        <w:t>0214</w:t>
      </w:r>
      <w:r w:rsidRPr="00B94248">
        <w:rPr>
          <w:rFonts w:cs="Arial"/>
          <w:sz w:val="22"/>
          <w:szCs w:val="22"/>
        </w:rPr>
        <w:t>)</w:t>
      </w:r>
    </w:p>
    <w:p w:rsidR="00F25AFA" w:rsidP="00F25AFA" w:rsidRDefault="00F25AFA" w14:paraId="7B58D737" w14:textId="77777777">
      <w:pPr>
        <w:rPr>
          <w:rFonts w:cs="Arial"/>
          <w:sz w:val="22"/>
          <w:szCs w:val="22"/>
        </w:rPr>
      </w:pPr>
    </w:p>
    <w:p w:rsidRPr="006D2719" w:rsidR="00AB0C6F" w:rsidP="00AB0C6F" w:rsidRDefault="00F914A8" w14:paraId="7B58D738" w14:textId="77777777">
      <w:pPr>
        <w:jc w:val="center"/>
        <w:rPr>
          <w:rFonts w:cs="Arial"/>
          <w:sz w:val="22"/>
          <w:szCs w:val="22"/>
        </w:rPr>
      </w:pPr>
      <w:r>
        <w:rPr>
          <w:sz w:val="22"/>
          <w:szCs w:val="22"/>
        </w:rPr>
        <w:t>REVISION</w:t>
      </w:r>
    </w:p>
    <w:p w:rsidRPr="006D2719" w:rsidR="00F25AFA" w:rsidP="00F25AFA" w:rsidRDefault="00F25AFA" w14:paraId="7B58D739" w14:textId="77777777">
      <w:pPr>
        <w:rPr>
          <w:rFonts w:cs="Arial"/>
          <w:sz w:val="22"/>
          <w:szCs w:val="22"/>
        </w:rPr>
      </w:pPr>
    </w:p>
    <w:p w:rsidRPr="006D2719" w:rsidR="00F25AFA" w:rsidP="00F25AFA" w:rsidRDefault="00F25AFA" w14:paraId="7B58D73A" w14:textId="77777777">
      <w:pPr>
        <w:rPr>
          <w:rFonts w:cs="Arial"/>
          <w:sz w:val="22"/>
          <w:szCs w:val="22"/>
        </w:rPr>
      </w:pPr>
      <w:r w:rsidRPr="006D2719">
        <w:rPr>
          <w:rFonts w:cs="Arial"/>
          <w:sz w:val="22"/>
          <w:szCs w:val="22"/>
          <w:u w:val="single"/>
        </w:rPr>
        <w:t>Description of the Information Collection</w:t>
      </w:r>
    </w:p>
    <w:p w:rsidRPr="006D2719" w:rsidR="00F25AFA" w:rsidP="00F25AFA" w:rsidRDefault="00F25AFA" w14:paraId="7B58D73B" w14:textId="77777777">
      <w:pPr>
        <w:rPr>
          <w:rFonts w:cs="Arial"/>
          <w:sz w:val="22"/>
          <w:szCs w:val="22"/>
        </w:rPr>
      </w:pPr>
    </w:p>
    <w:p w:rsidR="00E25466" w:rsidP="00FF7B93" w:rsidRDefault="00E25466" w14:paraId="7B58D73C" w14:textId="7B28B11D">
      <w:pPr>
        <w:rPr>
          <w:rFonts w:cs="Arial"/>
          <w:sz w:val="22"/>
          <w:szCs w:val="22"/>
        </w:rPr>
      </w:pPr>
      <w:r>
        <w:rPr>
          <w:rFonts w:cs="Arial"/>
          <w:bCs/>
          <w:sz w:val="22"/>
          <w:szCs w:val="22"/>
        </w:rPr>
        <w:t>In March 2013, t</w:t>
      </w:r>
      <w:r w:rsidRPr="00FF7B93" w:rsidR="00FF7B93">
        <w:rPr>
          <w:rFonts w:cs="Arial"/>
          <w:bCs/>
          <w:sz w:val="22"/>
          <w:szCs w:val="22"/>
        </w:rPr>
        <w:t>he U.S. Nuclear Regulatory Commission (NRC) establish</w:t>
      </w:r>
      <w:r>
        <w:rPr>
          <w:rFonts w:cs="Arial"/>
          <w:bCs/>
          <w:sz w:val="22"/>
          <w:szCs w:val="22"/>
        </w:rPr>
        <w:t>ed</w:t>
      </w:r>
      <w:r w:rsidRPr="00FF7B93" w:rsidR="00FF7B93">
        <w:rPr>
          <w:rFonts w:cs="Arial"/>
          <w:bCs/>
          <w:sz w:val="22"/>
          <w:szCs w:val="22"/>
        </w:rPr>
        <w:t xml:space="preserve"> a new </w:t>
      </w:r>
      <w:r w:rsidR="00907A92">
        <w:rPr>
          <w:rFonts w:cs="Arial"/>
          <w:bCs/>
          <w:sz w:val="22"/>
          <w:szCs w:val="22"/>
        </w:rPr>
        <w:t>P</w:t>
      </w:r>
      <w:r w:rsidRPr="00FF7B93" w:rsidR="00FF7B93">
        <w:rPr>
          <w:rFonts w:cs="Arial"/>
          <w:bCs/>
          <w:sz w:val="22"/>
          <w:szCs w:val="22"/>
        </w:rPr>
        <w:t xml:space="preserve">art 37 in Title 10 of the </w:t>
      </w:r>
      <w:r w:rsidRPr="00035592" w:rsidR="00FF7B93">
        <w:rPr>
          <w:rFonts w:cs="Arial"/>
          <w:bCs/>
          <w:i/>
          <w:sz w:val="22"/>
          <w:szCs w:val="22"/>
        </w:rPr>
        <w:t>Code of Federal Regulations</w:t>
      </w:r>
      <w:r w:rsidRPr="00FF7B93" w:rsidR="00FF7B93">
        <w:rPr>
          <w:rFonts w:cs="Arial"/>
          <w:bCs/>
          <w:sz w:val="22"/>
          <w:szCs w:val="22"/>
        </w:rPr>
        <w:t xml:space="preserve"> (</w:t>
      </w:r>
      <w:r w:rsidR="00035592">
        <w:rPr>
          <w:rFonts w:cs="Arial"/>
          <w:bCs/>
          <w:sz w:val="22"/>
          <w:szCs w:val="22"/>
        </w:rPr>
        <w:t xml:space="preserve">10 </w:t>
      </w:r>
      <w:r w:rsidRPr="00FF7B93" w:rsidR="00FF7B93">
        <w:rPr>
          <w:rFonts w:cs="Arial"/>
          <w:bCs/>
          <w:sz w:val="22"/>
          <w:szCs w:val="22"/>
        </w:rPr>
        <w:t xml:space="preserve">CFR), which </w:t>
      </w:r>
      <w:r w:rsidR="00B26856">
        <w:rPr>
          <w:rFonts w:cs="Arial"/>
          <w:bCs/>
          <w:sz w:val="22"/>
          <w:szCs w:val="22"/>
        </w:rPr>
        <w:t>specified</w:t>
      </w:r>
      <w:r w:rsidRPr="00FF7B93" w:rsidR="00FF7B93">
        <w:rPr>
          <w:rFonts w:cs="Arial"/>
          <w:bCs/>
          <w:sz w:val="22"/>
          <w:szCs w:val="22"/>
        </w:rPr>
        <w:t xml:space="preserve"> the physical protection requirements for certain byproduct material (</w:t>
      </w:r>
      <w:r w:rsidR="00C6114B">
        <w:rPr>
          <w:rFonts w:cs="Arial"/>
          <w:bCs/>
          <w:sz w:val="22"/>
          <w:szCs w:val="22"/>
        </w:rPr>
        <w:t>Category 1 and C</w:t>
      </w:r>
      <w:r w:rsidRPr="00FF7B93" w:rsidR="00FF7B93">
        <w:rPr>
          <w:rFonts w:cs="Arial"/>
          <w:bCs/>
          <w:sz w:val="22"/>
          <w:szCs w:val="22"/>
        </w:rPr>
        <w:t>ategory 2 quantities of radioactive material)</w:t>
      </w:r>
      <w:r>
        <w:rPr>
          <w:rFonts w:cs="Arial"/>
          <w:bCs/>
          <w:sz w:val="22"/>
          <w:szCs w:val="22"/>
        </w:rPr>
        <w:t xml:space="preserve"> (78 FR 16922)</w:t>
      </w:r>
      <w:r w:rsidRPr="00FF7B93" w:rsidR="00FF7B93">
        <w:rPr>
          <w:rFonts w:cs="Arial"/>
          <w:bCs/>
          <w:sz w:val="22"/>
          <w:szCs w:val="22"/>
        </w:rPr>
        <w:t xml:space="preserve">.  </w:t>
      </w:r>
      <w:r>
        <w:rPr>
          <w:rFonts w:cs="Arial"/>
          <w:sz w:val="22"/>
          <w:szCs w:val="22"/>
        </w:rPr>
        <w:t>T</w:t>
      </w:r>
      <w:r w:rsidRPr="00A25454">
        <w:rPr>
          <w:rFonts w:cs="Arial"/>
          <w:sz w:val="22"/>
          <w:szCs w:val="22"/>
        </w:rPr>
        <w:t xml:space="preserve">he </w:t>
      </w:r>
      <w:r w:rsidR="00035592">
        <w:rPr>
          <w:rFonts w:cs="Arial"/>
          <w:sz w:val="22"/>
          <w:szCs w:val="22"/>
        </w:rPr>
        <w:t>U.S. Nuclear Regulatory Commission (</w:t>
      </w:r>
      <w:r w:rsidRPr="00A25454">
        <w:rPr>
          <w:rFonts w:cs="Arial"/>
          <w:sz w:val="22"/>
          <w:szCs w:val="22"/>
        </w:rPr>
        <w:t>NRC</w:t>
      </w:r>
      <w:r w:rsidR="00035592">
        <w:rPr>
          <w:rFonts w:cs="Arial"/>
          <w:sz w:val="22"/>
          <w:szCs w:val="22"/>
        </w:rPr>
        <w:t>)</w:t>
      </w:r>
      <w:r w:rsidRPr="00A25454">
        <w:rPr>
          <w:rFonts w:cs="Arial"/>
          <w:sz w:val="22"/>
          <w:szCs w:val="22"/>
        </w:rPr>
        <w:t xml:space="preserve"> considers </w:t>
      </w:r>
      <w:r>
        <w:rPr>
          <w:rFonts w:cs="Arial"/>
          <w:sz w:val="22"/>
          <w:szCs w:val="22"/>
        </w:rPr>
        <w:t xml:space="preserve">these quantities </w:t>
      </w:r>
      <w:r w:rsidRPr="00A25454">
        <w:rPr>
          <w:rFonts w:cs="Arial"/>
          <w:sz w:val="22"/>
          <w:szCs w:val="22"/>
        </w:rPr>
        <w:t>to be risk significant and</w:t>
      </w:r>
      <w:r>
        <w:rPr>
          <w:rFonts w:cs="Arial"/>
          <w:sz w:val="22"/>
          <w:szCs w:val="22"/>
        </w:rPr>
        <w:t>,</w:t>
      </w:r>
      <w:r w:rsidRPr="00A25454">
        <w:rPr>
          <w:rFonts w:cs="Arial"/>
          <w:sz w:val="22"/>
          <w:szCs w:val="22"/>
        </w:rPr>
        <w:t xml:space="preserve"> therefore</w:t>
      </w:r>
      <w:r>
        <w:rPr>
          <w:rFonts w:cs="Arial"/>
          <w:sz w:val="22"/>
          <w:szCs w:val="22"/>
        </w:rPr>
        <w:t>,</w:t>
      </w:r>
      <w:r w:rsidRPr="00A25454">
        <w:rPr>
          <w:rFonts w:cs="Arial"/>
          <w:sz w:val="22"/>
          <w:szCs w:val="22"/>
        </w:rPr>
        <w:t xml:space="preserve"> to </w:t>
      </w:r>
      <w:r w:rsidR="00046DD0">
        <w:rPr>
          <w:rFonts w:cs="Arial"/>
          <w:sz w:val="22"/>
          <w:szCs w:val="22"/>
        </w:rPr>
        <w:t>warrant additional protection.</w:t>
      </w:r>
    </w:p>
    <w:p w:rsidR="00E25466" w:rsidP="00FF7B93" w:rsidRDefault="00E25466" w14:paraId="7B58D73D" w14:textId="77777777">
      <w:pPr>
        <w:rPr>
          <w:rFonts w:cs="Arial"/>
          <w:sz w:val="22"/>
          <w:szCs w:val="22"/>
        </w:rPr>
      </w:pPr>
    </w:p>
    <w:p w:rsidRPr="006460FB" w:rsidR="00FF7B93" w:rsidP="00FF7B93" w:rsidRDefault="00FF7B93" w14:paraId="7B58D73E" w14:textId="77777777">
      <w:pPr>
        <w:rPr>
          <w:rFonts w:cs="Arial"/>
          <w:sz w:val="22"/>
          <w:szCs w:val="22"/>
        </w:rPr>
      </w:pPr>
      <w:r w:rsidRPr="006460FB">
        <w:rPr>
          <w:rFonts w:cs="Arial"/>
          <w:sz w:val="22"/>
          <w:szCs w:val="22"/>
        </w:rPr>
        <w:t xml:space="preserve">The NRC has long participated in efforts to address radioactive source protection and security.  The terrorist attacks of September 11, 2001, however, heightened concerns about the use of risk-significant radioactive materials in a malevolent act.  Such an attack is of particular concern because of the widespread use of radioactive materials in the United States by industrial, medical, and academic institutions.  The theft or diversion of risk-significant radioactive materials could lead to their </w:t>
      </w:r>
      <w:r>
        <w:rPr>
          <w:rFonts w:cs="Arial"/>
          <w:sz w:val="22"/>
          <w:szCs w:val="22"/>
        </w:rPr>
        <w:t>unauthorized</w:t>
      </w:r>
      <w:r w:rsidRPr="006460FB">
        <w:rPr>
          <w:rFonts w:cs="Arial"/>
          <w:sz w:val="22"/>
          <w:szCs w:val="22"/>
        </w:rPr>
        <w:t xml:space="preserve"> use in a radiological dispersal device or a radiological exposure device</w:t>
      </w:r>
      <w:r>
        <w:rPr>
          <w:rFonts w:cs="Arial"/>
          <w:sz w:val="22"/>
          <w:szCs w:val="22"/>
        </w:rPr>
        <w:t xml:space="preserve"> (RED)</w:t>
      </w:r>
      <w:r w:rsidRPr="006460FB">
        <w:rPr>
          <w:rFonts w:cs="Arial"/>
          <w:sz w:val="22"/>
          <w:szCs w:val="22"/>
        </w:rPr>
        <w:t>.</w:t>
      </w:r>
    </w:p>
    <w:p w:rsidRPr="006460FB" w:rsidR="00FF7B93" w:rsidP="00FF7B93" w:rsidRDefault="00FF7B93" w14:paraId="7B58D73F" w14:textId="77777777">
      <w:pPr>
        <w:rPr>
          <w:rFonts w:cs="Arial"/>
          <w:sz w:val="22"/>
          <w:szCs w:val="22"/>
        </w:rPr>
      </w:pPr>
    </w:p>
    <w:p w:rsidR="00046DD0" w:rsidP="00E25466" w:rsidRDefault="00046DD0" w14:paraId="7B58D740" w14:textId="77777777">
      <w:pPr>
        <w:rPr>
          <w:rFonts w:cs="Arial"/>
          <w:sz w:val="22"/>
          <w:szCs w:val="22"/>
        </w:rPr>
      </w:pPr>
      <w:r>
        <w:rPr>
          <w:rFonts w:cs="Arial"/>
          <w:sz w:val="22"/>
          <w:szCs w:val="22"/>
        </w:rPr>
        <w:t>10 CFR Part 37 was implemented to</w:t>
      </w:r>
      <w:r w:rsidRPr="00A25454">
        <w:rPr>
          <w:rFonts w:cs="Arial"/>
          <w:sz w:val="22"/>
          <w:szCs w:val="22"/>
        </w:rPr>
        <w:t xml:space="preserve"> provide reasonable assurance of preventing the theft or diversion of </w:t>
      </w:r>
      <w:r w:rsidR="00C6114B">
        <w:rPr>
          <w:rFonts w:cs="Arial"/>
          <w:sz w:val="22"/>
          <w:szCs w:val="22"/>
        </w:rPr>
        <w:t>Category 1 and C</w:t>
      </w:r>
      <w:r w:rsidRPr="00A25454">
        <w:rPr>
          <w:rFonts w:cs="Arial"/>
          <w:sz w:val="22"/>
          <w:szCs w:val="22"/>
        </w:rPr>
        <w:t xml:space="preserve">ategory 2 quantities of radioactive material.  The regulations also include security requirements for the transportation of irradiated reactor fuel that weighs 100 grams or less in net weight of irradiated fuel.  </w:t>
      </w:r>
      <w:r>
        <w:rPr>
          <w:rFonts w:cs="Arial"/>
          <w:sz w:val="22"/>
          <w:szCs w:val="22"/>
        </w:rPr>
        <w:t>Part 37</w:t>
      </w:r>
      <w:r w:rsidRPr="00A25454">
        <w:rPr>
          <w:rFonts w:cs="Arial"/>
          <w:sz w:val="22"/>
          <w:szCs w:val="22"/>
        </w:rPr>
        <w:t xml:space="preserve"> affects any license</w:t>
      </w:r>
      <w:r w:rsidR="00C6114B">
        <w:rPr>
          <w:rFonts w:cs="Arial"/>
          <w:sz w:val="22"/>
          <w:szCs w:val="22"/>
        </w:rPr>
        <w:t>e that possesses an aggregated Category 1 or C</w:t>
      </w:r>
      <w:r w:rsidRPr="00A25454">
        <w:rPr>
          <w:rFonts w:cs="Arial"/>
          <w:sz w:val="22"/>
          <w:szCs w:val="22"/>
        </w:rPr>
        <w:t>ategory 2 quantity of radioactive material, any licensee that transports these materials using ground transportation, and any licensee that transports small quantities of irradiated reactor fuel.</w:t>
      </w:r>
    </w:p>
    <w:p w:rsidR="00046DD0" w:rsidP="00E25466" w:rsidRDefault="00046DD0" w14:paraId="7B58D741" w14:textId="77777777">
      <w:pPr>
        <w:rPr>
          <w:rFonts w:cs="Arial"/>
          <w:sz w:val="22"/>
          <w:szCs w:val="22"/>
        </w:rPr>
      </w:pPr>
    </w:p>
    <w:p w:rsidRPr="00BE7712" w:rsidR="00E25466" w:rsidP="00E25466" w:rsidRDefault="00E25466" w14:paraId="7B58D742" w14:textId="77777777">
      <w:pPr>
        <w:rPr>
          <w:rFonts w:cs="Arial"/>
          <w:sz w:val="22"/>
          <w:szCs w:val="22"/>
        </w:rPr>
      </w:pPr>
      <w:r>
        <w:rPr>
          <w:rFonts w:cs="Arial"/>
          <w:sz w:val="22"/>
          <w:szCs w:val="22"/>
        </w:rPr>
        <w:t xml:space="preserve">10 CFR Part 37 requires licensees to </w:t>
      </w:r>
      <w:r w:rsidRPr="00BE7712">
        <w:rPr>
          <w:rFonts w:cs="Arial"/>
          <w:sz w:val="22"/>
          <w:szCs w:val="22"/>
        </w:rPr>
        <w:t>(1) develop procedures for implementation of the security provisions; (2) develop a security plan that describes how security is being implemented; (3) conduct training on the procedures and security plan</w:t>
      </w:r>
      <w:r w:rsidR="00907A92">
        <w:rPr>
          <w:rFonts w:cs="Arial"/>
          <w:sz w:val="22"/>
          <w:szCs w:val="22"/>
        </w:rPr>
        <w:t>;</w:t>
      </w:r>
      <w:r w:rsidRPr="00BE7712">
        <w:rPr>
          <w:rFonts w:cs="Arial"/>
          <w:sz w:val="22"/>
          <w:szCs w:val="22"/>
        </w:rPr>
        <w:t xml:space="preserve"> (4) conduct background investigations for those i</w:t>
      </w:r>
      <w:r w:rsidR="00C6114B">
        <w:rPr>
          <w:rFonts w:cs="Arial"/>
          <w:sz w:val="22"/>
          <w:szCs w:val="22"/>
        </w:rPr>
        <w:t>ndividuals permitted access to Category 1 or C</w:t>
      </w:r>
      <w:r w:rsidRPr="00BE7712">
        <w:rPr>
          <w:rFonts w:cs="Arial"/>
          <w:sz w:val="22"/>
          <w:szCs w:val="22"/>
        </w:rPr>
        <w:t xml:space="preserve">ategory 2 quantities of radioactive material; (5) coordinate with </w:t>
      </w:r>
      <w:r>
        <w:rPr>
          <w:rFonts w:cs="Arial"/>
          <w:sz w:val="22"/>
          <w:szCs w:val="22"/>
        </w:rPr>
        <w:t xml:space="preserve">local law enforcement </w:t>
      </w:r>
      <w:r w:rsidR="00907A92">
        <w:rPr>
          <w:rFonts w:cs="Arial"/>
          <w:sz w:val="22"/>
          <w:szCs w:val="22"/>
        </w:rPr>
        <w:t>agencies</w:t>
      </w:r>
      <w:r>
        <w:rPr>
          <w:rFonts w:cs="Arial"/>
          <w:sz w:val="22"/>
          <w:szCs w:val="22"/>
        </w:rPr>
        <w:t xml:space="preserve"> (</w:t>
      </w:r>
      <w:r w:rsidRPr="00BE7712">
        <w:rPr>
          <w:rFonts w:cs="Arial"/>
          <w:sz w:val="22"/>
          <w:szCs w:val="22"/>
        </w:rPr>
        <w:t>LLEA</w:t>
      </w:r>
      <w:r w:rsidR="00907A92">
        <w:rPr>
          <w:rFonts w:cs="Arial"/>
          <w:sz w:val="22"/>
          <w:szCs w:val="22"/>
        </w:rPr>
        <w:t>s</w:t>
      </w:r>
      <w:r>
        <w:rPr>
          <w:rFonts w:cs="Arial"/>
          <w:sz w:val="22"/>
          <w:szCs w:val="22"/>
        </w:rPr>
        <w:t>)</w:t>
      </w:r>
      <w:r w:rsidRPr="00BE7712">
        <w:rPr>
          <w:rFonts w:cs="Arial"/>
          <w:sz w:val="22"/>
          <w:szCs w:val="22"/>
        </w:rPr>
        <w:t xml:space="preserve"> so the LLEA</w:t>
      </w:r>
      <w:r w:rsidR="00907A92">
        <w:rPr>
          <w:rFonts w:cs="Arial"/>
          <w:sz w:val="22"/>
          <w:szCs w:val="22"/>
        </w:rPr>
        <w:t>s</w:t>
      </w:r>
      <w:r w:rsidRPr="00BE7712">
        <w:rPr>
          <w:rFonts w:cs="Arial"/>
          <w:sz w:val="22"/>
          <w:szCs w:val="22"/>
        </w:rPr>
        <w:t xml:space="preserve"> would be better prepared to respond in an emergency; (6) conduct preplanning and coordination activities before shipping radioactive material; and (7) implement security measures for the protection of the radioactive material.  Licensees </w:t>
      </w:r>
      <w:r>
        <w:rPr>
          <w:rFonts w:cs="Arial"/>
          <w:sz w:val="22"/>
          <w:szCs w:val="22"/>
        </w:rPr>
        <w:t xml:space="preserve">are </w:t>
      </w:r>
      <w:r w:rsidRPr="00BE7712">
        <w:rPr>
          <w:rFonts w:cs="Arial"/>
          <w:sz w:val="22"/>
          <w:szCs w:val="22"/>
        </w:rPr>
        <w:t>required to promptly report any attempted or actual theft or diversion of the radioactive material</w:t>
      </w:r>
      <w:r w:rsidR="00CD65E4">
        <w:rPr>
          <w:rFonts w:cs="Arial"/>
          <w:sz w:val="22"/>
          <w:szCs w:val="22"/>
        </w:rPr>
        <w:t>, as well as suspicious activities relating to the radioactive material</w:t>
      </w:r>
      <w:r w:rsidRPr="00BE7712">
        <w:rPr>
          <w:rFonts w:cs="Arial"/>
          <w:sz w:val="22"/>
          <w:szCs w:val="22"/>
        </w:rPr>
        <w:t xml:space="preserve">.  </w:t>
      </w:r>
      <w:r>
        <w:rPr>
          <w:rFonts w:cs="Arial"/>
          <w:sz w:val="22"/>
          <w:szCs w:val="22"/>
        </w:rPr>
        <w:t>In addition, l</w:t>
      </w:r>
      <w:r w:rsidRPr="00BE7712">
        <w:rPr>
          <w:rFonts w:cs="Arial"/>
          <w:sz w:val="22"/>
          <w:szCs w:val="22"/>
        </w:rPr>
        <w:t xml:space="preserve">icensees </w:t>
      </w:r>
      <w:r>
        <w:rPr>
          <w:rFonts w:cs="Arial"/>
          <w:sz w:val="22"/>
          <w:szCs w:val="22"/>
        </w:rPr>
        <w:t xml:space="preserve">must </w:t>
      </w:r>
      <w:r w:rsidR="00C97978">
        <w:rPr>
          <w:rFonts w:cs="Arial"/>
          <w:sz w:val="22"/>
          <w:szCs w:val="22"/>
        </w:rPr>
        <w:t>retain</w:t>
      </w:r>
      <w:r w:rsidRPr="00BE7712">
        <w:rPr>
          <w:rFonts w:cs="Arial"/>
          <w:sz w:val="22"/>
          <w:szCs w:val="22"/>
        </w:rPr>
        <w:t xml:space="preserve"> copies of the security plan, procedures, background investigation records, training records, and documentation that certain activities have occurred.</w:t>
      </w:r>
    </w:p>
    <w:p w:rsidR="00E25466" w:rsidP="00E25466" w:rsidRDefault="00E25466" w14:paraId="7B58D743" w14:textId="77777777">
      <w:pPr>
        <w:widowControl w:val="0"/>
        <w:jc w:val="both"/>
        <w:rPr>
          <w:sz w:val="22"/>
        </w:rPr>
      </w:pPr>
    </w:p>
    <w:p w:rsidR="00FF7B93" w:rsidP="00C534E2" w:rsidRDefault="00FF7B93" w14:paraId="7B58D744" w14:textId="77777777">
      <w:pPr>
        <w:rPr>
          <w:rFonts w:cs="Arial"/>
          <w:sz w:val="22"/>
          <w:szCs w:val="22"/>
        </w:rPr>
      </w:pPr>
    </w:p>
    <w:p w:rsidRPr="006460FB" w:rsidR="00E57394" w:rsidP="00E57394" w:rsidRDefault="00E57394" w14:paraId="7B58D745" w14:textId="77777777">
      <w:pPr>
        <w:rPr>
          <w:rFonts w:cs="Arial"/>
          <w:sz w:val="22"/>
          <w:szCs w:val="22"/>
        </w:rPr>
      </w:pPr>
    </w:p>
    <w:p w:rsidR="00C07A25" w:rsidP="00C07A25" w:rsidRDefault="00C07A25" w14:paraId="7B58D746" w14:textId="77777777">
      <w:pPr>
        <w:pStyle w:val="ListBullet"/>
        <w:numPr>
          <w:ilvl w:val="0"/>
          <w:numId w:val="0"/>
        </w:numPr>
        <w:rPr>
          <w:rFonts w:cs="Arial"/>
          <w:szCs w:val="22"/>
        </w:rPr>
      </w:pPr>
    </w:p>
    <w:p w:rsidR="00C07A25" w:rsidP="00C07A25" w:rsidRDefault="00C07A25" w14:paraId="7B58D747" w14:textId="77777777">
      <w:pPr>
        <w:pStyle w:val="ListBullet"/>
        <w:numPr>
          <w:ilvl w:val="0"/>
          <w:numId w:val="0"/>
        </w:numPr>
      </w:pPr>
    </w:p>
    <w:p w:rsidRPr="006D2719" w:rsidR="00F25AFA" w:rsidP="00F25AFA" w:rsidRDefault="00E259C9" w14:paraId="7B58D748" w14:textId="77777777">
      <w:pPr>
        <w:tabs>
          <w:tab w:val="left" w:pos="720"/>
        </w:tabs>
        <w:ind w:left="720" w:hanging="720"/>
        <w:rPr>
          <w:rFonts w:cs="Arial"/>
          <w:sz w:val="22"/>
          <w:szCs w:val="22"/>
        </w:rPr>
      </w:pPr>
      <w:r>
        <w:rPr>
          <w:rFonts w:cs="Arial"/>
          <w:sz w:val="22"/>
          <w:szCs w:val="22"/>
        </w:rPr>
        <w:br w:type="page"/>
      </w:r>
      <w:r w:rsidRPr="006D2719" w:rsidR="00F25AFA">
        <w:rPr>
          <w:rFonts w:cs="Arial"/>
          <w:sz w:val="22"/>
          <w:szCs w:val="22"/>
        </w:rPr>
        <w:lastRenderedPageBreak/>
        <w:t>A.</w:t>
      </w:r>
      <w:r w:rsidRPr="006D2719" w:rsidR="00F25AFA">
        <w:rPr>
          <w:rFonts w:cs="Arial"/>
          <w:sz w:val="22"/>
          <w:szCs w:val="22"/>
        </w:rPr>
        <w:tab/>
        <w:t>Justification</w:t>
      </w:r>
    </w:p>
    <w:p w:rsidRPr="006D2719" w:rsidR="00F25AFA" w:rsidP="00F25AFA" w:rsidRDefault="00F25AFA" w14:paraId="7B58D749" w14:textId="77777777">
      <w:pPr>
        <w:rPr>
          <w:rFonts w:cs="Arial"/>
          <w:sz w:val="22"/>
          <w:szCs w:val="22"/>
        </w:rPr>
      </w:pPr>
    </w:p>
    <w:p w:rsidRPr="006D2719" w:rsidR="00F25AFA" w:rsidP="00F25AFA" w:rsidRDefault="00F25AFA" w14:paraId="7B58D74A" w14:textId="77777777">
      <w:pPr>
        <w:tabs>
          <w:tab w:val="left" w:pos="720"/>
          <w:tab w:val="left" w:pos="1440"/>
        </w:tabs>
        <w:ind w:left="1440" w:hanging="720"/>
        <w:rPr>
          <w:rFonts w:cs="Arial"/>
          <w:sz w:val="22"/>
          <w:szCs w:val="22"/>
        </w:rPr>
      </w:pPr>
      <w:r w:rsidRPr="006D2719">
        <w:rPr>
          <w:rFonts w:cs="Arial"/>
          <w:sz w:val="22"/>
          <w:szCs w:val="22"/>
        </w:rPr>
        <w:t>1.</w:t>
      </w:r>
      <w:r w:rsidRPr="006D2719">
        <w:rPr>
          <w:rFonts w:cs="Arial"/>
          <w:sz w:val="22"/>
          <w:szCs w:val="22"/>
        </w:rPr>
        <w:tab/>
      </w:r>
      <w:r w:rsidRPr="006D2719">
        <w:rPr>
          <w:rFonts w:cs="Arial"/>
          <w:sz w:val="22"/>
          <w:szCs w:val="22"/>
          <w:u w:val="single"/>
        </w:rPr>
        <w:t>Need for and Practical Utility of the Collection of Information</w:t>
      </w:r>
    </w:p>
    <w:p w:rsidRPr="006D2719" w:rsidR="00F25AFA" w:rsidP="00F25AFA" w:rsidRDefault="00F25AFA" w14:paraId="7B58D74B" w14:textId="77777777">
      <w:pPr>
        <w:rPr>
          <w:rFonts w:cs="Arial"/>
          <w:sz w:val="22"/>
          <w:szCs w:val="22"/>
        </w:rPr>
      </w:pPr>
    </w:p>
    <w:p w:rsidR="0015185E" w:rsidP="0015185E" w:rsidRDefault="0015185E" w14:paraId="7B58D74C" w14:textId="77777777">
      <w:pPr>
        <w:spacing w:after="120"/>
        <w:ind w:left="1440"/>
        <w:rPr>
          <w:rFonts w:cs="Arial"/>
          <w:sz w:val="22"/>
          <w:szCs w:val="22"/>
        </w:rPr>
      </w:pPr>
      <w:r w:rsidRPr="006D2719">
        <w:rPr>
          <w:rFonts w:cs="Arial"/>
          <w:sz w:val="22"/>
          <w:szCs w:val="22"/>
          <w:lang w:val="en-CA"/>
        </w:rPr>
        <w:fldChar w:fldCharType="begin"/>
      </w:r>
      <w:r w:rsidRPr="006D2719">
        <w:rPr>
          <w:rFonts w:cs="Arial"/>
          <w:sz w:val="22"/>
          <w:szCs w:val="22"/>
          <w:lang w:val="en-CA"/>
        </w:rPr>
        <w:instrText xml:space="preserve"> SEQ CHAPTER \h \r 1</w:instrText>
      </w:r>
      <w:r w:rsidRPr="006D2719">
        <w:rPr>
          <w:rFonts w:cs="Arial"/>
          <w:sz w:val="22"/>
          <w:szCs w:val="22"/>
        </w:rPr>
        <w:fldChar w:fldCharType="end"/>
      </w:r>
      <w:r w:rsidRPr="006D2719">
        <w:rPr>
          <w:rFonts w:cs="Arial"/>
          <w:sz w:val="22"/>
          <w:szCs w:val="22"/>
        </w:rPr>
        <w:t>In general, the reports and records are necessary for one or more of the following reasons:</w:t>
      </w:r>
    </w:p>
    <w:p w:rsidRPr="006D2719" w:rsidR="00035592" w:rsidP="00035592" w:rsidRDefault="00035592" w14:paraId="7B58D74D" w14:textId="77777777">
      <w:pPr>
        <w:ind w:left="1440"/>
        <w:rPr>
          <w:rFonts w:cs="Arial"/>
          <w:sz w:val="22"/>
          <w:szCs w:val="22"/>
        </w:rPr>
      </w:pPr>
    </w:p>
    <w:p w:rsidRPr="006D2719" w:rsidR="0015185E" w:rsidP="00CA1F20" w:rsidRDefault="0015185E" w14:paraId="7B58D74E" w14:textId="77777777">
      <w:pPr>
        <w:numPr>
          <w:ilvl w:val="2"/>
          <w:numId w:val="6"/>
        </w:numPr>
        <w:tabs>
          <w:tab w:val="clear" w:pos="2160"/>
          <w:tab w:val="num" w:pos="1870"/>
        </w:tabs>
        <w:spacing w:after="120"/>
        <w:ind w:left="1870" w:hanging="440"/>
        <w:rPr>
          <w:rFonts w:cs="Arial"/>
          <w:sz w:val="22"/>
          <w:szCs w:val="22"/>
        </w:rPr>
      </w:pPr>
      <w:r w:rsidRPr="006D2719">
        <w:rPr>
          <w:rFonts w:cs="Arial"/>
          <w:sz w:val="22"/>
          <w:szCs w:val="22"/>
        </w:rPr>
        <w:t>Information describing the content and planned operation of the licensee's physical protection system.  The information is essential to permit NRC to make a determination as to the adequacy of the licensee's planned system in meeting regulatory requirements.</w:t>
      </w:r>
    </w:p>
    <w:p w:rsidRPr="006D2719" w:rsidR="0015185E" w:rsidP="00035592" w:rsidRDefault="0015185E" w14:paraId="7B58D74F" w14:textId="77777777">
      <w:pPr>
        <w:ind w:left="1426" w:hanging="58"/>
        <w:rPr>
          <w:rFonts w:cs="Arial"/>
          <w:sz w:val="22"/>
          <w:szCs w:val="22"/>
        </w:rPr>
      </w:pPr>
    </w:p>
    <w:p w:rsidRPr="006D2719" w:rsidR="0015185E" w:rsidP="00CA1F20" w:rsidRDefault="0015185E" w14:paraId="7B58D750" w14:textId="77777777">
      <w:pPr>
        <w:numPr>
          <w:ilvl w:val="2"/>
          <w:numId w:val="6"/>
        </w:numPr>
        <w:tabs>
          <w:tab w:val="clear" w:pos="2160"/>
          <w:tab w:val="num" w:pos="1870"/>
        </w:tabs>
        <w:spacing w:after="120"/>
        <w:ind w:left="1870" w:hanging="440"/>
        <w:rPr>
          <w:rFonts w:cs="Arial"/>
          <w:sz w:val="22"/>
          <w:szCs w:val="22"/>
        </w:rPr>
      </w:pPr>
      <w:r w:rsidRPr="006D2719">
        <w:rPr>
          <w:rFonts w:cs="Arial"/>
          <w:sz w:val="22"/>
          <w:szCs w:val="22"/>
        </w:rPr>
        <w:t xml:space="preserve">Information describing the normal operation of the physical protection system (e.g., access authorizations, equipment performance logs).  The information is needed to permit NRC to </w:t>
      </w:r>
      <w:proofErr w:type="gramStart"/>
      <w:r w:rsidRPr="006D2719">
        <w:rPr>
          <w:rFonts w:cs="Arial"/>
          <w:sz w:val="22"/>
          <w:szCs w:val="22"/>
        </w:rPr>
        <w:t>make a determination</w:t>
      </w:r>
      <w:proofErr w:type="gramEnd"/>
      <w:r w:rsidRPr="006D2719">
        <w:rPr>
          <w:rFonts w:cs="Arial"/>
          <w:sz w:val="22"/>
          <w:szCs w:val="22"/>
        </w:rPr>
        <w:t xml:space="preserve"> as to reasonable assurance that the physical protection system operates in accordance with the regulatory requirements.</w:t>
      </w:r>
    </w:p>
    <w:p w:rsidRPr="006D2719" w:rsidR="0015185E" w:rsidP="00035592" w:rsidRDefault="0015185E" w14:paraId="7B58D751" w14:textId="77777777">
      <w:pPr>
        <w:ind w:left="1426" w:hanging="58"/>
        <w:rPr>
          <w:rFonts w:cs="Arial"/>
          <w:sz w:val="22"/>
          <w:szCs w:val="22"/>
          <w:u w:val="single"/>
        </w:rPr>
      </w:pPr>
    </w:p>
    <w:p w:rsidR="00F0239C" w:rsidP="009C5670" w:rsidRDefault="0015185E" w14:paraId="7B58D752" w14:textId="77777777">
      <w:pPr>
        <w:numPr>
          <w:ilvl w:val="2"/>
          <w:numId w:val="6"/>
        </w:numPr>
        <w:tabs>
          <w:tab w:val="clear" w:pos="2160"/>
          <w:tab w:val="num" w:pos="1870"/>
        </w:tabs>
        <w:spacing w:after="120"/>
        <w:ind w:left="1870" w:hanging="440"/>
        <w:rPr>
          <w:rFonts w:cs="Arial"/>
          <w:sz w:val="22"/>
          <w:szCs w:val="22"/>
        </w:rPr>
      </w:pPr>
      <w:r w:rsidRPr="006D2719">
        <w:rPr>
          <w:rFonts w:cs="Arial"/>
          <w:sz w:val="22"/>
          <w:szCs w:val="22"/>
        </w:rPr>
        <w:t xml:space="preserve">Information notifying NRC of the occurrence of and circumstances concerning abnormal events (e.g., report of theft, sabotage, or overdue shipment).  The information is needed to enable NRC to fulfill its responsibilities to respond to, investigate, and correct situations which </w:t>
      </w:r>
      <w:r w:rsidR="00357DCC">
        <w:rPr>
          <w:rFonts w:cs="Arial"/>
          <w:sz w:val="22"/>
          <w:szCs w:val="22"/>
        </w:rPr>
        <w:t xml:space="preserve">could </w:t>
      </w:r>
      <w:r w:rsidRPr="006D2719">
        <w:rPr>
          <w:rFonts w:cs="Arial"/>
          <w:sz w:val="22"/>
          <w:szCs w:val="22"/>
        </w:rPr>
        <w:t>adversely affect public health and safety or the common defense and security.</w:t>
      </w:r>
      <w:r w:rsidR="009C5670">
        <w:rPr>
          <w:rFonts w:cs="Arial"/>
          <w:sz w:val="22"/>
          <w:szCs w:val="22"/>
        </w:rPr>
        <w:t xml:space="preserve">  </w:t>
      </w:r>
    </w:p>
    <w:p w:rsidR="002046EC" w:rsidP="00035592" w:rsidRDefault="002046EC" w14:paraId="7B58D753" w14:textId="77777777">
      <w:pPr>
        <w:rPr>
          <w:rFonts w:cs="Arial"/>
          <w:sz w:val="22"/>
          <w:szCs w:val="22"/>
        </w:rPr>
      </w:pPr>
    </w:p>
    <w:p w:rsidRPr="00237A1C" w:rsidR="0015185E" w:rsidP="000A50CD" w:rsidRDefault="009C5670" w14:paraId="7B58D754" w14:textId="77777777">
      <w:pPr>
        <w:numPr>
          <w:ilvl w:val="2"/>
          <w:numId w:val="6"/>
        </w:numPr>
        <w:tabs>
          <w:tab w:val="clear" w:pos="2160"/>
          <w:tab w:val="num" w:pos="1870"/>
        </w:tabs>
        <w:spacing w:after="120"/>
        <w:ind w:left="1870" w:hanging="440"/>
        <w:rPr>
          <w:rFonts w:cs="Arial"/>
          <w:sz w:val="22"/>
          <w:szCs w:val="22"/>
        </w:rPr>
      </w:pPr>
      <w:r w:rsidRPr="00237A1C">
        <w:rPr>
          <w:rFonts w:cs="Arial"/>
          <w:sz w:val="22"/>
          <w:szCs w:val="22"/>
        </w:rPr>
        <w:t>The NRC recognized the potential risk from insiders (persons having unescorted access to radioactive material), because a deliberate malevolent act by such an individual has the potential to result in significant adverse impacts</w:t>
      </w:r>
      <w:r w:rsidRPr="00237A1C" w:rsidR="00634779">
        <w:rPr>
          <w:rFonts w:cs="Arial"/>
          <w:sz w:val="22"/>
          <w:szCs w:val="22"/>
        </w:rPr>
        <w:t>.</w:t>
      </w:r>
      <w:r w:rsidR="00E22983">
        <w:rPr>
          <w:rFonts w:cs="Arial"/>
          <w:sz w:val="22"/>
          <w:szCs w:val="22"/>
        </w:rPr>
        <w:t xml:space="preserve"> </w:t>
      </w:r>
      <w:r w:rsidRPr="00237A1C">
        <w:rPr>
          <w:rFonts w:cs="Arial"/>
          <w:sz w:val="22"/>
          <w:szCs w:val="22"/>
        </w:rPr>
        <w:t xml:space="preserve"> Accordingly, </w:t>
      </w:r>
      <w:r w:rsidR="00155E62">
        <w:rPr>
          <w:rFonts w:cs="Arial"/>
          <w:sz w:val="22"/>
          <w:szCs w:val="22"/>
        </w:rPr>
        <w:t>Part 37 requires</w:t>
      </w:r>
      <w:r w:rsidRPr="00237A1C" w:rsidR="00634779">
        <w:rPr>
          <w:rFonts w:cs="Arial"/>
          <w:sz w:val="22"/>
          <w:szCs w:val="22"/>
        </w:rPr>
        <w:t xml:space="preserve"> </w:t>
      </w:r>
      <w:r w:rsidRPr="00237A1C">
        <w:rPr>
          <w:rFonts w:cs="Arial"/>
          <w:sz w:val="22"/>
          <w:szCs w:val="22"/>
        </w:rPr>
        <w:t>background investigation</w:t>
      </w:r>
      <w:r w:rsidRPr="00237A1C" w:rsidR="00634779">
        <w:rPr>
          <w:rFonts w:cs="Arial"/>
          <w:sz w:val="22"/>
          <w:szCs w:val="22"/>
        </w:rPr>
        <w:t>s,</w:t>
      </w:r>
      <w:r w:rsidRPr="00237A1C">
        <w:rPr>
          <w:rFonts w:cs="Arial"/>
          <w:sz w:val="22"/>
          <w:szCs w:val="22"/>
        </w:rPr>
        <w:t xml:space="preserve"> </w:t>
      </w:r>
      <w:r w:rsidR="00237A1C">
        <w:rPr>
          <w:rFonts w:cs="Arial"/>
          <w:sz w:val="22"/>
          <w:szCs w:val="22"/>
        </w:rPr>
        <w:t>including the collection of fingerprints and criminal history records check.</w:t>
      </w:r>
      <w:r w:rsidR="00F624C8">
        <w:rPr>
          <w:rFonts w:cs="Arial"/>
          <w:sz w:val="22"/>
          <w:szCs w:val="22"/>
        </w:rPr>
        <w:t xml:space="preserve">  </w:t>
      </w:r>
      <w:r w:rsidRPr="00F624C8" w:rsidR="00F624C8">
        <w:rPr>
          <w:rFonts w:cs="Arial"/>
          <w:sz w:val="22"/>
          <w:szCs w:val="22"/>
        </w:rPr>
        <w:t xml:space="preserve">The NRC uses the </w:t>
      </w:r>
      <w:r w:rsidR="00CD65E4">
        <w:rPr>
          <w:rFonts w:cs="Arial"/>
          <w:sz w:val="22"/>
          <w:szCs w:val="22"/>
        </w:rPr>
        <w:t>Federal Bureau of Investigation (</w:t>
      </w:r>
      <w:r w:rsidRPr="00F624C8" w:rsidR="00F624C8">
        <w:rPr>
          <w:rFonts w:cs="Arial"/>
          <w:sz w:val="22"/>
          <w:szCs w:val="22"/>
        </w:rPr>
        <w:t>FBI</w:t>
      </w:r>
      <w:r w:rsidR="00CD65E4">
        <w:rPr>
          <w:rFonts w:cs="Arial"/>
          <w:sz w:val="22"/>
          <w:szCs w:val="22"/>
        </w:rPr>
        <w:t>)</w:t>
      </w:r>
      <w:r w:rsidRPr="00F624C8" w:rsidR="00F624C8">
        <w:rPr>
          <w:rFonts w:cs="Arial"/>
          <w:sz w:val="22"/>
          <w:szCs w:val="22"/>
        </w:rPr>
        <w:t xml:space="preserve"> form FD-258, “Applicant Fingerprint Card” for the submission of fingerprints under this requirement.  The NRC has included the hours associated with completing this form in the current Part 37 submission, because the FBI has not yet converted the FD-258 to a common form</w:t>
      </w:r>
      <w:r w:rsidR="00F624C8">
        <w:rPr>
          <w:rFonts w:cs="Arial"/>
          <w:sz w:val="22"/>
          <w:szCs w:val="22"/>
        </w:rPr>
        <w:t>.</w:t>
      </w:r>
      <w:r w:rsidR="00237A1C">
        <w:rPr>
          <w:rFonts w:cs="Arial"/>
          <w:sz w:val="22"/>
          <w:szCs w:val="22"/>
        </w:rPr>
        <w:t xml:space="preserve"> </w:t>
      </w:r>
    </w:p>
    <w:p w:rsidRPr="009C5670" w:rsidR="00634779" w:rsidP="00035592" w:rsidRDefault="00634779" w14:paraId="7B58D755" w14:textId="77777777">
      <w:pPr>
        <w:ind w:left="1426"/>
        <w:rPr>
          <w:rFonts w:cs="Arial"/>
          <w:sz w:val="22"/>
          <w:szCs w:val="22"/>
          <w:u w:val="single"/>
        </w:rPr>
      </w:pPr>
    </w:p>
    <w:p w:rsidR="0015185E" w:rsidP="0015185E" w:rsidRDefault="0015185E" w14:paraId="7B58D756" w14:textId="77777777">
      <w:pPr>
        <w:spacing w:after="120"/>
        <w:ind w:left="1440"/>
        <w:rPr>
          <w:rFonts w:cs="Arial"/>
          <w:sz w:val="22"/>
          <w:szCs w:val="22"/>
        </w:rPr>
      </w:pPr>
      <w:r w:rsidRPr="006D2719">
        <w:rPr>
          <w:rFonts w:cs="Arial"/>
          <w:sz w:val="22"/>
          <w:szCs w:val="22"/>
        </w:rPr>
        <w:t xml:space="preserve">Specific requirements for reports and records in Part 37 are </w:t>
      </w:r>
      <w:r w:rsidR="001B535D">
        <w:rPr>
          <w:rFonts w:cs="Arial"/>
          <w:sz w:val="22"/>
          <w:szCs w:val="22"/>
        </w:rPr>
        <w:t>described in detail at the end of this supporting statement in the “Description of Information Collections in 10 CFR Part 37.”</w:t>
      </w:r>
    </w:p>
    <w:p w:rsidR="00FF7485" w:rsidP="00C10108" w:rsidRDefault="00FF7485" w14:paraId="7B58D757" w14:textId="77777777">
      <w:pPr>
        <w:tabs>
          <w:tab w:val="left" w:pos="720"/>
          <w:tab w:val="left" w:pos="1440"/>
        </w:tabs>
        <w:rPr>
          <w:rFonts w:cs="Arial"/>
          <w:sz w:val="22"/>
          <w:szCs w:val="22"/>
        </w:rPr>
      </w:pPr>
    </w:p>
    <w:p w:rsidRPr="006D2719" w:rsidR="00F25AFA" w:rsidP="00716A2E" w:rsidRDefault="00F25AFA" w14:paraId="7B58D758" w14:textId="77777777">
      <w:pPr>
        <w:tabs>
          <w:tab w:val="left" w:pos="720"/>
          <w:tab w:val="left" w:pos="1440"/>
        </w:tabs>
        <w:ind w:left="1440" w:hanging="720"/>
        <w:rPr>
          <w:rFonts w:cs="Arial"/>
          <w:sz w:val="22"/>
          <w:szCs w:val="22"/>
        </w:rPr>
      </w:pPr>
      <w:r w:rsidRPr="006D2719">
        <w:rPr>
          <w:rFonts w:cs="Arial"/>
          <w:sz w:val="22"/>
          <w:szCs w:val="22"/>
        </w:rPr>
        <w:t>2.</w:t>
      </w:r>
      <w:r w:rsidRPr="006D2719">
        <w:rPr>
          <w:rFonts w:cs="Arial"/>
          <w:sz w:val="22"/>
          <w:szCs w:val="22"/>
        </w:rPr>
        <w:tab/>
      </w:r>
      <w:r w:rsidRPr="006D2719">
        <w:rPr>
          <w:rFonts w:cs="Arial"/>
          <w:sz w:val="22"/>
          <w:szCs w:val="22"/>
          <w:u w:val="single"/>
        </w:rPr>
        <w:t>Agency Use of the Information</w:t>
      </w:r>
    </w:p>
    <w:p w:rsidRPr="006D2719" w:rsidR="00F25AFA" w:rsidP="00716A2E" w:rsidRDefault="00F25AFA" w14:paraId="7B58D759" w14:textId="77777777">
      <w:pPr>
        <w:rPr>
          <w:rFonts w:cs="Arial"/>
          <w:sz w:val="22"/>
          <w:szCs w:val="22"/>
        </w:rPr>
      </w:pPr>
    </w:p>
    <w:p w:rsidR="00B15C42" w:rsidP="00716A2E" w:rsidRDefault="004F7056" w14:paraId="289B869A" w14:textId="097BCEF3">
      <w:pPr>
        <w:ind w:left="1440"/>
        <w:rPr>
          <w:rFonts w:cs="Arial"/>
          <w:sz w:val="22"/>
          <w:szCs w:val="22"/>
        </w:rPr>
      </w:pPr>
      <w:r w:rsidRPr="006D2719">
        <w:rPr>
          <w:rFonts w:cs="Arial"/>
          <w:sz w:val="22"/>
          <w:szCs w:val="22"/>
          <w:lang w:val="en-CA"/>
        </w:rPr>
        <w:fldChar w:fldCharType="begin"/>
      </w:r>
      <w:r w:rsidRPr="006D2719">
        <w:rPr>
          <w:rFonts w:cs="Arial"/>
          <w:sz w:val="22"/>
          <w:szCs w:val="22"/>
          <w:lang w:val="en-CA"/>
        </w:rPr>
        <w:instrText xml:space="preserve"> SEQ CHAPTER \h \r 1</w:instrText>
      </w:r>
      <w:r w:rsidRPr="006D2719">
        <w:rPr>
          <w:rFonts w:cs="Arial"/>
          <w:sz w:val="22"/>
          <w:szCs w:val="22"/>
        </w:rPr>
        <w:fldChar w:fldCharType="end"/>
      </w:r>
      <w:r w:rsidRPr="006D2719">
        <w:rPr>
          <w:rFonts w:cs="Arial"/>
          <w:sz w:val="22"/>
          <w:szCs w:val="22"/>
        </w:rPr>
        <w:t xml:space="preserve">The NRC </w:t>
      </w:r>
      <w:r w:rsidR="00C534E2">
        <w:rPr>
          <w:rFonts w:cs="Arial"/>
          <w:sz w:val="22"/>
          <w:szCs w:val="22"/>
        </w:rPr>
        <w:t>uses</w:t>
      </w:r>
      <w:r w:rsidRPr="006D2719">
        <w:rPr>
          <w:rFonts w:cs="Arial"/>
          <w:sz w:val="22"/>
          <w:szCs w:val="22"/>
        </w:rPr>
        <w:t xml:space="preserve"> the information required by </w:t>
      </w:r>
      <w:r w:rsidR="00C534E2">
        <w:rPr>
          <w:rFonts w:cs="Arial"/>
          <w:sz w:val="22"/>
          <w:szCs w:val="22"/>
        </w:rPr>
        <w:t>10 CFR Part 37</w:t>
      </w:r>
      <w:r w:rsidRPr="006D2719">
        <w:rPr>
          <w:rFonts w:cs="Arial"/>
          <w:sz w:val="22"/>
          <w:szCs w:val="22"/>
        </w:rPr>
        <w:t>, including the records that 10 CFR Part 37 requires licensees to maintain</w:t>
      </w:r>
      <w:r w:rsidR="00E25CFE">
        <w:rPr>
          <w:rFonts w:cs="Arial"/>
          <w:sz w:val="22"/>
          <w:szCs w:val="22"/>
        </w:rPr>
        <w:t>,</w:t>
      </w:r>
      <w:r w:rsidRPr="006D2719">
        <w:rPr>
          <w:rFonts w:cs="Arial"/>
          <w:sz w:val="22"/>
          <w:szCs w:val="22"/>
        </w:rPr>
        <w:t xml:space="preserve"> during the application process, inspections, license renewals, and license amendment reviews to assure that licensees are complying with NRC security requirements </w:t>
      </w:r>
      <w:r w:rsidR="003A19BE">
        <w:rPr>
          <w:rFonts w:cs="Arial"/>
          <w:sz w:val="22"/>
          <w:szCs w:val="22"/>
        </w:rPr>
        <w:t xml:space="preserve">for </w:t>
      </w:r>
      <w:r w:rsidRPr="006D2719">
        <w:rPr>
          <w:rFonts w:cs="Arial"/>
          <w:sz w:val="22"/>
          <w:szCs w:val="22"/>
        </w:rPr>
        <w:t>possession and use of risk-significant radioactive material.</w:t>
      </w:r>
      <w:r w:rsidR="00FA722D">
        <w:rPr>
          <w:rFonts w:cs="Arial"/>
          <w:sz w:val="22"/>
          <w:szCs w:val="22"/>
        </w:rPr>
        <w:t xml:space="preserve"> </w:t>
      </w:r>
      <w:r w:rsidR="005C72E2">
        <w:rPr>
          <w:rFonts w:cs="Arial"/>
          <w:sz w:val="22"/>
          <w:szCs w:val="22"/>
        </w:rPr>
        <w:t xml:space="preserve"> </w:t>
      </w:r>
      <w:r w:rsidR="006F7F0E">
        <w:rPr>
          <w:rFonts w:cs="Arial"/>
          <w:sz w:val="22"/>
          <w:szCs w:val="22"/>
        </w:rPr>
        <w:t>Examples of the information that is required by 10 CFR Part 37 include:</w:t>
      </w:r>
    </w:p>
    <w:p w:rsidRPr="006F7F0E" w:rsidR="006F7F0E" w:rsidP="00BF43F8" w:rsidRDefault="006F7F0E" w14:paraId="653B6ABE" w14:textId="57A9A66F">
      <w:pPr>
        <w:numPr>
          <w:ilvl w:val="2"/>
          <w:numId w:val="6"/>
        </w:numPr>
        <w:tabs>
          <w:tab w:val="clear" w:pos="2160"/>
        </w:tabs>
        <w:spacing w:after="120"/>
        <w:ind w:left="1890" w:hanging="450"/>
        <w:rPr>
          <w:rFonts w:cs="Arial"/>
          <w:sz w:val="22"/>
          <w:szCs w:val="22"/>
        </w:rPr>
      </w:pPr>
      <w:r w:rsidRPr="006F7F0E">
        <w:rPr>
          <w:rFonts w:cs="Arial"/>
          <w:sz w:val="22"/>
          <w:szCs w:val="22"/>
        </w:rPr>
        <w:lastRenderedPageBreak/>
        <w:t xml:space="preserve">Information describing the content and planned operation of the licensee's physical protection system.  </w:t>
      </w:r>
    </w:p>
    <w:p w:rsidRPr="00BF43F8" w:rsidR="006F7F0E" w:rsidP="00BF43F8" w:rsidRDefault="006F7F0E" w14:paraId="0A78B1A2" w14:textId="646A5232">
      <w:pPr>
        <w:numPr>
          <w:ilvl w:val="2"/>
          <w:numId w:val="6"/>
        </w:numPr>
        <w:tabs>
          <w:tab w:val="clear" w:pos="2160"/>
          <w:tab w:val="num" w:pos="1870"/>
        </w:tabs>
        <w:spacing w:after="120"/>
        <w:ind w:left="1870" w:hanging="440"/>
        <w:rPr>
          <w:rFonts w:cs="Arial"/>
          <w:sz w:val="22"/>
          <w:szCs w:val="22"/>
        </w:rPr>
      </w:pPr>
      <w:bookmarkStart w:name="_Hlk32406209" w:id="0"/>
      <w:r w:rsidRPr="006D2719">
        <w:rPr>
          <w:rFonts w:cs="Arial"/>
          <w:sz w:val="22"/>
          <w:szCs w:val="22"/>
        </w:rPr>
        <w:t xml:space="preserve">Information describing the normal operation of the physical protection system (e.g., access authorizations, equipment performance logs).  </w:t>
      </w:r>
      <w:bookmarkEnd w:id="0"/>
    </w:p>
    <w:p w:rsidRPr="00BF43F8" w:rsidR="006F7F0E" w:rsidP="00BF43F8" w:rsidRDefault="006F7F0E" w14:paraId="5764AF91" w14:textId="7F6916C1">
      <w:pPr>
        <w:numPr>
          <w:ilvl w:val="2"/>
          <w:numId w:val="6"/>
        </w:numPr>
        <w:tabs>
          <w:tab w:val="clear" w:pos="2160"/>
          <w:tab w:val="num" w:pos="1870"/>
        </w:tabs>
        <w:spacing w:after="120"/>
        <w:ind w:left="1870" w:hanging="440"/>
        <w:rPr>
          <w:rFonts w:cs="Arial"/>
          <w:sz w:val="22"/>
          <w:szCs w:val="22"/>
        </w:rPr>
      </w:pPr>
      <w:bookmarkStart w:name="_Hlk32406243" w:id="1"/>
      <w:r w:rsidRPr="006D2719">
        <w:rPr>
          <w:rFonts w:cs="Arial"/>
          <w:sz w:val="22"/>
          <w:szCs w:val="22"/>
        </w:rPr>
        <w:t xml:space="preserve">Information notifying NRC of the occurrence of and circumstances concerning abnormal events (e.g., report of theft, sabotage, or overdue shipment). </w:t>
      </w:r>
      <w:r>
        <w:rPr>
          <w:rFonts w:cs="Arial"/>
          <w:sz w:val="22"/>
          <w:szCs w:val="22"/>
        </w:rPr>
        <w:t xml:space="preserve"> </w:t>
      </w:r>
      <w:bookmarkEnd w:id="1"/>
    </w:p>
    <w:p w:rsidR="00BF43F8" w:rsidP="00BF43F8" w:rsidRDefault="006F7F0E" w14:paraId="21ACD2DF" w14:textId="41770764">
      <w:pPr>
        <w:numPr>
          <w:ilvl w:val="2"/>
          <w:numId w:val="6"/>
        </w:numPr>
        <w:tabs>
          <w:tab w:val="clear" w:pos="2160"/>
          <w:tab w:val="num" w:pos="1870"/>
        </w:tabs>
        <w:spacing w:after="120"/>
        <w:ind w:left="1890" w:hanging="450"/>
        <w:rPr>
          <w:rFonts w:cs="Arial"/>
          <w:sz w:val="22"/>
          <w:szCs w:val="22"/>
        </w:rPr>
      </w:pPr>
      <w:r w:rsidRPr="00BF43F8">
        <w:rPr>
          <w:rFonts w:cs="Arial"/>
          <w:sz w:val="22"/>
          <w:szCs w:val="22"/>
        </w:rPr>
        <w:t xml:space="preserve"> </w:t>
      </w:r>
      <w:r w:rsidRPr="00BF43F8" w:rsidR="00BF43F8">
        <w:rPr>
          <w:rFonts w:cs="Arial"/>
          <w:sz w:val="22"/>
          <w:szCs w:val="22"/>
        </w:rPr>
        <w:t xml:space="preserve">The </w:t>
      </w:r>
      <w:r w:rsidRPr="00BF43F8">
        <w:rPr>
          <w:rFonts w:cs="Arial"/>
          <w:sz w:val="22"/>
          <w:szCs w:val="22"/>
        </w:rPr>
        <w:t>submission of fingerprints</w:t>
      </w:r>
      <w:r w:rsidRPr="00BF43F8" w:rsidR="00BF43F8">
        <w:rPr>
          <w:rFonts w:cs="Arial"/>
          <w:sz w:val="22"/>
          <w:szCs w:val="22"/>
        </w:rPr>
        <w:t xml:space="preserve"> </w:t>
      </w:r>
      <w:r w:rsidR="00BF43F8">
        <w:rPr>
          <w:rFonts w:cs="Arial"/>
          <w:sz w:val="22"/>
          <w:szCs w:val="22"/>
        </w:rPr>
        <w:t xml:space="preserve">using </w:t>
      </w:r>
      <w:r w:rsidRPr="00BF43F8" w:rsidR="00BF43F8">
        <w:rPr>
          <w:rFonts w:cs="Arial"/>
          <w:sz w:val="22"/>
          <w:szCs w:val="22"/>
        </w:rPr>
        <w:t>the Federal Bureau of Investigation (FBI) form FD-258, “Applicant Fingerprint Card</w:t>
      </w:r>
      <w:r w:rsidR="00BF43F8">
        <w:rPr>
          <w:rFonts w:cs="Arial"/>
          <w:sz w:val="22"/>
          <w:szCs w:val="22"/>
        </w:rPr>
        <w:t>.</w:t>
      </w:r>
      <w:r w:rsidRPr="00BF43F8" w:rsidR="00BF43F8">
        <w:rPr>
          <w:rFonts w:cs="Arial"/>
          <w:sz w:val="22"/>
          <w:szCs w:val="22"/>
        </w:rPr>
        <w:t xml:space="preserve">” </w:t>
      </w:r>
      <w:r w:rsidRPr="0034530C" w:rsidR="00BF43F8">
        <w:rPr>
          <w:rFonts w:cs="Arial"/>
          <w:sz w:val="22"/>
          <w:szCs w:val="22"/>
        </w:rPr>
        <w:t xml:space="preserve"> </w:t>
      </w:r>
    </w:p>
    <w:p w:rsidR="00BF43F8" w:rsidP="00BF43F8" w:rsidRDefault="00BF43F8" w14:paraId="7E227718" w14:textId="77777777">
      <w:pPr>
        <w:pStyle w:val="ListParagraph"/>
      </w:pPr>
    </w:p>
    <w:p w:rsidR="00BF43F8" w:rsidP="00BF43F8" w:rsidRDefault="00BF43F8" w14:paraId="5A022345" w14:textId="77777777">
      <w:pPr>
        <w:spacing w:after="120"/>
        <w:ind w:left="1440"/>
        <w:rPr>
          <w:rFonts w:cs="Arial"/>
          <w:sz w:val="22"/>
          <w:szCs w:val="22"/>
        </w:rPr>
      </w:pPr>
      <w:r w:rsidRPr="00BF43F8">
        <w:rPr>
          <w:rFonts w:cs="Arial"/>
          <w:sz w:val="22"/>
          <w:szCs w:val="22"/>
        </w:rPr>
        <w:t xml:space="preserve">In addition, licensees must retain copies of the following records under 10 CFR Part 37: </w:t>
      </w:r>
    </w:p>
    <w:p w:rsidR="00BF43F8" w:rsidP="00BF43F8" w:rsidRDefault="00BF43F8" w14:paraId="1F10031B" w14:textId="77777777">
      <w:pPr>
        <w:pStyle w:val="ListParagraph"/>
      </w:pPr>
    </w:p>
    <w:p w:rsidR="00BF43F8" w:rsidP="00BF43F8" w:rsidRDefault="00BF43F8" w14:paraId="7CA74B2A" w14:textId="77777777">
      <w:pPr>
        <w:numPr>
          <w:ilvl w:val="2"/>
          <w:numId w:val="6"/>
        </w:numPr>
        <w:tabs>
          <w:tab w:val="clear" w:pos="2160"/>
        </w:tabs>
        <w:spacing w:after="120"/>
        <w:ind w:left="1890" w:hanging="450"/>
        <w:rPr>
          <w:rFonts w:cs="Arial"/>
          <w:sz w:val="22"/>
          <w:szCs w:val="22"/>
        </w:rPr>
      </w:pPr>
      <w:r>
        <w:rPr>
          <w:rFonts w:cs="Arial"/>
          <w:sz w:val="22"/>
          <w:szCs w:val="22"/>
        </w:rPr>
        <w:t>S</w:t>
      </w:r>
      <w:r w:rsidRPr="00BF43F8">
        <w:rPr>
          <w:rFonts w:cs="Arial"/>
          <w:sz w:val="22"/>
          <w:szCs w:val="22"/>
        </w:rPr>
        <w:t>ecurity plan</w:t>
      </w:r>
    </w:p>
    <w:p w:rsidR="00BF43F8" w:rsidP="00BF43F8" w:rsidRDefault="00BF43F8" w14:paraId="729A3E1F" w14:textId="77777777">
      <w:pPr>
        <w:numPr>
          <w:ilvl w:val="2"/>
          <w:numId w:val="6"/>
        </w:numPr>
        <w:tabs>
          <w:tab w:val="clear" w:pos="2160"/>
        </w:tabs>
        <w:spacing w:after="120"/>
        <w:ind w:left="1890" w:hanging="450"/>
        <w:rPr>
          <w:rFonts w:cs="Arial"/>
          <w:sz w:val="22"/>
          <w:szCs w:val="22"/>
        </w:rPr>
      </w:pPr>
      <w:r>
        <w:rPr>
          <w:rFonts w:cs="Arial"/>
          <w:sz w:val="22"/>
          <w:szCs w:val="22"/>
        </w:rPr>
        <w:t>P</w:t>
      </w:r>
      <w:r w:rsidRPr="00BF43F8">
        <w:rPr>
          <w:rFonts w:cs="Arial"/>
          <w:sz w:val="22"/>
          <w:szCs w:val="22"/>
        </w:rPr>
        <w:t>rocedures</w:t>
      </w:r>
    </w:p>
    <w:p w:rsidR="00BF43F8" w:rsidP="00BF43F8" w:rsidRDefault="00BF43F8" w14:paraId="37528ECE" w14:textId="77777777">
      <w:pPr>
        <w:numPr>
          <w:ilvl w:val="2"/>
          <w:numId w:val="6"/>
        </w:numPr>
        <w:tabs>
          <w:tab w:val="clear" w:pos="2160"/>
        </w:tabs>
        <w:spacing w:after="120"/>
        <w:ind w:left="1890" w:hanging="450"/>
        <w:rPr>
          <w:rFonts w:cs="Arial"/>
          <w:sz w:val="22"/>
          <w:szCs w:val="22"/>
        </w:rPr>
      </w:pPr>
      <w:r>
        <w:rPr>
          <w:rFonts w:cs="Arial"/>
          <w:sz w:val="22"/>
          <w:szCs w:val="22"/>
        </w:rPr>
        <w:t>B</w:t>
      </w:r>
      <w:r w:rsidRPr="00BF43F8">
        <w:rPr>
          <w:rFonts w:cs="Arial"/>
          <w:sz w:val="22"/>
          <w:szCs w:val="22"/>
        </w:rPr>
        <w:t>ackground investigation records</w:t>
      </w:r>
    </w:p>
    <w:p w:rsidR="00BF43F8" w:rsidP="00BF43F8" w:rsidRDefault="00BF43F8" w14:paraId="5860FBFA" w14:textId="77777777">
      <w:pPr>
        <w:numPr>
          <w:ilvl w:val="2"/>
          <w:numId w:val="6"/>
        </w:numPr>
        <w:tabs>
          <w:tab w:val="clear" w:pos="2160"/>
        </w:tabs>
        <w:spacing w:after="120"/>
        <w:ind w:left="1890" w:hanging="450"/>
        <w:rPr>
          <w:rFonts w:cs="Arial"/>
          <w:sz w:val="22"/>
          <w:szCs w:val="22"/>
        </w:rPr>
      </w:pPr>
      <w:r>
        <w:rPr>
          <w:rFonts w:cs="Arial"/>
          <w:sz w:val="22"/>
          <w:szCs w:val="22"/>
        </w:rPr>
        <w:t>T</w:t>
      </w:r>
      <w:r w:rsidRPr="00BF43F8">
        <w:rPr>
          <w:rFonts w:cs="Arial"/>
          <w:sz w:val="22"/>
          <w:szCs w:val="22"/>
        </w:rPr>
        <w:t>raining record</w:t>
      </w:r>
      <w:r>
        <w:rPr>
          <w:rFonts w:cs="Arial"/>
          <w:sz w:val="22"/>
          <w:szCs w:val="22"/>
        </w:rPr>
        <w:t>s</w:t>
      </w:r>
    </w:p>
    <w:p w:rsidRPr="00BF43F8" w:rsidR="00BF43F8" w:rsidP="00BF43F8" w:rsidRDefault="00BF43F8" w14:paraId="2BE288C6" w14:textId="398A27FF">
      <w:pPr>
        <w:numPr>
          <w:ilvl w:val="2"/>
          <w:numId w:val="6"/>
        </w:numPr>
        <w:tabs>
          <w:tab w:val="clear" w:pos="2160"/>
        </w:tabs>
        <w:spacing w:after="120"/>
        <w:ind w:left="1890" w:hanging="450"/>
        <w:rPr>
          <w:rFonts w:cs="Arial"/>
          <w:sz w:val="22"/>
          <w:szCs w:val="22"/>
        </w:rPr>
      </w:pPr>
      <w:r>
        <w:rPr>
          <w:rFonts w:cs="Arial"/>
          <w:sz w:val="22"/>
          <w:szCs w:val="22"/>
        </w:rPr>
        <w:t>D</w:t>
      </w:r>
      <w:r w:rsidRPr="00BF43F8">
        <w:rPr>
          <w:rFonts w:cs="Arial"/>
          <w:sz w:val="22"/>
          <w:szCs w:val="22"/>
        </w:rPr>
        <w:t>ocumentation that certain activities have occurred</w:t>
      </w:r>
    </w:p>
    <w:p w:rsidR="006F7F0E" w:rsidP="00716A2E" w:rsidRDefault="006F7F0E" w14:paraId="3923A9CC" w14:textId="31FA1ED5">
      <w:pPr>
        <w:ind w:left="1440"/>
        <w:rPr>
          <w:rFonts w:cs="Arial"/>
          <w:sz w:val="22"/>
          <w:szCs w:val="22"/>
        </w:rPr>
      </w:pPr>
    </w:p>
    <w:p w:rsidR="004F7056" w:rsidP="006F7F0E" w:rsidRDefault="006F7F0E" w14:paraId="7B58D75A" w14:textId="677B13D5">
      <w:pPr>
        <w:spacing w:after="120"/>
        <w:ind w:left="1440"/>
        <w:rPr>
          <w:rFonts w:cs="Arial"/>
          <w:sz w:val="22"/>
          <w:szCs w:val="22"/>
        </w:rPr>
      </w:pPr>
      <w:r w:rsidRPr="006D2719">
        <w:rPr>
          <w:rFonts w:cs="Arial"/>
          <w:sz w:val="22"/>
          <w:szCs w:val="22"/>
        </w:rPr>
        <w:t xml:space="preserve">Specific requirements for reports and records in Part 37 are </w:t>
      </w:r>
      <w:r>
        <w:rPr>
          <w:rFonts w:cs="Arial"/>
          <w:sz w:val="22"/>
          <w:szCs w:val="22"/>
        </w:rPr>
        <w:t xml:space="preserve">described in detail at the end of this supporting statement in the “Description of Information Collections in 10 CFR Part 37.” </w:t>
      </w:r>
      <w:r w:rsidR="00FA722D">
        <w:rPr>
          <w:rFonts w:cs="Arial"/>
          <w:sz w:val="22"/>
          <w:szCs w:val="22"/>
        </w:rPr>
        <w:t>Th</w:t>
      </w:r>
      <w:r>
        <w:rPr>
          <w:rFonts w:cs="Arial"/>
          <w:sz w:val="22"/>
          <w:szCs w:val="22"/>
        </w:rPr>
        <w:t xml:space="preserve">is information </w:t>
      </w:r>
      <w:proofErr w:type="gramStart"/>
      <w:r>
        <w:rPr>
          <w:rFonts w:cs="Arial"/>
          <w:sz w:val="22"/>
          <w:szCs w:val="22"/>
        </w:rPr>
        <w:t xml:space="preserve">collected </w:t>
      </w:r>
      <w:r w:rsidR="00FA722D">
        <w:rPr>
          <w:rFonts w:cs="Arial"/>
          <w:sz w:val="22"/>
          <w:szCs w:val="22"/>
        </w:rPr>
        <w:t xml:space="preserve"> </w:t>
      </w:r>
      <w:r w:rsidRPr="006D2719" w:rsidR="00FA722D">
        <w:rPr>
          <w:rFonts w:cs="Arial"/>
          <w:sz w:val="22"/>
          <w:szCs w:val="22"/>
        </w:rPr>
        <w:t>enable</w:t>
      </w:r>
      <w:r w:rsidR="00FA722D">
        <w:rPr>
          <w:rFonts w:cs="Arial"/>
          <w:sz w:val="22"/>
          <w:szCs w:val="22"/>
        </w:rPr>
        <w:t>s</w:t>
      </w:r>
      <w:proofErr w:type="gramEnd"/>
      <w:r w:rsidR="00FA722D">
        <w:rPr>
          <w:rFonts w:cs="Arial"/>
          <w:sz w:val="22"/>
          <w:szCs w:val="22"/>
        </w:rPr>
        <w:t xml:space="preserve"> the</w:t>
      </w:r>
      <w:r w:rsidRPr="006D2719" w:rsidR="00FA722D">
        <w:rPr>
          <w:rFonts w:cs="Arial"/>
          <w:sz w:val="22"/>
          <w:szCs w:val="22"/>
        </w:rPr>
        <w:t xml:space="preserve"> NRC to fulfill its responsibilities to respond to, investigate, and correct situations </w:t>
      </w:r>
      <w:r w:rsidR="003966AB">
        <w:rPr>
          <w:rFonts w:cs="Arial"/>
          <w:sz w:val="22"/>
          <w:szCs w:val="22"/>
        </w:rPr>
        <w:t>that</w:t>
      </w:r>
      <w:r w:rsidRPr="006D2719" w:rsidR="00FA722D">
        <w:rPr>
          <w:rFonts w:cs="Arial"/>
          <w:sz w:val="22"/>
          <w:szCs w:val="22"/>
        </w:rPr>
        <w:t xml:space="preserve"> adversely affect public health and safety or the common defense and security</w:t>
      </w:r>
      <w:r w:rsidR="00FA722D">
        <w:rPr>
          <w:rFonts w:cs="Arial"/>
          <w:sz w:val="22"/>
          <w:szCs w:val="22"/>
        </w:rPr>
        <w:t>.</w:t>
      </w:r>
      <w:r>
        <w:rPr>
          <w:rFonts w:cs="Arial"/>
          <w:sz w:val="22"/>
          <w:szCs w:val="22"/>
        </w:rPr>
        <w:t xml:space="preserve"> The NRC uses each of the information components collected (that are identified above) to:</w:t>
      </w:r>
    </w:p>
    <w:p w:rsidR="006F7F0E" w:rsidP="006F7F0E" w:rsidRDefault="006F7F0E" w14:paraId="6CB4CBD1" w14:textId="2333DAA7">
      <w:pPr>
        <w:pStyle w:val="ListParagraph"/>
        <w:numPr>
          <w:ilvl w:val="0"/>
          <w:numId w:val="19"/>
        </w:numPr>
        <w:spacing w:after="120"/>
        <w:ind w:left="1890" w:hanging="450"/>
      </w:pPr>
      <w:r>
        <w:t>Permit</w:t>
      </w:r>
      <w:r w:rsidRPr="006F7F0E">
        <w:t xml:space="preserve"> NRC to </w:t>
      </w:r>
      <w:proofErr w:type="gramStart"/>
      <w:r w:rsidRPr="006F7F0E">
        <w:t>make a determination</w:t>
      </w:r>
      <w:proofErr w:type="gramEnd"/>
      <w:r w:rsidRPr="006F7F0E">
        <w:t xml:space="preserve"> as to the adequacy of the licensee's planned system in meeting regulatory requirements.</w:t>
      </w:r>
    </w:p>
    <w:p w:rsidRPr="006F7F0E" w:rsidR="006F7F0E" w:rsidP="006F7F0E" w:rsidRDefault="006F7F0E" w14:paraId="0044E76C" w14:textId="5455AC98">
      <w:pPr>
        <w:pStyle w:val="ListParagraph"/>
        <w:numPr>
          <w:ilvl w:val="0"/>
          <w:numId w:val="19"/>
        </w:numPr>
        <w:ind w:left="1890" w:hanging="450"/>
      </w:pPr>
      <w:r>
        <w:t>P</w:t>
      </w:r>
      <w:r w:rsidRPr="006F7F0E">
        <w:t xml:space="preserve">ermit NRC to </w:t>
      </w:r>
      <w:proofErr w:type="gramStart"/>
      <w:r w:rsidRPr="006F7F0E">
        <w:t>make a determination</w:t>
      </w:r>
      <w:proofErr w:type="gramEnd"/>
      <w:r w:rsidRPr="006F7F0E">
        <w:t xml:space="preserve"> as to reasonable assurance that the physical protection system operates in accordance with the regulatory requirements.</w:t>
      </w:r>
    </w:p>
    <w:p w:rsidRPr="006F7F0E" w:rsidR="006F7F0E" w:rsidP="00BF43F8" w:rsidRDefault="006F7F0E" w14:paraId="63389E4C" w14:textId="6A9F1285">
      <w:pPr>
        <w:pStyle w:val="ListParagraph"/>
        <w:numPr>
          <w:ilvl w:val="0"/>
          <w:numId w:val="19"/>
        </w:numPr>
        <w:ind w:left="1890" w:hanging="450"/>
      </w:pPr>
      <w:r>
        <w:t>Enable</w:t>
      </w:r>
      <w:r w:rsidRPr="006F7F0E">
        <w:t xml:space="preserve"> NRC to fulfill its responsibilities to respond to, investigate, and correct situations which could adversely affect public health and safety or the common defense and security.  </w:t>
      </w:r>
    </w:p>
    <w:p w:rsidRPr="006F7F0E" w:rsidR="006F7F0E" w:rsidP="00BF43F8" w:rsidRDefault="006F7F0E" w14:paraId="17580F96" w14:textId="5B470B8C">
      <w:pPr>
        <w:pStyle w:val="ListParagraph"/>
        <w:numPr>
          <w:ilvl w:val="0"/>
          <w:numId w:val="19"/>
        </w:numPr>
        <w:spacing w:after="120"/>
        <w:ind w:left="1890" w:hanging="450"/>
      </w:pPr>
      <w:r>
        <w:t>Mitigate</w:t>
      </w:r>
      <w:r w:rsidRPr="00237A1C">
        <w:t xml:space="preserve"> the potential risk from insiders (persons having unescorted access to radioactive material), because a deliberate malevolent act by such an individual has the potential to result in significant adverse impacts.</w:t>
      </w:r>
    </w:p>
    <w:p w:rsidRPr="006D2719" w:rsidR="00716A2E" w:rsidP="00716A2E" w:rsidRDefault="00716A2E" w14:paraId="7B58D75B" w14:textId="77777777">
      <w:pPr>
        <w:ind w:left="1440"/>
        <w:rPr>
          <w:rFonts w:cs="Arial"/>
          <w:sz w:val="22"/>
          <w:szCs w:val="22"/>
        </w:rPr>
      </w:pPr>
    </w:p>
    <w:p w:rsidRPr="006D2719" w:rsidR="00F25AFA" w:rsidP="00716A2E" w:rsidRDefault="00F25AFA" w14:paraId="7B58D75C" w14:textId="77777777">
      <w:pPr>
        <w:tabs>
          <w:tab w:val="left" w:pos="720"/>
          <w:tab w:val="left" w:pos="1440"/>
        </w:tabs>
        <w:ind w:left="1440" w:hanging="720"/>
        <w:rPr>
          <w:rFonts w:cs="Arial"/>
          <w:sz w:val="22"/>
          <w:szCs w:val="22"/>
        </w:rPr>
      </w:pPr>
      <w:r w:rsidRPr="006D2719">
        <w:rPr>
          <w:rFonts w:cs="Arial"/>
          <w:sz w:val="22"/>
          <w:szCs w:val="22"/>
        </w:rPr>
        <w:t>3.</w:t>
      </w:r>
      <w:r w:rsidRPr="006D2719">
        <w:rPr>
          <w:rFonts w:cs="Arial"/>
          <w:sz w:val="22"/>
          <w:szCs w:val="22"/>
        </w:rPr>
        <w:tab/>
      </w:r>
      <w:r w:rsidRPr="006D2719">
        <w:rPr>
          <w:rFonts w:cs="Arial"/>
          <w:sz w:val="22"/>
          <w:szCs w:val="22"/>
          <w:u w:val="single"/>
        </w:rPr>
        <w:t xml:space="preserve">Reduction of Burden </w:t>
      </w:r>
      <w:r w:rsidR="00712D5C">
        <w:rPr>
          <w:rFonts w:cs="Arial"/>
          <w:sz w:val="22"/>
          <w:szCs w:val="22"/>
          <w:u w:val="single"/>
        </w:rPr>
        <w:t>through</w:t>
      </w:r>
      <w:r w:rsidRPr="006D2719">
        <w:rPr>
          <w:rFonts w:cs="Arial"/>
          <w:sz w:val="22"/>
          <w:szCs w:val="22"/>
          <w:u w:val="single"/>
        </w:rPr>
        <w:t xml:space="preserve"> Information Technology</w:t>
      </w:r>
    </w:p>
    <w:p w:rsidRPr="006D2719" w:rsidR="00F25AFA" w:rsidP="00716A2E" w:rsidRDefault="00F25AFA" w14:paraId="7B58D75D" w14:textId="77777777">
      <w:pPr>
        <w:rPr>
          <w:rFonts w:cs="Arial"/>
          <w:sz w:val="22"/>
          <w:szCs w:val="22"/>
        </w:rPr>
      </w:pPr>
    </w:p>
    <w:p w:rsidR="00F25AFA" w:rsidP="00716A2E" w:rsidRDefault="00F25AFA" w14:paraId="7B58D75E" w14:textId="77777777">
      <w:pPr>
        <w:ind w:left="1440"/>
        <w:rPr>
          <w:rFonts w:cs="Arial"/>
          <w:sz w:val="22"/>
          <w:szCs w:val="22"/>
        </w:rPr>
      </w:pPr>
      <w:r w:rsidRPr="006D2719">
        <w:rPr>
          <w:rFonts w:cs="Arial"/>
          <w:sz w:val="22"/>
          <w:szCs w:val="22"/>
        </w:rPr>
        <w:t xml:space="preserve">There are no legal obstacles to reducing the burden associated with this information collection </w:t>
      </w:r>
      <w:proofErr w:type="gramStart"/>
      <w:r w:rsidRPr="006D2719">
        <w:rPr>
          <w:rFonts w:cs="Arial"/>
          <w:sz w:val="22"/>
          <w:szCs w:val="22"/>
        </w:rPr>
        <w:t>through the use of</w:t>
      </w:r>
      <w:proofErr w:type="gramEnd"/>
      <w:r w:rsidRPr="006D2719">
        <w:rPr>
          <w:rFonts w:cs="Arial"/>
          <w:sz w:val="22"/>
          <w:szCs w:val="22"/>
        </w:rPr>
        <w:t xml:space="preserve"> information technology.  </w:t>
      </w:r>
      <w:r w:rsidR="00331B95">
        <w:rPr>
          <w:rFonts w:cs="Arial"/>
          <w:sz w:val="22"/>
          <w:szCs w:val="22"/>
        </w:rPr>
        <w:t>T</w:t>
      </w:r>
      <w:r w:rsidRPr="006D2719">
        <w:rPr>
          <w:rFonts w:cs="Arial"/>
          <w:sz w:val="22"/>
          <w:szCs w:val="22"/>
        </w:rPr>
        <w:t xml:space="preserve">he NRC encourages licensees to use information technology when it would be beneficial to them.  </w:t>
      </w:r>
    </w:p>
    <w:p w:rsidR="00331B95" w:rsidP="00716A2E" w:rsidRDefault="00331B95" w14:paraId="7B58D75F" w14:textId="77777777">
      <w:pPr>
        <w:ind w:left="1440"/>
        <w:rPr>
          <w:rFonts w:cs="Arial"/>
          <w:sz w:val="22"/>
          <w:szCs w:val="22"/>
        </w:rPr>
      </w:pPr>
    </w:p>
    <w:p w:rsidR="00331B95" w:rsidP="00716A2E" w:rsidRDefault="00331B95" w14:paraId="7B58D760" w14:textId="6E3A9C13">
      <w:pPr>
        <w:ind w:left="1440"/>
        <w:rPr>
          <w:rFonts w:cs="Arial"/>
          <w:sz w:val="22"/>
          <w:szCs w:val="22"/>
        </w:rPr>
      </w:pPr>
      <w:r w:rsidRPr="002C4FFF">
        <w:rPr>
          <w:rFonts w:cs="Arial"/>
          <w:sz w:val="22"/>
          <w:szCs w:val="22"/>
        </w:rPr>
        <w:t>The NRC has issued Guidance for Electronic Submissions to the NRC</w:t>
      </w:r>
      <w:r w:rsidR="004E5B59">
        <w:rPr>
          <w:rFonts w:cs="Arial"/>
          <w:sz w:val="22"/>
          <w:szCs w:val="22"/>
        </w:rPr>
        <w:t>,</w:t>
      </w:r>
      <w:r w:rsidRPr="002C4FFF">
        <w:rPr>
          <w:rFonts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Web page, by Optical Storage Media (OSM) (e.g. CD-ROM, DVD), by facsimile or by e-mail.  It is estimated that approximately</w:t>
      </w:r>
      <w:r w:rsidR="00150D00">
        <w:rPr>
          <w:rFonts w:cs="Arial"/>
          <w:sz w:val="22"/>
          <w:szCs w:val="22"/>
        </w:rPr>
        <w:t xml:space="preserve"> 50</w:t>
      </w:r>
      <w:r w:rsidR="00035592">
        <w:rPr>
          <w:rFonts w:cs="Arial"/>
          <w:sz w:val="22"/>
          <w:szCs w:val="22"/>
        </w:rPr>
        <w:t xml:space="preserve"> percent</w:t>
      </w:r>
      <w:r w:rsidRPr="002C4FFF">
        <w:rPr>
          <w:rFonts w:cs="Arial"/>
          <w:sz w:val="22"/>
          <w:szCs w:val="22"/>
        </w:rPr>
        <w:t xml:space="preserve"> of the responses are filed electronically.</w:t>
      </w:r>
    </w:p>
    <w:p w:rsidRPr="006D2719" w:rsidR="00470033" w:rsidP="00716A2E" w:rsidRDefault="00470033" w14:paraId="7B58D761" w14:textId="77777777">
      <w:pPr>
        <w:ind w:left="1440"/>
        <w:rPr>
          <w:rFonts w:cs="Arial"/>
          <w:sz w:val="22"/>
          <w:szCs w:val="22"/>
        </w:rPr>
      </w:pPr>
    </w:p>
    <w:p w:rsidRPr="006D2719" w:rsidR="00F25AFA" w:rsidP="00716A2E" w:rsidRDefault="00F25AFA" w14:paraId="7B58D762" w14:textId="77777777">
      <w:pPr>
        <w:keepNext/>
        <w:keepLines/>
        <w:tabs>
          <w:tab w:val="left" w:pos="720"/>
          <w:tab w:val="left" w:pos="1440"/>
        </w:tabs>
        <w:ind w:left="720"/>
        <w:rPr>
          <w:rFonts w:cs="Arial"/>
          <w:sz w:val="22"/>
          <w:szCs w:val="22"/>
        </w:rPr>
      </w:pPr>
      <w:r w:rsidRPr="006D2719">
        <w:rPr>
          <w:rFonts w:cs="Arial"/>
          <w:sz w:val="22"/>
          <w:szCs w:val="22"/>
        </w:rPr>
        <w:t>4.</w:t>
      </w:r>
      <w:r w:rsidRPr="006D2719">
        <w:rPr>
          <w:rFonts w:cs="Arial"/>
          <w:sz w:val="22"/>
          <w:szCs w:val="22"/>
        </w:rPr>
        <w:tab/>
      </w:r>
      <w:r w:rsidRPr="006D2719">
        <w:rPr>
          <w:rFonts w:cs="Arial"/>
          <w:sz w:val="22"/>
          <w:szCs w:val="22"/>
          <w:u w:val="single"/>
        </w:rPr>
        <w:t>Effort to Identify Duplication and Use Similar Information</w:t>
      </w:r>
    </w:p>
    <w:p w:rsidRPr="006D2719" w:rsidR="00F25AFA" w:rsidP="00716A2E" w:rsidRDefault="00F25AFA" w14:paraId="7B58D763" w14:textId="77777777">
      <w:pPr>
        <w:keepNext/>
        <w:rPr>
          <w:rFonts w:cs="Arial"/>
          <w:sz w:val="22"/>
          <w:szCs w:val="22"/>
        </w:rPr>
      </w:pPr>
    </w:p>
    <w:p w:rsidR="006E59BF" w:rsidP="00716A2E" w:rsidRDefault="006E59BF" w14:paraId="7B58D764" w14:textId="77777777">
      <w:pPr>
        <w:ind w:left="1440"/>
        <w:rPr>
          <w:rFonts w:cs="Arial"/>
          <w:sz w:val="22"/>
          <w:szCs w:val="22"/>
        </w:rPr>
      </w:pPr>
      <w:r w:rsidRPr="006E59BF">
        <w:rPr>
          <w:rFonts w:cs="Arial"/>
          <w:sz w:val="22"/>
          <w:szCs w:val="22"/>
        </w:rPr>
        <w:t xml:space="preserve">Under section 149.b. of the </w:t>
      </w:r>
      <w:r w:rsidR="00E670FF">
        <w:rPr>
          <w:rFonts w:cs="Arial"/>
          <w:sz w:val="22"/>
          <w:szCs w:val="22"/>
        </w:rPr>
        <w:t>Atomic Energy Act (</w:t>
      </w:r>
      <w:r w:rsidRPr="006E59BF">
        <w:rPr>
          <w:rFonts w:cs="Arial"/>
          <w:sz w:val="22"/>
          <w:szCs w:val="22"/>
        </w:rPr>
        <w:t>AEA</w:t>
      </w:r>
      <w:r w:rsidR="00E670FF">
        <w:rPr>
          <w:rFonts w:cs="Arial"/>
          <w:sz w:val="22"/>
          <w:szCs w:val="22"/>
        </w:rPr>
        <w:t>)</w:t>
      </w:r>
      <w:r w:rsidRPr="006E59BF">
        <w:rPr>
          <w:rFonts w:cs="Arial"/>
          <w:sz w:val="22"/>
          <w:szCs w:val="22"/>
        </w:rPr>
        <w:t xml:space="preserve">, the NRC may, by rule, relieve individuals from the fingerprinting, identification, and criminal history records check requirements if it finds that such action is “consistent with its obligations to promote the common defense and security and to protect the health and safety of the public.”  </w:t>
      </w:r>
      <w:r w:rsidR="00AB75C6">
        <w:rPr>
          <w:rFonts w:cs="Arial"/>
          <w:sz w:val="22"/>
          <w:szCs w:val="22"/>
        </w:rPr>
        <w:t xml:space="preserve">Under </w:t>
      </w:r>
      <w:r w:rsidR="00B04B9B">
        <w:rPr>
          <w:rFonts w:cs="Arial"/>
          <w:sz w:val="22"/>
          <w:szCs w:val="22"/>
        </w:rPr>
        <w:t xml:space="preserve">10 CFR Section </w:t>
      </w:r>
      <w:r w:rsidR="00AB75C6">
        <w:rPr>
          <w:rFonts w:cs="Arial"/>
          <w:sz w:val="22"/>
          <w:szCs w:val="22"/>
        </w:rPr>
        <w:t>37.29</w:t>
      </w:r>
      <w:r w:rsidR="00B04B9B">
        <w:rPr>
          <w:rFonts w:cs="Arial"/>
          <w:sz w:val="22"/>
          <w:szCs w:val="22"/>
        </w:rPr>
        <w:t>, titled, “Relief from fingerprinting, identification, and criminal history records checks and other elements of background investigations for design</w:t>
      </w:r>
      <w:r w:rsidR="003666A1">
        <w:rPr>
          <w:rFonts w:cs="Arial"/>
          <w:sz w:val="22"/>
          <w:szCs w:val="22"/>
        </w:rPr>
        <w:t>ated categories of individuals p</w:t>
      </w:r>
      <w:r w:rsidR="00B04B9B">
        <w:rPr>
          <w:rFonts w:cs="Arial"/>
          <w:sz w:val="22"/>
          <w:szCs w:val="22"/>
        </w:rPr>
        <w:t xml:space="preserve">ermitted unescorted access to certain radioactive materials,” </w:t>
      </w:r>
      <w:r w:rsidR="0068243E">
        <w:rPr>
          <w:rFonts w:cs="Arial"/>
          <w:sz w:val="22"/>
          <w:szCs w:val="22"/>
        </w:rPr>
        <w:t xml:space="preserve">this </w:t>
      </w:r>
      <w:r w:rsidR="00B04B9B">
        <w:rPr>
          <w:rFonts w:cs="Arial"/>
          <w:sz w:val="22"/>
          <w:szCs w:val="22"/>
        </w:rPr>
        <w:t xml:space="preserve">does provide relief for certain </w:t>
      </w:r>
      <w:r w:rsidR="003666A1">
        <w:rPr>
          <w:rFonts w:cs="Arial"/>
          <w:sz w:val="22"/>
          <w:szCs w:val="22"/>
        </w:rPr>
        <w:t>individuals</w:t>
      </w:r>
      <w:r w:rsidR="00B04B9B">
        <w:rPr>
          <w:rFonts w:cs="Arial"/>
          <w:sz w:val="22"/>
          <w:szCs w:val="22"/>
        </w:rPr>
        <w:t xml:space="preserve">, that fall under one of the listed categories, from the fingerprinting, identification, and criminal history records checks required by Section 149.a. of the AEA, prior to granting unescorted access to Category 1 or Category 2 quantities of radioactive materials. </w:t>
      </w:r>
      <w:r w:rsidR="00035592">
        <w:rPr>
          <w:rFonts w:cs="Arial"/>
          <w:sz w:val="22"/>
          <w:szCs w:val="22"/>
        </w:rPr>
        <w:t xml:space="preserve"> </w:t>
      </w:r>
      <w:r w:rsidR="00B04B9B">
        <w:rPr>
          <w:rFonts w:cs="Arial"/>
          <w:sz w:val="22"/>
          <w:szCs w:val="22"/>
        </w:rPr>
        <w:t>Under 37.29</w:t>
      </w:r>
      <w:r w:rsidR="00AB75C6">
        <w:rPr>
          <w:rFonts w:cs="Arial"/>
          <w:sz w:val="22"/>
          <w:szCs w:val="22"/>
        </w:rPr>
        <w:t xml:space="preserve">(a), </w:t>
      </w:r>
      <w:r w:rsidRPr="006E59BF">
        <w:rPr>
          <w:rFonts w:cs="Arial"/>
          <w:sz w:val="22"/>
          <w:szCs w:val="22"/>
        </w:rPr>
        <w:t>individuals relieved from fingerprinting, identification, and criminal history records checks include Federal, State, and local officials involved in security planning; Agreement State employees who conduct security inspections on behalf of the NRC pursuant to 274.i. of the AEA; and other government officials who may need unescorted access to radioactive materials or other property subject to regulation by the Commission as part of their oversight function.  The categories of individuals relieved by the rule included the same individuals as those relieved in an earlier rulemaking from fingerprinting and criminal history records check requirements applicable to safeguards information</w:t>
      </w:r>
      <w:r w:rsidR="00FF7485">
        <w:rPr>
          <w:rFonts w:cs="Arial"/>
          <w:sz w:val="22"/>
          <w:szCs w:val="22"/>
        </w:rPr>
        <w:t xml:space="preserve"> (71 FR 33989; June 13, 2006).</w:t>
      </w:r>
    </w:p>
    <w:p w:rsidRPr="006E59BF" w:rsidR="00FF7485" w:rsidP="00716A2E" w:rsidRDefault="00FF7485" w14:paraId="7B58D765" w14:textId="77777777">
      <w:pPr>
        <w:ind w:left="1440"/>
        <w:rPr>
          <w:rFonts w:cs="Arial"/>
          <w:sz w:val="22"/>
          <w:szCs w:val="22"/>
        </w:rPr>
      </w:pPr>
    </w:p>
    <w:p w:rsidRPr="006E59BF" w:rsidR="006E59BF" w:rsidP="00716A2E" w:rsidRDefault="002A50E1" w14:paraId="7B58D766" w14:textId="77777777">
      <w:pPr>
        <w:keepNext/>
        <w:ind w:left="1440"/>
        <w:rPr>
          <w:rFonts w:cs="Arial"/>
          <w:sz w:val="22"/>
          <w:szCs w:val="22"/>
        </w:rPr>
      </w:pPr>
      <w:r>
        <w:rPr>
          <w:rFonts w:cs="Arial"/>
          <w:sz w:val="22"/>
          <w:szCs w:val="22"/>
        </w:rPr>
        <w:t>In addition, e</w:t>
      </w:r>
      <w:r w:rsidRPr="006E59BF" w:rsidR="006E59BF">
        <w:rPr>
          <w:rFonts w:cs="Arial"/>
          <w:sz w:val="22"/>
          <w:szCs w:val="22"/>
        </w:rPr>
        <w:t>mergency response personnel who are responding to an emergency are relieved from the requirements because it is impossible to predict when emergency access might be necessary.  The need to provide an escort for those responding to an emergency could impede the response function.  Employ</w:t>
      </w:r>
      <w:r w:rsidR="0046530F">
        <w:rPr>
          <w:rFonts w:cs="Arial"/>
          <w:sz w:val="22"/>
          <w:szCs w:val="22"/>
        </w:rPr>
        <w:t>ees of carriers that transport C</w:t>
      </w:r>
      <w:r w:rsidRPr="006E59BF" w:rsidR="006E59BF">
        <w:rPr>
          <w:rFonts w:cs="Arial"/>
          <w:sz w:val="22"/>
          <w:szCs w:val="22"/>
        </w:rPr>
        <w:t>ategory 2 quantities of radioactive material and package handlers at transportation facilities are also relieved.  These individuals would typically be outside the control of the licensee and the licensee would have no way of knowing or influencing who those</w:t>
      </w:r>
      <w:r w:rsidR="003A19BE">
        <w:rPr>
          <w:rFonts w:cs="Arial"/>
          <w:sz w:val="22"/>
          <w:szCs w:val="22"/>
        </w:rPr>
        <w:t xml:space="preserve"> </w:t>
      </w:r>
      <w:r w:rsidRPr="006E59BF" w:rsidR="006E59BF">
        <w:rPr>
          <w:rFonts w:cs="Arial"/>
          <w:sz w:val="22"/>
          <w:szCs w:val="22"/>
        </w:rPr>
        <w:t>individuals might be.  The NRC rel</w:t>
      </w:r>
      <w:r w:rsidR="007305AF">
        <w:rPr>
          <w:rFonts w:cs="Arial"/>
          <w:sz w:val="22"/>
          <w:szCs w:val="22"/>
        </w:rPr>
        <w:t>ies</w:t>
      </w:r>
      <w:r w:rsidRPr="006E59BF" w:rsidR="006E59BF">
        <w:rPr>
          <w:rFonts w:cs="Arial"/>
          <w:sz w:val="22"/>
          <w:szCs w:val="22"/>
        </w:rPr>
        <w:t xml:space="preserve"> on the U.S. Department of Transportation and the Transportation Security Administration programs for background investigations of these personnel.</w:t>
      </w:r>
    </w:p>
    <w:p w:rsidR="00FF7485" w:rsidP="00716A2E" w:rsidRDefault="00FF7485" w14:paraId="7B58D767" w14:textId="77777777">
      <w:pPr>
        <w:keepNext/>
        <w:ind w:left="1440"/>
        <w:rPr>
          <w:rFonts w:cs="Arial"/>
          <w:sz w:val="22"/>
          <w:szCs w:val="22"/>
        </w:rPr>
      </w:pPr>
    </w:p>
    <w:p w:rsidRPr="006E59BF" w:rsidR="006E59BF" w:rsidP="00716A2E" w:rsidRDefault="006E59BF" w14:paraId="7B58D768" w14:textId="7B31FC36">
      <w:pPr>
        <w:keepNext/>
        <w:ind w:left="1440"/>
        <w:rPr>
          <w:rFonts w:cs="Arial"/>
          <w:sz w:val="22"/>
          <w:szCs w:val="22"/>
        </w:rPr>
      </w:pPr>
      <w:r w:rsidRPr="006E59BF">
        <w:rPr>
          <w:rFonts w:cs="Arial"/>
          <w:sz w:val="22"/>
          <w:szCs w:val="22"/>
        </w:rPr>
        <w:t xml:space="preserve">Many of the individuals that are relieved from the background investigation requirements are considered trustworthy and reliable by virtue of their occupational status and have either already undergone a background </w:t>
      </w:r>
      <w:r w:rsidRPr="006E59BF">
        <w:rPr>
          <w:rFonts w:cs="Arial"/>
          <w:sz w:val="22"/>
          <w:szCs w:val="22"/>
        </w:rPr>
        <w:lastRenderedPageBreak/>
        <w:t xml:space="preserve">investigation as a condition of their </w:t>
      </w:r>
      <w:r w:rsidRPr="006E59BF" w:rsidR="005B418F">
        <w:rPr>
          <w:rFonts w:cs="Arial"/>
          <w:sz w:val="22"/>
          <w:szCs w:val="22"/>
        </w:rPr>
        <w:t>employment or</w:t>
      </w:r>
      <w:r w:rsidRPr="006E59BF">
        <w:rPr>
          <w:rFonts w:cs="Arial"/>
          <w:sz w:val="22"/>
          <w:szCs w:val="22"/>
        </w:rPr>
        <w:t xml:space="preserve"> are subject to direct oversight by government authorities in their day-to-day job functions.  </w:t>
      </w:r>
    </w:p>
    <w:p w:rsidR="00FF7485" w:rsidP="00716A2E" w:rsidRDefault="00FF7485" w14:paraId="7B58D769" w14:textId="77777777">
      <w:pPr>
        <w:keepNext/>
        <w:ind w:left="1440"/>
        <w:rPr>
          <w:rFonts w:cs="Arial"/>
          <w:sz w:val="22"/>
          <w:szCs w:val="22"/>
        </w:rPr>
      </w:pPr>
    </w:p>
    <w:p w:rsidR="003666A1" w:rsidP="00716A2E" w:rsidRDefault="006E59BF" w14:paraId="7B58D76A" w14:textId="77777777">
      <w:pPr>
        <w:keepNext/>
        <w:ind w:left="1440"/>
        <w:rPr>
          <w:rFonts w:cs="Arial"/>
          <w:sz w:val="22"/>
          <w:szCs w:val="22"/>
        </w:rPr>
      </w:pPr>
      <w:r w:rsidRPr="006E59BF">
        <w:rPr>
          <w:rFonts w:cs="Arial"/>
          <w:sz w:val="22"/>
          <w:szCs w:val="22"/>
        </w:rPr>
        <w:t>Certain persons, as part of the duties of their specific occupation, may be separately or previously subject to background investigations, as a result of NRC requirements (such as under other requirements for access to SGI or SGI-M)</w:t>
      </w:r>
      <w:r w:rsidR="003666A1">
        <w:rPr>
          <w:rFonts w:cs="Arial"/>
          <w:sz w:val="22"/>
          <w:szCs w:val="22"/>
        </w:rPr>
        <w:t>.</w:t>
      </w:r>
      <w:r w:rsidRPr="006E59BF">
        <w:rPr>
          <w:rFonts w:cs="Arial"/>
          <w:sz w:val="22"/>
          <w:szCs w:val="22"/>
        </w:rPr>
        <w:t xml:space="preserve">  </w:t>
      </w:r>
    </w:p>
    <w:p w:rsidR="003666A1" w:rsidP="00716A2E" w:rsidRDefault="003666A1" w14:paraId="7B58D76B" w14:textId="77777777">
      <w:pPr>
        <w:keepNext/>
        <w:ind w:left="1440"/>
        <w:rPr>
          <w:rFonts w:cs="Arial"/>
          <w:sz w:val="22"/>
          <w:szCs w:val="22"/>
        </w:rPr>
      </w:pPr>
    </w:p>
    <w:p w:rsidR="00A552FA" w:rsidP="00716A2E" w:rsidRDefault="006E59BF" w14:paraId="7B58D76C" w14:textId="37D8490E">
      <w:pPr>
        <w:keepNext/>
        <w:ind w:left="1440"/>
        <w:rPr>
          <w:rFonts w:cs="Arial"/>
          <w:sz w:val="22"/>
          <w:szCs w:val="22"/>
        </w:rPr>
      </w:pPr>
      <w:r w:rsidRPr="006E59BF">
        <w:rPr>
          <w:rFonts w:cs="Arial"/>
          <w:sz w:val="22"/>
          <w:szCs w:val="22"/>
        </w:rPr>
        <w:t xml:space="preserve">These persons are not subject to separate background investigation requirements under </w:t>
      </w:r>
      <w:r w:rsidR="00155E62">
        <w:rPr>
          <w:rFonts w:cs="Arial"/>
          <w:sz w:val="22"/>
          <w:szCs w:val="22"/>
        </w:rPr>
        <w:t>Part 37</w:t>
      </w:r>
      <w:r w:rsidRPr="006E59BF">
        <w:rPr>
          <w:rFonts w:cs="Arial"/>
          <w:sz w:val="22"/>
          <w:szCs w:val="22"/>
        </w:rPr>
        <w:t xml:space="preserve">; individuals who have undergone a background investigation, including fingerprinting, and </w:t>
      </w:r>
      <w:r w:rsidR="002A50E1">
        <w:rPr>
          <w:rFonts w:cs="Arial"/>
          <w:sz w:val="22"/>
          <w:szCs w:val="22"/>
        </w:rPr>
        <w:t xml:space="preserve">been </w:t>
      </w:r>
      <w:r w:rsidRPr="006E59BF">
        <w:rPr>
          <w:rFonts w:cs="Arial"/>
          <w:sz w:val="22"/>
          <w:szCs w:val="22"/>
        </w:rPr>
        <w:t xml:space="preserve">found acceptable for unescorted access under provisions of other such requirements, do not need to undergo another background investigation nor would a separate determination of their trustworthiness and reliability need to be made. </w:t>
      </w:r>
      <w:r w:rsidR="00035592">
        <w:rPr>
          <w:rFonts w:cs="Arial"/>
          <w:sz w:val="22"/>
          <w:szCs w:val="22"/>
        </w:rPr>
        <w:t xml:space="preserve"> </w:t>
      </w:r>
      <w:r w:rsidRPr="006E59BF">
        <w:rPr>
          <w:rFonts w:cs="Arial"/>
          <w:sz w:val="22"/>
          <w:szCs w:val="22"/>
        </w:rPr>
        <w:t xml:space="preserve">Individuals that have undergone fingerprinting and an FBI criminal history records check under other agency programs do not need to be fingerprinted </w:t>
      </w:r>
      <w:r w:rsidRPr="006E59BF" w:rsidR="005B418F">
        <w:rPr>
          <w:rFonts w:cs="Arial"/>
          <w:sz w:val="22"/>
          <w:szCs w:val="22"/>
        </w:rPr>
        <w:t>again but</w:t>
      </w:r>
      <w:r w:rsidRPr="006E59BF">
        <w:rPr>
          <w:rFonts w:cs="Arial"/>
          <w:sz w:val="22"/>
          <w:szCs w:val="22"/>
        </w:rPr>
        <w:t xml:space="preserve"> would be subject to the other elements of the background investigation.  These programs include the National Agency Check, Transportation Worker Identification Credentials under </w:t>
      </w:r>
      <w:r w:rsidRPr="006E59BF" w:rsidR="00E670FF">
        <w:rPr>
          <w:rFonts w:cs="Arial"/>
          <w:sz w:val="22"/>
          <w:szCs w:val="22"/>
        </w:rPr>
        <w:t>49</w:t>
      </w:r>
      <w:r w:rsidR="00E670FF">
        <w:rPr>
          <w:rFonts w:cs="Arial"/>
          <w:sz w:val="22"/>
          <w:szCs w:val="22"/>
        </w:rPr>
        <w:t> </w:t>
      </w:r>
      <w:r w:rsidRPr="006E59BF" w:rsidR="00E670FF">
        <w:rPr>
          <w:rFonts w:cs="Arial"/>
          <w:sz w:val="22"/>
          <w:szCs w:val="22"/>
        </w:rPr>
        <w:t>CFR</w:t>
      </w:r>
      <w:r w:rsidR="00E670FF">
        <w:rPr>
          <w:rFonts w:cs="Arial"/>
          <w:sz w:val="22"/>
          <w:szCs w:val="22"/>
        </w:rPr>
        <w:t> </w:t>
      </w:r>
      <w:r w:rsidRPr="006E59BF">
        <w:rPr>
          <w:rFonts w:cs="Arial"/>
          <w:sz w:val="22"/>
          <w:szCs w:val="22"/>
        </w:rPr>
        <w:t xml:space="preserve">1572, Bureau of Alcohol, Tobacco, Firearms, and Explosives background check and clearances under </w:t>
      </w:r>
      <w:r w:rsidRPr="006E59BF" w:rsidR="00E670FF">
        <w:rPr>
          <w:rFonts w:cs="Arial"/>
          <w:sz w:val="22"/>
          <w:szCs w:val="22"/>
        </w:rPr>
        <w:t>27</w:t>
      </w:r>
      <w:r w:rsidR="00E670FF">
        <w:rPr>
          <w:rFonts w:cs="Arial"/>
          <w:sz w:val="22"/>
          <w:szCs w:val="22"/>
        </w:rPr>
        <w:t> </w:t>
      </w:r>
      <w:r w:rsidRPr="006E59BF" w:rsidR="00E670FF">
        <w:rPr>
          <w:rFonts w:cs="Arial"/>
          <w:sz w:val="22"/>
          <w:szCs w:val="22"/>
        </w:rPr>
        <w:t>CFR</w:t>
      </w:r>
      <w:r w:rsidR="00E670FF">
        <w:rPr>
          <w:rFonts w:cs="Arial"/>
          <w:sz w:val="22"/>
          <w:szCs w:val="22"/>
        </w:rPr>
        <w:t> </w:t>
      </w:r>
      <w:r w:rsidRPr="006E59BF">
        <w:rPr>
          <w:rFonts w:cs="Arial"/>
          <w:sz w:val="22"/>
          <w:szCs w:val="22"/>
        </w:rPr>
        <w:t xml:space="preserve">555, Health and Human Services security risk assessments for possession and use of select agents and toxins under </w:t>
      </w:r>
      <w:r w:rsidRPr="006E59BF" w:rsidR="00E670FF">
        <w:rPr>
          <w:rFonts w:cs="Arial"/>
          <w:sz w:val="22"/>
          <w:szCs w:val="22"/>
        </w:rPr>
        <w:t>42</w:t>
      </w:r>
      <w:r w:rsidR="00E670FF">
        <w:rPr>
          <w:rFonts w:cs="Arial"/>
          <w:sz w:val="22"/>
          <w:szCs w:val="22"/>
        </w:rPr>
        <w:t> </w:t>
      </w:r>
      <w:r w:rsidRPr="006E59BF" w:rsidR="00E670FF">
        <w:rPr>
          <w:rFonts w:cs="Arial"/>
          <w:sz w:val="22"/>
          <w:szCs w:val="22"/>
        </w:rPr>
        <w:t>CFR</w:t>
      </w:r>
      <w:r w:rsidR="00E670FF">
        <w:rPr>
          <w:rFonts w:cs="Arial"/>
          <w:sz w:val="22"/>
          <w:szCs w:val="22"/>
        </w:rPr>
        <w:t> </w:t>
      </w:r>
      <w:r w:rsidRPr="006E59BF">
        <w:rPr>
          <w:rFonts w:cs="Arial"/>
          <w:sz w:val="22"/>
          <w:szCs w:val="22"/>
        </w:rPr>
        <w:t>73, Hazardous Material security threat assessment for hazardous material endorsement to commercial driver</w:t>
      </w:r>
      <w:r w:rsidR="00E670FF">
        <w:rPr>
          <w:rFonts w:cs="Arial"/>
          <w:sz w:val="22"/>
          <w:szCs w:val="22"/>
        </w:rPr>
        <w:t>’</w:t>
      </w:r>
      <w:r w:rsidRPr="006E59BF">
        <w:rPr>
          <w:rFonts w:cs="Arial"/>
          <w:sz w:val="22"/>
          <w:szCs w:val="22"/>
        </w:rPr>
        <w:t xml:space="preserve">s license under </w:t>
      </w:r>
      <w:r w:rsidRPr="006E59BF" w:rsidR="00E670FF">
        <w:rPr>
          <w:rFonts w:cs="Arial"/>
          <w:sz w:val="22"/>
          <w:szCs w:val="22"/>
        </w:rPr>
        <w:t>49</w:t>
      </w:r>
      <w:r w:rsidR="00E670FF">
        <w:rPr>
          <w:rFonts w:cs="Arial"/>
          <w:sz w:val="22"/>
          <w:szCs w:val="22"/>
        </w:rPr>
        <w:t> </w:t>
      </w:r>
      <w:r w:rsidRPr="006E59BF" w:rsidR="00E670FF">
        <w:rPr>
          <w:rFonts w:cs="Arial"/>
          <w:sz w:val="22"/>
          <w:szCs w:val="22"/>
        </w:rPr>
        <w:t>CFR</w:t>
      </w:r>
      <w:r w:rsidR="00E670FF">
        <w:rPr>
          <w:rFonts w:cs="Arial"/>
          <w:sz w:val="22"/>
          <w:szCs w:val="22"/>
        </w:rPr>
        <w:t> </w:t>
      </w:r>
      <w:r w:rsidRPr="006E59BF">
        <w:rPr>
          <w:rFonts w:cs="Arial"/>
          <w:sz w:val="22"/>
          <w:szCs w:val="22"/>
        </w:rPr>
        <w:t>1572, and Customs and Border Patrol’s Free and Secure Trade Program.  The individual must make available the appropriate documentation.  Written confirmation from the agency/employer that</w:t>
      </w:r>
      <w:r w:rsidR="00FF7485">
        <w:rPr>
          <w:rFonts w:cs="Arial"/>
          <w:sz w:val="22"/>
          <w:szCs w:val="22"/>
        </w:rPr>
        <w:t xml:space="preserve"> granted the </w:t>
      </w:r>
      <w:r w:rsidRPr="006E59BF">
        <w:rPr>
          <w:rFonts w:cs="Arial"/>
          <w:sz w:val="22"/>
          <w:szCs w:val="22"/>
        </w:rPr>
        <w:t xml:space="preserve">Federal security clearance or reviewed the criminal history records check must be provided to the licensee.  </w:t>
      </w:r>
    </w:p>
    <w:p w:rsidR="00A552FA" w:rsidP="00716A2E" w:rsidRDefault="00A552FA" w14:paraId="7B58D76D" w14:textId="77777777">
      <w:pPr>
        <w:keepNext/>
        <w:ind w:left="1440"/>
        <w:rPr>
          <w:rFonts w:cs="Arial"/>
          <w:sz w:val="22"/>
          <w:szCs w:val="22"/>
        </w:rPr>
      </w:pPr>
    </w:p>
    <w:p w:rsidRPr="006E59BF" w:rsidR="006E59BF" w:rsidP="00716A2E" w:rsidRDefault="00A552FA" w14:paraId="7B58D76E" w14:textId="77777777">
      <w:pPr>
        <w:keepNext/>
        <w:ind w:left="1440"/>
        <w:rPr>
          <w:rFonts w:cs="Arial"/>
          <w:sz w:val="22"/>
          <w:szCs w:val="22"/>
        </w:rPr>
      </w:pPr>
      <w:r>
        <w:rPr>
          <w:rFonts w:cs="Arial"/>
          <w:sz w:val="22"/>
          <w:szCs w:val="22"/>
        </w:rPr>
        <w:t xml:space="preserve">In addition, Section 37.25(b), “Grandfathering,” details provisions </w:t>
      </w:r>
      <w:r w:rsidR="0068243E">
        <w:rPr>
          <w:rFonts w:cs="Arial"/>
          <w:sz w:val="22"/>
          <w:szCs w:val="22"/>
        </w:rPr>
        <w:t>that</w:t>
      </w:r>
      <w:r>
        <w:rPr>
          <w:rFonts w:cs="Arial"/>
          <w:sz w:val="22"/>
          <w:szCs w:val="22"/>
        </w:rPr>
        <w:t xml:space="preserve"> relieve individuals who have been determined trustworthy and reliable under comparable NRC-required background investigations (under the Fingerprint Orders or under the provisions of 10 CFR Part 73) from further investigation. </w:t>
      </w:r>
    </w:p>
    <w:p w:rsidRPr="006D2719" w:rsidR="00B55FA8" w:rsidP="00716A2E" w:rsidRDefault="00B55FA8" w14:paraId="7B58D76F" w14:textId="77777777">
      <w:pPr>
        <w:keepNext/>
        <w:rPr>
          <w:rFonts w:cs="Arial"/>
          <w:sz w:val="22"/>
          <w:szCs w:val="22"/>
        </w:rPr>
      </w:pPr>
    </w:p>
    <w:p w:rsidRPr="006D2719" w:rsidR="00F25AFA" w:rsidP="00716A2E" w:rsidRDefault="00F25AFA" w14:paraId="7B58D770" w14:textId="77777777">
      <w:pPr>
        <w:tabs>
          <w:tab w:val="left" w:pos="720"/>
          <w:tab w:val="left" w:pos="1440"/>
        </w:tabs>
        <w:ind w:left="1440" w:hanging="720"/>
        <w:rPr>
          <w:rFonts w:cs="Arial"/>
          <w:sz w:val="22"/>
          <w:szCs w:val="22"/>
        </w:rPr>
      </w:pPr>
      <w:r w:rsidRPr="006D2719">
        <w:rPr>
          <w:rFonts w:cs="Arial"/>
          <w:sz w:val="22"/>
          <w:szCs w:val="22"/>
        </w:rPr>
        <w:t>5.</w:t>
      </w:r>
      <w:r w:rsidRPr="006D2719">
        <w:rPr>
          <w:rFonts w:cs="Arial"/>
          <w:sz w:val="22"/>
          <w:szCs w:val="22"/>
        </w:rPr>
        <w:tab/>
      </w:r>
      <w:r w:rsidRPr="006D2719">
        <w:rPr>
          <w:rFonts w:cs="Arial"/>
          <w:sz w:val="22"/>
          <w:szCs w:val="22"/>
          <w:u w:val="single"/>
        </w:rPr>
        <w:t>Effort to Reduce Small Business Burden</w:t>
      </w:r>
    </w:p>
    <w:p w:rsidRPr="006D2719" w:rsidR="00F25AFA" w:rsidP="00716A2E" w:rsidRDefault="00F25AFA" w14:paraId="7B58D771" w14:textId="77777777">
      <w:pPr>
        <w:rPr>
          <w:rFonts w:cs="Arial"/>
          <w:sz w:val="22"/>
          <w:szCs w:val="22"/>
        </w:rPr>
      </w:pPr>
    </w:p>
    <w:p w:rsidRPr="006D2719" w:rsidR="00F25AFA" w:rsidP="003A19BE" w:rsidRDefault="00F25AFA" w14:paraId="7B58D772" w14:textId="77777777">
      <w:pPr>
        <w:ind w:left="1440"/>
        <w:rPr>
          <w:rFonts w:cs="Arial"/>
          <w:sz w:val="22"/>
          <w:szCs w:val="22"/>
        </w:rPr>
      </w:pPr>
      <w:r w:rsidRPr="006D2719">
        <w:rPr>
          <w:rFonts w:cs="Arial"/>
          <w:sz w:val="22"/>
          <w:szCs w:val="22"/>
        </w:rPr>
        <w:t xml:space="preserve">While some licensees who possess byproduct material are small businesses, the concerns associated with the safe and secure use of the radioactive material are the same for large and small entities.  It is not possible to reduce the burden on small businesses by less frequent or less complete </w:t>
      </w:r>
      <w:r w:rsidRPr="006D2719" w:rsidR="004F7056">
        <w:rPr>
          <w:rFonts w:cs="Arial"/>
          <w:sz w:val="22"/>
          <w:szCs w:val="22"/>
        </w:rPr>
        <w:t xml:space="preserve">recordkeeping or </w:t>
      </w:r>
      <w:r w:rsidRPr="006D2719">
        <w:rPr>
          <w:rFonts w:cs="Arial"/>
          <w:sz w:val="22"/>
          <w:szCs w:val="22"/>
        </w:rPr>
        <w:t xml:space="preserve">reporting while maintaining the required level of </w:t>
      </w:r>
      <w:r w:rsidR="00357DCC">
        <w:rPr>
          <w:rFonts w:cs="Arial"/>
          <w:sz w:val="22"/>
          <w:szCs w:val="22"/>
        </w:rPr>
        <w:t xml:space="preserve">public </w:t>
      </w:r>
      <w:r w:rsidR="00B9331D">
        <w:rPr>
          <w:rFonts w:cs="Arial"/>
          <w:sz w:val="22"/>
          <w:szCs w:val="22"/>
        </w:rPr>
        <w:t>health</w:t>
      </w:r>
      <w:r w:rsidR="00357DCC">
        <w:rPr>
          <w:rFonts w:cs="Arial"/>
          <w:sz w:val="22"/>
          <w:szCs w:val="22"/>
        </w:rPr>
        <w:t xml:space="preserve"> and safety and </w:t>
      </w:r>
      <w:r w:rsidRPr="006D2719">
        <w:rPr>
          <w:rFonts w:cs="Arial"/>
          <w:sz w:val="22"/>
          <w:szCs w:val="22"/>
        </w:rPr>
        <w:t>common defense and security.</w:t>
      </w:r>
      <w:r w:rsidR="00F0239C">
        <w:rPr>
          <w:rFonts w:cs="Arial"/>
          <w:sz w:val="22"/>
          <w:szCs w:val="22"/>
        </w:rPr>
        <w:t xml:space="preserve">  The NRC estimates that</w:t>
      </w:r>
      <w:r w:rsidR="00B9491A">
        <w:rPr>
          <w:rFonts w:cs="Arial"/>
          <w:sz w:val="22"/>
          <w:szCs w:val="22"/>
        </w:rPr>
        <w:t xml:space="preserve"> </w:t>
      </w:r>
      <w:r w:rsidR="00342F77">
        <w:rPr>
          <w:rFonts w:cs="Arial"/>
          <w:sz w:val="22"/>
          <w:szCs w:val="22"/>
        </w:rPr>
        <w:t>40</w:t>
      </w:r>
      <w:r w:rsidR="00035592">
        <w:rPr>
          <w:rFonts w:cs="Arial"/>
          <w:sz w:val="22"/>
          <w:szCs w:val="22"/>
        </w:rPr>
        <w:t xml:space="preserve"> percent</w:t>
      </w:r>
      <w:r w:rsidR="00F0239C">
        <w:rPr>
          <w:rFonts w:cs="Arial"/>
          <w:sz w:val="22"/>
          <w:szCs w:val="22"/>
        </w:rPr>
        <w:t xml:space="preserve"> of the impacted </w:t>
      </w:r>
      <w:r w:rsidR="0064593F">
        <w:rPr>
          <w:rFonts w:cs="Arial"/>
          <w:sz w:val="22"/>
          <w:szCs w:val="22"/>
        </w:rPr>
        <w:t xml:space="preserve">licensees </w:t>
      </w:r>
      <w:r w:rsidR="00F0239C">
        <w:rPr>
          <w:rFonts w:cs="Arial"/>
          <w:sz w:val="22"/>
          <w:szCs w:val="22"/>
        </w:rPr>
        <w:t xml:space="preserve">are small businesses.  </w:t>
      </w:r>
    </w:p>
    <w:p w:rsidRPr="006D2719" w:rsidR="00B55FA8" w:rsidP="00716A2E" w:rsidRDefault="00B55FA8" w14:paraId="7B58D773" w14:textId="77777777">
      <w:pPr>
        <w:rPr>
          <w:rFonts w:cs="Arial"/>
          <w:sz w:val="22"/>
          <w:szCs w:val="22"/>
        </w:rPr>
      </w:pPr>
    </w:p>
    <w:p w:rsidRPr="006D2719" w:rsidR="00F25AFA" w:rsidP="00716A2E" w:rsidRDefault="00F25AFA" w14:paraId="7B58D774" w14:textId="77777777">
      <w:pPr>
        <w:tabs>
          <w:tab w:val="left" w:pos="720"/>
          <w:tab w:val="left" w:pos="1440"/>
        </w:tabs>
        <w:ind w:left="1440" w:hanging="720"/>
        <w:rPr>
          <w:rFonts w:cs="Arial"/>
          <w:sz w:val="22"/>
          <w:szCs w:val="22"/>
        </w:rPr>
      </w:pPr>
      <w:r w:rsidRPr="006D2719">
        <w:rPr>
          <w:rFonts w:cs="Arial"/>
          <w:sz w:val="22"/>
          <w:szCs w:val="22"/>
        </w:rPr>
        <w:t>6.</w:t>
      </w:r>
      <w:r w:rsidRPr="006D2719">
        <w:rPr>
          <w:rFonts w:cs="Arial"/>
          <w:sz w:val="22"/>
          <w:szCs w:val="22"/>
        </w:rPr>
        <w:tab/>
      </w:r>
      <w:r w:rsidRPr="006D2719">
        <w:rPr>
          <w:rFonts w:cs="Arial"/>
          <w:sz w:val="22"/>
          <w:szCs w:val="22"/>
          <w:u w:val="single"/>
        </w:rPr>
        <w:t xml:space="preserve">Consequences to Federal Program or Policy Activities if the Collection is </w:t>
      </w:r>
      <w:r w:rsidRPr="006D2719" w:rsidR="00E0216D">
        <w:rPr>
          <w:rFonts w:cs="Arial"/>
          <w:sz w:val="22"/>
          <w:szCs w:val="22"/>
          <w:u w:val="single"/>
        </w:rPr>
        <w:t>not</w:t>
      </w:r>
      <w:r w:rsidRPr="006D2719">
        <w:rPr>
          <w:rFonts w:cs="Arial"/>
          <w:sz w:val="22"/>
          <w:szCs w:val="22"/>
          <w:u w:val="single"/>
        </w:rPr>
        <w:t xml:space="preserve"> </w:t>
      </w:r>
      <w:r w:rsidRPr="006D2719" w:rsidR="00E0216D">
        <w:rPr>
          <w:rFonts w:cs="Arial"/>
          <w:sz w:val="22"/>
          <w:szCs w:val="22"/>
          <w:u w:val="single"/>
        </w:rPr>
        <w:t>conducted</w:t>
      </w:r>
      <w:r w:rsidRPr="006D2719">
        <w:rPr>
          <w:rFonts w:cs="Arial"/>
          <w:sz w:val="22"/>
          <w:szCs w:val="22"/>
          <w:u w:val="single"/>
        </w:rPr>
        <w:t xml:space="preserve"> or is </w:t>
      </w:r>
      <w:r w:rsidRPr="006D2719" w:rsidR="00E0216D">
        <w:rPr>
          <w:rFonts w:cs="Arial"/>
          <w:sz w:val="22"/>
          <w:szCs w:val="22"/>
          <w:u w:val="single"/>
        </w:rPr>
        <w:t>conducted</w:t>
      </w:r>
      <w:r w:rsidRPr="006D2719">
        <w:rPr>
          <w:rFonts w:cs="Arial"/>
          <w:sz w:val="22"/>
          <w:szCs w:val="22"/>
          <w:u w:val="single"/>
        </w:rPr>
        <w:t xml:space="preserve"> </w:t>
      </w:r>
      <w:r w:rsidRPr="006D2719" w:rsidR="00E0216D">
        <w:rPr>
          <w:rFonts w:cs="Arial"/>
          <w:sz w:val="22"/>
          <w:szCs w:val="22"/>
          <w:u w:val="single"/>
        </w:rPr>
        <w:t>less</w:t>
      </w:r>
      <w:r w:rsidRPr="006D2719">
        <w:rPr>
          <w:rFonts w:cs="Arial"/>
          <w:sz w:val="22"/>
          <w:szCs w:val="22"/>
          <w:u w:val="single"/>
        </w:rPr>
        <w:t xml:space="preserve"> </w:t>
      </w:r>
      <w:r w:rsidRPr="006D2719" w:rsidR="00712D5C">
        <w:rPr>
          <w:rFonts w:cs="Arial"/>
          <w:sz w:val="22"/>
          <w:szCs w:val="22"/>
          <w:u w:val="single"/>
        </w:rPr>
        <w:t>frequently</w:t>
      </w:r>
    </w:p>
    <w:p w:rsidRPr="006D2719" w:rsidR="00F25AFA" w:rsidP="00716A2E" w:rsidRDefault="00F25AFA" w14:paraId="7B58D775" w14:textId="77777777">
      <w:pPr>
        <w:rPr>
          <w:rFonts w:cs="Arial"/>
          <w:sz w:val="22"/>
          <w:szCs w:val="22"/>
        </w:rPr>
      </w:pPr>
    </w:p>
    <w:p w:rsidR="00FF7485" w:rsidP="00716A2E" w:rsidRDefault="004F7056" w14:paraId="7B58D776" w14:textId="77777777">
      <w:pPr>
        <w:widowControl w:val="0"/>
        <w:tabs>
          <w:tab w:val="left" w:pos="600"/>
          <w:tab w:val="left" w:pos="1320"/>
          <w:tab w:val="left" w:pos="143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30"/>
        <w:rPr>
          <w:rFonts w:cs="Arial"/>
          <w:sz w:val="22"/>
          <w:szCs w:val="22"/>
        </w:rPr>
      </w:pPr>
      <w:r w:rsidRPr="006D2719">
        <w:rPr>
          <w:rFonts w:cs="Arial"/>
          <w:sz w:val="22"/>
          <w:szCs w:val="22"/>
          <w:lang w:val="en-CA"/>
        </w:rPr>
        <w:fldChar w:fldCharType="begin"/>
      </w:r>
      <w:r w:rsidRPr="006D2719">
        <w:rPr>
          <w:rFonts w:cs="Arial"/>
          <w:sz w:val="22"/>
          <w:szCs w:val="22"/>
          <w:lang w:val="en-CA"/>
        </w:rPr>
        <w:instrText xml:space="preserve"> SEQ CHAPTER \h \r 1</w:instrText>
      </w:r>
      <w:r w:rsidRPr="006D2719">
        <w:rPr>
          <w:rFonts w:cs="Arial"/>
          <w:sz w:val="22"/>
          <w:szCs w:val="22"/>
        </w:rPr>
        <w:fldChar w:fldCharType="end"/>
      </w:r>
      <w:r w:rsidRPr="006D2719">
        <w:rPr>
          <w:rFonts w:cs="Arial"/>
          <w:sz w:val="22"/>
          <w:szCs w:val="22"/>
        </w:rPr>
        <w:t>If the information collection was not co</w:t>
      </w:r>
      <w:r w:rsidR="00A21FE2">
        <w:rPr>
          <w:rFonts w:cs="Arial"/>
          <w:sz w:val="22"/>
          <w:szCs w:val="22"/>
        </w:rPr>
        <w:t>llected</w:t>
      </w:r>
      <w:r w:rsidRPr="006D2719">
        <w:rPr>
          <w:rFonts w:cs="Arial"/>
          <w:sz w:val="22"/>
          <w:szCs w:val="22"/>
        </w:rPr>
        <w:t>, or was co</w:t>
      </w:r>
      <w:r w:rsidR="00A21FE2">
        <w:rPr>
          <w:rFonts w:cs="Arial"/>
          <w:sz w:val="22"/>
          <w:szCs w:val="22"/>
        </w:rPr>
        <w:t>llected</w:t>
      </w:r>
      <w:r w:rsidRPr="006D2719">
        <w:rPr>
          <w:rFonts w:cs="Arial"/>
          <w:sz w:val="22"/>
          <w:szCs w:val="22"/>
        </w:rPr>
        <w:t xml:space="preserve"> less frequently, NRC would not have the information needed to </w:t>
      </w:r>
      <w:r w:rsidR="00683ABA">
        <w:rPr>
          <w:rFonts w:cs="Arial"/>
          <w:sz w:val="22"/>
          <w:szCs w:val="22"/>
        </w:rPr>
        <w:t>verify</w:t>
      </w:r>
      <w:r w:rsidRPr="006D2719" w:rsidR="00683ABA">
        <w:rPr>
          <w:rFonts w:cs="Arial"/>
          <w:sz w:val="22"/>
          <w:szCs w:val="22"/>
        </w:rPr>
        <w:t xml:space="preserve"> </w:t>
      </w:r>
      <w:r w:rsidRPr="006D2719">
        <w:rPr>
          <w:rFonts w:cs="Arial"/>
          <w:sz w:val="22"/>
          <w:szCs w:val="22"/>
        </w:rPr>
        <w:t xml:space="preserve">that licensees are </w:t>
      </w:r>
      <w:r w:rsidRPr="00683ABA" w:rsidR="00683ABA">
        <w:rPr>
          <w:rFonts w:cs="Arial"/>
          <w:sz w:val="22"/>
          <w:szCs w:val="22"/>
        </w:rPr>
        <w:t>provid</w:t>
      </w:r>
      <w:r w:rsidR="00683ABA">
        <w:rPr>
          <w:rFonts w:cs="Arial"/>
          <w:sz w:val="22"/>
          <w:szCs w:val="22"/>
        </w:rPr>
        <w:t>ing</w:t>
      </w:r>
      <w:r w:rsidRPr="00683ABA" w:rsidR="00683ABA">
        <w:rPr>
          <w:rFonts w:cs="Arial"/>
          <w:sz w:val="22"/>
          <w:szCs w:val="22"/>
        </w:rPr>
        <w:t xml:space="preserve"> reasonable assurance of the security of </w:t>
      </w:r>
      <w:r w:rsidR="00683ABA">
        <w:rPr>
          <w:rFonts w:cs="Arial"/>
          <w:sz w:val="22"/>
          <w:szCs w:val="22"/>
        </w:rPr>
        <w:t>C</w:t>
      </w:r>
      <w:r w:rsidRPr="00683ABA" w:rsidR="00683ABA">
        <w:rPr>
          <w:rFonts w:cs="Arial"/>
          <w:sz w:val="22"/>
          <w:szCs w:val="22"/>
        </w:rPr>
        <w:t xml:space="preserve">ategory 1 or </w:t>
      </w:r>
      <w:r w:rsidR="00683ABA">
        <w:rPr>
          <w:rFonts w:cs="Arial"/>
          <w:sz w:val="22"/>
          <w:szCs w:val="22"/>
        </w:rPr>
        <w:t>C</w:t>
      </w:r>
      <w:r w:rsidRPr="00683ABA" w:rsidR="00683ABA">
        <w:rPr>
          <w:rFonts w:cs="Arial"/>
          <w:sz w:val="22"/>
          <w:szCs w:val="22"/>
        </w:rPr>
        <w:t>ategory 2 quantities of radioactive material</w:t>
      </w:r>
      <w:r w:rsidR="00683ABA">
        <w:rPr>
          <w:rFonts w:cs="Arial"/>
          <w:sz w:val="22"/>
          <w:szCs w:val="22"/>
        </w:rPr>
        <w:t>.</w:t>
      </w:r>
    </w:p>
    <w:p w:rsidR="004C6CDA" w:rsidP="00716A2E" w:rsidRDefault="004C6CDA" w14:paraId="7B58D777" w14:textId="77777777">
      <w:pPr>
        <w:widowControl w:val="0"/>
        <w:tabs>
          <w:tab w:val="left" w:pos="600"/>
          <w:tab w:val="left" w:pos="1320"/>
          <w:tab w:val="left" w:pos="143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30"/>
        <w:rPr>
          <w:rFonts w:cs="Arial"/>
          <w:sz w:val="22"/>
          <w:szCs w:val="22"/>
        </w:rPr>
      </w:pPr>
    </w:p>
    <w:p w:rsidRPr="006D2719" w:rsidR="00F25AFA" w:rsidP="00716A2E" w:rsidRDefault="00F25AFA" w14:paraId="7B58D778" w14:textId="77777777">
      <w:pPr>
        <w:tabs>
          <w:tab w:val="left" w:pos="720"/>
          <w:tab w:val="left" w:pos="1440"/>
        </w:tabs>
        <w:ind w:left="1440" w:hanging="720"/>
        <w:rPr>
          <w:rFonts w:cs="Arial"/>
          <w:sz w:val="22"/>
          <w:szCs w:val="22"/>
        </w:rPr>
      </w:pPr>
      <w:r w:rsidRPr="006D2719">
        <w:rPr>
          <w:rFonts w:cs="Arial"/>
          <w:sz w:val="22"/>
          <w:szCs w:val="22"/>
        </w:rPr>
        <w:lastRenderedPageBreak/>
        <w:t>7.</w:t>
      </w:r>
      <w:r w:rsidRPr="006D2719">
        <w:rPr>
          <w:rFonts w:cs="Arial"/>
          <w:sz w:val="22"/>
          <w:szCs w:val="22"/>
        </w:rPr>
        <w:tab/>
      </w:r>
      <w:r w:rsidRPr="006D2719">
        <w:rPr>
          <w:rFonts w:cs="Arial"/>
          <w:sz w:val="22"/>
          <w:szCs w:val="22"/>
          <w:u w:val="single"/>
        </w:rPr>
        <w:t>Circumstances Which Justify Variation from OMB Guidelines</w:t>
      </w:r>
    </w:p>
    <w:p w:rsidRPr="006D2719" w:rsidR="00F25AFA" w:rsidP="00716A2E" w:rsidRDefault="00F25AFA" w14:paraId="7B58D779" w14:textId="77777777">
      <w:pPr>
        <w:rPr>
          <w:rFonts w:cs="Arial"/>
          <w:sz w:val="22"/>
          <w:szCs w:val="22"/>
        </w:rPr>
      </w:pPr>
      <w:r w:rsidRPr="006D2719">
        <w:rPr>
          <w:rFonts w:cs="Arial"/>
          <w:sz w:val="22"/>
          <w:szCs w:val="22"/>
        </w:rPr>
        <w:tab/>
      </w:r>
      <w:r w:rsidRPr="006D2719">
        <w:rPr>
          <w:rFonts w:cs="Arial"/>
          <w:sz w:val="22"/>
          <w:szCs w:val="22"/>
        </w:rPr>
        <w:tab/>
      </w:r>
    </w:p>
    <w:p w:rsidR="00716A2E" w:rsidP="00716A2E" w:rsidRDefault="00A21FE2" w14:paraId="7B58D7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cs="Arial"/>
          <w:sz w:val="22"/>
          <w:szCs w:val="22"/>
        </w:rPr>
      </w:pPr>
      <w:r w:rsidRPr="006D2719">
        <w:rPr>
          <w:rFonts w:cs="Arial"/>
          <w:sz w:val="22"/>
          <w:szCs w:val="22"/>
        </w:rPr>
        <w:t xml:space="preserve">Sections </w:t>
      </w:r>
      <w:r w:rsidR="00616540">
        <w:rPr>
          <w:rFonts w:cs="Arial"/>
          <w:sz w:val="22"/>
          <w:szCs w:val="22"/>
        </w:rPr>
        <w:t>37.23,</w:t>
      </w:r>
      <w:r w:rsidRPr="006D2719" w:rsidR="00616540">
        <w:rPr>
          <w:rFonts w:cs="Arial"/>
          <w:sz w:val="22"/>
          <w:szCs w:val="22"/>
        </w:rPr>
        <w:t xml:space="preserve"> 37.45</w:t>
      </w:r>
      <w:r w:rsidRPr="006D2719">
        <w:rPr>
          <w:rFonts w:cs="Arial"/>
          <w:sz w:val="22"/>
          <w:szCs w:val="22"/>
        </w:rPr>
        <w:t>, 37.5</w:t>
      </w:r>
      <w:r>
        <w:rPr>
          <w:rFonts w:cs="Arial"/>
          <w:sz w:val="22"/>
          <w:szCs w:val="22"/>
        </w:rPr>
        <w:t>7</w:t>
      </w:r>
      <w:r w:rsidRPr="006D2719">
        <w:rPr>
          <w:rFonts w:cs="Arial"/>
          <w:sz w:val="22"/>
          <w:szCs w:val="22"/>
        </w:rPr>
        <w:t xml:space="preserve">, 37.77, </w:t>
      </w:r>
      <w:r>
        <w:rPr>
          <w:rFonts w:cs="Arial"/>
          <w:sz w:val="22"/>
          <w:szCs w:val="22"/>
        </w:rPr>
        <w:t>37.79</w:t>
      </w:r>
      <w:r w:rsidRPr="006D2719">
        <w:rPr>
          <w:rFonts w:cs="Arial"/>
          <w:sz w:val="22"/>
          <w:szCs w:val="22"/>
        </w:rPr>
        <w:t xml:space="preserve">, and 37.81 </w:t>
      </w:r>
      <w:r w:rsidRPr="006D2719" w:rsidR="0015185E">
        <w:rPr>
          <w:rFonts w:cs="Arial"/>
          <w:sz w:val="22"/>
          <w:szCs w:val="22"/>
          <w:lang w:val="en-CA"/>
        </w:rPr>
        <w:fldChar w:fldCharType="begin"/>
      </w:r>
      <w:r w:rsidRPr="006D2719" w:rsidR="0015185E">
        <w:rPr>
          <w:rFonts w:cs="Arial"/>
          <w:sz w:val="22"/>
          <w:szCs w:val="22"/>
          <w:lang w:val="en-CA"/>
        </w:rPr>
        <w:instrText xml:space="preserve"> SEQ CHAPTER \h \r 1</w:instrText>
      </w:r>
      <w:r w:rsidRPr="006D2719" w:rsidR="0015185E">
        <w:rPr>
          <w:rFonts w:cs="Arial"/>
          <w:sz w:val="22"/>
          <w:szCs w:val="22"/>
        </w:rPr>
        <w:fldChar w:fldCharType="end"/>
      </w:r>
      <w:r w:rsidRPr="006D2719" w:rsidR="0015185E">
        <w:rPr>
          <w:rFonts w:cs="Arial"/>
          <w:sz w:val="22"/>
          <w:szCs w:val="22"/>
        </w:rPr>
        <w:t xml:space="preserve">of Part </w:t>
      </w:r>
      <w:r w:rsidRPr="006D2719" w:rsidR="0023757B">
        <w:rPr>
          <w:rFonts w:cs="Arial"/>
          <w:sz w:val="22"/>
          <w:szCs w:val="22"/>
        </w:rPr>
        <w:t>37</w:t>
      </w:r>
      <w:r w:rsidRPr="006D2719" w:rsidR="0015185E">
        <w:rPr>
          <w:rFonts w:cs="Arial"/>
          <w:sz w:val="22"/>
          <w:szCs w:val="22"/>
        </w:rPr>
        <w:t xml:space="preserve"> vary from the OMB Guidelines in 5 CFR 1320.5(d) by requiring that licensees submit reports to the NRC in less than 30 days</w:t>
      </w:r>
      <w:r>
        <w:rPr>
          <w:rFonts w:cs="Arial"/>
          <w:sz w:val="22"/>
          <w:szCs w:val="22"/>
        </w:rPr>
        <w:t>.</w:t>
      </w:r>
      <w:r w:rsidRPr="006D2719" w:rsidR="00157B36">
        <w:rPr>
          <w:rFonts w:cs="Arial"/>
          <w:sz w:val="22"/>
          <w:szCs w:val="22"/>
        </w:rPr>
        <w:t xml:space="preserve"> </w:t>
      </w:r>
      <w:r w:rsidR="00035592">
        <w:rPr>
          <w:rFonts w:cs="Arial"/>
          <w:sz w:val="22"/>
          <w:szCs w:val="22"/>
        </w:rPr>
        <w:t xml:space="preserve"> </w:t>
      </w:r>
      <w:r w:rsidRPr="006D2719" w:rsidR="0015185E">
        <w:rPr>
          <w:rFonts w:cs="Arial"/>
          <w:sz w:val="22"/>
          <w:szCs w:val="22"/>
        </w:rPr>
        <w:t xml:space="preserve">These notification requirements are needed to permit response forces, NRC, law enforcement authorities, shippers, and consignees to confirm the integrity of shipments or to determine whether there has been a loss or diversion of </w:t>
      </w:r>
      <w:r w:rsidRPr="006D2719" w:rsidR="00157B36">
        <w:rPr>
          <w:rFonts w:cs="Arial"/>
          <w:sz w:val="22"/>
          <w:szCs w:val="22"/>
        </w:rPr>
        <w:t>radioactive</w:t>
      </w:r>
      <w:r w:rsidRPr="006D2719" w:rsidR="0015185E">
        <w:rPr>
          <w:rFonts w:cs="Arial"/>
          <w:sz w:val="22"/>
          <w:szCs w:val="22"/>
        </w:rPr>
        <w:t xml:space="preserve"> material and to initiate prompt action for recovery of such material.</w:t>
      </w:r>
    </w:p>
    <w:p w:rsidR="00D2545E" w:rsidP="00716A2E" w:rsidRDefault="00D2545E" w14:paraId="7B58D77B" w14:textId="77777777">
      <w:pPr>
        <w:tabs>
          <w:tab w:val="left" w:pos="720"/>
        </w:tabs>
        <w:ind w:left="720" w:hanging="720"/>
        <w:rPr>
          <w:rFonts w:cs="Arial"/>
          <w:sz w:val="22"/>
          <w:szCs w:val="22"/>
        </w:rPr>
      </w:pPr>
    </w:p>
    <w:p w:rsidR="00F25AFA" w:rsidP="00716A2E" w:rsidRDefault="00D2545E" w14:paraId="7B58D77C" w14:textId="77777777">
      <w:pPr>
        <w:tabs>
          <w:tab w:val="left" w:pos="720"/>
        </w:tabs>
        <w:ind w:left="720" w:hanging="720"/>
        <w:rPr>
          <w:rFonts w:cs="Arial"/>
          <w:sz w:val="22"/>
          <w:szCs w:val="22"/>
          <w:u w:val="single"/>
        </w:rPr>
      </w:pPr>
      <w:r>
        <w:rPr>
          <w:rFonts w:cs="Arial"/>
          <w:sz w:val="22"/>
          <w:szCs w:val="22"/>
        </w:rPr>
        <w:tab/>
      </w:r>
      <w:r w:rsidRPr="006D2719" w:rsidR="00F25AFA">
        <w:rPr>
          <w:rFonts w:cs="Arial"/>
          <w:sz w:val="22"/>
          <w:szCs w:val="22"/>
        </w:rPr>
        <w:t>8.</w:t>
      </w:r>
      <w:r w:rsidRPr="006D2719" w:rsidR="00F25AFA">
        <w:rPr>
          <w:rFonts w:cs="Arial"/>
          <w:sz w:val="22"/>
          <w:szCs w:val="22"/>
        </w:rPr>
        <w:tab/>
      </w:r>
      <w:r w:rsidRPr="00EE5F65" w:rsidR="00F25AFA">
        <w:rPr>
          <w:rFonts w:cs="Arial"/>
          <w:sz w:val="22"/>
          <w:szCs w:val="22"/>
          <w:u w:val="single"/>
        </w:rPr>
        <w:t xml:space="preserve">Consultations </w:t>
      </w:r>
      <w:r w:rsidRPr="00EE5F65" w:rsidR="00712D5C">
        <w:rPr>
          <w:rFonts w:cs="Arial"/>
          <w:sz w:val="22"/>
          <w:szCs w:val="22"/>
          <w:u w:val="single"/>
        </w:rPr>
        <w:t>outside</w:t>
      </w:r>
      <w:r w:rsidRPr="00EE5F65" w:rsidR="00F25AFA">
        <w:rPr>
          <w:rFonts w:cs="Arial"/>
          <w:sz w:val="22"/>
          <w:szCs w:val="22"/>
          <w:u w:val="single"/>
        </w:rPr>
        <w:t xml:space="preserve"> the NRC</w:t>
      </w:r>
    </w:p>
    <w:p w:rsidRPr="00EE5F65" w:rsidR="004D3E78" w:rsidP="00716A2E" w:rsidRDefault="004D3E78" w14:paraId="7B58D77D" w14:textId="77777777">
      <w:pPr>
        <w:tabs>
          <w:tab w:val="left" w:pos="720"/>
        </w:tabs>
        <w:ind w:left="720" w:hanging="720"/>
        <w:rPr>
          <w:rFonts w:cs="Arial"/>
          <w:sz w:val="22"/>
          <w:szCs w:val="22"/>
        </w:rPr>
      </w:pPr>
    </w:p>
    <w:p w:rsidR="00007F5B" w:rsidP="00007F5B" w:rsidRDefault="00626D16" w14:paraId="794C5E24" w14:textId="3F10B28B">
      <w:pPr>
        <w:ind w:left="1440"/>
        <w:rPr>
          <w:rFonts w:cs="Arial"/>
          <w:sz w:val="22"/>
          <w:szCs w:val="22"/>
        </w:rPr>
      </w:pPr>
      <w:r w:rsidRPr="00626D16">
        <w:rPr>
          <w:rFonts w:cs="Arial"/>
          <w:sz w:val="22"/>
          <w:szCs w:val="22"/>
        </w:rPr>
        <w:t xml:space="preserve">Opportunity for public comment on the information collection requirements for this clearance package was published In the Federal Register on October 29, 2018 (83 FR 54382).  </w:t>
      </w:r>
      <w:r w:rsidR="002B2D72">
        <w:rPr>
          <w:rFonts w:cs="Arial"/>
          <w:sz w:val="22"/>
          <w:szCs w:val="22"/>
        </w:rPr>
        <w:t>I</w:t>
      </w:r>
      <w:r w:rsidRPr="002B2D72" w:rsidR="002B2D72">
        <w:rPr>
          <w:rFonts w:cs="Arial"/>
          <w:sz w:val="22"/>
          <w:szCs w:val="22"/>
        </w:rPr>
        <w:t xml:space="preserve">n addition, as part of the public consultation process, </w:t>
      </w:r>
      <w:r w:rsidR="002B2D72">
        <w:rPr>
          <w:rFonts w:cs="Arial"/>
          <w:sz w:val="22"/>
          <w:szCs w:val="22"/>
        </w:rPr>
        <w:t>four</w:t>
      </w:r>
      <w:r w:rsidRPr="002B2D72" w:rsidR="002B2D72">
        <w:rPr>
          <w:rFonts w:cs="Arial"/>
          <w:sz w:val="22"/>
          <w:szCs w:val="22"/>
        </w:rPr>
        <w:t xml:space="preserve"> licensees were contacted by email and invited to respond.  The group</w:t>
      </w:r>
      <w:r w:rsidR="005B418F">
        <w:rPr>
          <w:rFonts w:cs="Arial"/>
          <w:sz w:val="22"/>
          <w:szCs w:val="22"/>
        </w:rPr>
        <w:t>s</w:t>
      </w:r>
      <w:r w:rsidRPr="002B2D72" w:rsidR="002B2D72">
        <w:rPr>
          <w:rFonts w:cs="Arial"/>
          <w:sz w:val="22"/>
          <w:szCs w:val="22"/>
        </w:rPr>
        <w:t xml:space="preserve"> contacted included medical, research, and industrial licensees.</w:t>
      </w:r>
      <w:r w:rsidRPr="002B2D72">
        <w:rPr>
          <w:rFonts w:cs="Arial"/>
          <w:sz w:val="22"/>
          <w:szCs w:val="22"/>
        </w:rPr>
        <w:t>  No comments were received in responses to these consultation</w:t>
      </w:r>
      <w:r w:rsidRPr="002B2D72" w:rsidR="00516CE6">
        <w:rPr>
          <w:rFonts w:cs="Arial"/>
          <w:sz w:val="22"/>
          <w:szCs w:val="22"/>
        </w:rPr>
        <w:t>s.</w:t>
      </w:r>
      <w:r w:rsidR="0031651D">
        <w:rPr>
          <w:rFonts w:cs="Arial"/>
          <w:sz w:val="22"/>
          <w:szCs w:val="22"/>
        </w:rPr>
        <w:t xml:space="preserve"> </w:t>
      </w:r>
    </w:p>
    <w:p w:rsidR="00007F5B" w:rsidP="00007F5B" w:rsidRDefault="00007F5B" w14:paraId="5AC731C4" w14:textId="77777777">
      <w:pPr>
        <w:ind w:left="1440"/>
        <w:rPr>
          <w:rFonts w:cs="Arial"/>
          <w:sz w:val="22"/>
          <w:szCs w:val="22"/>
        </w:rPr>
      </w:pPr>
    </w:p>
    <w:p w:rsidR="00F802A1" w:rsidP="00EE0B10" w:rsidRDefault="00F802A1" w14:paraId="7B58D77F" w14:textId="77777777">
      <w:pPr>
        <w:ind w:left="1440"/>
        <w:rPr>
          <w:rFonts w:cs="Arial"/>
          <w:sz w:val="22"/>
          <w:szCs w:val="22"/>
        </w:rPr>
      </w:pPr>
      <w:bookmarkStart w:name="_GoBack" w:id="2"/>
      <w:bookmarkEnd w:id="2"/>
    </w:p>
    <w:p w:rsidRPr="006D2719" w:rsidR="00F25AFA" w:rsidP="00716A2E" w:rsidRDefault="00F25AFA" w14:paraId="7B58D780" w14:textId="77777777">
      <w:pPr>
        <w:keepNext/>
        <w:keepLines/>
        <w:tabs>
          <w:tab w:val="left" w:pos="720"/>
          <w:tab w:val="left" w:pos="1440"/>
        </w:tabs>
        <w:ind w:left="1440" w:hanging="720"/>
        <w:rPr>
          <w:rFonts w:cs="Arial"/>
          <w:sz w:val="22"/>
          <w:szCs w:val="22"/>
        </w:rPr>
      </w:pPr>
      <w:r w:rsidRPr="006D2719">
        <w:rPr>
          <w:rFonts w:cs="Arial"/>
          <w:sz w:val="22"/>
          <w:szCs w:val="22"/>
        </w:rPr>
        <w:t>9.</w:t>
      </w:r>
      <w:r w:rsidRPr="006D2719">
        <w:rPr>
          <w:rFonts w:cs="Arial"/>
          <w:sz w:val="22"/>
          <w:szCs w:val="22"/>
        </w:rPr>
        <w:tab/>
      </w:r>
      <w:r w:rsidRPr="006D2719">
        <w:rPr>
          <w:rFonts w:cs="Arial"/>
          <w:sz w:val="22"/>
          <w:szCs w:val="22"/>
          <w:u w:val="single"/>
        </w:rPr>
        <w:t>Payment or Gifts to Respondents</w:t>
      </w:r>
    </w:p>
    <w:p w:rsidRPr="006D2719" w:rsidR="00F25AFA" w:rsidP="00716A2E" w:rsidRDefault="00F25AFA" w14:paraId="7B58D781" w14:textId="77777777">
      <w:pPr>
        <w:keepNext/>
        <w:rPr>
          <w:rFonts w:cs="Arial"/>
          <w:sz w:val="22"/>
          <w:szCs w:val="22"/>
        </w:rPr>
      </w:pPr>
    </w:p>
    <w:p w:rsidRPr="006D2719" w:rsidR="00F25AFA" w:rsidP="00716A2E" w:rsidRDefault="00F25AFA" w14:paraId="7B58D782" w14:textId="77777777">
      <w:pPr>
        <w:ind w:left="1440"/>
        <w:rPr>
          <w:rFonts w:cs="Arial"/>
          <w:sz w:val="22"/>
          <w:szCs w:val="22"/>
        </w:rPr>
      </w:pPr>
      <w:r w:rsidRPr="006D2719">
        <w:rPr>
          <w:rFonts w:cs="Arial"/>
          <w:sz w:val="22"/>
          <w:szCs w:val="22"/>
        </w:rPr>
        <w:t>Not applicable.</w:t>
      </w:r>
    </w:p>
    <w:p w:rsidRPr="006D2719" w:rsidR="0068512E" w:rsidP="00716A2E" w:rsidRDefault="0068512E" w14:paraId="7B58D783" w14:textId="77777777">
      <w:pPr>
        <w:rPr>
          <w:rFonts w:cs="Arial"/>
          <w:sz w:val="22"/>
          <w:szCs w:val="22"/>
        </w:rPr>
      </w:pPr>
    </w:p>
    <w:p w:rsidRPr="006D2719" w:rsidR="00F25AFA" w:rsidP="00716A2E" w:rsidRDefault="00F25AFA" w14:paraId="7B58D784" w14:textId="77777777">
      <w:pPr>
        <w:keepNext/>
        <w:keepLines/>
        <w:tabs>
          <w:tab w:val="left" w:pos="720"/>
          <w:tab w:val="left" w:pos="1440"/>
        </w:tabs>
        <w:ind w:left="1440" w:hanging="720"/>
        <w:rPr>
          <w:rFonts w:cs="Arial"/>
          <w:sz w:val="22"/>
          <w:szCs w:val="22"/>
        </w:rPr>
      </w:pPr>
      <w:r w:rsidRPr="006D2719">
        <w:rPr>
          <w:rFonts w:cs="Arial"/>
          <w:sz w:val="22"/>
          <w:szCs w:val="22"/>
        </w:rPr>
        <w:t>10.</w:t>
      </w:r>
      <w:r w:rsidRPr="006D2719">
        <w:rPr>
          <w:rFonts w:cs="Arial"/>
          <w:sz w:val="22"/>
          <w:szCs w:val="22"/>
        </w:rPr>
        <w:tab/>
      </w:r>
      <w:r w:rsidRPr="006D2719">
        <w:rPr>
          <w:rFonts w:cs="Arial"/>
          <w:sz w:val="22"/>
          <w:szCs w:val="22"/>
          <w:u w:val="single"/>
        </w:rPr>
        <w:t>Confidentiality of Information</w:t>
      </w:r>
    </w:p>
    <w:p w:rsidRPr="006D2719" w:rsidR="00F25AFA" w:rsidP="00716A2E" w:rsidRDefault="00F25AFA" w14:paraId="7B58D785" w14:textId="77777777">
      <w:pPr>
        <w:keepNext/>
        <w:rPr>
          <w:rFonts w:cs="Arial"/>
          <w:sz w:val="22"/>
          <w:szCs w:val="22"/>
        </w:rPr>
      </w:pPr>
    </w:p>
    <w:p w:rsidR="00B55FA8" w:rsidP="00716A2E" w:rsidRDefault="0054048E" w14:paraId="7B58D786" w14:textId="77777777">
      <w:pPr>
        <w:ind w:left="1430"/>
        <w:rPr>
          <w:sz w:val="22"/>
        </w:rPr>
      </w:pPr>
      <w:r w:rsidRPr="006D2719">
        <w:rPr>
          <w:sz w:val="22"/>
        </w:rPr>
        <w:t>Confidential and proprietary information is protected in accordance with NRC regulations at 10 CFR 9.17(a) and 10 CFR 2.390(b).</w:t>
      </w:r>
    </w:p>
    <w:p w:rsidR="00F90DF1" w:rsidP="00716A2E" w:rsidRDefault="00F90DF1" w14:paraId="7B58D787" w14:textId="77777777">
      <w:pPr>
        <w:ind w:left="1430"/>
        <w:rPr>
          <w:sz w:val="22"/>
        </w:rPr>
      </w:pPr>
    </w:p>
    <w:p w:rsidRPr="009B7D01" w:rsidR="00F90DF1" w:rsidP="00716A2E" w:rsidRDefault="00F90DF1" w14:paraId="7B58D788" w14:textId="77777777">
      <w:pPr>
        <w:ind w:left="1430"/>
        <w:rPr>
          <w:sz w:val="22"/>
        </w:rPr>
      </w:pPr>
      <w:r w:rsidRPr="009B7D01">
        <w:rPr>
          <w:sz w:val="22"/>
        </w:rPr>
        <w:t xml:space="preserve">The </w:t>
      </w:r>
      <w:r w:rsidR="000C3E2C">
        <w:rPr>
          <w:sz w:val="22"/>
        </w:rPr>
        <w:t xml:space="preserve">regulations in </w:t>
      </w:r>
      <w:r w:rsidR="00FE01FA">
        <w:rPr>
          <w:sz w:val="22"/>
        </w:rPr>
        <w:t>10 CFR Part 37</w:t>
      </w:r>
      <w:r w:rsidRPr="009B7D01">
        <w:rPr>
          <w:sz w:val="22"/>
        </w:rPr>
        <w:t xml:space="preserve"> require the licensee to conduct a background investigation that includes the collection of fingerprints and an FBI criminal history records check.  The information is used by the licensee to determine an individual's suitability for unes</w:t>
      </w:r>
      <w:r w:rsidR="00AF0DF2">
        <w:rPr>
          <w:sz w:val="22"/>
        </w:rPr>
        <w:t>corted access authorization to Category 1 or C</w:t>
      </w:r>
      <w:r w:rsidRPr="009B7D01">
        <w:rPr>
          <w:sz w:val="22"/>
        </w:rPr>
        <w:t xml:space="preserve">ategory 2 quantities of radioactive materials, access to safeguards information, or safeguards information-modified handling.  Licensees are required to have procedures for protection of the personal information from unauthorized disclosure.  Licensees can use the information obtained as part of a criminal history records check solely for the purpose of determining an individual's suitability for unescorted access authorization to </w:t>
      </w:r>
      <w:r w:rsidR="00AF0DF2">
        <w:rPr>
          <w:sz w:val="22"/>
        </w:rPr>
        <w:t>Category 1 or C</w:t>
      </w:r>
      <w:r w:rsidRPr="009B7D01">
        <w:rPr>
          <w:sz w:val="22"/>
        </w:rPr>
        <w:t>ategory 2 quantities of radioactive materials, access to safeguards information, or safeguards information-modified handling.  The rule also limits who the licensee can share information with</w:t>
      </w:r>
      <w:r w:rsidR="003F70E9">
        <w:rPr>
          <w:sz w:val="22"/>
        </w:rPr>
        <w:t>:</w:t>
      </w:r>
      <w:r w:rsidRPr="009B7D01">
        <w:rPr>
          <w:sz w:val="22"/>
        </w:rPr>
        <w:t xml:space="preserve"> those approved by the individual and those that need the information to do their job.  The licensee is required to obtain written consent from the individual before beginning the background investigation.</w:t>
      </w:r>
    </w:p>
    <w:p w:rsidRPr="009B7D01" w:rsidR="00F90DF1" w:rsidP="00716A2E" w:rsidRDefault="00F90DF1" w14:paraId="7B58D789" w14:textId="77777777">
      <w:pPr>
        <w:ind w:left="1430"/>
        <w:rPr>
          <w:sz w:val="22"/>
        </w:rPr>
      </w:pPr>
    </w:p>
    <w:p w:rsidRPr="009B7D01" w:rsidR="00F90DF1" w:rsidP="00716A2E" w:rsidRDefault="00F90DF1" w14:paraId="7B58D78A" w14:textId="50BFD042">
      <w:pPr>
        <w:ind w:left="1440"/>
        <w:rPr>
          <w:sz w:val="22"/>
        </w:rPr>
      </w:pPr>
      <w:r w:rsidRPr="009B7D01">
        <w:rPr>
          <w:sz w:val="22"/>
        </w:rPr>
        <w:t xml:space="preserve">The NRC only collects the fingerprints, either cards or electronically.  The NRC digitizes fingerprints captured via card and passes the fingerprints electronically to the FBI.  The FBI runs the fingerprints and provides the criminal history report to the NRC.  The NRC then passes the report on to the licensee, but does not retain a copy of this report.  The NRC practice is to destroy the fingerprint cards after approximately a month.  The cards are destroyed in accordance with federal </w:t>
      </w:r>
      <w:r w:rsidRPr="009B7D01">
        <w:rPr>
          <w:sz w:val="22"/>
        </w:rPr>
        <w:lastRenderedPageBreak/>
        <w:t xml:space="preserve">guidelines.  The NRC system keeps a record of all the submissions, but can only </w:t>
      </w:r>
      <w:r w:rsidRPr="009B7D01">
        <w:rPr>
          <w:sz w:val="22"/>
          <w:szCs w:val="22"/>
        </w:rPr>
        <w:t xml:space="preserve">produce a copy of that record for </w:t>
      </w:r>
      <w:r w:rsidR="007F6D0A">
        <w:rPr>
          <w:sz w:val="22"/>
          <w:szCs w:val="22"/>
        </w:rPr>
        <w:t>30 days</w:t>
      </w:r>
      <w:r w:rsidRPr="009B7D01">
        <w:rPr>
          <w:sz w:val="22"/>
          <w:szCs w:val="22"/>
        </w:rPr>
        <w:t xml:space="preserve">; after </w:t>
      </w:r>
      <w:r w:rsidR="007F6D0A">
        <w:rPr>
          <w:sz w:val="22"/>
          <w:szCs w:val="22"/>
        </w:rPr>
        <w:t>30 days</w:t>
      </w:r>
      <w:r w:rsidRPr="009B7D01">
        <w:rPr>
          <w:sz w:val="22"/>
          <w:szCs w:val="22"/>
        </w:rPr>
        <w:t xml:space="preserve">, NRC cannot print out a copy.  </w:t>
      </w:r>
      <w:r w:rsidRPr="009B7D01" w:rsidR="00050D4F">
        <w:rPr>
          <w:sz w:val="22"/>
          <w:szCs w:val="22"/>
        </w:rPr>
        <w:t>NRC personnel in the Division of Facilities and Security (DFS) handle the fingerprint cards.  DFS personnel also handle NRC’s clearance information for NRC employees.  These individuals are trained and know how to process and protect information</w:t>
      </w:r>
      <w:r w:rsidRPr="009B7D01">
        <w:rPr>
          <w:sz w:val="22"/>
          <w:szCs w:val="22"/>
        </w:rPr>
        <w:t xml:space="preserve">.  </w:t>
      </w:r>
      <w:r w:rsidRPr="009B7D01">
        <w:rPr>
          <w:sz w:val="22"/>
        </w:rPr>
        <w:t>This information collection is listed in the NRC’s Privacy Act Systems of Records Notice under the heading of NRC-39, Personnel Security Files and Associated Records (</w:t>
      </w:r>
      <w:r w:rsidR="00063FAD">
        <w:rPr>
          <w:sz w:val="22"/>
        </w:rPr>
        <w:t>81 FR 81320</w:t>
      </w:r>
      <w:r w:rsidRPr="009B7D01">
        <w:rPr>
          <w:sz w:val="22"/>
        </w:rPr>
        <w:t>).  The NRC does not disclose or share the information with anyone (except the initial submittal of fingerprints to the FBI and passing on the FBI report to the licensee).</w:t>
      </w:r>
    </w:p>
    <w:p w:rsidRPr="009B7D01" w:rsidR="00F90DF1" w:rsidP="00716A2E" w:rsidRDefault="00F90DF1" w14:paraId="7B58D78B" w14:textId="77777777">
      <w:pPr>
        <w:ind w:left="1440"/>
        <w:rPr>
          <w:sz w:val="22"/>
        </w:rPr>
      </w:pPr>
    </w:p>
    <w:p w:rsidRPr="009B7D01" w:rsidR="00F25AFA" w:rsidP="00716A2E" w:rsidRDefault="0015185E" w14:paraId="7B58D78C" w14:textId="77777777">
      <w:pPr>
        <w:ind w:left="720"/>
        <w:rPr>
          <w:rFonts w:cs="Arial"/>
          <w:sz w:val="22"/>
          <w:szCs w:val="22"/>
        </w:rPr>
      </w:pPr>
      <w:r w:rsidRPr="009B7D01">
        <w:rPr>
          <w:rFonts w:cs="Arial"/>
          <w:sz w:val="22"/>
          <w:szCs w:val="22"/>
          <w:lang w:val="en-CA"/>
        </w:rPr>
        <w:fldChar w:fldCharType="begin"/>
      </w:r>
      <w:r w:rsidRPr="009B7D01">
        <w:rPr>
          <w:rFonts w:cs="Arial"/>
          <w:sz w:val="22"/>
          <w:szCs w:val="22"/>
          <w:lang w:val="en-CA"/>
        </w:rPr>
        <w:instrText xml:space="preserve"> SEQ CHAPTER \h \r 1</w:instrText>
      </w:r>
      <w:r w:rsidRPr="009B7D01">
        <w:rPr>
          <w:rFonts w:cs="Arial"/>
          <w:sz w:val="22"/>
          <w:szCs w:val="22"/>
        </w:rPr>
        <w:fldChar w:fldCharType="end"/>
      </w:r>
      <w:r w:rsidRPr="009B7D01" w:rsidR="00F25AFA">
        <w:rPr>
          <w:rFonts w:cs="Arial"/>
          <w:sz w:val="22"/>
          <w:szCs w:val="22"/>
        </w:rPr>
        <w:t>11.</w:t>
      </w:r>
      <w:r w:rsidRPr="009B7D01" w:rsidR="00F25AFA">
        <w:rPr>
          <w:rFonts w:cs="Arial"/>
          <w:sz w:val="22"/>
          <w:szCs w:val="22"/>
        </w:rPr>
        <w:tab/>
      </w:r>
      <w:r w:rsidRPr="009B7D01" w:rsidR="00F25AFA">
        <w:rPr>
          <w:rFonts w:cs="Arial"/>
          <w:sz w:val="22"/>
          <w:szCs w:val="22"/>
          <w:u w:val="single"/>
        </w:rPr>
        <w:t>Justification for Sensitive Questions</w:t>
      </w:r>
    </w:p>
    <w:p w:rsidRPr="009B7D01" w:rsidR="00F25AFA" w:rsidP="00716A2E" w:rsidRDefault="00F25AFA" w14:paraId="7B58D78D" w14:textId="77777777">
      <w:pPr>
        <w:rPr>
          <w:rFonts w:cs="Arial"/>
          <w:sz w:val="22"/>
          <w:szCs w:val="22"/>
        </w:rPr>
      </w:pPr>
    </w:p>
    <w:p w:rsidR="00CB3C45" w:rsidP="00716A2E" w:rsidRDefault="00EA5B0F" w14:paraId="7B58D78E" w14:textId="77777777">
      <w:pPr>
        <w:ind w:left="1440"/>
        <w:rPr>
          <w:sz w:val="22"/>
          <w:szCs w:val="22"/>
        </w:rPr>
      </w:pPr>
      <w:r w:rsidRPr="009B7D01">
        <w:rPr>
          <w:sz w:val="22"/>
        </w:rPr>
        <w:t xml:space="preserve">The </w:t>
      </w:r>
      <w:r>
        <w:rPr>
          <w:sz w:val="22"/>
        </w:rPr>
        <w:t xml:space="preserve">regulations in </w:t>
      </w:r>
      <w:r w:rsidR="00FE01FA">
        <w:rPr>
          <w:sz w:val="22"/>
          <w:szCs w:val="22"/>
        </w:rPr>
        <w:t>10 CFR Part 37</w:t>
      </w:r>
      <w:r w:rsidRPr="009B7D01" w:rsidR="00CB3C45">
        <w:rPr>
          <w:sz w:val="22"/>
          <w:szCs w:val="22"/>
        </w:rPr>
        <w:t xml:space="preserve"> require a background investigation which includes several</w:t>
      </w:r>
      <w:r w:rsidR="00CB3C45">
        <w:rPr>
          <w:sz w:val="22"/>
          <w:szCs w:val="22"/>
        </w:rPr>
        <w:t xml:space="preserve"> components: </w:t>
      </w:r>
      <w:r w:rsidR="00035592">
        <w:rPr>
          <w:sz w:val="22"/>
          <w:szCs w:val="22"/>
        </w:rPr>
        <w:t xml:space="preserve"> </w:t>
      </w:r>
      <w:r w:rsidR="00CB3C45">
        <w:rPr>
          <w:sz w:val="22"/>
          <w:szCs w:val="22"/>
        </w:rPr>
        <w:t>fingerprinting and an FBI identification and criminal history records check; verification of true identity; employment history evaluation; verification of education; credit history evaluation; and character and reputation determination.  It is the licensee’s responsibility to make a trustworthiness and reliability determination of an employee, contractor, or other individual who would b</w:t>
      </w:r>
      <w:r w:rsidR="000A43E9">
        <w:rPr>
          <w:sz w:val="22"/>
          <w:szCs w:val="22"/>
        </w:rPr>
        <w:t>e granted unescorted access to Category 1 or C</w:t>
      </w:r>
      <w:r w:rsidR="00CB3C45">
        <w:rPr>
          <w:sz w:val="22"/>
          <w:szCs w:val="22"/>
        </w:rPr>
        <w:t xml:space="preserve">ategory 2 quantities of radioactive material. </w:t>
      </w:r>
      <w:r w:rsidR="00035592">
        <w:rPr>
          <w:sz w:val="22"/>
          <w:szCs w:val="22"/>
        </w:rPr>
        <w:t xml:space="preserve"> </w:t>
      </w:r>
      <w:r w:rsidR="00CB3C45">
        <w:rPr>
          <w:sz w:val="22"/>
          <w:szCs w:val="22"/>
        </w:rPr>
        <w:t xml:space="preserve">It is expected that licensees will use their best efforts to obtain the information required to conduct a background investigation to determine individuals’ trustworthiness and reliability.  </w:t>
      </w:r>
      <w:r w:rsidRPr="00ED7E1C" w:rsidR="00CB3C45">
        <w:rPr>
          <w:sz w:val="22"/>
          <w:szCs w:val="22"/>
        </w:rPr>
        <w:t>Fin</w:t>
      </w:r>
      <w:r w:rsidR="00CB3C45">
        <w:rPr>
          <w:sz w:val="22"/>
          <w:szCs w:val="22"/>
        </w:rPr>
        <w:t>gerprinting an individual for a</w:t>
      </w:r>
      <w:r w:rsidRPr="00ED7E1C" w:rsidR="00CB3C45">
        <w:rPr>
          <w:sz w:val="22"/>
          <w:szCs w:val="22"/>
        </w:rPr>
        <w:t xml:space="preserve"> FBI criminal history records check is </w:t>
      </w:r>
      <w:r w:rsidR="00CB3C45">
        <w:rPr>
          <w:sz w:val="22"/>
          <w:szCs w:val="22"/>
        </w:rPr>
        <w:t>an important element of the background investigation for</w:t>
      </w:r>
      <w:r w:rsidRPr="00ED7E1C" w:rsidR="00CB3C45">
        <w:rPr>
          <w:sz w:val="22"/>
          <w:szCs w:val="22"/>
        </w:rPr>
        <w:t xml:space="preserve"> determining the trustworthiness and reliability of an individual</w:t>
      </w:r>
      <w:r w:rsidR="00CB3C45">
        <w:rPr>
          <w:sz w:val="22"/>
          <w:szCs w:val="22"/>
        </w:rPr>
        <w:t>.  I</w:t>
      </w:r>
      <w:r w:rsidRPr="00ED7E1C" w:rsidR="00CB3C45">
        <w:rPr>
          <w:sz w:val="22"/>
          <w:szCs w:val="22"/>
        </w:rPr>
        <w:t>t can provide comprehensive information regarding an individual’</w:t>
      </w:r>
      <w:r w:rsidR="00CB3C45">
        <w:rPr>
          <w:sz w:val="22"/>
          <w:szCs w:val="22"/>
        </w:rPr>
        <w:t xml:space="preserve">s </w:t>
      </w:r>
      <w:r w:rsidRPr="00ED7E1C" w:rsidR="00CB3C45">
        <w:rPr>
          <w:sz w:val="22"/>
          <w:szCs w:val="22"/>
        </w:rPr>
        <w:t xml:space="preserve">recorded criminal activities within the </w:t>
      </w:r>
      <w:smartTag w:uri="urn:schemas-microsoft-com:office:smarttags" w:element="place">
        <w:smartTag w:uri="urn:schemas-microsoft-com:office:smarttags" w:element="country-region">
          <w:r w:rsidR="00CB3C45" w:rsidRPr="00ED7E1C">
            <w:rPr>
              <w:sz w:val="22"/>
              <w:szCs w:val="22"/>
            </w:rPr>
            <w:t>U.S.</w:t>
          </w:r>
        </w:smartTag>
      </w:smartTag>
      <w:r w:rsidRPr="00ED7E1C" w:rsidR="00CB3C45">
        <w:rPr>
          <w:sz w:val="22"/>
          <w:szCs w:val="22"/>
        </w:rPr>
        <w:t xml:space="preserve"> and its territories and the individual’s known affiliation</w:t>
      </w:r>
      <w:r w:rsidR="00CB3C45">
        <w:rPr>
          <w:sz w:val="22"/>
          <w:szCs w:val="22"/>
        </w:rPr>
        <w:t>s</w:t>
      </w:r>
      <w:r w:rsidRPr="00ED7E1C" w:rsidR="00CB3C45">
        <w:rPr>
          <w:sz w:val="22"/>
          <w:szCs w:val="22"/>
        </w:rPr>
        <w:t xml:space="preserve"> with violent gangs or terrorist </w:t>
      </w:r>
      <w:r w:rsidR="00CB3C45">
        <w:rPr>
          <w:sz w:val="22"/>
          <w:szCs w:val="22"/>
        </w:rPr>
        <w:t>organizations</w:t>
      </w:r>
      <w:r w:rsidRPr="00ED7E1C" w:rsidR="00CB3C45">
        <w:rPr>
          <w:sz w:val="22"/>
          <w:szCs w:val="22"/>
        </w:rPr>
        <w:t xml:space="preserve">.  </w:t>
      </w:r>
      <w:r w:rsidR="00CB3C45">
        <w:rPr>
          <w:sz w:val="22"/>
          <w:szCs w:val="22"/>
        </w:rPr>
        <w:t xml:space="preserve">The background investigation is a tool to determine that individuals are trustworthy and reliable and could be </w:t>
      </w:r>
      <w:r w:rsidR="000A43E9">
        <w:rPr>
          <w:sz w:val="22"/>
          <w:szCs w:val="22"/>
        </w:rPr>
        <w:t>permitted unescorted access to Category 1 or C</w:t>
      </w:r>
      <w:r w:rsidR="00CB3C45">
        <w:rPr>
          <w:sz w:val="22"/>
          <w:szCs w:val="22"/>
        </w:rPr>
        <w:t xml:space="preserve">ategory 2 quantities of radioactive material.  </w:t>
      </w:r>
      <w:r w:rsidRPr="00392D5F" w:rsidR="00CB3C45">
        <w:rPr>
          <w:sz w:val="22"/>
          <w:szCs w:val="22"/>
        </w:rPr>
        <w:t xml:space="preserve">It is essential to ensure that individuals seeking unescorted access to radioactive material be considered dependable in judgment, character, and performance, </w:t>
      </w:r>
      <w:r w:rsidR="000A43E9">
        <w:rPr>
          <w:sz w:val="22"/>
          <w:szCs w:val="22"/>
        </w:rPr>
        <w:t>such that unescorted access to Category 1 or C</w:t>
      </w:r>
      <w:r w:rsidRPr="00392D5F" w:rsidR="00CB3C45">
        <w:rPr>
          <w:sz w:val="22"/>
          <w:szCs w:val="22"/>
        </w:rPr>
        <w:t>ategory 2 quantities of radioactive material by that individual does not constitute an unreasonable risk to the public health and safety or common defense and security.</w:t>
      </w:r>
    </w:p>
    <w:p w:rsidR="007973C7" w:rsidP="00716A2E" w:rsidRDefault="007973C7" w14:paraId="7B58D78F" w14:textId="77777777">
      <w:pPr>
        <w:ind w:left="1440"/>
        <w:rPr>
          <w:sz w:val="22"/>
          <w:szCs w:val="22"/>
        </w:rPr>
      </w:pPr>
    </w:p>
    <w:p w:rsidR="00EE5F65" w:rsidP="00716A2E" w:rsidRDefault="007973C7" w14:paraId="7B58D790" w14:textId="77777777">
      <w:pPr>
        <w:ind w:left="1440"/>
        <w:rPr>
          <w:sz w:val="22"/>
          <w:szCs w:val="22"/>
        </w:rPr>
      </w:pPr>
      <w:r w:rsidRPr="000940C7">
        <w:rPr>
          <w:rFonts w:eastAsia="Batang"/>
          <w:sz w:val="22"/>
          <w:szCs w:val="22"/>
        </w:rPr>
        <w:t xml:space="preserve">Before beginning the background investigation on an individual, licensees are required to obtain the informed and signed consent of the subject individual.  This consent must include authorization to share personal information with other individuals or organizations as necessary to complete the background investigation.  Before a final adverse determination, the licensee shall provide the individual with an opportunity to correct any inaccurate or incomplete information that is developed during the background investigation.  Licensees are required to have a system in place </w:t>
      </w:r>
      <w:r w:rsidRPr="000940C7">
        <w:rPr>
          <w:sz w:val="22"/>
          <w:szCs w:val="22"/>
        </w:rPr>
        <w:t>for protection of the record and the personal information from unauthorized disclosure and are only allowed to provide the information to authorized individuals with a need-to-know.</w:t>
      </w:r>
    </w:p>
    <w:p w:rsidRPr="00716A2E" w:rsidR="00716A2E" w:rsidP="00716A2E" w:rsidRDefault="00716A2E" w14:paraId="7B58D791" w14:textId="77777777">
      <w:pPr>
        <w:ind w:left="1440"/>
        <w:rPr>
          <w:sz w:val="22"/>
          <w:szCs w:val="22"/>
        </w:rPr>
      </w:pPr>
    </w:p>
    <w:p w:rsidR="00F25AFA" w:rsidP="00716A2E" w:rsidRDefault="00F25AFA" w14:paraId="7B58D792" w14:textId="77777777">
      <w:pPr>
        <w:tabs>
          <w:tab w:val="left" w:pos="720"/>
          <w:tab w:val="left" w:pos="1440"/>
        </w:tabs>
        <w:ind w:left="1440" w:hanging="720"/>
        <w:rPr>
          <w:rFonts w:cs="Arial"/>
          <w:sz w:val="22"/>
          <w:szCs w:val="22"/>
          <w:u w:val="single"/>
        </w:rPr>
      </w:pPr>
      <w:r w:rsidRPr="006D2719">
        <w:rPr>
          <w:rFonts w:cs="Arial"/>
          <w:sz w:val="22"/>
          <w:szCs w:val="22"/>
        </w:rPr>
        <w:t>12.</w:t>
      </w:r>
      <w:r w:rsidRPr="006D2719">
        <w:rPr>
          <w:rFonts w:cs="Arial"/>
          <w:sz w:val="22"/>
          <w:szCs w:val="22"/>
        </w:rPr>
        <w:tab/>
      </w:r>
      <w:r w:rsidRPr="006D2719">
        <w:rPr>
          <w:rFonts w:cs="Arial"/>
          <w:sz w:val="22"/>
          <w:szCs w:val="22"/>
          <w:u w:val="single"/>
        </w:rPr>
        <w:t>Estimated Burden and Burden Hour Cost</w:t>
      </w:r>
    </w:p>
    <w:p w:rsidRPr="006D2719" w:rsidR="00D979A6" w:rsidP="00716A2E" w:rsidRDefault="00D979A6" w14:paraId="7B58D793" w14:textId="77777777">
      <w:pPr>
        <w:tabs>
          <w:tab w:val="left" w:pos="720"/>
          <w:tab w:val="left" w:pos="1440"/>
        </w:tabs>
        <w:ind w:left="1440" w:hanging="720"/>
        <w:rPr>
          <w:rFonts w:cs="Arial"/>
          <w:sz w:val="22"/>
          <w:szCs w:val="22"/>
        </w:rPr>
      </w:pPr>
    </w:p>
    <w:p w:rsidR="009145A3" w:rsidP="00716A2E" w:rsidRDefault="009145A3" w14:paraId="0DB567AD" w14:textId="1D31AAEC">
      <w:pPr>
        <w:numPr>
          <w:ilvl w:val="12"/>
          <w:numId w:val="0"/>
        </w:numPr>
        <w:ind w:left="1430"/>
        <w:rPr>
          <w:rFonts w:cs="Arial"/>
          <w:sz w:val="22"/>
          <w:szCs w:val="22"/>
        </w:rPr>
      </w:pPr>
      <w:bookmarkStart w:name="_Hlk175623" w:id="3"/>
      <w:r>
        <w:rPr>
          <w:rFonts w:cs="Arial"/>
          <w:sz w:val="22"/>
          <w:szCs w:val="22"/>
        </w:rPr>
        <w:lastRenderedPageBreak/>
        <w:t>Respondents to the Part 37 information collection during the clearance period are as follows:</w:t>
      </w:r>
    </w:p>
    <w:p w:rsidR="009145A3" w:rsidP="00716A2E" w:rsidRDefault="009145A3" w14:paraId="1EE822C4" w14:textId="4C615401">
      <w:pPr>
        <w:numPr>
          <w:ilvl w:val="12"/>
          <w:numId w:val="0"/>
        </w:numPr>
        <w:ind w:left="1430"/>
        <w:rPr>
          <w:rFonts w:cs="Arial"/>
          <w:sz w:val="22"/>
          <w:szCs w:val="22"/>
        </w:rPr>
      </w:pPr>
    </w:p>
    <w:p w:rsidR="00481958" w:rsidP="0065488F" w:rsidRDefault="0065488F" w14:paraId="4CE07B49" w14:textId="0B3F3B85">
      <w:pPr>
        <w:numPr>
          <w:ilvl w:val="12"/>
          <w:numId w:val="0"/>
        </w:numPr>
        <w:ind w:left="1430"/>
        <w:jc w:val="center"/>
        <w:rPr>
          <w:rFonts w:cs="Arial"/>
          <w:sz w:val="22"/>
          <w:szCs w:val="22"/>
        </w:rPr>
      </w:pPr>
      <w:r w:rsidRPr="0065488F">
        <w:rPr>
          <w:noProof/>
        </w:rPr>
        <w:drawing>
          <wp:inline distT="0" distB="0" distL="0" distR="0" wp14:anchorId="27CD0BB6" wp14:editId="4D0D1DDB">
            <wp:extent cx="3194050" cy="1237615"/>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050" cy="1237615"/>
                    </a:xfrm>
                    <a:prstGeom prst="rect">
                      <a:avLst/>
                    </a:prstGeom>
                    <a:noFill/>
                    <a:ln>
                      <a:noFill/>
                    </a:ln>
                  </pic:spPr>
                </pic:pic>
              </a:graphicData>
            </a:graphic>
          </wp:inline>
        </w:drawing>
      </w:r>
    </w:p>
    <w:p w:rsidR="009145A3" w:rsidP="009145A3" w:rsidRDefault="009145A3" w14:paraId="3B6F8145" w14:textId="6BD1F466">
      <w:pPr>
        <w:numPr>
          <w:ilvl w:val="12"/>
          <w:numId w:val="0"/>
        </w:numPr>
        <w:ind w:left="1430"/>
        <w:jc w:val="center"/>
        <w:rPr>
          <w:rFonts w:cs="Arial"/>
          <w:sz w:val="22"/>
          <w:szCs w:val="22"/>
        </w:rPr>
      </w:pPr>
    </w:p>
    <w:p w:rsidR="009145A3" w:rsidP="00716A2E" w:rsidRDefault="009145A3" w14:paraId="3FB5E5AB" w14:textId="77777777">
      <w:pPr>
        <w:numPr>
          <w:ilvl w:val="12"/>
          <w:numId w:val="0"/>
        </w:numPr>
        <w:ind w:left="1430"/>
        <w:rPr>
          <w:rFonts w:cs="Arial"/>
          <w:sz w:val="22"/>
          <w:szCs w:val="22"/>
        </w:rPr>
      </w:pPr>
    </w:p>
    <w:p w:rsidR="00CC363C" w:rsidP="00716A2E" w:rsidRDefault="00264152" w14:paraId="7B58D794" w14:textId="03571B10">
      <w:pPr>
        <w:numPr>
          <w:ilvl w:val="12"/>
          <w:numId w:val="0"/>
        </w:numPr>
        <w:ind w:left="1430"/>
        <w:rPr>
          <w:rFonts w:cs="Arial"/>
          <w:sz w:val="22"/>
          <w:szCs w:val="22"/>
        </w:rPr>
      </w:pPr>
      <w:r>
        <w:rPr>
          <w:rFonts w:cs="Arial"/>
          <w:sz w:val="22"/>
          <w:szCs w:val="22"/>
        </w:rPr>
        <w:t xml:space="preserve">The NRC estimates that </w:t>
      </w:r>
      <w:r w:rsidR="00342F77">
        <w:rPr>
          <w:rFonts w:cs="Arial"/>
          <w:sz w:val="22"/>
          <w:szCs w:val="22"/>
        </w:rPr>
        <w:t>1,4</w:t>
      </w:r>
      <w:r w:rsidR="005C6E80">
        <w:rPr>
          <w:rFonts w:cs="Arial"/>
          <w:sz w:val="22"/>
          <w:szCs w:val="22"/>
        </w:rPr>
        <w:t>00</w:t>
      </w:r>
      <w:r>
        <w:rPr>
          <w:rFonts w:cs="Arial"/>
          <w:sz w:val="22"/>
          <w:szCs w:val="22"/>
        </w:rPr>
        <w:t xml:space="preserve"> lic</w:t>
      </w:r>
      <w:r w:rsidR="000A43E9">
        <w:rPr>
          <w:rFonts w:cs="Arial"/>
          <w:sz w:val="22"/>
          <w:szCs w:val="22"/>
        </w:rPr>
        <w:t>ensees have possession of C</w:t>
      </w:r>
      <w:r>
        <w:rPr>
          <w:rFonts w:cs="Arial"/>
          <w:sz w:val="22"/>
          <w:szCs w:val="22"/>
        </w:rPr>
        <w:t xml:space="preserve">ategory 1 and </w:t>
      </w:r>
      <w:r w:rsidR="000A43E9">
        <w:rPr>
          <w:rFonts w:cs="Arial"/>
          <w:sz w:val="22"/>
          <w:szCs w:val="22"/>
        </w:rPr>
        <w:t>C</w:t>
      </w:r>
      <w:r w:rsidR="00EE4201">
        <w:rPr>
          <w:rFonts w:cs="Arial"/>
          <w:sz w:val="22"/>
          <w:szCs w:val="22"/>
        </w:rPr>
        <w:t xml:space="preserve">ategory </w:t>
      </w:r>
      <w:r>
        <w:rPr>
          <w:rFonts w:cs="Arial"/>
          <w:sz w:val="22"/>
          <w:szCs w:val="22"/>
        </w:rPr>
        <w:t>2 materials</w:t>
      </w:r>
      <w:r w:rsidR="005C6E80">
        <w:rPr>
          <w:rFonts w:cs="Arial"/>
          <w:sz w:val="22"/>
          <w:szCs w:val="22"/>
        </w:rPr>
        <w:t xml:space="preserve"> </w:t>
      </w:r>
      <w:r>
        <w:rPr>
          <w:rFonts w:cs="Arial"/>
          <w:sz w:val="22"/>
          <w:szCs w:val="22"/>
        </w:rPr>
        <w:t xml:space="preserve">and will be affected annually.  </w:t>
      </w:r>
      <w:r w:rsidRPr="006D2719" w:rsidR="00CC363C">
        <w:rPr>
          <w:rFonts w:cs="Arial"/>
          <w:sz w:val="22"/>
          <w:szCs w:val="22"/>
        </w:rPr>
        <w:t xml:space="preserve">These include a wide range of licensees, including pool-type irradiator licensees; manufacturer and distributor licensees; medical facilities with </w:t>
      </w:r>
      <w:r w:rsidR="003F70E9">
        <w:rPr>
          <w:rFonts w:cs="Arial"/>
          <w:sz w:val="22"/>
          <w:szCs w:val="22"/>
        </w:rPr>
        <w:t>stereotactic radiosurgery</w:t>
      </w:r>
      <w:r w:rsidRPr="006D2719" w:rsidR="00CC363C">
        <w:rPr>
          <w:rFonts w:cs="Arial"/>
          <w:sz w:val="22"/>
          <w:szCs w:val="22"/>
        </w:rPr>
        <w:t xml:space="preserve"> devices; self-shielded irradiator licensees (including blood irradiators); teletherapy unit licensees; radiographers; well loggers; broad scope users; radioisotope thermoelectric generator licensees; and licensees tha</w:t>
      </w:r>
      <w:r w:rsidR="000769CD">
        <w:rPr>
          <w:rFonts w:cs="Arial"/>
          <w:sz w:val="22"/>
          <w:szCs w:val="22"/>
        </w:rPr>
        <w:t>t ship or prepare for shipment Category 1 or C</w:t>
      </w:r>
      <w:r w:rsidRPr="006D2719" w:rsidR="00CC363C">
        <w:rPr>
          <w:rFonts w:cs="Arial"/>
          <w:sz w:val="22"/>
          <w:szCs w:val="22"/>
        </w:rPr>
        <w:t xml:space="preserve">ategory 2 quantities of radioactive material.  Licensees can select different methods for many of the security measures.  Many of the licensees may be small businesses. </w:t>
      </w:r>
      <w:r w:rsidR="007A0315">
        <w:rPr>
          <w:rFonts w:cs="Arial"/>
          <w:sz w:val="22"/>
          <w:szCs w:val="22"/>
        </w:rPr>
        <w:t xml:space="preserve"> Of these </w:t>
      </w:r>
      <w:r w:rsidR="00342F77">
        <w:rPr>
          <w:rFonts w:cs="Arial"/>
          <w:sz w:val="22"/>
          <w:szCs w:val="22"/>
        </w:rPr>
        <w:t>1,4</w:t>
      </w:r>
      <w:r w:rsidR="00133F21">
        <w:rPr>
          <w:rFonts w:cs="Arial"/>
          <w:sz w:val="22"/>
          <w:szCs w:val="22"/>
        </w:rPr>
        <w:t>00</w:t>
      </w:r>
      <w:r w:rsidR="007A0315">
        <w:rPr>
          <w:rFonts w:cs="Arial"/>
          <w:sz w:val="22"/>
          <w:szCs w:val="22"/>
        </w:rPr>
        <w:t xml:space="preserve"> licensees, it is estimated that </w:t>
      </w:r>
      <w:r w:rsidR="00342F77">
        <w:rPr>
          <w:rFonts w:cs="Arial"/>
          <w:sz w:val="22"/>
          <w:szCs w:val="22"/>
        </w:rPr>
        <w:t xml:space="preserve">260 </w:t>
      </w:r>
      <w:r w:rsidR="007A0315">
        <w:rPr>
          <w:rFonts w:cs="Arial"/>
          <w:sz w:val="22"/>
          <w:szCs w:val="22"/>
        </w:rPr>
        <w:t xml:space="preserve">are NRC licensees and </w:t>
      </w:r>
      <w:r w:rsidR="00342F77">
        <w:rPr>
          <w:rFonts w:cs="Arial"/>
          <w:sz w:val="22"/>
          <w:szCs w:val="22"/>
        </w:rPr>
        <w:t>1,140</w:t>
      </w:r>
      <w:r w:rsidR="007A0315">
        <w:rPr>
          <w:rFonts w:cs="Arial"/>
          <w:sz w:val="22"/>
          <w:szCs w:val="22"/>
        </w:rPr>
        <w:t xml:space="preserve"> are Agreement State licensees.</w:t>
      </w:r>
      <w:r w:rsidR="001A4DFB">
        <w:rPr>
          <w:rFonts w:cs="Arial"/>
          <w:sz w:val="22"/>
          <w:szCs w:val="22"/>
        </w:rPr>
        <w:t xml:space="preserve">  The licensees are combined on the burden tables as the requirements </w:t>
      </w:r>
      <w:r w:rsidR="00357DCC">
        <w:rPr>
          <w:rFonts w:cs="Arial"/>
          <w:sz w:val="22"/>
          <w:szCs w:val="22"/>
        </w:rPr>
        <w:t xml:space="preserve">will </w:t>
      </w:r>
      <w:r w:rsidR="001A4DFB">
        <w:rPr>
          <w:rFonts w:cs="Arial"/>
          <w:sz w:val="22"/>
          <w:szCs w:val="22"/>
        </w:rPr>
        <w:t xml:space="preserve">apply equally to both NRC and Agreement State licensees. </w:t>
      </w:r>
    </w:p>
    <w:p w:rsidR="00790C69" w:rsidP="00716A2E" w:rsidRDefault="00790C69" w14:paraId="7B58D795" w14:textId="77777777">
      <w:pPr>
        <w:numPr>
          <w:ilvl w:val="12"/>
          <w:numId w:val="0"/>
        </w:numPr>
        <w:ind w:left="1430"/>
        <w:rPr>
          <w:rFonts w:cs="Arial"/>
          <w:sz w:val="22"/>
          <w:szCs w:val="22"/>
        </w:rPr>
      </w:pPr>
    </w:p>
    <w:p w:rsidR="00CC363C" w:rsidP="00790C69" w:rsidRDefault="00E0011D" w14:paraId="7B58D796" w14:textId="77777777">
      <w:pPr>
        <w:numPr>
          <w:ilvl w:val="12"/>
          <w:numId w:val="0"/>
        </w:numPr>
        <w:ind w:left="1430"/>
        <w:rPr>
          <w:rFonts w:cs="Arial"/>
          <w:sz w:val="22"/>
          <w:szCs w:val="22"/>
        </w:rPr>
      </w:pPr>
      <w:r>
        <w:rPr>
          <w:rFonts w:cs="Arial"/>
          <w:sz w:val="22"/>
          <w:szCs w:val="22"/>
        </w:rPr>
        <w:t>Both the</w:t>
      </w:r>
      <w:r w:rsidR="00790C69">
        <w:rPr>
          <w:rFonts w:cs="Arial"/>
          <w:sz w:val="22"/>
          <w:szCs w:val="22"/>
        </w:rPr>
        <w:t xml:space="preserve"> NRC licensees</w:t>
      </w:r>
      <w:r>
        <w:rPr>
          <w:rFonts w:cs="Arial"/>
          <w:sz w:val="22"/>
          <w:szCs w:val="22"/>
        </w:rPr>
        <w:t xml:space="preserve"> and Agreement State licensees</w:t>
      </w:r>
      <w:r w:rsidR="00790C69">
        <w:rPr>
          <w:rFonts w:cs="Arial"/>
          <w:sz w:val="22"/>
          <w:szCs w:val="22"/>
        </w:rPr>
        <w:t xml:space="preserve"> have already implemented Part 37 requirements; therefore, all one-time implementation requirements are assumed to be completed for these licensees.  </w:t>
      </w:r>
    </w:p>
    <w:p w:rsidRPr="00817C0E" w:rsidR="0094223B" w:rsidP="00790C69" w:rsidRDefault="0094223B" w14:paraId="7B58D797" w14:textId="77777777">
      <w:pPr>
        <w:numPr>
          <w:ilvl w:val="12"/>
          <w:numId w:val="0"/>
        </w:numPr>
        <w:ind w:left="1430"/>
        <w:rPr>
          <w:rFonts w:cs="Arial"/>
          <w:sz w:val="22"/>
          <w:szCs w:val="22"/>
        </w:rPr>
      </w:pPr>
    </w:p>
    <w:p w:rsidR="00483061" w:rsidP="00F80955" w:rsidRDefault="00462AEF" w14:paraId="7B58D798" w14:textId="77777777">
      <w:pPr>
        <w:ind w:left="1430"/>
        <w:rPr>
          <w:rFonts w:cs="Arial"/>
          <w:sz w:val="22"/>
          <w:szCs w:val="22"/>
        </w:rPr>
      </w:pPr>
      <w:r w:rsidRPr="003A315E">
        <w:rPr>
          <w:rFonts w:cs="Arial"/>
          <w:sz w:val="22"/>
          <w:szCs w:val="22"/>
        </w:rPr>
        <w:t>The total annual burden</w:t>
      </w:r>
      <w:r w:rsidR="0068243E">
        <w:rPr>
          <w:rFonts w:cs="Arial"/>
          <w:sz w:val="22"/>
          <w:szCs w:val="22"/>
        </w:rPr>
        <w:t xml:space="preserve"> hours</w:t>
      </w:r>
      <w:r w:rsidRPr="003A315E">
        <w:rPr>
          <w:rFonts w:cs="Arial"/>
          <w:sz w:val="22"/>
          <w:szCs w:val="22"/>
        </w:rPr>
        <w:t xml:space="preserve"> for this </w:t>
      </w:r>
      <w:r w:rsidR="00D11F65">
        <w:rPr>
          <w:rFonts w:cs="Arial"/>
          <w:sz w:val="22"/>
          <w:szCs w:val="22"/>
        </w:rPr>
        <w:t>information collection renewal</w:t>
      </w:r>
      <w:r w:rsidR="00F80955">
        <w:rPr>
          <w:rFonts w:cs="Arial"/>
          <w:sz w:val="22"/>
          <w:szCs w:val="22"/>
        </w:rPr>
        <w:t xml:space="preserve"> is 7</w:t>
      </w:r>
      <w:r w:rsidR="003E554E">
        <w:rPr>
          <w:rFonts w:cs="Arial"/>
          <w:sz w:val="22"/>
          <w:szCs w:val="22"/>
        </w:rPr>
        <w:t>4,043</w:t>
      </w:r>
      <w:r w:rsidR="0068243E">
        <w:rPr>
          <w:rFonts w:cs="Arial"/>
          <w:sz w:val="22"/>
          <w:szCs w:val="22"/>
        </w:rPr>
        <w:t>.2</w:t>
      </w:r>
      <w:r w:rsidR="00F80955">
        <w:rPr>
          <w:rFonts w:cs="Arial"/>
          <w:sz w:val="22"/>
          <w:szCs w:val="22"/>
        </w:rPr>
        <w:t xml:space="preserve"> (1,557.1</w:t>
      </w:r>
      <w:r w:rsidRPr="003A315E">
        <w:rPr>
          <w:rFonts w:cs="Arial"/>
          <w:sz w:val="22"/>
          <w:szCs w:val="22"/>
        </w:rPr>
        <w:t xml:space="preserve"> </w:t>
      </w:r>
      <w:r w:rsidRPr="003A315E" w:rsidR="004870F7">
        <w:rPr>
          <w:rFonts w:cs="Arial"/>
          <w:sz w:val="22"/>
          <w:szCs w:val="22"/>
        </w:rPr>
        <w:t xml:space="preserve">annual </w:t>
      </w:r>
      <w:r w:rsidRPr="003A315E">
        <w:rPr>
          <w:rFonts w:cs="Arial"/>
          <w:sz w:val="22"/>
          <w:szCs w:val="22"/>
        </w:rPr>
        <w:t>reporting hours</w:t>
      </w:r>
      <w:r w:rsidRPr="003A315E" w:rsidR="00FD563E">
        <w:rPr>
          <w:rFonts w:cs="Arial"/>
          <w:sz w:val="22"/>
          <w:szCs w:val="22"/>
        </w:rPr>
        <w:t xml:space="preserve"> </w:t>
      </w:r>
      <w:r w:rsidRPr="003A315E">
        <w:rPr>
          <w:rFonts w:cs="Arial"/>
          <w:sz w:val="22"/>
          <w:szCs w:val="22"/>
        </w:rPr>
        <w:t>+</w:t>
      </w:r>
      <w:r w:rsidR="003E554E">
        <w:rPr>
          <w:rFonts w:cs="Arial"/>
          <w:sz w:val="22"/>
          <w:szCs w:val="22"/>
        </w:rPr>
        <w:t xml:space="preserve"> 23,989</w:t>
      </w:r>
      <w:r w:rsidR="00B016C0">
        <w:rPr>
          <w:rFonts w:cs="Arial"/>
          <w:sz w:val="22"/>
          <w:szCs w:val="22"/>
        </w:rPr>
        <w:t>.2</w:t>
      </w:r>
      <w:r w:rsidRPr="003A315E">
        <w:rPr>
          <w:rFonts w:cs="Arial"/>
          <w:sz w:val="22"/>
          <w:szCs w:val="22"/>
        </w:rPr>
        <w:t xml:space="preserve"> recordkeeping hours +</w:t>
      </w:r>
      <w:r w:rsidR="00F80955">
        <w:rPr>
          <w:rFonts w:cs="Arial"/>
          <w:sz w:val="22"/>
          <w:szCs w:val="22"/>
        </w:rPr>
        <w:t xml:space="preserve"> </w:t>
      </w:r>
      <w:r w:rsidR="00F80955">
        <w:rPr>
          <w:rFonts w:cs="Arial"/>
          <w:color w:val="000000"/>
          <w:sz w:val="22"/>
          <w:szCs w:val="22"/>
        </w:rPr>
        <w:t>48,496.9</w:t>
      </w:r>
      <w:r w:rsidR="0068243E">
        <w:rPr>
          <w:rFonts w:cs="Arial"/>
          <w:color w:val="000000"/>
          <w:sz w:val="22"/>
          <w:szCs w:val="22"/>
        </w:rPr>
        <w:t xml:space="preserve"> </w:t>
      </w:r>
      <w:r w:rsidRPr="003A315E">
        <w:rPr>
          <w:rFonts w:cs="Arial"/>
          <w:sz w:val="22"/>
          <w:szCs w:val="22"/>
        </w:rPr>
        <w:t xml:space="preserve">third party hours).  The burden details by section are reflected in attached </w:t>
      </w:r>
      <w:r w:rsidR="003D3C1B">
        <w:rPr>
          <w:rFonts w:cs="Arial"/>
          <w:sz w:val="22"/>
          <w:szCs w:val="22"/>
        </w:rPr>
        <w:t xml:space="preserve">Excel </w:t>
      </w:r>
      <w:r w:rsidRPr="003A315E">
        <w:rPr>
          <w:rFonts w:cs="Arial"/>
          <w:sz w:val="22"/>
          <w:szCs w:val="22"/>
        </w:rPr>
        <w:t>tables to this supporting statement.</w:t>
      </w:r>
    </w:p>
    <w:p w:rsidR="00790C69" w:rsidP="00716A2E" w:rsidRDefault="00790C69" w14:paraId="7B58D799" w14:textId="77777777">
      <w:pPr>
        <w:ind w:left="1430"/>
        <w:rPr>
          <w:rFonts w:cs="Arial"/>
          <w:sz w:val="22"/>
          <w:szCs w:val="22"/>
        </w:rPr>
      </w:pPr>
    </w:p>
    <w:tbl>
      <w:tblPr>
        <w:tblW w:w="5532" w:type="dxa"/>
        <w:tblInd w:w="1548" w:type="dxa"/>
        <w:tblLook w:val="04A0" w:firstRow="1" w:lastRow="0" w:firstColumn="1" w:lastColumn="0" w:noHBand="0" w:noVBand="1"/>
      </w:tblPr>
      <w:tblGrid>
        <w:gridCol w:w="2769"/>
        <w:gridCol w:w="1301"/>
        <w:gridCol w:w="1462"/>
      </w:tblGrid>
      <w:tr w:rsidRPr="00D535B0" w:rsidR="00D535B0" w:rsidTr="00B53192" w14:paraId="7B58D79B" w14:textId="77777777">
        <w:trPr>
          <w:trHeight w:val="300"/>
        </w:trPr>
        <w:tc>
          <w:tcPr>
            <w:tcW w:w="5532"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D535B0" w:rsidR="00D535B0" w:rsidP="00D535B0" w:rsidRDefault="00B77C78" w14:paraId="7B58D79A" w14:textId="52C820E7">
            <w:pPr>
              <w:autoSpaceDE/>
              <w:autoSpaceDN/>
              <w:adjustRightInd/>
              <w:jc w:val="center"/>
              <w:rPr>
                <w:rFonts w:cs="Arial"/>
                <w:b/>
                <w:bCs/>
                <w:color w:val="000000"/>
                <w:sz w:val="22"/>
                <w:szCs w:val="22"/>
              </w:rPr>
            </w:pPr>
            <w:r>
              <w:rPr>
                <w:rFonts w:cs="Arial"/>
                <w:b/>
                <w:bCs/>
                <w:color w:val="000000"/>
                <w:sz w:val="22"/>
                <w:szCs w:val="22"/>
              </w:rPr>
              <w:t>Table 2—</w:t>
            </w:r>
            <w:r w:rsidRPr="00D535B0" w:rsidR="00D535B0">
              <w:rPr>
                <w:rFonts w:cs="Arial"/>
                <w:b/>
                <w:bCs/>
                <w:color w:val="000000"/>
                <w:sz w:val="22"/>
                <w:szCs w:val="22"/>
              </w:rPr>
              <w:t>Renewal Summary: Part 37 Totals</w:t>
            </w:r>
          </w:p>
        </w:tc>
      </w:tr>
      <w:tr w:rsidRPr="00D535B0" w:rsidR="00D535B0" w:rsidTr="00B53192" w14:paraId="7B58D79F" w14:textId="77777777">
        <w:trPr>
          <w:trHeight w:val="285"/>
        </w:trPr>
        <w:tc>
          <w:tcPr>
            <w:tcW w:w="2769" w:type="dxa"/>
            <w:tcBorders>
              <w:top w:val="nil"/>
              <w:left w:val="single" w:color="auto" w:sz="4" w:space="0"/>
              <w:bottom w:val="single" w:color="auto" w:sz="4" w:space="0"/>
              <w:right w:val="single" w:color="auto" w:sz="4" w:space="0"/>
            </w:tcBorders>
            <w:shd w:val="clear" w:color="auto" w:fill="auto"/>
            <w:noWrap/>
            <w:vAlign w:val="bottom"/>
            <w:hideMark/>
          </w:tcPr>
          <w:p w:rsidRPr="00D535B0" w:rsidR="00D535B0" w:rsidP="00D535B0" w:rsidRDefault="00D535B0" w14:paraId="7B58D79C" w14:textId="77777777">
            <w:pPr>
              <w:autoSpaceDE/>
              <w:autoSpaceDN/>
              <w:adjustRightInd/>
              <w:rPr>
                <w:rFonts w:cs="Arial"/>
                <w:color w:val="000000"/>
                <w:sz w:val="22"/>
                <w:szCs w:val="22"/>
              </w:rPr>
            </w:pPr>
            <w:r w:rsidRPr="00D535B0">
              <w:rPr>
                <w:rFonts w:cs="Arial"/>
                <w:color w:val="000000"/>
                <w:sz w:val="22"/>
                <w:szCs w:val="22"/>
              </w:rPr>
              <w:t> </w:t>
            </w:r>
          </w:p>
        </w:tc>
        <w:tc>
          <w:tcPr>
            <w:tcW w:w="1301"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D535B0" w14:paraId="7B58D79D" w14:textId="77777777">
            <w:pPr>
              <w:autoSpaceDE/>
              <w:autoSpaceDN/>
              <w:adjustRightInd/>
              <w:jc w:val="center"/>
              <w:rPr>
                <w:rFonts w:cs="Arial"/>
                <w:color w:val="000000"/>
                <w:sz w:val="22"/>
                <w:szCs w:val="22"/>
              </w:rPr>
            </w:pPr>
            <w:r w:rsidRPr="00D535B0">
              <w:rPr>
                <w:rFonts w:cs="Arial"/>
                <w:color w:val="000000"/>
                <w:sz w:val="22"/>
                <w:szCs w:val="22"/>
              </w:rPr>
              <w:t>Hours</w:t>
            </w:r>
          </w:p>
        </w:tc>
        <w:tc>
          <w:tcPr>
            <w:tcW w:w="1462"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D535B0" w14:paraId="7B58D79E" w14:textId="77777777">
            <w:pPr>
              <w:autoSpaceDE/>
              <w:autoSpaceDN/>
              <w:adjustRightInd/>
              <w:jc w:val="center"/>
              <w:rPr>
                <w:rFonts w:cs="Arial"/>
                <w:color w:val="000000"/>
                <w:sz w:val="22"/>
                <w:szCs w:val="22"/>
              </w:rPr>
            </w:pPr>
            <w:r w:rsidRPr="00D535B0">
              <w:rPr>
                <w:rFonts w:cs="Arial"/>
                <w:color w:val="000000"/>
                <w:sz w:val="22"/>
                <w:szCs w:val="22"/>
              </w:rPr>
              <w:t>Responses</w:t>
            </w:r>
          </w:p>
        </w:tc>
      </w:tr>
      <w:tr w:rsidRPr="00D535B0" w:rsidR="00D535B0" w:rsidTr="00B53192" w14:paraId="7B58D7A3" w14:textId="77777777">
        <w:trPr>
          <w:trHeight w:val="285"/>
        </w:trPr>
        <w:tc>
          <w:tcPr>
            <w:tcW w:w="2769" w:type="dxa"/>
            <w:tcBorders>
              <w:top w:val="nil"/>
              <w:left w:val="single" w:color="auto" w:sz="4" w:space="0"/>
              <w:bottom w:val="single" w:color="auto" w:sz="4" w:space="0"/>
              <w:right w:val="single" w:color="auto" w:sz="4" w:space="0"/>
            </w:tcBorders>
            <w:shd w:val="clear" w:color="auto" w:fill="auto"/>
            <w:noWrap/>
            <w:vAlign w:val="bottom"/>
            <w:hideMark/>
          </w:tcPr>
          <w:p w:rsidRPr="00D535B0" w:rsidR="00D535B0" w:rsidP="00D535B0" w:rsidRDefault="00D535B0" w14:paraId="7B58D7A0" w14:textId="77777777">
            <w:pPr>
              <w:autoSpaceDE/>
              <w:autoSpaceDN/>
              <w:adjustRightInd/>
              <w:rPr>
                <w:rFonts w:cs="Arial"/>
                <w:color w:val="000000"/>
                <w:sz w:val="22"/>
                <w:szCs w:val="22"/>
              </w:rPr>
            </w:pPr>
            <w:r w:rsidRPr="00D535B0">
              <w:rPr>
                <w:rFonts w:cs="Arial"/>
                <w:color w:val="000000"/>
                <w:sz w:val="22"/>
                <w:szCs w:val="22"/>
              </w:rPr>
              <w:t>Reporting</w:t>
            </w:r>
          </w:p>
        </w:tc>
        <w:tc>
          <w:tcPr>
            <w:tcW w:w="1301"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FE5B4D" w14:paraId="7B58D7A1" w14:textId="77777777">
            <w:pPr>
              <w:autoSpaceDE/>
              <w:autoSpaceDN/>
              <w:adjustRightInd/>
              <w:jc w:val="right"/>
              <w:rPr>
                <w:rFonts w:cs="Arial"/>
                <w:color w:val="000000"/>
                <w:sz w:val="22"/>
                <w:szCs w:val="22"/>
              </w:rPr>
            </w:pPr>
            <w:r>
              <w:rPr>
                <w:rFonts w:cs="Arial"/>
                <w:color w:val="000000"/>
                <w:sz w:val="22"/>
                <w:szCs w:val="22"/>
              </w:rPr>
              <w:t>1,557.1</w:t>
            </w:r>
          </w:p>
        </w:tc>
        <w:tc>
          <w:tcPr>
            <w:tcW w:w="1462"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FE5B4D" w14:paraId="7B58D7A2" w14:textId="77777777">
            <w:pPr>
              <w:autoSpaceDE/>
              <w:autoSpaceDN/>
              <w:adjustRightInd/>
              <w:jc w:val="right"/>
              <w:rPr>
                <w:rFonts w:cs="Arial"/>
                <w:color w:val="000000"/>
                <w:sz w:val="22"/>
                <w:szCs w:val="22"/>
              </w:rPr>
            </w:pPr>
            <w:r>
              <w:rPr>
                <w:rFonts w:cs="Arial"/>
                <w:color w:val="000000"/>
                <w:sz w:val="22"/>
                <w:szCs w:val="22"/>
              </w:rPr>
              <w:t>4,704.1</w:t>
            </w:r>
          </w:p>
        </w:tc>
      </w:tr>
      <w:tr w:rsidRPr="00D535B0" w:rsidR="00D535B0" w:rsidTr="00B53192" w14:paraId="7B58D7A7" w14:textId="77777777">
        <w:trPr>
          <w:trHeight w:val="285"/>
        </w:trPr>
        <w:tc>
          <w:tcPr>
            <w:tcW w:w="2769" w:type="dxa"/>
            <w:tcBorders>
              <w:top w:val="nil"/>
              <w:left w:val="single" w:color="auto" w:sz="4" w:space="0"/>
              <w:bottom w:val="single" w:color="auto" w:sz="4" w:space="0"/>
              <w:right w:val="single" w:color="auto" w:sz="4" w:space="0"/>
            </w:tcBorders>
            <w:shd w:val="clear" w:color="auto" w:fill="auto"/>
            <w:noWrap/>
            <w:vAlign w:val="bottom"/>
            <w:hideMark/>
          </w:tcPr>
          <w:p w:rsidRPr="00D535B0" w:rsidR="00D535B0" w:rsidP="00D535B0" w:rsidRDefault="00D535B0" w14:paraId="7B58D7A4" w14:textId="77777777">
            <w:pPr>
              <w:autoSpaceDE/>
              <w:autoSpaceDN/>
              <w:adjustRightInd/>
              <w:rPr>
                <w:rFonts w:cs="Arial"/>
                <w:color w:val="000000"/>
                <w:sz w:val="22"/>
                <w:szCs w:val="22"/>
              </w:rPr>
            </w:pPr>
            <w:r w:rsidRPr="00D535B0">
              <w:rPr>
                <w:rFonts w:cs="Arial"/>
                <w:color w:val="000000"/>
                <w:sz w:val="22"/>
                <w:szCs w:val="22"/>
              </w:rPr>
              <w:t>Recordkeeping</w:t>
            </w:r>
          </w:p>
        </w:tc>
        <w:tc>
          <w:tcPr>
            <w:tcW w:w="1301"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3E554E" w14:paraId="7B58D7A5" w14:textId="77777777">
            <w:pPr>
              <w:autoSpaceDE/>
              <w:autoSpaceDN/>
              <w:adjustRightInd/>
              <w:jc w:val="right"/>
              <w:rPr>
                <w:rFonts w:cs="Arial"/>
                <w:color w:val="000000"/>
                <w:sz w:val="22"/>
                <w:szCs w:val="22"/>
              </w:rPr>
            </w:pPr>
            <w:r>
              <w:rPr>
                <w:rFonts w:cs="Arial"/>
                <w:color w:val="000000"/>
                <w:sz w:val="22"/>
                <w:szCs w:val="22"/>
              </w:rPr>
              <w:t>23,989</w:t>
            </w:r>
            <w:r w:rsidR="00FE5B4D">
              <w:rPr>
                <w:rFonts w:cs="Arial"/>
                <w:color w:val="000000"/>
                <w:sz w:val="22"/>
                <w:szCs w:val="22"/>
              </w:rPr>
              <w:t>.2</w:t>
            </w:r>
          </w:p>
        </w:tc>
        <w:tc>
          <w:tcPr>
            <w:tcW w:w="1462"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FE5B4D" w14:paraId="7B58D7A6" w14:textId="77777777">
            <w:pPr>
              <w:autoSpaceDE/>
              <w:autoSpaceDN/>
              <w:adjustRightInd/>
              <w:jc w:val="right"/>
              <w:rPr>
                <w:rFonts w:cs="Arial"/>
                <w:color w:val="000000"/>
                <w:sz w:val="22"/>
                <w:szCs w:val="22"/>
              </w:rPr>
            </w:pPr>
            <w:r>
              <w:rPr>
                <w:rFonts w:cs="Arial"/>
                <w:color w:val="000000"/>
                <w:sz w:val="22"/>
                <w:szCs w:val="22"/>
              </w:rPr>
              <w:t>1,4</w:t>
            </w:r>
            <w:r w:rsidRPr="00D535B0" w:rsidR="00D535B0">
              <w:rPr>
                <w:rFonts w:cs="Arial"/>
                <w:color w:val="000000"/>
                <w:sz w:val="22"/>
                <w:szCs w:val="22"/>
              </w:rPr>
              <w:t>00.0</w:t>
            </w:r>
          </w:p>
        </w:tc>
      </w:tr>
      <w:tr w:rsidRPr="00D535B0" w:rsidR="00D535B0" w:rsidTr="00B53192" w14:paraId="7B58D7AB" w14:textId="77777777">
        <w:trPr>
          <w:trHeight w:val="285"/>
        </w:trPr>
        <w:tc>
          <w:tcPr>
            <w:tcW w:w="2769" w:type="dxa"/>
            <w:tcBorders>
              <w:top w:val="nil"/>
              <w:left w:val="single" w:color="auto" w:sz="4" w:space="0"/>
              <w:bottom w:val="single" w:color="auto" w:sz="4" w:space="0"/>
              <w:right w:val="single" w:color="auto" w:sz="4" w:space="0"/>
            </w:tcBorders>
            <w:shd w:val="clear" w:color="auto" w:fill="auto"/>
            <w:noWrap/>
            <w:vAlign w:val="bottom"/>
            <w:hideMark/>
          </w:tcPr>
          <w:p w:rsidRPr="00D535B0" w:rsidR="00D535B0" w:rsidP="00D535B0" w:rsidRDefault="00D535B0" w14:paraId="7B58D7A8" w14:textId="77777777">
            <w:pPr>
              <w:autoSpaceDE/>
              <w:autoSpaceDN/>
              <w:adjustRightInd/>
              <w:rPr>
                <w:rFonts w:cs="Arial"/>
                <w:color w:val="000000"/>
                <w:sz w:val="22"/>
                <w:szCs w:val="22"/>
              </w:rPr>
            </w:pPr>
            <w:r w:rsidRPr="00D535B0">
              <w:rPr>
                <w:rFonts w:cs="Arial"/>
                <w:color w:val="000000"/>
                <w:sz w:val="22"/>
                <w:szCs w:val="22"/>
              </w:rPr>
              <w:t>Third-Party Disclosure</w:t>
            </w:r>
          </w:p>
        </w:tc>
        <w:tc>
          <w:tcPr>
            <w:tcW w:w="1301"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9B34E2" w14:paraId="7B58D7A9" w14:textId="77777777">
            <w:pPr>
              <w:autoSpaceDE/>
              <w:autoSpaceDN/>
              <w:adjustRightInd/>
              <w:jc w:val="right"/>
              <w:rPr>
                <w:rFonts w:cs="Arial"/>
                <w:color w:val="000000"/>
                <w:sz w:val="22"/>
                <w:szCs w:val="22"/>
              </w:rPr>
            </w:pPr>
            <w:r>
              <w:rPr>
                <w:rFonts w:cs="Arial"/>
                <w:color w:val="000000"/>
                <w:sz w:val="22"/>
                <w:szCs w:val="22"/>
              </w:rPr>
              <w:t>48,496.9</w:t>
            </w:r>
          </w:p>
        </w:tc>
        <w:tc>
          <w:tcPr>
            <w:tcW w:w="1462"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FE5B4D" w14:paraId="7B58D7AA" w14:textId="77777777">
            <w:pPr>
              <w:autoSpaceDE/>
              <w:autoSpaceDN/>
              <w:adjustRightInd/>
              <w:jc w:val="right"/>
              <w:rPr>
                <w:rFonts w:cs="Arial"/>
                <w:color w:val="000000"/>
                <w:sz w:val="22"/>
                <w:szCs w:val="22"/>
              </w:rPr>
            </w:pPr>
            <w:r>
              <w:rPr>
                <w:rFonts w:cs="Arial"/>
                <w:color w:val="000000"/>
                <w:sz w:val="22"/>
                <w:szCs w:val="22"/>
              </w:rPr>
              <w:t>9</w:t>
            </w:r>
            <w:r w:rsidR="0068243E">
              <w:rPr>
                <w:rFonts w:cs="Arial"/>
                <w:color w:val="000000"/>
                <w:sz w:val="22"/>
                <w:szCs w:val="22"/>
              </w:rPr>
              <w:t>5,375.2</w:t>
            </w:r>
          </w:p>
        </w:tc>
      </w:tr>
      <w:tr w:rsidRPr="00D535B0" w:rsidR="00D535B0" w:rsidTr="00B53192" w14:paraId="7B58D7AF" w14:textId="77777777">
        <w:trPr>
          <w:trHeight w:val="300"/>
        </w:trPr>
        <w:tc>
          <w:tcPr>
            <w:tcW w:w="2769" w:type="dxa"/>
            <w:tcBorders>
              <w:top w:val="nil"/>
              <w:left w:val="single" w:color="auto" w:sz="4" w:space="0"/>
              <w:bottom w:val="single" w:color="auto" w:sz="4" w:space="0"/>
              <w:right w:val="single" w:color="auto" w:sz="4" w:space="0"/>
            </w:tcBorders>
            <w:shd w:val="clear" w:color="auto" w:fill="auto"/>
            <w:noWrap/>
            <w:vAlign w:val="bottom"/>
            <w:hideMark/>
          </w:tcPr>
          <w:p w:rsidRPr="00D535B0" w:rsidR="00D535B0" w:rsidP="00D535B0" w:rsidRDefault="00D535B0" w14:paraId="7B58D7AC" w14:textId="77777777">
            <w:pPr>
              <w:autoSpaceDE/>
              <w:autoSpaceDN/>
              <w:adjustRightInd/>
              <w:rPr>
                <w:rFonts w:cs="Arial"/>
                <w:b/>
                <w:bCs/>
                <w:color w:val="000000"/>
                <w:sz w:val="22"/>
                <w:szCs w:val="22"/>
              </w:rPr>
            </w:pPr>
            <w:r w:rsidRPr="00D535B0">
              <w:rPr>
                <w:rFonts w:cs="Arial"/>
                <w:b/>
                <w:bCs/>
                <w:color w:val="000000"/>
                <w:sz w:val="22"/>
                <w:szCs w:val="22"/>
              </w:rPr>
              <w:t>Total</w:t>
            </w:r>
          </w:p>
        </w:tc>
        <w:tc>
          <w:tcPr>
            <w:tcW w:w="1301"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3E554E" w14:paraId="7B58D7AD" w14:textId="77777777">
            <w:pPr>
              <w:autoSpaceDE/>
              <w:autoSpaceDN/>
              <w:adjustRightInd/>
              <w:jc w:val="right"/>
              <w:rPr>
                <w:rFonts w:cs="Arial"/>
                <w:b/>
                <w:bCs/>
                <w:color w:val="000000"/>
                <w:sz w:val="22"/>
                <w:szCs w:val="22"/>
              </w:rPr>
            </w:pPr>
            <w:r>
              <w:rPr>
                <w:rFonts w:cs="Arial"/>
                <w:b/>
                <w:bCs/>
                <w:color w:val="000000"/>
                <w:sz w:val="22"/>
                <w:szCs w:val="22"/>
              </w:rPr>
              <w:t>74,043</w:t>
            </w:r>
            <w:r w:rsidR="009B34E2">
              <w:rPr>
                <w:rFonts w:cs="Arial"/>
                <w:b/>
                <w:bCs/>
                <w:color w:val="000000"/>
                <w:sz w:val="22"/>
                <w:szCs w:val="22"/>
              </w:rPr>
              <w:t>.2</w:t>
            </w:r>
          </w:p>
        </w:tc>
        <w:tc>
          <w:tcPr>
            <w:tcW w:w="1462" w:type="dxa"/>
            <w:tcBorders>
              <w:top w:val="nil"/>
              <w:left w:val="nil"/>
              <w:bottom w:val="single" w:color="auto" w:sz="4" w:space="0"/>
              <w:right w:val="single" w:color="auto" w:sz="4" w:space="0"/>
            </w:tcBorders>
            <w:shd w:val="clear" w:color="auto" w:fill="auto"/>
            <w:noWrap/>
            <w:vAlign w:val="bottom"/>
            <w:hideMark/>
          </w:tcPr>
          <w:p w:rsidRPr="00D535B0" w:rsidR="00D535B0" w:rsidP="00D535B0" w:rsidRDefault="009B34E2" w14:paraId="7B58D7AE" w14:textId="77777777">
            <w:pPr>
              <w:autoSpaceDE/>
              <w:autoSpaceDN/>
              <w:adjustRightInd/>
              <w:jc w:val="right"/>
              <w:rPr>
                <w:rFonts w:cs="Arial"/>
                <w:b/>
                <w:bCs/>
                <w:color w:val="000000"/>
                <w:sz w:val="22"/>
                <w:szCs w:val="22"/>
              </w:rPr>
            </w:pPr>
            <w:r>
              <w:rPr>
                <w:rFonts w:cs="Arial"/>
                <w:b/>
                <w:bCs/>
                <w:color w:val="000000"/>
                <w:sz w:val="22"/>
                <w:szCs w:val="22"/>
              </w:rPr>
              <w:t>101,479.2</w:t>
            </w:r>
          </w:p>
        </w:tc>
      </w:tr>
    </w:tbl>
    <w:p w:rsidR="00D535B0" w:rsidP="00716A2E" w:rsidRDefault="00D535B0" w14:paraId="7B58D7B0" w14:textId="77777777">
      <w:pPr>
        <w:ind w:left="1430"/>
        <w:rPr>
          <w:rFonts w:cs="Arial"/>
          <w:sz w:val="22"/>
          <w:szCs w:val="22"/>
        </w:rPr>
      </w:pPr>
    </w:p>
    <w:p w:rsidRPr="00F93F6F" w:rsidR="00F93F6F" w:rsidP="00E0011D" w:rsidRDefault="00F93F6F" w14:paraId="7B58D7B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color w:val="000000"/>
          <w:sz w:val="22"/>
          <w:szCs w:val="22"/>
        </w:rPr>
      </w:pPr>
      <w:r w:rsidRPr="00F93F6F">
        <w:rPr>
          <w:rFonts w:cs="Arial"/>
          <w:color w:val="000000"/>
          <w:sz w:val="22"/>
          <w:szCs w:val="22"/>
        </w:rPr>
        <w:t xml:space="preserve">The burden estimates are based on submittals to NRC in past years and staff knowledge of the industry to make projections for the upcoming </w:t>
      </w:r>
      <w:r w:rsidR="00035592">
        <w:rPr>
          <w:rFonts w:cs="Arial"/>
          <w:color w:val="000000"/>
          <w:sz w:val="22"/>
          <w:szCs w:val="22"/>
        </w:rPr>
        <w:t>3</w:t>
      </w:r>
      <w:r w:rsidR="00E0011D">
        <w:rPr>
          <w:rFonts w:cs="Arial"/>
          <w:color w:val="000000"/>
          <w:sz w:val="22"/>
          <w:szCs w:val="22"/>
        </w:rPr>
        <w:t>-</w:t>
      </w:r>
      <w:r w:rsidRPr="00F93F6F">
        <w:rPr>
          <w:rFonts w:cs="Arial"/>
          <w:color w:val="000000"/>
          <w:sz w:val="22"/>
          <w:szCs w:val="22"/>
        </w:rPr>
        <w:t xml:space="preserve">year clearance period.  The $263 hourly rate used in the burden estimates is based on the Nuclear Regulatory Commission’s fee for hourly rates as noted in 10 CFR 170.20 “Average cost per professional staff-hour.”  For more information on the basis of this rate, see the Revision </w:t>
      </w:r>
      <w:proofErr w:type="gramStart"/>
      <w:r w:rsidRPr="00F93F6F">
        <w:rPr>
          <w:rFonts w:cs="Arial"/>
          <w:color w:val="000000"/>
          <w:sz w:val="22"/>
          <w:szCs w:val="22"/>
        </w:rPr>
        <w:t>Of</w:t>
      </w:r>
      <w:proofErr w:type="gramEnd"/>
      <w:r w:rsidRPr="00F93F6F">
        <w:rPr>
          <w:rFonts w:cs="Arial"/>
          <w:color w:val="000000"/>
          <w:sz w:val="22"/>
          <w:szCs w:val="22"/>
        </w:rPr>
        <w:t xml:space="preserve"> Fee Schedules; Fee Recovery For Fiscal Year 2017 (82 FR 30682; June 30, 2017).</w:t>
      </w:r>
    </w:p>
    <w:p w:rsidR="0066357D" w:rsidP="00716A2E" w:rsidRDefault="0066357D" w14:paraId="7B58D7B2" w14:textId="77777777">
      <w:pPr>
        <w:ind w:left="1430"/>
        <w:rPr>
          <w:rFonts w:cs="Arial"/>
          <w:sz w:val="22"/>
          <w:szCs w:val="22"/>
        </w:rPr>
      </w:pPr>
    </w:p>
    <w:bookmarkEnd w:id="3"/>
    <w:p w:rsidRPr="006D2719" w:rsidR="00F25AFA" w:rsidP="00716A2E" w:rsidRDefault="00F25AFA" w14:paraId="7B58D7B3" w14:textId="77777777">
      <w:pPr>
        <w:tabs>
          <w:tab w:val="left" w:pos="720"/>
          <w:tab w:val="left" w:pos="1440"/>
        </w:tabs>
        <w:ind w:left="1440" w:hanging="720"/>
        <w:rPr>
          <w:rFonts w:cs="Arial"/>
          <w:sz w:val="22"/>
          <w:szCs w:val="22"/>
        </w:rPr>
      </w:pPr>
      <w:r w:rsidRPr="006D2719">
        <w:rPr>
          <w:rFonts w:cs="Arial"/>
          <w:sz w:val="22"/>
          <w:szCs w:val="22"/>
        </w:rPr>
        <w:t>13.</w:t>
      </w:r>
      <w:r w:rsidRPr="006D2719">
        <w:rPr>
          <w:rFonts w:cs="Arial"/>
          <w:sz w:val="22"/>
          <w:szCs w:val="22"/>
        </w:rPr>
        <w:tab/>
      </w:r>
      <w:r w:rsidRPr="006D2719">
        <w:rPr>
          <w:rFonts w:cs="Arial"/>
          <w:sz w:val="22"/>
          <w:szCs w:val="22"/>
          <w:u w:val="single"/>
        </w:rPr>
        <w:t>Estimate of Other Additional Costs</w:t>
      </w:r>
    </w:p>
    <w:p w:rsidRPr="006D2719" w:rsidR="00F25AFA" w:rsidP="00716A2E" w:rsidRDefault="00F25AFA" w14:paraId="7B58D7B4" w14:textId="77777777">
      <w:pPr>
        <w:rPr>
          <w:rFonts w:cs="Arial"/>
          <w:sz w:val="22"/>
          <w:szCs w:val="22"/>
        </w:rPr>
      </w:pPr>
    </w:p>
    <w:p w:rsidR="00884535" w:rsidP="00716A2E" w:rsidRDefault="005B38FC" w14:paraId="7B58D7B5" w14:textId="77777777">
      <w:pPr>
        <w:tabs>
          <w:tab w:val="left" w:pos="1430"/>
        </w:tabs>
        <w:ind w:left="1430"/>
        <w:rPr>
          <w:rFonts w:cs="Arial"/>
          <w:sz w:val="22"/>
          <w:szCs w:val="22"/>
        </w:rPr>
      </w:pPr>
      <w:r w:rsidRPr="00455BC7">
        <w:rPr>
          <w:rFonts w:cs="Arial"/>
          <w:sz w:val="22"/>
          <w:szCs w:val="22"/>
        </w:rPr>
        <w:t xml:space="preserve">NRC has determined that the records storage cost is roughly proportional to the recordkeeping burden cost.  Based on a typical clearance, the recordkeeping storage cost has been estimated to be equal to .0004 percent of the recordkeeping burden.  Therefore, the additional recordkeeping storage cost </w:t>
      </w:r>
      <w:r w:rsidRPr="00455BC7" w:rsidR="00FB24F0">
        <w:rPr>
          <w:rFonts w:cs="Arial"/>
          <w:sz w:val="22"/>
          <w:szCs w:val="22"/>
        </w:rPr>
        <w:t xml:space="preserve">for </w:t>
      </w:r>
      <w:r w:rsidRPr="003C75DA" w:rsidR="004A269F">
        <w:rPr>
          <w:rFonts w:cs="Arial"/>
          <w:sz w:val="22"/>
          <w:szCs w:val="22"/>
        </w:rPr>
        <w:t>10 CFR Part 37</w:t>
      </w:r>
      <w:r w:rsidRPr="003C75DA">
        <w:rPr>
          <w:rFonts w:cs="Arial"/>
          <w:sz w:val="22"/>
          <w:szCs w:val="22"/>
        </w:rPr>
        <w:t xml:space="preserve"> is estimated to be </w:t>
      </w:r>
      <w:r w:rsidRPr="00B53192">
        <w:rPr>
          <w:rFonts w:cs="Arial"/>
          <w:sz w:val="22"/>
          <w:szCs w:val="22"/>
        </w:rPr>
        <w:t>$</w:t>
      </w:r>
      <w:r w:rsidR="00342F77">
        <w:rPr>
          <w:rFonts w:cs="Arial"/>
          <w:sz w:val="22"/>
          <w:szCs w:val="22"/>
        </w:rPr>
        <w:t>2</w:t>
      </w:r>
      <w:r w:rsidR="003E554E">
        <w:rPr>
          <w:rFonts w:cs="Arial"/>
          <w:sz w:val="22"/>
          <w:szCs w:val="22"/>
        </w:rPr>
        <w:t>,52</w:t>
      </w:r>
      <w:r w:rsidR="00296ACA">
        <w:rPr>
          <w:rFonts w:cs="Arial"/>
          <w:sz w:val="22"/>
          <w:szCs w:val="22"/>
        </w:rPr>
        <w:t>4</w:t>
      </w:r>
      <w:r w:rsidRPr="00B53192" w:rsidR="0066124B">
        <w:rPr>
          <w:rFonts w:cs="Arial"/>
          <w:sz w:val="22"/>
          <w:szCs w:val="22"/>
        </w:rPr>
        <w:t xml:space="preserve"> </w:t>
      </w:r>
      <w:r w:rsidRPr="00B53192">
        <w:rPr>
          <w:rFonts w:cs="Arial"/>
          <w:sz w:val="22"/>
          <w:szCs w:val="22"/>
        </w:rPr>
        <w:t>(</w:t>
      </w:r>
      <w:r w:rsidR="003E554E">
        <w:rPr>
          <w:rFonts w:cs="Arial"/>
          <w:sz w:val="22"/>
          <w:szCs w:val="22"/>
        </w:rPr>
        <w:t>23,989</w:t>
      </w:r>
      <w:r w:rsidR="00F80955">
        <w:rPr>
          <w:rFonts w:cs="Arial"/>
          <w:sz w:val="22"/>
          <w:szCs w:val="22"/>
        </w:rPr>
        <w:t>.2</w:t>
      </w:r>
      <w:r w:rsidRPr="00B53192" w:rsidR="00455BC7">
        <w:rPr>
          <w:rFonts w:cs="Arial"/>
          <w:sz w:val="22"/>
          <w:szCs w:val="22"/>
        </w:rPr>
        <w:t xml:space="preserve"> </w:t>
      </w:r>
      <w:r w:rsidR="00342F77">
        <w:rPr>
          <w:rFonts w:cs="Arial"/>
          <w:sz w:val="22"/>
          <w:szCs w:val="22"/>
        </w:rPr>
        <w:t>recordkeeping hours</w:t>
      </w:r>
      <w:r w:rsidRPr="003C75DA" w:rsidR="004D4977">
        <w:rPr>
          <w:rFonts w:cs="Arial"/>
          <w:sz w:val="22"/>
          <w:szCs w:val="22"/>
        </w:rPr>
        <w:t xml:space="preserve"> </w:t>
      </w:r>
      <w:r w:rsidRPr="003C75DA">
        <w:rPr>
          <w:rFonts w:cs="Arial"/>
          <w:sz w:val="22"/>
          <w:szCs w:val="22"/>
        </w:rPr>
        <w:t>x $</w:t>
      </w:r>
      <w:r w:rsidR="00342F77">
        <w:rPr>
          <w:rFonts w:cs="Arial"/>
          <w:sz w:val="22"/>
          <w:szCs w:val="22"/>
        </w:rPr>
        <w:t>263</w:t>
      </w:r>
      <w:r w:rsidRPr="003C75DA" w:rsidR="00133531">
        <w:rPr>
          <w:rFonts w:cs="Arial"/>
          <w:sz w:val="22"/>
          <w:szCs w:val="22"/>
        </w:rPr>
        <w:t xml:space="preserve"> </w:t>
      </w:r>
      <w:r w:rsidRPr="003C75DA">
        <w:rPr>
          <w:rFonts w:cs="Arial"/>
          <w:sz w:val="22"/>
          <w:szCs w:val="22"/>
        </w:rPr>
        <w:t>x .0004).</w:t>
      </w:r>
    </w:p>
    <w:p w:rsidR="00884535" w:rsidP="00716A2E" w:rsidRDefault="00884535" w14:paraId="7B58D7B6" w14:textId="77777777">
      <w:pPr>
        <w:tabs>
          <w:tab w:val="left" w:pos="1430"/>
        </w:tabs>
        <w:ind w:left="1430"/>
        <w:rPr>
          <w:rFonts w:cs="Arial"/>
          <w:sz w:val="22"/>
          <w:szCs w:val="22"/>
        </w:rPr>
      </w:pPr>
    </w:p>
    <w:p w:rsidR="00884535" w:rsidP="00716A2E" w:rsidRDefault="004A1E0F" w14:paraId="7B58D7B7" w14:textId="77777777">
      <w:pPr>
        <w:tabs>
          <w:tab w:val="left" w:pos="1430"/>
        </w:tabs>
        <w:ind w:left="1430"/>
        <w:rPr>
          <w:rFonts w:cs="Arial"/>
          <w:sz w:val="22"/>
          <w:szCs w:val="22"/>
        </w:rPr>
      </w:pPr>
      <w:r>
        <w:rPr>
          <w:rFonts w:cs="Arial"/>
          <w:sz w:val="22"/>
          <w:szCs w:val="22"/>
        </w:rPr>
        <w:t xml:space="preserve">Each licensee will incur </w:t>
      </w:r>
      <w:r w:rsidR="00207C8F">
        <w:rPr>
          <w:rFonts w:cs="Arial"/>
          <w:sz w:val="22"/>
          <w:szCs w:val="22"/>
        </w:rPr>
        <w:t xml:space="preserve">an </w:t>
      </w:r>
      <w:r>
        <w:rPr>
          <w:rFonts w:cs="Arial"/>
          <w:sz w:val="22"/>
          <w:szCs w:val="22"/>
        </w:rPr>
        <w:t>annual fingerprinting cost of $</w:t>
      </w:r>
      <w:r w:rsidR="001E06B9">
        <w:rPr>
          <w:rFonts w:cs="Arial"/>
          <w:sz w:val="22"/>
          <w:szCs w:val="22"/>
        </w:rPr>
        <w:t>10</w:t>
      </w:r>
      <w:r>
        <w:rPr>
          <w:rFonts w:cs="Arial"/>
          <w:sz w:val="22"/>
          <w:szCs w:val="22"/>
        </w:rPr>
        <w:t xml:space="preserve"> per fingerprint </w:t>
      </w:r>
      <w:r w:rsidR="00207C8F">
        <w:rPr>
          <w:rFonts w:cs="Arial"/>
          <w:sz w:val="22"/>
          <w:szCs w:val="22"/>
        </w:rPr>
        <w:t xml:space="preserve">submission, </w:t>
      </w:r>
      <w:r>
        <w:rPr>
          <w:rFonts w:cs="Arial"/>
          <w:sz w:val="22"/>
          <w:szCs w:val="22"/>
        </w:rPr>
        <w:t xml:space="preserve">payable </w:t>
      </w:r>
      <w:r w:rsidR="00207C8F">
        <w:rPr>
          <w:rFonts w:cs="Arial"/>
          <w:sz w:val="22"/>
          <w:szCs w:val="22"/>
        </w:rPr>
        <w:t xml:space="preserve">to </w:t>
      </w:r>
      <w:r>
        <w:rPr>
          <w:rFonts w:cs="Arial"/>
          <w:sz w:val="22"/>
          <w:szCs w:val="22"/>
        </w:rPr>
        <w:t xml:space="preserve">the NRC.  </w:t>
      </w:r>
      <w:r w:rsidR="00342F77">
        <w:rPr>
          <w:rFonts w:cs="Arial"/>
          <w:sz w:val="22"/>
          <w:szCs w:val="22"/>
        </w:rPr>
        <w:t>For 4,2</w:t>
      </w:r>
      <w:r w:rsidR="00720A5A">
        <w:rPr>
          <w:rFonts w:cs="Arial"/>
          <w:sz w:val="22"/>
          <w:szCs w:val="22"/>
        </w:rPr>
        <w:t>00 annual fingerprint submissions, t</w:t>
      </w:r>
      <w:r>
        <w:rPr>
          <w:rFonts w:cs="Arial"/>
          <w:sz w:val="22"/>
          <w:szCs w:val="22"/>
        </w:rPr>
        <w:t xml:space="preserve">his is </w:t>
      </w:r>
      <w:r w:rsidR="00BA3C70">
        <w:rPr>
          <w:rFonts w:cs="Arial"/>
          <w:sz w:val="22"/>
          <w:szCs w:val="22"/>
        </w:rPr>
        <w:t>a</w:t>
      </w:r>
      <w:r w:rsidR="00455BC7">
        <w:rPr>
          <w:rFonts w:cs="Arial"/>
          <w:sz w:val="22"/>
          <w:szCs w:val="22"/>
        </w:rPr>
        <w:t xml:space="preserve"> </w:t>
      </w:r>
      <w:r w:rsidRPr="00EC7609" w:rsidR="00455BC7">
        <w:rPr>
          <w:rFonts w:cs="Arial"/>
          <w:sz w:val="22"/>
          <w:szCs w:val="22"/>
        </w:rPr>
        <w:t>$</w:t>
      </w:r>
      <w:r w:rsidR="00342F77">
        <w:rPr>
          <w:rFonts w:cs="Arial"/>
          <w:sz w:val="22"/>
          <w:szCs w:val="22"/>
        </w:rPr>
        <w:t>42</w:t>
      </w:r>
      <w:r w:rsidR="00E94F1D">
        <w:rPr>
          <w:rFonts w:cs="Arial"/>
          <w:sz w:val="22"/>
          <w:szCs w:val="22"/>
        </w:rPr>
        <w:t>,000</w:t>
      </w:r>
      <w:r w:rsidR="00455BC7">
        <w:rPr>
          <w:rFonts w:cs="Arial"/>
          <w:sz w:val="22"/>
          <w:szCs w:val="22"/>
        </w:rPr>
        <w:t xml:space="preserve"> annualized cost.</w:t>
      </w:r>
    </w:p>
    <w:p w:rsidR="00884535" w:rsidP="00716A2E" w:rsidRDefault="00884535" w14:paraId="7B58D7B8" w14:textId="77777777">
      <w:pPr>
        <w:tabs>
          <w:tab w:val="left" w:pos="1430"/>
        </w:tabs>
        <w:ind w:left="1430"/>
        <w:rPr>
          <w:rFonts w:cs="Arial"/>
          <w:sz w:val="22"/>
          <w:szCs w:val="22"/>
        </w:rPr>
      </w:pPr>
    </w:p>
    <w:p w:rsidRPr="009D1CCA" w:rsidR="00F5454E" w:rsidP="00716A2E" w:rsidRDefault="00884535" w14:paraId="7B58D7B9" w14:textId="77777777">
      <w:pPr>
        <w:tabs>
          <w:tab w:val="left" w:pos="1430"/>
        </w:tabs>
        <w:ind w:left="1430"/>
        <w:rPr>
          <w:rFonts w:cs="Arial"/>
          <w:sz w:val="22"/>
          <w:szCs w:val="22"/>
        </w:rPr>
      </w:pPr>
      <w:r w:rsidRPr="009D1CCA">
        <w:rPr>
          <w:rFonts w:cs="Arial"/>
          <w:sz w:val="22"/>
          <w:szCs w:val="22"/>
        </w:rPr>
        <w:t>Therefore, the annualized total additional costs are $</w:t>
      </w:r>
      <w:r w:rsidR="00FE5B4D">
        <w:rPr>
          <w:rFonts w:cs="Arial"/>
          <w:sz w:val="22"/>
          <w:szCs w:val="22"/>
        </w:rPr>
        <w:t>44</w:t>
      </w:r>
      <w:r w:rsidRPr="009D1CCA" w:rsidR="009D1CCA">
        <w:rPr>
          <w:rFonts w:cs="Arial"/>
          <w:sz w:val="22"/>
          <w:szCs w:val="22"/>
        </w:rPr>
        <w:t>,</w:t>
      </w:r>
      <w:r w:rsidR="003E554E">
        <w:rPr>
          <w:rFonts w:cs="Arial"/>
          <w:sz w:val="22"/>
          <w:szCs w:val="22"/>
        </w:rPr>
        <w:t>52</w:t>
      </w:r>
      <w:r w:rsidR="00296ACA">
        <w:rPr>
          <w:rFonts w:cs="Arial"/>
          <w:sz w:val="22"/>
          <w:szCs w:val="22"/>
        </w:rPr>
        <w:t>4</w:t>
      </w:r>
      <w:r w:rsidRPr="009D1CCA" w:rsidR="00813D13">
        <w:rPr>
          <w:rFonts w:cs="Arial"/>
          <w:sz w:val="22"/>
          <w:szCs w:val="22"/>
        </w:rPr>
        <w:t xml:space="preserve"> ($</w:t>
      </w:r>
      <w:r w:rsidR="00342F77">
        <w:rPr>
          <w:rFonts w:cs="Arial"/>
          <w:sz w:val="22"/>
          <w:szCs w:val="22"/>
        </w:rPr>
        <w:t>2</w:t>
      </w:r>
      <w:r w:rsidR="003E554E">
        <w:rPr>
          <w:rFonts w:cs="Arial"/>
          <w:sz w:val="22"/>
          <w:szCs w:val="22"/>
        </w:rPr>
        <w:t>,52</w:t>
      </w:r>
      <w:r w:rsidR="00296ACA">
        <w:rPr>
          <w:rFonts w:cs="Arial"/>
          <w:sz w:val="22"/>
          <w:szCs w:val="22"/>
        </w:rPr>
        <w:t>4</w:t>
      </w:r>
      <w:r w:rsidRPr="009D1CCA" w:rsidR="00701AD2">
        <w:rPr>
          <w:rFonts w:cs="Arial"/>
          <w:sz w:val="22"/>
          <w:szCs w:val="22"/>
        </w:rPr>
        <w:t xml:space="preserve"> </w:t>
      </w:r>
      <w:r w:rsidRPr="009D1CCA" w:rsidR="00813D13">
        <w:rPr>
          <w:rFonts w:cs="Arial"/>
          <w:sz w:val="22"/>
          <w:szCs w:val="22"/>
        </w:rPr>
        <w:t>+ $</w:t>
      </w:r>
      <w:r w:rsidR="00342F77">
        <w:rPr>
          <w:rFonts w:cs="Arial"/>
          <w:sz w:val="22"/>
          <w:szCs w:val="22"/>
        </w:rPr>
        <w:t>42,000</w:t>
      </w:r>
      <w:r w:rsidRPr="009D1CCA" w:rsidR="00813D13">
        <w:rPr>
          <w:rFonts w:cs="Arial"/>
          <w:sz w:val="22"/>
          <w:szCs w:val="22"/>
        </w:rPr>
        <w:t>)</w:t>
      </w:r>
      <w:r w:rsidRPr="009D1CCA">
        <w:rPr>
          <w:rFonts w:cs="Arial"/>
          <w:sz w:val="22"/>
          <w:szCs w:val="22"/>
        </w:rPr>
        <w:t xml:space="preserve">.  </w:t>
      </w:r>
    </w:p>
    <w:p w:rsidRPr="009D1CCA" w:rsidR="00A30116" w:rsidP="00716A2E" w:rsidRDefault="00A30116" w14:paraId="7B58D7BA" w14:textId="77777777">
      <w:pPr>
        <w:tabs>
          <w:tab w:val="left" w:pos="720"/>
          <w:tab w:val="left" w:pos="1440"/>
        </w:tabs>
        <w:ind w:left="1440" w:hanging="720"/>
        <w:rPr>
          <w:rFonts w:cs="Arial"/>
          <w:sz w:val="22"/>
          <w:szCs w:val="22"/>
        </w:rPr>
      </w:pPr>
    </w:p>
    <w:p w:rsidRPr="006D2719" w:rsidR="00F25AFA" w:rsidP="00716A2E" w:rsidRDefault="00F25AFA" w14:paraId="7B58D7BB" w14:textId="77777777">
      <w:pPr>
        <w:tabs>
          <w:tab w:val="left" w:pos="720"/>
          <w:tab w:val="left" w:pos="1440"/>
        </w:tabs>
        <w:ind w:left="1440" w:hanging="720"/>
        <w:rPr>
          <w:rFonts w:cs="Arial"/>
          <w:sz w:val="22"/>
          <w:szCs w:val="22"/>
        </w:rPr>
      </w:pPr>
      <w:r w:rsidRPr="006D2719">
        <w:rPr>
          <w:rFonts w:cs="Arial"/>
          <w:sz w:val="22"/>
          <w:szCs w:val="22"/>
        </w:rPr>
        <w:t>14.</w:t>
      </w:r>
      <w:r w:rsidRPr="006D2719">
        <w:rPr>
          <w:rFonts w:cs="Arial"/>
          <w:sz w:val="22"/>
          <w:szCs w:val="22"/>
        </w:rPr>
        <w:tab/>
      </w:r>
      <w:r w:rsidRPr="006D2719">
        <w:rPr>
          <w:rFonts w:cs="Arial"/>
          <w:sz w:val="22"/>
          <w:szCs w:val="22"/>
          <w:u w:val="single"/>
        </w:rPr>
        <w:t>Estimated Annualized Cost to the Federal Government</w:t>
      </w:r>
    </w:p>
    <w:p w:rsidRPr="006D2719" w:rsidR="00F25AFA" w:rsidP="00716A2E" w:rsidRDefault="00F25AFA" w14:paraId="7B58D7BC" w14:textId="77777777">
      <w:pPr>
        <w:rPr>
          <w:rFonts w:cs="Arial"/>
          <w:sz w:val="22"/>
          <w:szCs w:val="22"/>
        </w:rPr>
      </w:pPr>
    </w:p>
    <w:p w:rsidR="0021019C" w:rsidP="00716A2E" w:rsidRDefault="0021019C" w14:paraId="7B58D7BD" w14:textId="77777777">
      <w:pPr>
        <w:ind w:left="1430"/>
        <w:rPr>
          <w:rFonts w:cs="Arial"/>
          <w:sz w:val="22"/>
          <w:szCs w:val="22"/>
        </w:rPr>
      </w:pPr>
      <w:r w:rsidRPr="0021019C">
        <w:rPr>
          <w:rFonts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21019C" w:rsidP="00716A2E" w:rsidRDefault="0021019C" w14:paraId="7B58D7BE" w14:textId="77777777">
      <w:pPr>
        <w:ind w:left="1430"/>
        <w:rPr>
          <w:rFonts w:cs="Arial"/>
          <w:sz w:val="22"/>
          <w:szCs w:val="22"/>
        </w:rPr>
      </w:pPr>
    </w:p>
    <w:p w:rsidR="00BF7E82" w:rsidP="00716A2E" w:rsidRDefault="00272BB3" w14:paraId="7B58D7BF" w14:textId="77777777">
      <w:pPr>
        <w:ind w:left="1430"/>
        <w:rPr>
          <w:rFonts w:cs="Arial"/>
          <w:sz w:val="22"/>
          <w:szCs w:val="22"/>
        </w:rPr>
      </w:pPr>
      <w:r w:rsidRPr="00C760F8">
        <w:rPr>
          <w:rFonts w:cs="Arial"/>
          <w:sz w:val="22"/>
          <w:szCs w:val="22"/>
        </w:rPr>
        <w:t>This section calculates the estimated annualized cost to the government over the three-year period covered by the analysis</w:t>
      </w:r>
      <w:r w:rsidR="00FF1606">
        <w:rPr>
          <w:rFonts w:cs="Arial"/>
          <w:sz w:val="22"/>
          <w:szCs w:val="22"/>
        </w:rPr>
        <w:t xml:space="preserve"> of</w:t>
      </w:r>
      <w:r w:rsidRPr="00C760F8">
        <w:rPr>
          <w:rFonts w:cs="Arial"/>
          <w:sz w:val="22"/>
          <w:szCs w:val="22"/>
        </w:rPr>
        <w:t xml:space="preserve"> annual costs.  </w:t>
      </w:r>
      <w:r w:rsidR="001D30B8">
        <w:rPr>
          <w:rFonts w:cs="Arial"/>
          <w:sz w:val="22"/>
          <w:szCs w:val="22"/>
        </w:rPr>
        <w:t>Calculated at NRC’s fee rate of $</w:t>
      </w:r>
      <w:r w:rsidR="00365AD3">
        <w:rPr>
          <w:rFonts w:cs="Arial"/>
          <w:sz w:val="22"/>
          <w:szCs w:val="22"/>
        </w:rPr>
        <w:t>263</w:t>
      </w:r>
      <w:r w:rsidR="001D30B8">
        <w:rPr>
          <w:rFonts w:cs="Arial"/>
          <w:sz w:val="22"/>
          <w:szCs w:val="22"/>
        </w:rPr>
        <w:t>/</w:t>
      </w:r>
      <w:proofErr w:type="spellStart"/>
      <w:r w:rsidR="001D30B8">
        <w:rPr>
          <w:rFonts w:cs="Arial"/>
          <w:sz w:val="22"/>
          <w:szCs w:val="22"/>
        </w:rPr>
        <w:t>hr</w:t>
      </w:r>
      <w:proofErr w:type="spellEnd"/>
      <w:r w:rsidR="001D30B8">
        <w:rPr>
          <w:rFonts w:cs="Arial"/>
          <w:sz w:val="22"/>
          <w:szCs w:val="22"/>
        </w:rPr>
        <w:t>, t</w:t>
      </w:r>
      <w:r w:rsidRPr="00C760F8">
        <w:rPr>
          <w:rFonts w:cs="Arial"/>
          <w:sz w:val="22"/>
          <w:szCs w:val="22"/>
        </w:rPr>
        <w:t>he</w:t>
      </w:r>
      <w:r w:rsidR="004104D7">
        <w:rPr>
          <w:rFonts w:cs="Arial"/>
          <w:sz w:val="22"/>
          <w:szCs w:val="22"/>
        </w:rPr>
        <w:t xml:space="preserve"> </w:t>
      </w:r>
      <w:r w:rsidRPr="0089570A">
        <w:rPr>
          <w:rFonts w:cs="Arial"/>
          <w:sz w:val="22"/>
          <w:szCs w:val="22"/>
        </w:rPr>
        <w:t xml:space="preserve">estimated </w:t>
      </w:r>
      <w:r w:rsidR="00FF1606">
        <w:rPr>
          <w:rFonts w:cs="Arial"/>
          <w:sz w:val="22"/>
          <w:szCs w:val="22"/>
        </w:rPr>
        <w:t xml:space="preserve">total </w:t>
      </w:r>
      <w:r w:rsidRPr="0089570A">
        <w:rPr>
          <w:rFonts w:cs="Arial"/>
          <w:sz w:val="22"/>
          <w:szCs w:val="22"/>
        </w:rPr>
        <w:t>cost to the government for review of required reports and records</w:t>
      </w:r>
      <w:r w:rsidRPr="0089570A" w:rsidR="004104D7">
        <w:rPr>
          <w:rFonts w:cs="Arial"/>
          <w:sz w:val="22"/>
          <w:szCs w:val="22"/>
        </w:rPr>
        <w:t xml:space="preserve"> is $</w:t>
      </w:r>
      <w:r w:rsidR="00F80955">
        <w:rPr>
          <w:rFonts w:cs="Arial"/>
          <w:sz w:val="22"/>
          <w:szCs w:val="22"/>
        </w:rPr>
        <w:t>282,383.</w:t>
      </w:r>
    </w:p>
    <w:p w:rsidR="00720A5A" w:rsidP="00716A2E" w:rsidRDefault="00720A5A" w14:paraId="7B58D7C0" w14:textId="77777777">
      <w:pPr>
        <w:ind w:left="1430"/>
        <w:rPr>
          <w:rFonts w:cs="Arial"/>
          <w:sz w:val="22"/>
          <w:szCs w:val="22"/>
        </w:rPr>
      </w:pPr>
    </w:p>
    <w:p w:rsidR="007C1383" w:rsidRDefault="007C1383" w14:paraId="23C189E2" w14:textId="77777777">
      <w:pPr>
        <w:autoSpaceDE/>
        <w:autoSpaceDN/>
        <w:adjustRightInd/>
        <w:rPr>
          <w:rFonts w:cs="Arial"/>
          <w:sz w:val="22"/>
          <w:szCs w:val="22"/>
        </w:rPr>
      </w:pPr>
      <w:r>
        <w:rPr>
          <w:rFonts w:cs="Arial"/>
          <w:sz w:val="22"/>
          <w:szCs w:val="22"/>
        </w:rPr>
        <w:br w:type="page"/>
      </w:r>
    </w:p>
    <w:p w:rsidRPr="009F2157" w:rsidR="00E9681E" w:rsidP="00716A2E" w:rsidRDefault="00CB3C45" w14:paraId="7B58D7C1" w14:textId="4B91644C">
      <w:pPr>
        <w:ind w:left="1430"/>
        <w:rPr>
          <w:sz w:val="22"/>
          <w:szCs w:val="22"/>
        </w:rPr>
      </w:pPr>
      <w:r w:rsidRPr="009F2157">
        <w:rPr>
          <w:rFonts w:cs="Arial"/>
          <w:sz w:val="22"/>
          <w:szCs w:val="22"/>
        </w:rPr>
        <w:lastRenderedPageBreak/>
        <w:t>The following table provide</w:t>
      </w:r>
      <w:r w:rsidR="00FF1606">
        <w:rPr>
          <w:rFonts w:cs="Arial"/>
          <w:sz w:val="22"/>
          <w:szCs w:val="22"/>
        </w:rPr>
        <w:t>s</w:t>
      </w:r>
      <w:r w:rsidRPr="009F2157">
        <w:rPr>
          <w:rFonts w:cs="Arial"/>
          <w:sz w:val="22"/>
          <w:szCs w:val="22"/>
        </w:rPr>
        <w:t xml:space="preserve"> details for these costs.</w:t>
      </w:r>
    </w:p>
    <w:p w:rsidRPr="009F2157" w:rsidR="00B55FA8" w:rsidP="00E9681E" w:rsidRDefault="00B55FA8" w14:paraId="7B58D7C2" w14:textId="77777777">
      <w:pPr>
        <w:tabs>
          <w:tab w:val="left" w:pos="660"/>
          <w:tab w:val="left" w:pos="720"/>
          <w:tab w:val="left" w:pos="770"/>
          <w:tab w:val="left" w:pos="7200"/>
          <w:tab w:val="left" w:pos="8640"/>
        </w:tabs>
        <w:ind w:left="1430"/>
        <w:rPr>
          <w:sz w:val="22"/>
          <w:szCs w:val="22"/>
          <w:u w:val="single"/>
        </w:rPr>
      </w:pPr>
    </w:p>
    <w:p w:rsidR="00CA0AF4" w:rsidP="00E9681E" w:rsidRDefault="00CA0AF4" w14:paraId="7B58D7C4" w14:textId="77777777">
      <w:pPr>
        <w:tabs>
          <w:tab w:val="left" w:pos="660"/>
          <w:tab w:val="left" w:pos="720"/>
          <w:tab w:val="left" w:pos="770"/>
          <w:tab w:val="left" w:pos="7200"/>
          <w:tab w:val="left" w:pos="8640"/>
        </w:tabs>
        <w:ind w:left="1430"/>
        <w:rPr>
          <w:sz w:val="22"/>
          <w:szCs w:val="22"/>
        </w:rPr>
      </w:pPr>
    </w:p>
    <w:tbl>
      <w:tblPr>
        <w:tblW w:w="9656" w:type="dxa"/>
        <w:tblInd w:w="715" w:type="dxa"/>
        <w:tblLook w:val="04A0" w:firstRow="1" w:lastRow="0" w:firstColumn="1" w:lastColumn="0" w:noHBand="0" w:noVBand="1"/>
      </w:tblPr>
      <w:tblGrid>
        <w:gridCol w:w="2160"/>
        <w:gridCol w:w="1395"/>
        <w:gridCol w:w="1295"/>
        <w:gridCol w:w="1217"/>
        <w:gridCol w:w="1117"/>
        <w:gridCol w:w="995"/>
        <w:gridCol w:w="1477"/>
      </w:tblGrid>
      <w:tr w:rsidRPr="009F6E2A" w:rsidR="00B77C78" w:rsidTr="005B418F" w14:paraId="7E6F7C43" w14:textId="77777777">
        <w:trPr>
          <w:trHeight w:val="359"/>
        </w:trPr>
        <w:tc>
          <w:tcPr>
            <w:tcW w:w="96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5B418F" w:rsidR="00B77C78" w:rsidP="009F6E2A" w:rsidRDefault="00B77C78" w14:paraId="244822E5" w14:textId="00FBD8B9">
            <w:pPr>
              <w:autoSpaceDE/>
              <w:autoSpaceDN/>
              <w:adjustRightInd/>
              <w:jc w:val="center"/>
              <w:rPr>
                <w:rFonts w:cs="Arial"/>
                <w:b/>
              </w:rPr>
            </w:pPr>
            <w:r w:rsidRPr="005B418F">
              <w:rPr>
                <w:rFonts w:cs="Arial"/>
                <w:b/>
              </w:rPr>
              <w:t>Table 3</w:t>
            </w:r>
            <w:r>
              <w:rPr>
                <w:rFonts w:cs="Arial"/>
                <w:b/>
              </w:rPr>
              <w:t>—Breakdown of Annual Burden Hours &amp; Cost</w:t>
            </w:r>
          </w:p>
        </w:tc>
      </w:tr>
      <w:tr w:rsidRPr="009F6E2A" w:rsidR="007D5B40" w:rsidTr="005B418F" w14:paraId="7B58D7CC" w14:textId="77777777">
        <w:trPr>
          <w:trHeight w:val="1020"/>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6E2A" w:rsidR="009F6E2A" w:rsidP="00B77C78" w:rsidRDefault="009F6E2A" w14:paraId="7B58D7C5" w14:textId="77777777">
            <w:pPr>
              <w:autoSpaceDE/>
              <w:autoSpaceDN/>
              <w:adjustRightInd/>
              <w:jc w:val="center"/>
              <w:rPr>
                <w:rFonts w:cs="Arial"/>
              </w:rPr>
            </w:pPr>
            <w:r w:rsidRPr="009F6E2A">
              <w:rPr>
                <w:rFonts w:cs="Arial"/>
              </w:rPr>
              <w:t>Item</w:t>
            </w:r>
          </w:p>
        </w:tc>
        <w:tc>
          <w:tcPr>
            <w:tcW w:w="1395" w:type="dxa"/>
            <w:tcBorders>
              <w:top w:val="single" w:color="auto" w:sz="4" w:space="0"/>
              <w:left w:val="nil"/>
              <w:bottom w:val="single" w:color="auto" w:sz="4" w:space="0"/>
              <w:right w:val="single" w:color="auto" w:sz="4" w:space="0"/>
            </w:tcBorders>
            <w:shd w:val="clear" w:color="auto" w:fill="auto"/>
            <w:vAlign w:val="center"/>
            <w:hideMark/>
          </w:tcPr>
          <w:p w:rsidRPr="009F6E2A" w:rsidR="009F6E2A" w:rsidP="00B77C78" w:rsidRDefault="009F6E2A" w14:paraId="7B58D7C6" w14:textId="278823AF">
            <w:pPr>
              <w:autoSpaceDE/>
              <w:autoSpaceDN/>
              <w:adjustRightInd/>
              <w:jc w:val="center"/>
              <w:rPr>
                <w:rFonts w:cs="Arial"/>
              </w:rPr>
            </w:pPr>
            <w:r w:rsidRPr="009F6E2A">
              <w:rPr>
                <w:rFonts w:cs="Arial"/>
              </w:rPr>
              <w:t>No. Of R</w:t>
            </w:r>
            <w:r w:rsidR="00B77C78">
              <w:rPr>
                <w:rFonts w:cs="Arial"/>
              </w:rPr>
              <w:t>e</w:t>
            </w:r>
            <w:r w:rsidRPr="009F6E2A">
              <w:rPr>
                <w:rFonts w:cs="Arial"/>
              </w:rPr>
              <w:t>sp</w:t>
            </w:r>
            <w:r w:rsidR="00B77C78">
              <w:rPr>
                <w:rFonts w:cs="Arial"/>
              </w:rPr>
              <w:t>o</w:t>
            </w:r>
            <w:r w:rsidRPr="009F6E2A">
              <w:rPr>
                <w:rFonts w:cs="Arial"/>
              </w:rPr>
              <w:t>nd</w:t>
            </w:r>
            <w:r w:rsidR="00B77C78">
              <w:rPr>
                <w:rFonts w:cs="Arial"/>
              </w:rPr>
              <w:t>en</w:t>
            </w:r>
            <w:r w:rsidRPr="009F6E2A">
              <w:rPr>
                <w:rFonts w:cs="Arial"/>
              </w:rPr>
              <w:t>ts</w:t>
            </w:r>
          </w:p>
        </w:tc>
        <w:tc>
          <w:tcPr>
            <w:tcW w:w="1295" w:type="dxa"/>
            <w:tcBorders>
              <w:top w:val="single" w:color="auto" w:sz="4" w:space="0"/>
              <w:left w:val="nil"/>
              <w:bottom w:val="single" w:color="auto" w:sz="4" w:space="0"/>
              <w:right w:val="single" w:color="auto" w:sz="4" w:space="0"/>
            </w:tcBorders>
            <w:shd w:val="clear" w:color="auto" w:fill="auto"/>
            <w:vAlign w:val="center"/>
            <w:hideMark/>
          </w:tcPr>
          <w:p w:rsidRPr="009F6E2A" w:rsidR="009F6E2A" w:rsidP="00B77C78" w:rsidRDefault="009F6E2A" w14:paraId="7B58D7C7" w14:textId="413D709C">
            <w:pPr>
              <w:autoSpaceDE/>
              <w:autoSpaceDN/>
              <w:adjustRightInd/>
              <w:jc w:val="center"/>
              <w:rPr>
                <w:rFonts w:cs="Arial"/>
              </w:rPr>
            </w:pPr>
            <w:r w:rsidRPr="009F6E2A">
              <w:rPr>
                <w:rFonts w:cs="Arial"/>
              </w:rPr>
              <w:t>R</w:t>
            </w:r>
            <w:r w:rsidR="00B77C78">
              <w:rPr>
                <w:rFonts w:cs="Arial"/>
              </w:rPr>
              <w:t>e</w:t>
            </w:r>
            <w:r w:rsidRPr="009F6E2A">
              <w:rPr>
                <w:rFonts w:cs="Arial"/>
              </w:rPr>
              <w:t>sp</w:t>
            </w:r>
            <w:r w:rsidR="00B77C78">
              <w:rPr>
                <w:rFonts w:cs="Arial"/>
              </w:rPr>
              <w:t>onse</w:t>
            </w:r>
            <w:r w:rsidRPr="009F6E2A">
              <w:rPr>
                <w:rFonts w:cs="Arial"/>
              </w:rPr>
              <w:t>s. Per Resp</w:t>
            </w:r>
            <w:r w:rsidR="00B77C78">
              <w:rPr>
                <w:rFonts w:cs="Arial"/>
              </w:rPr>
              <w:t>o</w:t>
            </w:r>
            <w:r w:rsidRPr="009F6E2A">
              <w:rPr>
                <w:rFonts w:cs="Arial"/>
              </w:rPr>
              <w:t>nd</w:t>
            </w:r>
            <w:r w:rsidR="00B77C78">
              <w:rPr>
                <w:rFonts w:cs="Arial"/>
              </w:rPr>
              <w:t>en</w:t>
            </w:r>
            <w:r w:rsidRPr="009F6E2A">
              <w:rPr>
                <w:rFonts w:cs="Arial"/>
              </w:rPr>
              <w:t>t</w:t>
            </w:r>
          </w:p>
        </w:tc>
        <w:tc>
          <w:tcPr>
            <w:tcW w:w="1217" w:type="dxa"/>
            <w:tcBorders>
              <w:top w:val="single" w:color="auto" w:sz="4" w:space="0"/>
              <w:left w:val="nil"/>
              <w:bottom w:val="single" w:color="auto" w:sz="4" w:space="0"/>
              <w:right w:val="single" w:color="auto" w:sz="4" w:space="0"/>
            </w:tcBorders>
            <w:shd w:val="clear" w:color="auto" w:fill="auto"/>
            <w:vAlign w:val="center"/>
            <w:hideMark/>
          </w:tcPr>
          <w:p w:rsidRPr="009F6E2A" w:rsidR="009F6E2A" w:rsidP="00B77C78" w:rsidRDefault="009F6E2A" w14:paraId="7B58D7C8" w14:textId="77777777">
            <w:pPr>
              <w:autoSpaceDE/>
              <w:autoSpaceDN/>
              <w:adjustRightInd/>
              <w:jc w:val="center"/>
              <w:rPr>
                <w:rFonts w:cs="Arial"/>
              </w:rPr>
            </w:pPr>
            <w:r w:rsidRPr="009F6E2A">
              <w:rPr>
                <w:rFonts w:cs="Arial"/>
              </w:rPr>
              <w:t>Total Annual Responses</w:t>
            </w:r>
          </w:p>
        </w:tc>
        <w:tc>
          <w:tcPr>
            <w:tcW w:w="1117" w:type="dxa"/>
            <w:tcBorders>
              <w:top w:val="single" w:color="auto" w:sz="4" w:space="0"/>
              <w:left w:val="nil"/>
              <w:bottom w:val="single" w:color="auto" w:sz="4" w:space="0"/>
              <w:right w:val="single" w:color="auto" w:sz="4" w:space="0"/>
            </w:tcBorders>
            <w:shd w:val="clear" w:color="auto" w:fill="auto"/>
            <w:vAlign w:val="center"/>
            <w:hideMark/>
          </w:tcPr>
          <w:p w:rsidRPr="009F6E2A" w:rsidR="009F6E2A" w:rsidRDefault="009F6E2A" w14:paraId="7B58D7C9" w14:textId="77777777">
            <w:pPr>
              <w:autoSpaceDE/>
              <w:autoSpaceDN/>
              <w:adjustRightInd/>
              <w:jc w:val="center"/>
              <w:rPr>
                <w:rFonts w:cs="Arial"/>
              </w:rPr>
            </w:pPr>
            <w:r w:rsidRPr="009F6E2A">
              <w:rPr>
                <w:rFonts w:cs="Arial"/>
              </w:rPr>
              <w:t>Burden per Response</w:t>
            </w:r>
          </w:p>
        </w:tc>
        <w:tc>
          <w:tcPr>
            <w:tcW w:w="995" w:type="dxa"/>
            <w:tcBorders>
              <w:top w:val="single" w:color="auto" w:sz="4" w:space="0"/>
              <w:left w:val="nil"/>
              <w:bottom w:val="single" w:color="auto" w:sz="4" w:space="0"/>
              <w:right w:val="single" w:color="auto" w:sz="4" w:space="0"/>
            </w:tcBorders>
            <w:shd w:val="clear" w:color="auto" w:fill="auto"/>
            <w:vAlign w:val="center"/>
            <w:hideMark/>
          </w:tcPr>
          <w:p w:rsidRPr="009F6E2A" w:rsidR="009F6E2A" w:rsidRDefault="009F6E2A" w14:paraId="7B58D7CA" w14:textId="77777777">
            <w:pPr>
              <w:autoSpaceDE/>
              <w:autoSpaceDN/>
              <w:adjustRightInd/>
              <w:jc w:val="center"/>
              <w:rPr>
                <w:rFonts w:cs="Arial"/>
              </w:rPr>
            </w:pPr>
            <w:r w:rsidRPr="009F6E2A">
              <w:rPr>
                <w:rFonts w:cs="Arial"/>
              </w:rPr>
              <w:t>Total Annual Burden Hours</w:t>
            </w:r>
          </w:p>
        </w:tc>
        <w:tc>
          <w:tcPr>
            <w:tcW w:w="1477" w:type="dxa"/>
            <w:tcBorders>
              <w:top w:val="single" w:color="auto" w:sz="4" w:space="0"/>
              <w:left w:val="nil"/>
              <w:bottom w:val="single" w:color="auto" w:sz="4" w:space="0"/>
              <w:right w:val="single" w:color="auto" w:sz="4" w:space="0"/>
            </w:tcBorders>
            <w:shd w:val="clear" w:color="auto" w:fill="auto"/>
            <w:vAlign w:val="center"/>
            <w:hideMark/>
          </w:tcPr>
          <w:p w:rsidRPr="009F6E2A" w:rsidR="009F6E2A" w:rsidRDefault="009F6E2A" w14:paraId="7B58D7CB" w14:textId="77777777">
            <w:pPr>
              <w:autoSpaceDE/>
              <w:autoSpaceDN/>
              <w:adjustRightInd/>
              <w:jc w:val="center"/>
              <w:rPr>
                <w:rFonts w:cs="Arial"/>
              </w:rPr>
            </w:pPr>
            <w:r w:rsidRPr="009F6E2A">
              <w:rPr>
                <w:rFonts w:cs="Arial"/>
              </w:rPr>
              <w:t>Cost @ $2</w:t>
            </w:r>
            <w:r w:rsidR="00A464FF">
              <w:rPr>
                <w:rFonts w:cs="Arial"/>
              </w:rPr>
              <w:t>63</w:t>
            </w:r>
            <w:r w:rsidRPr="009F6E2A">
              <w:rPr>
                <w:rFonts w:cs="Arial"/>
              </w:rPr>
              <w:t>/</w:t>
            </w:r>
            <w:proofErr w:type="spellStart"/>
            <w:r w:rsidRPr="009F6E2A">
              <w:rPr>
                <w:rFonts w:cs="Arial"/>
              </w:rPr>
              <w:t>Hr</w:t>
            </w:r>
            <w:proofErr w:type="spellEnd"/>
          </w:p>
        </w:tc>
      </w:tr>
      <w:tr w:rsidRPr="00C255F1" w:rsidR="00C255F1" w:rsidTr="005B418F" w14:paraId="7B58D7D4" w14:textId="77777777">
        <w:trPr>
          <w:trHeight w:val="765"/>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C255F1" w:rsidR="00F12C18" w:rsidP="00813238" w:rsidRDefault="00F12C18" w14:paraId="7B58D7CD" w14:textId="77777777">
            <w:pPr>
              <w:autoSpaceDE/>
              <w:autoSpaceDN/>
              <w:adjustRightInd/>
              <w:rPr>
                <w:rFonts w:cs="Arial"/>
              </w:rPr>
            </w:pPr>
            <w:r w:rsidRPr="00C255F1">
              <w:rPr>
                <w:rFonts w:cs="Arial"/>
              </w:rPr>
              <w:t>Processing of fingerprints for new employees</w:t>
            </w:r>
            <w:r w:rsidRPr="00C255F1">
              <w:rPr>
                <w:rStyle w:val="FootnoteReference"/>
                <w:rFonts w:cs="Arial"/>
              </w:rPr>
              <w:footnoteReference w:id="1"/>
            </w:r>
          </w:p>
        </w:tc>
        <w:tc>
          <w:tcPr>
            <w:tcW w:w="1395" w:type="dxa"/>
            <w:tcBorders>
              <w:top w:val="nil"/>
              <w:left w:val="nil"/>
              <w:bottom w:val="single" w:color="auto" w:sz="4" w:space="0"/>
              <w:right w:val="single" w:color="auto" w:sz="4" w:space="0"/>
            </w:tcBorders>
            <w:shd w:val="clear" w:color="auto" w:fill="auto"/>
            <w:noWrap/>
            <w:vAlign w:val="bottom"/>
            <w:hideMark/>
          </w:tcPr>
          <w:p w:rsidRPr="00C255F1" w:rsidR="00F12C18" w:rsidP="00342F77" w:rsidRDefault="00F12C18" w14:paraId="7B58D7CE" w14:textId="77777777">
            <w:pPr>
              <w:autoSpaceDE/>
              <w:autoSpaceDN/>
              <w:adjustRightInd/>
              <w:jc w:val="right"/>
              <w:rPr>
                <w:rFonts w:cs="Arial"/>
              </w:rPr>
            </w:pPr>
            <w:r w:rsidRPr="00C255F1">
              <w:rPr>
                <w:rFonts w:cs="Arial"/>
              </w:rPr>
              <w:t>1,</w:t>
            </w:r>
            <w:r w:rsidR="00342F77">
              <w:rPr>
                <w:rFonts w:cs="Arial"/>
              </w:rPr>
              <w:t>400</w:t>
            </w:r>
          </w:p>
        </w:tc>
        <w:tc>
          <w:tcPr>
            <w:tcW w:w="1295"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CF" w14:textId="77777777">
            <w:pPr>
              <w:autoSpaceDE/>
              <w:autoSpaceDN/>
              <w:adjustRightInd/>
              <w:jc w:val="right"/>
              <w:rPr>
                <w:rFonts w:cs="Arial"/>
              </w:rPr>
            </w:pPr>
            <w:r w:rsidRPr="00C255F1">
              <w:rPr>
                <w:rFonts w:cs="Arial"/>
              </w:rPr>
              <w:t>3</w:t>
            </w:r>
          </w:p>
        </w:tc>
        <w:tc>
          <w:tcPr>
            <w:tcW w:w="1217" w:type="dxa"/>
            <w:tcBorders>
              <w:top w:val="nil"/>
              <w:left w:val="nil"/>
              <w:bottom w:val="single" w:color="auto" w:sz="4" w:space="0"/>
              <w:right w:val="single" w:color="auto" w:sz="4" w:space="0"/>
            </w:tcBorders>
            <w:shd w:val="clear" w:color="auto" w:fill="auto"/>
            <w:noWrap/>
            <w:vAlign w:val="bottom"/>
            <w:hideMark/>
          </w:tcPr>
          <w:p w:rsidRPr="00C255F1" w:rsidR="00F12C18" w:rsidP="005A3781" w:rsidRDefault="00F12C18" w14:paraId="7B58D7D0" w14:textId="77777777">
            <w:pPr>
              <w:autoSpaceDE/>
              <w:autoSpaceDN/>
              <w:adjustRightInd/>
              <w:jc w:val="right"/>
              <w:rPr>
                <w:rFonts w:cs="Arial"/>
              </w:rPr>
            </w:pPr>
            <w:r w:rsidRPr="00C255F1">
              <w:rPr>
                <w:rFonts w:cs="Arial"/>
              </w:rPr>
              <w:t>4,</w:t>
            </w:r>
            <w:r w:rsidR="00342F77">
              <w:rPr>
                <w:rFonts w:cs="Arial"/>
              </w:rPr>
              <w:t>2</w:t>
            </w:r>
            <w:r w:rsidRPr="00C255F1" w:rsidR="005A3781">
              <w:rPr>
                <w:rFonts w:cs="Arial"/>
              </w:rPr>
              <w:t>00</w:t>
            </w:r>
          </w:p>
        </w:tc>
        <w:tc>
          <w:tcPr>
            <w:tcW w:w="1117" w:type="dxa"/>
            <w:tcBorders>
              <w:top w:val="nil"/>
              <w:left w:val="nil"/>
              <w:bottom w:val="single" w:color="auto" w:sz="4" w:space="0"/>
              <w:right w:val="single" w:color="auto" w:sz="4" w:space="0"/>
            </w:tcBorders>
            <w:shd w:val="clear" w:color="auto" w:fill="auto"/>
            <w:noWrap/>
            <w:vAlign w:val="bottom"/>
            <w:hideMark/>
          </w:tcPr>
          <w:p w:rsidRPr="00C255F1" w:rsidR="00F12C18" w:rsidP="00BC3CF9" w:rsidRDefault="00F12C18" w14:paraId="7B58D7D1" w14:textId="77777777">
            <w:pPr>
              <w:autoSpaceDE/>
              <w:autoSpaceDN/>
              <w:adjustRightInd/>
              <w:jc w:val="right"/>
              <w:rPr>
                <w:rFonts w:cs="Arial"/>
              </w:rPr>
            </w:pPr>
            <w:r w:rsidRPr="00C255F1">
              <w:rPr>
                <w:rFonts w:cs="Arial"/>
              </w:rPr>
              <w:t>0.25</w:t>
            </w:r>
          </w:p>
        </w:tc>
        <w:tc>
          <w:tcPr>
            <w:tcW w:w="995" w:type="dxa"/>
            <w:tcBorders>
              <w:top w:val="nil"/>
              <w:left w:val="nil"/>
              <w:bottom w:val="single" w:color="auto" w:sz="4" w:space="0"/>
              <w:right w:val="single" w:color="auto" w:sz="4" w:space="0"/>
            </w:tcBorders>
            <w:shd w:val="clear" w:color="auto" w:fill="auto"/>
            <w:noWrap/>
            <w:vAlign w:val="bottom"/>
            <w:hideMark/>
          </w:tcPr>
          <w:p w:rsidRPr="00C255F1" w:rsidR="00F12C18" w:rsidRDefault="00342F77" w14:paraId="7B58D7D2" w14:textId="77777777">
            <w:pPr>
              <w:jc w:val="right"/>
              <w:rPr>
                <w:rFonts w:cs="Arial"/>
              </w:rPr>
            </w:pPr>
            <w:r>
              <w:rPr>
                <w:rFonts w:cs="Arial"/>
              </w:rPr>
              <w:t>1,050</w:t>
            </w:r>
          </w:p>
        </w:tc>
        <w:tc>
          <w:tcPr>
            <w:tcW w:w="1477" w:type="dxa"/>
            <w:tcBorders>
              <w:top w:val="nil"/>
              <w:left w:val="nil"/>
              <w:bottom w:val="single" w:color="auto" w:sz="4" w:space="0"/>
              <w:right w:val="single" w:color="auto" w:sz="4" w:space="0"/>
            </w:tcBorders>
            <w:shd w:val="clear" w:color="auto" w:fill="auto"/>
            <w:noWrap/>
            <w:vAlign w:val="bottom"/>
            <w:hideMark/>
          </w:tcPr>
          <w:p w:rsidRPr="00C255F1" w:rsidR="00F12C18" w:rsidP="00342F77" w:rsidRDefault="00F12C18" w14:paraId="7B58D7D3" w14:textId="77777777">
            <w:pPr>
              <w:jc w:val="right"/>
              <w:rPr>
                <w:rFonts w:cs="Arial"/>
              </w:rPr>
            </w:pPr>
            <w:r w:rsidRPr="00C255F1">
              <w:rPr>
                <w:rFonts w:cs="Arial"/>
              </w:rPr>
              <w:t>$</w:t>
            </w:r>
            <w:r w:rsidR="00342F77">
              <w:rPr>
                <w:rFonts w:cs="Arial"/>
              </w:rPr>
              <w:t>276,150</w:t>
            </w:r>
            <w:r w:rsidRPr="00C255F1">
              <w:rPr>
                <w:rFonts w:cs="Arial"/>
              </w:rPr>
              <w:t xml:space="preserve"> </w:t>
            </w:r>
          </w:p>
        </w:tc>
      </w:tr>
      <w:tr w:rsidRPr="00C255F1" w:rsidR="00C255F1" w:rsidTr="005B418F" w14:paraId="7B58D7DC" w14:textId="77777777">
        <w:trPr>
          <w:trHeight w:val="255"/>
        </w:trPr>
        <w:tc>
          <w:tcPr>
            <w:tcW w:w="2160" w:type="dxa"/>
            <w:tcBorders>
              <w:top w:val="nil"/>
              <w:left w:val="single" w:color="auto" w:sz="4" w:space="0"/>
              <w:bottom w:val="single" w:color="auto" w:sz="4" w:space="0"/>
              <w:right w:val="single" w:color="auto" w:sz="4" w:space="0"/>
            </w:tcBorders>
            <w:shd w:val="clear" w:color="auto" w:fill="auto"/>
            <w:noWrap/>
            <w:vAlign w:val="center"/>
            <w:hideMark/>
          </w:tcPr>
          <w:p w:rsidRPr="00C255F1" w:rsidR="00F12C18" w:rsidP="00813238" w:rsidRDefault="00F12C18" w14:paraId="7B58D7D5" w14:textId="77777777">
            <w:pPr>
              <w:autoSpaceDE/>
              <w:autoSpaceDN/>
              <w:adjustRightInd/>
              <w:rPr>
                <w:rFonts w:cs="Arial"/>
              </w:rPr>
            </w:pPr>
            <w:r w:rsidRPr="00C255F1">
              <w:rPr>
                <w:rFonts w:cs="Arial"/>
              </w:rPr>
              <w:t xml:space="preserve">Event notifications </w:t>
            </w:r>
          </w:p>
        </w:tc>
        <w:tc>
          <w:tcPr>
            <w:tcW w:w="1395"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D6" w14:textId="77777777">
            <w:pPr>
              <w:autoSpaceDE/>
              <w:autoSpaceDN/>
              <w:adjustRightInd/>
              <w:jc w:val="right"/>
              <w:rPr>
                <w:rFonts w:cs="Arial"/>
              </w:rPr>
            </w:pPr>
            <w:r w:rsidRPr="00C255F1">
              <w:rPr>
                <w:rFonts w:cs="Arial"/>
              </w:rPr>
              <w:t>3</w:t>
            </w:r>
          </w:p>
        </w:tc>
        <w:tc>
          <w:tcPr>
            <w:tcW w:w="1295"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D7" w14:textId="77777777">
            <w:pPr>
              <w:autoSpaceDE/>
              <w:autoSpaceDN/>
              <w:adjustRightInd/>
              <w:jc w:val="right"/>
              <w:rPr>
                <w:rFonts w:cs="Arial"/>
              </w:rPr>
            </w:pPr>
            <w:r w:rsidRPr="00C255F1">
              <w:rPr>
                <w:rFonts w:cs="Arial"/>
              </w:rPr>
              <w:t>1</w:t>
            </w:r>
          </w:p>
        </w:tc>
        <w:tc>
          <w:tcPr>
            <w:tcW w:w="1217"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D8" w14:textId="77777777">
            <w:pPr>
              <w:autoSpaceDE/>
              <w:autoSpaceDN/>
              <w:adjustRightInd/>
              <w:jc w:val="right"/>
              <w:rPr>
                <w:rFonts w:cs="Arial"/>
              </w:rPr>
            </w:pPr>
            <w:r w:rsidRPr="00C255F1">
              <w:rPr>
                <w:rFonts w:cs="Arial"/>
              </w:rPr>
              <w:t>3</w:t>
            </w:r>
          </w:p>
        </w:tc>
        <w:tc>
          <w:tcPr>
            <w:tcW w:w="1117"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D9" w14:textId="77777777">
            <w:pPr>
              <w:autoSpaceDE/>
              <w:autoSpaceDN/>
              <w:adjustRightInd/>
              <w:jc w:val="right"/>
              <w:rPr>
                <w:rFonts w:cs="Arial"/>
              </w:rPr>
            </w:pPr>
            <w:r w:rsidRPr="00C255F1">
              <w:rPr>
                <w:rFonts w:cs="Arial"/>
              </w:rPr>
              <w:t>0.08</w:t>
            </w:r>
          </w:p>
        </w:tc>
        <w:tc>
          <w:tcPr>
            <w:tcW w:w="995" w:type="dxa"/>
            <w:tcBorders>
              <w:top w:val="nil"/>
              <w:left w:val="nil"/>
              <w:bottom w:val="single" w:color="auto" w:sz="4" w:space="0"/>
              <w:right w:val="single" w:color="auto" w:sz="4" w:space="0"/>
            </w:tcBorders>
            <w:shd w:val="clear" w:color="auto" w:fill="auto"/>
            <w:noWrap/>
            <w:vAlign w:val="bottom"/>
            <w:hideMark/>
          </w:tcPr>
          <w:p w:rsidRPr="00C255F1" w:rsidR="00F12C18" w:rsidRDefault="00F12C18" w14:paraId="7B58D7DA" w14:textId="77777777">
            <w:pPr>
              <w:jc w:val="right"/>
              <w:rPr>
                <w:rFonts w:cs="Arial"/>
              </w:rPr>
            </w:pPr>
            <w:r w:rsidRPr="00C255F1">
              <w:rPr>
                <w:rFonts w:cs="Arial"/>
              </w:rPr>
              <w:t>0.2</w:t>
            </w:r>
            <w:r w:rsidRPr="00C255F1" w:rsidR="00EC48B2">
              <w:rPr>
                <w:rFonts w:cs="Arial"/>
              </w:rPr>
              <w:t>4</w:t>
            </w:r>
          </w:p>
        </w:tc>
        <w:tc>
          <w:tcPr>
            <w:tcW w:w="1477" w:type="dxa"/>
            <w:tcBorders>
              <w:top w:val="nil"/>
              <w:left w:val="nil"/>
              <w:bottom w:val="single" w:color="auto" w:sz="4" w:space="0"/>
              <w:right w:val="single" w:color="auto" w:sz="4" w:space="0"/>
            </w:tcBorders>
            <w:shd w:val="clear" w:color="auto" w:fill="auto"/>
            <w:noWrap/>
            <w:vAlign w:val="bottom"/>
            <w:hideMark/>
          </w:tcPr>
          <w:p w:rsidRPr="00C255F1" w:rsidR="00F12C18" w:rsidRDefault="00F12C18" w14:paraId="7B58D7DB" w14:textId="77777777">
            <w:pPr>
              <w:jc w:val="right"/>
              <w:rPr>
                <w:rFonts w:cs="Arial"/>
              </w:rPr>
            </w:pPr>
            <w:r w:rsidRPr="00C255F1">
              <w:rPr>
                <w:rFonts w:cs="Arial"/>
              </w:rPr>
              <w:t>$6</w:t>
            </w:r>
            <w:r w:rsidRPr="00C255F1" w:rsidR="00EC48B2">
              <w:rPr>
                <w:rFonts w:cs="Arial"/>
              </w:rPr>
              <w:t>7</w:t>
            </w:r>
            <w:r w:rsidRPr="00C255F1">
              <w:rPr>
                <w:rFonts w:cs="Arial"/>
              </w:rPr>
              <w:t xml:space="preserve"> </w:t>
            </w:r>
          </w:p>
        </w:tc>
      </w:tr>
      <w:tr w:rsidRPr="00C255F1" w:rsidR="00C255F1" w:rsidTr="005B418F" w14:paraId="7B58D7E4" w14:textId="77777777">
        <w:trPr>
          <w:trHeight w:val="510"/>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C255F1" w:rsidR="00F12C18" w:rsidP="00813238" w:rsidRDefault="00F12C18" w14:paraId="7B58D7DD" w14:textId="77777777">
            <w:pPr>
              <w:autoSpaceDE/>
              <w:autoSpaceDN/>
              <w:adjustRightInd/>
              <w:rPr>
                <w:rFonts w:cs="Arial"/>
              </w:rPr>
            </w:pPr>
            <w:r w:rsidRPr="00C255F1">
              <w:rPr>
                <w:rFonts w:cs="Arial"/>
              </w:rPr>
              <w:t>R</w:t>
            </w:r>
            <w:r w:rsidRPr="00C255F1">
              <w:rPr>
                <w:rFonts w:ascii="ArialMT" w:hAnsi="ArialMT" w:cs="Arial"/>
              </w:rPr>
              <w:t>eview of 30-day reports</w:t>
            </w:r>
          </w:p>
        </w:tc>
        <w:tc>
          <w:tcPr>
            <w:tcW w:w="1395"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DE" w14:textId="77777777">
            <w:pPr>
              <w:autoSpaceDE/>
              <w:autoSpaceDN/>
              <w:adjustRightInd/>
              <w:jc w:val="right"/>
              <w:rPr>
                <w:rFonts w:cs="Arial"/>
              </w:rPr>
            </w:pPr>
            <w:r w:rsidRPr="00C255F1">
              <w:rPr>
                <w:rFonts w:cs="Arial"/>
              </w:rPr>
              <w:t>3</w:t>
            </w:r>
          </w:p>
        </w:tc>
        <w:tc>
          <w:tcPr>
            <w:tcW w:w="1295"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DF" w14:textId="77777777">
            <w:pPr>
              <w:autoSpaceDE/>
              <w:autoSpaceDN/>
              <w:adjustRightInd/>
              <w:jc w:val="right"/>
              <w:rPr>
                <w:rFonts w:cs="Arial"/>
              </w:rPr>
            </w:pPr>
            <w:r w:rsidRPr="00C255F1">
              <w:rPr>
                <w:rFonts w:cs="Arial"/>
              </w:rPr>
              <w:t>1</w:t>
            </w:r>
          </w:p>
        </w:tc>
        <w:tc>
          <w:tcPr>
            <w:tcW w:w="1217"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E0" w14:textId="77777777">
            <w:pPr>
              <w:autoSpaceDE/>
              <w:autoSpaceDN/>
              <w:adjustRightInd/>
              <w:jc w:val="right"/>
              <w:rPr>
                <w:rFonts w:cs="Arial"/>
              </w:rPr>
            </w:pPr>
            <w:r w:rsidRPr="00C255F1">
              <w:rPr>
                <w:rFonts w:cs="Arial"/>
              </w:rPr>
              <w:t>3</w:t>
            </w:r>
          </w:p>
        </w:tc>
        <w:tc>
          <w:tcPr>
            <w:tcW w:w="1117"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E1" w14:textId="77777777">
            <w:pPr>
              <w:autoSpaceDE/>
              <w:autoSpaceDN/>
              <w:adjustRightInd/>
              <w:jc w:val="right"/>
              <w:rPr>
                <w:rFonts w:cs="Arial"/>
              </w:rPr>
            </w:pPr>
            <w:r w:rsidRPr="00C255F1">
              <w:rPr>
                <w:rFonts w:cs="Arial"/>
              </w:rPr>
              <w:t>1.00</w:t>
            </w:r>
          </w:p>
        </w:tc>
        <w:tc>
          <w:tcPr>
            <w:tcW w:w="995" w:type="dxa"/>
            <w:tcBorders>
              <w:top w:val="nil"/>
              <w:left w:val="nil"/>
              <w:bottom w:val="single" w:color="auto" w:sz="4" w:space="0"/>
              <w:right w:val="single" w:color="auto" w:sz="4" w:space="0"/>
            </w:tcBorders>
            <w:shd w:val="clear" w:color="auto" w:fill="auto"/>
            <w:noWrap/>
            <w:vAlign w:val="bottom"/>
            <w:hideMark/>
          </w:tcPr>
          <w:p w:rsidRPr="00C255F1" w:rsidR="00F12C18" w:rsidRDefault="00F12C18" w14:paraId="7B58D7E2" w14:textId="77777777">
            <w:pPr>
              <w:jc w:val="right"/>
              <w:rPr>
                <w:rFonts w:cs="Arial"/>
              </w:rPr>
            </w:pPr>
            <w:r w:rsidRPr="00C255F1">
              <w:rPr>
                <w:rFonts w:cs="Arial"/>
              </w:rPr>
              <w:t>3</w:t>
            </w:r>
          </w:p>
        </w:tc>
        <w:tc>
          <w:tcPr>
            <w:tcW w:w="1477" w:type="dxa"/>
            <w:tcBorders>
              <w:top w:val="nil"/>
              <w:left w:val="nil"/>
              <w:bottom w:val="single" w:color="auto" w:sz="4" w:space="0"/>
              <w:right w:val="single" w:color="auto" w:sz="4" w:space="0"/>
            </w:tcBorders>
            <w:shd w:val="clear" w:color="auto" w:fill="auto"/>
            <w:noWrap/>
            <w:vAlign w:val="bottom"/>
            <w:hideMark/>
          </w:tcPr>
          <w:p w:rsidRPr="00C255F1" w:rsidR="00F12C18" w:rsidRDefault="00F12C18" w14:paraId="7B58D7E3" w14:textId="77777777">
            <w:pPr>
              <w:jc w:val="right"/>
              <w:rPr>
                <w:rFonts w:cs="Arial"/>
              </w:rPr>
            </w:pPr>
            <w:r w:rsidRPr="00C255F1">
              <w:rPr>
                <w:rFonts w:cs="Arial"/>
              </w:rPr>
              <w:t>$8</w:t>
            </w:r>
            <w:r w:rsidRPr="00C255F1" w:rsidR="00EC48B2">
              <w:rPr>
                <w:rFonts w:cs="Arial"/>
              </w:rPr>
              <w:t>37</w:t>
            </w:r>
            <w:r w:rsidRPr="00C255F1">
              <w:rPr>
                <w:rFonts w:cs="Arial"/>
              </w:rPr>
              <w:t xml:space="preserve"> </w:t>
            </w:r>
          </w:p>
        </w:tc>
      </w:tr>
      <w:tr w:rsidRPr="00C255F1" w:rsidR="00C255F1" w:rsidTr="005B418F" w14:paraId="7B58D7EC" w14:textId="77777777">
        <w:trPr>
          <w:trHeight w:val="1020"/>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C255F1" w:rsidR="00F12C18" w:rsidP="00813238" w:rsidRDefault="00F12C18" w14:paraId="7B58D7E5" w14:textId="77777777">
            <w:pPr>
              <w:autoSpaceDE/>
              <w:autoSpaceDN/>
              <w:adjustRightInd/>
              <w:rPr>
                <w:rFonts w:ascii="ArialMT" w:hAnsi="ArialMT" w:cs="Arial"/>
              </w:rPr>
            </w:pPr>
            <w:r w:rsidRPr="00C255F1">
              <w:rPr>
                <w:rFonts w:ascii="ArialMT" w:hAnsi="ArialMT" w:cs="Arial"/>
              </w:rPr>
              <w:t xml:space="preserve">Handling advance, cancels and revisions notifications of shipments </w:t>
            </w:r>
          </w:p>
        </w:tc>
        <w:tc>
          <w:tcPr>
            <w:tcW w:w="1395"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E6" w14:textId="77777777">
            <w:pPr>
              <w:autoSpaceDE/>
              <w:autoSpaceDN/>
              <w:adjustRightInd/>
              <w:jc w:val="right"/>
              <w:rPr>
                <w:rFonts w:cs="Arial"/>
              </w:rPr>
            </w:pPr>
            <w:r w:rsidRPr="00C255F1">
              <w:rPr>
                <w:rFonts w:cs="Arial"/>
              </w:rPr>
              <w:t>382</w:t>
            </w:r>
          </w:p>
        </w:tc>
        <w:tc>
          <w:tcPr>
            <w:tcW w:w="1295"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E7" w14:textId="77777777">
            <w:pPr>
              <w:autoSpaceDE/>
              <w:autoSpaceDN/>
              <w:adjustRightInd/>
              <w:jc w:val="right"/>
              <w:rPr>
                <w:rFonts w:cs="Arial"/>
              </w:rPr>
            </w:pPr>
            <w:r w:rsidRPr="00C255F1">
              <w:rPr>
                <w:rFonts w:cs="Arial"/>
              </w:rPr>
              <w:t>1</w:t>
            </w:r>
          </w:p>
        </w:tc>
        <w:tc>
          <w:tcPr>
            <w:tcW w:w="1217"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E8" w14:textId="77777777">
            <w:pPr>
              <w:autoSpaceDE/>
              <w:autoSpaceDN/>
              <w:adjustRightInd/>
              <w:jc w:val="right"/>
              <w:rPr>
                <w:rFonts w:cs="Arial"/>
              </w:rPr>
            </w:pPr>
            <w:r w:rsidRPr="00C255F1">
              <w:rPr>
                <w:rFonts w:cs="Arial"/>
              </w:rPr>
              <w:t>382</w:t>
            </w:r>
          </w:p>
        </w:tc>
        <w:tc>
          <w:tcPr>
            <w:tcW w:w="1117" w:type="dxa"/>
            <w:tcBorders>
              <w:top w:val="nil"/>
              <w:left w:val="nil"/>
              <w:bottom w:val="single" w:color="auto" w:sz="4" w:space="0"/>
              <w:right w:val="single" w:color="auto" w:sz="4" w:space="0"/>
            </w:tcBorders>
            <w:shd w:val="clear" w:color="auto" w:fill="auto"/>
            <w:noWrap/>
            <w:vAlign w:val="bottom"/>
            <w:hideMark/>
          </w:tcPr>
          <w:p w:rsidRPr="00C255F1" w:rsidR="00F12C18" w:rsidP="009F6E2A" w:rsidRDefault="00F12C18" w14:paraId="7B58D7E9" w14:textId="77777777">
            <w:pPr>
              <w:autoSpaceDE/>
              <w:autoSpaceDN/>
              <w:adjustRightInd/>
              <w:jc w:val="right"/>
              <w:rPr>
                <w:rFonts w:cs="Arial"/>
              </w:rPr>
            </w:pPr>
            <w:r w:rsidRPr="00C255F1">
              <w:rPr>
                <w:rFonts w:cs="Arial"/>
              </w:rPr>
              <w:t>0.05</w:t>
            </w:r>
          </w:p>
        </w:tc>
        <w:tc>
          <w:tcPr>
            <w:tcW w:w="995" w:type="dxa"/>
            <w:tcBorders>
              <w:top w:val="nil"/>
              <w:left w:val="nil"/>
              <w:bottom w:val="single" w:color="auto" w:sz="4" w:space="0"/>
              <w:right w:val="single" w:color="auto" w:sz="4" w:space="0"/>
            </w:tcBorders>
            <w:shd w:val="clear" w:color="auto" w:fill="auto"/>
            <w:noWrap/>
            <w:vAlign w:val="bottom"/>
            <w:hideMark/>
          </w:tcPr>
          <w:p w:rsidRPr="00C255F1" w:rsidR="00F12C18" w:rsidRDefault="00F12C18" w14:paraId="7B58D7EA" w14:textId="77777777">
            <w:pPr>
              <w:jc w:val="right"/>
              <w:rPr>
                <w:rFonts w:cs="Arial"/>
              </w:rPr>
            </w:pPr>
            <w:r w:rsidRPr="00C255F1">
              <w:rPr>
                <w:rFonts w:cs="Arial"/>
              </w:rPr>
              <w:t>19.1</w:t>
            </w:r>
          </w:p>
        </w:tc>
        <w:tc>
          <w:tcPr>
            <w:tcW w:w="1477" w:type="dxa"/>
            <w:tcBorders>
              <w:top w:val="nil"/>
              <w:left w:val="nil"/>
              <w:bottom w:val="single" w:color="auto" w:sz="4" w:space="0"/>
              <w:right w:val="single" w:color="auto" w:sz="4" w:space="0"/>
            </w:tcBorders>
            <w:shd w:val="clear" w:color="auto" w:fill="auto"/>
            <w:noWrap/>
            <w:vAlign w:val="bottom"/>
            <w:hideMark/>
          </w:tcPr>
          <w:p w:rsidRPr="00C255F1" w:rsidR="00F12C18" w:rsidP="00F70BFC" w:rsidRDefault="00F12C18" w14:paraId="7B58D7EB" w14:textId="77777777">
            <w:pPr>
              <w:jc w:val="right"/>
              <w:rPr>
                <w:rFonts w:cs="Arial"/>
              </w:rPr>
            </w:pPr>
            <w:r w:rsidRPr="00C255F1">
              <w:rPr>
                <w:rFonts w:cs="Arial"/>
              </w:rPr>
              <w:t>$5,</w:t>
            </w:r>
            <w:r w:rsidRPr="00C255F1" w:rsidR="00F70BFC">
              <w:rPr>
                <w:rFonts w:cs="Arial"/>
              </w:rPr>
              <w:t>329</w:t>
            </w:r>
            <w:r w:rsidRPr="00C255F1">
              <w:rPr>
                <w:rFonts w:cs="Arial"/>
              </w:rPr>
              <w:t xml:space="preserve"> </w:t>
            </w:r>
          </w:p>
        </w:tc>
      </w:tr>
      <w:tr w:rsidRPr="00C255F1" w:rsidR="00B77C78" w:rsidTr="005B418F" w14:paraId="7B58D7F4" w14:textId="77777777">
        <w:trPr>
          <w:trHeight w:val="413"/>
        </w:trPr>
        <w:tc>
          <w:tcPr>
            <w:tcW w:w="7184" w:type="dxa"/>
            <w:gridSpan w:val="5"/>
            <w:tcBorders>
              <w:top w:val="nil"/>
              <w:left w:val="single" w:color="auto" w:sz="4" w:space="0"/>
              <w:bottom w:val="single" w:color="auto" w:sz="4" w:space="0"/>
              <w:right w:val="single" w:color="auto" w:sz="4" w:space="0"/>
            </w:tcBorders>
            <w:shd w:val="clear" w:color="auto" w:fill="auto"/>
            <w:vAlign w:val="center"/>
            <w:hideMark/>
          </w:tcPr>
          <w:p w:rsidRPr="00C255F1" w:rsidR="00B77C78" w:rsidP="00813238" w:rsidRDefault="00B77C78" w14:paraId="7B58D7F1" w14:textId="32860CB4">
            <w:pPr>
              <w:autoSpaceDE/>
              <w:autoSpaceDN/>
              <w:adjustRightInd/>
              <w:rPr>
                <w:rFonts w:cs="Arial"/>
              </w:rPr>
            </w:pPr>
            <w:r w:rsidRPr="00C255F1">
              <w:rPr>
                <w:rFonts w:cs="Arial"/>
              </w:rPr>
              <w:t>Total Annual Cost</w:t>
            </w:r>
          </w:p>
        </w:tc>
        <w:tc>
          <w:tcPr>
            <w:tcW w:w="995" w:type="dxa"/>
            <w:tcBorders>
              <w:top w:val="nil"/>
              <w:left w:val="nil"/>
              <w:bottom w:val="single" w:color="auto" w:sz="4" w:space="0"/>
              <w:right w:val="single" w:color="auto" w:sz="4" w:space="0"/>
            </w:tcBorders>
            <w:shd w:val="clear" w:color="auto" w:fill="auto"/>
            <w:noWrap/>
            <w:vAlign w:val="center"/>
            <w:hideMark/>
          </w:tcPr>
          <w:p w:rsidRPr="00C255F1" w:rsidR="00B77C78" w:rsidP="005B418F" w:rsidRDefault="00B77C78" w14:paraId="7B58D7F2" w14:textId="77777777">
            <w:pPr>
              <w:rPr>
                <w:rFonts w:cs="Arial"/>
              </w:rPr>
            </w:pPr>
            <w:r>
              <w:rPr>
                <w:rFonts w:cs="Arial"/>
              </w:rPr>
              <w:t>1,072.34</w:t>
            </w:r>
          </w:p>
        </w:tc>
        <w:tc>
          <w:tcPr>
            <w:tcW w:w="1477" w:type="dxa"/>
            <w:tcBorders>
              <w:top w:val="nil"/>
              <w:left w:val="nil"/>
              <w:bottom w:val="single" w:color="auto" w:sz="4" w:space="0"/>
              <w:right w:val="single" w:color="auto" w:sz="4" w:space="0"/>
            </w:tcBorders>
            <w:shd w:val="clear" w:color="auto" w:fill="auto"/>
            <w:noWrap/>
            <w:vAlign w:val="center"/>
            <w:hideMark/>
          </w:tcPr>
          <w:p w:rsidRPr="00C255F1" w:rsidR="00B77C78" w:rsidP="005B418F" w:rsidRDefault="00B77C78" w14:paraId="7B58D7F3" w14:textId="77777777">
            <w:pPr>
              <w:rPr>
                <w:rFonts w:cs="Arial"/>
              </w:rPr>
            </w:pPr>
            <w:r w:rsidRPr="00C255F1">
              <w:rPr>
                <w:rFonts w:cs="Arial"/>
              </w:rPr>
              <w:t>$</w:t>
            </w:r>
            <w:r>
              <w:rPr>
                <w:rFonts w:cs="Arial"/>
              </w:rPr>
              <w:t>282,383</w:t>
            </w:r>
          </w:p>
        </w:tc>
      </w:tr>
    </w:tbl>
    <w:p w:rsidRPr="00C255F1" w:rsidR="00F130F6" w:rsidP="00E9681E" w:rsidRDefault="00F130F6" w14:paraId="7B58D7F5" w14:textId="77777777">
      <w:pPr>
        <w:tabs>
          <w:tab w:val="left" w:pos="660"/>
          <w:tab w:val="left" w:pos="720"/>
          <w:tab w:val="left" w:pos="770"/>
          <w:tab w:val="left" w:pos="7200"/>
          <w:tab w:val="left" w:pos="8640"/>
        </w:tabs>
        <w:ind w:left="1430"/>
        <w:rPr>
          <w:sz w:val="22"/>
          <w:szCs w:val="22"/>
        </w:rPr>
      </w:pPr>
    </w:p>
    <w:p w:rsidRPr="006D2719" w:rsidR="00F25AFA" w:rsidP="00F25AFA" w:rsidRDefault="00F25AFA" w14:paraId="7B58D7F6" w14:textId="77777777">
      <w:pPr>
        <w:keepNext/>
        <w:keepLines/>
        <w:tabs>
          <w:tab w:val="left" w:pos="720"/>
          <w:tab w:val="left" w:pos="1440"/>
        </w:tabs>
        <w:ind w:left="1440" w:hanging="720"/>
        <w:rPr>
          <w:rFonts w:cs="Arial"/>
          <w:sz w:val="22"/>
          <w:szCs w:val="22"/>
        </w:rPr>
      </w:pPr>
      <w:r w:rsidRPr="006D2719">
        <w:rPr>
          <w:rFonts w:cs="Arial"/>
          <w:sz w:val="22"/>
          <w:szCs w:val="22"/>
        </w:rPr>
        <w:t>15.</w:t>
      </w:r>
      <w:r w:rsidRPr="006D2719">
        <w:rPr>
          <w:rFonts w:cs="Arial"/>
          <w:sz w:val="22"/>
          <w:szCs w:val="22"/>
        </w:rPr>
        <w:tab/>
      </w:r>
      <w:r w:rsidRPr="006D2719">
        <w:rPr>
          <w:rFonts w:cs="Arial"/>
          <w:sz w:val="22"/>
          <w:szCs w:val="22"/>
          <w:u w:val="single"/>
        </w:rPr>
        <w:t>Reasons for Change in Burden</w:t>
      </w:r>
    </w:p>
    <w:p w:rsidRPr="006D2719" w:rsidR="00F25AFA" w:rsidP="00F25AFA" w:rsidRDefault="00F25AFA" w14:paraId="7B58D7F7" w14:textId="77777777">
      <w:pPr>
        <w:keepNext/>
        <w:rPr>
          <w:rFonts w:cs="Arial"/>
          <w:sz w:val="22"/>
          <w:szCs w:val="22"/>
        </w:rPr>
      </w:pPr>
    </w:p>
    <w:p w:rsidR="0096507A" w:rsidP="00370B2C" w:rsidRDefault="00370B2C" w14:paraId="7B58D7F8" w14:textId="77777777">
      <w:pPr>
        <w:tabs>
          <w:tab w:val="left" w:pos="-1440"/>
        </w:tabs>
        <w:ind w:left="1440"/>
        <w:rPr>
          <w:rFonts w:cs="Arial"/>
          <w:sz w:val="22"/>
          <w:szCs w:val="22"/>
        </w:rPr>
      </w:pPr>
      <w:r w:rsidRPr="008D442C">
        <w:rPr>
          <w:rFonts w:cs="Arial"/>
          <w:sz w:val="22"/>
          <w:szCs w:val="22"/>
        </w:rPr>
        <w:t xml:space="preserve">The previous burden for this collection was </w:t>
      </w:r>
      <w:r w:rsidR="00D6165B">
        <w:rPr>
          <w:rFonts w:cs="Arial"/>
          <w:sz w:val="22"/>
          <w:szCs w:val="22"/>
        </w:rPr>
        <w:t>138,570.2</w:t>
      </w:r>
      <w:r>
        <w:rPr>
          <w:rFonts w:cs="Arial"/>
          <w:sz w:val="22"/>
          <w:szCs w:val="22"/>
        </w:rPr>
        <w:t xml:space="preserve"> </w:t>
      </w:r>
      <w:r w:rsidRPr="008D442C">
        <w:rPr>
          <w:rFonts w:cs="Arial"/>
          <w:sz w:val="22"/>
          <w:szCs w:val="22"/>
        </w:rPr>
        <w:t xml:space="preserve">hours and </w:t>
      </w:r>
      <w:r w:rsidR="00D6165B">
        <w:rPr>
          <w:rFonts w:cs="Arial"/>
          <w:sz w:val="22"/>
          <w:szCs w:val="22"/>
        </w:rPr>
        <w:t>103,98</w:t>
      </w:r>
      <w:r w:rsidR="0096507A">
        <w:rPr>
          <w:rFonts w:cs="Arial"/>
          <w:sz w:val="22"/>
          <w:szCs w:val="22"/>
        </w:rPr>
        <w:t>2.9</w:t>
      </w:r>
      <w:r w:rsidR="007B112D">
        <w:rPr>
          <w:rFonts w:cs="Arial"/>
          <w:sz w:val="22"/>
          <w:szCs w:val="22"/>
        </w:rPr>
        <w:t xml:space="preserve"> </w:t>
      </w:r>
      <w:r w:rsidRPr="008D442C">
        <w:rPr>
          <w:rFonts w:cs="Arial"/>
          <w:sz w:val="22"/>
          <w:szCs w:val="22"/>
        </w:rPr>
        <w:t xml:space="preserve">responses.  The burden is expected to </w:t>
      </w:r>
      <w:r w:rsidR="00B04AAB">
        <w:rPr>
          <w:rFonts w:cs="Arial"/>
          <w:sz w:val="22"/>
          <w:szCs w:val="22"/>
        </w:rPr>
        <w:t>change</w:t>
      </w:r>
      <w:r w:rsidRPr="008D442C">
        <w:rPr>
          <w:rFonts w:cs="Arial"/>
          <w:sz w:val="22"/>
          <w:szCs w:val="22"/>
        </w:rPr>
        <w:t xml:space="preserve"> to </w:t>
      </w:r>
      <w:r w:rsidR="003E554E">
        <w:rPr>
          <w:rFonts w:cs="Arial"/>
          <w:sz w:val="22"/>
          <w:szCs w:val="22"/>
        </w:rPr>
        <w:t>74,043</w:t>
      </w:r>
      <w:r w:rsidR="0089152E">
        <w:rPr>
          <w:rFonts w:cs="Arial"/>
          <w:sz w:val="22"/>
          <w:szCs w:val="22"/>
        </w:rPr>
        <w:t>.2</w:t>
      </w:r>
      <w:r w:rsidRPr="008D442C">
        <w:rPr>
          <w:rFonts w:cs="Arial"/>
          <w:sz w:val="22"/>
          <w:szCs w:val="22"/>
        </w:rPr>
        <w:t xml:space="preserve"> hours and </w:t>
      </w:r>
      <w:r w:rsidR="0089152E">
        <w:rPr>
          <w:rFonts w:cs="Arial"/>
          <w:sz w:val="22"/>
          <w:szCs w:val="22"/>
        </w:rPr>
        <w:t>101,479.2</w:t>
      </w:r>
      <w:r w:rsidR="00FF3259">
        <w:rPr>
          <w:rFonts w:cs="Arial"/>
          <w:sz w:val="22"/>
          <w:szCs w:val="22"/>
        </w:rPr>
        <w:t xml:space="preserve"> responses (a decrease of </w:t>
      </w:r>
      <w:r w:rsidR="003E554E">
        <w:rPr>
          <w:rFonts w:cs="Arial"/>
          <w:sz w:val="22"/>
          <w:szCs w:val="22"/>
        </w:rPr>
        <w:t>64,527</w:t>
      </w:r>
      <w:r w:rsidR="0089152E">
        <w:rPr>
          <w:rFonts w:cs="Arial"/>
          <w:sz w:val="22"/>
          <w:szCs w:val="22"/>
        </w:rPr>
        <w:t xml:space="preserve"> </w:t>
      </w:r>
      <w:r w:rsidRPr="008D442C">
        <w:rPr>
          <w:rFonts w:cs="Arial"/>
          <w:sz w:val="22"/>
          <w:szCs w:val="22"/>
        </w:rPr>
        <w:t xml:space="preserve">hours and </w:t>
      </w:r>
      <w:r w:rsidR="0089152E">
        <w:rPr>
          <w:rFonts w:cs="Arial"/>
          <w:sz w:val="22"/>
          <w:szCs w:val="22"/>
        </w:rPr>
        <w:t xml:space="preserve">a decrease </w:t>
      </w:r>
      <w:r w:rsidR="006878C6">
        <w:rPr>
          <w:rFonts w:cs="Arial"/>
          <w:sz w:val="22"/>
          <w:szCs w:val="22"/>
        </w:rPr>
        <w:t xml:space="preserve">of </w:t>
      </w:r>
      <w:r w:rsidR="0089152E">
        <w:rPr>
          <w:rFonts w:cs="Arial"/>
          <w:sz w:val="22"/>
          <w:szCs w:val="22"/>
        </w:rPr>
        <w:t>2,503.</w:t>
      </w:r>
      <w:r w:rsidR="0096507A">
        <w:rPr>
          <w:rFonts w:cs="Arial"/>
          <w:sz w:val="22"/>
          <w:szCs w:val="22"/>
        </w:rPr>
        <w:t>7</w:t>
      </w:r>
      <w:r>
        <w:rPr>
          <w:rFonts w:cs="Arial"/>
          <w:sz w:val="22"/>
          <w:szCs w:val="22"/>
        </w:rPr>
        <w:t xml:space="preserve"> </w:t>
      </w:r>
      <w:r w:rsidRPr="008D442C">
        <w:rPr>
          <w:rFonts w:cs="Arial"/>
          <w:sz w:val="22"/>
          <w:szCs w:val="22"/>
        </w:rPr>
        <w:t xml:space="preserve">responses).  </w:t>
      </w:r>
    </w:p>
    <w:p w:rsidR="00813238" w:rsidP="00370B2C" w:rsidRDefault="00813238" w14:paraId="172C12E7" w14:textId="77777777">
      <w:pPr>
        <w:tabs>
          <w:tab w:val="left" w:pos="-1440"/>
        </w:tabs>
        <w:ind w:left="1440"/>
        <w:rPr>
          <w:rFonts w:cs="Arial"/>
          <w:sz w:val="22"/>
          <w:szCs w:val="22"/>
        </w:rPr>
      </w:pPr>
    </w:p>
    <w:p w:rsidRPr="005B418F" w:rsidR="0096507A" w:rsidP="005B418F" w:rsidRDefault="00813238" w14:paraId="7B58D7F9" w14:textId="0366BB4C">
      <w:pPr>
        <w:tabs>
          <w:tab w:val="left" w:pos="-1440"/>
        </w:tabs>
        <w:ind w:left="1440"/>
        <w:jc w:val="center"/>
        <w:rPr>
          <w:rFonts w:cs="Arial"/>
          <w:b/>
        </w:rPr>
      </w:pPr>
      <w:r w:rsidRPr="005B418F">
        <w:rPr>
          <w:rFonts w:cs="Arial"/>
          <w:b/>
        </w:rPr>
        <w:t>Table 4—Change in Burden by Source</w:t>
      </w:r>
    </w:p>
    <w:p w:rsidR="0096507A" w:rsidP="0096507A" w:rsidRDefault="008C49FC" w14:paraId="7B58D7FA" w14:textId="77777777">
      <w:pPr>
        <w:tabs>
          <w:tab w:val="left" w:pos="-1440"/>
        </w:tabs>
        <w:ind w:left="720"/>
        <w:rPr>
          <w:rFonts w:cs="Arial"/>
          <w:sz w:val="22"/>
          <w:szCs w:val="22"/>
        </w:rPr>
      </w:pPr>
      <w:r w:rsidRPr="00935BB8">
        <w:rPr>
          <w:noProof/>
        </w:rPr>
        <w:drawing>
          <wp:inline distT="0" distB="0" distL="0" distR="0" wp14:anchorId="7B58D8AB" wp14:editId="7B58D8AC">
            <wp:extent cx="5935980" cy="9067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906780"/>
                    </a:xfrm>
                    <a:prstGeom prst="rect">
                      <a:avLst/>
                    </a:prstGeom>
                    <a:noFill/>
                    <a:ln>
                      <a:noFill/>
                    </a:ln>
                  </pic:spPr>
                </pic:pic>
              </a:graphicData>
            </a:graphic>
          </wp:inline>
        </w:drawing>
      </w:r>
    </w:p>
    <w:p w:rsidR="0096507A" w:rsidP="00370B2C" w:rsidRDefault="0096507A" w14:paraId="7B58D7FB" w14:textId="77777777">
      <w:pPr>
        <w:tabs>
          <w:tab w:val="left" w:pos="-1440"/>
        </w:tabs>
        <w:ind w:left="1440"/>
        <w:rPr>
          <w:rFonts w:cs="Arial"/>
          <w:sz w:val="22"/>
          <w:szCs w:val="22"/>
        </w:rPr>
      </w:pPr>
    </w:p>
    <w:p w:rsidRPr="008D442C" w:rsidR="00370B2C" w:rsidP="00370B2C" w:rsidRDefault="00370B2C" w14:paraId="7B58D7FC" w14:textId="1E3BB8CF">
      <w:pPr>
        <w:tabs>
          <w:tab w:val="left" w:pos="-1440"/>
        </w:tabs>
        <w:ind w:left="1440"/>
        <w:rPr>
          <w:rFonts w:cs="Arial"/>
          <w:sz w:val="22"/>
          <w:szCs w:val="22"/>
        </w:rPr>
      </w:pPr>
      <w:r w:rsidRPr="008D442C">
        <w:rPr>
          <w:rFonts w:cs="Arial"/>
          <w:sz w:val="22"/>
          <w:szCs w:val="22"/>
        </w:rPr>
        <w:t xml:space="preserve">The estimated burden has </w:t>
      </w:r>
      <w:r w:rsidR="00935BB8">
        <w:rPr>
          <w:rFonts w:cs="Arial"/>
          <w:sz w:val="22"/>
          <w:szCs w:val="22"/>
        </w:rPr>
        <w:t xml:space="preserve">decreased </w:t>
      </w:r>
      <w:r w:rsidRPr="008D442C">
        <w:rPr>
          <w:rFonts w:cs="Arial"/>
          <w:sz w:val="22"/>
          <w:szCs w:val="22"/>
        </w:rPr>
        <w:t xml:space="preserve">for </w:t>
      </w:r>
      <w:r w:rsidR="00935BB8">
        <w:rPr>
          <w:rFonts w:cs="Arial"/>
          <w:sz w:val="22"/>
          <w:szCs w:val="22"/>
        </w:rPr>
        <w:t xml:space="preserve">two main </w:t>
      </w:r>
      <w:r w:rsidRPr="008D442C">
        <w:rPr>
          <w:rFonts w:cs="Arial"/>
          <w:sz w:val="22"/>
          <w:szCs w:val="22"/>
        </w:rPr>
        <w:t>reasons:</w:t>
      </w:r>
    </w:p>
    <w:p w:rsidRPr="008D442C" w:rsidR="00370B2C" w:rsidP="00370B2C" w:rsidRDefault="00370B2C" w14:paraId="7B58D7FD" w14:textId="77777777">
      <w:pPr>
        <w:tabs>
          <w:tab w:val="left" w:pos="-1440"/>
        </w:tabs>
        <w:ind w:left="1440"/>
        <w:rPr>
          <w:rFonts w:cs="Arial"/>
          <w:sz w:val="22"/>
          <w:szCs w:val="22"/>
        </w:rPr>
      </w:pPr>
    </w:p>
    <w:p w:rsidR="00980B2A" w:rsidP="00935BB8" w:rsidRDefault="00935BB8" w14:paraId="7B58D7FE" w14:textId="4AA4CF01">
      <w:pPr>
        <w:widowControl w:val="0"/>
        <w:numPr>
          <w:ilvl w:val="0"/>
          <w:numId w:val="18"/>
        </w:numPr>
        <w:tabs>
          <w:tab w:val="left" w:pos="-1440"/>
        </w:tabs>
        <w:rPr>
          <w:rFonts w:cs="Arial"/>
          <w:sz w:val="22"/>
          <w:szCs w:val="22"/>
        </w:rPr>
      </w:pPr>
      <w:r w:rsidRPr="009D5560">
        <w:rPr>
          <w:rFonts w:cs="Arial"/>
          <w:sz w:val="22"/>
          <w:szCs w:val="22"/>
        </w:rPr>
        <w:t>The requirements in 10 CFR Part 37 were added to NRC’</w:t>
      </w:r>
      <w:r w:rsidR="005E0E77">
        <w:rPr>
          <w:rFonts w:cs="Arial"/>
          <w:sz w:val="22"/>
          <w:szCs w:val="22"/>
        </w:rPr>
        <w:t xml:space="preserve">s regulations in 2013 and included </w:t>
      </w:r>
      <w:r w:rsidRPr="009D5560">
        <w:rPr>
          <w:rFonts w:cs="Arial"/>
          <w:sz w:val="22"/>
          <w:szCs w:val="22"/>
        </w:rPr>
        <w:t>a number of one-t</w:t>
      </w:r>
      <w:r w:rsidRPr="00935BB8">
        <w:rPr>
          <w:rFonts w:cs="Arial"/>
          <w:sz w:val="22"/>
          <w:szCs w:val="22"/>
        </w:rPr>
        <w:t>ime implementation requirements, such as one-</w:t>
      </w:r>
      <w:r w:rsidRPr="00AD079B">
        <w:rPr>
          <w:rFonts w:cs="Arial"/>
          <w:sz w:val="22"/>
          <w:szCs w:val="22"/>
        </w:rPr>
        <w:t xml:space="preserve">time </w:t>
      </w:r>
      <w:r w:rsidR="005E0E77">
        <w:rPr>
          <w:rFonts w:cs="Arial"/>
          <w:sz w:val="22"/>
          <w:szCs w:val="22"/>
        </w:rPr>
        <w:t xml:space="preserve">burdens </w:t>
      </w:r>
      <w:r w:rsidRPr="00AD079B">
        <w:rPr>
          <w:rFonts w:cs="Arial"/>
          <w:sz w:val="22"/>
          <w:szCs w:val="22"/>
        </w:rPr>
        <w:t>to develop access authorization procedures and security procedures</w:t>
      </w:r>
      <w:r>
        <w:rPr>
          <w:rFonts w:cs="Arial"/>
          <w:sz w:val="22"/>
          <w:szCs w:val="22"/>
        </w:rPr>
        <w:t xml:space="preserve">.  </w:t>
      </w:r>
      <w:r w:rsidRPr="009D5560">
        <w:rPr>
          <w:rFonts w:cs="Arial"/>
          <w:sz w:val="22"/>
          <w:szCs w:val="22"/>
        </w:rPr>
        <w:t xml:space="preserve">Now that both the NRC and Agreement State licensees have implemented </w:t>
      </w:r>
      <w:r>
        <w:rPr>
          <w:rFonts w:cs="Arial"/>
          <w:sz w:val="22"/>
          <w:szCs w:val="22"/>
        </w:rPr>
        <w:t>the requirements of</w:t>
      </w:r>
      <w:r w:rsidR="00813238">
        <w:rPr>
          <w:rFonts w:cs="Arial"/>
          <w:sz w:val="22"/>
          <w:szCs w:val="22"/>
        </w:rPr>
        <w:t xml:space="preserve"> the</w:t>
      </w:r>
      <w:r>
        <w:rPr>
          <w:rFonts w:cs="Arial"/>
          <w:sz w:val="22"/>
          <w:szCs w:val="22"/>
        </w:rPr>
        <w:t xml:space="preserve"> final rule, </w:t>
      </w:r>
      <w:r w:rsidRPr="009D5560">
        <w:rPr>
          <w:rFonts w:cs="Arial"/>
          <w:sz w:val="22"/>
          <w:szCs w:val="22"/>
        </w:rPr>
        <w:t>th</w:t>
      </w:r>
      <w:r w:rsidR="00980B2A">
        <w:rPr>
          <w:rFonts w:cs="Arial"/>
          <w:sz w:val="22"/>
          <w:szCs w:val="22"/>
        </w:rPr>
        <w:t>e one-time reporting and record</w:t>
      </w:r>
      <w:r w:rsidRPr="009D5560">
        <w:rPr>
          <w:rFonts w:cs="Arial"/>
          <w:sz w:val="22"/>
          <w:szCs w:val="22"/>
        </w:rPr>
        <w:t>keeping requirements</w:t>
      </w:r>
      <w:r>
        <w:rPr>
          <w:rFonts w:cs="Arial"/>
          <w:sz w:val="22"/>
          <w:szCs w:val="22"/>
        </w:rPr>
        <w:t xml:space="preserve"> are complete and the burden is no longer included in the clearance package.</w:t>
      </w:r>
      <w:r w:rsidR="005E0E77">
        <w:rPr>
          <w:rFonts w:cs="Arial"/>
          <w:sz w:val="22"/>
          <w:szCs w:val="22"/>
        </w:rPr>
        <w:t xml:space="preserve">  </w:t>
      </w:r>
    </w:p>
    <w:p w:rsidR="00980B2A" w:rsidP="0079446A" w:rsidRDefault="00980B2A" w14:paraId="7B58D7FF" w14:textId="77777777">
      <w:pPr>
        <w:widowControl w:val="0"/>
        <w:tabs>
          <w:tab w:val="left" w:pos="-1440"/>
        </w:tabs>
        <w:ind w:left="2160"/>
        <w:rPr>
          <w:rFonts w:cs="Arial"/>
          <w:sz w:val="22"/>
          <w:szCs w:val="22"/>
        </w:rPr>
      </w:pPr>
    </w:p>
    <w:p w:rsidR="00935BB8" w:rsidP="0079446A" w:rsidRDefault="00935BB8" w14:paraId="7B58D800" w14:textId="77777777">
      <w:pPr>
        <w:widowControl w:val="0"/>
        <w:tabs>
          <w:tab w:val="left" w:pos="-1440"/>
        </w:tabs>
        <w:ind w:left="2160"/>
        <w:rPr>
          <w:rFonts w:cs="Arial"/>
          <w:sz w:val="22"/>
          <w:szCs w:val="22"/>
        </w:rPr>
      </w:pPr>
      <w:r w:rsidRPr="00980B2A">
        <w:rPr>
          <w:rFonts w:cs="Arial"/>
          <w:sz w:val="22"/>
          <w:szCs w:val="22"/>
        </w:rPr>
        <w:t xml:space="preserve">The completion of one-time burden requirements resulted in a reduction of </w:t>
      </w:r>
      <w:r w:rsidRPr="00980B2A" w:rsidR="005E0E77">
        <w:rPr>
          <w:rFonts w:cs="Arial"/>
          <w:sz w:val="22"/>
          <w:szCs w:val="22"/>
        </w:rPr>
        <w:t>61</w:t>
      </w:r>
      <w:r w:rsidRPr="00980B2A">
        <w:rPr>
          <w:rFonts w:cs="Arial"/>
          <w:sz w:val="22"/>
          <w:szCs w:val="22"/>
        </w:rPr>
        <w:t>,600 hours annually</w:t>
      </w:r>
      <w:r w:rsidRPr="00980B2A" w:rsidR="005E0E77">
        <w:rPr>
          <w:rFonts w:cs="Arial"/>
          <w:sz w:val="22"/>
          <w:szCs w:val="22"/>
        </w:rPr>
        <w:t xml:space="preserve"> due to the large burdens associated with </w:t>
      </w:r>
      <w:r w:rsidRPr="00980B2A" w:rsidR="005E0E77">
        <w:rPr>
          <w:rFonts w:cs="Arial"/>
          <w:sz w:val="22"/>
          <w:szCs w:val="22"/>
        </w:rPr>
        <w:lastRenderedPageBreak/>
        <w:t xml:space="preserve">procedure development.  </w:t>
      </w:r>
      <w:r w:rsidRPr="00683ABA" w:rsidR="005E0E77">
        <w:rPr>
          <w:rFonts w:cs="Arial"/>
          <w:sz w:val="22"/>
          <w:szCs w:val="22"/>
        </w:rPr>
        <w:t xml:space="preserve">The burden to develop access authorization procedures was estimated to be </w:t>
      </w:r>
      <w:r w:rsidRPr="00683ABA" w:rsidR="00980B2A">
        <w:rPr>
          <w:rFonts w:cs="Arial"/>
          <w:sz w:val="22"/>
          <w:szCs w:val="22"/>
        </w:rPr>
        <w:t>20,000</w:t>
      </w:r>
      <w:r w:rsidRPr="00683ABA" w:rsidR="005E0E77">
        <w:rPr>
          <w:rFonts w:cs="Arial"/>
          <w:sz w:val="22"/>
          <w:szCs w:val="22"/>
        </w:rPr>
        <w:t xml:space="preserve"> hours annually in the last clearance period,</w:t>
      </w:r>
      <w:r w:rsidRPr="00683ABA" w:rsidR="00980B2A">
        <w:rPr>
          <w:rFonts w:cs="Arial"/>
          <w:sz w:val="22"/>
          <w:szCs w:val="22"/>
        </w:rPr>
        <w:t xml:space="preserve"> and the burden for security procedures was estimated to be 40,000 hours annually.  Other</w:t>
      </w:r>
      <w:r w:rsidRPr="001A0160" w:rsidR="005E0E77">
        <w:rPr>
          <w:rFonts w:cs="Arial"/>
          <w:sz w:val="22"/>
          <w:szCs w:val="22"/>
        </w:rPr>
        <w:t xml:space="preserve"> one-time reporting and third-party party disclosure burdens </w:t>
      </w:r>
      <w:r w:rsidRPr="00EE5240" w:rsidR="00980B2A">
        <w:rPr>
          <w:rFonts w:cs="Arial"/>
          <w:sz w:val="22"/>
          <w:szCs w:val="22"/>
        </w:rPr>
        <w:t>totaled</w:t>
      </w:r>
      <w:r w:rsidRPr="009471D8" w:rsidR="005E0E77">
        <w:rPr>
          <w:rFonts w:cs="Arial"/>
          <w:sz w:val="22"/>
          <w:szCs w:val="22"/>
        </w:rPr>
        <w:t xml:space="preserve"> 1,600 hours. </w:t>
      </w:r>
      <w:r w:rsidRPr="009471D8" w:rsidR="00980B2A">
        <w:rPr>
          <w:rFonts w:cs="Arial"/>
          <w:sz w:val="22"/>
          <w:szCs w:val="22"/>
        </w:rPr>
        <w:t xml:space="preserve"> </w:t>
      </w:r>
      <w:r w:rsidRPr="00980B2A" w:rsidR="00980B2A">
        <w:rPr>
          <w:rFonts w:cs="Arial"/>
          <w:sz w:val="22"/>
          <w:szCs w:val="22"/>
        </w:rPr>
        <w:t>C</w:t>
      </w:r>
      <w:r w:rsidRPr="00980B2A" w:rsidR="005E0E77">
        <w:rPr>
          <w:rFonts w:cs="Arial"/>
          <w:sz w:val="22"/>
          <w:szCs w:val="22"/>
        </w:rPr>
        <w:t xml:space="preserve">urrent </w:t>
      </w:r>
      <w:r w:rsidRPr="00980B2A" w:rsidR="00980B2A">
        <w:rPr>
          <w:rFonts w:cs="Arial"/>
          <w:sz w:val="22"/>
          <w:szCs w:val="22"/>
        </w:rPr>
        <w:t xml:space="preserve">recordkeeping </w:t>
      </w:r>
      <w:r w:rsidRPr="00980B2A" w:rsidR="005E0E77">
        <w:rPr>
          <w:rFonts w:cs="Arial"/>
          <w:sz w:val="22"/>
          <w:szCs w:val="22"/>
        </w:rPr>
        <w:t>burden estimates include time to maintain and update access authorization and security procedures, but the work to initially develop the procedures is complete.</w:t>
      </w:r>
    </w:p>
    <w:p w:rsidR="0079446A" w:rsidP="0079446A" w:rsidRDefault="0079446A" w14:paraId="7B58D801" w14:textId="77777777">
      <w:pPr>
        <w:widowControl w:val="0"/>
        <w:tabs>
          <w:tab w:val="left" w:pos="-1440"/>
        </w:tabs>
        <w:ind w:left="2160"/>
        <w:rPr>
          <w:rFonts w:cs="Arial"/>
          <w:sz w:val="22"/>
          <w:szCs w:val="22"/>
        </w:rPr>
      </w:pPr>
    </w:p>
    <w:p w:rsidRPr="009471D8" w:rsidR="0079446A" w:rsidP="0079446A" w:rsidRDefault="0079446A" w14:paraId="7B58D802" w14:textId="24467C06">
      <w:pPr>
        <w:widowControl w:val="0"/>
        <w:tabs>
          <w:tab w:val="left" w:pos="-1440"/>
          <w:tab w:val="left" w:pos="1800"/>
          <w:tab w:val="left" w:pos="2250"/>
        </w:tabs>
        <w:ind w:left="2160"/>
        <w:rPr>
          <w:rFonts w:cs="Arial"/>
          <w:sz w:val="22"/>
          <w:szCs w:val="22"/>
        </w:rPr>
      </w:pPr>
      <w:r>
        <w:rPr>
          <w:rFonts w:cs="Arial"/>
          <w:sz w:val="22"/>
          <w:szCs w:val="22"/>
        </w:rPr>
        <w:t>A</w:t>
      </w:r>
      <w:r w:rsidRPr="009471D8">
        <w:rPr>
          <w:rFonts w:cs="Arial"/>
          <w:sz w:val="22"/>
          <w:szCs w:val="22"/>
        </w:rPr>
        <w:t xml:space="preserve">lthough the recordkeeping burden has decreased, the number of recordkeeping responses </w:t>
      </w:r>
      <w:r>
        <w:rPr>
          <w:rFonts w:cs="Arial"/>
          <w:sz w:val="22"/>
          <w:szCs w:val="22"/>
        </w:rPr>
        <w:t xml:space="preserve">has increased due to </w:t>
      </w:r>
      <w:r w:rsidR="00813238">
        <w:rPr>
          <w:rFonts w:cs="Arial"/>
          <w:sz w:val="22"/>
          <w:szCs w:val="22"/>
        </w:rPr>
        <w:t xml:space="preserve">a </w:t>
      </w:r>
      <w:r>
        <w:rPr>
          <w:rFonts w:cs="Arial"/>
          <w:sz w:val="22"/>
          <w:szCs w:val="22"/>
        </w:rPr>
        <w:t xml:space="preserve">correction </w:t>
      </w:r>
      <w:r w:rsidR="00813238">
        <w:rPr>
          <w:rFonts w:cs="Arial"/>
          <w:sz w:val="22"/>
          <w:szCs w:val="22"/>
        </w:rPr>
        <w:t xml:space="preserve">in </w:t>
      </w:r>
      <w:r>
        <w:rPr>
          <w:rFonts w:cs="Arial"/>
          <w:sz w:val="22"/>
          <w:szCs w:val="22"/>
        </w:rPr>
        <w:t xml:space="preserve">the number of recordkeeping responses.  In the last renewal, the count of recordkeeping responses included only AS recordkeepers and did not include NRC licensee recordkeepers.  As a result, the count of recordkeeping responses was 1,200, but should have been 1,500 (1,200 AS recordkeepers plus 300 NRC licensee recordkeepers).  In this renewal, the number of recordkeeping responses correctly includes both NRC and AS recordkeepers for a total of 1,400 recordkeeping responses (1,140 AS licenses and 260 NRC licensees).  Note that although the number of </w:t>
      </w:r>
      <w:r w:rsidR="005B418F">
        <w:rPr>
          <w:rFonts w:cs="Arial"/>
          <w:sz w:val="22"/>
          <w:szCs w:val="22"/>
        </w:rPr>
        <w:t>recordkeeping</w:t>
      </w:r>
      <w:r>
        <w:rPr>
          <w:rFonts w:cs="Arial"/>
          <w:sz w:val="22"/>
          <w:szCs w:val="22"/>
        </w:rPr>
        <w:t xml:space="preserve"> responses did not include NRC licensees, the total recordkeeping burden (hours) correctly included both NRC and AS licensee burden.</w:t>
      </w:r>
    </w:p>
    <w:p w:rsidR="00935BB8" w:rsidP="0079446A" w:rsidRDefault="00935BB8" w14:paraId="7B58D803" w14:textId="77777777">
      <w:pPr>
        <w:widowControl w:val="0"/>
        <w:tabs>
          <w:tab w:val="left" w:pos="-1440"/>
        </w:tabs>
        <w:rPr>
          <w:rFonts w:cs="Arial"/>
          <w:sz w:val="22"/>
          <w:szCs w:val="22"/>
        </w:rPr>
      </w:pPr>
    </w:p>
    <w:p w:rsidR="009471D8" w:rsidP="009471D8" w:rsidRDefault="00370B2C" w14:paraId="7B58D804" w14:textId="77777777">
      <w:pPr>
        <w:widowControl w:val="0"/>
        <w:numPr>
          <w:ilvl w:val="0"/>
          <w:numId w:val="18"/>
        </w:numPr>
        <w:tabs>
          <w:tab w:val="left" w:pos="-1440"/>
        </w:tabs>
        <w:rPr>
          <w:rFonts w:cs="Arial"/>
          <w:sz w:val="22"/>
          <w:szCs w:val="22"/>
        </w:rPr>
      </w:pPr>
      <w:r w:rsidRPr="0089152E">
        <w:rPr>
          <w:rFonts w:cs="Arial"/>
          <w:sz w:val="22"/>
          <w:szCs w:val="22"/>
        </w:rPr>
        <w:t xml:space="preserve">The number of overall licensees required to comply with Part 37 requirements </w:t>
      </w:r>
      <w:r w:rsidRPr="0089152E" w:rsidR="0089152E">
        <w:rPr>
          <w:rFonts w:cs="Arial"/>
          <w:sz w:val="22"/>
          <w:szCs w:val="22"/>
        </w:rPr>
        <w:t xml:space="preserve">is estimated to be </w:t>
      </w:r>
      <w:r w:rsidRPr="0089152E" w:rsidR="006878C6">
        <w:rPr>
          <w:rFonts w:cs="Arial"/>
          <w:sz w:val="22"/>
          <w:szCs w:val="22"/>
        </w:rPr>
        <w:t>1,400 licensees</w:t>
      </w:r>
      <w:r w:rsidRPr="0089152E" w:rsidR="0089152E">
        <w:rPr>
          <w:rFonts w:cs="Arial"/>
          <w:sz w:val="22"/>
          <w:szCs w:val="22"/>
        </w:rPr>
        <w:t xml:space="preserve"> </w:t>
      </w:r>
      <w:r w:rsidR="0096507A">
        <w:rPr>
          <w:rFonts w:cs="Arial"/>
          <w:sz w:val="22"/>
          <w:szCs w:val="22"/>
        </w:rPr>
        <w:t xml:space="preserve">compared to an </w:t>
      </w:r>
      <w:r w:rsidRPr="0089152E" w:rsidR="0089152E">
        <w:rPr>
          <w:rFonts w:cs="Arial"/>
          <w:sz w:val="22"/>
          <w:szCs w:val="22"/>
        </w:rPr>
        <w:t>estimated</w:t>
      </w:r>
      <w:r w:rsidRPr="0089152E" w:rsidR="006878C6">
        <w:rPr>
          <w:rFonts w:cs="Arial"/>
          <w:sz w:val="22"/>
          <w:szCs w:val="22"/>
        </w:rPr>
        <w:t xml:space="preserve"> 1,500 licensees</w:t>
      </w:r>
      <w:r w:rsidR="0096507A">
        <w:rPr>
          <w:rFonts w:cs="Arial"/>
          <w:sz w:val="22"/>
          <w:szCs w:val="22"/>
        </w:rPr>
        <w:t xml:space="preserve"> in the last clearance period</w:t>
      </w:r>
      <w:r w:rsidRPr="0089152E">
        <w:rPr>
          <w:rFonts w:cs="Arial"/>
          <w:sz w:val="22"/>
          <w:szCs w:val="22"/>
        </w:rPr>
        <w:t xml:space="preserve">. </w:t>
      </w:r>
      <w:r w:rsidR="00035592">
        <w:rPr>
          <w:rFonts w:cs="Arial"/>
          <w:sz w:val="22"/>
          <w:szCs w:val="22"/>
        </w:rPr>
        <w:t xml:space="preserve"> </w:t>
      </w:r>
      <w:r w:rsidRPr="0089152E" w:rsidR="000B18C5">
        <w:rPr>
          <w:rFonts w:cs="Arial"/>
          <w:sz w:val="22"/>
          <w:szCs w:val="22"/>
        </w:rPr>
        <w:t xml:space="preserve">This </w:t>
      </w:r>
      <w:r w:rsidRPr="0089152E" w:rsidR="00C2142E">
        <w:rPr>
          <w:rFonts w:cs="Arial"/>
          <w:sz w:val="22"/>
          <w:szCs w:val="22"/>
        </w:rPr>
        <w:t xml:space="preserve">reflects </w:t>
      </w:r>
      <w:r w:rsidRPr="0089152E" w:rsidR="00FA4346">
        <w:rPr>
          <w:rFonts w:cs="Arial"/>
          <w:sz w:val="22"/>
          <w:szCs w:val="22"/>
        </w:rPr>
        <w:t>the current</w:t>
      </w:r>
      <w:r w:rsidRPr="0089152E" w:rsidR="00C2142E">
        <w:rPr>
          <w:rFonts w:cs="Arial"/>
          <w:sz w:val="22"/>
          <w:szCs w:val="22"/>
        </w:rPr>
        <w:t xml:space="preserve"> estimate </w:t>
      </w:r>
      <w:r w:rsidRPr="0089152E" w:rsidR="007B112D">
        <w:rPr>
          <w:rFonts w:cs="Arial"/>
          <w:sz w:val="22"/>
          <w:szCs w:val="22"/>
        </w:rPr>
        <w:t>of</w:t>
      </w:r>
      <w:r w:rsidRPr="0089152E" w:rsidR="00FA4346">
        <w:rPr>
          <w:rFonts w:cs="Arial"/>
          <w:sz w:val="22"/>
          <w:szCs w:val="22"/>
        </w:rPr>
        <w:t xml:space="preserve"> l</w:t>
      </w:r>
      <w:r w:rsidRPr="0089152E" w:rsidR="00C2142E">
        <w:rPr>
          <w:rFonts w:cs="Arial"/>
          <w:sz w:val="22"/>
          <w:szCs w:val="22"/>
        </w:rPr>
        <w:t xml:space="preserve">icensees </w:t>
      </w:r>
      <w:r w:rsidR="004C6CDA">
        <w:rPr>
          <w:rFonts w:cs="Arial"/>
          <w:sz w:val="22"/>
          <w:szCs w:val="22"/>
        </w:rPr>
        <w:t xml:space="preserve">based on staff knowledge of the industry </w:t>
      </w:r>
      <w:r w:rsidRPr="0089152E" w:rsidR="00C2142E">
        <w:rPr>
          <w:rFonts w:cs="Arial"/>
          <w:sz w:val="22"/>
          <w:szCs w:val="22"/>
        </w:rPr>
        <w:t>and takes into account licen</w:t>
      </w:r>
      <w:r w:rsidRPr="0089152E">
        <w:rPr>
          <w:rFonts w:cs="Arial"/>
          <w:sz w:val="22"/>
          <w:szCs w:val="22"/>
        </w:rPr>
        <w:t xml:space="preserve">sees with aggregated </w:t>
      </w:r>
      <w:r w:rsidRPr="0089152E" w:rsidR="0089152E">
        <w:rPr>
          <w:rFonts w:cs="Arial"/>
          <w:sz w:val="22"/>
          <w:szCs w:val="22"/>
        </w:rPr>
        <w:t>material that is comparable to Category 1 and C</w:t>
      </w:r>
      <w:r w:rsidRPr="0089152E">
        <w:rPr>
          <w:rFonts w:cs="Arial"/>
          <w:sz w:val="22"/>
          <w:szCs w:val="22"/>
        </w:rPr>
        <w:t>ategory 2 quantities.</w:t>
      </w:r>
      <w:r w:rsidRPr="0089152E" w:rsidR="00E05A29">
        <w:rPr>
          <w:rFonts w:cs="Arial"/>
          <w:sz w:val="22"/>
          <w:szCs w:val="22"/>
        </w:rPr>
        <w:t xml:space="preserve"> </w:t>
      </w:r>
      <w:r w:rsidR="00035592">
        <w:rPr>
          <w:rFonts w:cs="Arial"/>
          <w:sz w:val="22"/>
          <w:szCs w:val="22"/>
        </w:rPr>
        <w:t xml:space="preserve"> </w:t>
      </w:r>
      <w:r w:rsidR="0079446A">
        <w:rPr>
          <w:rFonts w:cs="Arial"/>
          <w:sz w:val="22"/>
          <w:szCs w:val="22"/>
        </w:rPr>
        <w:t>The decrease in the overall number of respondents to the information collection contributed to the decrease in the estimated annual burden for the collection.</w:t>
      </w:r>
    </w:p>
    <w:p w:rsidR="00980B2A" w:rsidP="00980B2A" w:rsidRDefault="00980B2A" w14:paraId="7B58D805" w14:textId="77777777">
      <w:pPr>
        <w:widowControl w:val="0"/>
        <w:tabs>
          <w:tab w:val="left" w:pos="-1440"/>
        </w:tabs>
        <w:ind w:left="1800"/>
        <w:rPr>
          <w:rFonts w:cs="Arial"/>
          <w:sz w:val="22"/>
          <w:szCs w:val="22"/>
        </w:rPr>
      </w:pPr>
    </w:p>
    <w:p w:rsidR="00C577C3" w:rsidP="00980B2A" w:rsidRDefault="00C577C3" w14:paraId="7B58D806" w14:textId="6E783CEE">
      <w:pPr>
        <w:widowControl w:val="0"/>
        <w:tabs>
          <w:tab w:val="left" w:pos="-1440"/>
        </w:tabs>
        <w:ind w:left="1800"/>
        <w:rPr>
          <w:rFonts w:cs="Arial"/>
          <w:sz w:val="22"/>
          <w:szCs w:val="22"/>
        </w:rPr>
      </w:pPr>
      <w:r w:rsidRPr="0048287D">
        <w:rPr>
          <w:rFonts w:cs="Arial"/>
          <w:sz w:val="22"/>
          <w:szCs w:val="22"/>
        </w:rPr>
        <w:t xml:space="preserve">In addition, the NRC staff have added the new </w:t>
      </w:r>
      <w:r w:rsidR="0048287D">
        <w:rPr>
          <w:rFonts w:cs="Arial"/>
          <w:sz w:val="22"/>
          <w:szCs w:val="22"/>
        </w:rPr>
        <w:t xml:space="preserve">NRC </w:t>
      </w:r>
      <w:r w:rsidRPr="0048287D" w:rsidR="0048287D">
        <w:rPr>
          <w:rFonts w:cs="Arial"/>
          <w:sz w:val="22"/>
          <w:szCs w:val="22"/>
        </w:rPr>
        <w:t>Form 755, "Notification to the NRC of Shipments of Category 1 Quantities of Radioactive Material"</w:t>
      </w:r>
      <w:r>
        <w:rPr>
          <w:rFonts w:cs="Arial"/>
          <w:sz w:val="22"/>
          <w:szCs w:val="22"/>
        </w:rPr>
        <w:t xml:space="preserve"> to this clearance for the purposes of fulfilling the requirements of 10 CFR 37.77</w:t>
      </w:r>
      <w:r w:rsidR="00452862">
        <w:rPr>
          <w:rFonts w:cs="Arial"/>
          <w:sz w:val="22"/>
          <w:szCs w:val="22"/>
        </w:rPr>
        <w:t>(a)&amp;</w:t>
      </w:r>
      <w:r>
        <w:rPr>
          <w:rFonts w:cs="Arial"/>
          <w:sz w:val="22"/>
          <w:szCs w:val="22"/>
        </w:rPr>
        <w:t>(b), under which licensees are required to provide advance notifica</w:t>
      </w:r>
      <w:r w:rsidR="004C6CDA">
        <w:rPr>
          <w:rFonts w:cs="Arial"/>
          <w:sz w:val="22"/>
          <w:szCs w:val="22"/>
        </w:rPr>
        <w:t xml:space="preserve">tion of shipments of category 1 quantities of radioactive </w:t>
      </w:r>
      <w:r>
        <w:rPr>
          <w:rFonts w:cs="Arial"/>
          <w:sz w:val="22"/>
          <w:szCs w:val="22"/>
        </w:rPr>
        <w:t>materials.  There is no additional burden for this form</w:t>
      </w:r>
      <w:r w:rsidR="00636A54">
        <w:rPr>
          <w:rFonts w:cs="Arial"/>
          <w:sz w:val="22"/>
          <w:szCs w:val="22"/>
        </w:rPr>
        <w:t>.  T</w:t>
      </w:r>
      <w:r>
        <w:rPr>
          <w:rFonts w:cs="Arial"/>
          <w:sz w:val="22"/>
          <w:szCs w:val="22"/>
        </w:rPr>
        <w:t xml:space="preserve">he NRC staff has developed the form to provide a standardized means for licensees to provide the </w:t>
      </w:r>
      <w:r w:rsidR="00636A54">
        <w:rPr>
          <w:rFonts w:cs="Arial"/>
          <w:sz w:val="22"/>
          <w:szCs w:val="22"/>
        </w:rPr>
        <w:t>information that is required under 37.77(a)&amp;(b)</w:t>
      </w:r>
      <w:r>
        <w:rPr>
          <w:rFonts w:cs="Arial"/>
          <w:sz w:val="22"/>
          <w:szCs w:val="22"/>
        </w:rPr>
        <w:t>.</w:t>
      </w:r>
      <w:r w:rsidR="001267E6">
        <w:rPr>
          <w:rFonts w:cs="Arial"/>
          <w:sz w:val="22"/>
          <w:szCs w:val="22"/>
        </w:rPr>
        <w:t xml:space="preserve">  The </w:t>
      </w:r>
      <w:r w:rsidR="001E5976">
        <w:rPr>
          <w:rFonts w:cs="Arial"/>
          <w:sz w:val="22"/>
          <w:szCs w:val="22"/>
        </w:rPr>
        <w:t>addition of this form does not increase</w:t>
      </w:r>
      <w:r w:rsidR="00A3369A">
        <w:rPr>
          <w:rFonts w:cs="Arial"/>
          <w:sz w:val="22"/>
          <w:szCs w:val="22"/>
        </w:rPr>
        <w:t xml:space="preserve"> or decrease</w:t>
      </w:r>
      <w:r w:rsidR="001E5976">
        <w:rPr>
          <w:rFonts w:cs="Arial"/>
          <w:sz w:val="22"/>
          <w:szCs w:val="22"/>
        </w:rPr>
        <w:t xml:space="preserve"> the burden for respondents</w:t>
      </w:r>
      <w:r w:rsidR="00F1434A">
        <w:rPr>
          <w:rFonts w:cs="Arial"/>
          <w:sz w:val="22"/>
          <w:szCs w:val="22"/>
        </w:rPr>
        <w:t xml:space="preserve">, as they were already required to submit information on advance notification of shipments of category 1 quantities or radioactive material.  Rather, the form gives them a </w:t>
      </w:r>
      <w:r w:rsidR="00F65EA9">
        <w:rPr>
          <w:rFonts w:cs="Arial"/>
          <w:sz w:val="22"/>
          <w:szCs w:val="22"/>
        </w:rPr>
        <w:t>standardized way to report the information if they choose to use it.</w:t>
      </w:r>
    </w:p>
    <w:p w:rsidR="00C577C3" w:rsidP="00980B2A" w:rsidRDefault="00C577C3" w14:paraId="7B58D807" w14:textId="77777777">
      <w:pPr>
        <w:widowControl w:val="0"/>
        <w:tabs>
          <w:tab w:val="left" w:pos="-1440"/>
        </w:tabs>
        <w:ind w:left="1800"/>
        <w:rPr>
          <w:rFonts w:cs="Arial"/>
          <w:sz w:val="22"/>
          <w:szCs w:val="22"/>
        </w:rPr>
      </w:pPr>
    </w:p>
    <w:p w:rsidRPr="00204987" w:rsidR="00370B2C" w:rsidP="00980B2A" w:rsidRDefault="00980B2A" w14:paraId="7B58D808" w14:textId="09B4A05C">
      <w:pPr>
        <w:widowControl w:val="0"/>
        <w:tabs>
          <w:tab w:val="left" w:pos="-1440"/>
        </w:tabs>
        <w:ind w:left="1800"/>
        <w:rPr>
          <w:rFonts w:cs="Arial"/>
          <w:sz w:val="22"/>
          <w:szCs w:val="22"/>
        </w:rPr>
      </w:pPr>
      <w:r>
        <w:rPr>
          <w:rFonts w:cs="Arial"/>
          <w:sz w:val="22"/>
          <w:szCs w:val="22"/>
        </w:rPr>
        <w:t xml:space="preserve">In addition, there has been a reduction in other costs to licensees.  </w:t>
      </w:r>
      <w:r w:rsidRPr="007E0850" w:rsidR="007E0850">
        <w:rPr>
          <w:rFonts w:cs="Arial"/>
          <w:sz w:val="22"/>
          <w:szCs w:val="22"/>
        </w:rPr>
        <w:t xml:space="preserve">Effective July 17, 2017, the fee for Criminal History/Fingerprinting transactions </w:t>
      </w:r>
      <w:r>
        <w:rPr>
          <w:rFonts w:cs="Arial"/>
          <w:sz w:val="22"/>
          <w:szCs w:val="22"/>
        </w:rPr>
        <w:t>wa</w:t>
      </w:r>
      <w:r w:rsidRPr="007E0850" w:rsidR="007E0850">
        <w:rPr>
          <w:rFonts w:cs="Arial"/>
          <w:sz w:val="22"/>
          <w:szCs w:val="22"/>
        </w:rPr>
        <w:t>s reduced to $10.00</w:t>
      </w:r>
      <w:r w:rsidR="00935BB8">
        <w:rPr>
          <w:rFonts w:cs="Arial"/>
          <w:sz w:val="22"/>
          <w:szCs w:val="22"/>
        </w:rPr>
        <w:t xml:space="preserve"> from $26.00 in the previous submission.</w:t>
      </w:r>
      <w:r>
        <w:rPr>
          <w:rFonts w:cs="Arial"/>
          <w:sz w:val="22"/>
          <w:szCs w:val="22"/>
        </w:rPr>
        <w:t xml:space="preserve">  </w:t>
      </w:r>
      <w:r w:rsidR="00DF33D8">
        <w:rPr>
          <w:rFonts w:cs="Arial"/>
          <w:sz w:val="22"/>
          <w:szCs w:val="22"/>
        </w:rPr>
        <w:t xml:space="preserve">The previous submission included $200,000 in one-time costs for 1,200 licensees to purchase filing cabinets.  This one-time cost is complete and not included in </w:t>
      </w:r>
      <w:r w:rsidR="00DF33D8">
        <w:rPr>
          <w:rFonts w:cs="Arial"/>
          <w:sz w:val="22"/>
          <w:szCs w:val="22"/>
        </w:rPr>
        <w:lastRenderedPageBreak/>
        <w:t xml:space="preserve">the current estimates.  </w:t>
      </w:r>
      <w:r>
        <w:rPr>
          <w:rFonts w:cs="Arial"/>
          <w:sz w:val="22"/>
          <w:szCs w:val="22"/>
        </w:rPr>
        <w:t xml:space="preserve">The estimated burden cost has decreased in part because </w:t>
      </w:r>
      <w:r w:rsidRPr="00204987" w:rsidR="00370B2C">
        <w:rPr>
          <w:rFonts w:cs="Arial"/>
          <w:sz w:val="22"/>
          <w:szCs w:val="22"/>
        </w:rPr>
        <w:t xml:space="preserve">the fee rate has </w:t>
      </w:r>
      <w:r w:rsidR="001E06B9">
        <w:rPr>
          <w:rFonts w:cs="Arial"/>
          <w:sz w:val="22"/>
          <w:szCs w:val="22"/>
        </w:rPr>
        <w:t xml:space="preserve">decreased </w:t>
      </w:r>
      <w:r w:rsidRPr="00204987" w:rsidR="00370B2C">
        <w:rPr>
          <w:rFonts w:cs="Arial"/>
          <w:sz w:val="22"/>
          <w:szCs w:val="22"/>
        </w:rPr>
        <w:t>from $27</w:t>
      </w:r>
      <w:r w:rsidR="00F93F6F">
        <w:rPr>
          <w:rFonts w:cs="Arial"/>
          <w:sz w:val="22"/>
          <w:szCs w:val="22"/>
        </w:rPr>
        <w:t>9</w:t>
      </w:r>
      <w:r w:rsidRPr="00204987" w:rsidR="00370B2C">
        <w:rPr>
          <w:rFonts w:cs="Arial"/>
          <w:sz w:val="22"/>
          <w:szCs w:val="22"/>
        </w:rPr>
        <w:t xml:space="preserve"> to $</w:t>
      </w:r>
      <w:r w:rsidRPr="00204987" w:rsidR="00F93F6F">
        <w:rPr>
          <w:rFonts w:cs="Arial"/>
          <w:sz w:val="22"/>
          <w:szCs w:val="22"/>
        </w:rPr>
        <w:t>2</w:t>
      </w:r>
      <w:r w:rsidR="00F93F6F">
        <w:rPr>
          <w:rFonts w:cs="Arial"/>
          <w:sz w:val="22"/>
          <w:szCs w:val="22"/>
        </w:rPr>
        <w:t>63</w:t>
      </w:r>
      <w:r w:rsidRPr="00204987" w:rsidR="00F93F6F">
        <w:rPr>
          <w:rFonts w:cs="Arial"/>
          <w:sz w:val="22"/>
          <w:szCs w:val="22"/>
        </w:rPr>
        <w:t xml:space="preserve"> </w:t>
      </w:r>
      <w:r w:rsidRPr="00204987" w:rsidR="00370B2C">
        <w:rPr>
          <w:rFonts w:cs="Arial"/>
          <w:sz w:val="22"/>
          <w:szCs w:val="22"/>
        </w:rPr>
        <w:t>per hour.</w:t>
      </w:r>
    </w:p>
    <w:p w:rsidR="001D3B5A" w:rsidRDefault="001D3B5A" w14:paraId="7B58D809" w14:textId="7767657B">
      <w:pPr>
        <w:autoSpaceDE/>
        <w:autoSpaceDN/>
        <w:adjustRightInd/>
        <w:rPr>
          <w:rFonts w:cs="Arial"/>
          <w:sz w:val="22"/>
          <w:szCs w:val="22"/>
        </w:rPr>
      </w:pPr>
    </w:p>
    <w:p w:rsidRPr="006D2719" w:rsidR="00F25AFA" w:rsidP="00F25AFA" w:rsidRDefault="00F25AFA" w14:paraId="7B58D80A" w14:textId="77777777">
      <w:pPr>
        <w:tabs>
          <w:tab w:val="left" w:pos="720"/>
          <w:tab w:val="left" w:pos="1440"/>
        </w:tabs>
        <w:ind w:left="1440" w:hanging="720"/>
        <w:rPr>
          <w:rFonts w:cs="Arial"/>
          <w:sz w:val="22"/>
          <w:szCs w:val="22"/>
        </w:rPr>
      </w:pPr>
      <w:r w:rsidRPr="006D2719">
        <w:rPr>
          <w:rFonts w:cs="Arial"/>
          <w:sz w:val="22"/>
          <w:szCs w:val="22"/>
        </w:rPr>
        <w:t>16.</w:t>
      </w:r>
      <w:r w:rsidRPr="006D2719">
        <w:rPr>
          <w:rFonts w:cs="Arial"/>
          <w:sz w:val="22"/>
          <w:szCs w:val="22"/>
        </w:rPr>
        <w:tab/>
      </w:r>
      <w:r w:rsidRPr="006D2719">
        <w:rPr>
          <w:rFonts w:cs="Arial"/>
          <w:sz w:val="22"/>
          <w:szCs w:val="22"/>
          <w:u w:val="single"/>
        </w:rPr>
        <w:t>Publication for Statistical Use</w:t>
      </w:r>
    </w:p>
    <w:p w:rsidRPr="006D2719" w:rsidR="00F25AFA" w:rsidP="00F25AFA" w:rsidRDefault="00F25AFA" w14:paraId="7B58D80B" w14:textId="77777777">
      <w:pPr>
        <w:rPr>
          <w:rFonts w:cs="Arial"/>
          <w:sz w:val="22"/>
          <w:szCs w:val="22"/>
        </w:rPr>
      </w:pPr>
    </w:p>
    <w:p w:rsidR="00F25AFA" w:rsidP="00F25AFA" w:rsidRDefault="00F25AFA" w14:paraId="7B58D80C" w14:textId="77777777">
      <w:pPr>
        <w:ind w:left="1440"/>
        <w:rPr>
          <w:rFonts w:cs="Arial"/>
          <w:sz w:val="22"/>
          <w:szCs w:val="22"/>
        </w:rPr>
      </w:pPr>
      <w:r w:rsidRPr="006D2719">
        <w:rPr>
          <w:rFonts w:cs="Arial"/>
          <w:sz w:val="22"/>
          <w:szCs w:val="22"/>
        </w:rPr>
        <w:t xml:space="preserve">The information requested will not be published for statistical use. </w:t>
      </w:r>
    </w:p>
    <w:p w:rsidRPr="006D2719" w:rsidR="0065799C" w:rsidP="00F25AFA" w:rsidRDefault="0065799C" w14:paraId="7B58D80D" w14:textId="77777777">
      <w:pPr>
        <w:ind w:left="1440"/>
        <w:rPr>
          <w:rFonts w:cs="Arial"/>
          <w:sz w:val="22"/>
          <w:szCs w:val="22"/>
        </w:rPr>
      </w:pPr>
    </w:p>
    <w:p w:rsidRPr="006D2719" w:rsidR="00F25AFA" w:rsidP="00F25AFA" w:rsidRDefault="00F25AFA" w14:paraId="7B58D80E" w14:textId="77777777">
      <w:pPr>
        <w:rPr>
          <w:rFonts w:cs="Arial"/>
          <w:sz w:val="22"/>
          <w:szCs w:val="22"/>
        </w:rPr>
      </w:pPr>
    </w:p>
    <w:p w:rsidRPr="006D2719" w:rsidR="00F25AFA" w:rsidP="00F25AFA" w:rsidRDefault="00F25AFA" w14:paraId="7B58D80F" w14:textId="77777777">
      <w:pPr>
        <w:keepNext/>
        <w:keepLines/>
        <w:tabs>
          <w:tab w:val="left" w:pos="720"/>
          <w:tab w:val="left" w:pos="1440"/>
        </w:tabs>
        <w:ind w:left="1440" w:hanging="720"/>
        <w:rPr>
          <w:rFonts w:cs="Arial"/>
          <w:sz w:val="22"/>
          <w:szCs w:val="22"/>
        </w:rPr>
      </w:pPr>
      <w:r w:rsidRPr="006D2719">
        <w:rPr>
          <w:rFonts w:cs="Arial"/>
          <w:sz w:val="22"/>
          <w:szCs w:val="22"/>
        </w:rPr>
        <w:t>17.</w:t>
      </w:r>
      <w:r w:rsidRPr="006D2719">
        <w:rPr>
          <w:rFonts w:cs="Arial"/>
          <w:sz w:val="22"/>
          <w:szCs w:val="22"/>
        </w:rPr>
        <w:tab/>
      </w:r>
      <w:r w:rsidRPr="006D2719">
        <w:rPr>
          <w:rFonts w:cs="Arial"/>
          <w:sz w:val="22"/>
          <w:szCs w:val="22"/>
          <w:u w:val="single"/>
        </w:rPr>
        <w:t>Reason for Not Displaying the Expiration Date</w:t>
      </w:r>
    </w:p>
    <w:p w:rsidRPr="006D2719" w:rsidR="00F25AFA" w:rsidP="00F25AFA" w:rsidRDefault="00F25AFA" w14:paraId="7B58D810" w14:textId="77777777">
      <w:pPr>
        <w:keepNext/>
        <w:rPr>
          <w:rFonts w:cs="Arial"/>
          <w:sz w:val="22"/>
          <w:szCs w:val="22"/>
        </w:rPr>
      </w:pPr>
    </w:p>
    <w:p w:rsidRPr="00410E63" w:rsidR="004F0F1C" w:rsidP="004F0F1C" w:rsidRDefault="004F0F1C" w14:paraId="7B58D811" w14:textId="77777777">
      <w:pPr>
        <w:ind w:left="1440"/>
        <w:rPr>
          <w:rFonts w:cs="Arial"/>
          <w:sz w:val="22"/>
        </w:rPr>
      </w:pPr>
      <w:r w:rsidRPr="00410E63">
        <w:rPr>
          <w:rFonts w:cs="Arial"/>
          <w:sz w:val="22"/>
        </w:rPr>
        <w:t>The recordkeeping and reporting requirement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Pr="006D2719" w:rsidR="0065799C" w:rsidP="00F25AFA" w:rsidRDefault="004F0F1C" w14:paraId="7B58D812" w14:textId="77777777">
      <w:pPr>
        <w:keepNext/>
        <w:ind w:left="1440"/>
        <w:rPr>
          <w:rFonts w:cs="Arial"/>
          <w:sz w:val="22"/>
          <w:szCs w:val="22"/>
        </w:rPr>
      </w:pPr>
      <w:r w:rsidRPr="006D2719" w:rsidDel="004F0F1C">
        <w:rPr>
          <w:rFonts w:cs="Arial"/>
          <w:sz w:val="22"/>
          <w:szCs w:val="22"/>
        </w:rPr>
        <w:t xml:space="preserve"> </w:t>
      </w:r>
    </w:p>
    <w:p w:rsidRPr="006D2719" w:rsidR="00F25AFA" w:rsidP="00F25AFA" w:rsidRDefault="00F25AFA" w14:paraId="7B58D813" w14:textId="77777777">
      <w:pPr>
        <w:keepNext/>
        <w:keepLines/>
        <w:tabs>
          <w:tab w:val="left" w:pos="720"/>
          <w:tab w:val="left" w:pos="1440"/>
        </w:tabs>
        <w:ind w:left="1440" w:hanging="720"/>
        <w:rPr>
          <w:rFonts w:cs="Arial"/>
          <w:sz w:val="22"/>
          <w:szCs w:val="22"/>
        </w:rPr>
      </w:pPr>
      <w:r w:rsidRPr="006D2719">
        <w:rPr>
          <w:rFonts w:cs="Arial"/>
          <w:sz w:val="22"/>
          <w:szCs w:val="22"/>
        </w:rPr>
        <w:t>18.</w:t>
      </w:r>
      <w:r w:rsidRPr="006D2719">
        <w:rPr>
          <w:rFonts w:cs="Arial"/>
          <w:sz w:val="22"/>
          <w:szCs w:val="22"/>
        </w:rPr>
        <w:tab/>
      </w:r>
      <w:r w:rsidRPr="006D2719">
        <w:rPr>
          <w:rFonts w:cs="Arial"/>
          <w:sz w:val="22"/>
          <w:szCs w:val="22"/>
          <w:u w:val="single"/>
        </w:rPr>
        <w:t>Exceptions to the Certification Statement</w:t>
      </w:r>
    </w:p>
    <w:p w:rsidRPr="006D2719" w:rsidR="00F25AFA" w:rsidP="00F25AFA" w:rsidRDefault="00F25AFA" w14:paraId="7B58D814" w14:textId="77777777">
      <w:pPr>
        <w:keepNext/>
        <w:rPr>
          <w:rFonts w:cs="Arial"/>
          <w:sz w:val="22"/>
          <w:szCs w:val="22"/>
        </w:rPr>
      </w:pPr>
    </w:p>
    <w:p w:rsidR="00F25AFA" w:rsidP="00F25AFA" w:rsidRDefault="00F25AFA" w14:paraId="7B58D815" w14:textId="77777777">
      <w:pPr>
        <w:keepNext/>
        <w:ind w:left="1440"/>
        <w:rPr>
          <w:rFonts w:cs="Arial"/>
          <w:sz w:val="22"/>
          <w:szCs w:val="22"/>
        </w:rPr>
      </w:pPr>
      <w:r w:rsidRPr="006D2719">
        <w:rPr>
          <w:rFonts w:cs="Arial"/>
          <w:sz w:val="22"/>
          <w:szCs w:val="22"/>
        </w:rPr>
        <w:t>None.</w:t>
      </w:r>
    </w:p>
    <w:p w:rsidRPr="006D2719" w:rsidR="0065799C" w:rsidP="00F25AFA" w:rsidRDefault="0065799C" w14:paraId="7B58D816" w14:textId="77777777">
      <w:pPr>
        <w:keepNext/>
        <w:ind w:left="1440"/>
        <w:rPr>
          <w:rFonts w:cs="Arial"/>
          <w:sz w:val="22"/>
          <w:szCs w:val="22"/>
        </w:rPr>
      </w:pPr>
    </w:p>
    <w:p w:rsidRPr="006D2719" w:rsidR="00F25AFA" w:rsidP="00F25AFA" w:rsidRDefault="00F25AFA" w14:paraId="7B58D817" w14:textId="77777777">
      <w:pPr>
        <w:rPr>
          <w:rFonts w:cs="Arial"/>
          <w:sz w:val="22"/>
          <w:szCs w:val="22"/>
        </w:rPr>
      </w:pPr>
    </w:p>
    <w:p w:rsidRPr="006D2719" w:rsidR="00F25AFA" w:rsidP="00F25AFA" w:rsidRDefault="00F25AFA" w14:paraId="7B58D818" w14:textId="77777777">
      <w:pPr>
        <w:tabs>
          <w:tab w:val="left" w:pos="720"/>
        </w:tabs>
        <w:ind w:left="720" w:hanging="720"/>
        <w:rPr>
          <w:rFonts w:cs="Arial"/>
          <w:sz w:val="22"/>
          <w:szCs w:val="22"/>
        </w:rPr>
      </w:pPr>
      <w:r w:rsidRPr="006D2719">
        <w:rPr>
          <w:rFonts w:cs="Arial"/>
          <w:sz w:val="22"/>
          <w:szCs w:val="22"/>
        </w:rPr>
        <w:t>B.</w:t>
      </w:r>
      <w:r w:rsidRPr="006D2719">
        <w:rPr>
          <w:rFonts w:cs="Arial"/>
          <w:sz w:val="22"/>
          <w:szCs w:val="22"/>
        </w:rPr>
        <w:tab/>
        <w:t>Collection of Information Employing Statistical Methods</w:t>
      </w:r>
    </w:p>
    <w:p w:rsidRPr="006D2719" w:rsidR="00F25AFA" w:rsidP="00F25AFA" w:rsidRDefault="00F25AFA" w14:paraId="7B58D819" w14:textId="77777777">
      <w:pPr>
        <w:rPr>
          <w:rFonts w:cs="Arial"/>
          <w:sz w:val="22"/>
          <w:szCs w:val="22"/>
        </w:rPr>
      </w:pPr>
    </w:p>
    <w:p w:rsidR="001B535D" w:rsidP="006D4560" w:rsidRDefault="00F25AFA" w14:paraId="7B58D81A" w14:textId="77777777">
      <w:pPr>
        <w:ind w:firstLine="720"/>
      </w:pPr>
      <w:r w:rsidRPr="006D2719">
        <w:rPr>
          <w:rFonts w:cs="Arial"/>
          <w:sz w:val="22"/>
          <w:szCs w:val="22"/>
        </w:rPr>
        <w:t>Not applicable.</w:t>
      </w:r>
      <w:r w:rsidRPr="00F25AFA" w:rsidR="00CE2212">
        <w:t xml:space="preserve"> </w:t>
      </w:r>
    </w:p>
    <w:p w:rsidR="008125C9" w:rsidP="001E06B9" w:rsidRDefault="001B535D" w14:paraId="7B58D81B" w14:textId="77777777">
      <w:pPr>
        <w:ind w:firstLine="720"/>
        <w:jc w:val="center"/>
        <w:rPr>
          <w:sz w:val="22"/>
          <w:szCs w:val="22"/>
        </w:rPr>
      </w:pPr>
      <w:r>
        <w:br w:type="page"/>
      </w:r>
      <w:r w:rsidRPr="001E06B9">
        <w:rPr>
          <w:sz w:val="22"/>
          <w:szCs w:val="22"/>
        </w:rPr>
        <w:lastRenderedPageBreak/>
        <w:t>DESCRIPTION OF INFORMATION COLLECTION REQUIREMENTS IN</w:t>
      </w:r>
    </w:p>
    <w:p w:rsidR="001B535D" w:rsidP="001E06B9" w:rsidRDefault="001B535D" w14:paraId="7B58D81C" w14:textId="77777777">
      <w:pPr>
        <w:ind w:firstLine="720"/>
        <w:jc w:val="center"/>
        <w:rPr>
          <w:sz w:val="22"/>
          <w:szCs w:val="22"/>
        </w:rPr>
      </w:pPr>
    </w:p>
    <w:p w:rsidRPr="00B94248" w:rsidR="001B535D" w:rsidP="001B535D" w:rsidRDefault="001B535D" w14:paraId="7B58D81D" w14:textId="77777777">
      <w:pPr>
        <w:jc w:val="center"/>
        <w:rPr>
          <w:rFonts w:cs="Arial"/>
          <w:sz w:val="22"/>
          <w:szCs w:val="22"/>
        </w:rPr>
      </w:pPr>
      <w:r w:rsidRPr="00B94248">
        <w:rPr>
          <w:rFonts w:cs="Arial"/>
          <w:sz w:val="22"/>
          <w:szCs w:val="22"/>
        </w:rPr>
        <w:t>10 CFR PART 37</w:t>
      </w:r>
    </w:p>
    <w:p w:rsidR="001B535D" w:rsidP="001B535D" w:rsidRDefault="001B535D" w14:paraId="7B58D81E" w14:textId="77777777">
      <w:pPr>
        <w:jc w:val="center"/>
        <w:rPr>
          <w:rFonts w:cs="Arial"/>
          <w:sz w:val="22"/>
          <w:szCs w:val="22"/>
        </w:rPr>
      </w:pPr>
      <w:r w:rsidRPr="00E25466">
        <w:rPr>
          <w:rFonts w:cs="Arial"/>
          <w:sz w:val="22"/>
          <w:szCs w:val="22"/>
        </w:rPr>
        <w:t>PHYSICAL PROTECTION OF CATEGORY 1 AND CATEGORY 2 QUANTITIES OF RADIOACTIVE MATERIAL</w:t>
      </w:r>
    </w:p>
    <w:p w:rsidRPr="00B94248" w:rsidR="001B535D" w:rsidP="001B535D" w:rsidRDefault="001B535D" w14:paraId="7B58D81F" w14:textId="77777777">
      <w:pPr>
        <w:jc w:val="center"/>
        <w:rPr>
          <w:rFonts w:cs="Arial"/>
          <w:sz w:val="22"/>
          <w:szCs w:val="22"/>
        </w:rPr>
      </w:pPr>
    </w:p>
    <w:p w:rsidRPr="00B94248" w:rsidR="001B535D" w:rsidP="001B535D" w:rsidRDefault="001B535D" w14:paraId="7B58D820" w14:textId="77777777">
      <w:pPr>
        <w:jc w:val="center"/>
        <w:rPr>
          <w:rFonts w:cs="Arial"/>
          <w:sz w:val="22"/>
          <w:szCs w:val="22"/>
        </w:rPr>
      </w:pPr>
      <w:r w:rsidRPr="00B94248">
        <w:rPr>
          <w:rFonts w:cs="Arial"/>
          <w:sz w:val="22"/>
          <w:szCs w:val="22"/>
        </w:rPr>
        <w:t>(</w:t>
      </w:r>
      <w:r w:rsidRPr="004F3E6C">
        <w:rPr>
          <w:rFonts w:cs="Arial"/>
          <w:sz w:val="22"/>
          <w:szCs w:val="22"/>
        </w:rPr>
        <w:t xml:space="preserve">OMB CLEARANCE NO. </w:t>
      </w:r>
      <w:r w:rsidRPr="00B94248">
        <w:rPr>
          <w:rFonts w:cs="Arial"/>
          <w:sz w:val="22"/>
          <w:szCs w:val="22"/>
        </w:rPr>
        <w:t>3150-</w:t>
      </w:r>
      <w:r>
        <w:rPr>
          <w:rFonts w:cs="Arial"/>
          <w:sz w:val="22"/>
          <w:szCs w:val="22"/>
        </w:rPr>
        <w:t>0214</w:t>
      </w:r>
      <w:r w:rsidRPr="00B94248">
        <w:rPr>
          <w:rFonts w:cs="Arial"/>
          <w:sz w:val="22"/>
          <w:szCs w:val="22"/>
        </w:rPr>
        <w:t>)</w:t>
      </w:r>
    </w:p>
    <w:p w:rsidR="001B535D" w:rsidP="001E06B9" w:rsidRDefault="001B535D" w14:paraId="7B58D821" w14:textId="77777777">
      <w:pPr>
        <w:ind w:firstLine="720"/>
        <w:jc w:val="center"/>
        <w:rPr>
          <w:sz w:val="22"/>
          <w:szCs w:val="22"/>
        </w:rPr>
      </w:pPr>
    </w:p>
    <w:p w:rsidRPr="00F240AF" w:rsidR="001B535D" w:rsidP="001E06B9" w:rsidRDefault="001B535D" w14:paraId="7B58D822" w14:textId="77777777">
      <w:pPr>
        <w:spacing w:after="120"/>
        <w:rPr>
          <w:rFonts w:cs="Arial"/>
          <w:sz w:val="22"/>
          <w:szCs w:val="22"/>
        </w:rPr>
      </w:pPr>
      <w:r>
        <w:rPr>
          <w:rFonts w:cs="Arial"/>
          <w:b/>
          <w:sz w:val="22"/>
          <w:szCs w:val="22"/>
        </w:rPr>
        <w:t xml:space="preserve">Section 37.11(a) </w:t>
      </w:r>
      <w:r>
        <w:rPr>
          <w:rFonts w:cs="Arial"/>
          <w:sz w:val="22"/>
          <w:szCs w:val="22"/>
        </w:rPr>
        <w:t>allows</w:t>
      </w:r>
      <w:r w:rsidRPr="00F240AF">
        <w:rPr>
          <w:rFonts w:cs="Arial"/>
          <w:sz w:val="22"/>
          <w:szCs w:val="22"/>
        </w:rPr>
        <w:t xml:space="preserve"> </w:t>
      </w:r>
      <w:r>
        <w:rPr>
          <w:rFonts w:cs="Arial"/>
          <w:sz w:val="22"/>
          <w:szCs w:val="22"/>
        </w:rPr>
        <w:t>licensees to apply for an exemption from the requirements of the regulations in 10 CFR Part 37.</w:t>
      </w:r>
    </w:p>
    <w:p w:rsidR="001B535D" w:rsidP="001E06B9" w:rsidRDefault="001B535D" w14:paraId="7B58D823" w14:textId="77777777">
      <w:pPr>
        <w:spacing w:after="120"/>
        <w:rPr>
          <w:rFonts w:cs="Arial"/>
          <w:b/>
          <w:sz w:val="22"/>
          <w:szCs w:val="22"/>
        </w:rPr>
      </w:pPr>
    </w:p>
    <w:p w:rsidR="001B535D" w:rsidP="001E06B9" w:rsidRDefault="001B535D" w14:paraId="7B58D824" w14:textId="77777777">
      <w:pPr>
        <w:spacing w:after="120"/>
        <w:rPr>
          <w:rFonts w:cs="Arial"/>
          <w:sz w:val="22"/>
          <w:szCs w:val="22"/>
        </w:rPr>
      </w:pPr>
      <w:r>
        <w:rPr>
          <w:rFonts w:cs="Arial"/>
          <w:b/>
          <w:sz w:val="22"/>
          <w:szCs w:val="22"/>
        </w:rPr>
        <w:t xml:space="preserve">Section 37.11(c)(4) </w:t>
      </w:r>
      <w:r w:rsidRPr="00CE10E4">
        <w:rPr>
          <w:rFonts w:cs="Arial"/>
          <w:sz w:val="22"/>
          <w:szCs w:val="22"/>
        </w:rPr>
        <w:t>requires licensee</w:t>
      </w:r>
      <w:r>
        <w:rPr>
          <w:rFonts w:cs="Arial"/>
          <w:sz w:val="22"/>
          <w:szCs w:val="22"/>
        </w:rPr>
        <w:t>s to i</w:t>
      </w:r>
      <w:r w:rsidRPr="00CE10E4">
        <w:rPr>
          <w:rFonts w:cs="Arial"/>
          <w:sz w:val="22"/>
          <w:szCs w:val="22"/>
        </w:rPr>
        <w:t>mmediately</w:t>
      </w:r>
      <w:r w:rsidRPr="00A25454">
        <w:rPr>
          <w:rFonts w:cs="Arial"/>
          <w:sz w:val="22"/>
          <w:szCs w:val="22"/>
        </w:rPr>
        <w:t xml:space="preserve"> notify the LLEA and request an armed response from the LLEA u</w:t>
      </w:r>
      <w:r w:rsidRPr="00A25454">
        <w:rPr>
          <w:rFonts w:cs="Arial"/>
          <w:iCs/>
          <w:sz w:val="22"/>
          <w:szCs w:val="22"/>
        </w:rPr>
        <w:t xml:space="preserve">pon determination that there was an actual or attempted theft, sabotage, or diversion of the radioactive waste that contains </w:t>
      </w:r>
      <w:r w:rsidRPr="00A25454">
        <w:rPr>
          <w:rFonts w:cs="Arial"/>
          <w:sz w:val="22"/>
          <w:szCs w:val="22"/>
        </w:rPr>
        <w:t>category 1 or category 2 quantities of radioactive material.</w:t>
      </w:r>
    </w:p>
    <w:p w:rsidR="001B535D" w:rsidP="001E06B9" w:rsidRDefault="001B535D" w14:paraId="7B58D825" w14:textId="77777777">
      <w:pPr>
        <w:spacing w:after="120"/>
        <w:rPr>
          <w:rFonts w:cs="Arial"/>
          <w:b/>
          <w:sz w:val="22"/>
          <w:szCs w:val="22"/>
        </w:rPr>
      </w:pPr>
    </w:p>
    <w:p w:rsidRPr="00D0472E" w:rsidR="001B535D" w:rsidP="001E06B9" w:rsidRDefault="001B535D" w14:paraId="7B58D826" w14:textId="77777777">
      <w:pPr>
        <w:spacing w:after="120"/>
        <w:rPr>
          <w:rFonts w:cs="Arial"/>
          <w:b/>
          <w:sz w:val="22"/>
          <w:szCs w:val="22"/>
        </w:rPr>
      </w:pPr>
      <w:r w:rsidRPr="006D2719">
        <w:rPr>
          <w:rFonts w:cs="Arial"/>
          <w:b/>
          <w:sz w:val="22"/>
          <w:szCs w:val="22"/>
        </w:rPr>
        <w:t>Section 37.23(b)(</w:t>
      </w:r>
      <w:r>
        <w:rPr>
          <w:rFonts w:cs="Arial"/>
          <w:b/>
          <w:sz w:val="22"/>
          <w:szCs w:val="22"/>
        </w:rPr>
        <w:t>2</w:t>
      </w:r>
      <w:r w:rsidRPr="006D2719">
        <w:rPr>
          <w:rFonts w:cs="Arial"/>
          <w:b/>
          <w:sz w:val="22"/>
          <w:szCs w:val="22"/>
        </w:rPr>
        <w:t>)</w:t>
      </w:r>
      <w:r w:rsidRPr="006D2719">
        <w:rPr>
          <w:rFonts w:cs="Arial"/>
          <w:sz w:val="22"/>
          <w:szCs w:val="22"/>
        </w:rPr>
        <w:t xml:space="preserve"> </w:t>
      </w:r>
      <w:r w:rsidRPr="00407F6B">
        <w:rPr>
          <w:rFonts w:cs="Arial"/>
          <w:sz w:val="22"/>
          <w:szCs w:val="22"/>
        </w:rPr>
        <w:t>each licensee shall name one or more individuals to be reviewing officials.  After completing the background investigation on the reviewing official, the licensee shall provide under oath or affirmation, a certification that the reviewing official is deemed trustworthy and reliable by the licensee.  The fingerprints of the named reviewing official must be taken by a law enforcement agency, Federal or State agencies that provide finger printing services to the public, or commercial fingerprinting services authorized by a State to take fingerprints</w:t>
      </w:r>
      <w:r w:rsidRPr="006D2719">
        <w:rPr>
          <w:rFonts w:cs="Arial"/>
          <w:sz w:val="22"/>
          <w:szCs w:val="22"/>
        </w:rPr>
        <w:t xml:space="preserve">.  </w:t>
      </w:r>
      <w:r>
        <w:rPr>
          <w:rFonts w:cs="Arial"/>
          <w:sz w:val="22"/>
          <w:szCs w:val="22"/>
        </w:rPr>
        <w:t xml:space="preserve">The NRC estimates each licensee will initially submit 3 reviewing officials for a one-time burden, and thereafter will have an annual 5% attrition rate for reviewing officials. </w:t>
      </w:r>
    </w:p>
    <w:p w:rsidR="001B535D" w:rsidP="001E06B9" w:rsidRDefault="001B535D" w14:paraId="7B58D827" w14:textId="77777777">
      <w:pPr>
        <w:spacing w:after="120"/>
        <w:rPr>
          <w:rFonts w:cs="Arial"/>
          <w:sz w:val="22"/>
          <w:szCs w:val="22"/>
        </w:rPr>
      </w:pPr>
    </w:p>
    <w:p w:rsidR="001B535D" w:rsidP="001E06B9" w:rsidRDefault="001B535D" w14:paraId="7B58D828" w14:textId="77777777">
      <w:pPr>
        <w:spacing w:after="120"/>
        <w:rPr>
          <w:rFonts w:cs="Arial"/>
          <w:sz w:val="22"/>
          <w:szCs w:val="22"/>
        </w:rPr>
      </w:pPr>
      <w:r w:rsidRPr="00575BE2">
        <w:rPr>
          <w:rFonts w:cs="Arial"/>
          <w:b/>
          <w:sz w:val="22"/>
          <w:szCs w:val="22"/>
        </w:rPr>
        <w:t>Section 37.23(c)</w:t>
      </w:r>
      <w:r>
        <w:rPr>
          <w:rFonts w:cs="Arial"/>
          <w:sz w:val="22"/>
          <w:szCs w:val="22"/>
        </w:rPr>
        <w:t xml:space="preserve"> stipulates that the l</w:t>
      </w:r>
      <w:r w:rsidRPr="00A25454">
        <w:rPr>
          <w:rFonts w:cs="Arial"/>
          <w:sz w:val="22"/>
          <w:szCs w:val="22"/>
        </w:rPr>
        <w:t>icensee may not initiate a background investigation without the informed and signed cons</w:t>
      </w:r>
      <w:r>
        <w:rPr>
          <w:rFonts w:cs="Arial"/>
          <w:sz w:val="22"/>
          <w:szCs w:val="22"/>
        </w:rPr>
        <w:t>ent of the subject individual.</w:t>
      </w:r>
    </w:p>
    <w:p w:rsidRPr="006D2719" w:rsidR="001B535D" w:rsidP="001E06B9" w:rsidRDefault="001B535D" w14:paraId="7B58D829" w14:textId="77777777">
      <w:pPr>
        <w:spacing w:after="120"/>
        <w:rPr>
          <w:rFonts w:cs="Arial"/>
          <w:sz w:val="22"/>
          <w:szCs w:val="22"/>
        </w:rPr>
      </w:pPr>
    </w:p>
    <w:p w:rsidRPr="006D2719" w:rsidR="001B535D" w:rsidP="001E06B9" w:rsidRDefault="001B535D" w14:paraId="7B58D82A" w14:textId="77777777">
      <w:pPr>
        <w:spacing w:after="120"/>
        <w:rPr>
          <w:rFonts w:cs="Arial"/>
          <w:sz w:val="22"/>
          <w:szCs w:val="22"/>
        </w:rPr>
      </w:pPr>
      <w:r w:rsidRPr="006D2719">
        <w:rPr>
          <w:rFonts w:cs="Arial"/>
          <w:b/>
          <w:sz w:val="22"/>
          <w:szCs w:val="22"/>
        </w:rPr>
        <w:t xml:space="preserve">Section 37.23(d) </w:t>
      </w:r>
      <w:r w:rsidRPr="006D2719">
        <w:rPr>
          <w:rFonts w:cs="Arial"/>
          <w:sz w:val="22"/>
          <w:szCs w:val="22"/>
        </w:rPr>
        <w:t>requires any individual who is applying for unescorted access authorization to disclose the personal history information that is required by the licensee’s access authorization program for the reviewing official to make a determination of the individual’s trustworthiness and reliability.</w:t>
      </w:r>
    </w:p>
    <w:p w:rsidRPr="006D2719" w:rsidR="001B535D" w:rsidP="001E06B9" w:rsidRDefault="001B535D" w14:paraId="7B58D82B" w14:textId="77777777">
      <w:pPr>
        <w:spacing w:after="120"/>
        <w:rPr>
          <w:rFonts w:cs="Arial"/>
          <w:b/>
          <w:sz w:val="22"/>
          <w:szCs w:val="22"/>
        </w:rPr>
      </w:pPr>
    </w:p>
    <w:p w:rsidR="001B535D" w:rsidP="001E06B9" w:rsidRDefault="001B535D" w14:paraId="7B58D82C" w14:textId="77777777">
      <w:pPr>
        <w:spacing w:after="120"/>
        <w:rPr>
          <w:rFonts w:cs="Arial"/>
          <w:sz w:val="22"/>
          <w:szCs w:val="22"/>
        </w:rPr>
      </w:pPr>
      <w:r w:rsidRPr="006D2719">
        <w:rPr>
          <w:rFonts w:cs="Arial"/>
          <w:b/>
          <w:sz w:val="22"/>
          <w:szCs w:val="22"/>
        </w:rPr>
        <w:t xml:space="preserve">Section 37.23(e)(3) </w:t>
      </w:r>
      <w:r>
        <w:rPr>
          <w:rFonts w:cs="Arial"/>
          <w:sz w:val="22"/>
          <w:szCs w:val="22"/>
        </w:rPr>
        <w:t>requires t</w:t>
      </w:r>
      <w:r w:rsidRPr="00A502A3">
        <w:rPr>
          <w:rFonts w:cs="Arial"/>
          <w:sz w:val="22"/>
          <w:szCs w:val="22"/>
        </w:rPr>
        <w:t xml:space="preserve">he licensee </w:t>
      </w:r>
      <w:r>
        <w:rPr>
          <w:rFonts w:cs="Arial"/>
          <w:sz w:val="22"/>
          <w:szCs w:val="22"/>
        </w:rPr>
        <w:t>to</w:t>
      </w:r>
      <w:r w:rsidRPr="00A502A3">
        <w:rPr>
          <w:rFonts w:cs="Arial"/>
          <w:sz w:val="22"/>
          <w:szCs w:val="22"/>
        </w:rPr>
        <w:t xml:space="preserve"> document the basis for concluding whether or not there is reasonable assurance that an individual is trustworthy and reliable</w:t>
      </w:r>
      <w:r>
        <w:rPr>
          <w:rFonts w:cs="Arial"/>
          <w:sz w:val="22"/>
          <w:szCs w:val="22"/>
        </w:rPr>
        <w:t>.</w:t>
      </w:r>
      <w:r w:rsidRPr="006D2719">
        <w:rPr>
          <w:rFonts w:cs="Arial"/>
          <w:sz w:val="22"/>
          <w:szCs w:val="22"/>
        </w:rPr>
        <w:t xml:space="preserve"> </w:t>
      </w:r>
    </w:p>
    <w:p w:rsidR="001B535D" w:rsidP="001E06B9" w:rsidRDefault="001B535D" w14:paraId="7B58D82D" w14:textId="77777777">
      <w:pPr>
        <w:spacing w:after="120"/>
        <w:rPr>
          <w:rFonts w:cs="Arial"/>
          <w:sz w:val="22"/>
          <w:szCs w:val="22"/>
        </w:rPr>
      </w:pPr>
    </w:p>
    <w:p w:rsidRPr="0020148E" w:rsidR="001B535D" w:rsidP="001E06B9" w:rsidRDefault="001B535D" w14:paraId="7B58D82E" w14:textId="77777777">
      <w:pPr>
        <w:spacing w:after="120"/>
        <w:rPr>
          <w:rFonts w:cs="Arial"/>
          <w:sz w:val="22"/>
          <w:szCs w:val="22"/>
        </w:rPr>
      </w:pPr>
      <w:r w:rsidRPr="002B53D4">
        <w:rPr>
          <w:rFonts w:cs="Arial"/>
          <w:b/>
          <w:sz w:val="22"/>
          <w:szCs w:val="22"/>
        </w:rPr>
        <w:t>Section 37.23(e)(5)</w:t>
      </w:r>
      <w:r>
        <w:rPr>
          <w:rFonts w:cs="Arial"/>
          <w:sz w:val="22"/>
          <w:szCs w:val="22"/>
        </w:rPr>
        <w:t xml:space="preserve"> requires the licensee to </w:t>
      </w:r>
      <w:r w:rsidRPr="0020148E">
        <w:rPr>
          <w:rFonts w:cs="Arial"/>
          <w:sz w:val="22"/>
          <w:szCs w:val="22"/>
        </w:rPr>
        <w:t>maintain a list of persons currently approved for</w:t>
      </w:r>
      <w:r>
        <w:rPr>
          <w:rFonts w:cs="Arial"/>
          <w:sz w:val="22"/>
          <w:szCs w:val="22"/>
        </w:rPr>
        <w:t xml:space="preserve"> </w:t>
      </w:r>
      <w:r w:rsidRPr="0020148E">
        <w:rPr>
          <w:rFonts w:cs="Arial"/>
          <w:sz w:val="22"/>
          <w:szCs w:val="22"/>
        </w:rPr>
        <w:t>unescorted access authorization.  When a licensee determines that a person no longer requires unescorted access or meets the access authorization requirement, the licensee shall remove the person from the approved list as soon as possible, but no later than 7 working days</w:t>
      </w:r>
      <w:r>
        <w:rPr>
          <w:rFonts w:cs="Arial"/>
          <w:sz w:val="22"/>
          <w:szCs w:val="22"/>
        </w:rPr>
        <w:t>.</w:t>
      </w:r>
      <w:r w:rsidRPr="0020148E">
        <w:rPr>
          <w:rFonts w:cs="Arial"/>
          <w:sz w:val="22"/>
          <w:szCs w:val="22"/>
        </w:rPr>
        <w:t xml:space="preserve">  </w:t>
      </w:r>
    </w:p>
    <w:p w:rsidRPr="006D2719" w:rsidR="001B535D" w:rsidP="001E06B9" w:rsidRDefault="001B535D" w14:paraId="7B58D82F" w14:textId="77777777">
      <w:pPr>
        <w:spacing w:after="120"/>
        <w:rPr>
          <w:rFonts w:cs="Arial"/>
          <w:sz w:val="22"/>
          <w:szCs w:val="22"/>
        </w:rPr>
      </w:pPr>
    </w:p>
    <w:p w:rsidRPr="006D2719" w:rsidR="001B535D" w:rsidP="001E06B9" w:rsidRDefault="001B535D" w14:paraId="7B58D830" w14:textId="77777777">
      <w:pPr>
        <w:autoSpaceDE/>
        <w:autoSpaceDN/>
        <w:adjustRightInd/>
        <w:spacing w:after="120"/>
        <w:rPr>
          <w:sz w:val="22"/>
          <w:szCs w:val="24"/>
        </w:rPr>
      </w:pPr>
      <w:r w:rsidRPr="006D2719">
        <w:rPr>
          <w:rFonts w:cs="Arial"/>
          <w:b/>
          <w:bCs/>
          <w:iCs/>
          <w:sz w:val="22"/>
          <w:szCs w:val="22"/>
        </w:rPr>
        <w:t xml:space="preserve">Section 37.23(g)(1) </w:t>
      </w:r>
      <w:r w:rsidRPr="006D2719">
        <w:rPr>
          <w:rFonts w:cs="Arial"/>
          <w:bCs/>
          <w:iCs/>
          <w:sz w:val="22"/>
          <w:szCs w:val="22"/>
        </w:rPr>
        <w:t xml:space="preserve">requires </w:t>
      </w:r>
      <w:r>
        <w:rPr>
          <w:rFonts w:cs="Arial"/>
          <w:bCs/>
          <w:iCs/>
          <w:sz w:val="22"/>
          <w:szCs w:val="22"/>
        </w:rPr>
        <w:t xml:space="preserve">that, prior to an adverse determination, </w:t>
      </w:r>
      <w:r w:rsidRPr="006D2719">
        <w:rPr>
          <w:rFonts w:cs="Arial"/>
          <w:bCs/>
          <w:iCs/>
          <w:sz w:val="22"/>
          <w:szCs w:val="22"/>
        </w:rPr>
        <w:t>the</w:t>
      </w:r>
      <w:r w:rsidRPr="006D2719">
        <w:rPr>
          <w:rFonts w:cs="Arial"/>
          <w:b/>
          <w:bCs/>
          <w:iCs/>
          <w:sz w:val="22"/>
          <w:szCs w:val="22"/>
        </w:rPr>
        <w:t xml:space="preserve"> </w:t>
      </w:r>
      <w:r w:rsidRPr="006D2719">
        <w:rPr>
          <w:sz w:val="22"/>
          <w:szCs w:val="24"/>
        </w:rPr>
        <w:t>licensee provide</w:t>
      </w:r>
      <w:r>
        <w:rPr>
          <w:sz w:val="22"/>
          <w:szCs w:val="24"/>
        </w:rPr>
        <w:t xml:space="preserve"> each</w:t>
      </w:r>
      <w:r w:rsidRPr="006D2719">
        <w:rPr>
          <w:sz w:val="22"/>
          <w:szCs w:val="24"/>
        </w:rPr>
        <w:t xml:space="preserve"> </w:t>
      </w:r>
      <w:r>
        <w:rPr>
          <w:sz w:val="22"/>
          <w:szCs w:val="24"/>
        </w:rPr>
        <w:t>i</w:t>
      </w:r>
      <w:r w:rsidRPr="006D2719">
        <w:rPr>
          <w:sz w:val="22"/>
          <w:szCs w:val="24"/>
        </w:rPr>
        <w:t xml:space="preserve">ndividual the right to complete, correct, and explain information obtained as a result of the </w:t>
      </w:r>
      <w:r w:rsidRPr="006D2719">
        <w:rPr>
          <w:sz w:val="22"/>
          <w:szCs w:val="24"/>
        </w:rPr>
        <w:lastRenderedPageBreak/>
        <w:t xml:space="preserve">licensee’s background investigation.  </w:t>
      </w:r>
      <w:r>
        <w:rPr>
          <w:sz w:val="22"/>
          <w:szCs w:val="24"/>
        </w:rPr>
        <w:t xml:space="preserve">In addition, the licensee must maintain a record of this notification for 1 year.  </w:t>
      </w:r>
    </w:p>
    <w:p w:rsidR="001B535D" w:rsidP="001E06B9" w:rsidRDefault="001B535D" w14:paraId="7B58D831" w14:textId="77777777">
      <w:pPr>
        <w:spacing w:after="120"/>
        <w:rPr>
          <w:rFonts w:cs="Arial"/>
          <w:b/>
          <w:bCs/>
          <w:iCs/>
          <w:sz w:val="22"/>
          <w:szCs w:val="22"/>
        </w:rPr>
      </w:pPr>
    </w:p>
    <w:p w:rsidR="001B535D" w:rsidP="001E06B9" w:rsidRDefault="001B535D" w14:paraId="7B58D832" w14:textId="77777777">
      <w:pPr>
        <w:spacing w:after="120"/>
        <w:rPr>
          <w:rFonts w:cs="Arial"/>
          <w:bCs/>
          <w:iCs/>
          <w:sz w:val="22"/>
          <w:szCs w:val="22"/>
        </w:rPr>
      </w:pPr>
      <w:r w:rsidRPr="006D2719">
        <w:rPr>
          <w:rFonts w:cs="Arial"/>
          <w:b/>
          <w:bCs/>
          <w:iCs/>
          <w:sz w:val="22"/>
          <w:szCs w:val="22"/>
        </w:rPr>
        <w:t>Section 37.23(h)(1)</w:t>
      </w:r>
      <w:r w:rsidRPr="006D2719">
        <w:rPr>
          <w:rFonts w:cs="Arial"/>
          <w:bCs/>
          <w:iCs/>
          <w:sz w:val="22"/>
          <w:szCs w:val="22"/>
        </w:rPr>
        <w:t xml:space="preserve"> </w:t>
      </w:r>
      <w:r>
        <w:rPr>
          <w:rFonts w:cs="Arial"/>
          <w:bCs/>
          <w:iCs/>
          <w:sz w:val="22"/>
          <w:szCs w:val="22"/>
        </w:rPr>
        <w:t xml:space="preserve">requires </w:t>
      </w:r>
      <w:r w:rsidRPr="006D2719">
        <w:rPr>
          <w:rFonts w:cs="Arial"/>
          <w:bCs/>
          <w:iCs/>
          <w:sz w:val="22"/>
          <w:szCs w:val="22"/>
        </w:rPr>
        <w:t xml:space="preserve">the licensee </w:t>
      </w:r>
      <w:r>
        <w:rPr>
          <w:rFonts w:cs="Arial"/>
          <w:bCs/>
          <w:iCs/>
          <w:sz w:val="22"/>
          <w:szCs w:val="22"/>
        </w:rPr>
        <w:t>to</w:t>
      </w:r>
      <w:r w:rsidRPr="006D2719">
        <w:rPr>
          <w:rFonts w:cs="Arial"/>
          <w:bCs/>
          <w:iCs/>
          <w:sz w:val="22"/>
          <w:szCs w:val="22"/>
        </w:rPr>
        <w:t xml:space="preserve"> retain documentation regarding the trustworthiness and reliability of individual employees for </w:t>
      </w:r>
      <w:r>
        <w:rPr>
          <w:rFonts w:cs="Arial"/>
          <w:bCs/>
          <w:iCs/>
          <w:sz w:val="22"/>
          <w:szCs w:val="22"/>
        </w:rPr>
        <w:t>3</w:t>
      </w:r>
      <w:r w:rsidRPr="006D2719">
        <w:rPr>
          <w:rFonts w:cs="Arial"/>
          <w:bCs/>
          <w:iCs/>
          <w:sz w:val="22"/>
          <w:szCs w:val="22"/>
        </w:rPr>
        <w:t xml:space="preserve"> years from the date the individual no longer requires unescorted access</w:t>
      </w:r>
      <w:r>
        <w:rPr>
          <w:rFonts w:cs="Arial"/>
          <w:bCs/>
          <w:iCs/>
          <w:sz w:val="22"/>
          <w:szCs w:val="22"/>
        </w:rPr>
        <w:t xml:space="preserve">. </w:t>
      </w:r>
      <w:r w:rsidRPr="006D2719">
        <w:rPr>
          <w:rFonts w:cs="Arial"/>
          <w:bCs/>
          <w:iCs/>
          <w:sz w:val="22"/>
          <w:szCs w:val="22"/>
        </w:rPr>
        <w:t xml:space="preserve"> </w:t>
      </w:r>
    </w:p>
    <w:p w:rsidRPr="006D2719" w:rsidR="001B535D" w:rsidP="001E06B9" w:rsidRDefault="001B535D" w14:paraId="7B58D833" w14:textId="77777777">
      <w:pPr>
        <w:spacing w:after="120"/>
        <w:rPr>
          <w:rFonts w:cs="Arial"/>
          <w:bCs/>
          <w:iCs/>
          <w:sz w:val="22"/>
          <w:szCs w:val="22"/>
        </w:rPr>
      </w:pPr>
    </w:p>
    <w:p w:rsidR="001B535D" w:rsidP="001E06B9" w:rsidRDefault="001B535D" w14:paraId="7B58D834" w14:textId="77777777">
      <w:pPr>
        <w:spacing w:after="120"/>
        <w:rPr>
          <w:rFonts w:cs="Arial"/>
          <w:bCs/>
          <w:iCs/>
          <w:sz w:val="22"/>
          <w:szCs w:val="22"/>
        </w:rPr>
      </w:pPr>
      <w:r w:rsidRPr="006D2719">
        <w:rPr>
          <w:rFonts w:cs="Arial"/>
          <w:b/>
          <w:bCs/>
          <w:iCs/>
          <w:sz w:val="22"/>
          <w:szCs w:val="22"/>
        </w:rPr>
        <w:t>Section 37.23(h)(2)</w:t>
      </w:r>
      <w:r w:rsidRPr="006D2719">
        <w:rPr>
          <w:rFonts w:cs="Arial"/>
          <w:bCs/>
          <w:iCs/>
          <w:sz w:val="22"/>
          <w:szCs w:val="22"/>
        </w:rPr>
        <w:t xml:space="preserve"> </w:t>
      </w:r>
      <w:r>
        <w:rPr>
          <w:rFonts w:cs="Arial"/>
          <w:bCs/>
          <w:iCs/>
          <w:sz w:val="22"/>
          <w:szCs w:val="22"/>
        </w:rPr>
        <w:t xml:space="preserve">requires </w:t>
      </w:r>
      <w:r w:rsidRPr="006D2719">
        <w:rPr>
          <w:rFonts w:cs="Arial"/>
          <w:bCs/>
          <w:iCs/>
          <w:sz w:val="22"/>
          <w:szCs w:val="22"/>
        </w:rPr>
        <w:t xml:space="preserve">the licensee </w:t>
      </w:r>
      <w:r>
        <w:rPr>
          <w:rFonts w:cs="Arial"/>
          <w:bCs/>
          <w:iCs/>
          <w:sz w:val="22"/>
          <w:szCs w:val="22"/>
        </w:rPr>
        <w:t>to</w:t>
      </w:r>
      <w:r w:rsidRPr="006D2719">
        <w:rPr>
          <w:rFonts w:cs="Arial"/>
          <w:bCs/>
          <w:iCs/>
          <w:sz w:val="22"/>
          <w:szCs w:val="22"/>
        </w:rPr>
        <w:t xml:space="preserve"> retain a copy of the current procedures for </w:t>
      </w:r>
      <w:r>
        <w:rPr>
          <w:rFonts w:cs="Arial"/>
          <w:bCs/>
          <w:iCs/>
          <w:sz w:val="22"/>
          <w:szCs w:val="22"/>
        </w:rPr>
        <w:t>3</w:t>
      </w:r>
      <w:r w:rsidRPr="006D2719">
        <w:rPr>
          <w:rFonts w:cs="Arial"/>
          <w:bCs/>
          <w:iCs/>
          <w:sz w:val="22"/>
          <w:szCs w:val="22"/>
        </w:rPr>
        <w:t xml:space="preserve"> years after </w:t>
      </w:r>
      <w:r>
        <w:rPr>
          <w:rFonts w:cs="Arial"/>
          <w:bCs/>
          <w:iCs/>
          <w:sz w:val="22"/>
          <w:szCs w:val="22"/>
        </w:rPr>
        <w:t xml:space="preserve">it </w:t>
      </w:r>
      <w:r w:rsidRPr="006D2719">
        <w:rPr>
          <w:rFonts w:cs="Arial"/>
          <w:bCs/>
          <w:iCs/>
          <w:sz w:val="22"/>
          <w:szCs w:val="22"/>
        </w:rPr>
        <w:t xml:space="preserve">is no longer needed or until the </w:t>
      </w:r>
      <w:r>
        <w:rPr>
          <w:rFonts w:cs="Arial"/>
          <w:bCs/>
          <w:iCs/>
          <w:sz w:val="22"/>
          <w:szCs w:val="22"/>
        </w:rPr>
        <w:t>NRC</w:t>
      </w:r>
      <w:r w:rsidRPr="006D2719">
        <w:rPr>
          <w:rFonts w:cs="Arial"/>
          <w:bCs/>
          <w:iCs/>
          <w:sz w:val="22"/>
          <w:szCs w:val="22"/>
        </w:rPr>
        <w:t xml:space="preserve"> terminates the license</w:t>
      </w:r>
      <w:r>
        <w:rPr>
          <w:rFonts w:cs="Arial"/>
          <w:bCs/>
          <w:iCs/>
          <w:sz w:val="22"/>
          <w:szCs w:val="22"/>
        </w:rPr>
        <w:t>.</w:t>
      </w:r>
    </w:p>
    <w:p w:rsidRPr="006D2719" w:rsidR="001B535D" w:rsidP="001E06B9" w:rsidRDefault="001B535D" w14:paraId="7B58D835" w14:textId="77777777">
      <w:pPr>
        <w:spacing w:after="120"/>
        <w:rPr>
          <w:rFonts w:cs="Arial"/>
          <w:bCs/>
          <w:iCs/>
          <w:sz w:val="22"/>
          <w:szCs w:val="22"/>
        </w:rPr>
      </w:pPr>
    </w:p>
    <w:p w:rsidR="001B535D" w:rsidP="001E06B9" w:rsidRDefault="001B535D" w14:paraId="7B58D836" w14:textId="77777777">
      <w:pPr>
        <w:spacing w:after="120"/>
        <w:rPr>
          <w:rFonts w:cs="Arial"/>
          <w:bCs/>
          <w:iCs/>
          <w:sz w:val="22"/>
          <w:szCs w:val="22"/>
        </w:rPr>
      </w:pPr>
      <w:r>
        <w:rPr>
          <w:b/>
          <w:sz w:val="22"/>
          <w:szCs w:val="22"/>
        </w:rPr>
        <w:t xml:space="preserve">Section 37.23(h)(3) </w:t>
      </w:r>
      <w:r w:rsidRPr="00CE10E4">
        <w:rPr>
          <w:sz w:val="22"/>
          <w:szCs w:val="22"/>
        </w:rPr>
        <w:t>requires the licensee</w:t>
      </w:r>
      <w:r w:rsidRPr="00CE10E4">
        <w:rPr>
          <w:rFonts w:cs="Arial"/>
          <w:bCs/>
          <w:iCs/>
          <w:sz w:val="22"/>
          <w:szCs w:val="22"/>
        </w:rPr>
        <w:t xml:space="preserve"> </w:t>
      </w:r>
      <w:r>
        <w:rPr>
          <w:rFonts w:cs="Arial"/>
          <w:bCs/>
          <w:iCs/>
          <w:sz w:val="22"/>
          <w:szCs w:val="22"/>
        </w:rPr>
        <w:t xml:space="preserve">to </w:t>
      </w:r>
      <w:r w:rsidRPr="00A25454">
        <w:rPr>
          <w:rFonts w:cs="Arial"/>
          <w:bCs/>
          <w:iCs/>
          <w:sz w:val="22"/>
          <w:szCs w:val="22"/>
        </w:rPr>
        <w:t>retain the list of persons approved for unescorted access authorization</w:t>
      </w:r>
      <w:r>
        <w:rPr>
          <w:rFonts w:cs="Arial"/>
          <w:bCs/>
          <w:iCs/>
          <w:sz w:val="22"/>
          <w:szCs w:val="22"/>
        </w:rPr>
        <w:t xml:space="preserve"> </w:t>
      </w:r>
      <w:r w:rsidRPr="00A25454">
        <w:rPr>
          <w:rFonts w:cs="Arial"/>
          <w:bCs/>
          <w:iCs/>
          <w:sz w:val="22"/>
          <w:szCs w:val="22"/>
        </w:rPr>
        <w:t>for 3 years after the list is superseded or replaced</w:t>
      </w:r>
      <w:r>
        <w:rPr>
          <w:rFonts w:cs="Arial"/>
          <w:bCs/>
          <w:iCs/>
          <w:sz w:val="22"/>
          <w:szCs w:val="22"/>
        </w:rPr>
        <w:t>.</w:t>
      </w:r>
    </w:p>
    <w:p w:rsidR="001B535D" w:rsidP="001E06B9" w:rsidRDefault="001B535D" w14:paraId="7B58D837" w14:textId="77777777">
      <w:pPr>
        <w:spacing w:after="120"/>
        <w:rPr>
          <w:b/>
          <w:sz w:val="22"/>
          <w:szCs w:val="22"/>
        </w:rPr>
      </w:pPr>
    </w:p>
    <w:p w:rsidR="001B535D" w:rsidP="001E06B9" w:rsidRDefault="001B535D" w14:paraId="7B58D838" w14:textId="77777777">
      <w:pPr>
        <w:spacing w:after="120"/>
        <w:rPr>
          <w:sz w:val="22"/>
          <w:szCs w:val="22"/>
        </w:rPr>
      </w:pPr>
      <w:r w:rsidRPr="006D2719">
        <w:rPr>
          <w:b/>
          <w:sz w:val="22"/>
          <w:szCs w:val="22"/>
        </w:rPr>
        <w:t>Section 37.25(a)(2)</w:t>
      </w:r>
      <w:r w:rsidRPr="006D2719">
        <w:rPr>
          <w:sz w:val="22"/>
          <w:szCs w:val="22"/>
        </w:rPr>
        <w:t xml:space="preserve"> requires l</w:t>
      </w:r>
      <w:r w:rsidRPr="006D2719">
        <w:rPr>
          <w:rFonts w:cs="Arial"/>
          <w:sz w:val="22"/>
          <w:szCs w:val="22"/>
        </w:rPr>
        <w:t>icensees to verify the true identity of an individual who is applying for unescorted access</w:t>
      </w:r>
    </w:p>
    <w:p w:rsidRPr="006D2719" w:rsidR="001B535D" w:rsidP="001E06B9" w:rsidRDefault="001B535D" w14:paraId="7B58D839" w14:textId="77777777">
      <w:pPr>
        <w:spacing w:after="120"/>
        <w:rPr>
          <w:sz w:val="22"/>
          <w:szCs w:val="22"/>
        </w:rPr>
      </w:pPr>
    </w:p>
    <w:p w:rsidR="001B535D" w:rsidP="001E06B9" w:rsidRDefault="001B535D" w14:paraId="7B58D83A" w14:textId="77777777">
      <w:pPr>
        <w:spacing w:after="120"/>
        <w:rPr>
          <w:sz w:val="22"/>
          <w:szCs w:val="22"/>
        </w:rPr>
      </w:pPr>
      <w:r>
        <w:rPr>
          <w:b/>
          <w:sz w:val="22"/>
          <w:szCs w:val="22"/>
        </w:rPr>
        <w:t xml:space="preserve">Section 37.25(a)(7) </w:t>
      </w:r>
      <w:r w:rsidRPr="004F697D">
        <w:rPr>
          <w:sz w:val="22"/>
          <w:szCs w:val="22"/>
        </w:rPr>
        <w:t>requires licensee</w:t>
      </w:r>
      <w:r>
        <w:rPr>
          <w:sz w:val="22"/>
          <w:szCs w:val="22"/>
        </w:rPr>
        <w:t xml:space="preserve"> to document the refusal to provide information of a </w:t>
      </w:r>
      <w:r w:rsidRPr="004F697D">
        <w:rPr>
          <w:sz w:val="22"/>
          <w:szCs w:val="22"/>
        </w:rPr>
        <w:t>previous employer, educational institution, or any other entity with which the individual claims to have been engaged</w:t>
      </w:r>
      <w:r>
        <w:rPr>
          <w:sz w:val="22"/>
          <w:szCs w:val="22"/>
        </w:rPr>
        <w:t>.</w:t>
      </w:r>
    </w:p>
    <w:p w:rsidR="001B535D" w:rsidP="001E06B9" w:rsidRDefault="001B535D" w14:paraId="7B58D83B" w14:textId="77777777">
      <w:pPr>
        <w:spacing w:after="120"/>
        <w:rPr>
          <w:sz w:val="22"/>
          <w:szCs w:val="22"/>
        </w:rPr>
      </w:pPr>
    </w:p>
    <w:p w:rsidRPr="006D2719" w:rsidR="001B535D" w:rsidP="001E06B9" w:rsidRDefault="001B535D" w14:paraId="7B58D83C" w14:textId="77777777">
      <w:pPr>
        <w:spacing w:after="120"/>
        <w:rPr>
          <w:rFonts w:cs="Arial"/>
          <w:sz w:val="22"/>
          <w:szCs w:val="22"/>
        </w:rPr>
      </w:pPr>
      <w:r w:rsidRPr="006D2719">
        <w:rPr>
          <w:b/>
          <w:sz w:val="22"/>
          <w:szCs w:val="22"/>
        </w:rPr>
        <w:t>Section 37.25(a)(</w:t>
      </w:r>
      <w:r>
        <w:rPr>
          <w:b/>
          <w:sz w:val="22"/>
          <w:szCs w:val="22"/>
        </w:rPr>
        <w:t>9)</w:t>
      </w:r>
      <w:r w:rsidRPr="006D2719">
        <w:rPr>
          <w:b/>
          <w:sz w:val="22"/>
          <w:szCs w:val="22"/>
        </w:rPr>
        <w:t xml:space="preserve"> </w:t>
      </w:r>
      <w:r w:rsidRPr="006D2719">
        <w:rPr>
          <w:sz w:val="22"/>
          <w:szCs w:val="22"/>
        </w:rPr>
        <w:t>require</w:t>
      </w:r>
      <w:r>
        <w:rPr>
          <w:sz w:val="22"/>
          <w:szCs w:val="22"/>
        </w:rPr>
        <w:t>s</w:t>
      </w:r>
      <w:r w:rsidRPr="006D2719">
        <w:rPr>
          <w:sz w:val="22"/>
          <w:szCs w:val="22"/>
        </w:rPr>
        <w:t xml:space="preserve"> the licensees to d</w:t>
      </w:r>
      <w:r w:rsidRPr="006D2719">
        <w:rPr>
          <w:rFonts w:cs="Arial"/>
          <w:sz w:val="22"/>
          <w:szCs w:val="22"/>
        </w:rPr>
        <w:t xml:space="preserve">ocument </w:t>
      </w:r>
      <w:r>
        <w:rPr>
          <w:rFonts w:cs="Arial"/>
          <w:sz w:val="22"/>
          <w:szCs w:val="22"/>
        </w:rPr>
        <w:t xml:space="preserve">in the record of the investigation </w:t>
      </w:r>
      <w:r w:rsidRPr="006D2719">
        <w:rPr>
          <w:rFonts w:cs="Arial"/>
          <w:sz w:val="22"/>
          <w:szCs w:val="22"/>
        </w:rPr>
        <w:t xml:space="preserve">the refusal, unwillingness, or inability </w:t>
      </w:r>
      <w:r>
        <w:rPr>
          <w:rFonts w:cs="Arial"/>
          <w:sz w:val="22"/>
          <w:szCs w:val="22"/>
        </w:rPr>
        <w:t>of an individual’s previous employer, educational instruction or other entity to provide information</w:t>
      </w:r>
      <w:r w:rsidRPr="006D2719">
        <w:rPr>
          <w:rFonts w:cs="Arial"/>
          <w:sz w:val="22"/>
          <w:szCs w:val="22"/>
        </w:rPr>
        <w:t>.</w:t>
      </w:r>
    </w:p>
    <w:p w:rsidRPr="006D2719" w:rsidR="001B535D" w:rsidP="001E06B9" w:rsidRDefault="001B535D" w14:paraId="7B58D83D" w14:textId="77777777">
      <w:pPr>
        <w:spacing w:after="120"/>
        <w:rPr>
          <w:sz w:val="22"/>
          <w:szCs w:val="22"/>
        </w:rPr>
      </w:pPr>
    </w:p>
    <w:p w:rsidR="001B535D" w:rsidP="001E06B9" w:rsidRDefault="001B535D" w14:paraId="7B58D83E" w14:textId="77777777">
      <w:pPr>
        <w:spacing w:after="120"/>
        <w:rPr>
          <w:rFonts w:cs="Arial"/>
          <w:sz w:val="22"/>
          <w:szCs w:val="22"/>
        </w:rPr>
      </w:pPr>
      <w:r>
        <w:rPr>
          <w:b/>
          <w:sz w:val="22"/>
          <w:szCs w:val="22"/>
        </w:rPr>
        <w:t xml:space="preserve">Section 37.25(b)(2) </w:t>
      </w:r>
      <w:r w:rsidRPr="0093135F">
        <w:rPr>
          <w:sz w:val="22"/>
          <w:szCs w:val="22"/>
        </w:rPr>
        <w:t>allows for i</w:t>
      </w:r>
      <w:r w:rsidRPr="0093135F">
        <w:rPr>
          <w:rFonts w:cs="Arial"/>
          <w:sz w:val="22"/>
          <w:szCs w:val="22"/>
        </w:rPr>
        <w:t>ndividuals</w:t>
      </w:r>
      <w:r w:rsidRPr="00A25454">
        <w:rPr>
          <w:rFonts w:cs="Arial"/>
          <w:sz w:val="22"/>
          <w:szCs w:val="22"/>
        </w:rPr>
        <w:t xml:space="preserve"> who have been determined to be trustworthy and reliable under the provisions of </w:t>
      </w:r>
      <w:r>
        <w:rPr>
          <w:rFonts w:cs="Arial"/>
          <w:sz w:val="22"/>
          <w:szCs w:val="22"/>
        </w:rPr>
        <w:t>P</w:t>
      </w:r>
      <w:r w:rsidRPr="00A25454">
        <w:rPr>
          <w:rFonts w:cs="Arial"/>
          <w:sz w:val="22"/>
          <w:szCs w:val="22"/>
        </w:rPr>
        <w:t xml:space="preserve">art 73 or the security orders for access to safeguards information, safeguards information-modified handling, or risk-significant material may have unescorted access to category 1 and category 2 quantities of radioactive material without further investigation.  </w:t>
      </w:r>
    </w:p>
    <w:p w:rsidR="001B535D" w:rsidP="001E06B9" w:rsidRDefault="001B535D" w14:paraId="7B58D83F" w14:textId="77777777">
      <w:pPr>
        <w:spacing w:after="120"/>
        <w:rPr>
          <w:b/>
          <w:sz w:val="22"/>
          <w:szCs w:val="22"/>
        </w:rPr>
      </w:pPr>
    </w:p>
    <w:p w:rsidRPr="00FD5480" w:rsidR="001B535D" w:rsidP="001E06B9" w:rsidRDefault="001B535D" w14:paraId="7B58D840" w14:textId="77777777">
      <w:pPr>
        <w:spacing w:after="120"/>
        <w:rPr>
          <w:sz w:val="22"/>
          <w:szCs w:val="22"/>
        </w:rPr>
      </w:pPr>
      <w:r>
        <w:rPr>
          <w:b/>
          <w:sz w:val="22"/>
          <w:szCs w:val="22"/>
        </w:rPr>
        <w:t>Section 37.25(c)</w:t>
      </w:r>
      <w:r>
        <w:rPr>
          <w:sz w:val="22"/>
          <w:szCs w:val="22"/>
        </w:rPr>
        <w:t xml:space="preserve"> </w:t>
      </w:r>
      <w:r>
        <w:rPr>
          <w:rFonts w:cs="Arial"/>
          <w:sz w:val="22"/>
          <w:szCs w:val="22"/>
        </w:rPr>
        <w:t>requires</w:t>
      </w:r>
      <w:r w:rsidRPr="00A25454">
        <w:rPr>
          <w:rFonts w:cs="Arial"/>
          <w:sz w:val="22"/>
          <w:szCs w:val="22"/>
        </w:rPr>
        <w:t xml:space="preserve"> a reinvestigation every 10 years for any individual with unescorted access to category 1 or category 2 quantities of radioactive material.  The reinvestigation </w:t>
      </w:r>
      <w:r>
        <w:rPr>
          <w:rFonts w:cs="Arial"/>
          <w:sz w:val="22"/>
          <w:szCs w:val="22"/>
        </w:rPr>
        <w:t>consists</w:t>
      </w:r>
      <w:r w:rsidRPr="00A25454">
        <w:rPr>
          <w:rFonts w:cs="Arial"/>
          <w:sz w:val="22"/>
          <w:szCs w:val="22"/>
        </w:rPr>
        <w:t xml:space="preserve"> of fingerprinting and an FBI identification and criminal history records check</w:t>
      </w:r>
      <w:r>
        <w:rPr>
          <w:rFonts w:cs="Arial"/>
          <w:sz w:val="22"/>
          <w:szCs w:val="22"/>
        </w:rPr>
        <w:t>.</w:t>
      </w:r>
    </w:p>
    <w:p w:rsidR="001B535D" w:rsidP="001E06B9" w:rsidRDefault="001B535D" w14:paraId="7B58D841" w14:textId="77777777">
      <w:pPr>
        <w:spacing w:after="120"/>
        <w:rPr>
          <w:b/>
          <w:sz w:val="22"/>
          <w:szCs w:val="22"/>
        </w:rPr>
      </w:pPr>
    </w:p>
    <w:p w:rsidRPr="006D2719" w:rsidR="001B535D" w:rsidP="001E06B9" w:rsidRDefault="001B535D" w14:paraId="7B58D842" w14:textId="77777777">
      <w:pPr>
        <w:spacing w:after="120"/>
        <w:rPr>
          <w:rFonts w:cs="Arial"/>
          <w:bCs/>
          <w:iCs/>
          <w:sz w:val="22"/>
          <w:szCs w:val="22"/>
        </w:rPr>
      </w:pPr>
      <w:r>
        <w:rPr>
          <w:b/>
          <w:sz w:val="22"/>
          <w:szCs w:val="22"/>
        </w:rPr>
        <w:t>Section 37.27(a)(1)</w:t>
      </w:r>
      <w:r w:rsidRPr="006D2719">
        <w:rPr>
          <w:b/>
          <w:sz w:val="22"/>
          <w:szCs w:val="22"/>
        </w:rPr>
        <w:t xml:space="preserve"> </w:t>
      </w:r>
      <w:r w:rsidRPr="00F0239C">
        <w:rPr>
          <w:sz w:val="22"/>
          <w:szCs w:val="22"/>
        </w:rPr>
        <w:t>requires</w:t>
      </w:r>
      <w:r>
        <w:rPr>
          <w:b/>
          <w:sz w:val="22"/>
          <w:szCs w:val="22"/>
        </w:rPr>
        <w:t xml:space="preserve"> </w:t>
      </w:r>
      <w:r w:rsidRPr="006D2719">
        <w:rPr>
          <w:rFonts w:cs="Arial"/>
          <w:sz w:val="22"/>
          <w:szCs w:val="22"/>
        </w:rPr>
        <w:t xml:space="preserve">each licensee </w:t>
      </w:r>
      <w:r>
        <w:rPr>
          <w:rFonts w:cs="Arial"/>
          <w:sz w:val="22"/>
          <w:szCs w:val="22"/>
        </w:rPr>
        <w:t>to</w:t>
      </w:r>
      <w:r w:rsidRPr="006D2719">
        <w:rPr>
          <w:rFonts w:cs="Arial"/>
          <w:sz w:val="22"/>
          <w:szCs w:val="22"/>
        </w:rPr>
        <w:t xml:space="preserve"> fingerprint each individual who is to be permitted unescorted access to category 1 or category 2 quantities of radioactive material</w:t>
      </w:r>
      <w:r>
        <w:rPr>
          <w:rFonts w:cs="Arial"/>
          <w:sz w:val="22"/>
          <w:szCs w:val="22"/>
        </w:rPr>
        <w:t xml:space="preserve"> and</w:t>
      </w:r>
      <w:r w:rsidRPr="006D2719">
        <w:rPr>
          <w:rFonts w:cs="Arial"/>
          <w:sz w:val="22"/>
          <w:szCs w:val="22"/>
        </w:rPr>
        <w:t xml:space="preserve"> transmit</w:t>
      </w:r>
      <w:r>
        <w:rPr>
          <w:rFonts w:cs="Arial"/>
          <w:sz w:val="22"/>
          <w:szCs w:val="22"/>
        </w:rPr>
        <w:t xml:space="preserve"> them to NRC</w:t>
      </w:r>
      <w:r w:rsidRPr="006D2719">
        <w:rPr>
          <w:rFonts w:cs="Arial"/>
          <w:sz w:val="22"/>
          <w:szCs w:val="22"/>
        </w:rPr>
        <w:t xml:space="preserve">.  </w:t>
      </w:r>
    </w:p>
    <w:p w:rsidRPr="006D2719" w:rsidR="001B535D" w:rsidP="001E06B9" w:rsidRDefault="001B535D" w14:paraId="7B58D843" w14:textId="77777777">
      <w:pPr>
        <w:spacing w:after="120"/>
        <w:rPr>
          <w:b/>
          <w:sz w:val="22"/>
          <w:szCs w:val="22"/>
        </w:rPr>
      </w:pPr>
    </w:p>
    <w:p w:rsidR="001B535D" w:rsidP="001E06B9" w:rsidRDefault="001B535D" w14:paraId="7B58D844" w14:textId="77777777">
      <w:pPr>
        <w:spacing w:after="120"/>
        <w:rPr>
          <w:sz w:val="22"/>
          <w:szCs w:val="24"/>
        </w:rPr>
      </w:pPr>
      <w:r w:rsidRPr="006D2719">
        <w:rPr>
          <w:b/>
          <w:sz w:val="22"/>
          <w:szCs w:val="22"/>
        </w:rPr>
        <w:t xml:space="preserve">Section 37.27(a)(2) </w:t>
      </w:r>
      <w:r w:rsidRPr="00DC5144">
        <w:rPr>
          <w:sz w:val="22"/>
          <w:szCs w:val="22"/>
        </w:rPr>
        <w:t xml:space="preserve">requires </w:t>
      </w:r>
      <w:r w:rsidRPr="006D2719">
        <w:rPr>
          <w:sz w:val="22"/>
          <w:szCs w:val="22"/>
        </w:rPr>
        <w:t>t</w:t>
      </w:r>
      <w:r w:rsidRPr="006D2719">
        <w:rPr>
          <w:sz w:val="22"/>
          <w:szCs w:val="24"/>
        </w:rPr>
        <w:t xml:space="preserve">he licensee </w:t>
      </w:r>
      <w:r>
        <w:rPr>
          <w:sz w:val="22"/>
          <w:szCs w:val="24"/>
        </w:rPr>
        <w:t>to</w:t>
      </w:r>
      <w:r w:rsidRPr="006D2719">
        <w:rPr>
          <w:sz w:val="22"/>
          <w:szCs w:val="24"/>
        </w:rPr>
        <w:t xml:space="preserve"> notify affected individual that his or her fingerprints will be used to secure a review of their criminal history record, and inform him or her of the procedures for revising the record or adding explanations to the record.</w:t>
      </w:r>
    </w:p>
    <w:p w:rsidR="001B535D" w:rsidP="001E06B9" w:rsidRDefault="001B535D" w14:paraId="7B58D845" w14:textId="77777777">
      <w:pPr>
        <w:spacing w:after="120"/>
        <w:rPr>
          <w:sz w:val="22"/>
          <w:szCs w:val="22"/>
        </w:rPr>
      </w:pPr>
    </w:p>
    <w:p w:rsidRPr="00532D58" w:rsidR="001B535D" w:rsidP="001E06B9" w:rsidRDefault="001B535D" w14:paraId="7B58D846" w14:textId="77777777">
      <w:pPr>
        <w:spacing w:after="120"/>
        <w:rPr>
          <w:b/>
          <w:sz w:val="22"/>
          <w:szCs w:val="22"/>
        </w:rPr>
      </w:pPr>
      <w:r w:rsidRPr="00B077E0">
        <w:rPr>
          <w:b/>
          <w:sz w:val="22"/>
          <w:szCs w:val="22"/>
        </w:rPr>
        <w:t xml:space="preserve">Section 37.27(c) </w:t>
      </w:r>
      <w:r w:rsidRPr="00E75F18">
        <w:rPr>
          <w:sz w:val="22"/>
          <w:szCs w:val="22"/>
        </w:rPr>
        <w:t>requires the licensee to develop procedures for the fingerprinting process.</w:t>
      </w:r>
      <w:r>
        <w:rPr>
          <w:b/>
          <w:sz w:val="22"/>
          <w:szCs w:val="22"/>
        </w:rPr>
        <w:t xml:space="preserve"> </w:t>
      </w:r>
    </w:p>
    <w:p w:rsidRPr="00532D58" w:rsidR="001B535D" w:rsidP="001E06B9" w:rsidRDefault="001B535D" w14:paraId="7B58D847" w14:textId="77777777">
      <w:pPr>
        <w:spacing w:after="120"/>
        <w:rPr>
          <w:sz w:val="22"/>
          <w:szCs w:val="22"/>
        </w:rPr>
      </w:pPr>
    </w:p>
    <w:p w:rsidR="001B535D" w:rsidP="001E06B9" w:rsidRDefault="001B535D" w14:paraId="7B58D848" w14:textId="77777777">
      <w:pPr>
        <w:spacing w:after="120"/>
        <w:rPr>
          <w:rFonts w:cs="Arial"/>
          <w:sz w:val="22"/>
          <w:szCs w:val="22"/>
        </w:rPr>
      </w:pPr>
      <w:r w:rsidRPr="006D2719">
        <w:rPr>
          <w:rFonts w:cs="Arial"/>
          <w:b/>
          <w:sz w:val="22"/>
          <w:szCs w:val="22"/>
        </w:rPr>
        <w:t>Section 37.29</w:t>
      </w:r>
      <w:r>
        <w:rPr>
          <w:rFonts w:cs="Arial"/>
          <w:b/>
          <w:sz w:val="22"/>
          <w:szCs w:val="22"/>
        </w:rPr>
        <w:t>(a)</w:t>
      </w:r>
      <w:r w:rsidRPr="006D2719">
        <w:rPr>
          <w:rFonts w:cs="Arial"/>
          <w:b/>
          <w:sz w:val="22"/>
          <w:szCs w:val="22"/>
        </w:rPr>
        <w:t>(</w:t>
      </w:r>
      <w:r>
        <w:rPr>
          <w:rFonts w:cs="Arial"/>
          <w:b/>
          <w:sz w:val="22"/>
          <w:szCs w:val="22"/>
        </w:rPr>
        <w:t>12</w:t>
      </w:r>
      <w:r w:rsidRPr="006D2719">
        <w:rPr>
          <w:rFonts w:cs="Arial"/>
          <w:b/>
          <w:sz w:val="22"/>
          <w:szCs w:val="22"/>
        </w:rPr>
        <w:t>)</w:t>
      </w:r>
      <w:r>
        <w:rPr>
          <w:rFonts w:cs="Arial"/>
          <w:b/>
          <w:sz w:val="22"/>
          <w:szCs w:val="22"/>
        </w:rPr>
        <w:t xml:space="preserve"> &amp; (13)</w:t>
      </w:r>
      <w:r w:rsidRPr="006D2719">
        <w:rPr>
          <w:rFonts w:cs="Arial"/>
          <w:b/>
          <w:sz w:val="22"/>
          <w:szCs w:val="22"/>
        </w:rPr>
        <w:t xml:space="preserve"> </w:t>
      </w:r>
      <w:r w:rsidRPr="00DC5144">
        <w:rPr>
          <w:rFonts w:cs="Arial"/>
          <w:sz w:val="22"/>
          <w:szCs w:val="22"/>
        </w:rPr>
        <w:t xml:space="preserve">require </w:t>
      </w:r>
      <w:r>
        <w:rPr>
          <w:rFonts w:cs="Arial"/>
          <w:sz w:val="22"/>
          <w:szCs w:val="22"/>
        </w:rPr>
        <w:t xml:space="preserve">the </w:t>
      </w:r>
      <w:r w:rsidRPr="00DC5144">
        <w:rPr>
          <w:rFonts w:cs="Arial"/>
          <w:sz w:val="22"/>
          <w:szCs w:val="22"/>
        </w:rPr>
        <w:t>licensee to maintain record</w:t>
      </w:r>
      <w:r>
        <w:rPr>
          <w:rFonts w:cs="Arial"/>
          <w:sz w:val="22"/>
          <w:szCs w:val="22"/>
        </w:rPr>
        <w:t>s for</w:t>
      </w:r>
      <w:r w:rsidRPr="00DC5144">
        <w:rPr>
          <w:rFonts w:cs="Arial"/>
          <w:sz w:val="22"/>
          <w:szCs w:val="22"/>
        </w:rPr>
        <w:t xml:space="preserve"> any individual </w:t>
      </w:r>
      <w:r>
        <w:rPr>
          <w:rFonts w:cs="Arial"/>
          <w:sz w:val="22"/>
          <w:szCs w:val="22"/>
        </w:rPr>
        <w:t xml:space="preserve">for which the licensee is relying on a previously approved clearance, favorable adjudicated criminal record check, or records transferred from another licensee. </w:t>
      </w:r>
    </w:p>
    <w:p w:rsidR="001B535D" w:rsidP="001E06B9" w:rsidRDefault="001B535D" w14:paraId="7B58D849" w14:textId="77777777">
      <w:pPr>
        <w:spacing w:after="120"/>
        <w:rPr>
          <w:rFonts w:cs="Arial"/>
          <w:sz w:val="22"/>
          <w:szCs w:val="22"/>
        </w:rPr>
      </w:pPr>
    </w:p>
    <w:p w:rsidR="001B535D" w:rsidP="001E06B9" w:rsidRDefault="001B535D" w14:paraId="7B58D84A" w14:textId="77777777">
      <w:pPr>
        <w:autoSpaceDE/>
        <w:autoSpaceDN/>
        <w:adjustRightInd/>
        <w:spacing w:after="120"/>
        <w:rPr>
          <w:rFonts w:cs="Arial"/>
          <w:b/>
          <w:sz w:val="22"/>
          <w:szCs w:val="22"/>
        </w:rPr>
      </w:pPr>
      <w:r>
        <w:rPr>
          <w:rFonts w:cs="Arial"/>
          <w:b/>
          <w:sz w:val="22"/>
          <w:szCs w:val="22"/>
        </w:rPr>
        <w:t xml:space="preserve">Section 37.29(b) </w:t>
      </w:r>
      <w:r w:rsidRPr="00DA4195">
        <w:rPr>
          <w:rFonts w:cs="Arial"/>
          <w:sz w:val="22"/>
          <w:szCs w:val="22"/>
        </w:rPr>
        <w:t xml:space="preserve">outlines </w:t>
      </w:r>
      <w:r>
        <w:rPr>
          <w:rFonts w:cs="Arial"/>
          <w:sz w:val="22"/>
          <w:szCs w:val="22"/>
        </w:rPr>
        <w:t xml:space="preserve">for the licensee when </w:t>
      </w:r>
      <w:r w:rsidRPr="00DA4195">
        <w:rPr>
          <w:rFonts w:cs="Arial"/>
          <w:sz w:val="22"/>
          <w:szCs w:val="22"/>
        </w:rPr>
        <w:t xml:space="preserve">the requirements </w:t>
      </w:r>
      <w:r>
        <w:rPr>
          <w:rFonts w:cs="Arial"/>
          <w:sz w:val="22"/>
          <w:szCs w:val="22"/>
        </w:rPr>
        <w:t>for finger</w:t>
      </w:r>
      <w:r w:rsidRPr="00DA4195">
        <w:rPr>
          <w:rFonts w:cs="Arial"/>
          <w:sz w:val="22"/>
          <w:szCs w:val="22"/>
        </w:rPr>
        <w:t xml:space="preserve">printing, and the identification and criminal history records checks are not required </w:t>
      </w:r>
      <w:r>
        <w:rPr>
          <w:rFonts w:cs="Arial"/>
          <w:sz w:val="22"/>
          <w:szCs w:val="22"/>
        </w:rPr>
        <w:t xml:space="preserve">for </w:t>
      </w:r>
      <w:r w:rsidRPr="00DA4195">
        <w:rPr>
          <w:rFonts w:cs="Arial"/>
          <w:sz w:val="22"/>
          <w:szCs w:val="22"/>
        </w:rPr>
        <w:t>individuals prior to granting unescorted access to category 1 or category 2 quantities of radioactive materials</w:t>
      </w:r>
      <w:r>
        <w:rPr>
          <w:rFonts w:cs="Arial"/>
          <w:sz w:val="22"/>
          <w:szCs w:val="22"/>
        </w:rPr>
        <w:t>.</w:t>
      </w:r>
      <w:r w:rsidRPr="00DA4195">
        <w:rPr>
          <w:rFonts w:cs="Arial"/>
          <w:b/>
          <w:sz w:val="22"/>
          <w:szCs w:val="22"/>
        </w:rPr>
        <w:t xml:space="preserve"> </w:t>
      </w:r>
    </w:p>
    <w:p w:rsidRPr="00DA4195" w:rsidR="001B535D" w:rsidP="001E06B9" w:rsidRDefault="001B535D" w14:paraId="7B58D84B" w14:textId="77777777">
      <w:pPr>
        <w:autoSpaceDE/>
        <w:autoSpaceDN/>
        <w:adjustRightInd/>
        <w:spacing w:after="120"/>
        <w:rPr>
          <w:rFonts w:cs="Arial"/>
          <w:b/>
          <w:sz w:val="22"/>
          <w:szCs w:val="22"/>
        </w:rPr>
      </w:pPr>
    </w:p>
    <w:p w:rsidRPr="006D2719" w:rsidR="001B535D" w:rsidP="001E06B9" w:rsidRDefault="001B535D" w14:paraId="7B58D84C" w14:textId="77777777">
      <w:pPr>
        <w:autoSpaceDE/>
        <w:autoSpaceDN/>
        <w:adjustRightInd/>
        <w:spacing w:after="120"/>
        <w:rPr>
          <w:sz w:val="22"/>
          <w:szCs w:val="24"/>
        </w:rPr>
      </w:pPr>
      <w:r w:rsidRPr="006D2719">
        <w:rPr>
          <w:rFonts w:cs="Arial"/>
          <w:b/>
          <w:sz w:val="22"/>
          <w:szCs w:val="22"/>
        </w:rPr>
        <w:t>Section 37.31(a)</w:t>
      </w:r>
      <w:r w:rsidRPr="006D2719">
        <w:rPr>
          <w:rFonts w:cs="Arial"/>
          <w:sz w:val="22"/>
          <w:szCs w:val="22"/>
        </w:rPr>
        <w:t xml:space="preserve"> </w:t>
      </w:r>
      <w:r>
        <w:rPr>
          <w:rFonts w:cs="Arial"/>
          <w:sz w:val="22"/>
          <w:szCs w:val="22"/>
        </w:rPr>
        <w:t xml:space="preserve">requires </w:t>
      </w:r>
      <w:r w:rsidRPr="006D2719">
        <w:rPr>
          <w:rFonts w:cs="Arial"/>
          <w:sz w:val="22"/>
          <w:szCs w:val="22"/>
        </w:rPr>
        <w:t>e</w:t>
      </w:r>
      <w:r w:rsidRPr="006D2719">
        <w:rPr>
          <w:sz w:val="22"/>
          <w:szCs w:val="24"/>
        </w:rPr>
        <w:t xml:space="preserve">ach licensee who obtains background information on an individual </w:t>
      </w:r>
      <w:r>
        <w:rPr>
          <w:sz w:val="22"/>
          <w:szCs w:val="24"/>
        </w:rPr>
        <w:t xml:space="preserve">to </w:t>
      </w:r>
      <w:r w:rsidRPr="006D2719">
        <w:rPr>
          <w:sz w:val="22"/>
          <w:szCs w:val="24"/>
        </w:rPr>
        <w:t xml:space="preserve">establish and maintain a system of files and written procedures for protection of the record and the personal information from unauthorized disclosure.  </w:t>
      </w:r>
    </w:p>
    <w:p w:rsidRPr="006D2719" w:rsidR="001B535D" w:rsidP="001E06B9" w:rsidRDefault="001B535D" w14:paraId="7B58D84D" w14:textId="77777777">
      <w:pPr>
        <w:spacing w:after="120"/>
        <w:rPr>
          <w:rFonts w:cs="Arial"/>
          <w:sz w:val="22"/>
          <w:szCs w:val="22"/>
        </w:rPr>
      </w:pPr>
    </w:p>
    <w:p w:rsidRPr="006D2719" w:rsidR="001B535D" w:rsidP="001E06B9" w:rsidRDefault="001B535D" w14:paraId="7B58D84E" w14:textId="77777777">
      <w:pPr>
        <w:spacing w:after="120"/>
        <w:rPr>
          <w:rFonts w:cs="Arial"/>
          <w:sz w:val="22"/>
          <w:szCs w:val="22"/>
        </w:rPr>
      </w:pPr>
      <w:r w:rsidRPr="006D2719">
        <w:rPr>
          <w:rFonts w:cs="Arial"/>
          <w:b/>
          <w:sz w:val="22"/>
          <w:szCs w:val="22"/>
        </w:rPr>
        <w:t>Section 37.31(e)</w:t>
      </w:r>
      <w:r w:rsidRPr="006D2719">
        <w:rPr>
          <w:rFonts w:cs="Arial"/>
          <w:sz w:val="22"/>
          <w:szCs w:val="22"/>
        </w:rPr>
        <w:t xml:space="preserve"> </w:t>
      </w:r>
      <w:r>
        <w:rPr>
          <w:rFonts w:cs="Arial"/>
          <w:sz w:val="22"/>
          <w:szCs w:val="22"/>
        </w:rPr>
        <w:t xml:space="preserve">requires </w:t>
      </w:r>
      <w:r w:rsidRPr="006D2719">
        <w:rPr>
          <w:rFonts w:cs="Arial"/>
          <w:sz w:val="22"/>
          <w:szCs w:val="22"/>
        </w:rPr>
        <w:t xml:space="preserve">the licensee </w:t>
      </w:r>
      <w:r>
        <w:rPr>
          <w:rFonts w:cs="Arial"/>
          <w:sz w:val="22"/>
          <w:szCs w:val="22"/>
        </w:rPr>
        <w:t>to</w:t>
      </w:r>
      <w:r w:rsidRPr="006D2719">
        <w:rPr>
          <w:rFonts w:cs="Arial"/>
          <w:sz w:val="22"/>
          <w:szCs w:val="22"/>
        </w:rPr>
        <w:t xml:space="preserve"> retain all fingerprint and criminal history records received from the FBI</w:t>
      </w:r>
      <w:r>
        <w:rPr>
          <w:rFonts w:cs="Arial"/>
          <w:sz w:val="22"/>
          <w:szCs w:val="22"/>
        </w:rPr>
        <w:t xml:space="preserve">. </w:t>
      </w:r>
    </w:p>
    <w:p w:rsidRPr="006D2719" w:rsidR="001B535D" w:rsidP="001E06B9" w:rsidRDefault="001B535D" w14:paraId="7B58D84F" w14:textId="77777777">
      <w:pPr>
        <w:spacing w:after="120"/>
        <w:rPr>
          <w:rFonts w:cs="Arial"/>
          <w:sz w:val="22"/>
          <w:szCs w:val="22"/>
          <w:u w:val="single"/>
        </w:rPr>
      </w:pPr>
    </w:p>
    <w:p w:rsidR="001B535D" w:rsidP="001E06B9" w:rsidRDefault="001B535D" w14:paraId="7B58D850" w14:textId="77777777">
      <w:pPr>
        <w:spacing w:after="120"/>
        <w:rPr>
          <w:rFonts w:cs="Arial"/>
          <w:sz w:val="22"/>
          <w:szCs w:val="22"/>
        </w:rPr>
      </w:pPr>
      <w:r w:rsidRPr="006D2719">
        <w:rPr>
          <w:rFonts w:cs="Arial"/>
          <w:b/>
          <w:sz w:val="22"/>
          <w:szCs w:val="22"/>
        </w:rPr>
        <w:t>Section 37.33(b)</w:t>
      </w:r>
      <w:r>
        <w:rPr>
          <w:rFonts w:cs="Arial"/>
          <w:b/>
          <w:sz w:val="22"/>
          <w:szCs w:val="22"/>
        </w:rPr>
        <w:t xml:space="preserve"> </w:t>
      </w:r>
      <w:r w:rsidRPr="006D2719">
        <w:rPr>
          <w:rFonts w:cs="Arial"/>
          <w:b/>
          <w:sz w:val="22"/>
          <w:szCs w:val="22"/>
        </w:rPr>
        <w:t>&amp;</w:t>
      </w:r>
      <w:r>
        <w:rPr>
          <w:rFonts w:cs="Arial"/>
          <w:b/>
          <w:sz w:val="22"/>
          <w:szCs w:val="22"/>
        </w:rPr>
        <w:t xml:space="preserve"> </w:t>
      </w:r>
      <w:r w:rsidRPr="006D2719">
        <w:rPr>
          <w:rFonts w:cs="Arial"/>
          <w:b/>
          <w:sz w:val="22"/>
          <w:szCs w:val="22"/>
        </w:rPr>
        <w:t xml:space="preserve">(c) </w:t>
      </w:r>
      <w:r w:rsidRPr="006D2719">
        <w:rPr>
          <w:rFonts w:cs="Arial"/>
          <w:sz w:val="22"/>
          <w:szCs w:val="22"/>
        </w:rPr>
        <w:t>requires e</w:t>
      </w:r>
      <w:r w:rsidRPr="006D2719">
        <w:rPr>
          <w:sz w:val="22"/>
          <w:szCs w:val="22"/>
        </w:rPr>
        <w:t xml:space="preserve">ach licensee to </w:t>
      </w:r>
      <w:r>
        <w:rPr>
          <w:sz w:val="22"/>
          <w:szCs w:val="22"/>
        </w:rPr>
        <w:t xml:space="preserve">document the results of a program review to ensure </w:t>
      </w:r>
      <w:r w:rsidRPr="006D2719">
        <w:rPr>
          <w:sz w:val="22"/>
          <w:szCs w:val="22"/>
        </w:rPr>
        <w:t xml:space="preserve">the continuing effectiveness of the access authorization program.  </w:t>
      </w:r>
    </w:p>
    <w:p w:rsidRPr="006D2719" w:rsidR="001B535D" w:rsidP="001E06B9" w:rsidRDefault="001B535D" w14:paraId="7B58D851" w14:textId="77777777">
      <w:pPr>
        <w:spacing w:after="120"/>
        <w:rPr>
          <w:rFonts w:cs="Arial"/>
          <w:sz w:val="22"/>
          <w:szCs w:val="22"/>
        </w:rPr>
      </w:pPr>
    </w:p>
    <w:p w:rsidRPr="00AC24EC" w:rsidR="001B535D" w:rsidP="001E06B9" w:rsidRDefault="001B535D" w14:paraId="7B58D852" w14:textId="77777777">
      <w:pPr>
        <w:spacing w:after="120"/>
        <w:rPr>
          <w:rFonts w:cs="Arial"/>
          <w:sz w:val="22"/>
          <w:szCs w:val="22"/>
        </w:rPr>
      </w:pPr>
      <w:r>
        <w:rPr>
          <w:rFonts w:cs="Arial"/>
          <w:b/>
          <w:sz w:val="22"/>
          <w:szCs w:val="22"/>
        </w:rPr>
        <w:t>Section 37.41(a)(3)</w:t>
      </w:r>
      <w:r w:rsidRPr="00AC24EC">
        <w:rPr>
          <w:rFonts w:cs="Arial"/>
          <w:sz w:val="22"/>
          <w:szCs w:val="22"/>
        </w:rPr>
        <w:t xml:space="preserve"> </w:t>
      </w:r>
      <w:r>
        <w:rPr>
          <w:rFonts w:cs="Arial"/>
          <w:sz w:val="22"/>
          <w:szCs w:val="22"/>
        </w:rPr>
        <w:t>requires a</w:t>
      </w:r>
      <w:r w:rsidRPr="00AC24EC">
        <w:rPr>
          <w:rFonts w:cs="Arial"/>
          <w:sz w:val="22"/>
          <w:szCs w:val="22"/>
        </w:rPr>
        <w:t>ny licensee that has not previously implemented the Security Orders or been subject to the provisions of subpart C shall provide written notification to the NRC regional office at least 90 days before aggregating radioactive material to a quantity that equals or exceeds the category 2 threshold.</w:t>
      </w:r>
    </w:p>
    <w:p w:rsidR="001B535D" w:rsidP="001E06B9" w:rsidRDefault="001B535D" w14:paraId="7B58D853" w14:textId="77777777">
      <w:pPr>
        <w:spacing w:after="120"/>
        <w:rPr>
          <w:rFonts w:cs="Arial"/>
          <w:b/>
          <w:sz w:val="22"/>
          <w:szCs w:val="22"/>
        </w:rPr>
      </w:pPr>
    </w:p>
    <w:p w:rsidR="001B535D" w:rsidP="001E06B9" w:rsidRDefault="001B535D" w14:paraId="7B58D854" w14:textId="77777777">
      <w:pPr>
        <w:spacing w:after="120"/>
        <w:rPr>
          <w:rFonts w:cs="Arial"/>
          <w:sz w:val="22"/>
          <w:szCs w:val="22"/>
        </w:rPr>
      </w:pPr>
      <w:r>
        <w:rPr>
          <w:rFonts w:cs="Arial"/>
          <w:b/>
          <w:sz w:val="22"/>
          <w:szCs w:val="22"/>
        </w:rPr>
        <w:t xml:space="preserve">Section 37.43(a)(1) </w:t>
      </w:r>
      <w:r w:rsidRPr="008E7B22">
        <w:rPr>
          <w:rFonts w:cs="Arial"/>
          <w:sz w:val="22"/>
          <w:szCs w:val="22"/>
        </w:rPr>
        <w:t>requires the licensee to</w:t>
      </w:r>
      <w:r w:rsidRPr="00A25454">
        <w:rPr>
          <w:rFonts w:cs="Arial"/>
          <w:sz w:val="22"/>
          <w:szCs w:val="22"/>
        </w:rPr>
        <w:t xml:space="preserve"> develop a written security plan specific to its facilities and operations.  </w:t>
      </w:r>
    </w:p>
    <w:p w:rsidR="001B535D" w:rsidP="001E06B9" w:rsidRDefault="001B535D" w14:paraId="7B58D855" w14:textId="77777777">
      <w:pPr>
        <w:spacing w:after="120"/>
        <w:rPr>
          <w:rFonts w:cs="Arial"/>
          <w:b/>
          <w:sz w:val="22"/>
          <w:szCs w:val="22"/>
        </w:rPr>
      </w:pPr>
    </w:p>
    <w:p w:rsidRPr="006D2719" w:rsidR="001B535D" w:rsidP="001E06B9" w:rsidRDefault="001B535D" w14:paraId="7B58D856" w14:textId="77777777">
      <w:pPr>
        <w:spacing w:after="120"/>
        <w:rPr>
          <w:rFonts w:cs="Arial"/>
          <w:sz w:val="22"/>
          <w:szCs w:val="22"/>
        </w:rPr>
      </w:pPr>
      <w:r w:rsidRPr="006D2719">
        <w:rPr>
          <w:rFonts w:cs="Arial"/>
          <w:b/>
          <w:sz w:val="22"/>
          <w:szCs w:val="22"/>
        </w:rPr>
        <w:t>Section 37.43(a)(4)</w:t>
      </w:r>
      <w:r w:rsidRPr="006D2719">
        <w:rPr>
          <w:rFonts w:cs="Arial"/>
          <w:sz w:val="22"/>
          <w:szCs w:val="22"/>
        </w:rPr>
        <w:t xml:space="preserve"> </w:t>
      </w:r>
      <w:r>
        <w:rPr>
          <w:rFonts w:cs="Arial"/>
          <w:sz w:val="22"/>
          <w:szCs w:val="22"/>
        </w:rPr>
        <w:t xml:space="preserve">requires </w:t>
      </w:r>
      <w:r w:rsidRPr="006D2719">
        <w:rPr>
          <w:rFonts w:cs="Arial"/>
          <w:sz w:val="22"/>
          <w:szCs w:val="22"/>
        </w:rPr>
        <w:t xml:space="preserve">the licensee </w:t>
      </w:r>
      <w:r>
        <w:rPr>
          <w:rFonts w:cs="Arial"/>
          <w:sz w:val="22"/>
          <w:szCs w:val="22"/>
        </w:rPr>
        <w:t>to</w:t>
      </w:r>
      <w:r w:rsidRPr="006D2719">
        <w:rPr>
          <w:rFonts w:cs="Arial"/>
          <w:sz w:val="22"/>
          <w:szCs w:val="22"/>
        </w:rPr>
        <w:t xml:space="preserve"> retain a copy of the current security plan as a record until the </w:t>
      </w:r>
      <w:r>
        <w:rPr>
          <w:rFonts w:cs="Arial"/>
          <w:sz w:val="22"/>
          <w:szCs w:val="22"/>
        </w:rPr>
        <w:t>NRC</w:t>
      </w:r>
      <w:r w:rsidRPr="006D2719">
        <w:rPr>
          <w:rFonts w:cs="Arial"/>
          <w:sz w:val="22"/>
          <w:szCs w:val="22"/>
        </w:rPr>
        <w:t xml:space="preserve"> terminates the license and, if any portion of the plan is superseded, retain the superseded material for </w:t>
      </w:r>
      <w:r>
        <w:rPr>
          <w:rFonts w:cs="Arial"/>
          <w:sz w:val="22"/>
          <w:szCs w:val="22"/>
        </w:rPr>
        <w:t>3</w:t>
      </w:r>
      <w:r w:rsidRPr="006D2719">
        <w:rPr>
          <w:rFonts w:cs="Arial"/>
          <w:sz w:val="22"/>
          <w:szCs w:val="22"/>
        </w:rPr>
        <w:t xml:space="preserve"> years after the record is superseded.</w:t>
      </w:r>
    </w:p>
    <w:p w:rsidRPr="006D2719" w:rsidR="001B535D" w:rsidP="001E06B9" w:rsidRDefault="001B535D" w14:paraId="7B58D857" w14:textId="77777777">
      <w:pPr>
        <w:spacing w:after="120"/>
        <w:rPr>
          <w:rFonts w:cs="Arial"/>
          <w:sz w:val="22"/>
          <w:szCs w:val="22"/>
          <w:u w:val="single"/>
        </w:rPr>
      </w:pPr>
    </w:p>
    <w:p w:rsidR="001B535D" w:rsidP="001E06B9" w:rsidRDefault="001B535D" w14:paraId="7B58D858" w14:textId="77777777">
      <w:pPr>
        <w:spacing w:after="120"/>
        <w:rPr>
          <w:rFonts w:cs="Arial"/>
          <w:sz w:val="22"/>
          <w:szCs w:val="22"/>
        </w:rPr>
      </w:pPr>
      <w:r w:rsidRPr="006D2719">
        <w:rPr>
          <w:rFonts w:cs="Arial"/>
          <w:b/>
          <w:sz w:val="22"/>
          <w:szCs w:val="22"/>
        </w:rPr>
        <w:t>Section 37.43(b)(3)</w:t>
      </w:r>
      <w:r w:rsidRPr="006D2719">
        <w:rPr>
          <w:rFonts w:cs="Arial"/>
          <w:sz w:val="22"/>
          <w:szCs w:val="22"/>
        </w:rPr>
        <w:t xml:space="preserve"> </w:t>
      </w:r>
      <w:r>
        <w:rPr>
          <w:rFonts w:cs="Arial"/>
          <w:sz w:val="22"/>
          <w:szCs w:val="22"/>
        </w:rPr>
        <w:t>requires t</w:t>
      </w:r>
      <w:r w:rsidRPr="00A502A3">
        <w:rPr>
          <w:rFonts w:cs="Arial"/>
          <w:sz w:val="22"/>
          <w:szCs w:val="22"/>
        </w:rPr>
        <w:t xml:space="preserve">he licensee </w:t>
      </w:r>
      <w:r>
        <w:rPr>
          <w:rFonts w:cs="Arial"/>
          <w:sz w:val="22"/>
          <w:szCs w:val="22"/>
        </w:rPr>
        <w:t>to</w:t>
      </w:r>
      <w:r w:rsidRPr="00A502A3">
        <w:rPr>
          <w:rFonts w:cs="Arial"/>
          <w:sz w:val="22"/>
          <w:szCs w:val="22"/>
        </w:rPr>
        <w:t xml:space="preserve"> retain a copy of the current procedure as a record </w:t>
      </w:r>
      <w:r>
        <w:rPr>
          <w:rFonts w:cs="Arial"/>
          <w:sz w:val="22"/>
          <w:szCs w:val="22"/>
        </w:rPr>
        <w:t>for 3 years after the procedure is no longer needed.  Superseded</w:t>
      </w:r>
      <w:r w:rsidRPr="00A502A3">
        <w:rPr>
          <w:rFonts w:cs="Arial"/>
          <w:sz w:val="22"/>
          <w:szCs w:val="22"/>
        </w:rPr>
        <w:t xml:space="preserve"> portion</w:t>
      </w:r>
      <w:r>
        <w:rPr>
          <w:rFonts w:cs="Arial"/>
          <w:sz w:val="22"/>
          <w:szCs w:val="22"/>
        </w:rPr>
        <w:t>s</w:t>
      </w:r>
      <w:r w:rsidRPr="00A502A3">
        <w:rPr>
          <w:rFonts w:cs="Arial"/>
          <w:sz w:val="22"/>
          <w:szCs w:val="22"/>
        </w:rPr>
        <w:t xml:space="preserve"> of the procedure </w:t>
      </w:r>
      <w:r>
        <w:rPr>
          <w:rFonts w:cs="Arial"/>
          <w:sz w:val="22"/>
          <w:szCs w:val="22"/>
        </w:rPr>
        <w:t>must be</w:t>
      </w:r>
      <w:r w:rsidRPr="00A502A3">
        <w:rPr>
          <w:rFonts w:cs="Arial"/>
          <w:sz w:val="22"/>
          <w:szCs w:val="22"/>
        </w:rPr>
        <w:t xml:space="preserve"> retain</w:t>
      </w:r>
      <w:r>
        <w:rPr>
          <w:rFonts w:cs="Arial"/>
          <w:sz w:val="22"/>
          <w:szCs w:val="22"/>
        </w:rPr>
        <w:t>ed</w:t>
      </w:r>
      <w:r w:rsidRPr="00A502A3">
        <w:rPr>
          <w:rFonts w:cs="Arial"/>
          <w:sz w:val="22"/>
          <w:szCs w:val="22"/>
        </w:rPr>
        <w:t xml:space="preserve"> for 3 years after the record is superseded</w:t>
      </w:r>
      <w:r>
        <w:rPr>
          <w:rFonts w:cs="Arial"/>
          <w:sz w:val="22"/>
          <w:szCs w:val="22"/>
        </w:rPr>
        <w:t>.</w:t>
      </w:r>
    </w:p>
    <w:p w:rsidR="001B535D" w:rsidP="001E06B9" w:rsidRDefault="001B535D" w14:paraId="7B58D859" w14:textId="77777777">
      <w:pPr>
        <w:spacing w:after="120"/>
        <w:rPr>
          <w:rFonts w:cs="Arial"/>
          <w:sz w:val="22"/>
          <w:szCs w:val="22"/>
        </w:rPr>
      </w:pPr>
    </w:p>
    <w:p w:rsidR="001B535D" w:rsidP="001E06B9" w:rsidRDefault="001B535D" w14:paraId="7B58D85A" w14:textId="77777777">
      <w:pPr>
        <w:spacing w:after="120"/>
        <w:rPr>
          <w:rFonts w:cs="Arial"/>
          <w:b/>
          <w:sz w:val="22"/>
          <w:szCs w:val="22"/>
        </w:rPr>
      </w:pPr>
      <w:r>
        <w:rPr>
          <w:rFonts w:cs="Arial"/>
          <w:b/>
          <w:sz w:val="22"/>
          <w:szCs w:val="22"/>
        </w:rPr>
        <w:t xml:space="preserve">Section 37.43(c) </w:t>
      </w:r>
      <w:r w:rsidRPr="008E7B22">
        <w:rPr>
          <w:rFonts w:cs="Arial"/>
          <w:sz w:val="22"/>
          <w:szCs w:val="22"/>
        </w:rPr>
        <w:t>requires e</w:t>
      </w:r>
      <w:r w:rsidRPr="00A25454">
        <w:rPr>
          <w:rFonts w:cs="Arial"/>
          <w:sz w:val="22"/>
          <w:szCs w:val="22"/>
        </w:rPr>
        <w:t xml:space="preserve">ach licensee </w:t>
      </w:r>
      <w:r>
        <w:rPr>
          <w:rFonts w:cs="Arial"/>
          <w:sz w:val="22"/>
          <w:szCs w:val="22"/>
        </w:rPr>
        <w:t>to</w:t>
      </w:r>
      <w:r w:rsidRPr="00A25454">
        <w:rPr>
          <w:rFonts w:cs="Arial"/>
          <w:sz w:val="22"/>
          <w:szCs w:val="22"/>
        </w:rPr>
        <w:t xml:space="preserve"> conduct training to ensure that those individuals implementing the security program possess and maintain the knowledge, skills, and abilities to carry out their assigned duties and responsibilities effectively</w:t>
      </w:r>
    </w:p>
    <w:p w:rsidR="001B535D" w:rsidP="001E06B9" w:rsidRDefault="001B535D" w14:paraId="7B58D85B" w14:textId="77777777">
      <w:pPr>
        <w:spacing w:after="120"/>
        <w:rPr>
          <w:rFonts w:cs="Arial"/>
          <w:b/>
          <w:sz w:val="22"/>
          <w:szCs w:val="22"/>
        </w:rPr>
      </w:pPr>
    </w:p>
    <w:p w:rsidR="001B535D" w:rsidP="001E06B9" w:rsidRDefault="001B535D" w14:paraId="7B58D85C" w14:textId="77777777">
      <w:pPr>
        <w:spacing w:after="120"/>
        <w:rPr>
          <w:rFonts w:cs="Arial"/>
          <w:sz w:val="22"/>
          <w:szCs w:val="22"/>
        </w:rPr>
      </w:pPr>
      <w:r w:rsidRPr="00EA57C5">
        <w:rPr>
          <w:rFonts w:cs="Arial"/>
          <w:b/>
          <w:sz w:val="22"/>
          <w:szCs w:val="22"/>
        </w:rPr>
        <w:t>Section 37.43(c)(4)</w:t>
      </w:r>
      <w:r>
        <w:rPr>
          <w:rFonts w:cs="Arial"/>
          <w:sz w:val="22"/>
          <w:szCs w:val="22"/>
        </w:rPr>
        <w:t xml:space="preserve"> requires t</w:t>
      </w:r>
      <w:r w:rsidRPr="00BF58FB">
        <w:rPr>
          <w:rFonts w:cs="Arial"/>
          <w:sz w:val="22"/>
          <w:szCs w:val="24"/>
        </w:rPr>
        <w:t xml:space="preserve">he licensee </w:t>
      </w:r>
      <w:r>
        <w:rPr>
          <w:rFonts w:cs="Arial"/>
          <w:sz w:val="22"/>
          <w:szCs w:val="24"/>
        </w:rPr>
        <w:t>to</w:t>
      </w:r>
      <w:r w:rsidRPr="00BF58FB">
        <w:rPr>
          <w:rFonts w:cs="Arial"/>
          <w:sz w:val="22"/>
          <w:szCs w:val="24"/>
        </w:rPr>
        <w:t xml:space="preserve"> maintain records of the initial and refresher training </w:t>
      </w:r>
      <w:r>
        <w:rPr>
          <w:rFonts w:cs="Arial"/>
          <w:sz w:val="22"/>
          <w:szCs w:val="24"/>
        </w:rPr>
        <w:t xml:space="preserve">on the security plan </w:t>
      </w:r>
      <w:r w:rsidRPr="00BF58FB">
        <w:rPr>
          <w:rFonts w:cs="Arial"/>
          <w:sz w:val="22"/>
          <w:szCs w:val="24"/>
        </w:rPr>
        <w:t xml:space="preserve">for </w:t>
      </w:r>
      <w:r>
        <w:rPr>
          <w:rFonts w:cs="Arial"/>
          <w:sz w:val="22"/>
          <w:szCs w:val="24"/>
        </w:rPr>
        <w:t>3</w:t>
      </w:r>
      <w:r w:rsidRPr="00BF58FB">
        <w:rPr>
          <w:rFonts w:cs="Arial"/>
          <w:sz w:val="22"/>
          <w:szCs w:val="24"/>
        </w:rPr>
        <w:t xml:space="preserve"> years from the date of the training</w:t>
      </w:r>
      <w:r>
        <w:rPr>
          <w:rFonts w:cs="Arial"/>
          <w:sz w:val="22"/>
          <w:szCs w:val="22"/>
        </w:rPr>
        <w:t xml:space="preserve">. </w:t>
      </w:r>
    </w:p>
    <w:p w:rsidRPr="006D2719" w:rsidR="001B535D" w:rsidP="001E06B9" w:rsidRDefault="001B535D" w14:paraId="7B58D85D" w14:textId="77777777">
      <w:pPr>
        <w:spacing w:after="120"/>
        <w:rPr>
          <w:rFonts w:cs="Arial"/>
          <w:sz w:val="22"/>
          <w:szCs w:val="22"/>
        </w:rPr>
      </w:pPr>
    </w:p>
    <w:p w:rsidR="001B535D" w:rsidP="001E06B9" w:rsidRDefault="001B535D" w14:paraId="7B58D85E" w14:textId="77777777">
      <w:pPr>
        <w:autoSpaceDE/>
        <w:autoSpaceDN/>
        <w:adjustRightInd/>
        <w:spacing w:after="120"/>
        <w:rPr>
          <w:rFonts w:cs="Arial"/>
          <w:sz w:val="22"/>
          <w:szCs w:val="24"/>
        </w:rPr>
      </w:pPr>
      <w:r>
        <w:rPr>
          <w:rFonts w:cs="Arial"/>
          <w:b/>
          <w:sz w:val="22"/>
          <w:szCs w:val="24"/>
        </w:rPr>
        <w:t xml:space="preserve">Section 37.43(d)(3)(ii) </w:t>
      </w:r>
      <w:r w:rsidRPr="002509B2">
        <w:rPr>
          <w:rFonts w:cs="Arial"/>
          <w:sz w:val="22"/>
          <w:szCs w:val="24"/>
        </w:rPr>
        <w:t xml:space="preserve">requires </w:t>
      </w:r>
      <w:r>
        <w:rPr>
          <w:rFonts w:cs="Arial"/>
          <w:sz w:val="22"/>
          <w:szCs w:val="24"/>
        </w:rPr>
        <w:t xml:space="preserve">the licensee to </w:t>
      </w:r>
      <w:r w:rsidRPr="009A6A3C">
        <w:rPr>
          <w:rFonts w:cs="Arial"/>
          <w:sz w:val="22"/>
          <w:szCs w:val="24"/>
        </w:rPr>
        <w:t xml:space="preserve">complete a background investigation to determine the individual’s trustworthiness and reliability </w:t>
      </w:r>
      <w:r>
        <w:rPr>
          <w:rFonts w:cs="Arial"/>
          <w:sz w:val="22"/>
          <w:szCs w:val="24"/>
        </w:rPr>
        <w:t>b</w:t>
      </w:r>
      <w:r w:rsidRPr="002509B2">
        <w:rPr>
          <w:rFonts w:cs="Arial"/>
          <w:sz w:val="22"/>
          <w:szCs w:val="24"/>
        </w:rPr>
        <w:t>efore granting an individual access to the security plan or implement</w:t>
      </w:r>
      <w:r>
        <w:rPr>
          <w:rFonts w:cs="Arial"/>
          <w:sz w:val="22"/>
          <w:szCs w:val="24"/>
        </w:rPr>
        <w:t>ing procedures</w:t>
      </w:r>
      <w:r w:rsidRPr="002509B2">
        <w:rPr>
          <w:rFonts w:cs="Arial"/>
          <w:sz w:val="22"/>
          <w:szCs w:val="24"/>
        </w:rPr>
        <w:t xml:space="preserve">.  </w:t>
      </w:r>
    </w:p>
    <w:p w:rsidRPr="002509B2" w:rsidR="001B535D" w:rsidP="001E06B9" w:rsidRDefault="001B535D" w14:paraId="7B58D85F" w14:textId="77777777">
      <w:pPr>
        <w:autoSpaceDE/>
        <w:autoSpaceDN/>
        <w:adjustRightInd/>
        <w:spacing w:after="120"/>
        <w:rPr>
          <w:rFonts w:cs="Arial"/>
          <w:sz w:val="22"/>
          <w:szCs w:val="24"/>
        </w:rPr>
      </w:pPr>
    </w:p>
    <w:p w:rsidRPr="00B55FA8" w:rsidR="001B535D" w:rsidP="001E06B9" w:rsidRDefault="001B535D" w14:paraId="7B58D860" w14:textId="77777777">
      <w:pPr>
        <w:autoSpaceDE/>
        <w:autoSpaceDN/>
        <w:adjustRightInd/>
        <w:spacing w:after="120"/>
        <w:rPr>
          <w:rFonts w:cs="Arial"/>
          <w:sz w:val="22"/>
          <w:szCs w:val="24"/>
        </w:rPr>
      </w:pPr>
      <w:r>
        <w:rPr>
          <w:rFonts w:cs="Arial"/>
          <w:b/>
          <w:sz w:val="22"/>
          <w:szCs w:val="24"/>
        </w:rPr>
        <w:t xml:space="preserve">Section 37.43(d)(5) </w:t>
      </w:r>
      <w:r w:rsidRPr="00F623CC">
        <w:rPr>
          <w:rFonts w:cs="Arial"/>
          <w:sz w:val="22"/>
          <w:szCs w:val="24"/>
        </w:rPr>
        <w:t>requires t</w:t>
      </w:r>
      <w:r w:rsidRPr="00F623CC">
        <w:rPr>
          <w:rFonts w:cs="Arial"/>
          <w:sz w:val="22"/>
          <w:szCs w:val="22"/>
        </w:rPr>
        <w:t>he</w:t>
      </w:r>
      <w:r w:rsidRPr="00A25454">
        <w:rPr>
          <w:rFonts w:cs="Arial"/>
          <w:sz w:val="22"/>
          <w:szCs w:val="22"/>
        </w:rPr>
        <w:t xml:space="preserve"> licensee </w:t>
      </w:r>
      <w:r>
        <w:rPr>
          <w:rFonts w:cs="Arial"/>
          <w:sz w:val="22"/>
          <w:szCs w:val="22"/>
        </w:rPr>
        <w:t>to</w:t>
      </w:r>
      <w:r w:rsidRPr="00A25454">
        <w:rPr>
          <w:rFonts w:cs="Arial"/>
          <w:sz w:val="22"/>
          <w:szCs w:val="22"/>
        </w:rPr>
        <w:t xml:space="preserve"> document the basis for concluding </w:t>
      </w:r>
      <w:r w:rsidRPr="00B55FA8">
        <w:rPr>
          <w:rFonts w:cs="Arial"/>
          <w:sz w:val="22"/>
          <w:szCs w:val="22"/>
        </w:rPr>
        <w:t>that an individual is trustworthy and reliable and should be granted access to the security plan or implementing procedures.</w:t>
      </w:r>
    </w:p>
    <w:p w:rsidRPr="00B55FA8" w:rsidR="001B535D" w:rsidP="001E06B9" w:rsidRDefault="001B535D" w14:paraId="7B58D861" w14:textId="77777777">
      <w:pPr>
        <w:autoSpaceDE/>
        <w:autoSpaceDN/>
        <w:adjustRightInd/>
        <w:spacing w:after="120"/>
        <w:rPr>
          <w:rFonts w:cs="Arial"/>
          <w:sz w:val="22"/>
          <w:szCs w:val="24"/>
        </w:rPr>
      </w:pPr>
    </w:p>
    <w:p w:rsidR="001B535D" w:rsidP="001E06B9" w:rsidRDefault="001B535D" w14:paraId="7B58D862" w14:textId="77777777">
      <w:pPr>
        <w:autoSpaceDE/>
        <w:autoSpaceDN/>
        <w:adjustRightInd/>
        <w:spacing w:after="120"/>
        <w:rPr>
          <w:rFonts w:cs="Arial"/>
          <w:sz w:val="22"/>
          <w:szCs w:val="24"/>
        </w:rPr>
      </w:pPr>
      <w:r w:rsidRPr="00DC7396">
        <w:rPr>
          <w:rFonts w:cs="Arial"/>
          <w:b/>
          <w:sz w:val="22"/>
          <w:szCs w:val="24"/>
        </w:rPr>
        <w:t>Section 37.43(d)(</w:t>
      </w:r>
      <w:r>
        <w:rPr>
          <w:rFonts w:cs="Arial"/>
          <w:b/>
          <w:sz w:val="22"/>
          <w:szCs w:val="24"/>
        </w:rPr>
        <w:t>6</w:t>
      </w:r>
      <w:r w:rsidRPr="00DC7396">
        <w:rPr>
          <w:rFonts w:cs="Arial"/>
          <w:b/>
          <w:sz w:val="22"/>
          <w:szCs w:val="24"/>
        </w:rPr>
        <w:t>)</w:t>
      </w:r>
      <w:r>
        <w:rPr>
          <w:rFonts w:cs="Arial"/>
          <w:sz w:val="22"/>
          <w:szCs w:val="24"/>
        </w:rPr>
        <w:t xml:space="preserve"> requires the licensee to maintain a record of </w:t>
      </w:r>
      <w:r w:rsidRPr="00DC7396">
        <w:rPr>
          <w:rFonts w:cs="Arial"/>
          <w:sz w:val="22"/>
          <w:szCs w:val="24"/>
        </w:rPr>
        <w:t>the list of individuals approved for access to the security plan or implementing procedures.</w:t>
      </w:r>
    </w:p>
    <w:p w:rsidR="001B535D" w:rsidP="001E06B9" w:rsidRDefault="001B535D" w14:paraId="7B58D863" w14:textId="77777777">
      <w:pPr>
        <w:autoSpaceDE/>
        <w:autoSpaceDN/>
        <w:adjustRightInd/>
        <w:spacing w:after="120"/>
        <w:rPr>
          <w:rFonts w:cs="Arial"/>
          <w:sz w:val="22"/>
          <w:szCs w:val="24"/>
        </w:rPr>
      </w:pPr>
    </w:p>
    <w:p w:rsidR="001B535D" w:rsidP="001E06B9" w:rsidRDefault="001B535D" w14:paraId="7B58D864" w14:textId="77777777">
      <w:pPr>
        <w:spacing w:after="120"/>
        <w:rPr>
          <w:rFonts w:cs="Arial"/>
          <w:sz w:val="22"/>
          <w:szCs w:val="22"/>
        </w:rPr>
      </w:pPr>
      <w:r w:rsidRPr="006D2719">
        <w:rPr>
          <w:rFonts w:cs="Arial"/>
          <w:b/>
          <w:sz w:val="22"/>
          <w:szCs w:val="22"/>
        </w:rPr>
        <w:t>Section 37.43(d)(</w:t>
      </w:r>
      <w:r>
        <w:rPr>
          <w:rFonts w:cs="Arial"/>
          <w:b/>
          <w:sz w:val="22"/>
          <w:szCs w:val="22"/>
        </w:rPr>
        <w:t>8</w:t>
      </w:r>
      <w:r w:rsidRPr="006D2719">
        <w:rPr>
          <w:rFonts w:cs="Arial"/>
          <w:b/>
          <w:sz w:val="22"/>
          <w:szCs w:val="22"/>
        </w:rPr>
        <w:t>)</w:t>
      </w:r>
      <w:r w:rsidRPr="006D2719">
        <w:rPr>
          <w:rFonts w:cs="Arial"/>
          <w:sz w:val="22"/>
          <w:szCs w:val="22"/>
        </w:rPr>
        <w:t xml:space="preserve"> </w:t>
      </w:r>
      <w:r>
        <w:rPr>
          <w:rFonts w:cs="Arial"/>
          <w:sz w:val="22"/>
          <w:szCs w:val="22"/>
        </w:rPr>
        <w:t xml:space="preserve">requires </w:t>
      </w:r>
      <w:r w:rsidRPr="006D2719">
        <w:rPr>
          <w:rFonts w:cs="Arial"/>
          <w:sz w:val="22"/>
          <w:szCs w:val="22"/>
        </w:rPr>
        <w:t xml:space="preserve">the licensee </w:t>
      </w:r>
      <w:r>
        <w:rPr>
          <w:rFonts w:cs="Arial"/>
          <w:sz w:val="22"/>
          <w:szCs w:val="22"/>
        </w:rPr>
        <w:t>to</w:t>
      </w:r>
      <w:r w:rsidRPr="006D2719">
        <w:rPr>
          <w:rFonts w:cs="Arial"/>
          <w:sz w:val="22"/>
          <w:szCs w:val="22"/>
        </w:rPr>
        <w:t xml:space="preserve"> </w:t>
      </w:r>
      <w:r w:rsidRPr="00235A3A">
        <w:rPr>
          <w:rFonts w:cs="Arial"/>
          <w:sz w:val="22"/>
          <w:szCs w:val="22"/>
        </w:rPr>
        <w:t xml:space="preserve">retain </w:t>
      </w:r>
      <w:r>
        <w:rPr>
          <w:rFonts w:cs="Arial"/>
          <w:sz w:val="22"/>
          <w:szCs w:val="22"/>
        </w:rPr>
        <w:t>a</w:t>
      </w:r>
      <w:r w:rsidRPr="00235A3A">
        <w:rPr>
          <w:rFonts w:cs="Arial"/>
          <w:sz w:val="22"/>
          <w:szCs w:val="22"/>
        </w:rPr>
        <w:t xml:space="preserve"> copy of the in</w:t>
      </w:r>
      <w:r>
        <w:rPr>
          <w:rFonts w:cs="Arial"/>
          <w:sz w:val="22"/>
          <w:szCs w:val="22"/>
        </w:rPr>
        <w:t>formation protection procedures</w:t>
      </w:r>
      <w:r w:rsidRPr="00235A3A">
        <w:rPr>
          <w:rFonts w:cs="Arial"/>
          <w:sz w:val="22"/>
          <w:szCs w:val="22"/>
        </w:rPr>
        <w:t xml:space="preserve"> and </w:t>
      </w:r>
      <w:r>
        <w:rPr>
          <w:rFonts w:cs="Arial"/>
          <w:sz w:val="22"/>
          <w:szCs w:val="22"/>
        </w:rPr>
        <w:t>t</w:t>
      </w:r>
      <w:r w:rsidRPr="00235A3A">
        <w:rPr>
          <w:rFonts w:cs="Arial"/>
          <w:sz w:val="22"/>
          <w:szCs w:val="22"/>
        </w:rPr>
        <w:t>he list of individuals approved for access to the security plan or implementing procedures</w:t>
      </w:r>
      <w:r>
        <w:rPr>
          <w:rFonts w:cs="Arial"/>
          <w:sz w:val="22"/>
          <w:szCs w:val="22"/>
        </w:rPr>
        <w:t xml:space="preserve">, </w:t>
      </w:r>
      <w:r w:rsidRPr="00235A3A">
        <w:rPr>
          <w:rFonts w:cs="Arial"/>
          <w:sz w:val="22"/>
          <w:szCs w:val="22"/>
        </w:rPr>
        <w:t>as a record</w:t>
      </w:r>
      <w:r>
        <w:rPr>
          <w:rFonts w:cs="Arial"/>
          <w:sz w:val="22"/>
          <w:szCs w:val="22"/>
        </w:rPr>
        <w:t>,</w:t>
      </w:r>
      <w:r w:rsidRPr="00235A3A">
        <w:rPr>
          <w:rFonts w:cs="Arial"/>
          <w:sz w:val="22"/>
          <w:szCs w:val="22"/>
        </w:rPr>
        <w:t xml:space="preserve"> for 3 years after the document is no longer </w:t>
      </w:r>
      <w:r>
        <w:rPr>
          <w:rFonts w:cs="Arial"/>
          <w:sz w:val="22"/>
          <w:szCs w:val="22"/>
        </w:rPr>
        <w:t>needed.</w:t>
      </w:r>
    </w:p>
    <w:p w:rsidR="001B535D" w:rsidP="001E06B9" w:rsidRDefault="001B535D" w14:paraId="7B58D865" w14:textId="77777777">
      <w:pPr>
        <w:spacing w:after="120"/>
        <w:rPr>
          <w:rFonts w:cs="Arial"/>
          <w:sz w:val="22"/>
          <w:szCs w:val="24"/>
        </w:rPr>
      </w:pPr>
    </w:p>
    <w:p w:rsidRPr="00445CF0" w:rsidR="001B535D" w:rsidP="001E06B9" w:rsidRDefault="001B535D" w14:paraId="7B58D866" w14:textId="77777777">
      <w:pPr>
        <w:spacing w:after="120"/>
        <w:rPr>
          <w:rFonts w:cs="Arial"/>
          <w:bCs/>
          <w:sz w:val="22"/>
          <w:szCs w:val="24"/>
        </w:rPr>
      </w:pPr>
      <w:r w:rsidRPr="006D2719">
        <w:rPr>
          <w:rFonts w:cs="Arial"/>
          <w:b/>
          <w:sz w:val="22"/>
          <w:szCs w:val="24"/>
        </w:rPr>
        <w:t xml:space="preserve">Section 37.45(a) </w:t>
      </w:r>
      <w:r>
        <w:rPr>
          <w:rFonts w:cs="Arial"/>
          <w:sz w:val="22"/>
          <w:szCs w:val="24"/>
        </w:rPr>
        <w:t>requires a</w:t>
      </w:r>
      <w:r w:rsidRPr="00445CF0">
        <w:rPr>
          <w:rFonts w:cs="Arial"/>
          <w:bCs/>
          <w:sz w:val="22"/>
          <w:szCs w:val="24"/>
        </w:rPr>
        <w:t xml:space="preserve"> licensee subject to this subpart </w:t>
      </w:r>
      <w:r>
        <w:rPr>
          <w:rFonts w:cs="Arial"/>
          <w:bCs/>
          <w:sz w:val="22"/>
          <w:szCs w:val="24"/>
        </w:rPr>
        <w:t>to</w:t>
      </w:r>
      <w:r w:rsidRPr="00445CF0">
        <w:rPr>
          <w:rFonts w:cs="Arial"/>
          <w:bCs/>
          <w:sz w:val="22"/>
          <w:szCs w:val="24"/>
        </w:rPr>
        <w:t xml:space="preserve"> coordinate, to the extent practicable, with an LLEA for responding to threats to the licensee’s facility, including any necessary armed response.  The information provided to the LLEA must include:</w:t>
      </w:r>
      <w:r>
        <w:rPr>
          <w:rFonts w:cs="Arial"/>
          <w:bCs/>
          <w:sz w:val="22"/>
          <w:szCs w:val="24"/>
        </w:rPr>
        <w:t xml:space="preserve">  </w:t>
      </w:r>
      <w:r w:rsidRPr="00445CF0">
        <w:rPr>
          <w:rFonts w:cs="Arial"/>
          <w:bCs/>
          <w:sz w:val="22"/>
          <w:szCs w:val="24"/>
        </w:rPr>
        <w:t>(1) A description of the facilities and the category 1 and category 2 quantities of radioactive materials along with a description of the licensee’s security measures that have been implemented to comply with this subpart;</w:t>
      </w:r>
      <w:r>
        <w:rPr>
          <w:rFonts w:cs="Arial"/>
          <w:bCs/>
          <w:sz w:val="22"/>
          <w:szCs w:val="24"/>
        </w:rPr>
        <w:t xml:space="preserve"> </w:t>
      </w:r>
      <w:r w:rsidRPr="00445CF0">
        <w:rPr>
          <w:rFonts w:cs="Arial"/>
          <w:bCs/>
          <w:sz w:val="22"/>
          <w:szCs w:val="24"/>
        </w:rPr>
        <w:t>and</w:t>
      </w:r>
      <w:r>
        <w:rPr>
          <w:rFonts w:cs="Arial"/>
          <w:bCs/>
          <w:sz w:val="22"/>
          <w:szCs w:val="24"/>
        </w:rPr>
        <w:t xml:space="preserve"> </w:t>
      </w:r>
      <w:r w:rsidRPr="00445CF0">
        <w:rPr>
          <w:rFonts w:cs="Arial"/>
          <w:bCs/>
          <w:sz w:val="22"/>
          <w:szCs w:val="24"/>
        </w:rPr>
        <w:t xml:space="preserve">(2) A notification that the licensee will request a timely armed response by the LLEA to any actual or attempted theft, sabotage, or diversion of category 1 or category 2 quantities of material. </w:t>
      </w:r>
    </w:p>
    <w:p w:rsidRPr="006D2719" w:rsidR="001B535D" w:rsidP="001E06B9" w:rsidRDefault="001B535D" w14:paraId="7B58D867" w14:textId="77777777">
      <w:pPr>
        <w:spacing w:after="120"/>
        <w:rPr>
          <w:rFonts w:cs="Arial"/>
          <w:sz w:val="22"/>
          <w:szCs w:val="24"/>
        </w:rPr>
      </w:pPr>
    </w:p>
    <w:p w:rsidRPr="006D2719" w:rsidR="001B535D" w:rsidP="001E06B9" w:rsidRDefault="001B535D" w14:paraId="7B58D868" w14:textId="77777777">
      <w:pPr>
        <w:spacing w:after="120"/>
        <w:rPr>
          <w:rFonts w:cs="Arial"/>
          <w:sz w:val="22"/>
          <w:szCs w:val="22"/>
        </w:rPr>
      </w:pPr>
      <w:r w:rsidRPr="006D2719">
        <w:rPr>
          <w:rFonts w:cs="Arial"/>
          <w:b/>
          <w:sz w:val="22"/>
          <w:szCs w:val="22"/>
        </w:rPr>
        <w:t>Section 37.45(</w:t>
      </w:r>
      <w:r>
        <w:rPr>
          <w:rFonts w:cs="Arial"/>
          <w:b/>
          <w:sz w:val="22"/>
          <w:szCs w:val="22"/>
        </w:rPr>
        <w:t>b</w:t>
      </w:r>
      <w:r w:rsidRPr="006D2719">
        <w:rPr>
          <w:rFonts w:cs="Arial"/>
          <w:b/>
          <w:sz w:val="22"/>
          <w:szCs w:val="22"/>
        </w:rPr>
        <w:t>)</w:t>
      </w:r>
      <w:r>
        <w:rPr>
          <w:rFonts w:cs="Arial"/>
          <w:b/>
          <w:sz w:val="22"/>
          <w:szCs w:val="22"/>
        </w:rPr>
        <w:t>(1)</w:t>
      </w:r>
      <w:r>
        <w:rPr>
          <w:rFonts w:cs="Arial"/>
          <w:sz w:val="22"/>
          <w:szCs w:val="22"/>
        </w:rPr>
        <w:t xml:space="preserve"> requires</w:t>
      </w:r>
      <w:r w:rsidRPr="006D2719">
        <w:rPr>
          <w:rFonts w:cs="Arial"/>
          <w:sz w:val="22"/>
          <w:szCs w:val="22"/>
        </w:rPr>
        <w:t xml:space="preserve"> the licensee to notify the appropriate NRC regional office after becoming aware of any applicable state or local agency requirement that an initial response to an emergency involving radioactive material must be provided by other than armed LLEA personnel.</w:t>
      </w:r>
      <w:r>
        <w:rPr>
          <w:rFonts w:cs="Arial"/>
          <w:sz w:val="22"/>
          <w:szCs w:val="22"/>
        </w:rPr>
        <w:t xml:space="preserve">  The NRC does not anticipate any notifications under this requirement due to an unarmed response as LLEA personnel are generally armed.  </w:t>
      </w:r>
    </w:p>
    <w:p w:rsidRPr="006D2719" w:rsidR="001B535D" w:rsidP="001E06B9" w:rsidRDefault="001B535D" w14:paraId="7B58D869" w14:textId="77777777">
      <w:pPr>
        <w:spacing w:after="120"/>
        <w:rPr>
          <w:rFonts w:cs="Arial"/>
          <w:sz w:val="22"/>
          <w:szCs w:val="22"/>
        </w:rPr>
      </w:pPr>
    </w:p>
    <w:p w:rsidR="001B535D" w:rsidP="001E06B9" w:rsidRDefault="001B535D" w14:paraId="7B58D86A" w14:textId="77777777">
      <w:pPr>
        <w:spacing w:after="120"/>
        <w:rPr>
          <w:rFonts w:cs="Arial"/>
          <w:sz w:val="22"/>
          <w:szCs w:val="22"/>
        </w:rPr>
      </w:pPr>
      <w:r w:rsidRPr="006D2719">
        <w:rPr>
          <w:rFonts w:cs="Arial"/>
          <w:b/>
          <w:sz w:val="22"/>
          <w:szCs w:val="22"/>
        </w:rPr>
        <w:t>Section 37.45(</w:t>
      </w:r>
      <w:r>
        <w:rPr>
          <w:rFonts w:cs="Arial"/>
          <w:b/>
          <w:sz w:val="22"/>
          <w:szCs w:val="22"/>
        </w:rPr>
        <w:t>b</w:t>
      </w:r>
      <w:r w:rsidRPr="006D2719">
        <w:rPr>
          <w:rFonts w:cs="Arial"/>
          <w:b/>
          <w:sz w:val="22"/>
          <w:szCs w:val="22"/>
        </w:rPr>
        <w:t>)(</w:t>
      </w:r>
      <w:r>
        <w:rPr>
          <w:rFonts w:cs="Arial"/>
          <w:b/>
          <w:sz w:val="22"/>
          <w:szCs w:val="22"/>
        </w:rPr>
        <w:t>2</w:t>
      </w:r>
      <w:r w:rsidRPr="006D2719">
        <w:rPr>
          <w:rFonts w:cs="Arial"/>
          <w:b/>
          <w:sz w:val="22"/>
          <w:szCs w:val="22"/>
        </w:rPr>
        <w:t>)</w:t>
      </w:r>
      <w:r w:rsidRPr="006D2719">
        <w:rPr>
          <w:rFonts w:cs="Arial"/>
          <w:sz w:val="22"/>
          <w:szCs w:val="22"/>
        </w:rPr>
        <w:t xml:space="preserve"> </w:t>
      </w:r>
      <w:r>
        <w:rPr>
          <w:rFonts w:cs="Arial"/>
          <w:sz w:val="22"/>
          <w:szCs w:val="22"/>
        </w:rPr>
        <w:t xml:space="preserve">requires </w:t>
      </w:r>
      <w:r w:rsidRPr="006D2719">
        <w:rPr>
          <w:rFonts w:cs="Arial"/>
          <w:sz w:val="22"/>
          <w:szCs w:val="22"/>
        </w:rPr>
        <w:t xml:space="preserve">the licensee to notify the appropriate NRC regional office if the LLEA notifies the licensee that the LLEA is not interested in coordination activities with the licensee. </w:t>
      </w:r>
      <w:r>
        <w:rPr>
          <w:rFonts w:cs="Arial"/>
          <w:sz w:val="22"/>
          <w:szCs w:val="22"/>
        </w:rPr>
        <w:t xml:space="preserve"> The NRC does not anticipate any notifications as a result of lack of LLEA coordination.</w:t>
      </w:r>
    </w:p>
    <w:p w:rsidRPr="006D2719" w:rsidR="001B535D" w:rsidP="001E06B9" w:rsidRDefault="001B535D" w14:paraId="7B58D86B" w14:textId="77777777">
      <w:pPr>
        <w:spacing w:after="120"/>
        <w:rPr>
          <w:rFonts w:cs="Arial"/>
          <w:sz w:val="22"/>
          <w:szCs w:val="22"/>
        </w:rPr>
      </w:pPr>
    </w:p>
    <w:p w:rsidR="001B535D" w:rsidP="001E06B9" w:rsidRDefault="001B535D" w14:paraId="7B58D86C" w14:textId="77777777">
      <w:pPr>
        <w:spacing w:after="120"/>
        <w:rPr>
          <w:rFonts w:cs="Arial"/>
          <w:bCs/>
          <w:sz w:val="22"/>
          <w:szCs w:val="22"/>
        </w:rPr>
      </w:pPr>
      <w:r>
        <w:rPr>
          <w:rFonts w:cs="Arial"/>
          <w:b/>
          <w:sz w:val="22"/>
          <w:szCs w:val="22"/>
        </w:rPr>
        <w:t xml:space="preserve">Section 37.45(c) </w:t>
      </w:r>
      <w:r w:rsidRPr="003D52FD">
        <w:rPr>
          <w:rFonts w:cs="Arial"/>
          <w:sz w:val="22"/>
          <w:szCs w:val="22"/>
        </w:rPr>
        <w:t xml:space="preserve">requires </w:t>
      </w:r>
      <w:r>
        <w:rPr>
          <w:rFonts w:cs="Arial"/>
          <w:sz w:val="22"/>
          <w:szCs w:val="22"/>
        </w:rPr>
        <w:t>t</w:t>
      </w:r>
      <w:r w:rsidRPr="00445CF0">
        <w:rPr>
          <w:rFonts w:cs="Arial"/>
          <w:bCs/>
          <w:sz w:val="22"/>
          <w:szCs w:val="22"/>
        </w:rPr>
        <w:t xml:space="preserve">he licensee </w:t>
      </w:r>
      <w:r>
        <w:rPr>
          <w:rFonts w:cs="Arial"/>
          <w:bCs/>
          <w:sz w:val="22"/>
          <w:szCs w:val="22"/>
        </w:rPr>
        <w:t>to</w:t>
      </w:r>
      <w:r w:rsidRPr="00445CF0">
        <w:rPr>
          <w:rFonts w:cs="Arial"/>
          <w:bCs/>
          <w:sz w:val="22"/>
          <w:szCs w:val="22"/>
        </w:rPr>
        <w:t xml:space="preserve"> document its efforts to coordinate with the LLEA to provide a response to threats to the licensee’s facility</w:t>
      </w:r>
      <w:r>
        <w:rPr>
          <w:rFonts w:cs="Arial"/>
          <w:bCs/>
          <w:sz w:val="22"/>
          <w:szCs w:val="22"/>
        </w:rPr>
        <w:t>.</w:t>
      </w:r>
    </w:p>
    <w:p w:rsidR="001B535D" w:rsidP="001E06B9" w:rsidRDefault="001B535D" w14:paraId="7B58D86D" w14:textId="77777777">
      <w:pPr>
        <w:spacing w:after="120"/>
        <w:rPr>
          <w:rFonts w:cs="Arial"/>
          <w:b/>
          <w:sz w:val="22"/>
          <w:szCs w:val="22"/>
        </w:rPr>
      </w:pPr>
    </w:p>
    <w:p w:rsidR="001B535D" w:rsidP="001E06B9" w:rsidRDefault="001B535D" w14:paraId="7B58D86E" w14:textId="77777777">
      <w:pPr>
        <w:autoSpaceDE/>
        <w:autoSpaceDN/>
        <w:adjustRightInd/>
        <w:spacing w:after="120"/>
        <w:rPr>
          <w:rFonts w:cs="Arial"/>
          <w:sz w:val="22"/>
          <w:szCs w:val="22"/>
        </w:rPr>
      </w:pPr>
      <w:r w:rsidRPr="006D2719">
        <w:rPr>
          <w:rFonts w:cs="Arial"/>
          <w:b/>
          <w:sz w:val="22"/>
          <w:szCs w:val="22"/>
        </w:rPr>
        <w:lastRenderedPageBreak/>
        <w:t xml:space="preserve">Section 37.49(d) </w:t>
      </w:r>
      <w:r>
        <w:rPr>
          <w:rFonts w:cs="Arial"/>
          <w:sz w:val="22"/>
          <w:szCs w:val="22"/>
        </w:rPr>
        <w:t>requires that licensees</w:t>
      </w:r>
      <w:r w:rsidRPr="00D537BF">
        <w:rPr>
          <w:rFonts w:cs="Arial"/>
          <w:sz w:val="22"/>
          <w:szCs w:val="22"/>
        </w:rPr>
        <w:t xml:space="preserve"> immediately respond to any actual or attempted unauthorized access to the security zones, or actual or attempted theft, sabotage, or diversion of category 1 or category 2 quantities of radioactive material at licensee facilities or temporary job sites.  For any unauthorized access involving an actual or attempted theft, sabotage, or diversion of category 1 or category 2 quantities of radioactive material, the licensee’s response shall include requesting, without delay, an armed response from the LLEA.  </w:t>
      </w:r>
    </w:p>
    <w:p w:rsidR="001B535D" w:rsidP="001E06B9" w:rsidRDefault="001B535D" w14:paraId="7B58D86F" w14:textId="77777777">
      <w:pPr>
        <w:autoSpaceDE/>
        <w:autoSpaceDN/>
        <w:adjustRightInd/>
        <w:spacing w:after="120"/>
        <w:rPr>
          <w:rFonts w:cs="Arial"/>
          <w:sz w:val="22"/>
          <w:szCs w:val="22"/>
        </w:rPr>
      </w:pPr>
    </w:p>
    <w:p w:rsidRPr="004A3D3A" w:rsidR="001B535D" w:rsidP="001E06B9" w:rsidRDefault="001B535D" w14:paraId="7B58D870" w14:textId="77777777">
      <w:pPr>
        <w:spacing w:after="120"/>
        <w:rPr>
          <w:rFonts w:cs="Arial"/>
          <w:sz w:val="22"/>
          <w:szCs w:val="22"/>
        </w:rPr>
      </w:pPr>
      <w:r>
        <w:rPr>
          <w:rFonts w:cs="Arial"/>
          <w:b/>
          <w:sz w:val="22"/>
          <w:szCs w:val="22"/>
        </w:rPr>
        <w:t xml:space="preserve">Section 37.51(b) </w:t>
      </w:r>
      <w:r w:rsidRPr="004A3D3A">
        <w:rPr>
          <w:rFonts w:cs="Arial"/>
          <w:sz w:val="22"/>
          <w:szCs w:val="22"/>
        </w:rPr>
        <w:t xml:space="preserve">requires the licensee </w:t>
      </w:r>
      <w:r>
        <w:rPr>
          <w:rFonts w:cs="Arial"/>
          <w:sz w:val="22"/>
          <w:szCs w:val="22"/>
        </w:rPr>
        <w:t>to</w:t>
      </w:r>
      <w:r w:rsidRPr="004A3D3A">
        <w:rPr>
          <w:rFonts w:cs="Arial"/>
          <w:sz w:val="22"/>
          <w:szCs w:val="22"/>
        </w:rPr>
        <w:t xml:space="preserve"> maintain records on the maintenance and testing activities for 3 years.</w:t>
      </w:r>
    </w:p>
    <w:p w:rsidR="001B535D" w:rsidP="001E06B9" w:rsidRDefault="001B535D" w14:paraId="7B58D871" w14:textId="77777777">
      <w:pPr>
        <w:spacing w:after="120"/>
        <w:rPr>
          <w:rFonts w:cs="Arial"/>
          <w:b/>
          <w:sz w:val="22"/>
          <w:szCs w:val="22"/>
        </w:rPr>
      </w:pPr>
    </w:p>
    <w:p w:rsidRPr="006D2719" w:rsidR="001B535D" w:rsidP="001E06B9" w:rsidRDefault="001B535D" w14:paraId="7B58D872" w14:textId="77777777">
      <w:pPr>
        <w:spacing w:after="120"/>
        <w:rPr>
          <w:rFonts w:cs="Arial"/>
          <w:sz w:val="22"/>
          <w:szCs w:val="22"/>
        </w:rPr>
      </w:pPr>
      <w:r w:rsidRPr="006D2719">
        <w:rPr>
          <w:rFonts w:cs="Arial"/>
          <w:b/>
          <w:sz w:val="22"/>
          <w:szCs w:val="22"/>
        </w:rPr>
        <w:t>Section 37.55(c)</w:t>
      </w:r>
      <w:r w:rsidRPr="006D2719">
        <w:rPr>
          <w:rFonts w:cs="Arial"/>
          <w:sz w:val="22"/>
          <w:szCs w:val="22"/>
        </w:rPr>
        <w:t xml:space="preserve"> </w:t>
      </w:r>
      <w:r>
        <w:rPr>
          <w:rFonts w:cs="Arial"/>
          <w:sz w:val="22"/>
          <w:szCs w:val="22"/>
        </w:rPr>
        <w:t>requires licensees to maintain documentation of the review of their security program for 3 years.</w:t>
      </w:r>
    </w:p>
    <w:p w:rsidRPr="006D2719" w:rsidR="001B535D" w:rsidP="001E06B9" w:rsidRDefault="001B535D" w14:paraId="7B58D873" w14:textId="77777777">
      <w:pPr>
        <w:spacing w:after="120"/>
        <w:rPr>
          <w:rFonts w:cs="Arial"/>
          <w:sz w:val="22"/>
          <w:szCs w:val="22"/>
        </w:rPr>
      </w:pPr>
    </w:p>
    <w:p w:rsidR="001B535D" w:rsidP="001E06B9" w:rsidRDefault="001B535D" w14:paraId="7B58D874" w14:textId="77777777">
      <w:pPr>
        <w:spacing w:after="120"/>
        <w:rPr>
          <w:rFonts w:cs="Arial"/>
          <w:sz w:val="22"/>
          <w:szCs w:val="22"/>
        </w:rPr>
      </w:pPr>
      <w:r w:rsidRPr="006D2719">
        <w:rPr>
          <w:rFonts w:cs="Arial"/>
          <w:b/>
          <w:sz w:val="22"/>
          <w:szCs w:val="22"/>
        </w:rPr>
        <w:t>Section 37.57(a)</w:t>
      </w:r>
      <w:r w:rsidRPr="006D2719">
        <w:rPr>
          <w:rFonts w:cs="Arial"/>
          <w:sz w:val="22"/>
          <w:szCs w:val="22"/>
        </w:rPr>
        <w:t xml:space="preserve"> </w:t>
      </w:r>
      <w:r>
        <w:rPr>
          <w:rFonts w:cs="Arial"/>
          <w:sz w:val="22"/>
          <w:szCs w:val="22"/>
        </w:rPr>
        <w:t>requires t</w:t>
      </w:r>
      <w:r w:rsidRPr="00127351">
        <w:rPr>
          <w:rFonts w:cs="Arial"/>
          <w:sz w:val="22"/>
          <w:szCs w:val="22"/>
        </w:rPr>
        <w:t>he licensee shall immediately notify the LLEA after determining that an unauthorized entry resulted in an actual or attempted theft, sabotage, or diversion of a category 1 or category 2 quantity of radioactive material.  As soon as possible after initiating a response, but not at the expense of causing delay or interfering with the LLEA response to the event, the licensee shall notify the NRC Operations Center.</w:t>
      </w:r>
      <w:r w:rsidRPr="00A502A3">
        <w:rPr>
          <w:rFonts w:cs="Arial"/>
          <w:sz w:val="22"/>
          <w:szCs w:val="22"/>
        </w:rPr>
        <w:t xml:space="preserve">  As soon as possible but not later than 4 hours after notifying the LLEA, the licensee shall n</w:t>
      </w:r>
      <w:r>
        <w:rPr>
          <w:rFonts w:cs="Arial"/>
          <w:sz w:val="22"/>
          <w:szCs w:val="22"/>
        </w:rPr>
        <w:t>otify the NRC Operations Center.</w:t>
      </w:r>
    </w:p>
    <w:p w:rsidRPr="006D2719" w:rsidR="001B535D" w:rsidP="001E06B9" w:rsidRDefault="001B535D" w14:paraId="7B58D875" w14:textId="77777777">
      <w:pPr>
        <w:spacing w:after="120"/>
        <w:rPr>
          <w:rFonts w:cs="Arial"/>
          <w:sz w:val="22"/>
          <w:szCs w:val="22"/>
        </w:rPr>
      </w:pPr>
    </w:p>
    <w:p w:rsidR="001B535D" w:rsidP="001E06B9" w:rsidRDefault="001B535D" w14:paraId="7B58D876" w14:textId="77777777">
      <w:pPr>
        <w:spacing w:after="120"/>
        <w:rPr>
          <w:rFonts w:cs="Arial"/>
          <w:sz w:val="22"/>
          <w:szCs w:val="22"/>
        </w:rPr>
      </w:pPr>
      <w:r w:rsidRPr="00532CEB">
        <w:rPr>
          <w:rFonts w:cs="Arial"/>
          <w:b/>
          <w:sz w:val="22"/>
          <w:szCs w:val="22"/>
        </w:rPr>
        <w:t>Section 37.57(b)</w:t>
      </w:r>
      <w:r>
        <w:rPr>
          <w:rFonts w:cs="Arial"/>
          <w:sz w:val="22"/>
          <w:szCs w:val="22"/>
        </w:rPr>
        <w:t xml:space="preserve"> requires t</w:t>
      </w:r>
      <w:r w:rsidRPr="001A7C7B">
        <w:rPr>
          <w:rFonts w:cs="Arial"/>
          <w:sz w:val="22"/>
          <w:szCs w:val="22"/>
        </w:rPr>
        <w:t xml:space="preserve">he licensee </w:t>
      </w:r>
      <w:r>
        <w:rPr>
          <w:rFonts w:cs="Arial"/>
          <w:sz w:val="22"/>
          <w:szCs w:val="22"/>
        </w:rPr>
        <w:t>to</w:t>
      </w:r>
      <w:r w:rsidRPr="001A7C7B">
        <w:rPr>
          <w:rFonts w:cs="Arial"/>
          <w:sz w:val="22"/>
          <w:szCs w:val="22"/>
        </w:rPr>
        <w:t xml:space="preserve"> assess any suspicious activity related to possible theft, sabotage, or diversion of category 1 or category 2 quantities of radioactive material and notify the LLEA as appropriate.  As soon as possible but not later than 4 hours after notifying the LLEA, the licensee shall notify the NRC Operations Center</w:t>
      </w:r>
      <w:r>
        <w:rPr>
          <w:rFonts w:cs="Arial"/>
          <w:sz w:val="22"/>
          <w:szCs w:val="22"/>
        </w:rPr>
        <w:t>.</w:t>
      </w:r>
    </w:p>
    <w:p w:rsidRPr="00234863" w:rsidR="001B535D" w:rsidP="001E06B9" w:rsidRDefault="001B535D" w14:paraId="7B58D877" w14:textId="77777777">
      <w:pPr>
        <w:spacing w:after="120"/>
        <w:rPr>
          <w:rFonts w:cs="Arial"/>
          <w:sz w:val="22"/>
          <w:szCs w:val="22"/>
        </w:rPr>
      </w:pPr>
    </w:p>
    <w:p w:rsidRPr="006D2719" w:rsidR="001B535D" w:rsidDel="00230EA5" w:rsidP="001E06B9" w:rsidRDefault="001B535D" w14:paraId="7B58D878" w14:textId="77777777">
      <w:pPr>
        <w:spacing w:after="120"/>
        <w:rPr>
          <w:rFonts w:cs="Arial"/>
          <w:sz w:val="22"/>
          <w:szCs w:val="22"/>
        </w:rPr>
      </w:pPr>
      <w:r w:rsidRPr="006D2719">
        <w:rPr>
          <w:rFonts w:cs="Arial"/>
          <w:b/>
          <w:sz w:val="22"/>
          <w:szCs w:val="22"/>
        </w:rPr>
        <w:t>Section 37.57(</w:t>
      </w:r>
      <w:r>
        <w:rPr>
          <w:rFonts w:cs="Arial"/>
          <w:b/>
          <w:sz w:val="22"/>
          <w:szCs w:val="22"/>
        </w:rPr>
        <w:t>c</w:t>
      </w:r>
      <w:r w:rsidRPr="006D2719">
        <w:rPr>
          <w:rFonts w:cs="Arial"/>
          <w:b/>
          <w:sz w:val="22"/>
          <w:szCs w:val="22"/>
        </w:rPr>
        <w:t xml:space="preserve">) </w:t>
      </w:r>
      <w:r>
        <w:rPr>
          <w:rFonts w:cs="Arial"/>
          <w:sz w:val="22"/>
          <w:szCs w:val="22"/>
        </w:rPr>
        <w:t xml:space="preserve">requires that licensees submit a written report to the NRC within 30 days following </w:t>
      </w:r>
      <w:r w:rsidRPr="00E0216D">
        <w:rPr>
          <w:rFonts w:cs="Arial"/>
          <w:sz w:val="22"/>
          <w:szCs w:val="22"/>
        </w:rPr>
        <w:t>the initial telephonic notifications</w:t>
      </w:r>
      <w:r w:rsidRPr="006D2719">
        <w:rPr>
          <w:rFonts w:cs="Arial"/>
          <w:sz w:val="22"/>
          <w:szCs w:val="22"/>
        </w:rPr>
        <w:t xml:space="preserve"> </w:t>
      </w:r>
      <w:r>
        <w:rPr>
          <w:rFonts w:cs="Arial"/>
          <w:sz w:val="22"/>
          <w:szCs w:val="22"/>
        </w:rPr>
        <w:t xml:space="preserve">of </w:t>
      </w:r>
      <w:r w:rsidRPr="006D2719">
        <w:rPr>
          <w:rFonts w:cs="Arial"/>
          <w:sz w:val="22"/>
          <w:szCs w:val="22"/>
        </w:rPr>
        <w:t>actual or attempted theft, sabotage, or diversion of a category 1 or category 2 quantity of radioactive material</w:t>
      </w:r>
      <w:r>
        <w:rPr>
          <w:rFonts w:cs="Arial"/>
          <w:sz w:val="22"/>
          <w:szCs w:val="22"/>
        </w:rPr>
        <w:t>.</w:t>
      </w:r>
      <w:r w:rsidRPr="006D2719">
        <w:rPr>
          <w:rFonts w:cs="Arial"/>
          <w:sz w:val="22"/>
          <w:szCs w:val="22"/>
        </w:rPr>
        <w:t xml:space="preserve"> </w:t>
      </w:r>
    </w:p>
    <w:p w:rsidRPr="006D2719" w:rsidR="001B535D" w:rsidP="001E06B9" w:rsidRDefault="001B535D" w14:paraId="7B58D879" w14:textId="77777777">
      <w:pPr>
        <w:spacing w:after="120"/>
        <w:rPr>
          <w:rFonts w:cs="Arial"/>
          <w:sz w:val="22"/>
          <w:szCs w:val="22"/>
        </w:rPr>
      </w:pPr>
    </w:p>
    <w:p w:rsidR="001B535D" w:rsidP="001E06B9" w:rsidRDefault="001B535D" w14:paraId="7B58D87A" w14:textId="77777777">
      <w:pPr>
        <w:spacing w:after="120"/>
        <w:rPr>
          <w:rFonts w:cs="Arial"/>
          <w:sz w:val="22"/>
          <w:szCs w:val="22"/>
        </w:rPr>
      </w:pPr>
      <w:r w:rsidRPr="006D2719">
        <w:rPr>
          <w:rFonts w:cs="Arial"/>
          <w:b/>
          <w:sz w:val="22"/>
          <w:szCs w:val="22"/>
        </w:rPr>
        <w:t>Section 37.71</w:t>
      </w:r>
      <w:r w:rsidRPr="006D2719">
        <w:rPr>
          <w:rFonts w:cs="Arial"/>
          <w:sz w:val="22"/>
          <w:szCs w:val="22"/>
        </w:rPr>
        <w:t xml:space="preserve"> </w:t>
      </w:r>
      <w:r>
        <w:rPr>
          <w:rFonts w:cs="Arial"/>
          <w:sz w:val="22"/>
          <w:szCs w:val="22"/>
        </w:rPr>
        <w:t xml:space="preserve">requires that, </w:t>
      </w:r>
      <w:r w:rsidRPr="006D2719">
        <w:rPr>
          <w:rFonts w:cs="Arial"/>
          <w:sz w:val="22"/>
          <w:szCs w:val="22"/>
        </w:rPr>
        <w:t>before transferring category 1</w:t>
      </w:r>
      <w:r>
        <w:rPr>
          <w:rFonts w:cs="Arial"/>
          <w:sz w:val="22"/>
          <w:szCs w:val="22"/>
        </w:rPr>
        <w:t xml:space="preserve"> and category 2</w:t>
      </w:r>
      <w:r w:rsidRPr="006D2719">
        <w:rPr>
          <w:rFonts w:cs="Arial"/>
          <w:sz w:val="22"/>
          <w:szCs w:val="22"/>
        </w:rPr>
        <w:t xml:space="preserve"> quantities of radioactive material, the licensee transferring the material shall verify with the license issuing authority that the transferee’s license authorizes the receipt of the type, form, and quantity of radioactive material to be transferred and verify that the delivery address of the transferee is valid.  </w:t>
      </w:r>
    </w:p>
    <w:p w:rsidR="001B535D" w:rsidP="001E06B9" w:rsidRDefault="001B535D" w14:paraId="7B58D87B" w14:textId="77777777">
      <w:pPr>
        <w:spacing w:after="120"/>
        <w:rPr>
          <w:rFonts w:cs="Arial"/>
          <w:sz w:val="22"/>
          <w:szCs w:val="22"/>
        </w:rPr>
      </w:pPr>
    </w:p>
    <w:p w:rsidR="001B535D" w:rsidP="001E06B9" w:rsidRDefault="001B535D" w14:paraId="7B58D87C" w14:textId="77777777">
      <w:pPr>
        <w:spacing w:after="120"/>
        <w:rPr>
          <w:rFonts w:cs="Arial"/>
          <w:sz w:val="22"/>
          <w:szCs w:val="22"/>
        </w:rPr>
      </w:pPr>
      <w:r w:rsidRPr="00DB1674">
        <w:rPr>
          <w:rFonts w:cs="Arial"/>
          <w:b/>
          <w:sz w:val="22"/>
          <w:szCs w:val="22"/>
        </w:rPr>
        <w:t>Section 37.71(d)</w:t>
      </w:r>
      <w:r>
        <w:rPr>
          <w:rFonts w:cs="Arial"/>
          <w:sz w:val="22"/>
          <w:szCs w:val="22"/>
        </w:rPr>
        <w:t xml:space="preserve"> requires the </w:t>
      </w:r>
      <w:r w:rsidRPr="00DB1674">
        <w:rPr>
          <w:rFonts w:cs="Arial"/>
          <w:sz w:val="22"/>
          <w:szCs w:val="22"/>
        </w:rPr>
        <w:t>transferor keep a copy of the verification documentation as a record for 3 years.</w:t>
      </w:r>
    </w:p>
    <w:p w:rsidR="001B535D" w:rsidP="001E06B9" w:rsidRDefault="001B535D" w14:paraId="7B58D87D" w14:textId="77777777">
      <w:pPr>
        <w:spacing w:after="120"/>
        <w:rPr>
          <w:rFonts w:cs="Arial"/>
          <w:sz w:val="22"/>
          <w:szCs w:val="22"/>
        </w:rPr>
      </w:pPr>
    </w:p>
    <w:p w:rsidRPr="006D2719" w:rsidR="001B535D" w:rsidP="001E06B9" w:rsidRDefault="001B535D" w14:paraId="7B58D87E" w14:textId="77777777">
      <w:pPr>
        <w:spacing w:after="120"/>
        <w:rPr>
          <w:rFonts w:cs="Arial"/>
          <w:sz w:val="22"/>
          <w:szCs w:val="22"/>
        </w:rPr>
      </w:pPr>
      <w:r w:rsidRPr="006D2719">
        <w:rPr>
          <w:rFonts w:cs="Arial"/>
          <w:b/>
          <w:sz w:val="22"/>
          <w:szCs w:val="22"/>
        </w:rPr>
        <w:t>Section 37.75(a)(1)</w:t>
      </w:r>
      <w:r w:rsidRPr="006D2719">
        <w:rPr>
          <w:rFonts w:cs="Arial"/>
          <w:sz w:val="22"/>
          <w:szCs w:val="22"/>
        </w:rPr>
        <w:t xml:space="preserve"> </w:t>
      </w:r>
      <w:r>
        <w:rPr>
          <w:rFonts w:cs="Arial"/>
          <w:sz w:val="22"/>
          <w:szCs w:val="22"/>
        </w:rPr>
        <w:t xml:space="preserve">requires that </w:t>
      </w:r>
      <w:r>
        <w:rPr>
          <w:sz w:val="22"/>
          <w:szCs w:val="24"/>
        </w:rPr>
        <w:t xml:space="preserve">each licensee that </w:t>
      </w:r>
      <w:r w:rsidRPr="006D2719">
        <w:rPr>
          <w:sz w:val="22"/>
          <w:szCs w:val="24"/>
        </w:rPr>
        <w:t xml:space="preserve">plans to transport, or deliver to a carrier for transport, licensed material that is a category </w:t>
      </w:r>
      <w:r>
        <w:rPr>
          <w:sz w:val="22"/>
          <w:szCs w:val="24"/>
        </w:rPr>
        <w:t>1</w:t>
      </w:r>
      <w:r w:rsidRPr="006D2719">
        <w:rPr>
          <w:sz w:val="22"/>
          <w:szCs w:val="24"/>
        </w:rPr>
        <w:t xml:space="preserve"> quantity of radioactive material</w:t>
      </w:r>
      <w:r>
        <w:rPr>
          <w:sz w:val="22"/>
          <w:szCs w:val="24"/>
        </w:rPr>
        <w:t xml:space="preserve"> </w:t>
      </w:r>
      <w:r w:rsidRPr="006D2719">
        <w:rPr>
          <w:rFonts w:cs="Arial"/>
          <w:sz w:val="22"/>
          <w:szCs w:val="22"/>
        </w:rPr>
        <w:t>p</w:t>
      </w:r>
      <w:r w:rsidRPr="006D2719">
        <w:rPr>
          <w:sz w:val="22"/>
          <w:szCs w:val="24"/>
        </w:rPr>
        <w:t>replan and coordinate shipment arrival, including the no-later-than arrival time, and departure times with the receiving licensee.</w:t>
      </w:r>
    </w:p>
    <w:p w:rsidRPr="006D2719" w:rsidR="001B535D" w:rsidP="001E06B9" w:rsidRDefault="001B535D" w14:paraId="7B58D87F" w14:textId="77777777">
      <w:pPr>
        <w:spacing w:after="120"/>
        <w:rPr>
          <w:rFonts w:cs="Arial"/>
          <w:b/>
          <w:sz w:val="22"/>
          <w:szCs w:val="22"/>
        </w:rPr>
      </w:pPr>
    </w:p>
    <w:p w:rsidRPr="006D2719" w:rsidR="001B535D" w:rsidP="001E06B9" w:rsidRDefault="001B535D" w14:paraId="7B58D880" w14:textId="77777777">
      <w:pPr>
        <w:spacing w:after="120"/>
        <w:rPr>
          <w:rFonts w:cs="Arial"/>
          <w:sz w:val="22"/>
          <w:szCs w:val="22"/>
        </w:rPr>
      </w:pPr>
      <w:r w:rsidRPr="006D2719">
        <w:rPr>
          <w:rFonts w:cs="Arial"/>
          <w:b/>
          <w:sz w:val="22"/>
          <w:szCs w:val="22"/>
        </w:rPr>
        <w:lastRenderedPageBreak/>
        <w:t>Section 37.75(a</w:t>
      </w:r>
      <w:r w:rsidRPr="006D2719">
        <w:rPr>
          <w:rFonts w:cs="Arial"/>
          <w:b/>
          <w:noProof/>
          <w:sz w:val="22"/>
          <w:szCs w:val="22"/>
        </w:rPr>
        <w:t>)(</w:t>
      </w:r>
      <w:r w:rsidRPr="006D2719">
        <w:rPr>
          <w:rFonts w:cs="Arial"/>
          <w:b/>
          <w:sz w:val="22"/>
          <w:szCs w:val="22"/>
        </w:rPr>
        <w:t>2</w:t>
      </w:r>
      <w:r w:rsidRPr="006D2719">
        <w:rPr>
          <w:rFonts w:cs="Arial"/>
          <w:sz w:val="22"/>
          <w:szCs w:val="22"/>
        </w:rPr>
        <w:t xml:space="preserve">) </w:t>
      </w:r>
      <w:r>
        <w:rPr>
          <w:rFonts w:cs="Arial"/>
          <w:sz w:val="22"/>
          <w:szCs w:val="22"/>
        </w:rPr>
        <w:t xml:space="preserve">requires that </w:t>
      </w:r>
      <w:r>
        <w:rPr>
          <w:sz w:val="22"/>
          <w:szCs w:val="24"/>
        </w:rPr>
        <w:t xml:space="preserve">each licensees that </w:t>
      </w:r>
      <w:r w:rsidRPr="006D2719">
        <w:rPr>
          <w:sz w:val="22"/>
          <w:szCs w:val="24"/>
        </w:rPr>
        <w:t xml:space="preserve">plans to transport, or deliver to a carrier for transport, licensed material that is a category </w:t>
      </w:r>
      <w:r>
        <w:rPr>
          <w:sz w:val="22"/>
          <w:szCs w:val="24"/>
        </w:rPr>
        <w:t>1</w:t>
      </w:r>
      <w:r w:rsidRPr="006D2719">
        <w:rPr>
          <w:sz w:val="22"/>
          <w:szCs w:val="24"/>
        </w:rPr>
        <w:t xml:space="preserve"> quantity of radioactive material</w:t>
      </w:r>
      <w:r w:rsidRPr="006D2719">
        <w:rPr>
          <w:rFonts w:cs="Arial"/>
          <w:sz w:val="22"/>
          <w:szCs w:val="22"/>
        </w:rPr>
        <w:t xml:space="preserve"> p</w:t>
      </w:r>
      <w:r w:rsidRPr="006D2719">
        <w:rPr>
          <w:sz w:val="22"/>
          <w:szCs w:val="24"/>
        </w:rPr>
        <w:t>replan and coordinate shipment information with the governor or the governor’s designee of the States through which the shipment will pass thr</w:t>
      </w:r>
      <w:r>
        <w:rPr>
          <w:sz w:val="22"/>
          <w:szCs w:val="24"/>
        </w:rPr>
        <w:t>ough</w:t>
      </w:r>
      <w:r w:rsidRPr="006D2719">
        <w:rPr>
          <w:sz w:val="22"/>
          <w:szCs w:val="24"/>
        </w:rPr>
        <w:t>.</w:t>
      </w:r>
      <w:r w:rsidRPr="006D2719">
        <w:rPr>
          <w:rFonts w:cs="Arial"/>
          <w:sz w:val="22"/>
          <w:szCs w:val="22"/>
        </w:rPr>
        <w:t xml:space="preserve"> </w:t>
      </w:r>
    </w:p>
    <w:p w:rsidRPr="006D2719" w:rsidR="001B535D" w:rsidP="001E06B9" w:rsidRDefault="001B535D" w14:paraId="7B58D881" w14:textId="77777777">
      <w:pPr>
        <w:spacing w:after="120"/>
        <w:rPr>
          <w:rFonts w:cs="Arial"/>
          <w:sz w:val="22"/>
          <w:szCs w:val="22"/>
        </w:rPr>
      </w:pPr>
    </w:p>
    <w:p w:rsidR="001B535D" w:rsidP="001E06B9" w:rsidRDefault="001B535D" w14:paraId="7B58D882" w14:textId="77777777">
      <w:pPr>
        <w:spacing w:after="120"/>
        <w:rPr>
          <w:rFonts w:cs="Arial"/>
          <w:sz w:val="22"/>
          <w:szCs w:val="22"/>
        </w:rPr>
      </w:pPr>
      <w:r w:rsidRPr="006D2719">
        <w:rPr>
          <w:rFonts w:cs="Arial"/>
          <w:b/>
          <w:sz w:val="22"/>
          <w:szCs w:val="22"/>
        </w:rPr>
        <w:t>Section 37.75(a)(</w:t>
      </w:r>
      <w:r>
        <w:rPr>
          <w:rFonts w:cs="Arial"/>
          <w:b/>
          <w:sz w:val="22"/>
          <w:szCs w:val="22"/>
        </w:rPr>
        <w:t>3</w:t>
      </w:r>
      <w:r w:rsidRPr="00FF7485">
        <w:rPr>
          <w:rFonts w:cs="Arial"/>
          <w:b/>
          <w:sz w:val="22"/>
          <w:szCs w:val="22"/>
        </w:rPr>
        <w:t>)</w:t>
      </w:r>
      <w:r>
        <w:rPr>
          <w:rFonts w:cs="Arial"/>
          <w:sz w:val="22"/>
          <w:szCs w:val="22"/>
        </w:rPr>
        <w:t xml:space="preserve"> requires the licensee to d</w:t>
      </w:r>
      <w:r w:rsidRPr="00A25454">
        <w:rPr>
          <w:rFonts w:cs="Arial"/>
          <w:sz w:val="22"/>
          <w:szCs w:val="22"/>
        </w:rPr>
        <w:t>ocument the preplanning and coordination activities</w:t>
      </w:r>
      <w:r>
        <w:rPr>
          <w:rFonts w:cs="Arial"/>
          <w:sz w:val="22"/>
          <w:szCs w:val="22"/>
        </w:rPr>
        <w:t>.</w:t>
      </w:r>
    </w:p>
    <w:p w:rsidR="001B535D" w:rsidP="001E06B9" w:rsidRDefault="001B535D" w14:paraId="7B58D883" w14:textId="77777777">
      <w:pPr>
        <w:spacing w:after="120"/>
        <w:rPr>
          <w:rFonts w:cs="Arial"/>
          <w:b/>
          <w:sz w:val="22"/>
          <w:szCs w:val="22"/>
        </w:rPr>
      </w:pPr>
    </w:p>
    <w:p w:rsidRPr="006D2719" w:rsidR="001B535D" w:rsidP="001E06B9" w:rsidRDefault="001B535D" w14:paraId="7B58D884" w14:textId="77777777">
      <w:pPr>
        <w:spacing w:after="120"/>
        <w:rPr>
          <w:rFonts w:cs="Arial"/>
          <w:sz w:val="22"/>
          <w:szCs w:val="22"/>
        </w:rPr>
      </w:pPr>
      <w:r w:rsidRPr="006D2719">
        <w:rPr>
          <w:rFonts w:cs="Arial"/>
          <w:b/>
          <w:sz w:val="22"/>
          <w:szCs w:val="22"/>
        </w:rPr>
        <w:t>Section 37.75(b)</w:t>
      </w:r>
      <w:r w:rsidRPr="006D2719">
        <w:rPr>
          <w:rFonts w:cs="Arial"/>
          <w:sz w:val="22"/>
          <w:szCs w:val="22"/>
        </w:rPr>
        <w:t xml:space="preserve"> </w:t>
      </w:r>
      <w:r>
        <w:rPr>
          <w:rFonts w:cs="Arial"/>
          <w:sz w:val="22"/>
          <w:szCs w:val="22"/>
        </w:rPr>
        <w:t xml:space="preserve">requires that </w:t>
      </w:r>
      <w:r w:rsidRPr="006D2719">
        <w:rPr>
          <w:rFonts w:cs="Arial"/>
          <w:sz w:val="22"/>
          <w:szCs w:val="22"/>
        </w:rPr>
        <w:t>e</w:t>
      </w:r>
      <w:r w:rsidRPr="006D2719">
        <w:rPr>
          <w:sz w:val="22"/>
          <w:szCs w:val="24"/>
        </w:rPr>
        <w:t xml:space="preserve">ach licensee that plans to transport, or deliver to a carrier for transport, licensed material that is a category 2 quantity of radioactive material outside the confines of the licensee’s facility or other place of use or storage shall </w:t>
      </w:r>
      <w:r w:rsidRPr="006D2719">
        <w:rPr>
          <w:rFonts w:eastAsia="Batang" w:cs="Arial"/>
          <w:sz w:val="22"/>
          <w:szCs w:val="22"/>
          <w:lang w:eastAsia="ko-KR"/>
        </w:rPr>
        <w:t xml:space="preserve">verify and document the shipment no-later-than arrival time and the actual shipment arrival with the receiving licensee.  </w:t>
      </w:r>
    </w:p>
    <w:p w:rsidRPr="006D2719" w:rsidR="001B535D" w:rsidP="001E06B9" w:rsidRDefault="001B535D" w14:paraId="7B58D885" w14:textId="77777777">
      <w:pPr>
        <w:spacing w:after="120"/>
        <w:rPr>
          <w:rFonts w:cs="Arial"/>
          <w:sz w:val="22"/>
          <w:szCs w:val="22"/>
        </w:rPr>
      </w:pPr>
    </w:p>
    <w:p w:rsidRPr="00235A3A" w:rsidR="001B535D" w:rsidP="001E06B9" w:rsidRDefault="001B535D" w14:paraId="7B58D886" w14:textId="77777777">
      <w:pPr>
        <w:spacing w:after="120"/>
        <w:rPr>
          <w:sz w:val="22"/>
          <w:szCs w:val="24"/>
        </w:rPr>
      </w:pPr>
      <w:r w:rsidRPr="006D2719">
        <w:rPr>
          <w:rFonts w:cs="Arial"/>
          <w:b/>
          <w:sz w:val="22"/>
          <w:szCs w:val="22"/>
        </w:rPr>
        <w:t>Section 37.75(c)</w:t>
      </w:r>
      <w:r w:rsidRPr="006D2719">
        <w:rPr>
          <w:rFonts w:cs="Arial"/>
          <w:sz w:val="22"/>
          <w:szCs w:val="22"/>
        </w:rPr>
        <w:t xml:space="preserve"> </w:t>
      </w:r>
      <w:r>
        <w:rPr>
          <w:rFonts w:cs="Arial"/>
          <w:sz w:val="22"/>
          <w:szCs w:val="22"/>
        </w:rPr>
        <w:t xml:space="preserve">requires that </w:t>
      </w:r>
      <w:r w:rsidRPr="006D2719">
        <w:rPr>
          <w:rFonts w:cs="Arial"/>
          <w:sz w:val="22"/>
          <w:szCs w:val="22"/>
        </w:rPr>
        <w:t>e</w:t>
      </w:r>
      <w:r w:rsidRPr="006D2719">
        <w:rPr>
          <w:sz w:val="22"/>
          <w:szCs w:val="24"/>
        </w:rPr>
        <w:t xml:space="preserve">ach licensee </w:t>
      </w:r>
      <w:r w:rsidRPr="00235A3A">
        <w:rPr>
          <w:sz w:val="22"/>
          <w:szCs w:val="24"/>
        </w:rPr>
        <w:t>who receives a shipment of a category 2 quantity of radioactive material shall confirm receipt of the shipment with the originator.  If the shipment has not arrived by the no-later-than arrival time, the receiving licensee shall notify the originator.</w:t>
      </w:r>
    </w:p>
    <w:p w:rsidRPr="006D2719" w:rsidR="001B535D" w:rsidP="001E06B9" w:rsidRDefault="001B535D" w14:paraId="7B58D887" w14:textId="77777777">
      <w:pPr>
        <w:spacing w:after="120"/>
        <w:rPr>
          <w:rFonts w:cs="Arial"/>
          <w:sz w:val="22"/>
          <w:szCs w:val="22"/>
        </w:rPr>
      </w:pPr>
    </w:p>
    <w:p w:rsidRPr="006D2719" w:rsidR="001B535D" w:rsidP="001E06B9" w:rsidRDefault="001B535D" w14:paraId="7B58D888" w14:textId="77777777">
      <w:pPr>
        <w:autoSpaceDE/>
        <w:autoSpaceDN/>
        <w:adjustRightInd/>
        <w:spacing w:after="120"/>
        <w:rPr>
          <w:sz w:val="22"/>
          <w:szCs w:val="24"/>
        </w:rPr>
      </w:pPr>
      <w:r w:rsidRPr="006D2719">
        <w:rPr>
          <w:rFonts w:cs="Arial"/>
          <w:b/>
          <w:sz w:val="22"/>
          <w:szCs w:val="22"/>
        </w:rPr>
        <w:t>Section 37.75(d)</w:t>
      </w:r>
      <w:r w:rsidRPr="006D2719">
        <w:rPr>
          <w:sz w:val="22"/>
          <w:szCs w:val="24"/>
        </w:rPr>
        <w:t xml:space="preserve"> </w:t>
      </w:r>
      <w:r>
        <w:rPr>
          <w:sz w:val="22"/>
          <w:szCs w:val="24"/>
        </w:rPr>
        <w:t xml:space="preserve">requires that </w:t>
      </w:r>
      <w:r w:rsidRPr="006D2719">
        <w:rPr>
          <w:sz w:val="22"/>
          <w:szCs w:val="24"/>
        </w:rPr>
        <w:t>a licensee who finds that the shipment information previously provided to the receiving licensee will not be met, shall promptly notify the receiving licensee of the new no-later-than arrival time.</w:t>
      </w:r>
    </w:p>
    <w:p w:rsidRPr="00B55FA8" w:rsidR="001B535D" w:rsidP="001E06B9" w:rsidRDefault="001B535D" w14:paraId="7B58D889" w14:textId="77777777">
      <w:pPr>
        <w:spacing w:after="120"/>
        <w:rPr>
          <w:rFonts w:cs="Arial"/>
          <w:sz w:val="22"/>
          <w:szCs w:val="22"/>
        </w:rPr>
      </w:pPr>
    </w:p>
    <w:p w:rsidRPr="006D2719" w:rsidR="001B535D" w:rsidP="001E06B9" w:rsidRDefault="001B535D" w14:paraId="7B58D88A" w14:textId="77777777">
      <w:pPr>
        <w:spacing w:after="120"/>
        <w:rPr>
          <w:rFonts w:cs="Arial"/>
          <w:sz w:val="22"/>
          <w:szCs w:val="22"/>
        </w:rPr>
      </w:pPr>
      <w:r w:rsidRPr="006D2719">
        <w:rPr>
          <w:rFonts w:cs="Arial"/>
          <w:b/>
          <w:sz w:val="22"/>
          <w:szCs w:val="22"/>
        </w:rPr>
        <w:t>Section 37.75(e)</w:t>
      </w:r>
      <w:r w:rsidRPr="006D2719">
        <w:rPr>
          <w:rFonts w:cs="Arial"/>
          <w:sz w:val="22"/>
          <w:szCs w:val="22"/>
        </w:rPr>
        <w:t xml:space="preserve"> </w:t>
      </w:r>
      <w:r>
        <w:rPr>
          <w:rFonts w:cs="Arial"/>
          <w:sz w:val="22"/>
          <w:szCs w:val="22"/>
        </w:rPr>
        <w:t xml:space="preserve">requires that </w:t>
      </w:r>
      <w:r w:rsidRPr="006D2719">
        <w:rPr>
          <w:rFonts w:cs="Arial"/>
          <w:sz w:val="22"/>
          <w:szCs w:val="22"/>
        </w:rPr>
        <w:t xml:space="preserve">the licensee shall retain a copy of the documentation for preplanning and any revision as a record for </w:t>
      </w:r>
      <w:r>
        <w:rPr>
          <w:rFonts w:cs="Arial"/>
          <w:sz w:val="22"/>
          <w:szCs w:val="22"/>
        </w:rPr>
        <w:t>3</w:t>
      </w:r>
      <w:r w:rsidRPr="006D2719">
        <w:rPr>
          <w:rFonts w:cs="Arial"/>
          <w:sz w:val="22"/>
          <w:szCs w:val="22"/>
        </w:rPr>
        <w:t xml:space="preserve"> years.</w:t>
      </w:r>
    </w:p>
    <w:p w:rsidRPr="006D2719" w:rsidR="001B535D" w:rsidP="001E06B9" w:rsidRDefault="001B535D" w14:paraId="7B58D88B" w14:textId="77777777">
      <w:pPr>
        <w:spacing w:after="120"/>
        <w:rPr>
          <w:rFonts w:cs="Arial"/>
          <w:sz w:val="22"/>
          <w:szCs w:val="22"/>
        </w:rPr>
      </w:pPr>
    </w:p>
    <w:p w:rsidRPr="006D2719" w:rsidR="00A27419" w:rsidP="001E06B9" w:rsidRDefault="001B535D" w14:paraId="7B58D88C" w14:textId="77777777">
      <w:pPr>
        <w:spacing w:after="120"/>
        <w:rPr>
          <w:rFonts w:cs="Arial"/>
          <w:sz w:val="22"/>
          <w:szCs w:val="22"/>
        </w:rPr>
      </w:pPr>
      <w:r w:rsidRPr="006D2719">
        <w:rPr>
          <w:rFonts w:cs="Arial"/>
          <w:b/>
          <w:sz w:val="22"/>
          <w:szCs w:val="22"/>
        </w:rPr>
        <w:t>Section 37.77(a)</w:t>
      </w:r>
      <w:r>
        <w:rPr>
          <w:rFonts w:cs="Arial"/>
          <w:b/>
          <w:sz w:val="22"/>
          <w:szCs w:val="22"/>
        </w:rPr>
        <w:t xml:space="preserve"> &amp; </w:t>
      </w:r>
      <w:r w:rsidRPr="006D2719">
        <w:rPr>
          <w:rFonts w:cs="Arial"/>
          <w:b/>
          <w:sz w:val="22"/>
          <w:szCs w:val="22"/>
        </w:rPr>
        <w:t>(b)</w:t>
      </w:r>
      <w:r w:rsidRPr="006D2719">
        <w:rPr>
          <w:rFonts w:cs="Arial"/>
          <w:sz w:val="22"/>
          <w:szCs w:val="22"/>
        </w:rPr>
        <w:t xml:space="preserve"> </w:t>
      </w:r>
      <w:r>
        <w:rPr>
          <w:rFonts w:cs="Arial"/>
          <w:sz w:val="22"/>
          <w:szCs w:val="22"/>
        </w:rPr>
        <w:t xml:space="preserve">requires that </w:t>
      </w:r>
      <w:r w:rsidRPr="006D2719">
        <w:rPr>
          <w:rFonts w:cs="Arial"/>
          <w:sz w:val="22"/>
          <w:szCs w:val="22"/>
        </w:rPr>
        <w:t xml:space="preserve">the </w:t>
      </w:r>
      <w:r>
        <w:rPr>
          <w:rFonts w:cs="Arial"/>
          <w:sz w:val="22"/>
          <w:szCs w:val="22"/>
        </w:rPr>
        <w:t xml:space="preserve">advance </w:t>
      </w:r>
      <w:r w:rsidRPr="006D2719">
        <w:rPr>
          <w:rFonts w:cs="Arial"/>
          <w:sz w:val="22"/>
          <w:szCs w:val="22"/>
        </w:rPr>
        <w:t xml:space="preserve">notification </w:t>
      </w:r>
      <w:r>
        <w:rPr>
          <w:rFonts w:cs="Arial"/>
          <w:sz w:val="22"/>
          <w:szCs w:val="22"/>
        </w:rPr>
        <w:t xml:space="preserve">of category 1 shipments </w:t>
      </w:r>
      <w:r w:rsidRPr="006D2719">
        <w:rPr>
          <w:rFonts w:cs="Arial"/>
          <w:sz w:val="22"/>
          <w:szCs w:val="22"/>
        </w:rPr>
        <w:t>be made in writing to the office of each appropriate governor or governor's designee and to the NRC’s Director, Division of Security Policy, Office of Nuclear Security and Incident Response.</w:t>
      </w:r>
      <w:r>
        <w:rPr>
          <w:rFonts w:cs="Arial"/>
          <w:sz w:val="22"/>
          <w:szCs w:val="22"/>
        </w:rPr>
        <w:t xml:space="preserve">  Notifications must be postmarked at least 7 days before shipment, and received at least 4 days before transport.  The notification must include information about the shipper, carrier, and receiver, including license numbers; a description of the material; estimated times and dates for shipment commencement, State entries, and arrival at its destination; and a point of contact.</w:t>
      </w:r>
      <w:r w:rsidR="00A27419">
        <w:rPr>
          <w:rFonts w:cs="Arial"/>
          <w:sz w:val="22"/>
          <w:szCs w:val="22"/>
        </w:rPr>
        <w:t xml:space="preserve">  </w:t>
      </w:r>
      <w:r w:rsidR="00782A83">
        <w:rPr>
          <w:rFonts w:cs="Arial"/>
          <w:sz w:val="22"/>
          <w:szCs w:val="22"/>
        </w:rPr>
        <w:t xml:space="preserve">The NRC </w:t>
      </w:r>
      <w:r w:rsidRPr="00782A83" w:rsidR="00782A83">
        <w:rPr>
          <w:rFonts w:cs="Arial"/>
          <w:sz w:val="22"/>
          <w:szCs w:val="22"/>
        </w:rPr>
        <w:t>Form 755, "Notification to the NRC of Shipments of Category 1 Quantities of Radioactive Material"</w:t>
      </w:r>
      <w:r w:rsidRPr="00782A83" w:rsidR="00A27419">
        <w:rPr>
          <w:rFonts w:cs="Arial"/>
          <w:sz w:val="22"/>
          <w:szCs w:val="22"/>
        </w:rPr>
        <w:t xml:space="preserve"> is used for the purposed of providing advance notification of category 1 shipments.</w:t>
      </w:r>
    </w:p>
    <w:p w:rsidRPr="006D2719" w:rsidR="001B535D" w:rsidP="001E06B9" w:rsidRDefault="001B535D" w14:paraId="7B58D88D" w14:textId="77777777">
      <w:pPr>
        <w:spacing w:after="120"/>
        <w:rPr>
          <w:rFonts w:cs="Arial"/>
          <w:sz w:val="22"/>
          <w:szCs w:val="22"/>
        </w:rPr>
      </w:pPr>
    </w:p>
    <w:p w:rsidR="001B535D" w:rsidP="001E06B9" w:rsidRDefault="001B535D" w14:paraId="7B58D88E" w14:textId="77777777">
      <w:pPr>
        <w:spacing w:after="120"/>
        <w:rPr>
          <w:rFonts w:cs="Arial"/>
          <w:sz w:val="22"/>
          <w:szCs w:val="22"/>
        </w:rPr>
      </w:pPr>
      <w:r w:rsidRPr="006D2719">
        <w:rPr>
          <w:rFonts w:cs="Arial"/>
          <w:b/>
          <w:sz w:val="22"/>
          <w:szCs w:val="22"/>
        </w:rPr>
        <w:t>Section 37.77(c)</w:t>
      </w:r>
      <w:r w:rsidRPr="006D2719">
        <w:rPr>
          <w:rFonts w:cs="Arial"/>
          <w:sz w:val="22"/>
          <w:szCs w:val="22"/>
        </w:rPr>
        <w:t xml:space="preserve"> </w:t>
      </w:r>
      <w:r>
        <w:rPr>
          <w:rFonts w:cs="Arial"/>
          <w:sz w:val="22"/>
          <w:szCs w:val="22"/>
        </w:rPr>
        <w:t xml:space="preserve">requires that </w:t>
      </w:r>
      <w:r w:rsidRPr="006D2719">
        <w:rPr>
          <w:rFonts w:cs="Arial"/>
          <w:sz w:val="22"/>
          <w:szCs w:val="22"/>
        </w:rPr>
        <w:t>the licensee provide any information not previously available at the time of the initial notification</w:t>
      </w:r>
      <w:r>
        <w:rPr>
          <w:rFonts w:cs="Arial"/>
          <w:sz w:val="22"/>
          <w:szCs w:val="22"/>
        </w:rPr>
        <w:t xml:space="preserve"> of shipment of category 1 material</w:t>
      </w:r>
      <w:r w:rsidRPr="006D2719">
        <w:rPr>
          <w:rFonts w:cs="Arial"/>
          <w:sz w:val="22"/>
          <w:szCs w:val="22"/>
        </w:rPr>
        <w:t>, as soon as the information becomes available, to a responsible individual in the office of the governor of the State</w:t>
      </w:r>
      <w:r>
        <w:rPr>
          <w:rFonts w:cs="Arial"/>
          <w:sz w:val="22"/>
          <w:szCs w:val="22"/>
        </w:rPr>
        <w:t xml:space="preserve">, and </w:t>
      </w:r>
      <w:r w:rsidRPr="006D2719">
        <w:rPr>
          <w:rFonts w:cs="Arial"/>
          <w:sz w:val="22"/>
          <w:szCs w:val="22"/>
        </w:rPr>
        <w:t>to the NRC</w:t>
      </w:r>
      <w:r>
        <w:rPr>
          <w:rFonts w:cs="Arial"/>
          <w:sz w:val="22"/>
          <w:szCs w:val="22"/>
        </w:rPr>
        <w:t xml:space="preserve">. </w:t>
      </w:r>
    </w:p>
    <w:p w:rsidRPr="006D2719" w:rsidR="001B535D" w:rsidP="001E06B9" w:rsidRDefault="001B535D" w14:paraId="7B58D88F" w14:textId="77777777">
      <w:pPr>
        <w:spacing w:after="120"/>
        <w:rPr>
          <w:rFonts w:cs="Arial"/>
          <w:sz w:val="22"/>
          <w:szCs w:val="22"/>
        </w:rPr>
      </w:pPr>
    </w:p>
    <w:p w:rsidR="001B535D" w:rsidP="001E06B9" w:rsidRDefault="001B535D" w14:paraId="7B58D890" w14:textId="77777777">
      <w:pPr>
        <w:spacing w:after="120"/>
        <w:rPr>
          <w:rFonts w:cs="Arial"/>
          <w:sz w:val="22"/>
          <w:szCs w:val="22"/>
        </w:rPr>
      </w:pPr>
      <w:r w:rsidRPr="006D2719">
        <w:rPr>
          <w:rFonts w:cs="Arial"/>
          <w:b/>
          <w:sz w:val="22"/>
          <w:szCs w:val="22"/>
        </w:rPr>
        <w:t>Section 37.77</w:t>
      </w:r>
      <w:r w:rsidRPr="00E74E0D">
        <w:rPr>
          <w:rFonts w:cs="Arial"/>
          <w:b/>
          <w:sz w:val="22"/>
          <w:szCs w:val="22"/>
        </w:rPr>
        <w:t>(d)</w:t>
      </w:r>
      <w:r w:rsidRPr="00E74E0D">
        <w:rPr>
          <w:rFonts w:cs="Arial"/>
          <w:sz w:val="22"/>
          <w:szCs w:val="22"/>
        </w:rPr>
        <w:t xml:space="preserve"> </w:t>
      </w:r>
      <w:r>
        <w:rPr>
          <w:rFonts w:cs="Arial"/>
          <w:sz w:val="22"/>
          <w:szCs w:val="22"/>
        </w:rPr>
        <w:t xml:space="preserve">requires </w:t>
      </w:r>
      <w:r w:rsidRPr="00E74E0D">
        <w:rPr>
          <w:rFonts w:cs="Arial"/>
          <w:sz w:val="22"/>
          <w:szCs w:val="22"/>
        </w:rPr>
        <w:t>each</w:t>
      </w:r>
      <w:r w:rsidRPr="006D2719">
        <w:rPr>
          <w:rFonts w:cs="Arial"/>
          <w:sz w:val="22"/>
          <w:szCs w:val="22"/>
        </w:rPr>
        <w:t xml:space="preserve"> licensee who cancels a shipment</w:t>
      </w:r>
      <w:r>
        <w:rPr>
          <w:rFonts w:cs="Arial"/>
          <w:sz w:val="22"/>
          <w:szCs w:val="22"/>
        </w:rPr>
        <w:t xml:space="preserve"> of category 1 material</w:t>
      </w:r>
      <w:r w:rsidRPr="006D2719">
        <w:rPr>
          <w:rFonts w:cs="Arial"/>
          <w:sz w:val="22"/>
          <w:szCs w:val="22"/>
        </w:rPr>
        <w:t xml:space="preserve"> </w:t>
      </w:r>
      <w:r>
        <w:rPr>
          <w:rFonts w:cs="Arial"/>
          <w:sz w:val="22"/>
          <w:szCs w:val="22"/>
        </w:rPr>
        <w:t xml:space="preserve">to </w:t>
      </w:r>
      <w:r w:rsidRPr="006D2719">
        <w:rPr>
          <w:rFonts w:cs="Arial"/>
          <w:sz w:val="22"/>
          <w:szCs w:val="22"/>
        </w:rPr>
        <w:t>send a cancellation notice to the governor of each State and to the NRC</w:t>
      </w:r>
      <w:r>
        <w:rPr>
          <w:rFonts w:cs="Arial"/>
          <w:sz w:val="22"/>
          <w:szCs w:val="22"/>
        </w:rPr>
        <w:t xml:space="preserve">.  </w:t>
      </w:r>
    </w:p>
    <w:p w:rsidRPr="006D2719" w:rsidR="001B535D" w:rsidP="001E06B9" w:rsidRDefault="001B535D" w14:paraId="7B58D891" w14:textId="77777777">
      <w:pPr>
        <w:spacing w:after="120"/>
        <w:rPr>
          <w:rFonts w:cs="Arial"/>
          <w:sz w:val="22"/>
          <w:szCs w:val="22"/>
        </w:rPr>
      </w:pPr>
    </w:p>
    <w:p w:rsidRPr="006D2719" w:rsidR="001B535D" w:rsidP="001E06B9" w:rsidRDefault="001B535D" w14:paraId="7B58D892" w14:textId="77777777">
      <w:pPr>
        <w:spacing w:after="120"/>
        <w:rPr>
          <w:rFonts w:cs="Arial"/>
          <w:sz w:val="22"/>
          <w:szCs w:val="22"/>
        </w:rPr>
      </w:pPr>
      <w:r w:rsidRPr="006D2719">
        <w:rPr>
          <w:rFonts w:cs="Arial"/>
          <w:b/>
          <w:sz w:val="22"/>
          <w:szCs w:val="22"/>
        </w:rPr>
        <w:lastRenderedPageBreak/>
        <w:t>Section 37.77(e)</w:t>
      </w:r>
      <w:r w:rsidRPr="006D2719">
        <w:rPr>
          <w:rFonts w:cs="Arial"/>
          <w:sz w:val="22"/>
          <w:szCs w:val="22"/>
        </w:rPr>
        <w:t xml:space="preserve"> </w:t>
      </w:r>
      <w:r>
        <w:rPr>
          <w:rFonts w:cs="Arial"/>
          <w:sz w:val="22"/>
          <w:szCs w:val="22"/>
        </w:rPr>
        <w:t xml:space="preserve">requires </w:t>
      </w:r>
      <w:r w:rsidRPr="006D2719">
        <w:rPr>
          <w:rFonts w:cs="Arial"/>
          <w:sz w:val="22"/>
          <w:szCs w:val="22"/>
        </w:rPr>
        <w:t xml:space="preserve">the licensee </w:t>
      </w:r>
      <w:r>
        <w:rPr>
          <w:rFonts w:cs="Arial"/>
          <w:sz w:val="22"/>
          <w:szCs w:val="22"/>
        </w:rPr>
        <w:t>to</w:t>
      </w:r>
      <w:r w:rsidRPr="006D2719">
        <w:rPr>
          <w:rFonts w:cs="Arial"/>
          <w:sz w:val="22"/>
          <w:szCs w:val="22"/>
        </w:rPr>
        <w:t xml:space="preserve"> retain a copy of the advance notification, and any revision and cancellation notices </w:t>
      </w:r>
      <w:r>
        <w:rPr>
          <w:rFonts w:cs="Arial"/>
          <w:sz w:val="22"/>
          <w:szCs w:val="22"/>
        </w:rPr>
        <w:t xml:space="preserve">for shipment of category 1 material </w:t>
      </w:r>
      <w:r w:rsidRPr="006D2719">
        <w:rPr>
          <w:rFonts w:cs="Arial"/>
          <w:sz w:val="22"/>
          <w:szCs w:val="22"/>
        </w:rPr>
        <w:t xml:space="preserve">as a record for </w:t>
      </w:r>
      <w:r>
        <w:rPr>
          <w:rFonts w:cs="Arial"/>
          <w:sz w:val="22"/>
          <w:szCs w:val="22"/>
        </w:rPr>
        <w:t>3</w:t>
      </w:r>
      <w:r w:rsidRPr="006D2719">
        <w:rPr>
          <w:rFonts w:cs="Arial"/>
          <w:sz w:val="22"/>
          <w:szCs w:val="22"/>
        </w:rPr>
        <w:t xml:space="preserve"> years.</w:t>
      </w:r>
    </w:p>
    <w:p w:rsidRPr="006D2719" w:rsidR="001B535D" w:rsidP="001E06B9" w:rsidRDefault="001B535D" w14:paraId="7B58D893" w14:textId="77777777">
      <w:pPr>
        <w:spacing w:after="120"/>
        <w:rPr>
          <w:rFonts w:cs="Arial"/>
          <w:sz w:val="22"/>
          <w:szCs w:val="22"/>
        </w:rPr>
      </w:pPr>
    </w:p>
    <w:p w:rsidRPr="006D2719" w:rsidR="001B535D" w:rsidP="001E06B9" w:rsidRDefault="001B535D" w14:paraId="7B58D894" w14:textId="77777777">
      <w:pPr>
        <w:spacing w:after="120"/>
        <w:rPr>
          <w:rFonts w:cs="Arial"/>
          <w:sz w:val="22"/>
          <w:szCs w:val="22"/>
        </w:rPr>
      </w:pPr>
      <w:r w:rsidRPr="006D2719">
        <w:rPr>
          <w:rFonts w:cs="Arial"/>
          <w:b/>
          <w:sz w:val="22"/>
          <w:szCs w:val="22"/>
        </w:rPr>
        <w:t>Section 37.79</w:t>
      </w:r>
      <w:r w:rsidRPr="00CE10E4">
        <w:rPr>
          <w:rFonts w:cs="Arial"/>
          <w:b/>
          <w:sz w:val="22"/>
          <w:szCs w:val="22"/>
        </w:rPr>
        <w:t>(a)(1)</w:t>
      </w:r>
      <w:r>
        <w:rPr>
          <w:rFonts w:cs="Arial"/>
          <w:b/>
          <w:sz w:val="22"/>
          <w:szCs w:val="22"/>
        </w:rPr>
        <w:t xml:space="preserve">(iii) &amp; </w:t>
      </w:r>
      <w:r w:rsidRPr="00CE10E4">
        <w:rPr>
          <w:rFonts w:cs="Arial"/>
          <w:b/>
          <w:sz w:val="22"/>
          <w:szCs w:val="22"/>
        </w:rPr>
        <w:t xml:space="preserve">(v) </w:t>
      </w:r>
      <w:r>
        <w:rPr>
          <w:rFonts w:cs="Arial"/>
          <w:sz w:val="22"/>
          <w:szCs w:val="22"/>
        </w:rPr>
        <w:t xml:space="preserve">requires </w:t>
      </w:r>
      <w:r w:rsidRPr="006D2719">
        <w:rPr>
          <w:rFonts w:cs="Arial"/>
          <w:sz w:val="22"/>
          <w:szCs w:val="22"/>
        </w:rPr>
        <w:t>e</w:t>
      </w:r>
      <w:r w:rsidRPr="006D2719">
        <w:rPr>
          <w:sz w:val="22"/>
          <w:szCs w:val="24"/>
        </w:rPr>
        <w:t xml:space="preserve">ach licensee who makes arrangements for the </w:t>
      </w:r>
      <w:r>
        <w:rPr>
          <w:sz w:val="22"/>
          <w:szCs w:val="24"/>
        </w:rPr>
        <w:t xml:space="preserve">road </w:t>
      </w:r>
      <w:r w:rsidRPr="006D2719">
        <w:rPr>
          <w:sz w:val="22"/>
          <w:szCs w:val="24"/>
        </w:rPr>
        <w:t xml:space="preserve">shipment of category 1 quantities of radioactive material </w:t>
      </w:r>
      <w:r>
        <w:rPr>
          <w:sz w:val="22"/>
          <w:szCs w:val="24"/>
        </w:rPr>
        <w:t xml:space="preserve">to </w:t>
      </w:r>
      <w:r w:rsidRPr="006D2719">
        <w:rPr>
          <w:sz w:val="22"/>
          <w:szCs w:val="24"/>
        </w:rPr>
        <w:t>develop written normal and contingency procedures</w:t>
      </w:r>
      <w:r>
        <w:rPr>
          <w:sz w:val="22"/>
          <w:szCs w:val="24"/>
        </w:rPr>
        <w:t xml:space="preserve"> for notifications, communication protocols, loss of communication, and response to suspicious activities.</w:t>
      </w:r>
    </w:p>
    <w:p w:rsidRPr="006D2719" w:rsidR="001B535D" w:rsidP="001E06B9" w:rsidRDefault="001B535D" w14:paraId="7B58D895" w14:textId="77777777">
      <w:pPr>
        <w:spacing w:after="120"/>
        <w:rPr>
          <w:rFonts w:cs="Arial"/>
          <w:b/>
          <w:sz w:val="22"/>
          <w:szCs w:val="22"/>
        </w:rPr>
      </w:pPr>
    </w:p>
    <w:p w:rsidRPr="001A5185" w:rsidR="001B535D" w:rsidP="001E06B9" w:rsidRDefault="001B535D" w14:paraId="7B58D896" w14:textId="77777777">
      <w:pPr>
        <w:spacing w:after="120"/>
        <w:rPr>
          <w:rFonts w:cs="Arial"/>
          <w:sz w:val="22"/>
          <w:szCs w:val="22"/>
        </w:rPr>
      </w:pPr>
      <w:r>
        <w:rPr>
          <w:rFonts w:cs="Arial"/>
          <w:b/>
          <w:sz w:val="22"/>
          <w:szCs w:val="22"/>
        </w:rPr>
        <w:t xml:space="preserve">Section </w:t>
      </w:r>
      <w:r w:rsidRPr="001A5185">
        <w:rPr>
          <w:rFonts w:cs="Arial"/>
          <w:b/>
          <w:sz w:val="22"/>
          <w:szCs w:val="22"/>
        </w:rPr>
        <w:t>37.79(b)(1)(i)</w:t>
      </w:r>
      <w:r>
        <w:rPr>
          <w:rFonts w:cs="Arial"/>
          <w:b/>
          <w:sz w:val="22"/>
          <w:szCs w:val="22"/>
        </w:rPr>
        <w:t xml:space="preserve">  </w:t>
      </w:r>
      <w:r w:rsidRPr="001A5185">
        <w:rPr>
          <w:rFonts w:cs="Arial"/>
          <w:sz w:val="22"/>
          <w:szCs w:val="22"/>
        </w:rPr>
        <w:t xml:space="preserve">requires licensee to document procedures for rail shipments. </w:t>
      </w:r>
    </w:p>
    <w:p w:rsidR="001B535D" w:rsidP="001E06B9" w:rsidRDefault="001B535D" w14:paraId="7B58D897" w14:textId="77777777">
      <w:pPr>
        <w:spacing w:after="120"/>
        <w:rPr>
          <w:rFonts w:cs="Arial"/>
          <w:b/>
          <w:sz w:val="22"/>
          <w:szCs w:val="22"/>
        </w:rPr>
      </w:pPr>
    </w:p>
    <w:p w:rsidRPr="006D2719" w:rsidR="001B535D" w:rsidP="001E06B9" w:rsidRDefault="001B535D" w14:paraId="7B58D898" w14:textId="77777777">
      <w:pPr>
        <w:spacing w:after="120"/>
        <w:rPr>
          <w:sz w:val="22"/>
          <w:szCs w:val="24"/>
        </w:rPr>
      </w:pPr>
      <w:r w:rsidRPr="006D2719">
        <w:rPr>
          <w:rFonts w:cs="Arial"/>
          <w:b/>
          <w:sz w:val="22"/>
          <w:szCs w:val="22"/>
        </w:rPr>
        <w:t>Section 37.79(b)</w:t>
      </w:r>
      <w:r>
        <w:rPr>
          <w:rFonts w:cs="Arial"/>
          <w:b/>
          <w:sz w:val="22"/>
          <w:szCs w:val="22"/>
        </w:rPr>
        <w:t>(1)</w:t>
      </w:r>
      <w:r w:rsidRPr="006D2719">
        <w:rPr>
          <w:rFonts w:cs="Arial"/>
          <w:b/>
          <w:sz w:val="22"/>
          <w:szCs w:val="22"/>
        </w:rPr>
        <w:t>(ii</w:t>
      </w:r>
      <w:r w:rsidRPr="006D2719">
        <w:rPr>
          <w:rFonts w:cs="Arial"/>
          <w:sz w:val="22"/>
          <w:szCs w:val="22"/>
        </w:rPr>
        <w:t xml:space="preserve">) requires </w:t>
      </w:r>
      <w:r w:rsidRPr="006D2719">
        <w:rPr>
          <w:sz w:val="22"/>
          <w:szCs w:val="24"/>
        </w:rPr>
        <w:t xml:space="preserve">that </w:t>
      </w:r>
      <w:r>
        <w:rPr>
          <w:sz w:val="22"/>
          <w:szCs w:val="24"/>
        </w:rPr>
        <w:t xml:space="preserve">licensees who transport, or deliver to a carrier for transport, a category 1 quantity of radioactive material ensure that </w:t>
      </w:r>
      <w:r w:rsidRPr="006D2719">
        <w:rPr>
          <w:sz w:val="22"/>
          <w:szCs w:val="24"/>
        </w:rPr>
        <w:t xml:space="preserve">periodic reports to the communications center are made at preset intervals.  </w:t>
      </w:r>
      <w:r>
        <w:rPr>
          <w:sz w:val="22"/>
          <w:szCs w:val="24"/>
        </w:rPr>
        <w:t>The NRC does not estimate there will be rail shipments of byproduct material.</w:t>
      </w:r>
    </w:p>
    <w:p w:rsidRPr="001A5185" w:rsidR="001B535D" w:rsidP="001E06B9" w:rsidRDefault="001B535D" w14:paraId="7B58D899" w14:textId="77777777">
      <w:pPr>
        <w:spacing w:after="120"/>
        <w:rPr>
          <w:rFonts w:cs="Arial"/>
          <w:b/>
          <w:sz w:val="22"/>
          <w:szCs w:val="22"/>
        </w:rPr>
      </w:pPr>
    </w:p>
    <w:p w:rsidRPr="006D2719" w:rsidR="001B535D" w:rsidP="001E06B9" w:rsidRDefault="001B535D" w14:paraId="7B58D89A" w14:textId="77777777">
      <w:pPr>
        <w:spacing w:after="120"/>
        <w:rPr>
          <w:rFonts w:cs="Arial"/>
          <w:sz w:val="22"/>
          <w:szCs w:val="22"/>
        </w:rPr>
      </w:pPr>
      <w:r w:rsidRPr="006D2719">
        <w:rPr>
          <w:rFonts w:cs="Arial"/>
          <w:b/>
          <w:sz w:val="22"/>
          <w:szCs w:val="22"/>
        </w:rPr>
        <w:t>Section 37.81(a)</w:t>
      </w:r>
      <w:r w:rsidRPr="006D2719">
        <w:rPr>
          <w:rFonts w:cs="Arial"/>
          <w:sz w:val="22"/>
          <w:szCs w:val="22"/>
        </w:rPr>
        <w:t xml:space="preserve"> </w:t>
      </w:r>
      <w:r>
        <w:rPr>
          <w:rFonts w:cs="Arial"/>
          <w:sz w:val="22"/>
          <w:szCs w:val="22"/>
        </w:rPr>
        <w:t xml:space="preserve">requires </w:t>
      </w:r>
      <w:r w:rsidRPr="006D2719">
        <w:rPr>
          <w:rFonts w:cs="Arial"/>
          <w:sz w:val="22"/>
          <w:szCs w:val="22"/>
        </w:rPr>
        <w:t xml:space="preserve">the shipping licensee </w:t>
      </w:r>
      <w:r>
        <w:rPr>
          <w:rFonts w:cs="Arial"/>
          <w:sz w:val="22"/>
          <w:szCs w:val="22"/>
        </w:rPr>
        <w:t>to</w:t>
      </w:r>
      <w:r w:rsidRPr="006D2719">
        <w:rPr>
          <w:rFonts w:cs="Arial"/>
          <w:sz w:val="22"/>
          <w:szCs w:val="22"/>
        </w:rPr>
        <w:t xml:space="preserve"> notify the appropriate LLEA</w:t>
      </w:r>
      <w:r>
        <w:rPr>
          <w:rFonts w:cs="Arial"/>
          <w:sz w:val="22"/>
          <w:szCs w:val="22"/>
        </w:rPr>
        <w:t xml:space="preserve"> </w:t>
      </w:r>
      <w:r w:rsidRPr="006D2719">
        <w:rPr>
          <w:rFonts w:cs="Arial"/>
          <w:sz w:val="22"/>
          <w:szCs w:val="22"/>
        </w:rPr>
        <w:t>and the NRC Operations within 1</w:t>
      </w:r>
      <w:r>
        <w:rPr>
          <w:rFonts w:cs="Arial"/>
          <w:sz w:val="22"/>
          <w:szCs w:val="22"/>
        </w:rPr>
        <w:t xml:space="preserve"> </w:t>
      </w:r>
      <w:r w:rsidRPr="006D2719">
        <w:rPr>
          <w:rFonts w:cs="Arial"/>
          <w:sz w:val="22"/>
          <w:szCs w:val="22"/>
        </w:rPr>
        <w:t>hour of its determination that a shipment of category 1 quantities of radioactive m</w:t>
      </w:r>
      <w:r>
        <w:rPr>
          <w:rFonts w:cs="Arial"/>
          <w:sz w:val="22"/>
          <w:szCs w:val="22"/>
        </w:rPr>
        <w:t>aterial is lost or missing.</w:t>
      </w:r>
    </w:p>
    <w:p w:rsidRPr="006D2719" w:rsidR="001B535D" w:rsidP="001E06B9" w:rsidRDefault="001B535D" w14:paraId="7B58D89B" w14:textId="77777777">
      <w:pPr>
        <w:spacing w:after="120"/>
        <w:rPr>
          <w:rFonts w:cs="Arial"/>
          <w:sz w:val="22"/>
          <w:szCs w:val="22"/>
        </w:rPr>
      </w:pPr>
    </w:p>
    <w:p w:rsidRPr="006D2719" w:rsidR="001B535D" w:rsidP="001E06B9" w:rsidRDefault="001B535D" w14:paraId="7B58D89C" w14:textId="77777777">
      <w:pPr>
        <w:spacing w:after="120"/>
        <w:rPr>
          <w:rFonts w:cs="Arial"/>
          <w:sz w:val="22"/>
          <w:szCs w:val="22"/>
        </w:rPr>
      </w:pPr>
      <w:r w:rsidRPr="006D2719">
        <w:rPr>
          <w:rFonts w:cs="Arial"/>
          <w:b/>
          <w:sz w:val="22"/>
          <w:szCs w:val="22"/>
        </w:rPr>
        <w:t xml:space="preserve">Section 37.81(b) </w:t>
      </w:r>
      <w:r>
        <w:rPr>
          <w:rFonts w:cs="Arial"/>
          <w:sz w:val="22"/>
          <w:szCs w:val="22"/>
        </w:rPr>
        <w:t xml:space="preserve">requires </w:t>
      </w:r>
      <w:r w:rsidRPr="00636EBF">
        <w:rPr>
          <w:rFonts w:cs="Arial"/>
          <w:sz w:val="22"/>
          <w:szCs w:val="22"/>
        </w:rPr>
        <w:t>the shipping licensees</w:t>
      </w:r>
      <w:r w:rsidRPr="006D2719">
        <w:rPr>
          <w:rFonts w:cs="Arial"/>
          <w:sz w:val="22"/>
          <w:szCs w:val="22"/>
        </w:rPr>
        <w:t xml:space="preserve"> </w:t>
      </w:r>
      <w:r>
        <w:rPr>
          <w:rFonts w:cs="Arial"/>
          <w:sz w:val="22"/>
          <w:szCs w:val="22"/>
        </w:rPr>
        <w:t xml:space="preserve">to </w:t>
      </w:r>
      <w:r w:rsidRPr="006D2719">
        <w:rPr>
          <w:rFonts w:cs="Arial"/>
          <w:sz w:val="22"/>
          <w:szCs w:val="22"/>
        </w:rPr>
        <w:t xml:space="preserve">immediately notify the NRC Operations Center within 4 hours when it is determined that a shipment of category 2 quantities of radioactive material is lost or missing.  If, after 24 hours of investigating, the location of the licensed material still cannot be determined, the radioactive material is deemed missing and the licensee shall immediately notify the </w:t>
      </w:r>
      <w:smartTag w:uri="urn:schemas-microsoft-com:office:smarttags" w:element="place">
        <w:smartTag w:uri="urn:schemas-microsoft-com:office:smarttags" w:element="PlaceName">
          <w:r w:rsidRPr="006D2719">
            <w:rPr>
              <w:rFonts w:cs="Arial"/>
              <w:sz w:val="22"/>
              <w:szCs w:val="22"/>
            </w:rPr>
            <w:t>NRC</w:t>
          </w:r>
        </w:smartTag>
        <w:r w:rsidRPr="006D2719">
          <w:rPr>
            <w:rFonts w:cs="Arial"/>
            <w:sz w:val="22"/>
            <w:szCs w:val="22"/>
          </w:rPr>
          <w:t xml:space="preserve"> </w:t>
        </w:r>
        <w:smartTag w:uri="urn:schemas-microsoft-com:office:smarttags" w:element="PlaceName">
          <w:r w:rsidRPr="006D2719">
            <w:rPr>
              <w:rFonts w:cs="Arial"/>
              <w:sz w:val="22"/>
              <w:szCs w:val="22"/>
            </w:rPr>
            <w:t>Operations</w:t>
          </w:r>
        </w:smartTag>
        <w:r w:rsidRPr="006D2719">
          <w:rPr>
            <w:rFonts w:cs="Arial"/>
            <w:sz w:val="22"/>
            <w:szCs w:val="22"/>
          </w:rPr>
          <w:t xml:space="preserve"> </w:t>
        </w:r>
        <w:smartTag w:uri="urn:schemas-microsoft-com:office:smarttags" w:element="PlaceType">
          <w:r w:rsidRPr="006D2719">
            <w:rPr>
              <w:rFonts w:cs="Arial"/>
              <w:sz w:val="22"/>
              <w:szCs w:val="22"/>
            </w:rPr>
            <w:t>Center</w:t>
          </w:r>
        </w:smartTag>
      </w:smartTag>
      <w:r w:rsidRPr="006D2719">
        <w:rPr>
          <w:rFonts w:cs="Arial"/>
          <w:sz w:val="22"/>
          <w:szCs w:val="22"/>
        </w:rPr>
        <w:t xml:space="preserve">. </w:t>
      </w:r>
    </w:p>
    <w:p w:rsidRPr="006D2719" w:rsidR="001B535D" w:rsidP="001E06B9" w:rsidRDefault="001B535D" w14:paraId="7B58D89D" w14:textId="77777777">
      <w:pPr>
        <w:spacing w:after="120"/>
        <w:rPr>
          <w:rFonts w:cs="Arial"/>
          <w:sz w:val="22"/>
          <w:szCs w:val="22"/>
        </w:rPr>
      </w:pPr>
    </w:p>
    <w:p w:rsidR="001B535D" w:rsidP="001E06B9" w:rsidRDefault="001B535D" w14:paraId="7B58D89E" w14:textId="77777777">
      <w:pPr>
        <w:spacing w:after="120"/>
        <w:rPr>
          <w:rFonts w:cs="Arial"/>
          <w:sz w:val="22"/>
          <w:szCs w:val="22"/>
        </w:rPr>
      </w:pPr>
      <w:r w:rsidRPr="006D2719">
        <w:rPr>
          <w:rFonts w:cs="Arial"/>
          <w:b/>
          <w:sz w:val="22"/>
          <w:szCs w:val="22"/>
        </w:rPr>
        <w:t>Section 37.81(c)</w:t>
      </w:r>
      <w:r w:rsidRPr="006D2719">
        <w:rPr>
          <w:rFonts w:cs="Arial"/>
          <w:sz w:val="22"/>
          <w:szCs w:val="22"/>
        </w:rPr>
        <w:t xml:space="preserve"> </w:t>
      </w:r>
      <w:r>
        <w:rPr>
          <w:rFonts w:cs="Arial"/>
          <w:sz w:val="22"/>
          <w:szCs w:val="22"/>
        </w:rPr>
        <w:t xml:space="preserve">requires </w:t>
      </w:r>
      <w:r w:rsidRPr="006D2719">
        <w:rPr>
          <w:rFonts w:cs="Arial"/>
          <w:sz w:val="22"/>
          <w:szCs w:val="22"/>
        </w:rPr>
        <w:t xml:space="preserve">the shipping licensee, as soon as possible upon discovery of any actual or attempted theft or diversion of a shipment or suspicious activities related to the theft or diversion of a shipment of a category 1 quantity of radioactive material, </w:t>
      </w:r>
      <w:r>
        <w:rPr>
          <w:rFonts w:cs="Arial"/>
          <w:sz w:val="22"/>
          <w:szCs w:val="22"/>
        </w:rPr>
        <w:t>to</w:t>
      </w:r>
      <w:r w:rsidRPr="006D2719">
        <w:rPr>
          <w:rFonts w:cs="Arial"/>
          <w:sz w:val="22"/>
          <w:szCs w:val="22"/>
        </w:rPr>
        <w:t xml:space="preserve"> notify the designated LLEA along the shipment route.  As soon as possible after notifying the LLEA, the licensee shall notify the </w:t>
      </w:r>
    </w:p>
    <w:p w:rsidRPr="006D2719" w:rsidR="001B535D" w:rsidP="001E06B9" w:rsidRDefault="001B535D" w14:paraId="7B58D89F" w14:textId="77777777">
      <w:pPr>
        <w:spacing w:after="120"/>
        <w:rPr>
          <w:rFonts w:cs="Arial"/>
          <w:sz w:val="22"/>
          <w:szCs w:val="22"/>
        </w:rPr>
      </w:pPr>
      <w:r w:rsidRPr="006D2719">
        <w:rPr>
          <w:rFonts w:cs="Arial"/>
          <w:sz w:val="22"/>
          <w:szCs w:val="22"/>
        </w:rPr>
        <w:t xml:space="preserve">NRC Operations Center upon discovery of any actual or attempted theft or diversion, or suspicious activities related to the theft or diversion of a shipment of category 1 radioactive material.  </w:t>
      </w:r>
    </w:p>
    <w:p w:rsidRPr="006D2719" w:rsidR="001B535D" w:rsidP="001E06B9" w:rsidRDefault="001B535D" w14:paraId="7B58D8A0" w14:textId="77777777">
      <w:pPr>
        <w:spacing w:after="120"/>
        <w:rPr>
          <w:rFonts w:cs="Arial"/>
          <w:b/>
          <w:sz w:val="22"/>
          <w:szCs w:val="22"/>
        </w:rPr>
      </w:pPr>
    </w:p>
    <w:p w:rsidRPr="006D2719" w:rsidR="001B535D" w:rsidP="001E06B9" w:rsidRDefault="001B535D" w14:paraId="7B58D8A1" w14:textId="77777777">
      <w:pPr>
        <w:spacing w:after="120"/>
        <w:rPr>
          <w:rFonts w:cs="Arial"/>
          <w:sz w:val="22"/>
          <w:szCs w:val="22"/>
        </w:rPr>
      </w:pPr>
      <w:r w:rsidRPr="006D2719">
        <w:rPr>
          <w:rFonts w:cs="Arial"/>
          <w:b/>
          <w:sz w:val="22"/>
          <w:szCs w:val="22"/>
        </w:rPr>
        <w:t>Section 37.81(d)</w:t>
      </w:r>
      <w:r w:rsidRPr="006D2719">
        <w:rPr>
          <w:rFonts w:cs="Arial"/>
          <w:sz w:val="22"/>
          <w:szCs w:val="22"/>
        </w:rPr>
        <w:t xml:space="preserve"> </w:t>
      </w:r>
      <w:r>
        <w:rPr>
          <w:rFonts w:cs="Arial"/>
          <w:sz w:val="22"/>
          <w:szCs w:val="22"/>
        </w:rPr>
        <w:t xml:space="preserve">requires </w:t>
      </w:r>
      <w:r w:rsidRPr="006D2719">
        <w:rPr>
          <w:rFonts w:cs="Arial"/>
          <w:sz w:val="22"/>
          <w:szCs w:val="22"/>
        </w:rPr>
        <w:t xml:space="preserve">the shipping licensee, as soon as possible upon discovery of any actual or attempted theft or diversion of a shipment or suspicious activities related to the theft or diversion of a shipment of a category 2 quantity of radioactive material, </w:t>
      </w:r>
      <w:r>
        <w:rPr>
          <w:rFonts w:cs="Arial"/>
          <w:sz w:val="22"/>
          <w:szCs w:val="22"/>
        </w:rPr>
        <w:t>to</w:t>
      </w:r>
      <w:r w:rsidRPr="006D2719">
        <w:rPr>
          <w:rFonts w:cs="Arial"/>
          <w:sz w:val="22"/>
          <w:szCs w:val="22"/>
        </w:rPr>
        <w:t xml:space="preserve"> notify the </w:t>
      </w:r>
      <w:smartTag w:uri="urn:schemas-microsoft-com:office:smarttags" w:element="place">
        <w:smartTag w:uri="urn:schemas-microsoft-com:office:smarttags" w:element="PlaceName">
          <w:r w:rsidRPr="006D2719">
            <w:rPr>
              <w:rFonts w:cs="Arial"/>
              <w:sz w:val="22"/>
              <w:szCs w:val="22"/>
            </w:rPr>
            <w:t>NRC</w:t>
          </w:r>
        </w:smartTag>
        <w:r w:rsidRPr="006D2719">
          <w:rPr>
            <w:rFonts w:cs="Arial"/>
            <w:sz w:val="22"/>
            <w:szCs w:val="22"/>
          </w:rPr>
          <w:t xml:space="preserve"> </w:t>
        </w:r>
        <w:smartTag w:uri="urn:schemas-microsoft-com:office:smarttags" w:element="PlaceName">
          <w:r w:rsidRPr="006D2719">
            <w:rPr>
              <w:rFonts w:cs="Arial"/>
              <w:sz w:val="22"/>
              <w:szCs w:val="22"/>
            </w:rPr>
            <w:t>Operations</w:t>
          </w:r>
        </w:smartTag>
        <w:r w:rsidRPr="006D2719">
          <w:rPr>
            <w:rFonts w:cs="Arial"/>
            <w:sz w:val="22"/>
            <w:szCs w:val="22"/>
          </w:rPr>
          <w:t xml:space="preserve"> </w:t>
        </w:r>
        <w:smartTag w:uri="urn:schemas-microsoft-com:office:smarttags" w:element="PlaceType">
          <w:r w:rsidRPr="006D2719">
            <w:rPr>
              <w:rFonts w:cs="Arial"/>
              <w:sz w:val="22"/>
              <w:szCs w:val="22"/>
            </w:rPr>
            <w:t>Center</w:t>
          </w:r>
        </w:smartTag>
      </w:smartTag>
      <w:r w:rsidRPr="006D2719">
        <w:rPr>
          <w:rFonts w:cs="Arial"/>
          <w:sz w:val="22"/>
          <w:szCs w:val="22"/>
        </w:rPr>
        <w:t>.</w:t>
      </w:r>
    </w:p>
    <w:p w:rsidRPr="006D2719" w:rsidR="001B535D" w:rsidP="001E06B9" w:rsidRDefault="001B535D" w14:paraId="7B58D8A2" w14:textId="77777777">
      <w:pPr>
        <w:spacing w:after="120"/>
        <w:rPr>
          <w:rFonts w:cs="Arial"/>
          <w:sz w:val="22"/>
          <w:szCs w:val="22"/>
        </w:rPr>
      </w:pPr>
    </w:p>
    <w:p w:rsidRPr="006D2719" w:rsidR="001B535D" w:rsidP="001E06B9" w:rsidRDefault="001B535D" w14:paraId="7B58D8A3" w14:textId="77777777">
      <w:pPr>
        <w:spacing w:after="120"/>
        <w:rPr>
          <w:rFonts w:cs="Arial"/>
          <w:b/>
          <w:sz w:val="22"/>
          <w:szCs w:val="22"/>
        </w:rPr>
      </w:pPr>
      <w:r w:rsidRPr="006D2719">
        <w:rPr>
          <w:rFonts w:cs="Arial"/>
          <w:b/>
          <w:sz w:val="22"/>
          <w:szCs w:val="22"/>
        </w:rPr>
        <w:t xml:space="preserve">Section 37.81 (e) </w:t>
      </w:r>
      <w:r>
        <w:rPr>
          <w:rFonts w:cs="Arial"/>
          <w:sz w:val="22"/>
          <w:szCs w:val="22"/>
        </w:rPr>
        <w:t xml:space="preserve">requires </w:t>
      </w:r>
      <w:r w:rsidRPr="006D2719">
        <w:rPr>
          <w:rFonts w:cs="Arial"/>
          <w:sz w:val="22"/>
          <w:szCs w:val="22"/>
        </w:rPr>
        <w:t xml:space="preserve">the shipping licensees </w:t>
      </w:r>
      <w:r>
        <w:rPr>
          <w:rFonts w:cs="Arial"/>
          <w:sz w:val="22"/>
          <w:szCs w:val="22"/>
        </w:rPr>
        <w:t>to</w:t>
      </w:r>
      <w:r w:rsidRPr="006D2719">
        <w:rPr>
          <w:rFonts w:cs="Arial"/>
          <w:sz w:val="22"/>
          <w:szCs w:val="22"/>
        </w:rPr>
        <w:t xml:space="preserve"> notify the NRC Operations Center and the LLEA as soon as possible upon recovery of any lost or missing category 1 quantities of radioactive material</w:t>
      </w:r>
      <w:r w:rsidRPr="006D2719">
        <w:rPr>
          <w:rFonts w:cs="Arial"/>
          <w:b/>
          <w:sz w:val="22"/>
          <w:szCs w:val="22"/>
        </w:rPr>
        <w:t>.</w:t>
      </w:r>
    </w:p>
    <w:p w:rsidRPr="006D2719" w:rsidR="001B535D" w:rsidP="001E06B9" w:rsidRDefault="001B535D" w14:paraId="7B58D8A4" w14:textId="77777777">
      <w:pPr>
        <w:spacing w:after="120"/>
        <w:rPr>
          <w:rFonts w:cs="Arial"/>
          <w:sz w:val="22"/>
          <w:szCs w:val="22"/>
        </w:rPr>
      </w:pPr>
    </w:p>
    <w:p w:rsidRPr="006D2719" w:rsidR="001B535D" w:rsidP="001E06B9" w:rsidRDefault="001B535D" w14:paraId="7B58D8A5" w14:textId="77777777">
      <w:pPr>
        <w:spacing w:after="120"/>
        <w:rPr>
          <w:rFonts w:cs="Arial"/>
          <w:sz w:val="22"/>
          <w:szCs w:val="22"/>
        </w:rPr>
      </w:pPr>
      <w:r w:rsidRPr="006D2719">
        <w:rPr>
          <w:rFonts w:cs="Arial"/>
          <w:b/>
          <w:sz w:val="22"/>
          <w:szCs w:val="22"/>
        </w:rPr>
        <w:t xml:space="preserve">Section 37.81 (f) </w:t>
      </w:r>
      <w:r>
        <w:rPr>
          <w:rFonts w:cs="Arial"/>
          <w:sz w:val="22"/>
          <w:szCs w:val="22"/>
        </w:rPr>
        <w:t xml:space="preserve">requires </w:t>
      </w:r>
      <w:r w:rsidRPr="006D2719">
        <w:rPr>
          <w:rFonts w:cs="Arial"/>
          <w:sz w:val="22"/>
          <w:szCs w:val="22"/>
        </w:rPr>
        <w:t xml:space="preserve">the shipping licensees </w:t>
      </w:r>
      <w:r>
        <w:rPr>
          <w:rFonts w:cs="Arial"/>
          <w:sz w:val="22"/>
          <w:szCs w:val="22"/>
        </w:rPr>
        <w:t>to</w:t>
      </w:r>
      <w:r w:rsidRPr="006D2719">
        <w:rPr>
          <w:rFonts w:cs="Arial"/>
          <w:sz w:val="22"/>
          <w:szCs w:val="22"/>
        </w:rPr>
        <w:t xml:space="preserve"> notify the NRC Operations Center as soon as possible upon recovery of any lost or missing category 2 quantities of radioactive material</w:t>
      </w:r>
      <w:r w:rsidRPr="006D2719">
        <w:rPr>
          <w:rFonts w:cs="Arial"/>
          <w:b/>
          <w:sz w:val="22"/>
          <w:szCs w:val="22"/>
        </w:rPr>
        <w:t>.</w:t>
      </w:r>
    </w:p>
    <w:p w:rsidRPr="006D2719" w:rsidR="001B535D" w:rsidP="001E06B9" w:rsidRDefault="001B535D" w14:paraId="7B58D8A6" w14:textId="77777777">
      <w:pPr>
        <w:spacing w:after="120"/>
        <w:rPr>
          <w:rFonts w:cs="Arial"/>
          <w:sz w:val="22"/>
          <w:szCs w:val="22"/>
        </w:rPr>
      </w:pPr>
    </w:p>
    <w:p w:rsidRPr="006D2719" w:rsidR="001B535D" w:rsidP="001E06B9" w:rsidRDefault="001B535D" w14:paraId="7B58D8A7" w14:textId="77777777">
      <w:pPr>
        <w:spacing w:after="120"/>
        <w:rPr>
          <w:rFonts w:cs="Arial"/>
          <w:sz w:val="22"/>
          <w:szCs w:val="22"/>
        </w:rPr>
      </w:pPr>
      <w:r w:rsidRPr="006D2719">
        <w:rPr>
          <w:rFonts w:cs="Arial"/>
          <w:b/>
          <w:sz w:val="22"/>
          <w:szCs w:val="22"/>
        </w:rPr>
        <w:t>Section 37.81(g)</w:t>
      </w:r>
      <w:r w:rsidRPr="006D2719">
        <w:rPr>
          <w:rFonts w:cs="Arial"/>
          <w:sz w:val="22"/>
          <w:szCs w:val="22"/>
        </w:rPr>
        <w:t xml:space="preserve"> </w:t>
      </w:r>
      <w:r>
        <w:rPr>
          <w:rFonts w:cs="Arial"/>
          <w:sz w:val="22"/>
          <w:szCs w:val="22"/>
        </w:rPr>
        <w:t>requires licensees who initially notified the NRC via telephone of lost or missing category 1 or 2 materials to submit a written report to the NRC within 30 days.</w:t>
      </w:r>
    </w:p>
    <w:p w:rsidRPr="006D2719" w:rsidR="001B535D" w:rsidP="001E06B9" w:rsidRDefault="001B535D" w14:paraId="7B58D8A8" w14:textId="77777777">
      <w:pPr>
        <w:spacing w:after="120"/>
        <w:rPr>
          <w:rFonts w:cs="Arial"/>
          <w:sz w:val="22"/>
          <w:szCs w:val="22"/>
        </w:rPr>
      </w:pPr>
    </w:p>
    <w:p w:rsidR="001B535D" w:rsidP="001E06B9" w:rsidRDefault="001B535D" w14:paraId="7B58D8A9" w14:textId="77777777">
      <w:pPr>
        <w:spacing w:after="120"/>
        <w:rPr>
          <w:rFonts w:cs="Arial"/>
          <w:sz w:val="22"/>
          <w:szCs w:val="22"/>
        </w:rPr>
      </w:pPr>
      <w:r w:rsidRPr="006D2719">
        <w:rPr>
          <w:rFonts w:cs="Arial"/>
          <w:b/>
          <w:sz w:val="22"/>
          <w:szCs w:val="22"/>
        </w:rPr>
        <w:t>Section 37.81(h)</w:t>
      </w:r>
      <w:r w:rsidRPr="006D2719">
        <w:rPr>
          <w:rFonts w:cs="Arial"/>
          <w:sz w:val="22"/>
          <w:szCs w:val="22"/>
        </w:rPr>
        <w:t xml:space="preserve"> </w:t>
      </w:r>
      <w:r>
        <w:rPr>
          <w:rFonts w:cs="Arial"/>
          <w:sz w:val="22"/>
          <w:szCs w:val="22"/>
        </w:rPr>
        <w:t>requires that, subsequent to filing an initial written report, licensees also r</w:t>
      </w:r>
      <w:r w:rsidRPr="006D2719">
        <w:rPr>
          <w:rFonts w:cs="Arial"/>
          <w:sz w:val="22"/>
          <w:szCs w:val="22"/>
        </w:rPr>
        <w:t xml:space="preserve">eport any additional substantive information on the loss or theft within 30 days after the licensee learns of such information. </w:t>
      </w:r>
    </w:p>
    <w:p w:rsidRPr="001E06B9" w:rsidR="001B535D" w:rsidP="001B535D" w:rsidRDefault="001B535D" w14:paraId="7B58D8AA" w14:textId="77777777">
      <w:pPr>
        <w:ind w:firstLine="720"/>
        <w:rPr>
          <w:sz w:val="22"/>
          <w:szCs w:val="22"/>
        </w:rPr>
      </w:pPr>
    </w:p>
    <w:sectPr w:rsidRPr="001E06B9" w:rsidR="001B535D" w:rsidSect="000B442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6D0C" w14:textId="77777777" w:rsidR="000F3283" w:rsidRDefault="000F3283">
      <w:r>
        <w:separator/>
      </w:r>
    </w:p>
  </w:endnote>
  <w:endnote w:type="continuationSeparator" w:id="0">
    <w:p w14:paraId="0CD4C0D5" w14:textId="77777777" w:rsidR="000F3283" w:rsidRDefault="000F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D8B1" w14:textId="77777777" w:rsidR="00D748DB" w:rsidRDefault="00D748DB" w:rsidP="00D50A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8D8B2" w14:textId="77777777" w:rsidR="00D748DB" w:rsidRDefault="00D748DB" w:rsidP="00834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D8B3" w14:textId="3D237ED5" w:rsidR="00E729E0" w:rsidRDefault="00E729E0">
    <w:pPr>
      <w:pStyle w:val="Footer"/>
      <w:jc w:val="center"/>
    </w:pPr>
    <w:r>
      <w:fldChar w:fldCharType="begin"/>
    </w:r>
    <w:r>
      <w:instrText xml:space="preserve"> PAGE   \* MERGEFORMAT </w:instrText>
    </w:r>
    <w:r>
      <w:fldChar w:fldCharType="separate"/>
    </w:r>
    <w:r w:rsidR="00813238">
      <w:rPr>
        <w:noProof/>
      </w:rPr>
      <w:t>5</w:t>
    </w:r>
    <w:r>
      <w:rPr>
        <w:noProof/>
      </w:rPr>
      <w:fldChar w:fldCharType="end"/>
    </w:r>
  </w:p>
  <w:p w14:paraId="7B58D8B4" w14:textId="77777777" w:rsidR="00D748DB" w:rsidRDefault="00D748DB" w:rsidP="00834F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3C905" w14:textId="77777777" w:rsidR="000F3283" w:rsidRDefault="000F3283">
      <w:r>
        <w:separator/>
      </w:r>
    </w:p>
  </w:footnote>
  <w:footnote w:type="continuationSeparator" w:id="0">
    <w:p w14:paraId="10C79123" w14:textId="77777777" w:rsidR="000F3283" w:rsidRDefault="000F3283">
      <w:r>
        <w:continuationSeparator/>
      </w:r>
    </w:p>
  </w:footnote>
  <w:footnote w:id="1">
    <w:p w14:paraId="7B58D8B5" w14:textId="1652FB4D" w:rsidR="00D748DB" w:rsidRPr="00020DD7" w:rsidRDefault="00D748DB">
      <w:pPr>
        <w:pStyle w:val="FootnoteText"/>
        <w:rPr>
          <w:rFonts w:ascii="Arial" w:hAnsi="Arial" w:cs="Arial"/>
          <w:sz w:val="18"/>
          <w:szCs w:val="18"/>
        </w:rPr>
      </w:pPr>
      <w:r w:rsidRPr="00020DD7">
        <w:rPr>
          <w:rStyle w:val="FootnoteReference"/>
          <w:rFonts w:ascii="Arial" w:hAnsi="Arial" w:cs="Arial"/>
          <w:sz w:val="18"/>
          <w:szCs w:val="18"/>
        </w:rPr>
        <w:footnoteRef/>
      </w:r>
      <w:r w:rsidRPr="00020DD7">
        <w:rPr>
          <w:rFonts w:ascii="Arial" w:hAnsi="Arial" w:cs="Arial"/>
          <w:sz w:val="18"/>
          <w:szCs w:val="18"/>
        </w:rPr>
        <w:t xml:space="preserve"> </w:t>
      </w:r>
      <w:r w:rsidR="00020DD7" w:rsidRPr="00020DD7">
        <w:rPr>
          <w:rFonts w:ascii="Arial" w:hAnsi="Arial" w:cs="Arial"/>
          <w:sz w:val="18"/>
          <w:szCs w:val="18"/>
        </w:rPr>
        <w:t xml:space="preserve"> </w:t>
      </w:r>
      <w:r w:rsidR="00FC3C5D" w:rsidRPr="00FC3C5D">
        <w:rPr>
          <w:rFonts w:ascii="Arial" w:hAnsi="Arial" w:cs="Arial"/>
        </w:rPr>
        <w:t>Reinvestigations are required every ten years.  Based on the date of the issuance of orders, no licensees will submit fingerprints for reinvestigations during the current clearance period.  The NRC anticipates licensees will submit reinvestigations starting in 2027</w:t>
      </w:r>
      <w:r w:rsidR="00FC3C5D">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3E07C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36090"/>
    <w:multiLevelType w:val="hybridMultilevel"/>
    <w:tmpl w:val="804A156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4776B73"/>
    <w:multiLevelType w:val="hybridMultilevel"/>
    <w:tmpl w:val="BE44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33BD"/>
    <w:multiLevelType w:val="hybridMultilevel"/>
    <w:tmpl w:val="DAD0FBC6"/>
    <w:lvl w:ilvl="0" w:tplc="F156181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DD2310F"/>
    <w:multiLevelType w:val="hybridMultilevel"/>
    <w:tmpl w:val="6DE8B8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F1868FE"/>
    <w:multiLevelType w:val="hybridMultilevel"/>
    <w:tmpl w:val="FC5CDD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F7D04A2"/>
    <w:multiLevelType w:val="hybridMultilevel"/>
    <w:tmpl w:val="E398C78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8A560E7"/>
    <w:multiLevelType w:val="hybridMultilevel"/>
    <w:tmpl w:val="9C028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36462"/>
    <w:multiLevelType w:val="hybridMultilevel"/>
    <w:tmpl w:val="ABB275A8"/>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3600"/>
        </w:tabs>
        <w:ind w:left="3600" w:hanging="360"/>
      </w:pPr>
    </w:lvl>
    <w:lvl w:ilvl="2" w:tplc="04090005">
      <w:start w:val="1"/>
      <w:numFmt w:val="decimal"/>
      <w:lvlText w:val="%3."/>
      <w:lvlJc w:val="left"/>
      <w:pPr>
        <w:tabs>
          <w:tab w:val="num" w:pos="4320"/>
        </w:tabs>
        <w:ind w:left="4320" w:hanging="360"/>
      </w:pPr>
    </w:lvl>
    <w:lvl w:ilvl="3" w:tplc="04090001">
      <w:start w:val="1"/>
      <w:numFmt w:val="decimal"/>
      <w:lvlText w:val="%4."/>
      <w:lvlJc w:val="left"/>
      <w:pPr>
        <w:tabs>
          <w:tab w:val="num" w:pos="5040"/>
        </w:tabs>
        <w:ind w:left="5040" w:hanging="360"/>
      </w:pPr>
    </w:lvl>
    <w:lvl w:ilvl="4" w:tplc="04090003">
      <w:start w:val="1"/>
      <w:numFmt w:val="decimal"/>
      <w:lvlText w:val="%5."/>
      <w:lvlJc w:val="left"/>
      <w:pPr>
        <w:tabs>
          <w:tab w:val="num" w:pos="5760"/>
        </w:tabs>
        <w:ind w:left="5760" w:hanging="360"/>
      </w:pPr>
    </w:lvl>
    <w:lvl w:ilvl="5" w:tplc="04090005">
      <w:start w:val="1"/>
      <w:numFmt w:val="decimal"/>
      <w:lvlText w:val="%6."/>
      <w:lvlJc w:val="left"/>
      <w:pPr>
        <w:tabs>
          <w:tab w:val="num" w:pos="6480"/>
        </w:tabs>
        <w:ind w:left="6480" w:hanging="360"/>
      </w:pPr>
    </w:lvl>
    <w:lvl w:ilvl="6" w:tplc="04090001">
      <w:start w:val="1"/>
      <w:numFmt w:val="decimal"/>
      <w:lvlText w:val="%7."/>
      <w:lvlJc w:val="left"/>
      <w:pPr>
        <w:tabs>
          <w:tab w:val="num" w:pos="7200"/>
        </w:tabs>
        <w:ind w:left="7200" w:hanging="360"/>
      </w:pPr>
    </w:lvl>
    <w:lvl w:ilvl="7" w:tplc="04090003">
      <w:start w:val="1"/>
      <w:numFmt w:val="decimal"/>
      <w:lvlText w:val="%8."/>
      <w:lvlJc w:val="left"/>
      <w:pPr>
        <w:tabs>
          <w:tab w:val="num" w:pos="7920"/>
        </w:tabs>
        <w:ind w:left="7920" w:hanging="360"/>
      </w:pPr>
    </w:lvl>
    <w:lvl w:ilvl="8" w:tplc="04090005">
      <w:start w:val="1"/>
      <w:numFmt w:val="decimal"/>
      <w:lvlText w:val="%9."/>
      <w:lvlJc w:val="left"/>
      <w:pPr>
        <w:tabs>
          <w:tab w:val="num" w:pos="8640"/>
        </w:tabs>
        <w:ind w:left="8640" w:hanging="360"/>
      </w:pPr>
    </w:lvl>
  </w:abstractNum>
  <w:abstractNum w:abstractNumId="9" w15:restartNumberingAfterBreak="0">
    <w:nsid w:val="466D08D0"/>
    <w:multiLevelType w:val="hybridMultilevel"/>
    <w:tmpl w:val="EC5E8B00"/>
    <w:lvl w:ilvl="0" w:tplc="04090001">
      <w:start w:val="1"/>
      <w:numFmt w:val="bullet"/>
      <w:lvlText w:val=""/>
      <w:lvlJc w:val="left"/>
      <w:pPr>
        <w:tabs>
          <w:tab w:val="num" w:pos="2160"/>
        </w:tabs>
        <w:ind w:left="2160" w:hanging="360"/>
      </w:pPr>
      <w:rPr>
        <w:rFonts w:ascii="Symbol" w:hAnsi="Symbol" w:hint="default"/>
        <w:color w:val="auto"/>
        <w:sz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BF9424E"/>
    <w:multiLevelType w:val="hybridMultilevel"/>
    <w:tmpl w:val="E9061F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EE85600"/>
    <w:multiLevelType w:val="hybridMultilevel"/>
    <w:tmpl w:val="278C72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B0047E8"/>
    <w:multiLevelType w:val="hybridMultilevel"/>
    <w:tmpl w:val="9B5A74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4F72B15"/>
    <w:multiLevelType w:val="hybridMultilevel"/>
    <w:tmpl w:val="FDD2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47F73"/>
    <w:multiLevelType w:val="hybridMultilevel"/>
    <w:tmpl w:val="5A889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D54A7"/>
    <w:multiLevelType w:val="hybridMultilevel"/>
    <w:tmpl w:val="AD80972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D760E98"/>
    <w:multiLevelType w:val="hybridMultilevel"/>
    <w:tmpl w:val="2EAE21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9A694B"/>
    <w:multiLevelType w:val="multilevel"/>
    <w:tmpl w:val="4A7A81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7C906A72"/>
    <w:multiLevelType w:val="multilevel"/>
    <w:tmpl w:val="650CEBD4"/>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7"/>
  </w:num>
  <w:num w:numId="2">
    <w:abstractNumId w:val="18"/>
  </w:num>
  <w:num w:numId="3">
    <w:abstractNumId w:val="1"/>
  </w:num>
  <w:num w:numId="4">
    <w:abstractNumId w:val="3"/>
  </w:num>
  <w:num w:numId="5">
    <w:abstractNumId w:val="14"/>
  </w:num>
  <w:num w:numId="6">
    <w:abstractNumId w:val="16"/>
  </w:num>
  <w:num w:numId="7">
    <w:abstractNumId w:val="12"/>
  </w:num>
  <w:num w:numId="8">
    <w:abstractNumId w:val="13"/>
  </w:num>
  <w:num w:numId="9">
    <w:abstractNumId w:val="0"/>
  </w:num>
  <w:num w:numId="10">
    <w:abstractNumId w:val="7"/>
  </w:num>
  <w:num w:numId="11">
    <w:abstractNumId w:val="2"/>
  </w:num>
  <w:num w:numId="1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FA"/>
    <w:rsid w:val="00000938"/>
    <w:rsid w:val="00002B84"/>
    <w:rsid w:val="0000372E"/>
    <w:rsid w:val="0000655C"/>
    <w:rsid w:val="00007F5B"/>
    <w:rsid w:val="00010842"/>
    <w:rsid w:val="000143A7"/>
    <w:rsid w:val="000149DA"/>
    <w:rsid w:val="0001688A"/>
    <w:rsid w:val="00020DD7"/>
    <w:rsid w:val="00021655"/>
    <w:rsid w:val="000228C0"/>
    <w:rsid w:val="00026374"/>
    <w:rsid w:val="00026534"/>
    <w:rsid w:val="00027980"/>
    <w:rsid w:val="00032229"/>
    <w:rsid w:val="0003282A"/>
    <w:rsid w:val="00033C45"/>
    <w:rsid w:val="00034422"/>
    <w:rsid w:val="00035592"/>
    <w:rsid w:val="000367A7"/>
    <w:rsid w:val="000371F5"/>
    <w:rsid w:val="00043592"/>
    <w:rsid w:val="00046DD0"/>
    <w:rsid w:val="00050D4F"/>
    <w:rsid w:val="000540D3"/>
    <w:rsid w:val="000607CB"/>
    <w:rsid w:val="00060A1D"/>
    <w:rsid w:val="00061111"/>
    <w:rsid w:val="000614A3"/>
    <w:rsid w:val="00063FAD"/>
    <w:rsid w:val="000641F6"/>
    <w:rsid w:val="00065764"/>
    <w:rsid w:val="00067DAC"/>
    <w:rsid w:val="000720D2"/>
    <w:rsid w:val="00074F2C"/>
    <w:rsid w:val="000769CD"/>
    <w:rsid w:val="000806D4"/>
    <w:rsid w:val="0008106D"/>
    <w:rsid w:val="000811A0"/>
    <w:rsid w:val="000830B3"/>
    <w:rsid w:val="00084ABB"/>
    <w:rsid w:val="00086651"/>
    <w:rsid w:val="00087804"/>
    <w:rsid w:val="0009271B"/>
    <w:rsid w:val="00095A27"/>
    <w:rsid w:val="000A1BD9"/>
    <w:rsid w:val="000A43E9"/>
    <w:rsid w:val="000A447F"/>
    <w:rsid w:val="000A50CD"/>
    <w:rsid w:val="000B06C1"/>
    <w:rsid w:val="000B18C5"/>
    <w:rsid w:val="000B1BE3"/>
    <w:rsid w:val="000B442E"/>
    <w:rsid w:val="000B4BB4"/>
    <w:rsid w:val="000B718D"/>
    <w:rsid w:val="000C0689"/>
    <w:rsid w:val="000C1118"/>
    <w:rsid w:val="000C15B2"/>
    <w:rsid w:val="000C3C01"/>
    <w:rsid w:val="000C3E2C"/>
    <w:rsid w:val="000C4A52"/>
    <w:rsid w:val="000C5C4C"/>
    <w:rsid w:val="000C6029"/>
    <w:rsid w:val="000E2E89"/>
    <w:rsid w:val="000E571C"/>
    <w:rsid w:val="000E6D7D"/>
    <w:rsid w:val="000E7283"/>
    <w:rsid w:val="000F208C"/>
    <w:rsid w:val="000F3283"/>
    <w:rsid w:val="000F5D96"/>
    <w:rsid w:val="000F64BB"/>
    <w:rsid w:val="000F7711"/>
    <w:rsid w:val="00100CFC"/>
    <w:rsid w:val="00100E5A"/>
    <w:rsid w:val="001062CA"/>
    <w:rsid w:val="00107D7D"/>
    <w:rsid w:val="001170ED"/>
    <w:rsid w:val="00120F3A"/>
    <w:rsid w:val="00124AA0"/>
    <w:rsid w:val="001267E6"/>
    <w:rsid w:val="00127351"/>
    <w:rsid w:val="001319E3"/>
    <w:rsid w:val="00132BBD"/>
    <w:rsid w:val="00132D8E"/>
    <w:rsid w:val="00133531"/>
    <w:rsid w:val="00133F21"/>
    <w:rsid w:val="001340E2"/>
    <w:rsid w:val="00134A2E"/>
    <w:rsid w:val="001354F9"/>
    <w:rsid w:val="00135D11"/>
    <w:rsid w:val="00136A36"/>
    <w:rsid w:val="0013723F"/>
    <w:rsid w:val="00137505"/>
    <w:rsid w:val="001455E2"/>
    <w:rsid w:val="001506D5"/>
    <w:rsid w:val="00150D00"/>
    <w:rsid w:val="0015185E"/>
    <w:rsid w:val="00151F01"/>
    <w:rsid w:val="00155144"/>
    <w:rsid w:val="00155E62"/>
    <w:rsid w:val="00157B36"/>
    <w:rsid w:val="0016000E"/>
    <w:rsid w:val="0016015B"/>
    <w:rsid w:val="00165021"/>
    <w:rsid w:val="0016533F"/>
    <w:rsid w:val="00170540"/>
    <w:rsid w:val="001712BE"/>
    <w:rsid w:val="001723F8"/>
    <w:rsid w:val="00174EF6"/>
    <w:rsid w:val="00176D68"/>
    <w:rsid w:val="0017703B"/>
    <w:rsid w:val="00177098"/>
    <w:rsid w:val="0018638D"/>
    <w:rsid w:val="00187DEC"/>
    <w:rsid w:val="00191C62"/>
    <w:rsid w:val="00192745"/>
    <w:rsid w:val="0019348E"/>
    <w:rsid w:val="00194C5C"/>
    <w:rsid w:val="00197C2A"/>
    <w:rsid w:val="001A0160"/>
    <w:rsid w:val="001A1F8E"/>
    <w:rsid w:val="001A3279"/>
    <w:rsid w:val="001A4DFB"/>
    <w:rsid w:val="001A5185"/>
    <w:rsid w:val="001A711C"/>
    <w:rsid w:val="001A7C7B"/>
    <w:rsid w:val="001B02A6"/>
    <w:rsid w:val="001B041F"/>
    <w:rsid w:val="001B3D2C"/>
    <w:rsid w:val="001B535D"/>
    <w:rsid w:val="001B54A9"/>
    <w:rsid w:val="001B6BBA"/>
    <w:rsid w:val="001B7F2B"/>
    <w:rsid w:val="001C3828"/>
    <w:rsid w:val="001C60DD"/>
    <w:rsid w:val="001D30B8"/>
    <w:rsid w:val="001D3B5A"/>
    <w:rsid w:val="001D466D"/>
    <w:rsid w:val="001E06B9"/>
    <w:rsid w:val="001E33B9"/>
    <w:rsid w:val="001E4306"/>
    <w:rsid w:val="001E4E9D"/>
    <w:rsid w:val="001E5976"/>
    <w:rsid w:val="001E5D84"/>
    <w:rsid w:val="001E68A3"/>
    <w:rsid w:val="001E6F64"/>
    <w:rsid w:val="001F0E72"/>
    <w:rsid w:val="001F1A96"/>
    <w:rsid w:val="001F24E5"/>
    <w:rsid w:val="001F2C09"/>
    <w:rsid w:val="001F3735"/>
    <w:rsid w:val="001F3CE5"/>
    <w:rsid w:val="001F3FDF"/>
    <w:rsid w:val="001F4521"/>
    <w:rsid w:val="001F4EB3"/>
    <w:rsid w:val="001F516C"/>
    <w:rsid w:val="001F7220"/>
    <w:rsid w:val="0020148E"/>
    <w:rsid w:val="002025DB"/>
    <w:rsid w:val="00202F64"/>
    <w:rsid w:val="002046EC"/>
    <w:rsid w:val="00204987"/>
    <w:rsid w:val="0020520F"/>
    <w:rsid w:val="002052D6"/>
    <w:rsid w:val="0020632E"/>
    <w:rsid w:val="002063AF"/>
    <w:rsid w:val="002065C5"/>
    <w:rsid w:val="00206680"/>
    <w:rsid w:val="00207C8F"/>
    <w:rsid w:val="0021019C"/>
    <w:rsid w:val="00211D49"/>
    <w:rsid w:val="00220CBC"/>
    <w:rsid w:val="00224776"/>
    <w:rsid w:val="002247FB"/>
    <w:rsid w:val="002262E3"/>
    <w:rsid w:val="0022742E"/>
    <w:rsid w:val="0023036C"/>
    <w:rsid w:val="00230C12"/>
    <w:rsid w:val="00233009"/>
    <w:rsid w:val="00234863"/>
    <w:rsid w:val="00234A40"/>
    <w:rsid w:val="00235058"/>
    <w:rsid w:val="00235A3A"/>
    <w:rsid w:val="002363E0"/>
    <w:rsid w:val="0023757B"/>
    <w:rsid w:val="00237A1C"/>
    <w:rsid w:val="00241B07"/>
    <w:rsid w:val="002424A1"/>
    <w:rsid w:val="002425D7"/>
    <w:rsid w:val="00247288"/>
    <w:rsid w:val="002509B2"/>
    <w:rsid w:val="0025173B"/>
    <w:rsid w:val="00252AF1"/>
    <w:rsid w:val="00253474"/>
    <w:rsid w:val="00254432"/>
    <w:rsid w:val="00255BAC"/>
    <w:rsid w:val="00255C41"/>
    <w:rsid w:val="00256A43"/>
    <w:rsid w:val="0025746D"/>
    <w:rsid w:val="00264152"/>
    <w:rsid w:val="0026433E"/>
    <w:rsid w:val="00265BB6"/>
    <w:rsid w:val="00266A53"/>
    <w:rsid w:val="00271503"/>
    <w:rsid w:val="00272BB3"/>
    <w:rsid w:val="00272F84"/>
    <w:rsid w:val="00275C6A"/>
    <w:rsid w:val="00275FAD"/>
    <w:rsid w:val="00276013"/>
    <w:rsid w:val="00277E6D"/>
    <w:rsid w:val="00285A02"/>
    <w:rsid w:val="00285FA6"/>
    <w:rsid w:val="002908CC"/>
    <w:rsid w:val="0029165D"/>
    <w:rsid w:val="00292E5F"/>
    <w:rsid w:val="002963AC"/>
    <w:rsid w:val="00296ACA"/>
    <w:rsid w:val="002A091A"/>
    <w:rsid w:val="002A28E3"/>
    <w:rsid w:val="002A31BD"/>
    <w:rsid w:val="002A50E1"/>
    <w:rsid w:val="002A73C1"/>
    <w:rsid w:val="002B2341"/>
    <w:rsid w:val="002B2D72"/>
    <w:rsid w:val="002B38E4"/>
    <w:rsid w:val="002B53D4"/>
    <w:rsid w:val="002B6BB7"/>
    <w:rsid w:val="002B77F1"/>
    <w:rsid w:val="002C07C4"/>
    <w:rsid w:val="002C47D8"/>
    <w:rsid w:val="002C4964"/>
    <w:rsid w:val="002C5920"/>
    <w:rsid w:val="002C5E27"/>
    <w:rsid w:val="002C5F6E"/>
    <w:rsid w:val="002C69C8"/>
    <w:rsid w:val="002C7AAD"/>
    <w:rsid w:val="002D0D46"/>
    <w:rsid w:val="002D0E8D"/>
    <w:rsid w:val="002D163B"/>
    <w:rsid w:val="002D2FA1"/>
    <w:rsid w:val="002D3EB1"/>
    <w:rsid w:val="002D5525"/>
    <w:rsid w:val="002E0A9F"/>
    <w:rsid w:val="002E4466"/>
    <w:rsid w:val="002E5423"/>
    <w:rsid w:val="002E5428"/>
    <w:rsid w:val="002E7520"/>
    <w:rsid w:val="002E7B8A"/>
    <w:rsid w:val="002F2480"/>
    <w:rsid w:val="002F3547"/>
    <w:rsid w:val="002F3837"/>
    <w:rsid w:val="002F3C7A"/>
    <w:rsid w:val="002F6D1A"/>
    <w:rsid w:val="002F6E92"/>
    <w:rsid w:val="002F7EFF"/>
    <w:rsid w:val="00300706"/>
    <w:rsid w:val="00306325"/>
    <w:rsid w:val="00312B8A"/>
    <w:rsid w:val="003142D1"/>
    <w:rsid w:val="0031651D"/>
    <w:rsid w:val="00316CC5"/>
    <w:rsid w:val="00316D86"/>
    <w:rsid w:val="0031755F"/>
    <w:rsid w:val="003175B6"/>
    <w:rsid w:val="003211F5"/>
    <w:rsid w:val="00322413"/>
    <w:rsid w:val="00325B9F"/>
    <w:rsid w:val="0032779F"/>
    <w:rsid w:val="00331391"/>
    <w:rsid w:val="00331B95"/>
    <w:rsid w:val="00331F3F"/>
    <w:rsid w:val="00333E4A"/>
    <w:rsid w:val="00334A0C"/>
    <w:rsid w:val="00335F09"/>
    <w:rsid w:val="0033607C"/>
    <w:rsid w:val="00337777"/>
    <w:rsid w:val="00340DEE"/>
    <w:rsid w:val="00342ACC"/>
    <w:rsid w:val="00342F77"/>
    <w:rsid w:val="00343371"/>
    <w:rsid w:val="00355835"/>
    <w:rsid w:val="00357025"/>
    <w:rsid w:val="00357A3D"/>
    <w:rsid w:val="00357B52"/>
    <w:rsid w:val="00357B7D"/>
    <w:rsid w:val="00357DCC"/>
    <w:rsid w:val="0036062D"/>
    <w:rsid w:val="00361186"/>
    <w:rsid w:val="00364A0D"/>
    <w:rsid w:val="00364B0B"/>
    <w:rsid w:val="00364F2C"/>
    <w:rsid w:val="00364F64"/>
    <w:rsid w:val="0036554C"/>
    <w:rsid w:val="00365AD3"/>
    <w:rsid w:val="003666A1"/>
    <w:rsid w:val="00366FA2"/>
    <w:rsid w:val="0036758F"/>
    <w:rsid w:val="00370B2C"/>
    <w:rsid w:val="00372893"/>
    <w:rsid w:val="0037354A"/>
    <w:rsid w:val="00373C5B"/>
    <w:rsid w:val="00377177"/>
    <w:rsid w:val="0038032E"/>
    <w:rsid w:val="00380399"/>
    <w:rsid w:val="0038114C"/>
    <w:rsid w:val="0038394C"/>
    <w:rsid w:val="003908D7"/>
    <w:rsid w:val="00391A8E"/>
    <w:rsid w:val="003966AB"/>
    <w:rsid w:val="00396B7A"/>
    <w:rsid w:val="00396CFA"/>
    <w:rsid w:val="003A0A0D"/>
    <w:rsid w:val="003A19BE"/>
    <w:rsid w:val="003A315E"/>
    <w:rsid w:val="003A664E"/>
    <w:rsid w:val="003B27CD"/>
    <w:rsid w:val="003B2CB8"/>
    <w:rsid w:val="003B30DE"/>
    <w:rsid w:val="003B4E69"/>
    <w:rsid w:val="003B5B2B"/>
    <w:rsid w:val="003C0D85"/>
    <w:rsid w:val="003C2D8E"/>
    <w:rsid w:val="003C2F84"/>
    <w:rsid w:val="003C5BBF"/>
    <w:rsid w:val="003C6921"/>
    <w:rsid w:val="003C75DA"/>
    <w:rsid w:val="003D1BB9"/>
    <w:rsid w:val="003D343D"/>
    <w:rsid w:val="003D39FA"/>
    <w:rsid w:val="003D3C1B"/>
    <w:rsid w:val="003D4246"/>
    <w:rsid w:val="003D52FD"/>
    <w:rsid w:val="003D5AC4"/>
    <w:rsid w:val="003E03CF"/>
    <w:rsid w:val="003E0655"/>
    <w:rsid w:val="003E480A"/>
    <w:rsid w:val="003E554E"/>
    <w:rsid w:val="003E63CA"/>
    <w:rsid w:val="003E67AC"/>
    <w:rsid w:val="003F05CE"/>
    <w:rsid w:val="003F3FEC"/>
    <w:rsid w:val="003F70E9"/>
    <w:rsid w:val="003F7249"/>
    <w:rsid w:val="003F76A3"/>
    <w:rsid w:val="00400A4A"/>
    <w:rsid w:val="00400B67"/>
    <w:rsid w:val="00404028"/>
    <w:rsid w:val="00404286"/>
    <w:rsid w:val="00407F6B"/>
    <w:rsid w:val="004104D7"/>
    <w:rsid w:val="00410E63"/>
    <w:rsid w:val="00411414"/>
    <w:rsid w:val="00412F5E"/>
    <w:rsid w:val="00414B51"/>
    <w:rsid w:val="00414C49"/>
    <w:rsid w:val="004153A8"/>
    <w:rsid w:val="004176B8"/>
    <w:rsid w:val="0042230A"/>
    <w:rsid w:val="0042582E"/>
    <w:rsid w:val="0043144A"/>
    <w:rsid w:val="0043454B"/>
    <w:rsid w:val="00436384"/>
    <w:rsid w:val="004375AE"/>
    <w:rsid w:val="004408AE"/>
    <w:rsid w:val="004412D0"/>
    <w:rsid w:val="00445CF0"/>
    <w:rsid w:val="0044645B"/>
    <w:rsid w:val="004505A7"/>
    <w:rsid w:val="004505C2"/>
    <w:rsid w:val="00450BD3"/>
    <w:rsid w:val="00451B27"/>
    <w:rsid w:val="00452341"/>
    <w:rsid w:val="00452862"/>
    <w:rsid w:val="00452BB2"/>
    <w:rsid w:val="00454F10"/>
    <w:rsid w:val="00455286"/>
    <w:rsid w:val="00455BC7"/>
    <w:rsid w:val="00456434"/>
    <w:rsid w:val="00456DD3"/>
    <w:rsid w:val="00457917"/>
    <w:rsid w:val="004601BB"/>
    <w:rsid w:val="00460DAD"/>
    <w:rsid w:val="0046103F"/>
    <w:rsid w:val="0046120B"/>
    <w:rsid w:val="0046161E"/>
    <w:rsid w:val="004616C7"/>
    <w:rsid w:val="004627E6"/>
    <w:rsid w:val="00462AEF"/>
    <w:rsid w:val="00464433"/>
    <w:rsid w:val="0046530F"/>
    <w:rsid w:val="00466419"/>
    <w:rsid w:val="00466918"/>
    <w:rsid w:val="00470033"/>
    <w:rsid w:val="00470488"/>
    <w:rsid w:val="00471B1B"/>
    <w:rsid w:val="00471B80"/>
    <w:rsid w:val="00472BE5"/>
    <w:rsid w:val="00474EBC"/>
    <w:rsid w:val="004757A9"/>
    <w:rsid w:val="00476595"/>
    <w:rsid w:val="004772B1"/>
    <w:rsid w:val="004778E3"/>
    <w:rsid w:val="0048173F"/>
    <w:rsid w:val="00481958"/>
    <w:rsid w:val="0048228D"/>
    <w:rsid w:val="0048287D"/>
    <w:rsid w:val="00483061"/>
    <w:rsid w:val="004870F7"/>
    <w:rsid w:val="004877DB"/>
    <w:rsid w:val="00490DF6"/>
    <w:rsid w:val="00493859"/>
    <w:rsid w:val="00494001"/>
    <w:rsid w:val="004951D8"/>
    <w:rsid w:val="00495EAF"/>
    <w:rsid w:val="004969B3"/>
    <w:rsid w:val="0049714A"/>
    <w:rsid w:val="004974F9"/>
    <w:rsid w:val="004A07AD"/>
    <w:rsid w:val="004A1E0F"/>
    <w:rsid w:val="004A269F"/>
    <w:rsid w:val="004A2AF6"/>
    <w:rsid w:val="004A3D3A"/>
    <w:rsid w:val="004A46B4"/>
    <w:rsid w:val="004B1E12"/>
    <w:rsid w:val="004B3F61"/>
    <w:rsid w:val="004B71CC"/>
    <w:rsid w:val="004C0292"/>
    <w:rsid w:val="004C2EE9"/>
    <w:rsid w:val="004C6CDA"/>
    <w:rsid w:val="004C7958"/>
    <w:rsid w:val="004D01A6"/>
    <w:rsid w:val="004D2D59"/>
    <w:rsid w:val="004D3E78"/>
    <w:rsid w:val="004D4977"/>
    <w:rsid w:val="004D670B"/>
    <w:rsid w:val="004D7F24"/>
    <w:rsid w:val="004E5AB9"/>
    <w:rsid w:val="004E5B59"/>
    <w:rsid w:val="004E670A"/>
    <w:rsid w:val="004F03D4"/>
    <w:rsid w:val="004F08DC"/>
    <w:rsid w:val="004F0F1C"/>
    <w:rsid w:val="004F1E13"/>
    <w:rsid w:val="004F3E6C"/>
    <w:rsid w:val="004F43D3"/>
    <w:rsid w:val="004F46EC"/>
    <w:rsid w:val="004F6201"/>
    <w:rsid w:val="004F697D"/>
    <w:rsid w:val="004F7056"/>
    <w:rsid w:val="004F7373"/>
    <w:rsid w:val="005006DA"/>
    <w:rsid w:val="00501BF1"/>
    <w:rsid w:val="005026E8"/>
    <w:rsid w:val="00507DAF"/>
    <w:rsid w:val="00510F9A"/>
    <w:rsid w:val="005116AC"/>
    <w:rsid w:val="00512282"/>
    <w:rsid w:val="00513066"/>
    <w:rsid w:val="005151DD"/>
    <w:rsid w:val="005166CC"/>
    <w:rsid w:val="00516CE6"/>
    <w:rsid w:val="00522F0D"/>
    <w:rsid w:val="00524E14"/>
    <w:rsid w:val="005254D7"/>
    <w:rsid w:val="005258B7"/>
    <w:rsid w:val="00525E05"/>
    <w:rsid w:val="00530ABB"/>
    <w:rsid w:val="00530F39"/>
    <w:rsid w:val="005318E3"/>
    <w:rsid w:val="005329DF"/>
    <w:rsid w:val="00532CEB"/>
    <w:rsid w:val="00532D58"/>
    <w:rsid w:val="00533DDD"/>
    <w:rsid w:val="0053561C"/>
    <w:rsid w:val="0054048E"/>
    <w:rsid w:val="005407B4"/>
    <w:rsid w:val="0054314B"/>
    <w:rsid w:val="00543E59"/>
    <w:rsid w:val="00545EF9"/>
    <w:rsid w:val="0055468E"/>
    <w:rsid w:val="005569A0"/>
    <w:rsid w:val="00556D45"/>
    <w:rsid w:val="00560789"/>
    <w:rsid w:val="0056078D"/>
    <w:rsid w:val="00561FC9"/>
    <w:rsid w:val="00564C40"/>
    <w:rsid w:val="00565568"/>
    <w:rsid w:val="005657EE"/>
    <w:rsid w:val="00565983"/>
    <w:rsid w:val="00565E1B"/>
    <w:rsid w:val="00566FAC"/>
    <w:rsid w:val="005674D0"/>
    <w:rsid w:val="00575BE2"/>
    <w:rsid w:val="0058344D"/>
    <w:rsid w:val="005844C0"/>
    <w:rsid w:val="00585F76"/>
    <w:rsid w:val="0058719A"/>
    <w:rsid w:val="00591591"/>
    <w:rsid w:val="005915BE"/>
    <w:rsid w:val="00592F40"/>
    <w:rsid w:val="00593FA8"/>
    <w:rsid w:val="005953FD"/>
    <w:rsid w:val="00595EE4"/>
    <w:rsid w:val="005966F6"/>
    <w:rsid w:val="005A3781"/>
    <w:rsid w:val="005A4B64"/>
    <w:rsid w:val="005A6771"/>
    <w:rsid w:val="005A7C40"/>
    <w:rsid w:val="005B057F"/>
    <w:rsid w:val="005B05C9"/>
    <w:rsid w:val="005B1E16"/>
    <w:rsid w:val="005B38FC"/>
    <w:rsid w:val="005B418F"/>
    <w:rsid w:val="005B5BD5"/>
    <w:rsid w:val="005C135B"/>
    <w:rsid w:val="005C3D6A"/>
    <w:rsid w:val="005C5C46"/>
    <w:rsid w:val="005C603E"/>
    <w:rsid w:val="005C6E80"/>
    <w:rsid w:val="005C72E2"/>
    <w:rsid w:val="005D6593"/>
    <w:rsid w:val="005D6F12"/>
    <w:rsid w:val="005E0E77"/>
    <w:rsid w:val="005E11A4"/>
    <w:rsid w:val="005E2326"/>
    <w:rsid w:val="005E3B24"/>
    <w:rsid w:val="005E4B49"/>
    <w:rsid w:val="005E5626"/>
    <w:rsid w:val="005E5825"/>
    <w:rsid w:val="005E5E77"/>
    <w:rsid w:val="005E616F"/>
    <w:rsid w:val="005E745B"/>
    <w:rsid w:val="005E7D98"/>
    <w:rsid w:val="005F15A9"/>
    <w:rsid w:val="005F277D"/>
    <w:rsid w:val="005F3558"/>
    <w:rsid w:val="005F4AB9"/>
    <w:rsid w:val="005F61C4"/>
    <w:rsid w:val="00600855"/>
    <w:rsid w:val="00600CA8"/>
    <w:rsid w:val="00601600"/>
    <w:rsid w:val="00602B59"/>
    <w:rsid w:val="006033F8"/>
    <w:rsid w:val="006040AE"/>
    <w:rsid w:val="00604524"/>
    <w:rsid w:val="0060676E"/>
    <w:rsid w:val="00612C06"/>
    <w:rsid w:val="0061324A"/>
    <w:rsid w:val="00613A77"/>
    <w:rsid w:val="006141FF"/>
    <w:rsid w:val="00614ECD"/>
    <w:rsid w:val="00616540"/>
    <w:rsid w:val="00620172"/>
    <w:rsid w:val="00620781"/>
    <w:rsid w:val="00622CB8"/>
    <w:rsid w:val="00624FB9"/>
    <w:rsid w:val="006262D8"/>
    <w:rsid w:val="006266DC"/>
    <w:rsid w:val="00626D16"/>
    <w:rsid w:val="00627470"/>
    <w:rsid w:val="00627FD4"/>
    <w:rsid w:val="00631EBF"/>
    <w:rsid w:val="00634779"/>
    <w:rsid w:val="00636A54"/>
    <w:rsid w:val="00636EBF"/>
    <w:rsid w:val="006375D2"/>
    <w:rsid w:val="00640E62"/>
    <w:rsid w:val="00641EDF"/>
    <w:rsid w:val="00642BC9"/>
    <w:rsid w:val="006452ED"/>
    <w:rsid w:val="0064593F"/>
    <w:rsid w:val="00645D2E"/>
    <w:rsid w:val="00645E00"/>
    <w:rsid w:val="0064709A"/>
    <w:rsid w:val="00650974"/>
    <w:rsid w:val="00650BAF"/>
    <w:rsid w:val="0065488F"/>
    <w:rsid w:val="0065564D"/>
    <w:rsid w:val="0065759F"/>
    <w:rsid w:val="0065799C"/>
    <w:rsid w:val="0066124B"/>
    <w:rsid w:val="00661ED2"/>
    <w:rsid w:val="006622FA"/>
    <w:rsid w:val="0066357D"/>
    <w:rsid w:val="0066521D"/>
    <w:rsid w:val="0066683A"/>
    <w:rsid w:val="006742C4"/>
    <w:rsid w:val="00674C3E"/>
    <w:rsid w:val="00674EB8"/>
    <w:rsid w:val="006758AF"/>
    <w:rsid w:val="00676379"/>
    <w:rsid w:val="00676BA8"/>
    <w:rsid w:val="006772F1"/>
    <w:rsid w:val="0068007B"/>
    <w:rsid w:val="00680B36"/>
    <w:rsid w:val="00680C4F"/>
    <w:rsid w:val="00680C6D"/>
    <w:rsid w:val="00681A3C"/>
    <w:rsid w:val="0068243E"/>
    <w:rsid w:val="0068356F"/>
    <w:rsid w:val="00683ABA"/>
    <w:rsid w:val="0068512E"/>
    <w:rsid w:val="0068605C"/>
    <w:rsid w:val="00686199"/>
    <w:rsid w:val="006878C6"/>
    <w:rsid w:val="006905DB"/>
    <w:rsid w:val="00690F67"/>
    <w:rsid w:val="00692AC4"/>
    <w:rsid w:val="00693C7D"/>
    <w:rsid w:val="006943E2"/>
    <w:rsid w:val="00695BB5"/>
    <w:rsid w:val="006A3634"/>
    <w:rsid w:val="006A5334"/>
    <w:rsid w:val="006B0F89"/>
    <w:rsid w:val="006B1FBD"/>
    <w:rsid w:val="006B2F47"/>
    <w:rsid w:val="006B3D80"/>
    <w:rsid w:val="006B5451"/>
    <w:rsid w:val="006B64BA"/>
    <w:rsid w:val="006B7448"/>
    <w:rsid w:val="006C0217"/>
    <w:rsid w:val="006C0C6F"/>
    <w:rsid w:val="006C111E"/>
    <w:rsid w:val="006C4AFE"/>
    <w:rsid w:val="006C5AE8"/>
    <w:rsid w:val="006D2547"/>
    <w:rsid w:val="006D2719"/>
    <w:rsid w:val="006D32A0"/>
    <w:rsid w:val="006D4560"/>
    <w:rsid w:val="006D6D81"/>
    <w:rsid w:val="006D780F"/>
    <w:rsid w:val="006E0FA3"/>
    <w:rsid w:val="006E562A"/>
    <w:rsid w:val="006E59BF"/>
    <w:rsid w:val="006E6BAC"/>
    <w:rsid w:val="006F3C6A"/>
    <w:rsid w:val="006F50D0"/>
    <w:rsid w:val="006F7F0E"/>
    <w:rsid w:val="00701AD2"/>
    <w:rsid w:val="0070298F"/>
    <w:rsid w:val="00703466"/>
    <w:rsid w:val="00703D35"/>
    <w:rsid w:val="00711DBD"/>
    <w:rsid w:val="00712D5C"/>
    <w:rsid w:val="00713308"/>
    <w:rsid w:val="00714B10"/>
    <w:rsid w:val="007157B2"/>
    <w:rsid w:val="00715B87"/>
    <w:rsid w:val="00716A2E"/>
    <w:rsid w:val="00720A5A"/>
    <w:rsid w:val="007305AF"/>
    <w:rsid w:val="0073108D"/>
    <w:rsid w:val="0073124C"/>
    <w:rsid w:val="00732431"/>
    <w:rsid w:val="0073297C"/>
    <w:rsid w:val="0073312F"/>
    <w:rsid w:val="0073530B"/>
    <w:rsid w:val="00735A7F"/>
    <w:rsid w:val="00736B4C"/>
    <w:rsid w:val="007373D7"/>
    <w:rsid w:val="00737429"/>
    <w:rsid w:val="0073762C"/>
    <w:rsid w:val="00737A60"/>
    <w:rsid w:val="00741F94"/>
    <w:rsid w:val="007424CA"/>
    <w:rsid w:val="0074337C"/>
    <w:rsid w:val="00743945"/>
    <w:rsid w:val="00745239"/>
    <w:rsid w:val="00745AD2"/>
    <w:rsid w:val="007524A7"/>
    <w:rsid w:val="0075257D"/>
    <w:rsid w:val="007540E5"/>
    <w:rsid w:val="0075481E"/>
    <w:rsid w:val="00754E87"/>
    <w:rsid w:val="007564B6"/>
    <w:rsid w:val="007579D6"/>
    <w:rsid w:val="00760B5A"/>
    <w:rsid w:val="00762AC3"/>
    <w:rsid w:val="0076606B"/>
    <w:rsid w:val="007707C2"/>
    <w:rsid w:val="0077329F"/>
    <w:rsid w:val="0077423B"/>
    <w:rsid w:val="00776EBB"/>
    <w:rsid w:val="00781439"/>
    <w:rsid w:val="00781AF8"/>
    <w:rsid w:val="00782A83"/>
    <w:rsid w:val="00785A42"/>
    <w:rsid w:val="00786D46"/>
    <w:rsid w:val="007907D7"/>
    <w:rsid w:val="00790C69"/>
    <w:rsid w:val="0079165E"/>
    <w:rsid w:val="00792475"/>
    <w:rsid w:val="0079446A"/>
    <w:rsid w:val="0079512F"/>
    <w:rsid w:val="00796683"/>
    <w:rsid w:val="007970A1"/>
    <w:rsid w:val="007973C7"/>
    <w:rsid w:val="007A0315"/>
    <w:rsid w:val="007A2667"/>
    <w:rsid w:val="007A3964"/>
    <w:rsid w:val="007A4FE0"/>
    <w:rsid w:val="007B0853"/>
    <w:rsid w:val="007B112D"/>
    <w:rsid w:val="007B1642"/>
    <w:rsid w:val="007B728D"/>
    <w:rsid w:val="007C1383"/>
    <w:rsid w:val="007C14AA"/>
    <w:rsid w:val="007C5DC2"/>
    <w:rsid w:val="007C6715"/>
    <w:rsid w:val="007D4A1A"/>
    <w:rsid w:val="007D5B40"/>
    <w:rsid w:val="007D5D13"/>
    <w:rsid w:val="007D74F1"/>
    <w:rsid w:val="007E0338"/>
    <w:rsid w:val="007E0850"/>
    <w:rsid w:val="007E1DD7"/>
    <w:rsid w:val="007E2800"/>
    <w:rsid w:val="007E2A53"/>
    <w:rsid w:val="007E662E"/>
    <w:rsid w:val="007E664E"/>
    <w:rsid w:val="007E75DF"/>
    <w:rsid w:val="007F1BBC"/>
    <w:rsid w:val="007F2D4D"/>
    <w:rsid w:val="007F4D3F"/>
    <w:rsid w:val="007F6BE0"/>
    <w:rsid w:val="007F6D0A"/>
    <w:rsid w:val="0080008A"/>
    <w:rsid w:val="0080250D"/>
    <w:rsid w:val="0080353E"/>
    <w:rsid w:val="00804F0E"/>
    <w:rsid w:val="00805429"/>
    <w:rsid w:val="00805632"/>
    <w:rsid w:val="00805A55"/>
    <w:rsid w:val="00805C9D"/>
    <w:rsid w:val="008103E1"/>
    <w:rsid w:val="008125C9"/>
    <w:rsid w:val="00813238"/>
    <w:rsid w:val="00813D13"/>
    <w:rsid w:val="0081706E"/>
    <w:rsid w:val="00817C0E"/>
    <w:rsid w:val="00817CBC"/>
    <w:rsid w:val="0082446B"/>
    <w:rsid w:val="008249F4"/>
    <w:rsid w:val="00826AE6"/>
    <w:rsid w:val="00826DB1"/>
    <w:rsid w:val="0083079B"/>
    <w:rsid w:val="0083145E"/>
    <w:rsid w:val="008332B9"/>
    <w:rsid w:val="008341C4"/>
    <w:rsid w:val="00834BF8"/>
    <w:rsid w:val="00834C98"/>
    <w:rsid w:val="00834F32"/>
    <w:rsid w:val="0083644E"/>
    <w:rsid w:val="00837213"/>
    <w:rsid w:val="0084134D"/>
    <w:rsid w:val="0084286E"/>
    <w:rsid w:val="0084482B"/>
    <w:rsid w:val="0084579C"/>
    <w:rsid w:val="008457B7"/>
    <w:rsid w:val="008458EF"/>
    <w:rsid w:val="00846E62"/>
    <w:rsid w:val="008505F8"/>
    <w:rsid w:val="008526B9"/>
    <w:rsid w:val="008532E1"/>
    <w:rsid w:val="00853406"/>
    <w:rsid w:val="008548AD"/>
    <w:rsid w:val="00857580"/>
    <w:rsid w:val="008577BB"/>
    <w:rsid w:val="00861F9A"/>
    <w:rsid w:val="00867F2F"/>
    <w:rsid w:val="00870432"/>
    <w:rsid w:val="008704E0"/>
    <w:rsid w:val="0087135D"/>
    <w:rsid w:val="00871723"/>
    <w:rsid w:val="00871BAA"/>
    <w:rsid w:val="00873359"/>
    <w:rsid w:val="008741DF"/>
    <w:rsid w:val="00876592"/>
    <w:rsid w:val="00876622"/>
    <w:rsid w:val="00876689"/>
    <w:rsid w:val="00876839"/>
    <w:rsid w:val="0087745A"/>
    <w:rsid w:val="00880569"/>
    <w:rsid w:val="00882565"/>
    <w:rsid w:val="008836BE"/>
    <w:rsid w:val="00884535"/>
    <w:rsid w:val="008849E2"/>
    <w:rsid w:val="00885262"/>
    <w:rsid w:val="008868F1"/>
    <w:rsid w:val="0088753B"/>
    <w:rsid w:val="0089152E"/>
    <w:rsid w:val="0089363C"/>
    <w:rsid w:val="0089570A"/>
    <w:rsid w:val="00897EBE"/>
    <w:rsid w:val="008A0238"/>
    <w:rsid w:val="008A0AE7"/>
    <w:rsid w:val="008A0B79"/>
    <w:rsid w:val="008A5AE8"/>
    <w:rsid w:val="008B0756"/>
    <w:rsid w:val="008B2157"/>
    <w:rsid w:val="008B3046"/>
    <w:rsid w:val="008B3C6D"/>
    <w:rsid w:val="008B3E32"/>
    <w:rsid w:val="008B7569"/>
    <w:rsid w:val="008C4614"/>
    <w:rsid w:val="008C49FC"/>
    <w:rsid w:val="008C547D"/>
    <w:rsid w:val="008D01F0"/>
    <w:rsid w:val="008D2566"/>
    <w:rsid w:val="008D2746"/>
    <w:rsid w:val="008D2EA6"/>
    <w:rsid w:val="008D3DF3"/>
    <w:rsid w:val="008D4EF6"/>
    <w:rsid w:val="008D518A"/>
    <w:rsid w:val="008D5798"/>
    <w:rsid w:val="008D7759"/>
    <w:rsid w:val="008E4F24"/>
    <w:rsid w:val="008E719A"/>
    <w:rsid w:val="008E7B22"/>
    <w:rsid w:val="008F01A9"/>
    <w:rsid w:val="008F17F3"/>
    <w:rsid w:val="008F42FE"/>
    <w:rsid w:val="00900F88"/>
    <w:rsid w:val="00907A92"/>
    <w:rsid w:val="009145A3"/>
    <w:rsid w:val="00915789"/>
    <w:rsid w:val="00916274"/>
    <w:rsid w:val="009169BA"/>
    <w:rsid w:val="00916E8F"/>
    <w:rsid w:val="00922F8C"/>
    <w:rsid w:val="00924F53"/>
    <w:rsid w:val="0092510D"/>
    <w:rsid w:val="00926C1A"/>
    <w:rsid w:val="00927DF8"/>
    <w:rsid w:val="0093135F"/>
    <w:rsid w:val="00931647"/>
    <w:rsid w:val="0093437E"/>
    <w:rsid w:val="00935BB8"/>
    <w:rsid w:val="00937477"/>
    <w:rsid w:val="0094223B"/>
    <w:rsid w:val="009423FF"/>
    <w:rsid w:val="00942571"/>
    <w:rsid w:val="009471D8"/>
    <w:rsid w:val="0094755E"/>
    <w:rsid w:val="00950CF0"/>
    <w:rsid w:val="00952ADC"/>
    <w:rsid w:val="00954087"/>
    <w:rsid w:val="009559A2"/>
    <w:rsid w:val="00962302"/>
    <w:rsid w:val="0096306B"/>
    <w:rsid w:val="009633F2"/>
    <w:rsid w:val="0096507A"/>
    <w:rsid w:val="00966A3D"/>
    <w:rsid w:val="00970B48"/>
    <w:rsid w:val="00972D91"/>
    <w:rsid w:val="00976B91"/>
    <w:rsid w:val="00980B2A"/>
    <w:rsid w:val="009857C8"/>
    <w:rsid w:val="00985CEB"/>
    <w:rsid w:val="00985F80"/>
    <w:rsid w:val="009869E4"/>
    <w:rsid w:val="00992DAA"/>
    <w:rsid w:val="00993C39"/>
    <w:rsid w:val="00995A8A"/>
    <w:rsid w:val="00997AB7"/>
    <w:rsid w:val="009A16CF"/>
    <w:rsid w:val="009A57C8"/>
    <w:rsid w:val="009A60F8"/>
    <w:rsid w:val="009A6241"/>
    <w:rsid w:val="009A6A3C"/>
    <w:rsid w:val="009A7BDC"/>
    <w:rsid w:val="009B08C8"/>
    <w:rsid w:val="009B3015"/>
    <w:rsid w:val="009B34E2"/>
    <w:rsid w:val="009B36C7"/>
    <w:rsid w:val="009B58A5"/>
    <w:rsid w:val="009B6C51"/>
    <w:rsid w:val="009B6E9A"/>
    <w:rsid w:val="009B7D01"/>
    <w:rsid w:val="009C1D37"/>
    <w:rsid w:val="009C4AB8"/>
    <w:rsid w:val="009C5670"/>
    <w:rsid w:val="009D1CCA"/>
    <w:rsid w:val="009D3B75"/>
    <w:rsid w:val="009D5560"/>
    <w:rsid w:val="009D68AC"/>
    <w:rsid w:val="009D694D"/>
    <w:rsid w:val="009E1799"/>
    <w:rsid w:val="009E24F9"/>
    <w:rsid w:val="009E5301"/>
    <w:rsid w:val="009E5530"/>
    <w:rsid w:val="009E593E"/>
    <w:rsid w:val="009E771B"/>
    <w:rsid w:val="009F2157"/>
    <w:rsid w:val="009F6E2A"/>
    <w:rsid w:val="009F7AA3"/>
    <w:rsid w:val="00A0147C"/>
    <w:rsid w:val="00A036AD"/>
    <w:rsid w:val="00A050B2"/>
    <w:rsid w:val="00A05961"/>
    <w:rsid w:val="00A07FD0"/>
    <w:rsid w:val="00A11560"/>
    <w:rsid w:val="00A11FD1"/>
    <w:rsid w:val="00A12A82"/>
    <w:rsid w:val="00A1487D"/>
    <w:rsid w:val="00A14D38"/>
    <w:rsid w:val="00A17228"/>
    <w:rsid w:val="00A21F31"/>
    <w:rsid w:val="00A21FE2"/>
    <w:rsid w:val="00A230D2"/>
    <w:rsid w:val="00A2389A"/>
    <w:rsid w:val="00A243F5"/>
    <w:rsid w:val="00A26CE6"/>
    <w:rsid w:val="00A27419"/>
    <w:rsid w:val="00A30116"/>
    <w:rsid w:val="00A32AEE"/>
    <w:rsid w:val="00A3369A"/>
    <w:rsid w:val="00A33DB7"/>
    <w:rsid w:val="00A352C8"/>
    <w:rsid w:val="00A35B98"/>
    <w:rsid w:val="00A36F0A"/>
    <w:rsid w:val="00A40FFD"/>
    <w:rsid w:val="00A42DBC"/>
    <w:rsid w:val="00A464FF"/>
    <w:rsid w:val="00A51F81"/>
    <w:rsid w:val="00A552FA"/>
    <w:rsid w:val="00A55655"/>
    <w:rsid w:val="00A55A72"/>
    <w:rsid w:val="00A57F5D"/>
    <w:rsid w:val="00A60496"/>
    <w:rsid w:val="00A61137"/>
    <w:rsid w:val="00A6436E"/>
    <w:rsid w:val="00A659BA"/>
    <w:rsid w:val="00A65BF7"/>
    <w:rsid w:val="00A662BC"/>
    <w:rsid w:val="00A711B9"/>
    <w:rsid w:val="00A7238B"/>
    <w:rsid w:val="00A724A6"/>
    <w:rsid w:val="00A7427D"/>
    <w:rsid w:val="00A759B1"/>
    <w:rsid w:val="00A772B2"/>
    <w:rsid w:val="00A8108D"/>
    <w:rsid w:val="00A8280E"/>
    <w:rsid w:val="00A829DC"/>
    <w:rsid w:val="00A83507"/>
    <w:rsid w:val="00A836E0"/>
    <w:rsid w:val="00A83A01"/>
    <w:rsid w:val="00A85DE2"/>
    <w:rsid w:val="00A8699C"/>
    <w:rsid w:val="00A92687"/>
    <w:rsid w:val="00A94DDD"/>
    <w:rsid w:val="00A95E4F"/>
    <w:rsid w:val="00A97124"/>
    <w:rsid w:val="00AA1470"/>
    <w:rsid w:val="00AA1C38"/>
    <w:rsid w:val="00AA5598"/>
    <w:rsid w:val="00AA7C36"/>
    <w:rsid w:val="00AA7F89"/>
    <w:rsid w:val="00AB0C6F"/>
    <w:rsid w:val="00AB4F4F"/>
    <w:rsid w:val="00AB626A"/>
    <w:rsid w:val="00AB6277"/>
    <w:rsid w:val="00AB75C6"/>
    <w:rsid w:val="00AC1DD5"/>
    <w:rsid w:val="00AC238A"/>
    <w:rsid w:val="00AC24EC"/>
    <w:rsid w:val="00AC331C"/>
    <w:rsid w:val="00AC54BF"/>
    <w:rsid w:val="00AC55E2"/>
    <w:rsid w:val="00AD4429"/>
    <w:rsid w:val="00AE146B"/>
    <w:rsid w:val="00AE34DE"/>
    <w:rsid w:val="00AE6B49"/>
    <w:rsid w:val="00AF0DF2"/>
    <w:rsid w:val="00AF271A"/>
    <w:rsid w:val="00AF444A"/>
    <w:rsid w:val="00B016C0"/>
    <w:rsid w:val="00B04AAB"/>
    <w:rsid w:val="00B04B9B"/>
    <w:rsid w:val="00B04DC1"/>
    <w:rsid w:val="00B077E0"/>
    <w:rsid w:val="00B07848"/>
    <w:rsid w:val="00B11033"/>
    <w:rsid w:val="00B120B3"/>
    <w:rsid w:val="00B134AC"/>
    <w:rsid w:val="00B15C42"/>
    <w:rsid w:val="00B16582"/>
    <w:rsid w:val="00B20FF9"/>
    <w:rsid w:val="00B22DA8"/>
    <w:rsid w:val="00B26856"/>
    <w:rsid w:val="00B303EB"/>
    <w:rsid w:val="00B317CF"/>
    <w:rsid w:val="00B34004"/>
    <w:rsid w:val="00B342A7"/>
    <w:rsid w:val="00B353A0"/>
    <w:rsid w:val="00B3677D"/>
    <w:rsid w:val="00B36A2D"/>
    <w:rsid w:val="00B413C0"/>
    <w:rsid w:val="00B424F6"/>
    <w:rsid w:val="00B4328E"/>
    <w:rsid w:val="00B43EBB"/>
    <w:rsid w:val="00B44128"/>
    <w:rsid w:val="00B46AFE"/>
    <w:rsid w:val="00B53192"/>
    <w:rsid w:val="00B53F93"/>
    <w:rsid w:val="00B54CB0"/>
    <w:rsid w:val="00B55FA8"/>
    <w:rsid w:val="00B56259"/>
    <w:rsid w:val="00B56F29"/>
    <w:rsid w:val="00B6258D"/>
    <w:rsid w:val="00B62FB3"/>
    <w:rsid w:val="00B639F8"/>
    <w:rsid w:val="00B65DAA"/>
    <w:rsid w:val="00B66382"/>
    <w:rsid w:val="00B67314"/>
    <w:rsid w:val="00B678DF"/>
    <w:rsid w:val="00B7027C"/>
    <w:rsid w:val="00B74AE4"/>
    <w:rsid w:val="00B77C78"/>
    <w:rsid w:val="00B83126"/>
    <w:rsid w:val="00B839AE"/>
    <w:rsid w:val="00B85B84"/>
    <w:rsid w:val="00B86086"/>
    <w:rsid w:val="00B86551"/>
    <w:rsid w:val="00B87681"/>
    <w:rsid w:val="00B9183F"/>
    <w:rsid w:val="00B9331D"/>
    <w:rsid w:val="00B94248"/>
    <w:rsid w:val="00B9491A"/>
    <w:rsid w:val="00B97ABE"/>
    <w:rsid w:val="00BA13F9"/>
    <w:rsid w:val="00BA3C70"/>
    <w:rsid w:val="00BB05CF"/>
    <w:rsid w:val="00BB2117"/>
    <w:rsid w:val="00BB3B2C"/>
    <w:rsid w:val="00BC371C"/>
    <w:rsid w:val="00BC3CF9"/>
    <w:rsid w:val="00BC5C61"/>
    <w:rsid w:val="00BD2426"/>
    <w:rsid w:val="00BD2A47"/>
    <w:rsid w:val="00BD369D"/>
    <w:rsid w:val="00BD5002"/>
    <w:rsid w:val="00BD5347"/>
    <w:rsid w:val="00BD571F"/>
    <w:rsid w:val="00BD58D0"/>
    <w:rsid w:val="00BE1792"/>
    <w:rsid w:val="00BE26D9"/>
    <w:rsid w:val="00BE27B7"/>
    <w:rsid w:val="00BE2E8B"/>
    <w:rsid w:val="00BE64B7"/>
    <w:rsid w:val="00BE6842"/>
    <w:rsid w:val="00BE6EC9"/>
    <w:rsid w:val="00BF235B"/>
    <w:rsid w:val="00BF43F8"/>
    <w:rsid w:val="00BF4B31"/>
    <w:rsid w:val="00BF7E82"/>
    <w:rsid w:val="00C0198A"/>
    <w:rsid w:val="00C02788"/>
    <w:rsid w:val="00C03015"/>
    <w:rsid w:val="00C058A5"/>
    <w:rsid w:val="00C06153"/>
    <w:rsid w:val="00C07A25"/>
    <w:rsid w:val="00C07CF3"/>
    <w:rsid w:val="00C10108"/>
    <w:rsid w:val="00C15885"/>
    <w:rsid w:val="00C1659A"/>
    <w:rsid w:val="00C2142E"/>
    <w:rsid w:val="00C255F1"/>
    <w:rsid w:val="00C2712F"/>
    <w:rsid w:val="00C27654"/>
    <w:rsid w:val="00C30FDA"/>
    <w:rsid w:val="00C315E5"/>
    <w:rsid w:val="00C324BD"/>
    <w:rsid w:val="00C33BEE"/>
    <w:rsid w:val="00C36CC2"/>
    <w:rsid w:val="00C40E18"/>
    <w:rsid w:val="00C439BC"/>
    <w:rsid w:val="00C44FF1"/>
    <w:rsid w:val="00C455DC"/>
    <w:rsid w:val="00C464E3"/>
    <w:rsid w:val="00C50952"/>
    <w:rsid w:val="00C509F8"/>
    <w:rsid w:val="00C50D1A"/>
    <w:rsid w:val="00C534E2"/>
    <w:rsid w:val="00C55276"/>
    <w:rsid w:val="00C577C3"/>
    <w:rsid w:val="00C6114B"/>
    <w:rsid w:val="00C618F9"/>
    <w:rsid w:val="00C62BF0"/>
    <w:rsid w:val="00C62CC9"/>
    <w:rsid w:val="00C62ED2"/>
    <w:rsid w:val="00C67C46"/>
    <w:rsid w:val="00C748E6"/>
    <w:rsid w:val="00C75FE7"/>
    <w:rsid w:val="00C8409A"/>
    <w:rsid w:val="00C86BED"/>
    <w:rsid w:val="00C87FFE"/>
    <w:rsid w:val="00C93325"/>
    <w:rsid w:val="00C94045"/>
    <w:rsid w:val="00C95DEA"/>
    <w:rsid w:val="00C97893"/>
    <w:rsid w:val="00C97978"/>
    <w:rsid w:val="00CA0AF4"/>
    <w:rsid w:val="00CA1ED2"/>
    <w:rsid w:val="00CA1F20"/>
    <w:rsid w:val="00CA4A11"/>
    <w:rsid w:val="00CA4A93"/>
    <w:rsid w:val="00CA53FD"/>
    <w:rsid w:val="00CA5BF8"/>
    <w:rsid w:val="00CA65F9"/>
    <w:rsid w:val="00CA6E5A"/>
    <w:rsid w:val="00CA6F9A"/>
    <w:rsid w:val="00CA7677"/>
    <w:rsid w:val="00CA7C73"/>
    <w:rsid w:val="00CB2319"/>
    <w:rsid w:val="00CB3C45"/>
    <w:rsid w:val="00CB66BF"/>
    <w:rsid w:val="00CB78E1"/>
    <w:rsid w:val="00CC0FD6"/>
    <w:rsid w:val="00CC217A"/>
    <w:rsid w:val="00CC2ECA"/>
    <w:rsid w:val="00CC363C"/>
    <w:rsid w:val="00CC5BF5"/>
    <w:rsid w:val="00CC6178"/>
    <w:rsid w:val="00CD0268"/>
    <w:rsid w:val="00CD0BD1"/>
    <w:rsid w:val="00CD5AAB"/>
    <w:rsid w:val="00CD65E4"/>
    <w:rsid w:val="00CD6A97"/>
    <w:rsid w:val="00CE030B"/>
    <w:rsid w:val="00CE10E4"/>
    <w:rsid w:val="00CE1562"/>
    <w:rsid w:val="00CE2066"/>
    <w:rsid w:val="00CE2212"/>
    <w:rsid w:val="00CE308F"/>
    <w:rsid w:val="00CE60BA"/>
    <w:rsid w:val="00CF63DE"/>
    <w:rsid w:val="00CF674F"/>
    <w:rsid w:val="00CF71CE"/>
    <w:rsid w:val="00D01E6F"/>
    <w:rsid w:val="00D01F72"/>
    <w:rsid w:val="00D032DB"/>
    <w:rsid w:val="00D04295"/>
    <w:rsid w:val="00D0472E"/>
    <w:rsid w:val="00D1035E"/>
    <w:rsid w:val="00D11F65"/>
    <w:rsid w:val="00D14CC0"/>
    <w:rsid w:val="00D155CE"/>
    <w:rsid w:val="00D203E7"/>
    <w:rsid w:val="00D21A0B"/>
    <w:rsid w:val="00D21E24"/>
    <w:rsid w:val="00D223F4"/>
    <w:rsid w:val="00D24C65"/>
    <w:rsid w:val="00D2545E"/>
    <w:rsid w:val="00D30526"/>
    <w:rsid w:val="00D30DA7"/>
    <w:rsid w:val="00D34012"/>
    <w:rsid w:val="00D357EF"/>
    <w:rsid w:val="00D37E67"/>
    <w:rsid w:val="00D40887"/>
    <w:rsid w:val="00D40D4F"/>
    <w:rsid w:val="00D452B2"/>
    <w:rsid w:val="00D455F6"/>
    <w:rsid w:val="00D466A2"/>
    <w:rsid w:val="00D47714"/>
    <w:rsid w:val="00D47A4E"/>
    <w:rsid w:val="00D50AA5"/>
    <w:rsid w:val="00D50D4E"/>
    <w:rsid w:val="00D50E12"/>
    <w:rsid w:val="00D5179B"/>
    <w:rsid w:val="00D51969"/>
    <w:rsid w:val="00D51AC3"/>
    <w:rsid w:val="00D535B0"/>
    <w:rsid w:val="00D537BF"/>
    <w:rsid w:val="00D5479F"/>
    <w:rsid w:val="00D556FD"/>
    <w:rsid w:val="00D5659D"/>
    <w:rsid w:val="00D579B1"/>
    <w:rsid w:val="00D6165B"/>
    <w:rsid w:val="00D654DC"/>
    <w:rsid w:val="00D65E1C"/>
    <w:rsid w:val="00D67025"/>
    <w:rsid w:val="00D6745B"/>
    <w:rsid w:val="00D7273E"/>
    <w:rsid w:val="00D72E84"/>
    <w:rsid w:val="00D748DB"/>
    <w:rsid w:val="00D74B16"/>
    <w:rsid w:val="00D76C4E"/>
    <w:rsid w:val="00D80159"/>
    <w:rsid w:val="00D80B6F"/>
    <w:rsid w:val="00D8253E"/>
    <w:rsid w:val="00D85788"/>
    <w:rsid w:val="00D857A0"/>
    <w:rsid w:val="00D86571"/>
    <w:rsid w:val="00D867AA"/>
    <w:rsid w:val="00D904D4"/>
    <w:rsid w:val="00D91596"/>
    <w:rsid w:val="00D979A6"/>
    <w:rsid w:val="00DA19C6"/>
    <w:rsid w:val="00DA3334"/>
    <w:rsid w:val="00DA4195"/>
    <w:rsid w:val="00DA501B"/>
    <w:rsid w:val="00DA7C3F"/>
    <w:rsid w:val="00DB1674"/>
    <w:rsid w:val="00DB199B"/>
    <w:rsid w:val="00DB1F11"/>
    <w:rsid w:val="00DB2B8F"/>
    <w:rsid w:val="00DB3158"/>
    <w:rsid w:val="00DB360A"/>
    <w:rsid w:val="00DB59E4"/>
    <w:rsid w:val="00DB5A88"/>
    <w:rsid w:val="00DB6635"/>
    <w:rsid w:val="00DB7709"/>
    <w:rsid w:val="00DB7DA2"/>
    <w:rsid w:val="00DC1931"/>
    <w:rsid w:val="00DC5144"/>
    <w:rsid w:val="00DC51B0"/>
    <w:rsid w:val="00DC5984"/>
    <w:rsid w:val="00DC7396"/>
    <w:rsid w:val="00DC7CCE"/>
    <w:rsid w:val="00DD1047"/>
    <w:rsid w:val="00DD2673"/>
    <w:rsid w:val="00DD4F12"/>
    <w:rsid w:val="00DD71BE"/>
    <w:rsid w:val="00DE5853"/>
    <w:rsid w:val="00DE58A5"/>
    <w:rsid w:val="00DE798D"/>
    <w:rsid w:val="00DF1F11"/>
    <w:rsid w:val="00DF310E"/>
    <w:rsid w:val="00DF33D8"/>
    <w:rsid w:val="00DF4173"/>
    <w:rsid w:val="00DF7130"/>
    <w:rsid w:val="00DF7328"/>
    <w:rsid w:val="00DF78FA"/>
    <w:rsid w:val="00E0011D"/>
    <w:rsid w:val="00E00F52"/>
    <w:rsid w:val="00E0216D"/>
    <w:rsid w:val="00E03319"/>
    <w:rsid w:val="00E03AA7"/>
    <w:rsid w:val="00E04D77"/>
    <w:rsid w:val="00E05722"/>
    <w:rsid w:val="00E05A29"/>
    <w:rsid w:val="00E05C20"/>
    <w:rsid w:val="00E06539"/>
    <w:rsid w:val="00E14D74"/>
    <w:rsid w:val="00E176D0"/>
    <w:rsid w:val="00E21187"/>
    <w:rsid w:val="00E21327"/>
    <w:rsid w:val="00E22983"/>
    <w:rsid w:val="00E229FC"/>
    <w:rsid w:val="00E24A46"/>
    <w:rsid w:val="00E25466"/>
    <w:rsid w:val="00E259C9"/>
    <w:rsid w:val="00E25CFE"/>
    <w:rsid w:val="00E302B6"/>
    <w:rsid w:val="00E31226"/>
    <w:rsid w:val="00E35232"/>
    <w:rsid w:val="00E415F6"/>
    <w:rsid w:val="00E44C08"/>
    <w:rsid w:val="00E50D22"/>
    <w:rsid w:val="00E51847"/>
    <w:rsid w:val="00E52359"/>
    <w:rsid w:val="00E53229"/>
    <w:rsid w:val="00E54277"/>
    <w:rsid w:val="00E561B6"/>
    <w:rsid w:val="00E57394"/>
    <w:rsid w:val="00E61DDB"/>
    <w:rsid w:val="00E670FF"/>
    <w:rsid w:val="00E717BF"/>
    <w:rsid w:val="00E7223C"/>
    <w:rsid w:val="00E723AA"/>
    <w:rsid w:val="00E729E0"/>
    <w:rsid w:val="00E72AAA"/>
    <w:rsid w:val="00E72B5F"/>
    <w:rsid w:val="00E72E8A"/>
    <w:rsid w:val="00E74E0D"/>
    <w:rsid w:val="00E756A0"/>
    <w:rsid w:val="00E75F18"/>
    <w:rsid w:val="00E76CE3"/>
    <w:rsid w:val="00E76DD2"/>
    <w:rsid w:val="00E77D86"/>
    <w:rsid w:val="00E83532"/>
    <w:rsid w:val="00E83C3F"/>
    <w:rsid w:val="00E8534F"/>
    <w:rsid w:val="00E86BDC"/>
    <w:rsid w:val="00E87E68"/>
    <w:rsid w:val="00E911A2"/>
    <w:rsid w:val="00E94F1D"/>
    <w:rsid w:val="00E9681E"/>
    <w:rsid w:val="00E97115"/>
    <w:rsid w:val="00EA210B"/>
    <w:rsid w:val="00EA24E5"/>
    <w:rsid w:val="00EA3A57"/>
    <w:rsid w:val="00EA57C5"/>
    <w:rsid w:val="00EA5B0F"/>
    <w:rsid w:val="00EA68A6"/>
    <w:rsid w:val="00EA7220"/>
    <w:rsid w:val="00EB0896"/>
    <w:rsid w:val="00EB11CB"/>
    <w:rsid w:val="00EB3622"/>
    <w:rsid w:val="00EB432D"/>
    <w:rsid w:val="00EB5E5C"/>
    <w:rsid w:val="00EB6DF0"/>
    <w:rsid w:val="00EC48B2"/>
    <w:rsid w:val="00EC5527"/>
    <w:rsid w:val="00EC5FD4"/>
    <w:rsid w:val="00EC699F"/>
    <w:rsid w:val="00EC7609"/>
    <w:rsid w:val="00ED1E98"/>
    <w:rsid w:val="00ED20E5"/>
    <w:rsid w:val="00ED5119"/>
    <w:rsid w:val="00ED6427"/>
    <w:rsid w:val="00ED6661"/>
    <w:rsid w:val="00ED6D71"/>
    <w:rsid w:val="00EE0B10"/>
    <w:rsid w:val="00EE386D"/>
    <w:rsid w:val="00EE4201"/>
    <w:rsid w:val="00EE5240"/>
    <w:rsid w:val="00EE5F65"/>
    <w:rsid w:val="00EE60AC"/>
    <w:rsid w:val="00EF0446"/>
    <w:rsid w:val="00EF1CAD"/>
    <w:rsid w:val="00EF2B74"/>
    <w:rsid w:val="00EF4485"/>
    <w:rsid w:val="00EF4519"/>
    <w:rsid w:val="00EF5C93"/>
    <w:rsid w:val="00EF61C9"/>
    <w:rsid w:val="00F0217F"/>
    <w:rsid w:val="00F0239C"/>
    <w:rsid w:val="00F058BA"/>
    <w:rsid w:val="00F06F52"/>
    <w:rsid w:val="00F10DC5"/>
    <w:rsid w:val="00F11841"/>
    <w:rsid w:val="00F12C18"/>
    <w:rsid w:val="00F130F6"/>
    <w:rsid w:val="00F1434A"/>
    <w:rsid w:val="00F14DD6"/>
    <w:rsid w:val="00F16954"/>
    <w:rsid w:val="00F2024B"/>
    <w:rsid w:val="00F204D7"/>
    <w:rsid w:val="00F22669"/>
    <w:rsid w:val="00F239A4"/>
    <w:rsid w:val="00F240AF"/>
    <w:rsid w:val="00F259BC"/>
    <w:rsid w:val="00F25AFA"/>
    <w:rsid w:val="00F266D4"/>
    <w:rsid w:val="00F30511"/>
    <w:rsid w:val="00F332D1"/>
    <w:rsid w:val="00F4148A"/>
    <w:rsid w:val="00F4214B"/>
    <w:rsid w:val="00F43F7A"/>
    <w:rsid w:val="00F4455F"/>
    <w:rsid w:val="00F448C4"/>
    <w:rsid w:val="00F47A95"/>
    <w:rsid w:val="00F535A9"/>
    <w:rsid w:val="00F5454E"/>
    <w:rsid w:val="00F55C01"/>
    <w:rsid w:val="00F55D68"/>
    <w:rsid w:val="00F56504"/>
    <w:rsid w:val="00F623CC"/>
    <w:rsid w:val="00F624C8"/>
    <w:rsid w:val="00F65EA9"/>
    <w:rsid w:val="00F70BFC"/>
    <w:rsid w:val="00F802A1"/>
    <w:rsid w:val="00F80955"/>
    <w:rsid w:val="00F828FC"/>
    <w:rsid w:val="00F8423E"/>
    <w:rsid w:val="00F85E36"/>
    <w:rsid w:val="00F86D98"/>
    <w:rsid w:val="00F87983"/>
    <w:rsid w:val="00F90DF1"/>
    <w:rsid w:val="00F914A8"/>
    <w:rsid w:val="00F923AB"/>
    <w:rsid w:val="00F93F6F"/>
    <w:rsid w:val="00F94927"/>
    <w:rsid w:val="00F96A26"/>
    <w:rsid w:val="00F96ACD"/>
    <w:rsid w:val="00FA047A"/>
    <w:rsid w:val="00FA2AFF"/>
    <w:rsid w:val="00FA3C26"/>
    <w:rsid w:val="00FA4346"/>
    <w:rsid w:val="00FA4E3A"/>
    <w:rsid w:val="00FA531A"/>
    <w:rsid w:val="00FA61AE"/>
    <w:rsid w:val="00FA6261"/>
    <w:rsid w:val="00FA7050"/>
    <w:rsid w:val="00FA7164"/>
    <w:rsid w:val="00FA722D"/>
    <w:rsid w:val="00FB14FF"/>
    <w:rsid w:val="00FB188F"/>
    <w:rsid w:val="00FB24F0"/>
    <w:rsid w:val="00FC282C"/>
    <w:rsid w:val="00FC345E"/>
    <w:rsid w:val="00FC3C5D"/>
    <w:rsid w:val="00FC5A81"/>
    <w:rsid w:val="00FC68EE"/>
    <w:rsid w:val="00FC7BA5"/>
    <w:rsid w:val="00FD31B7"/>
    <w:rsid w:val="00FD4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58D732"/>
  <w15:docId w15:val="{FFCDEB8B-B829-4C0A-A2F1-0CEC5A36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AFA"/>
    <w:pPr>
      <w:autoSpaceDE w:val="0"/>
      <w:autoSpaceDN w:val="0"/>
      <w:adjustRightInd w:val="0"/>
    </w:pPr>
    <w:rPr>
      <w:rFonts w:ascii="Arial" w:hAnsi="Arial"/>
    </w:rPr>
  </w:style>
  <w:style w:type="paragraph" w:styleId="Heading2">
    <w:name w:val="heading 2"/>
    <w:basedOn w:val="Normal"/>
    <w:link w:val="Heading2Char"/>
    <w:uiPriority w:val="9"/>
    <w:qFormat/>
    <w:rsid w:val="00683ABA"/>
    <w:pPr>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27CD"/>
    <w:rPr>
      <w:rFonts w:ascii="Tahoma" w:hAnsi="Tahoma" w:cs="Tahoma"/>
      <w:sz w:val="16"/>
      <w:szCs w:val="16"/>
    </w:rPr>
  </w:style>
  <w:style w:type="character" w:styleId="CommentReference">
    <w:name w:val="annotation reference"/>
    <w:uiPriority w:val="99"/>
    <w:rsid w:val="00CE1562"/>
    <w:rPr>
      <w:sz w:val="16"/>
      <w:szCs w:val="16"/>
    </w:rPr>
  </w:style>
  <w:style w:type="paragraph" w:styleId="CommentText">
    <w:name w:val="annotation text"/>
    <w:basedOn w:val="Normal"/>
    <w:link w:val="CommentTextChar"/>
    <w:rsid w:val="00CE1562"/>
  </w:style>
  <w:style w:type="paragraph" w:styleId="CommentSubject">
    <w:name w:val="annotation subject"/>
    <w:basedOn w:val="CommentText"/>
    <w:next w:val="CommentText"/>
    <w:semiHidden/>
    <w:rsid w:val="00CE1562"/>
    <w:rPr>
      <w:b/>
      <w:bCs/>
    </w:rPr>
  </w:style>
  <w:style w:type="paragraph" w:styleId="Footer">
    <w:name w:val="footer"/>
    <w:basedOn w:val="Normal"/>
    <w:link w:val="FooterChar"/>
    <w:uiPriority w:val="99"/>
    <w:rsid w:val="00834F32"/>
    <w:pPr>
      <w:tabs>
        <w:tab w:val="center" w:pos="4320"/>
        <w:tab w:val="right" w:pos="8640"/>
      </w:tabs>
    </w:pPr>
  </w:style>
  <w:style w:type="character" w:styleId="PageNumber">
    <w:name w:val="page number"/>
    <w:basedOn w:val="DefaultParagraphFont"/>
    <w:rsid w:val="00834F32"/>
  </w:style>
  <w:style w:type="paragraph" w:customStyle="1" w:styleId="msolistparagraph0">
    <w:name w:val="msolistparagraph"/>
    <w:basedOn w:val="Normal"/>
    <w:rsid w:val="00FB24F0"/>
    <w:pPr>
      <w:autoSpaceDE/>
      <w:autoSpaceDN/>
      <w:adjustRightInd/>
      <w:ind w:left="720"/>
    </w:pPr>
    <w:rPr>
      <w:rFonts w:ascii="Calibri" w:eastAsia="Calibri" w:hAnsi="Calibri"/>
      <w:sz w:val="22"/>
      <w:szCs w:val="22"/>
    </w:rPr>
  </w:style>
  <w:style w:type="table" w:styleId="TableGrid">
    <w:name w:val="Table Grid"/>
    <w:basedOn w:val="TableNormal"/>
    <w:uiPriority w:val="59"/>
    <w:rsid w:val="0060452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40DEE"/>
    <w:pPr>
      <w:numPr>
        <w:numId w:val="9"/>
      </w:numPr>
      <w:autoSpaceDE/>
      <w:autoSpaceDN/>
      <w:adjustRightInd/>
    </w:pPr>
    <w:rPr>
      <w:sz w:val="22"/>
      <w:szCs w:val="24"/>
    </w:rPr>
  </w:style>
  <w:style w:type="character" w:styleId="Hyperlink">
    <w:name w:val="Hyperlink"/>
    <w:rsid w:val="004A2AF6"/>
    <w:rPr>
      <w:color w:val="0000FF"/>
      <w:u w:val="single"/>
    </w:rPr>
  </w:style>
  <w:style w:type="paragraph" w:styleId="FootnoteText">
    <w:name w:val="footnote text"/>
    <w:basedOn w:val="Normal"/>
    <w:semiHidden/>
    <w:rsid w:val="00E57394"/>
    <w:pPr>
      <w:widowControl w:val="0"/>
    </w:pPr>
    <w:rPr>
      <w:rFonts w:ascii="Times New Roman" w:hAnsi="Times New Roman"/>
    </w:rPr>
  </w:style>
  <w:style w:type="character" w:styleId="FootnoteReference">
    <w:name w:val="footnote reference"/>
    <w:semiHidden/>
    <w:rsid w:val="00E57394"/>
    <w:rPr>
      <w:vertAlign w:val="superscript"/>
    </w:rPr>
  </w:style>
  <w:style w:type="paragraph" w:styleId="Revision">
    <w:name w:val="Revision"/>
    <w:hidden/>
    <w:uiPriority w:val="99"/>
    <w:semiHidden/>
    <w:rsid w:val="00137505"/>
    <w:rPr>
      <w:rFonts w:ascii="Arial" w:hAnsi="Arial"/>
    </w:rPr>
  </w:style>
  <w:style w:type="paragraph" w:styleId="Header">
    <w:name w:val="header"/>
    <w:basedOn w:val="Normal"/>
    <w:link w:val="HeaderChar"/>
    <w:rsid w:val="0084134D"/>
    <w:pPr>
      <w:tabs>
        <w:tab w:val="center" w:pos="4680"/>
        <w:tab w:val="right" w:pos="9360"/>
      </w:tabs>
    </w:pPr>
  </w:style>
  <w:style w:type="character" w:customStyle="1" w:styleId="HeaderChar">
    <w:name w:val="Header Char"/>
    <w:link w:val="Header"/>
    <w:rsid w:val="0084134D"/>
    <w:rPr>
      <w:rFonts w:ascii="Arial" w:hAnsi="Arial"/>
    </w:rPr>
  </w:style>
  <w:style w:type="paragraph" w:styleId="ListParagraph">
    <w:name w:val="List Paragraph"/>
    <w:basedOn w:val="Normal"/>
    <w:uiPriority w:val="34"/>
    <w:qFormat/>
    <w:rsid w:val="00A26CE6"/>
    <w:pPr>
      <w:autoSpaceDE/>
      <w:autoSpaceDN/>
      <w:adjustRightInd/>
      <w:spacing w:line="276" w:lineRule="auto"/>
      <w:ind w:left="720"/>
    </w:pPr>
    <w:rPr>
      <w:rFonts w:eastAsia="Calibri" w:cs="Arial"/>
      <w:sz w:val="22"/>
      <w:szCs w:val="22"/>
    </w:rPr>
  </w:style>
  <w:style w:type="paragraph" w:styleId="NormalWeb">
    <w:name w:val="Normal (Web)"/>
    <w:basedOn w:val="Normal"/>
    <w:uiPriority w:val="99"/>
    <w:unhideWhenUsed/>
    <w:rsid w:val="003D1BB9"/>
    <w:pPr>
      <w:autoSpaceDE/>
      <w:autoSpaceDN/>
      <w:adjustRightInd/>
      <w:spacing w:before="100" w:beforeAutospacing="1" w:after="100" w:afterAutospacing="1"/>
    </w:pPr>
    <w:rPr>
      <w:rFonts w:ascii="Times New Roman" w:hAnsi="Times New Roman"/>
      <w:sz w:val="24"/>
      <w:szCs w:val="24"/>
    </w:rPr>
  </w:style>
  <w:style w:type="character" w:styleId="FollowedHyperlink">
    <w:name w:val="FollowedHyperlink"/>
    <w:rsid w:val="00EF5C93"/>
    <w:rPr>
      <w:color w:val="954F72"/>
      <w:u w:val="single"/>
    </w:rPr>
  </w:style>
  <w:style w:type="character" w:customStyle="1" w:styleId="CommentTextChar">
    <w:name w:val="Comment Text Char"/>
    <w:link w:val="CommentText"/>
    <w:rsid w:val="00331B95"/>
    <w:rPr>
      <w:rFonts w:ascii="Arial" w:hAnsi="Arial"/>
    </w:rPr>
  </w:style>
  <w:style w:type="character" w:customStyle="1" w:styleId="FooterChar">
    <w:name w:val="Footer Char"/>
    <w:link w:val="Footer"/>
    <w:uiPriority w:val="99"/>
    <w:rsid w:val="00E729E0"/>
    <w:rPr>
      <w:rFonts w:ascii="Arial" w:hAnsi="Arial"/>
    </w:rPr>
  </w:style>
  <w:style w:type="character" w:customStyle="1" w:styleId="Heading2Char">
    <w:name w:val="Heading 2 Char"/>
    <w:link w:val="Heading2"/>
    <w:uiPriority w:val="9"/>
    <w:rsid w:val="00683ABA"/>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3629">
      <w:bodyDiv w:val="1"/>
      <w:marLeft w:val="0"/>
      <w:marRight w:val="0"/>
      <w:marTop w:val="0"/>
      <w:marBottom w:val="0"/>
      <w:divBdr>
        <w:top w:val="none" w:sz="0" w:space="0" w:color="auto"/>
        <w:left w:val="none" w:sz="0" w:space="0" w:color="auto"/>
        <w:bottom w:val="none" w:sz="0" w:space="0" w:color="auto"/>
        <w:right w:val="none" w:sz="0" w:space="0" w:color="auto"/>
      </w:divBdr>
    </w:div>
    <w:div w:id="17434498">
      <w:bodyDiv w:val="1"/>
      <w:marLeft w:val="0"/>
      <w:marRight w:val="0"/>
      <w:marTop w:val="0"/>
      <w:marBottom w:val="0"/>
      <w:divBdr>
        <w:top w:val="none" w:sz="0" w:space="0" w:color="auto"/>
        <w:left w:val="none" w:sz="0" w:space="0" w:color="auto"/>
        <w:bottom w:val="none" w:sz="0" w:space="0" w:color="auto"/>
        <w:right w:val="none" w:sz="0" w:space="0" w:color="auto"/>
      </w:divBdr>
    </w:div>
    <w:div w:id="47993813">
      <w:bodyDiv w:val="1"/>
      <w:marLeft w:val="0"/>
      <w:marRight w:val="0"/>
      <w:marTop w:val="0"/>
      <w:marBottom w:val="0"/>
      <w:divBdr>
        <w:top w:val="none" w:sz="0" w:space="0" w:color="auto"/>
        <w:left w:val="none" w:sz="0" w:space="0" w:color="auto"/>
        <w:bottom w:val="none" w:sz="0" w:space="0" w:color="auto"/>
        <w:right w:val="none" w:sz="0" w:space="0" w:color="auto"/>
      </w:divBdr>
    </w:div>
    <w:div w:id="50808591">
      <w:bodyDiv w:val="1"/>
      <w:marLeft w:val="0"/>
      <w:marRight w:val="0"/>
      <w:marTop w:val="0"/>
      <w:marBottom w:val="0"/>
      <w:divBdr>
        <w:top w:val="none" w:sz="0" w:space="0" w:color="auto"/>
        <w:left w:val="none" w:sz="0" w:space="0" w:color="auto"/>
        <w:bottom w:val="none" w:sz="0" w:space="0" w:color="auto"/>
        <w:right w:val="none" w:sz="0" w:space="0" w:color="auto"/>
      </w:divBdr>
    </w:div>
    <w:div w:id="54938567">
      <w:bodyDiv w:val="1"/>
      <w:marLeft w:val="0"/>
      <w:marRight w:val="0"/>
      <w:marTop w:val="0"/>
      <w:marBottom w:val="0"/>
      <w:divBdr>
        <w:top w:val="none" w:sz="0" w:space="0" w:color="auto"/>
        <w:left w:val="none" w:sz="0" w:space="0" w:color="auto"/>
        <w:bottom w:val="none" w:sz="0" w:space="0" w:color="auto"/>
        <w:right w:val="none" w:sz="0" w:space="0" w:color="auto"/>
      </w:divBdr>
    </w:div>
    <w:div w:id="81727579">
      <w:bodyDiv w:val="1"/>
      <w:marLeft w:val="0"/>
      <w:marRight w:val="0"/>
      <w:marTop w:val="0"/>
      <w:marBottom w:val="0"/>
      <w:divBdr>
        <w:top w:val="none" w:sz="0" w:space="0" w:color="auto"/>
        <w:left w:val="none" w:sz="0" w:space="0" w:color="auto"/>
        <w:bottom w:val="none" w:sz="0" w:space="0" w:color="auto"/>
        <w:right w:val="none" w:sz="0" w:space="0" w:color="auto"/>
      </w:divBdr>
    </w:div>
    <w:div w:id="102775435">
      <w:bodyDiv w:val="1"/>
      <w:marLeft w:val="0"/>
      <w:marRight w:val="0"/>
      <w:marTop w:val="0"/>
      <w:marBottom w:val="0"/>
      <w:divBdr>
        <w:top w:val="none" w:sz="0" w:space="0" w:color="auto"/>
        <w:left w:val="none" w:sz="0" w:space="0" w:color="auto"/>
        <w:bottom w:val="none" w:sz="0" w:space="0" w:color="auto"/>
        <w:right w:val="none" w:sz="0" w:space="0" w:color="auto"/>
      </w:divBdr>
    </w:div>
    <w:div w:id="128282721">
      <w:bodyDiv w:val="1"/>
      <w:marLeft w:val="0"/>
      <w:marRight w:val="0"/>
      <w:marTop w:val="0"/>
      <w:marBottom w:val="0"/>
      <w:divBdr>
        <w:top w:val="none" w:sz="0" w:space="0" w:color="auto"/>
        <w:left w:val="none" w:sz="0" w:space="0" w:color="auto"/>
        <w:bottom w:val="none" w:sz="0" w:space="0" w:color="auto"/>
        <w:right w:val="none" w:sz="0" w:space="0" w:color="auto"/>
      </w:divBdr>
    </w:div>
    <w:div w:id="151144281">
      <w:bodyDiv w:val="1"/>
      <w:marLeft w:val="0"/>
      <w:marRight w:val="0"/>
      <w:marTop w:val="0"/>
      <w:marBottom w:val="0"/>
      <w:divBdr>
        <w:top w:val="none" w:sz="0" w:space="0" w:color="auto"/>
        <w:left w:val="none" w:sz="0" w:space="0" w:color="auto"/>
        <w:bottom w:val="none" w:sz="0" w:space="0" w:color="auto"/>
        <w:right w:val="none" w:sz="0" w:space="0" w:color="auto"/>
      </w:divBdr>
    </w:div>
    <w:div w:id="176585504">
      <w:bodyDiv w:val="1"/>
      <w:marLeft w:val="0"/>
      <w:marRight w:val="0"/>
      <w:marTop w:val="0"/>
      <w:marBottom w:val="0"/>
      <w:divBdr>
        <w:top w:val="none" w:sz="0" w:space="0" w:color="auto"/>
        <w:left w:val="none" w:sz="0" w:space="0" w:color="auto"/>
        <w:bottom w:val="none" w:sz="0" w:space="0" w:color="auto"/>
        <w:right w:val="none" w:sz="0" w:space="0" w:color="auto"/>
      </w:divBdr>
    </w:div>
    <w:div w:id="227503024">
      <w:bodyDiv w:val="1"/>
      <w:marLeft w:val="0"/>
      <w:marRight w:val="0"/>
      <w:marTop w:val="0"/>
      <w:marBottom w:val="0"/>
      <w:divBdr>
        <w:top w:val="none" w:sz="0" w:space="0" w:color="auto"/>
        <w:left w:val="none" w:sz="0" w:space="0" w:color="auto"/>
        <w:bottom w:val="none" w:sz="0" w:space="0" w:color="auto"/>
        <w:right w:val="none" w:sz="0" w:space="0" w:color="auto"/>
      </w:divBdr>
    </w:div>
    <w:div w:id="288979745">
      <w:bodyDiv w:val="1"/>
      <w:marLeft w:val="0"/>
      <w:marRight w:val="0"/>
      <w:marTop w:val="0"/>
      <w:marBottom w:val="0"/>
      <w:divBdr>
        <w:top w:val="none" w:sz="0" w:space="0" w:color="auto"/>
        <w:left w:val="none" w:sz="0" w:space="0" w:color="auto"/>
        <w:bottom w:val="none" w:sz="0" w:space="0" w:color="auto"/>
        <w:right w:val="none" w:sz="0" w:space="0" w:color="auto"/>
      </w:divBdr>
    </w:div>
    <w:div w:id="308289067">
      <w:bodyDiv w:val="1"/>
      <w:marLeft w:val="0"/>
      <w:marRight w:val="0"/>
      <w:marTop w:val="0"/>
      <w:marBottom w:val="0"/>
      <w:divBdr>
        <w:top w:val="none" w:sz="0" w:space="0" w:color="auto"/>
        <w:left w:val="none" w:sz="0" w:space="0" w:color="auto"/>
        <w:bottom w:val="none" w:sz="0" w:space="0" w:color="auto"/>
        <w:right w:val="none" w:sz="0" w:space="0" w:color="auto"/>
      </w:divBdr>
    </w:div>
    <w:div w:id="316232774">
      <w:bodyDiv w:val="1"/>
      <w:marLeft w:val="0"/>
      <w:marRight w:val="0"/>
      <w:marTop w:val="0"/>
      <w:marBottom w:val="0"/>
      <w:divBdr>
        <w:top w:val="none" w:sz="0" w:space="0" w:color="auto"/>
        <w:left w:val="none" w:sz="0" w:space="0" w:color="auto"/>
        <w:bottom w:val="none" w:sz="0" w:space="0" w:color="auto"/>
        <w:right w:val="none" w:sz="0" w:space="0" w:color="auto"/>
      </w:divBdr>
    </w:div>
    <w:div w:id="329676218">
      <w:bodyDiv w:val="1"/>
      <w:marLeft w:val="0"/>
      <w:marRight w:val="0"/>
      <w:marTop w:val="0"/>
      <w:marBottom w:val="0"/>
      <w:divBdr>
        <w:top w:val="none" w:sz="0" w:space="0" w:color="auto"/>
        <w:left w:val="none" w:sz="0" w:space="0" w:color="auto"/>
        <w:bottom w:val="none" w:sz="0" w:space="0" w:color="auto"/>
        <w:right w:val="none" w:sz="0" w:space="0" w:color="auto"/>
      </w:divBdr>
    </w:div>
    <w:div w:id="334918635">
      <w:bodyDiv w:val="1"/>
      <w:marLeft w:val="0"/>
      <w:marRight w:val="0"/>
      <w:marTop w:val="0"/>
      <w:marBottom w:val="0"/>
      <w:divBdr>
        <w:top w:val="none" w:sz="0" w:space="0" w:color="auto"/>
        <w:left w:val="none" w:sz="0" w:space="0" w:color="auto"/>
        <w:bottom w:val="none" w:sz="0" w:space="0" w:color="auto"/>
        <w:right w:val="none" w:sz="0" w:space="0" w:color="auto"/>
      </w:divBdr>
    </w:div>
    <w:div w:id="369840958">
      <w:bodyDiv w:val="1"/>
      <w:marLeft w:val="0"/>
      <w:marRight w:val="0"/>
      <w:marTop w:val="0"/>
      <w:marBottom w:val="0"/>
      <w:divBdr>
        <w:top w:val="none" w:sz="0" w:space="0" w:color="auto"/>
        <w:left w:val="none" w:sz="0" w:space="0" w:color="auto"/>
        <w:bottom w:val="none" w:sz="0" w:space="0" w:color="auto"/>
        <w:right w:val="none" w:sz="0" w:space="0" w:color="auto"/>
      </w:divBdr>
    </w:div>
    <w:div w:id="372853341">
      <w:bodyDiv w:val="1"/>
      <w:marLeft w:val="0"/>
      <w:marRight w:val="0"/>
      <w:marTop w:val="0"/>
      <w:marBottom w:val="0"/>
      <w:divBdr>
        <w:top w:val="none" w:sz="0" w:space="0" w:color="auto"/>
        <w:left w:val="none" w:sz="0" w:space="0" w:color="auto"/>
        <w:bottom w:val="none" w:sz="0" w:space="0" w:color="auto"/>
        <w:right w:val="none" w:sz="0" w:space="0" w:color="auto"/>
      </w:divBdr>
    </w:div>
    <w:div w:id="384333553">
      <w:bodyDiv w:val="1"/>
      <w:marLeft w:val="0"/>
      <w:marRight w:val="0"/>
      <w:marTop w:val="0"/>
      <w:marBottom w:val="0"/>
      <w:divBdr>
        <w:top w:val="none" w:sz="0" w:space="0" w:color="auto"/>
        <w:left w:val="none" w:sz="0" w:space="0" w:color="auto"/>
        <w:bottom w:val="none" w:sz="0" w:space="0" w:color="auto"/>
        <w:right w:val="none" w:sz="0" w:space="0" w:color="auto"/>
      </w:divBdr>
    </w:div>
    <w:div w:id="421529723">
      <w:bodyDiv w:val="1"/>
      <w:marLeft w:val="0"/>
      <w:marRight w:val="0"/>
      <w:marTop w:val="0"/>
      <w:marBottom w:val="0"/>
      <w:divBdr>
        <w:top w:val="none" w:sz="0" w:space="0" w:color="auto"/>
        <w:left w:val="none" w:sz="0" w:space="0" w:color="auto"/>
        <w:bottom w:val="none" w:sz="0" w:space="0" w:color="auto"/>
        <w:right w:val="none" w:sz="0" w:space="0" w:color="auto"/>
      </w:divBdr>
    </w:div>
    <w:div w:id="435828859">
      <w:bodyDiv w:val="1"/>
      <w:marLeft w:val="0"/>
      <w:marRight w:val="0"/>
      <w:marTop w:val="0"/>
      <w:marBottom w:val="0"/>
      <w:divBdr>
        <w:top w:val="none" w:sz="0" w:space="0" w:color="auto"/>
        <w:left w:val="none" w:sz="0" w:space="0" w:color="auto"/>
        <w:bottom w:val="none" w:sz="0" w:space="0" w:color="auto"/>
        <w:right w:val="none" w:sz="0" w:space="0" w:color="auto"/>
      </w:divBdr>
    </w:div>
    <w:div w:id="480510006">
      <w:bodyDiv w:val="1"/>
      <w:marLeft w:val="0"/>
      <w:marRight w:val="0"/>
      <w:marTop w:val="0"/>
      <w:marBottom w:val="0"/>
      <w:divBdr>
        <w:top w:val="none" w:sz="0" w:space="0" w:color="auto"/>
        <w:left w:val="none" w:sz="0" w:space="0" w:color="auto"/>
        <w:bottom w:val="none" w:sz="0" w:space="0" w:color="auto"/>
        <w:right w:val="none" w:sz="0" w:space="0" w:color="auto"/>
      </w:divBdr>
    </w:div>
    <w:div w:id="485166356">
      <w:bodyDiv w:val="1"/>
      <w:marLeft w:val="0"/>
      <w:marRight w:val="0"/>
      <w:marTop w:val="0"/>
      <w:marBottom w:val="0"/>
      <w:divBdr>
        <w:top w:val="none" w:sz="0" w:space="0" w:color="auto"/>
        <w:left w:val="none" w:sz="0" w:space="0" w:color="auto"/>
        <w:bottom w:val="none" w:sz="0" w:space="0" w:color="auto"/>
        <w:right w:val="none" w:sz="0" w:space="0" w:color="auto"/>
      </w:divBdr>
    </w:div>
    <w:div w:id="496924100">
      <w:bodyDiv w:val="1"/>
      <w:marLeft w:val="0"/>
      <w:marRight w:val="0"/>
      <w:marTop w:val="0"/>
      <w:marBottom w:val="0"/>
      <w:divBdr>
        <w:top w:val="none" w:sz="0" w:space="0" w:color="auto"/>
        <w:left w:val="none" w:sz="0" w:space="0" w:color="auto"/>
        <w:bottom w:val="none" w:sz="0" w:space="0" w:color="auto"/>
        <w:right w:val="none" w:sz="0" w:space="0" w:color="auto"/>
      </w:divBdr>
    </w:div>
    <w:div w:id="554007295">
      <w:bodyDiv w:val="1"/>
      <w:marLeft w:val="0"/>
      <w:marRight w:val="0"/>
      <w:marTop w:val="0"/>
      <w:marBottom w:val="0"/>
      <w:divBdr>
        <w:top w:val="none" w:sz="0" w:space="0" w:color="auto"/>
        <w:left w:val="none" w:sz="0" w:space="0" w:color="auto"/>
        <w:bottom w:val="none" w:sz="0" w:space="0" w:color="auto"/>
        <w:right w:val="none" w:sz="0" w:space="0" w:color="auto"/>
      </w:divBdr>
    </w:div>
    <w:div w:id="563761236">
      <w:bodyDiv w:val="1"/>
      <w:marLeft w:val="0"/>
      <w:marRight w:val="0"/>
      <w:marTop w:val="0"/>
      <w:marBottom w:val="0"/>
      <w:divBdr>
        <w:top w:val="none" w:sz="0" w:space="0" w:color="auto"/>
        <w:left w:val="none" w:sz="0" w:space="0" w:color="auto"/>
        <w:bottom w:val="none" w:sz="0" w:space="0" w:color="auto"/>
        <w:right w:val="none" w:sz="0" w:space="0" w:color="auto"/>
      </w:divBdr>
    </w:div>
    <w:div w:id="595216860">
      <w:bodyDiv w:val="1"/>
      <w:marLeft w:val="0"/>
      <w:marRight w:val="0"/>
      <w:marTop w:val="0"/>
      <w:marBottom w:val="0"/>
      <w:divBdr>
        <w:top w:val="none" w:sz="0" w:space="0" w:color="auto"/>
        <w:left w:val="none" w:sz="0" w:space="0" w:color="auto"/>
        <w:bottom w:val="none" w:sz="0" w:space="0" w:color="auto"/>
        <w:right w:val="none" w:sz="0" w:space="0" w:color="auto"/>
      </w:divBdr>
    </w:div>
    <w:div w:id="598638125">
      <w:bodyDiv w:val="1"/>
      <w:marLeft w:val="0"/>
      <w:marRight w:val="0"/>
      <w:marTop w:val="0"/>
      <w:marBottom w:val="0"/>
      <w:divBdr>
        <w:top w:val="none" w:sz="0" w:space="0" w:color="auto"/>
        <w:left w:val="none" w:sz="0" w:space="0" w:color="auto"/>
        <w:bottom w:val="none" w:sz="0" w:space="0" w:color="auto"/>
        <w:right w:val="none" w:sz="0" w:space="0" w:color="auto"/>
      </w:divBdr>
    </w:div>
    <w:div w:id="602107697">
      <w:bodyDiv w:val="1"/>
      <w:marLeft w:val="0"/>
      <w:marRight w:val="0"/>
      <w:marTop w:val="0"/>
      <w:marBottom w:val="0"/>
      <w:divBdr>
        <w:top w:val="none" w:sz="0" w:space="0" w:color="auto"/>
        <w:left w:val="none" w:sz="0" w:space="0" w:color="auto"/>
        <w:bottom w:val="none" w:sz="0" w:space="0" w:color="auto"/>
        <w:right w:val="none" w:sz="0" w:space="0" w:color="auto"/>
      </w:divBdr>
    </w:div>
    <w:div w:id="616566439">
      <w:bodyDiv w:val="1"/>
      <w:marLeft w:val="0"/>
      <w:marRight w:val="0"/>
      <w:marTop w:val="0"/>
      <w:marBottom w:val="0"/>
      <w:divBdr>
        <w:top w:val="none" w:sz="0" w:space="0" w:color="auto"/>
        <w:left w:val="none" w:sz="0" w:space="0" w:color="auto"/>
        <w:bottom w:val="none" w:sz="0" w:space="0" w:color="auto"/>
        <w:right w:val="none" w:sz="0" w:space="0" w:color="auto"/>
      </w:divBdr>
    </w:div>
    <w:div w:id="617957878">
      <w:bodyDiv w:val="1"/>
      <w:marLeft w:val="0"/>
      <w:marRight w:val="0"/>
      <w:marTop w:val="0"/>
      <w:marBottom w:val="0"/>
      <w:divBdr>
        <w:top w:val="none" w:sz="0" w:space="0" w:color="auto"/>
        <w:left w:val="none" w:sz="0" w:space="0" w:color="auto"/>
        <w:bottom w:val="none" w:sz="0" w:space="0" w:color="auto"/>
        <w:right w:val="none" w:sz="0" w:space="0" w:color="auto"/>
      </w:divBdr>
    </w:div>
    <w:div w:id="624040467">
      <w:bodyDiv w:val="1"/>
      <w:marLeft w:val="0"/>
      <w:marRight w:val="0"/>
      <w:marTop w:val="0"/>
      <w:marBottom w:val="0"/>
      <w:divBdr>
        <w:top w:val="none" w:sz="0" w:space="0" w:color="auto"/>
        <w:left w:val="none" w:sz="0" w:space="0" w:color="auto"/>
        <w:bottom w:val="none" w:sz="0" w:space="0" w:color="auto"/>
        <w:right w:val="none" w:sz="0" w:space="0" w:color="auto"/>
      </w:divBdr>
    </w:div>
    <w:div w:id="643001977">
      <w:bodyDiv w:val="1"/>
      <w:marLeft w:val="0"/>
      <w:marRight w:val="0"/>
      <w:marTop w:val="0"/>
      <w:marBottom w:val="0"/>
      <w:divBdr>
        <w:top w:val="none" w:sz="0" w:space="0" w:color="auto"/>
        <w:left w:val="none" w:sz="0" w:space="0" w:color="auto"/>
        <w:bottom w:val="none" w:sz="0" w:space="0" w:color="auto"/>
        <w:right w:val="none" w:sz="0" w:space="0" w:color="auto"/>
      </w:divBdr>
    </w:div>
    <w:div w:id="649670520">
      <w:bodyDiv w:val="1"/>
      <w:marLeft w:val="0"/>
      <w:marRight w:val="0"/>
      <w:marTop w:val="0"/>
      <w:marBottom w:val="0"/>
      <w:divBdr>
        <w:top w:val="none" w:sz="0" w:space="0" w:color="auto"/>
        <w:left w:val="none" w:sz="0" w:space="0" w:color="auto"/>
        <w:bottom w:val="none" w:sz="0" w:space="0" w:color="auto"/>
        <w:right w:val="none" w:sz="0" w:space="0" w:color="auto"/>
      </w:divBdr>
    </w:div>
    <w:div w:id="654720165">
      <w:bodyDiv w:val="1"/>
      <w:marLeft w:val="0"/>
      <w:marRight w:val="0"/>
      <w:marTop w:val="0"/>
      <w:marBottom w:val="0"/>
      <w:divBdr>
        <w:top w:val="none" w:sz="0" w:space="0" w:color="auto"/>
        <w:left w:val="none" w:sz="0" w:space="0" w:color="auto"/>
        <w:bottom w:val="none" w:sz="0" w:space="0" w:color="auto"/>
        <w:right w:val="none" w:sz="0" w:space="0" w:color="auto"/>
      </w:divBdr>
    </w:div>
    <w:div w:id="732779178">
      <w:bodyDiv w:val="1"/>
      <w:marLeft w:val="0"/>
      <w:marRight w:val="0"/>
      <w:marTop w:val="0"/>
      <w:marBottom w:val="0"/>
      <w:divBdr>
        <w:top w:val="none" w:sz="0" w:space="0" w:color="auto"/>
        <w:left w:val="none" w:sz="0" w:space="0" w:color="auto"/>
        <w:bottom w:val="none" w:sz="0" w:space="0" w:color="auto"/>
        <w:right w:val="none" w:sz="0" w:space="0" w:color="auto"/>
      </w:divBdr>
    </w:div>
    <w:div w:id="747725718">
      <w:bodyDiv w:val="1"/>
      <w:marLeft w:val="0"/>
      <w:marRight w:val="0"/>
      <w:marTop w:val="0"/>
      <w:marBottom w:val="0"/>
      <w:divBdr>
        <w:top w:val="none" w:sz="0" w:space="0" w:color="auto"/>
        <w:left w:val="none" w:sz="0" w:space="0" w:color="auto"/>
        <w:bottom w:val="none" w:sz="0" w:space="0" w:color="auto"/>
        <w:right w:val="none" w:sz="0" w:space="0" w:color="auto"/>
      </w:divBdr>
    </w:div>
    <w:div w:id="759915723">
      <w:bodyDiv w:val="1"/>
      <w:marLeft w:val="0"/>
      <w:marRight w:val="0"/>
      <w:marTop w:val="0"/>
      <w:marBottom w:val="0"/>
      <w:divBdr>
        <w:top w:val="none" w:sz="0" w:space="0" w:color="auto"/>
        <w:left w:val="none" w:sz="0" w:space="0" w:color="auto"/>
        <w:bottom w:val="none" w:sz="0" w:space="0" w:color="auto"/>
        <w:right w:val="none" w:sz="0" w:space="0" w:color="auto"/>
      </w:divBdr>
    </w:div>
    <w:div w:id="772360909">
      <w:bodyDiv w:val="1"/>
      <w:marLeft w:val="0"/>
      <w:marRight w:val="0"/>
      <w:marTop w:val="0"/>
      <w:marBottom w:val="0"/>
      <w:divBdr>
        <w:top w:val="none" w:sz="0" w:space="0" w:color="auto"/>
        <w:left w:val="none" w:sz="0" w:space="0" w:color="auto"/>
        <w:bottom w:val="none" w:sz="0" w:space="0" w:color="auto"/>
        <w:right w:val="none" w:sz="0" w:space="0" w:color="auto"/>
      </w:divBdr>
    </w:div>
    <w:div w:id="781802999">
      <w:bodyDiv w:val="1"/>
      <w:marLeft w:val="0"/>
      <w:marRight w:val="0"/>
      <w:marTop w:val="0"/>
      <w:marBottom w:val="0"/>
      <w:divBdr>
        <w:top w:val="none" w:sz="0" w:space="0" w:color="auto"/>
        <w:left w:val="none" w:sz="0" w:space="0" w:color="auto"/>
        <w:bottom w:val="none" w:sz="0" w:space="0" w:color="auto"/>
        <w:right w:val="none" w:sz="0" w:space="0" w:color="auto"/>
      </w:divBdr>
    </w:div>
    <w:div w:id="799687933">
      <w:bodyDiv w:val="1"/>
      <w:marLeft w:val="0"/>
      <w:marRight w:val="0"/>
      <w:marTop w:val="0"/>
      <w:marBottom w:val="0"/>
      <w:divBdr>
        <w:top w:val="none" w:sz="0" w:space="0" w:color="auto"/>
        <w:left w:val="none" w:sz="0" w:space="0" w:color="auto"/>
        <w:bottom w:val="none" w:sz="0" w:space="0" w:color="auto"/>
        <w:right w:val="none" w:sz="0" w:space="0" w:color="auto"/>
      </w:divBdr>
    </w:div>
    <w:div w:id="823200171">
      <w:bodyDiv w:val="1"/>
      <w:marLeft w:val="0"/>
      <w:marRight w:val="0"/>
      <w:marTop w:val="0"/>
      <w:marBottom w:val="0"/>
      <w:divBdr>
        <w:top w:val="none" w:sz="0" w:space="0" w:color="auto"/>
        <w:left w:val="none" w:sz="0" w:space="0" w:color="auto"/>
        <w:bottom w:val="none" w:sz="0" w:space="0" w:color="auto"/>
        <w:right w:val="none" w:sz="0" w:space="0" w:color="auto"/>
      </w:divBdr>
    </w:div>
    <w:div w:id="839932014">
      <w:bodyDiv w:val="1"/>
      <w:marLeft w:val="0"/>
      <w:marRight w:val="0"/>
      <w:marTop w:val="0"/>
      <w:marBottom w:val="0"/>
      <w:divBdr>
        <w:top w:val="none" w:sz="0" w:space="0" w:color="auto"/>
        <w:left w:val="none" w:sz="0" w:space="0" w:color="auto"/>
        <w:bottom w:val="none" w:sz="0" w:space="0" w:color="auto"/>
        <w:right w:val="none" w:sz="0" w:space="0" w:color="auto"/>
      </w:divBdr>
    </w:div>
    <w:div w:id="881594643">
      <w:bodyDiv w:val="1"/>
      <w:marLeft w:val="0"/>
      <w:marRight w:val="0"/>
      <w:marTop w:val="0"/>
      <w:marBottom w:val="0"/>
      <w:divBdr>
        <w:top w:val="none" w:sz="0" w:space="0" w:color="auto"/>
        <w:left w:val="none" w:sz="0" w:space="0" w:color="auto"/>
        <w:bottom w:val="none" w:sz="0" w:space="0" w:color="auto"/>
        <w:right w:val="none" w:sz="0" w:space="0" w:color="auto"/>
      </w:divBdr>
    </w:div>
    <w:div w:id="889657503">
      <w:bodyDiv w:val="1"/>
      <w:marLeft w:val="0"/>
      <w:marRight w:val="0"/>
      <w:marTop w:val="0"/>
      <w:marBottom w:val="0"/>
      <w:divBdr>
        <w:top w:val="none" w:sz="0" w:space="0" w:color="auto"/>
        <w:left w:val="none" w:sz="0" w:space="0" w:color="auto"/>
        <w:bottom w:val="none" w:sz="0" w:space="0" w:color="auto"/>
        <w:right w:val="none" w:sz="0" w:space="0" w:color="auto"/>
      </w:divBdr>
    </w:div>
    <w:div w:id="931819604">
      <w:bodyDiv w:val="1"/>
      <w:marLeft w:val="0"/>
      <w:marRight w:val="0"/>
      <w:marTop w:val="0"/>
      <w:marBottom w:val="0"/>
      <w:divBdr>
        <w:top w:val="none" w:sz="0" w:space="0" w:color="auto"/>
        <w:left w:val="none" w:sz="0" w:space="0" w:color="auto"/>
        <w:bottom w:val="none" w:sz="0" w:space="0" w:color="auto"/>
        <w:right w:val="none" w:sz="0" w:space="0" w:color="auto"/>
      </w:divBdr>
    </w:div>
    <w:div w:id="972520130">
      <w:bodyDiv w:val="1"/>
      <w:marLeft w:val="0"/>
      <w:marRight w:val="0"/>
      <w:marTop w:val="0"/>
      <w:marBottom w:val="0"/>
      <w:divBdr>
        <w:top w:val="none" w:sz="0" w:space="0" w:color="auto"/>
        <w:left w:val="none" w:sz="0" w:space="0" w:color="auto"/>
        <w:bottom w:val="none" w:sz="0" w:space="0" w:color="auto"/>
        <w:right w:val="none" w:sz="0" w:space="0" w:color="auto"/>
      </w:divBdr>
    </w:div>
    <w:div w:id="974020019">
      <w:bodyDiv w:val="1"/>
      <w:marLeft w:val="0"/>
      <w:marRight w:val="0"/>
      <w:marTop w:val="0"/>
      <w:marBottom w:val="0"/>
      <w:divBdr>
        <w:top w:val="none" w:sz="0" w:space="0" w:color="auto"/>
        <w:left w:val="none" w:sz="0" w:space="0" w:color="auto"/>
        <w:bottom w:val="none" w:sz="0" w:space="0" w:color="auto"/>
        <w:right w:val="none" w:sz="0" w:space="0" w:color="auto"/>
      </w:divBdr>
    </w:div>
    <w:div w:id="985009250">
      <w:bodyDiv w:val="1"/>
      <w:marLeft w:val="0"/>
      <w:marRight w:val="0"/>
      <w:marTop w:val="0"/>
      <w:marBottom w:val="0"/>
      <w:divBdr>
        <w:top w:val="none" w:sz="0" w:space="0" w:color="auto"/>
        <w:left w:val="none" w:sz="0" w:space="0" w:color="auto"/>
        <w:bottom w:val="none" w:sz="0" w:space="0" w:color="auto"/>
        <w:right w:val="none" w:sz="0" w:space="0" w:color="auto"/>
      </w:divBdr>
    </w:div>
    <w:div w:id="995913961">
      <w:bodyDiv w:val="1"/>
      <w:marLeft w:val="0"/>
      <w:marRight w:val="0"/>
      <w:marTop w:val="0"/>
      <w:marBottom w:val="0"/>
      <w:divBdr>
        <w:top w:val="none" w:sz="0" w:space="0" w:color="auto"/>
        <w:left w:val="none" w:sz="0" w:space="0" w:color="auto"/>
        <w:bottom w:val="none" w:sz="0" w:space="0" w:color="auto"/>
        <w:right w:val="none" w:sz="0" w:space="0" w:color="auto"/>
      </w:divBdr>
    </w:div>
    <w:div w:id="998266922">
      <w:bodyDiv w:val="1"/>
      <w:marLeft w:val="0"/>
      <w:marRight w:val="0"/>
      <w:marTop w:val="0"/>
      <w:marBottom w:val="0"/>
      <w:divBdr>
        <w:top w:val="none" w:sz="0" w:space="0" w:color="auto"/>
        <w:left w:val="none" w:sz="0" w:space="0" w:color="auto"/>
        <w:bottom w:val="none" w:sz="0" w:space="0" w:color="auto"/>
        <w:right w:val="none" w:sz="0" w:space="0" w:color="auto"/>
      </w:divBdr>
    </w:div>
    <w:div w:id="1004089350">
      <w:bodyDiv w:val="1"/>
      <w:marLeft w:val="0"/>
      <w:marRight w:val="0"/>
      <w:marTop w:val="0"/>
      <w:marBottom w:val="0"/>
      <w:divBdr>
        <w:top w:val="none" w:sz="0" w:space="0" w:color="auto"/>
        <w:left w:val="none" w:sz="0" w:space="0" w:color="auto"/>
        <w:bottom w:val="none" w:sz="0" w:space="0" w:color="auto"/>
        <w:right w:val="none" w:sz="0" w:space="0" w:color="auto"/>
      </w:divBdr>
    </w:div>
    <w:div w:id="1010327264">
      <w:bodyDiv w:val="1"/>
      <w:marLeft w:val="0"/>
      <w:marRight w:val="0"/>
      <w:marTop w:val="0"/>
      <w:marBottom w:val="0"/>
      <w:divBdr>
        <w:top w:val="none" w:sz="0" w:space="0" w:color="auto"/>
        <w:left w:val="none" w:sz="0" w:space="0" w:color="auto"/>
        <w:bottom w:val="none" w:sz="0" w:space="0" w:color="auto"/>
        <w:right w:val="none" w:sz="0" w:space="0" w:color="auto"/>
      </w:divBdr>
    </w:div>
    <w:div w:id="1013991410">
      <w:bodyDiv w:val="1"/>
      <w:marLeft w:val="0"/>
      <w:marRight w:val="0"/>
      <w:marTop w:val="0"/>
      <w:marBottom w:val="0"/>
      <w:divBdr>
        <w:top w:val="none" w:sz="0" w:space="0" w:color="auto"/>
        <w:left w:val="none" w:sz="0" w:space="0" w:color="auto"/>
        <w:bottom w:val="none" w:sz="0" w:space="0" w:color="auto"/>
        <w:right w:val="none" w:sz="0" w:space="0" w:color="auto"/>
      </w:divBdr>
    </w:div>
    <w:div w:id="1042487241">
      <w:bodyDiv w:val="1"/>
      <w:marLeft w:val="0"/>
      <w:marRight w:val="0"/>
      <w:marTop w:val="0"/>
      <w:marBottom w:val="0"/>
      <w:divBdr>
        <w:top w:val="none" w:sz="0" w:space="0" w:color="auto"/>
        <w:left w:val="none" w:sz="0" w:space="0" w:color="auto"/>
        <w:bottom w:val="none" w:sz="0" w:space="0" w:color="auto"/>
        <w:right w:val="none" w:sz="0" w:space="0" w:color="auto"/>
      </w:divBdr>
    </w:div>
    <w:div w:id="1063606255">
      <w:bodyDiv w:val="1"/>
      <w:marLeft w:val="0"/>
      <w:marRight w:val="0"/>
      <w:marTop w:val="0"/>
      <w:marBottom w:val="0"/>
      <w:divBdr>
        <w:top w:val="none" w:sz="0" w:space="0" w:color="auto"/>
        <w:left w:val="none" w:sz="0" w:space="0" w:color="auto"/>
        <w:bottom w:val="none" w:sz="0" w:space="0" w:color="auto"/>
        <w:right w:val="none" w:sz="0" w:space="0" w:color="auto"/>
      </w:divBdr>
    </w:div>
    <w:div w:id="1089237109">
      <w:bodyDiv w:val="1"/>
      <w:marLeft w:val="0"/>
      <w:marRight w:val="0"/>
      <w:marTop w:val="0"/>
      <w:marBottom w:val="0"/>
      <w:divBdr>
        <w:top w:val="none" w:sz="0" w:space="0" w:color="auto"/>
        <w:left w:val="none" w:sz="0" w:space="0" w:color="auto"/>
        <w:bottom w:val="none" w:sz="0" w:space="0" w:color="auto"/>
        <w:right w:val="none" w:sz="0" w:space="0" w:color="auto"/>
      </w:divBdr>
    </w:div>
    <w:div w:id="1118530373">
      <w:bodyDiv w:val="1"/>
      <w:marLeft w:val="0"/>
      <w:marRight w:val="0"/>
      <w:marTop w:val="0"/>
      <w:marBottom w:val="0"/>
      <w:divBdr>
        <w:top w:val="none" w:sz="0" w:space="0" w:color="auto"/>
        <w:left w:val="none" w:sz="0" w:space="0" w:color="auto"/>
        <w:bottom w:val="none" w:sz="0" w:space="0" w:color="auto"/>
        <w:right w:val="none" w:sz="0" w:space="0" w:color="auto"/>
      </w:divBdr>
    </w:div>
    <w:div w:id="1143158612">
      <w:bodyDiv w:val="1"/>
      <w:marLeft w:val="0"/>
      <w:marRight w:val="0"/>
      <w:marTop w:val="0"/>
      <w:marBottom w:val="0"/>
      <w:divBdr>
        <w:top w:val="none" w:sz="0" w:space="0" w:color="auto"/>
        <w:left w:val="none" w:sz="0" w:space="0" w:color="auto"/>
        <w:bottom w:val="none" w:sz="0" w:space="0" w:color="auto"/>
        <w:right w:val="none" w:sz="0" w:space="0" w:color="auto"/>
      </w:divBdr>
    </w:div>
    <w:div w:id="1153639422">
      <w:bodyDiv w:val="1"/>
      <w:marLeft w:val="0"/>
      <w:marRight w:val="0"/>
      <w:marTop w:val="0"/>
      <w:marBottom w:val="0"/>
      <w:divBdr>
        <w:top w:val="none" w:sz="0" w:space="0" w:color="auto"/>
        <w:left w:val="none" w:sz="0" w:space="0" w:color="auto"/>
        <w:bottom w:val="none" w:sz="0" w:space="0" w:color="auto"/>
        <w:right w:val="none" w:sz="0" w:space="0" w:color="auto"/>
      </w:divBdr>
    </w:div>
    <w:div w:id="1202128013">
      <w:bodyDiv w:val="1"/>
      <w:marLeft w:val="0"/>
      <w:marRight w:val="0"/>
      <w:marTop w:val="0"/>
      <w:marBottom w:val="0"/>
      <w:divBdr>
        <w:top w:val="none" w:sz="0" w:space="0" w:color="auto"/>
        <w:left w:val="none" w:sz="0" w:space="0" w:color="auto"/>
        <w:bottom w:val="none" w:sz="0" w:space="0" w:color="auto"/>
        <w:right w:val="none" w:sz="0" w:space="0" w:color="auto"/>
      </w:divBdr>
    </w:div>
    <w:div w:id="1223637782">
      <w:bodyDiv w:val="1"/>
      <w:marLeft w:val="0"/>
      <w:marRight w:val="0"/>
      <w:marTop w:val="0"/>
      <w:marBottom w:val="0"/>
      <w:divBdr>
        <w:top w:val="none" w:sz="0" w:space="0" w:color="auto"/>
        <w:left w:val="none" w:sz="0" w:space="0" w:color="auto"/>
        <w:bottom w:val="none" w:sz="0" w:space="0" w:color="auto"/>
        <w:right w:val="none" w:sz="0" w:space="0" w:color="auto"/>
      </w:divBdr>
    </w:div>
    <w:div w:id="1268974421">
      <w:bodyDiv w:val="1"/>
      <w:marLeft w:val="0"/>
      <w:marRight w:val="0"/>
      <w:marTop w:val="0"/>
      <w:marBottom w:val="0"/>
      <w:divBdr>
        <w:top w:val="none" w:sz="0" w:space="0" w:color="auto"/>
        <w:left w:val="none" w:sz="0" w:space="0" w:color="auto"/>
        <w:bottom w:val="none" w:sz="0" w:space="0" w:color="auto"/>
        <w:right w:val="none" w:sz="0" w:space="0" w:color="auto"/>
      </w:divBdr>
    </w:div>
    <w:div w:id="1298101642">
      <w:bodyDiv w:val="1"/>
      <w:marLeft w:val="0"/>
      <w:marRight w:val="0"/>
      <w:marTop w:val="0"/>
      <w:marBottom w:val="0"/>
      <w:divBdr>
        <w:top w:val="none" w:sz="0" w:space="0" w:color="auto"/>
        <w:left w:val="none" w:sz="0" w:space="0" w:color="auto"/>
        <w:bottom w:val="none" w:sz="0" w:space="0" w:color="auto"/>
        <w:right w:val="none" w:sz="0" w:space="0" w:color="auto"/>
      </w:divBdr>
    </w:div>
    <w:div w:id="1302609780">
      <w:bodyDiv w:val="1"/>
      <w:marLeft w:val="0"/>
      <w:marRight w:val="0"/>
      <w:marTop w:val="0"/>
      <w:marBottom w:val="0"/>
      <w:divBdr>
        <w:top w:val="none" w:sz="0" w:space="0" w:color="auto"/>
        <w:left w:val="none" w:sz="0" w:space="0" w:color="auto"/>
        <w:bottom w:val="none" w:sz="0" w:space="0" w:color="auto"/>
        <w:right w:val="none" w:sz="0" w:space="0" w:color="auto"/>
      </w:divBdr>
    </w:div>
    <w:div w:id="1309632131">
      <w:bodyDiv w:val="1"/>
      <w:marLeft w:val="0"/>
      <w:marRight w:val="0"/>
      <w:marTop w:val="0"/>
      <w:marBottom w:val="0"/>
      <w:divBdr>
        <w:top w:val="none" w:sz="0" w:space="0" w:color="auto"/>
        <w:left w:val="none" w:sz="0" w:space="0" w:color="auto"/>
        <w:bottom w:val="none" w:sz="0" w:space="0" w:color="auto"/>
        <w:right w:val="none" w:sz="0" w:space="0" w:color="auto"/>
      </w:divBdr>
    </w:div>
    <w:div w:id="1314480965">
      <w:bodyDiv w:val="1"/>
      <w:marLeft w:val="0"/>
      <w:marRight w:val="0"/>
      <w:marTop w:val="0"/>
      <w:marBottom w:val="0"/>
      <w:divBdr>
        <w:top w:val="none" w:sz="0" w:space="0" w:color="auto"/>
        <w:left w:val="none" w:sz="0" w:space="0" w:color="auto"/>
        <w:bottom w:val="none" w:sz="0" w:space="0" w:color="auto"/>
        <w:right w:val="none" w:sz="0" w:space="0" w:color="auto"/>
      </w:divBdr>
    </w:div>
    <w:div w:id="1320622064">
      <w:bodyDiv w:val="1"/>
      <w:marLeft w:val="0"/>
      <w:marRight w:val="0"/>
      <w:marTop w:val="0"/>
      <w:marBottom w:val="0"/>
      <w:divBdr>
        <w:top w:val="none" w:sz="0" w:space="0" w:color="auto"/>
        <w:left w:val="none" w:sz="0" w:space="0" w:color="auto"/>
        <w:bottom w:val="none" w:sz="0" w:space="0" w:color="auto"/>
        <w:right w:val="none" w:sz="0" w:space="0" w:color="auto"/>
      </w:divBdr>
    </w:div>
    <w:div w:id="1350837666">
      <w:bodyDiv w:val="1"/>
      <w:marLeft w:val="0"/>
      <w:marRight w:val="0"/>
      <w:marTop w:val="0"/>
      <w:marBottom w:val="0"/>
      <w:divBdr>
        <w:top w:val="none" w:sz="0" w:space="0" w:color="auto"/>
        <w:left w:val="none" w:sz="0" w:space="0" w:color="auto"/>
        <w:bottom w:val="none" w:sz="0" w:space="0" w:color="auto"/>
        <w:right w:val="none" w:sz="0" w:space="0" w:color="auto"/>
      </w:divBdr>
    </w:div>
    <w:div w:id="1423187904">
      <w:bodyDiv w:val="1"/>
      <w:marLeft w:val="0"/>
      <w:marRight w:val="0"/>
      <w:marTop w:val="0"/>
      <w:marBottom w:val="0"/>
      <w:divBdr>
        <w:top w:val="none" w:sz="0" w:space="0" w:color="auto"/>
        <w:left w:val="none" w:sz="0" w:space="0" w:color="auto"/>
        <w:bottom w:val="none" w:sz="0" w:space="0" w:color="auto"/>
        <w:right w:val="none" w:sz="0" w:space="0" w:color="auto"/>
      </w:divBdr>
    </w:div>
    <w:div w:id="1429081427">
      <w:bodyDiv w:val="1"/>
      <w:marLeft w:val="0"/>
      <w:marRight w:val="0"/>
      <w:marTop w:val="0"/>
      <w:marBottom w:val="0"/>
      <w:divBdr>
        <w:top w:val="none" w:sz="0" w:space="0" w:color="auto"/>
        <w:left w:val="none" w:sz="0" w:space="0" w:color="auto"/>
        <w:bottom w:val="none" w:sz="0" w:space="0" w:color="auto"/>
        <w:right w:val="none" w:sz="0" w:space="0" w:color="auto"/>
      </w:divBdr>
    </w:div>
    <w:div w:id="1443110561">
      <w:bodyDiv w:val="1"/>
      <w:marLeft w:val="0"/>
      <w:marRight w:val="0"/>
      <w:marTop w:val="0"/>
      <w:marBottom w:val="0"/>
      <w:divBdr>
        <w:top w:val="none" w:sz="0" w:space="0" w:color="auto"/>
        <w:left w:val="none" w:sz="0" w:space="0" w:color="auto"/>
        <w:bottom w:val="none" w:sz="0" w:space="0" w:color="auto"/>
        <w:right w:val="none" w:sz="0" w:space="0" w:color="auto"/>
      </w:divBdr>
    </w:div>
    <w:div w:id="1443500271">
      <w:bodyDiv w:val="1"/>
      <w:marLeft w:val="0"/>
      <w:marRight w:val="0"/>
      <w:marTop w:val="0"/>
      <w:marBottom w:val="0"/>
      <w:divBdr>
        <w:top w:val="none" w:sz="0" w:space="0" w:color="auto"/>
        <w:left w:val="none" w:sz="0" w:space="0" w:color="auto"/>
        <w:bottom w:val="none" w:sz="0" w:space="0" w:color="auto"/>
        <w:right w:val="none" w:sz="0" w:space="0" w:color="auto"/>
      </w:divBdr>
    </w:div>
    <w:div w:id="1446189168">
      <w:bodyDiv w:val="1"/>
      <w:marLeft w:val="0"/>
      <w:marRight w:val="0"/>
      <w:marTop w:val="0"/>
      <w:marBottom w:val="0"/>
      <w:divBdr>
        <w:top w:val="none" w:sz="0" w:space="0" w:color="auto"/>
        <w:left w:val="none" w:sz="0" w:space="0" w:color="auto"/>
        <w:bottom w:val="none" w:sz="0" w:space="0" w:color="auto"/>
        <w:right w:val="none" w:sz="0" w:space="0" w:color="auto"/>
      </w:divBdr>
    </w:div>
    <w:div w:id="1479758771">
      <w:bodyDiv w:val="1"/>
      <w:marLeft w:val="0"/>
      <w:marRight w:val="0"/>
      <w:marTop w:val="0"/>
      <w:marBottom w:val="0"/>
      <w:divBdr>
        <w:top w:val="none" w:sz="0" w:space="0" w:color="auto"/>
        <w:left w:val="none" w:sz="0" w:space="0" w:color="auto"/>
        <w:bottom w:val="none" w:sz="0" w:space="0" w:color="auto"/>
        <w:right w:val="none" w:sz="0" w:space="0" w:color="auto"/>
      </w:divBdr>
    </w:div>
    <w:div w:id="1494682052">
      <w:bodyDiv w:val="1"/>
      <w:marLeft w:val="0"/>
      <w:marRight w:val="0"/>
      <w:marTop w:val="0"/>
      <w:marBottom w:val="0"/>
      <w:divBdr>
        <w:top w:val="none" w:sz="0" w:space="0" w:color="auto"/>
        <w:left w:val="none" w:sz="0" w:space="0" w:color="auto"/>
        <w:bottom w:val="none" w:sz="0" w:space="0" w:color="auto"/>
        <w:right w:val="none" w:sz="0" w:space="0" w:color="auto"/>
      </w:divBdr>
    </w:div>
    <w:div w:id="1496529735">
      <w:bodyDiv w:val="1"/>
      <w:marLeft w:val="0"/>
      <w:marRight w:val="0"/>
      <w:marTop w:val="0"/>
      <w:marBottom w:val="0"/>
      <w:divBdr>
        <w:top w:val="none" w:sz="0" w:space="0" w:color="auto"/>
        <w:left w:val="none" w:sz="0" w:space="0" w:color="auto"/>
        <w:bottom w:val="none" w:sz="0" w:space="0" w:color="auto"/>
        <w:right w:val="none" w:sz="0" w:space="0" w:color="auto"/>
      </w:divBdr>
    </w:div>
    <w:div w:id="1532961505">
      <w:bodyDiv w:val="1"/>
      <w:marLeft w:val="0"/>
      <w:marRight w:val="0"/>
      <w:marTop w:val="0"/>
      <w:marBottom w:val="0"/>
      <w:divBdr>
        <w:top w:val="none" w:sz="0" w:space="0" w:color="auto"/>
        <w:left w:val="none" w:sz="0" w:space="0" w:color="auto"/>
        <w:bottom w:val="none" w:sz="0" w:space="0" w:color="auto"/>
        <w:right w:val="none" w:sz="0" w:space="0" w:color="auto"/>
      </w:divBdr>
    </w:div>
    <w:div w:id="1593080994">
      <w:bodyDiv w:val="1"/>
      <w:marLeft w:val="0"/>
      <w:marRight w:val="0"/>
      <w:marTop w:val="0"/>
      <w:marBottom w:val="0"/>
      <w:divBdr>
        <w:top w:val="none" w:sz="0" w:space="0" w:color="auto"/>
        <w:left w:val="none" w:sz="0" w:space="0" w:color="auto"/>
        <w:bottom w:val="none" w:sz="0" w:space="0" w:color="auto"/>
        <w:right w:val="none" w:sz="0" w:space="0" w:color="auto"/>
      </w:divBdr>
    </w:div>
    <w:div w:id="1600596566">
      <w:bodyDiv w:val="1"/>
      <w:marLeft w:val="0"/>
      <w:marRight w:val="0"/>
      <w:marTop w:val="0"/>
      <w:marBottom w:val="0"/>
      <w:divBdr>
        <w:top w:val="none" w:sz="0" w:space="0" w:color="auto"/>
        <w:left w:val="none" w:sz="0" w:space="0" w:color="auto"/>
        <w:bottom w:val="none" w:sz="0" w:space="0" w:color="auto"/>
        <w:right w:val="none" w:sz="0" w:space="0" w:color="auto"/>
      </w:divBdr>
    </w:div>
    <w:div w:id="1614239566">
      <w:bodyDiv w:val="1"/>
      <w:marLeft w:val="0"/>
      <w:marRight w:val="0"/>
      <w:marTop w:val="0"/>
      <w:marBottom w:val="0"/>
      <w:divBdr>
        <w:top w:val="none" w:sz="0" w:space="0" w:color="auto"/>
        <w:left w:val="none" w:sz="0" w:space="0" w:color="auto"/>
        <w:bottom w:val="none" w:sz="0" w:space="0" w:color="auto"/>
        <w:right w:val="none" w:sz="0" w:space="0" w:color="auto"/>
      </w:divBdr>
    </w:div>
    <w:div w:id="1688171846">
      <w:bodyDiv w:val="1"/>
      <w:marLeft w:val="0"/>
      <w:marRight w:val="0"/>
      <w:marTop w:val="0"/>
      <w:marBottom w:val="0"/>
      <w:divBdr>
        <w:top w:val="none" w:sz="0" w:space="0" w:color="auto"/>
        <w:left w:val="none" w:sz="0" w:space="0" w:color="auto"/>
        <w:bottom w:val="none" w:sz="0" w:space="0" w:color="auto"/>
        <w:right w:val="none" w:sz="0" w:space="0" w:color="auto"/>
      </w:divBdr>
    </w:div>
    <w:div w:id="1723365310">
      <w:bodyDiv w:val="1"/>
      <w:marLeft w:val="0"/>
      <w:marRight w:val="0"/>
      <w:marTop w:val="0"/>
      <w:marBottom w:val="0"/>
      <w:divBdr>
        <w:top w:val="none" w:sz="0" w:space="0" w:color="auto"/>
        <w:left w:val="none" w:sz="0" w:space="0" w:color="auto"/>
        <w:bottom w:val="none" w:sz="0" w:space="0" w:color="auto"/>
        <w:right w:val="none" w:sz="0" w:space="0" w:color="auto"/>
      </w:divBdr>
    </w:div>
    <w:div w:id="1736465988">
      <w:bodyDiv w:val="1"/>
      <w:marLeft w:val="0"/>
      <w:marRight w:val="0"/>
      <w:marTop w:val="0"/>
      <w:marBottom w:val="0"/>
      <w:divBdr>
        <w:top w:val="none" w:sz="0" w:space="0" w:color="auto"/>
        <w:left w:val="none" w:sz="0" w:space="0" w:color="auto"/>
        <w:bottom w:val="none" w:sz="0" w:space="0" w:color="auto"/>
        <w:right w:val="none" w:sz="0" w:space="0" w:color="auto"/>
      </w:divBdr>
    </w:div>
    <w:div w:id="1738286371">
      <w:bodyDiv w:val="1"/>
      <w:marLeft w:val="0"/>
      <w:marRight w:val="0"/>
      <w:marTop w:val="0"/>
      <w:marBottom w:val="0"/>
      <w:divBdr>
        <w:top w:val="none" w:sz="0" w:space="0" w:color="auto"/>
        <w:left w:val="none" w:sz="0" w:space="0" w:color="auto"/>
        <w:bottom w:val="none" w:sz="0" w:space="0" w:color="auto"/>
        <w:right w:val="none" w:sz="0" w:space="0" w:color="auto"/>
      </w:divBdr>
    </w:div>
    <w:div w:id="1774398480">
      <w:bodyDiv w:val="1"/>
      <w:marLeft w:val="0"/>
      <w:marRight w:val="0"/>
      <w:marTop w:val="0"/>
      <w:marBottom w:val="0"/>
      <w:divBdr>
        <w:top w:val="none" w:sz="0" w:space="0" w:color="auto"/>
        <w:left w:val="none" w:sz="0" w:space="0" w:color="auto"/>
        <w:bottom w:val="none" w:sz="0" w:space="0" w:color="auto"/>
        <w:right w:val="none" w:sz="0" w:space="0" w:color="auto"/>
      </w:divBdr>
    </w:div>
    <w:div w:id="1788812551">
      <w:bodyDiv w:val="1"/>
      <w:marLeft w:val="0"/>
      <w:marRight w:val="0"/>
      <w:marTop w:val="0"/>
      <w:marBottom w:val="0"/>
      <w:divBdr>
        <w:top w:val="none" w:sz="0" w:space="0" w:color="auto"/>
        <w:left w:val="none" w:sz="0" w:space="0" w:color="auto"/>
        <w:bottom w:val="none" w:sz="0" w:space="0" w:color="auto"/>
        <w:right w:val="none" w:sz="0" w:space="0" w:color="auto"/>
      </w:divBdr>
    </w:div>
    <w:div w:id="1813908833">
      <w:bodyDiv w:val="1"/>
      <w:marLeft w:val="0"/>
      <w:marRight w:val="0"/>
      <w:marTop w:val="0"/>
      <w:marBottom w:val="0"/>
      <w:divBdr>
        <w:top w:val="none" w:sz="0" w:space="0" w:color="auto"/>
        <w:left w:val="none" w:sz="0" w:space="0" w:color="auto"/>
        <w:bottom w:val="none" w:sz="0" w:space="0" w:color="auto"/>
        <w:right w:val="none" w:sz="0" w:space="0" w:color="auto"/>
      </w:divBdr>
    </w:div>
    <w:div w:id="1823158897">
      <w:bodyDiv w:val="1"/>
      <w:marLeft w:val="0"/>
      <w:marRight w:val="0"/>
      <w:marTop w:val="0"/>
      <w:marBottom w:val="0"/>
      <w:divBdr>
        <w:top w:val="none" w:sz="0" w:space="0" w:color="auto"/>
        <w:left w:val="none" w:sz="0" w:space="0" w:color="auto"/>
        <w:bottom w:val="none" w:sz="0" w:space="0" w:color="auto"/>
        <w:right w:val="none" w:sz="0" w:space="0" w:color="auto"/>
      </w:divBdr>
    </w:div>
    <w:div w:id="1851027109">
      <w:bodyDiv w:val="1"/>
      <w:marLeft w:val="0"/>
      <w:marRight w:val="0"/>
      <w:marTop w:val="0"/>
      <w:marBottom w:val="0"/>
      <w:divBdr>
        <w:top w:val="none" w:sz="0" w:space="0" w:color="auto"/>
        <w:left w:val="none" w:sz="0" w:space="0" w:color="auto"/>
        <w:bottom w:val="none" w:sz="0" w:space="0" w:color="auto"/>
        <w:right w:val="none" w:sz="0" w:space="0" w:color="auto"/>
      </w:divBdr>
    </w:div>
    <w:div w:id="1886522011">
      <w:bodyDiv w:val="1"/>
      <w:marLeft w:val="0"/>
      <w:marRight w:val="0"/>
      <w:marTop w:val="0"/>
      <w:marBottom w:val="0"/>
      <w:divBdr>
        <w:top w:val="none" w:sz="0" w:space="0" w:color="auto"/>
        <w:left w:val="none" w:sz="0" w:space="0" w:color="auto"/>
        <w:bottom w:val="none" w:sz="0" w:space="0" w:color="auto"/>
        <w:right w:val="none" w:sz="0" w:space="0" w:color="auto"/>
      </w:divBdr>
    </w:div>
    <w:div w:id="1897618995">
      <w:bodyDiv w:val="1"/>
      <w:marLeft w:val="0"/>
      <w:marRight w:val="0"/>
      <w:marTop w:val="0"/>
      <w:marBottom w:val="0"/>
      <w:divBdr>
        <w:top w:val="none" w:sz="0" w:space="0" w:color="auto"/>
        <w:left w:val="none" w:sz="0" w:space="0" w:color="auto"/>
        <w:bottom w:val="none" w:sz="0" w:space="0" w:color="auto"/>
        <w:right w:val="none" w:sz="0" w:space="0" w:color="auto"/>
      </w:divBdr>
    </w:div>
    <w:div w:id="1950697260">
      <w:bodyDiv w:val="1"/>
      <w:marLeft w:val="0"/>
      <w:marRight w:val="0"/>
      <w:marTop w:val="0"/>
      <w:marBottom w:val="0"/>
      <w:divBdr>
        <w:top w:val="none" w:sz="0" w:space="0" w:color="auto"/>
        <w:left w:val="none" w:sz="0" w:space="0" w:color="auto"/>
        <w:bottom w:val="none" w:sz="0" w:space="0" w:color="auto"/>
        <w:right w:val="none" w:sz="0" w:space="0" w:color="auto"/>
      </w:divBdr>
    </w:div>
    <w:div w:id="1954314337">
      <w:bodyDiv w:val="1"/>
      <w:marLeft w:val="0"/>
      <w:marRight w:val="0"/>
      <w:marTop w:val="0"/>
      <w:marBottom w:val="0"/>
      <w:divBdr>
        <w:top w:val="none" w:sz="0" w:space="0" w:color="auto"/>
        <w:left w:val="none" w:sz="0" w:space="0" w:color="auto"/>
        <w:bottom w:val="none" w:sz="0" w:space="0" w:color="auto"/>
        <w:right w:val="none" w:sz="0" w:space="0" w:color="auto"/>
      </w:divBdr>
    </w:div>
    <w:div w:id="1985239161">
      <w:bodyDiv w:val="1"/>
      <w:marLeft w:val="0"/>
      <w:marRight w:val="0"/>
      <w:marTop w:val="0"/>
      <w:marBottom w:val="0"/>
      <w:divBdr>
        <w:top w:val="none" w:sz="0" w:space="0" w:color="auto"/>
        <w:left w:val="none" w:sz="0" w:space="0" w:color="auto"/>
        <w:bottom w:val="none" w:sz="0" w:space="0" w:color="auto"/>
        <w:right w:val="none" w:sz="0" w:space="0" w:color="auto"/>
      </w:divBdr>
    </w:div>
    <w:div w:id="1992521722">
      <w:bodyDiv w:val="1"/>
      <w:marLeft w:val="0"/>
      <w:marRight w:val="0"/>
      <w:marTop w:val="0"/>
      <w:marBottom w:val="0"/>
      <w:divBdr>
        <w:top w:val="none" w:sz="0" w:space="0" w:color="auto"/>
        <w:left w:val="none" w:sz="0" w:space="0" w:color="auto"/>
        <w:bottom w:val="none" w:sz="0" w:space="0" w:color="auto"/>
        <w:right w:val="none" w:sz="0" w:space="0" w:color="auto"/>
      </w:divBdr>
    </w:div>
    <w:div w:id="2006544070">
      <w:bodyDiv w:val="1"/>
      <w:marLeft w:val="0"/>
      <w:marRight w:val="0"/>
      <w:marTop w:val="0"/>
      <w:marBottom w:val="0"/>
      <w:divBdr>
        <w:top w:val="none" w:sz="0" w:space="0" w:color="auto"/>
        <w:left w:val="none" w:sz="0" w:space="0" w:color="auto"/>
        <w:bottom w:val="none" w:sz="0" w:space="0" w:color="auto"/>
        <w:right w:val="none" w:sz="0" w:space="0" w:color="auto"/>
      </w:divBdr>
    </w:div>
    <w:div w:id="2071422183">
      <w:bodyDiv w:val="1"/>
      <w:marLeft w:val="0"/>
      <w:marRight w:val="0"/>
      <w:marTop w:val="0"/>
      <w:marBottom w:val="0"/>
      <w:divBdr>
        <w:top w:val="none" w:sz="0" w:space="0" w:color="auto"/>
        <w:left w:val="none" w:sz="0" w:space="0" w:color="auto"/>
        <w:bottom w:val="none" w:sz="0" w:space="0" w:color="auto"/>
        <w:right w:val="none" w:sz="0" w:space="0" w:color="auto"/>
      </w:divBdr>
    </w:div>
    <w:div w:id="2101217808">
      <w:bodyDiv w:val="1"/>
      <w:marLeft w:val="0"/>
      <w:marRight w:val="0"/>
      <w:marTop w:val="0"/>
      <w:marBottom w:val="0"/>
      <w:divBdr>
        <w:top w:val="none" w:sz="0" w:space="0" w:color="auto"/>
        <w:left w:val="none" w:sz="0" w:space="0" w:color="auto"/>
        <w:bottom w:val="none" w:sz="0" w:space="0" w:color="auto"/>
        <w:right w:val="none" w:sz="0" w:space="0" w:color="auto"/>
      </w:divBdr>
    </w:div>
    <w:div w:id="2125684373">
      <w:bodyDiv w:val="1"/>
      <w:marLeft w:val="0"/>
      <w:marRight w:val="0"/>
      <w:marTop w:val="0"/>
      <w:marBottom w:val="0"/>
      <w:divBdr>
        <w:top w:val="none" w:sz="0" w:space="0" w:color="auto"/>
        <w:left w:val="none" w:sz="0" w:space="0" w:color="auto"/>
        <w:bottom w:val="none" w:sz="0" w:space="0" w:color="auto"/>
        <w:right w:val="none" w:sz="0" w:space="0" w:color="auto"/>
      </w:divBdr>
    </w:div>
    <w:div w:id="213713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C90F-3509-4AE8-8772-7A769D0E1207}">
  <ds:schemaRefs>
    <ds:schemaRef ds:uri="http://schemas.microsoft.com/sharepoint/v3/contenttype/forms"/>
  </ds:schemaRefs>
</ds:datastoreItem>
</file>

<file path=customXml/itemProps2.xml><?xml version="1.0" encoding="utf-8"?>
<ds:datastoreItem xmlns:ds="http://schemas.openxmlformats.org/officeDocument/2006/customXml" ds:itemID="{77924275-E4CD-4625-8C67-C407CE76C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C251D-DB1F-47EE-BDFE-D040F828E91D}">
  <ds:schemaRefs>
    <ds:schemaRef ds:uri="http://purl.org/dc/terms/"/>
    <ds:schemaRef ds:uri="http://schemas.microsoft.com/office/2006/metadata/properties"/>
    <ds:schemaRef ds:uri="http://schemas.microsoft.com/office/2006/documentManagement/types"/>
    <ds:schemaRef ds:uri="http://schemas.microsoft.com/sharepoint/v3"/>
    <ds:schemaRef ds:uri="11fd957d-147f-41f6-a058-03b42122ddbc"/>
    <ds:schemaRef ds:uri="http://purl.org/dc/elements/1.1/"/>
    <ds:schemaRef ds:uri="http://schemas.microsoft.com/office/infopath/2007/PartnerControls"/>
    <ds:schemaRef ds:uri="http://schemas.openxmlformats.org/package/2006/metadata/core-properties"/>
    <ds:schemaRef ds:uri="bb0d2465-af00-4b81-a931-20baeeea6c93"/>
    <ds:schemaRef ds:uri="http://www.w3.org/XML/1998/namespace"/>
    <ds:schemaRef ds:uri="http://purl.org/dc/dcmitype/"/>
  </ds:schemaRefs>
</ds:datastoreItem>
</file>

<file path=customXml/itemProps4.xml><?xml version="1.0" encoding="utf-8"?>
<ds:datastoreItem xmlns:ds="http://schemas.openxmlformats.org/officeDocument/2006/customXml" ds:itemID="{A93D78A7-FAE3-4523-9D76-BCBD7E75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7210</Words>
  <Characters>41098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OMB SUPPORTING STATEMENT FOR</vt:lpstr>
    </vt:vector>
  </TitlesOfParts>
  <Company>USNRC</Company>
  <LinksUpToDate>false</LinksUpToDate>
  <CharactersWithSpaces>48212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dc:title>
  <dc:subject/>
  <dc:creator>mlh1</dc:creator>
  <cp:keywords/>
  <cp:lastModifiedBy>Cullison, David</cp:lastModifiedBy>
  <cp:revision>2</cp:revision>
  <cp:lastPrinted>2018-06-14T19:44:00Z</cp:lastPrinted>
  <dcterms:created xsi:type="dcterms:W3CDTF">2020-02-21T13:28:00Z</dcterms:created>
  <dcterms:modified xsi:type="dcterms:W3CDTF">2020-02-21T13:28:00Z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