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E6" w:rsidRDefault="00820491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bookmarkStart w:id="0" w:name="_GoBack"/>
      <w:bookmarkEnd w:id="0"/>
      <w:r>
        <w:rPr>
          <w:rFonts w:ascii="DeVinne" w:hAnsi="DeVinne" w:cs="DeVinne"/>
          <w:color w:val="000000"/>
          <w:sz w:val="28"/>
          <w:szCs w:val="28"/>
        </w:rPr>
        <w:t xml:space="preserve">Page </w:t>
      </w:r>
      <w:r w:rsidR="009F03E6">
        <w:rPr>
          <w:rFonts w:ascii="DeVinne" w:hAnsi="DeVinne" w:cs="DeVinne"/>
          <w:color w:val="000000"/>
          <w:sz w:val="28"/>
          <w:szCs w:val="28"/>
        </w:rPr>
        <w:t>290</w:t>
      </w:r>
    </w:p>
    <w:p w:rsidR="009F03E6" w:rsidRDefault="009F03E6" w:rsidP="009F03E6">
      <w:pPr>
        <w:autoSpaceDE w:val="0"/>
        <w:autoSpaceDN w:val="0"/>
        <w:adjustRightInd w:val="0"/>
        <w:rPr>
          <w:rFonts w:ascii="NewCenturySchlbk-Bold" w:hAnsi="NewCenturySchlbk-Bold" w:cs="NewCenturySchlbk-Bold"/>
          <w:b/>
          <w:bCs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</w:t>
      </w:r>
      <w:r>
        <w:rPr>
          <w:rFonts w:ascii="NewCenturySchlbk-Bold" w:hAnsi="NewCenturySchlbk-Bold" w:cs="NewCenturySchlbk-Bold"/>
          <w:b/>
          <w:bCs/>
          <w:color w:val="000000"/>
          <w:sz w:val="16"/>
          <w:szCs w:val="16"/>
        </w:rPr>
        <w:t>HR 6124 EH</w:t>
      </w:r>
    </w:p>
    <w:p w:rsidR="00B81A0B" w:rsidRDefault="00B81A0B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</w:p>
    <w:p w:rsidR="00B81A0B" w:rsidRDefault="009F03E6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 xml:space="preserve">Section 1234(c) of the Food Security Act of 1985 </w:t>
      </w:r>
    </w:p>
    <w:p w:rsidR="00B81A0B" w:rsidRDefault="009F03E6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 xml:space="preserve">(16 U.S.C. 3834(c)) is amended by adding at the end </w:t>
      </w:r>
    </w:p>
    <w:p w:rsidR="00B81A0B" w:rsidRDefault="009F03E6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proofErr w:type="gramStart"/>
      <w:r>
        <w:rPr>
          <w:rFonts w:ascii="DeVinne" w:hAnsi="DeVinne" w:cs="DeVinne"/>
          <w:color w:val="000000"/>
          <w:sz w:val="28"/>
          <w:szCs w:val="28"/>
        </w:rPr>
        <w:t>the</w:t>
      </w:r>
      <w:proofErr w:type="gramEnd"/>
      <w:r>
        <w:rPr>
          <w:rFonts w:ascii="DeVinne" w:hAnsi="DeVinne" w:cs="DeVinne"/>
          <w:color w:val="000000"/>
          <w:sz w:val="28"/>
          <w:szCs w:val="28"/>
        </w:rPr>
        <w:t xml:space="preserve"> following new paragraph: </w:t>
      </w:r>
    </w:p>
    <w:p w:rsidR="00B81A0B" w:rsidRDefault="00B81A0B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</w:p>
    <w:p w:rsidR="009F03E6" w:rsidRDefault="009F03E6" w:rsidP="009F03E6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>‘‘(5) R</w:t>
      </w:r>
      <w:r>
        <w:rPr>
          <w:rFonts w:ascii="DeVinne" w:hAnsi="DeVinne" w:cs="DeVinne"/>
          <w:color w:val="000000"/>
          <w:sz w:val="21"/>
          <w:szCs w:val="21"/>
        </w:rPr>
        <w:t>ENTAL RATES</w:t>
      </w:r>
      <w:r>
        <w:rPr>
          <w:rFonts w:ascii="DeVinne" w:hAnsi="DeVinne" w:cs="DeVinne"/>
          <w:color w:val="000000"/>
          <w:sz w:val="28"/>
          <w:szCs w:val="28"/>
        </w:rPr>
        <w:t xml:space="preserve">.— </w:t>
      </w:r>
    </w:p>
    <w:p w:rsidR="00B81A0B" w:rsidRDefault="009F03E6" w:rsidP="009F03E6">
      <w:pPr>
        <w:autoSpaceDE w:val="0"/>
        <w:autoSpaceDN w:val="0"/>
        <w:adjustRightInd w:val="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>‘‘(A) A</w:t>
      </w:r>
      <w:r>
        <w:rPr>
          <w:rFonts w:ascii="DeVinne" w:hAnsi="DeVinne" w:cs="DeVinne"/>
          <w:color w:val="000000"/>
          <w:sz w:val="21"/>
          <w:szCs w:val="21"/>
        </w:rPr>
        <w:t>NNUAL ESTIMATES</w:t>
      </w:r>
      <w:r>
        <w:rPr>
          <w:rFonts w:ascii="DeVinne" w:hAnsi="DeVinne" w:cs="DeVinne"/>
          <w:color w:val="000000"/>
          <w:sz w:val="28"/>
          <w:szCs w:val="28"/>
        </w:rPr>
        <w:t>.—</w:t>
      </w:r>
    </w:p>
    <w:p w:rsidR="00B81A0B" w:rsidRDefault="009F03E6" w:rsidP="00B81A0B">
      <w:pPr>
        <w:autoSpaceDE w:val="0"/>
        <w:autoSpaceDN w:val="0"/>
        <w:adjustRightInd w:val="0"/>
        <w:ind w:left="72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 xml:space="preserve">The Secretary (acting through the National Agricultural </w:t>
      </w:r>
    </w:p>
    <w:p w:rsidR="00B81A0B" w:rsidRDefault="009F03E6" w:rsidP="00B81A0B">
      <w:pPr>
        <w:autoSpaceDE w:val="0"/>
        <w:autoSpaceDN w:val="0"/>
        <w:adjustRightInd w:val="0"/>
        <w:ind w:left="720"/>
        <w:rPr>
          <w:rFonts w:ascii="DeVinne" w:hAnsi="DeVinne" w:cs="DeVinne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>Statistics Service) shall conduct an annual survey</w:t>
      </w:r>
      <w:r w:rsidR="00B81A0B">
        <w:rPr>
          <w:rFonts w:ascii="DeVinne" w:hAnsi="DeVinne" w:cs="DeVinne"/>
          <w:color w:val="000000"/>
          <w:sz w:val="28"/>
          <w:szCs w:val="28"/>
        </w:rPr>
        <w:t xml:space="preserve"> </w:t>
      </w:r>
      <w:r>
        <w:rPr>
          <w:rFonts w:ascii="DeVinne" w:hAnsi="DeVinne" w:cs="DeVinne"/>
          <w:color w:val="000000"/>
          <w:sz w:val="28"/>
          <w:szCs w:val="28"/>
        </w:rPr>
        <w:t xml:space="preserve">of </w:t>
      </w:r>
    </w:p>
    <w:p w:rsidR="009F03E6" w:rsidRPr="00820491" w:rsidRDefault="009F03E6" w:rsidP="00820491">
      <w:pPr>
        <w:autoSpaceDE w:val="0"/>
        <w:autoSpaceDN w:val="0"/>
        <w:adjustRightInd w:val="0"/>
        <w:ind w:left="720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DeVinne" w:hAnsi="DeVinne" w:cs="DeVinne"/>
          <w:color w:val="000000"/>
          <w:sz w:val="28"/>
          <w:szCs w:val="28"/>
        </w:rPr>
        <w:t xml:space="preserve">per acre estimates of county average market dryland and irrigated cash rental rates for crop-land and pastureland in all counties or equivalent subdivisions within each State that have 20,000 acres or more of cropland and pastureland. </w:t>
      </w:r>
      <w:r w:rsidR="00EB4433">
        <w:rPr>
          <w:rFonts w:ascii="DeVinne" w:hAnsi="DeVinne" w:cs="DeVinne"/>
          <w:color w:val="000000"/>
          <w:sz w:val="28"/>
          <w:szCs w:val="28"/>
        </w:rPr>
        <w:t xml:space="preserve"> </w:t>
      </w:r>
    </w:p>
    <w:p w:rsidR="00E6483F" w:rsidRDefault="00E6483F"/>
    <w:sectPr w:rsidR="00E6483F" w:rsidSect="00B81A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n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E6"/>
    <w:rsid w:val="00257523"/>
    <w:rsid w:val="005C5F14"/>
    <w:rsid w:val="00820491"/>
    <w:rsid w:val="009F03E6"/>
    <w:rsid w:val="00B36304"/>
    <w:rsid w:val="00B81A0B"/>
    <w:rsid w:val="00E6483F"/>
    <w:rsid w:val="00E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C4B5D-DEAD-4373-AD20-6C394B25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F33897E3.dotm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290</vt:lpstr>
    </vt:vector>
  </TitlesOfParts>
  <Company>NASS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</dc:title>
  <dc:subject/>
  <dc:creator>hancda</dc:creator>
  <cp:keywords/>
  <dc:description/>
  <cp:lastModifiedBy>Hancock, David - NASS</cp:lastModifiedBy>
  <cp:revision>2</cp:revision>
  <dcterms:created xsi:type="dcterms:W3CDTF">2017-03-23T14:23:00Z</dcterms:created>
  <dcterms:modified xsi:type="dcterms:W3CDTF">2017-03-23T14:23:00Z</dcterms:modified>
</cp:coreProperties>
</file>