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9F4A5B">
      <w:pPr>
        <w:pStyle w:val="NormalWeb"/>
        <w:tabs>
          <w:tab w:val="left" w:pos="360"/>
          <w:tab w:val="left" w:pos="720"/>
          <w:tab w:val="left" w:pos="1080"/>
          <w:tab w:val="left" w:pos="1440"/>
        </w:tabs>
        <w:spacing w:before="0" w:beforeAutospacing="0" w:after="0" w:afterAutospacing="0"/>
        <w:jc w:val="center"/>
        <w:rPr>
          <w:u w:val="single"/>
        </w:rPr>
      </w:pPr>
      <w:bookmarkStart w:id="0" w:name="cs31d"/>
      <w:bookmarkStart w:id="1" w:name="_GoBack"/>
      <w:bookmarkEnd w:id="1"/>
      <w:r>
        <w:rPr>
          <w:u w:val="single"/>
        </w:rPr>
        <w:t>SUPPORTING STATEMENT</w:t>
      </w:r>
    </w:p>
    <w:p w:rsidR="005659D3" w:rsidRPr="005659D3" w:rsidRDefault="00F32885" w:rsidP="004F0934">
      <w:pPr>
        <w:pStyle w:val="NormalWeb"/>
        <w:tabs>
          <w:tab w:val="left" w:pos="720"/>
          <w:tab w:val="left" w:pos="1080"/>
          <w:tab w:val="left" w:pos="1440"/>
        </w:tabs>
        <w:jc w:val="center"/>
        <w:rPr>
          <w:u w:val="single"/>
        </w:rPr>
      </w:pPr>
      <w:r w:rsidRPr="005659D3">
        <w:rPr>
          <w:u w:val="single"/>
        </w:rPr>
        <w:t>OMB Control Number</w:t>
      </w:r>
      <w:r w:rsidR="008972BD" w:rsidRPr="005659D3">
        <w:rPr>
          <w:u w:val="single"/>
        </w:rPr>
        <w:t xml:space="preserve"> </w:t>
      </w:r>
      <w:r w:rsidR="00A1273E" w:rsidRPr="005659D3">
        <w:rPr>
          <w:u w:val="single"/>
        </w:rPr>
        <w:t>0704-0250</w:t>
      </w:r>
      <w:r w:rsidR="008972BD" w:rsidRPr="005659D3">
        <w:rPr>
          <w:u w:val="single"/>
        </w:rPr>
        <w:t>—</w:t>
      </w:r>
      <w:r w:rsidR="005659D3" w:rsidRPr="005659D3">
        <w:rPr>
          <w:u w:val="single"/>
        </w:rPr>
        <w:t>Defense Federal Acquisition Regulation Supplement (DFARS) Part 242, Contract Administration and Related Clause in DFARS 252</w:t>
      </w:r>
    </w:p>
    <w:p w:rsidR="005E0A0F" w:rsidRDefault="005E0A0F" w:rsidP="009F4A5B">
      <w:pPr>
        <w:pStyle w:val="NormalWeb"/>
        <w:tabs>
          <w:tab w:val="left" w:pos="360"/>
          <w:tab w:val="left" w:pos="720"/>
          <w:tab w:val="left" w:pos="1080"/>
          <w:tab w:val="left" w:pos="1440"/>
        </w:tabs>
        <w:spacing w:before="0" w:beforeAutospacing="0" w:after="0" w:afterAutospacing="0"/>
        <w:rPr>
          <w:u w:val="single"/>
        </w:rPr>
      </w:pPr>
      <w:r>
        <w:t>A.</w:t>
      </w:r>
      <w:r w:rsidR="009F4A5B">
        <w:t xml:space="preserve"> </w:t>
      </w:r>
      <w:r>
        <w:t xml:space="preserve"> </w:t>
      </w:r>
      <w:r>
        <w:rPr>
          <w:u w:val="single"/>
        </w:rPr>
        <w:t>JUSTIFICATION</w:t>
      </w:r>
    </w:p>
    <w:p w:rsidR="009F4A5B" w:rsidRDefault="009F4A5B" w:rsidP="009F4A5B">
      <w:pPr>
        <w:pStyle w:val="NormalWeb"/>
        <w:tabs>
          <w:tab w:val="left" w:pos="360"/>
          <w:tab w:val="left" w:pos="720"/>
          <w:tab w:val="left" w:pos="1080"/>
          <w:tab w:val="left" w:pos="1440"/>
        </w:tabs>
        <w:spacing w:before="0" w:beforeAutospacing="0" w:after="0" w:afterAutospacing="0"/>
      </w:pPr>
    </w:p>
    <w:p w:rsidR="005E0A0F" w:rsidRDefault="00521FAD" w:rsidP="009F4A5B">
      <w:pPr>
        <w:pStyle w:val="NormalWeb"/>
        <w:tabs>
          <w:tab w:val="left" w:pos="360"/>
          <w:tab w:val="left" w:pos="720"/>
          <w:tab w:val="left" w:pos="1080"/>
          <w:tab w:val="left" w:pos="1440"/>
        </w:tabs>
        <w:spacing w:before="0" w:beforeAutospacing="0" w:after="0" w:afterAutospacing="0"/>
        <w:rPr>
          <w:u w:val="single"/>
        </w:rPr>
      </w:pPr>
      <w:bookmarkStart w:id="2" w:name="cp432"/>
      <w:bookmarkEnd w:id="0"/>
      <w:r>
        <w:tab/>
      </w:r>
      <w:r w:rsidR="005E0A0F">
        <w:t>1.</w:t>
      </w:r>
      <w:r w:rsidR="009F4A5B">
        <w:t xml:space="preserve"> </w:t>
      </w:r>
      <w:r w:rsidR="005E0A0F">
        <w:t xml:space="preserve"> </w:t>
      </w:r>
      <w:r w:rsidR="005E0A0F">
        <w:rPr>
          <w:u w:val="single"/>
        </w:rPr>
        <w:t>Need for the Information Collection</w:t>
      </w:r>
    </w:p>
    <w:p w:rsidR="009F4A5B" w:rsidRDefault="009F4A5B" w:rsidP="009F4A5B">
      <w:pPr>
        <w:pStyle w:val="NormalWeb"/>
        <w:tabs>
          <w:tab w:val="left" w:pos="360"/>
          <w:tab w:val="left" w:pos="720"/>
          <w:tab w:val="left" w:pos="1080"/>
          <w:tab w:val="left" w:pos="1440"/>
        </w:tabs>
        <w:spacing w:before="0" w:beforeAutospacing="0" w:after="0" w:afterAutospacing="0"/>
      </w:pPr>
    </w:p>
    <w:bookmarkEnd w:id="2"/>
    <w:p w:rsidR="007E0666" w:rsidRPr="007E0666" w:rsidRDefault="00AC5BD4" w:rsidP="00D86147">
      <w:r>
        <w:tab/>
      </w:r>
      <w:r w:rsidR="00A1273E" w:rsidRPr="004E5F13">
        <w:t xml:space="preserve">DFARS </w:t>
      </w:r>
      <w:r w:rsidR="00D86147">
        <w:t xml:space="preserve">clause </w:t>
      </w:r>
      <w:r w:rsidR="00A1273E" w:rsidRPr="004E5F13">
        <w:t xml:space="preserve">252.242-7004, Material Management and Accounting System, requires contractors to demonstrate that their material management and accounting system contains no significant deficiencies. </w:t>
      </w:r>
      <w:r w:rsidR="000B2E32">
        <w:t xml:space="preserve"> </w:t>
      </w:r>
      <w:r w:rsidR="00A1273E" w:rsidRPr="004E5F13">
        <w:t xml:space="preserve">DFARS 242.72 prescribes the use of the clause. </w:t>
      </w:r>
      <w:r w:rsidR="000B2E32">
        <w:t xml:space="preserve"> </w:t>
      </w:r>
      <w:r w:rsidR="007E0666" w:rsidRPr="007E0666">
        <w:t>The requirements of this clause apply to any contract:  (1) exceeding the simplified acquisition threshold; (2) for requirements other than commercial items; (3) not awarded to a small business, educational institution, or nonprofit organization; and (4) that is either a cost-reimbursement contact or fixed-price contract with progress payments made on the basis of costs incurred as the work progresses.</w:t>
      </w:r>
    </w:p>
    <w:p w:rsidR="00521FAD" w:rsidRDefault="00521FAD" w:rsidP="00521FAD"/>
    <w:p w:rsidR="00D86147" w:rsidRDefault="00D86147">
      <w:r>
        <w:tab/>
        <w:t xml:space="preserve">Note, the information collection requirement for DFARS 242.11 previously justified under this OMB Control Number is removed in the 2019 renewal cycle.  Per </w:t>
      </w:r>
      <w:r w:rsidRPr="00D86147">
        <w:t>DFARS 242.1104, the contract administration office performs production surveillance on all contractors who have Criticality Designator A or B contracts</w:t>
      </w:r>
      <w:r>
        <w:t>, as well as those with</w:t>
      </w:r>
      <w:r w:rsidRPr="00D86147">
        <w:t xml:space="preserve"> Criticality Designator C contracts</w:t>
      </w:r>
      <w:r>
        <w:t xml:space="preserve"> if </w:t>
      </w:r>
      <w:r w:rsidRPr="00D86147">
        <w:t>specifically requested by the contracting officer.  Federal Acquisition Regulation (FAR) 42.1106(a) allows contracting officers to require contractors to submit production progress reports, but specifies that reporting requirements shall be limited to essential information and shall take the maximum advantage of data output generated by contractor management systems.  DFARS 242.1107</w:t>
      </w:r>
      <w:r>
        <w:t xml:space="preserve"> merely provides additional instruction that the production progress report authorized by FAR 42.1106(a) must be included in the cont</w:t>
      </w:r>
      <w:r w:rsidRPr="00D86147">
        <w:t>ract schedule in conjunction with FAR 52.242-2, Production Progress Reports.</w:t>
      </w:r>
      <w:r>
        <w:t xml:space="preserve">  As such, the report would be a contract deliverable in response to a Contract Data Requirements List (CDRL), which is covered by </w:t>
      </w:r>
      <w:r w:rsidR="00DB5F0F">
        <w:t xml:space="preserve">OMB Control Number </w:t>
      </w:r>
      <w:r>
        <w:t>0704-0188,</w:t>
      </w:r>
      <w:r w:rsidR="00DB5F0F">
        <w:t xml:space="preserve"> for the ASSIST database</w:t>
      </w:r>
      <w:r w:rsidRPr="00D86147">
        <w:t xml:space="preserve">.  </w:t>
      </w:r>
    </w:p>
    <w:p w:rsidR="005D5455" w:rsidRPr="00521FAD" w:rsidRDefault="005D5455" w:rsidP="00521FAD"/>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2.</w:t>
      </w:r>
      <w:r w:rsidR="001B44F5">
        <w:t xml:space="preserve">  </w:t>
      </w:r>
      <w:r w:rsidR="005E0A0F" w:rsidRPr="004E5F13">
        <w:rPr>
          <w:u w:val="single"/>
        </w:rPr>
        <w:t>Use of the Information</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 w:rsidRPr="004E5F13">
        <w:tab/>
      </w:r>
      <w:r w:rsidR="00A1273E" w:rsidRPr="004E5F13">
        <w:t xml:space="preserve">The information required by DFARS </w:t>
      </w:r>
      <w:r w:rsidR="00DB5F0F">
        <w:t xml:space="preserve">clause </w:t>
      </w:r>
      <w:r w:rsidR="00A1273E" w:rsidRPr="004E5F13">
        <w:t>252.242-7004 is used by contracting officers to determine if contractor material management and accounting systems conform to the established DoD standards.</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3.</w:t>
      </w:r>
      <w:r w:rsidR="009F4A5B">
        <w:t xml:space="preserve">  </w:t>
      </w:r>
      <w:r w:rsidR="005E0A0F" w:rsidRPr="004E5F13">
        <w:rPr>
          <w:u w:val="single"/>
        </w:rPr>
        <w:t>Use of Information Technology</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r w:rsidRPr="004E5F13">
        <w:tab/>
      </w:r>
      <w:r w:rsidR="00A1273E" w:rsidRPr="004E5F13">
        <w:t>Improved information technology is used to the maximum extent practicable.</w:t>
      </w:r>
      <w:r w:rsidR="00521FAD">
        <w:t xml:space="preserve"> </w:t>
      </w:r>
      <w:r w:rsidR="00A1273E" w:rsidRPr="004E5F13">
        <w:t xml:space="preserve"> This request for information collection complies with the Government Paperwork Elimination Act (Pub. L.</w:t>
      </w:r>
      <w:r w:rsidR="00521FAD">
        <w:t xml:space="preserve"> </w:t>
      </w:r>
      <w:r w:rsidR="00A1273E" w:rsidRPr="004E5F13">
        <w:t>105-277, Title XVII).</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4.  </w:t>
      </w:r>
      <w:r w:rsidR="005E0A0F" w:rsidRPr="004E5F13">
        <w:rPr>
          <w:u w:val="single"/>
        </w:rPr>
        <w:t>Non-duplication</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FB3212" w:rsidRDefault="00AC5BD4" w:rsidP="009F4A5B">
      <w:pPr>
        <w:pStyle w:val="NormalWeb"/>
        <w:tabs>
          <w:tab w:val="left" w:pos="360"/>
          <w:tab w:val="left" w:pos="720"/>
          <w:tab w:val="left" w:pos="1080"/>
          <w:tab w:val="left" w:pos="1440"/>
        </w:tabs>
        <w:spacing w:before="0" w:beforeAutospacing="0" w:after="0" w:afterAutospacing="0"/>
      </w:pPr>
      <w:r w:rsidRPr="004E5F13">
        <w:lastRenderedPageBreak/>
        <w:tab/>
      </w:r>
      <w:bookmarkStart w:id="3" w:name="cp440"/>
      <w:r w:rsidR="00A1273E" w:rsidRPr="004E5F13">
        <w:t>As a matter of policy, DoD reviews the Federal Acquisition Regulation (FAR) to determine if adequate language already exists.  The language in DFARS part 242 applies solely to DoD and is not considered duplicative of FAR part 42.</w:t>
      </w:r>
      <w:r w:rsidR="00521FAD">
        <w:t xml:space="preserve"> </w:t>
      </w:r>
      <w:r w:rsidR="00A1273E" w:rsidRPr="004E5F13">
        <w:t xml:space="preserve"> Similar informa</w:t>
      </w:r>
      <w:r w:rsidR="009F4A5B">
        <w:t>tion is not readily available.</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5.</w:t>
      </w:r>
      <w:r w:rsidR="009F4A5B">
        <w:t xml:space="preserve">  </w:t>
      </w:r>
      <w:r w:rsidR="005E0A0F" w:rsidRPr="004E5F13">
        <w:rPr>
          <w:u w:val="single"/>
        </w:rPr>
        <w:t>Burden on Small Business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4" w:name="cp441"/>
      <w:bookmarkEnd w:id="3"/>
      <w:r w:rsidRPr="004E5F13">
        <w:tab/>
      </w:r>
      <w:bookmarkEnd w:id="4"/>
      <w:r w:rsidR="00A1273E" w:rsidRPr="004E5F13">
        <w:t xml:space="preserve"> The burden applied to small business is the minimum consistent with applicable laws, Executive Orders, regulations, and prudent business practices.</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6.</w:t>
      </w:r>
      <w:r w:rsidR="009F4A5B">
        <w:t xml:space="preserve">  </w:t>
      </w:r>
      <w:r w:rsidR="005E0A0F" w:rsidRPr="004E5F13">
        <w:rPr>
          <w:u w:val="single"/>
        </w:rPr>
        <w:t>Less Frequent Collection</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5" w:name="cp444"/>
      <w:r w:rsidRPr="004E5F13">
        <w:tab/>
      </w:r>
      <w:r w:rsidR="00A1273E" w:rsidRPr="004E5F13">
        <w:t xml:space="preserve">The frequency of collection was reviewed by the DoD specialists who are most knowledgeable of the requirements and the need for the information. </w:t>
      </w:r>
      <w:r w:rsidR="00521FAD">
        <w:t xml:space="preserve"> </w:t>
      </w:r>
      <w:r w:rsidR="00A1273E" w:rsidRPr="004E5F13">
        <w:t>Every attempt has been made to keep the frequency of collection to a minimum, without jeopardizing the ability of the Government to assure that contractors are performing their contractual requirements.</w:t>
      </w:r>
      <w:r w:rsidR="00521FAD">
        <w:t xml:space="preserve"> </w:t>
      </w:r>
      <w:r w:rsidR="00A1273E" w:rsidRPr="004E5F13">
        <w:t xml:space="preserve"> Less frequent collection of this information would impede contracting officers from performing their administrative functions in an effective and efficient manner.</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7.</w:t>
      </w:r>
      <w:r w:rsidR="009F4A5B">
        <w:t xml:space="preserve">  </w:t>
      </w:r>
      <w:r w:rsidR="005E0A0F" w:rsidRPr="004E5F13">
        <w:rPr>
          <w:u w:val="single"/>
        </w:rPr>
        <w:t>Paperwork Reduction Act Guidelines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6" w:name="cp446"/>
      <w:bookmarkEnd w:id="5"/>
      <w:r w:rsidRPr="004E5F13">
        <w:tab/>
      </w:r>
      <w:r w:rsidR="00A1273E" w:rsidRPr="004E5F13">
        <w:t>There are no special circumstances for collection. Collection is consistent with the guidelines in 5 C</w:t>
      </w:r>
      <w:r w:rsidR="00704E81">
        <w:t>F</w:t>
      </w:r>
      <w:r w:rsidR="00A1273E" w:rsidRPr="004E5F13">
        <w:t>R 1320.5(d)(2).</w:t>
      </w:r>
    </w:p>
    <w:p w:rsidR="009F4A5B"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8.</w:t>
      </w:r>
      <w:r w:rsidR="009F4A5B">
        <w:t xml:space="preserve">  </w:t>
      </w:r>
      <w:r w:rsidR="005E0A0F" w:rsidRPr="004E5F13">
        <w:rPr>
          <w:u w:val="single"/>
        </w:rPr>
        <w:t>Consultation and Public Comments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FB3212" w:rsidRDefault="00AC5BD4" w:rsidP="009F4A5B">
      <w:pPr>
        <w:pStyle w:val="NormalWeb"/>
        <w:tabs>
          <w:tab w:val="left" w:pos="360"/>
          <w:tab w:val="left" w:pos="720"/>
          <w:tab w:val="left" w:pos="1080"/>
          <w:tab w:val="left" w:pos="1440"/>
        </w:tabs>
        <w:spacing w:before="0" w:beforeAutospacing="0" w:after="0" w:afterAutospacing="0"/>
      </w:pPr>
      <w:bookmarkStart w:id="7" w:name="cp447"/>
      <w:bookmarkEnd w:id="6"/>
      <w:r w:rsidRPr="004E5F13">
        <w:tab/>
      </w:r>
      <w:bookmarkStart w:id="8" w:name="cp449"/>
      <w:bookmarkEnd w:id="7"/>
      <w:r w:rsidR="00CB3C32" w:rsidRPr="004E5F13">
        <w:t xml:space="preserve">Collection is consistent with the guidelines in 5 CFR 1320.8(d).  Public comments were solicited in the </w:t>
      </w:r>
      <w:r w:rsidR="00CB3C32" w:rsidRPr="00653C4A">
        <w:rPr>
          <w:i/>
        </w:rPr>
        <w:t>Federal Register</w:t>
      </w:r>
      <w:r w:rsidR="00CB3C32" w:rsidRPr="004E5F13">
        <w:t xml:space="preserve"> at </w:t>
      </w:r>
      <w:hyperlink r:id="rId9" w:history="1">
        <w:r w:rsidR="00366F8F" w:rsidRPr="00366F8F">
          <w:rPr>
            <w:rStyle w:val="Hyperlink"/>
          </w:rPr>
          <w:t>84 FR 9508</w:t>
        </w:r>
      </w:hyperlink>
      <w:r w:rsidR="00DB5F0F">
        <w:t xml:space="preserve"> </w:t>
      </w:r>
      <w:r w:rsidR="00CB3C32" w:rsidRPr="004E5F13">
        <w:t xml:space="preserve">on </w:t>
      </w:r>
      <w:r w:rsidR="00DB5F0F">
        <w:t>March 15</w:t>
      </w:r>
      <w:r w:rsidR="00CB3C32" w:rsidRPr="004E5F13">
        <w:t>, 201</w:t>
      </w:r>
      <w:r w:rsidR="00DB5F0F">
        <w:t>9</w:t>
      </w:r>
      <w:r w:rsidR="00CB3C32" w:rsidRPr="004E5F13">
        <w:t xml:space="preserve">.  </w:t>
      </w:r>
      <w:r w:rsidR="004E5F13" w:rsidRPr="004E5F13">
        <w:t>No comments were received.</w:t>
      </w:r>
      <w:r w:rsidR="00CB3C32" w:rsidRPr="004E5F13">
        <w:t xml:space="preserve"> </w:t>
      </w:r>
      <w:r w:rsidR="00653C4A">
        <w:t xml:space="preserve"> A 30-day notice was published in the </w:t>
      </w:r>
      <w:r w:rsidR="00653C4A" w:rsidRPr="00653C4A">
        <w:rPr>
          <w:i/>
        </w:rPr>
        <w:t>Federal Register</w:t>
      </w:r>
      <w:r w:rsidR="00A20EE8">
        <w:t xml:space="preserve"> </w:t>
      </w:r>
      <w:r w:rsidR="00653C4A">
        <w:t>at</w:t>
      </w:r>
      <w:r w:rsidR="00DB5F0F">
        <w:t xml:space="preserve"> </w:t>
      </w:r>
      <w:hyperlink r:id="rId10" w:history="1">
        <w:r w:rsidR="00A20EE8" w:rsidRPr="00A20EE8">
          <w:rPr>
            <w:rStyle w:val="Hyperlink"/>
          </w:rPr>
          <w:t>84 FR 24766</w:t>
        </w:r>
      </w:hyperlink>
      <w:r w:rsidR="00DB5F0F">
        <w:t xml:space="preserve"> on </w:t>
      </w:r>
      <w:r w:rsidR="00366F8F">
        <w:t>May 29, 2019</w:t>
      </w:r>
      <w:r w:rsidR="00653C4A">
        <w:t>.</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9. </w:t>
      </w:r>
      <w:r w:rsidR="005E0A0F" w:rsidRPr="004E5F13">
        <w:t xml:space="preserve"> </w:t>
      </w:r>
      <w:r w:rsidR="005E0A0F" w:rsidRPr="004E5F13">
        <w:rPr>
          <w:u w:val="single"/>
        </w:rPr>
        <w:t>Gifts or Payment</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9" w:name="cp450"/>
      <w:bookmarkEnd w:id="8"/>
      <w:r w:rsidRPr="004E5F13">
        <w:tab/>
      </w:r>
      <w:bookmarkEnd w:id="9"/>
      <w:r w:rsidR="00A1273E" w:rsidRPr="004E5F13">
        <w:t>No payment or gifts will be provided to respondents to this information collection requirement, other than remuneration of contractors.</w:t>
      </w:r>
    </w:p>
    <w:p w:rsidR="006C282D" w:rsidRPr="004E5F13" w:rsidRDefault="006C282D"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10. </w:t>
      </w:r>
      <w:r w:rsidR="005E0A0F" w:rsidRPr="004E5F13">
        <w:t xml:space="preserve"> </w:t>
      </w:r>
      <w:r w:rsidR="005E0A0F" w:rsidRPr="004E5F13">
        <w:rPr>
          <w:u w:val="single"/>
        </w:rPr>
        <w:t>Confidentiality</w:t>
      </w:r>
      <w:r w:rsidR="009F4A5B">
        <w:rPr>
          <w:u w:val="single"/>
        </w:rPr>
        <w:t xml:space="preserve"> </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FB3212" w:rsidRDefault="00FB3212" w:rsidP="009F4A5B">
      <w:r w:rsidRPr="004E5F13">
        <w:tab/>
      </w:r>
      <w:r w:rsidR="00982896" w:rsidRPr="004E5F13">
        <w:t xml:space="preserve">This information collected is disclosed only to the extent consistent with prudent business practices, current regulations, and in accordance with the requirements of the Freedom of Information Act. </w:t>
      </w:r>
      <w:r w:rsidR="000B2E32">
        <w:t xml:space="preserve"> </w:t>
      </w:r>
      <w:r w:rsidR="00982896" w:rsidRPr="004E5F13">
        <w:t>No assurance of confidentiality is provided to respondents.</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11. </w:t>
      </w:r>
      <w:r w:rsidR="005E0A0F" w:rsidRPr="004E5F13">
        <w:t xml:space="preserve"> </w:t>
      </w:r>
      <w:r w:rsidR="005E0A0F" w:rsidRPr="004E5F13">
        <w:rPr>
          <w:u w:val="single"/>
        </w:rPr>
        <w:t>Sensitive Questions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982896" w:rsidRDefault="00AC5BD4" w:rsidP="009F4A5B">
      <w:pPr>
        <w:pStyle w:val="NormalWeb"/>
        <w:tabs>
          <w:tab w:val="left" w:pos="360"/>
          <w:tab w:val="left" w:pos="720"/>
          <w:tab w:val="left" w:pos="1080"/>
          <w:tab w:val="left" w:pos="1440"/>
        </w:tabs>
        <w:spacing w:before="0" w:beforeAutospacing="0" w:after="0" w:afterAutospacing="0"/>
      </w:pPr>
      <w:bookmarkStart w:id="10" w:name="cp456"/>
      <w:r w:rsidRPr="004E5F13">
        <w:tab/>
      </w:r>
      <w:r w:rsidR="00982896" w:rsidRPr="004E5F13">
        <w:t>No sensitive questions are involved.</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12. </w:t>
      </w:r>
      <w:r w:rsidR="005E0A0F" w:rsidRPr="004E5F13">
        <w:t xml:space="preserve"> </w:t>
      </w:r>
      <w:r w:rsidR="005E0A0F" w:rsidRPr="004E5F13">
        <w:rPr>
          <w:u w:val="single"/>
        </w:rPr>
        <w:t>Respondent Burden, and its Labor Costs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982896" w:rsidRPr="004E5F13" w:rsidRDefault="00DB5F0F" w:rsidP="00DB5F0F">
      <w:pPr>
        <w:tabs>
          <w:tab w:val="left" w:pos="360"/>
        </w:tabs>
      </w:pPr>
      <w:bookmarkStart w:id="11" w:name="cp457"/>
      <w:bookmarkEnd w:id="10"/>
      <w:r>
        <w:tab/>
      </w:r>
      <w:r w:rsidR="00982896" w:rsidRPr="004E5F13">
        <w:t>Contractors are required to disclose and demonstrate any changes to their Material Management and Accounting System (MMAS) and to respond to any contracting officer determinations of significant deficiencies</w:t>
      </w:r>
      <w:r w:rsidR="007C23E9">
        <w:t>. DoD estimates</w:t>
      </w:r>
      <w:r w:rsidR="00982896" w:rsidRPr="004E5F13">
        <w:t xml:space="preserve"> approximately 783 contractors (or business units) are required to maintain a MMAS. </w:t>
      </w:r>
      <w:r w:rsidR="00EE341D">
        <w:t xml:space="preserve"> </w:t>
      </w:r>
      <w:r w:rsidR="00982896" w:rsidRPr="004E5F13">
        <w:t xml:space="preserve">Of the approximately 783 contractors estimated to be required to maintain a MMAS, </w:t>
      </w:r>
      <w:r w:rsidR="007C23E9">
        <w:t>it is estimated</w:t>
      </w:r>
      <w:r w:rsidR="00982896" w:rsidRPr="004E5F13">
        <w:t xml:space="preserve"> that about 261 contractors will be required each year to redisclose and redemonstrate their MMAS.  </w:t>
      </w:r>
      <w:r w:rsidR="007C23E9">
        <w:t>It is further estimated th</w:t>
      </w:r>
      <w:r w:rsidR="00982896" w:rsidRPr="004E5F13">
        <w:t>at it will take a contractor approximately 475 hours of effort to redisclose and redemonstrate.</w:t>
      </w:r>
      <w:r w:rsidR="00EE341D">
        <w:t xml:space="preserve"> </w:t>
      </w:r>
      <w:r w:rsidR="00982896" w:rsidRPr="004E5F13">
        <w:t xml:space="preserve"> </w:t>
      </w:r>
    </w:p>
    <w:p w:rsidR="00982896" w:rsidRDefault="00982896" w:rsidP="009F4A5B">
      <w:pPr>
        <w:tabs>
          <w:tab w:val="left" w:pos="5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B1D4C" w:rsidTr="008A15FA">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pStyle w:val="NormalWeb"/>
              <w:spacing w:line="288" w:lineRule="atLeast"/>
              <w:jc w:val="center"/>
            </w:pPr>
            <w:r>
              <w:t>Estimation of Respondent Burden Hours and Labor Costs</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jc w:val="right"/>
            </w:pPr>
            <w:r>
              <w:t>261</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1</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261</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475*</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123,975</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Cost per hour (hourly wage)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pPr>
              <w:pStyle w:val="NormalWeb"/>
              <w:spacing w:before="0" w:beforeAutospacing="0" w:after="0" w:afterAutospacing="0"/>
              <w:contextualSpacing/>
              <w:jc w:val="right"/>
            </w:pPr>
            <w:r>
              <w:t>$</w:t>
            </w:r>
            <w:r w:rsidR="007C23E9">
              <w:t>54</w:t>
            </w:r>
            <w:r>
              <w:t>**</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C23E9" w:rsidP="007B1D4C">
            <w:pPr>
              <w:pStyle w:val="NormalWeb"/>
              <w:spacing w:before="0" w:beforeAutospacing="0" w:after="0" w:afterAutospacing="0"/>
              <w:contextualSpacing/>
              <w:jc w:val="right"/>
            </w:pPr>
            <w:r>
              <w:t>$6,694,650</w:t>
            </w:r>
          </w:p>
        </w:tc>
      </w:tr>
    </w:tbl>
    <w:p w:rsidR="00982896" w:rsidRPr="004E5F13" w:rsidRDefault="00982896" w:rsidP="009F4A5B">
      <w:pPr>
        <w:tabs>
          <w:tab w:val="left" w:pos="540"/>
        </w:tabs>
      </w:pPr>
      <w:r w:rsidRPr="004E5F13">
        <w:tab/>
        <w:t xml:space="preserve">* </w:t>
      </w:r>
      <w:r w:rsidR="009F4A5B">
        <w:t xml:space="preserve">  </w:t>
      </w:r>
      <w:r w:rsidRPr="004E5F13">
        <w:t>2040 man-hours per year/12 months *2.8 man-months = 475 hours.</w:t>
      </w:r>
    </w:p>
    <w:p w:rsidR="00982896" w:rsidRPr="001448DE" w:rsidRDefault="00982896" w:rsidP="009F4A5B">
      <w:pPr>
        <w:tabs>
          <w:tab w:val="left" w:pos="540"/>
        </w:tabs>
      </w:pPr>
      <w:r w:rsidRPr="004E5F13">
        <w:tab/>
      </w:r>
      <w:r w:rsidRPr="001448DE">
        <w:t xml:space="preserve">** Based on mid-point (step 5) of </w:t>
      </w:r>
      <w:r w:rsidR="004B37C7">
        <w:t>General Schedule</w:t>
      </w:r>
      <w:r w:rsidRPr="001448DE">
        <w:t xml:space="preserve">-12 </w:t>
      </w:r>
      <w:r w:rsidR="004B37C7">
        <w:t xml:space="preserve">hourly rate </w:t>
      </w:r>
      <w:r w:rsidRPr="001448DE">
        <w:t xml:space="preserve">for </w:t>
      </w:r>
      <w:r w:rsidR="00DB5F0F" w:rsidRPr="001448DE">
        <w:t>201</w:t>
      </w:r>
      <w:r w:rsidR="00DB5F0F">
        <w:t>9</w:t>
      </w:r>
      <w:r w:rsidR="00DB5F0F" w:rsidRPr="001448DE">
        <w:t xml:space="preserve"> </w:t>
      </w:r>
      <w:r w:rsidRPr="001448DE">
        <w:t xml:space="preserve">plus 36.25% Civilian Position Full Fringe Benefit Cost Factor per OMB Memo M-08-13 dated March 11, 2008, rounded to the nearest dollar </w:t>
      </w:r>
      <w:r w:rsidRPr="007C23E9">
        <w:t>($</w:t>
      </w:r>
      <w:r w:rsidR="007C23E9">
        <w:t>39.85</w:t>
      </w:r>
      <w:r w:rsidRPr="007C23E9">
        <w:t>*136.25% = $</w:t>
      </w:r>
      <w:r w:rsidR="007C23E9">
        <w:t>54.30</w:t>
      </w:r>
      <w:r w:rsidRPr="007C23E9">
        <w:t xml:space="preserve"> or $</w:t>
      </w:r>
      <w:r w:rsidR="007C23E9">
        <w:t>54</w:t>
      </w:r>
      <w:r w:rsidRPr="001448DE">
        <w:t>).</w:t>
      </w:r>
    </w:p>
    <w:p w:rsidR="00DC193A" w:rsidRPr="001448DE" w:rsidRDefault="00DC193A" w:rsidP="009F4A5B"/>
    <w:p w:rsidR="005E0A0F" w:rsidRDefault="006E7819" w:rsidP="009F4A5B">
      <w:pPr>
        <w:pStyle w:val="NormalWeb"/>
        <w:tabs>
          <w:tab w:val="left" w:pos="360"/>
          <w:tab w:val="left" w:pos="720"/>
          <w:tab w:val="left" w:pos="1080"/>
          <w:tab w:val="left" w:pos="1440"/>
        </w:tabs>
        <w:spacing w:before="0" w:beforeAutospacing="0" w:after="0" w:afterAutospacing="0"/>
        <w:rPr>
          <w:u w:val="single"/>
        </w:rPr>
      </w:pPr>
      <w:bookmarkStart w:id="12" w:name="cp460"/>
      <w:bookmarkEnd w:id="11"/>
      <w:r w:rsidRPr="004E5F13">
        <w:tab/>
      </w:r>
      <w:bookmarkStart w:id="13" w:name="cp462"/>
      <w:bookmarkEnd w:id="12"/>
      <w:r w:rsidR="005E0A0F" w:rsidRPr="004E5F13">
        <w:t>13.</w:t>
      </w:r>
      <w:r w:rsidR="00AB41BD">
        <w:t xml:space="preserve">  </w:t>
      </w:r>
      <w:r w:rsidR="005E0A0F" w:rsidRPr="004E5F13">
        <w:rPr>
          <w:u w:val="single"/>
        </w:rPr>
        <w:t>Respondent Costs Other Than Burden Hour Costs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982896" w:rsidRDefault="006E7819" w:rsidP="009F4A5B">
      <w:bookmarkStart w:id="14" w:name="cp464"/>
      <w:bookmarkEnd w:id="13"/>
      <w:r w:rsidRPr="004E5F13">
        <w:tab/>
      </w:r>
      <w:bookmarkStart w:id="15" w:name="cp466"/>
      <w:bookmarkEnd w:id="14"/>
      <w:r w:rsidR="00982896" w:rsidRPr="004E5F13">
        <w:t>DoD does not estimate any annual cost burden apart from the hour burden in Item 12.</w:t>
      </w:r>
    </w:p>
    <w:p w:rsidR="009F4A5B" w:rsidRPr="004E5F13" w:rsidRDefault="009F4A5B" w:rsidP="009F4A5B"/>
    <w:p w:rsidR="00D141EB" w:rsidRDefault="006E7819" w:rsidP="009F4A5B">
      <w:pPr>
        <w:pStyle w:val="NormalWeb"/>
        <w:tabs>
          <w:tab w:val="left" w:pos="360"/>
          <w:tab w:val="left" w:pos="720"/>
          <w:tab w:val="left" w:pos="1080"/>
          <w:tab w:val="left" w:pos="1440"/>
        </w:tabs>
        <w:spacing w:before="0" w:beforeAutospacing="0" w:after="0" w:afterAutospacing="0"/>
      </w:pPr>
      <w:r w:rsidRPr="004E5F13">
        <w:tab/>
      </w:r>
      <w:r w:rsidR="005E0A0F" w:rsidRPr="004E5F13">
        <w:t>14.</w:t>
      </w:r>
      <w:r w:rsidR="00AB41BD">
        <w:t xml:space="preserve">  </w:t>
      </w:r>
      <w:r w:rsidR="005E0A0F" w:rsidRPr="004E5F13">
        <w:rPr>
          <w:u w:val="single"/>
        </w:rPr>
        <w:t>Cost to the Federal Government</w:t>
      </w:r>
      <w:bookmarkEnd w:id="15"/>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DB5F0F" w:rsidRDefault="00EB0C6C" w:rsidP="00DB5F0F">
      <w:r w:rsidRPr="004E5F13">
        <w:tab/>
      </w:r>
      <w:r w:rsidR="00982896" w:rsidRPr="004E5F13">
        <w:t>The time required for Government review is based on receiving, reviewing, and analyzing the information submitted by the contractor.</w:t>
      </w:r>
      <w:r w:rsidR="00DB5F0F">
        <w:t xml:space="preserve"> </w:t>
      </w:r>
      <w:r w:rsidR="00DB5F0F" w:rsidRPr="004E5F13">
        <w:t xml:space="preserve">It is estimated that it will take approximately </w:t>
      </w:r>
      <w:r w:rsidR="00DB5F0F">
        <w:t>123,975</w:t>
      </w:r>
      <w:r w:rsidR="00DB5F0F" w:rsidRPr="004E5F13">
        <w:t xml:space="preserve"> hours to evaluate and validate the 261 contractor MMAS systems.</w:t>
      </w:r>
    </w:p>
    <w:p w:rsidR="00443733" w:rsidRPr="004E5F13" w:rsidRDefault="00443733" w:rsidP="009F4A5B"/>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443733" w:rsidTr="008A15FA">
        <w:trPr>
          <w:trHeight w:val="360"/>
        </w:trPr>
        <w:tc>
          <w:tcPr>
            <w:tcW w:w="9270" w:type="dxa"/>
            <w:gridSpan w:val="2"/>
            <w:shd w:val="clear" w:color="auto" w:fill="auto"/>
            <w:vAlign w:val="center"/>
          </w:tcPr>
          <w:p w:rsidR="00443733" w:rsidRDefault="00443733" w:rsidP="008A15FA">
            <w:pPr>
              <w:pStyle w:val="NormalWeb"/>
              <w:spacing w:line="288" w:lineRule="atLeast"/>
              <w:jc w:val="center"/>
            </w:pPr>
            <w:r>
              <w:t>Cost to the Federal Government</w:t>
            </w:r>
          </w:p>
        </w:tc>
      </w:tr>
      <w:tr w:rsidR="00443733" w:rsidTr="008A15FA">
        <w:trPr>
          <w:trHeight w:val="360"/>
        </w:trPr>
        <w:tc>
          <w:tcPr>
            <w:tcW w:w="7020" w:type="dxa"/>
            <w:shd w:val="clear" w:color="auto" w:fill="auto"/>
            <w:vAlign w:val="center"/>
          </w:tcPr>
          <w:p w:rsidR="00443733" w:rsidRPr="00D747D8" w:rsidRDefault="00443733" w:rsidP="008A15FA">
            <w:r w:rsidRPr="00D747D8">
              <w:t>Total annual responses</w:t>
            </w:r>
          </w:p>
        </w:tc>
        <w:tc>
          <w:tcPr>
            <w:tcW w:w="2250" w:type="dxa"/>
            <w:shd w:val="clear" w:color="auto" w:fill="auto"/>
            <w:vAlign w:val="center"/>
          </w:tcPr>
          <w:p w:rsidR="00443733" w:rsidRDefault="00443733" w:rsidP="008A15FA">
            <w:pPr>
              <w:pStyle w:val="NormalWeb"/>
              <w:spacing w:before="0" w:beforeAutospacing="0" w:after="0" w:afterAutospacing="0"/>
              <w:jc w:val="right"/>
            </w:pPr>
            <w:r>
              <w:t>261</w:t>
            </w:r>
          </w:p>
        </w:tc>
      </w:tr>
      <w:tr w:rsidR="00443733" w:rsidTr="008A15FA">
        <w:trPr>
          <w:trHeight w:val="360"/>
        </w:trPr>
        <w:tc>
          <w:tcPr>
            <w:tcW w:w="7020" w:type="dxa"/>
            <w:shd w:val="clear" w:color="auto" w:fill="auto"/>
            <w:vAlign w:val="center"/>
          </w:tcPr>
          <w:p w:rsidR="00443733" w:rsidRPr="00D747D8" w:rsidRDefault="00443733" w:rsidP="008A15FA">
            <w:r w:rsidRPr="00D747D8">
              <w:t>Hours per response</w:t>
            </w:r>
          </w:p>
        </w:tc>
        <w:tc>
          <w:tcPr>
            <w:tcW w:w="2250" w:type="dxa"/>
            <w:shd w:val="clear" w:color="auto" w:fill="auto"/>
            <w:vAlign w:val="center"/>
          </w:tcPr>
          <w:p w:rsidR="00443733" w:rsidRDefault="00443733" w:rsidP="008A15FA">
            <w:pPr>
              <w:pStyle w:val="NormalWeb"/>
              <w:spacing w:before="0" w:beforeAutospacing="0" w:after="0" w:afterAutospacing="0"/>
              <w:contextualSpacing/>
              <w:jc w:val="right"/>
            </w:pPr>
            <w:r>
              <w:t>475</w:t>
            </w:r>
          </w:p>
        </w:tc>
      </w:tr>
      <w:tr w:rsidR="00443733" w:rsidTr="008A15FA">
        <w:trPr>
          <w:trHeight w:val="360"/>
        </w:trPr>
        <w:tc>
          <w:tcPr>
            <w:tcW w:w="7020" w:type="dxa"/>
            <w:shd w:val="clear" w:color="auto" w:fill="auto"/>
            <w:vAlign w:val="center"/>
          </w:tcPr>
          <w:p w:rsidR="00443733" w:rsidRPr="00D747D8" w:rsidRDefault="00443733" w:rsidP="008A15FA">
            <w:r w:rsidRPr="00D747D8">
              <w:t xml:space="preserve">Total hours </w:t>
            </w:r>
          </w:p>
        </w:tc>
        <w:tc>
          <w:tcPr>
            <w:tcW w:w="2250" w:type="dxa"/>
            <w:shd w:val="clear" w:color="auto" w:fill="auto"/>
            <w:vAlign w:val="center"/>
          </w:tcPr>
          <w:p w:rsidR="00443733" w:rsidRDefault="00443733" w:rsidP="008A15FA">
            <w:pPr>
              <w:pStyle w:val="NormalWeb"/>
              <w:spacing w:before="0" w:beforeAutospacing="0" w:after="0" w:afterAutospacing="0"/>
              <w:contextualSpacing/>
              <w:jc w:val="right"/>
            </w:pPr>
            <w:r>
              <w:t>123,975</w:t>
            </w:r>
          </w:p>
        </w:tc>
      </w:tr>
      <w:tr w:rsidR="00443733" w:rsidTr="008A15FA">
        <w:trPr>
          <w:trHeight w:val="360"/>
        </w:trPr>
        <w:tc>
          <w:tcPr>
            <w:tcW w:w="7020" w:type="dxa"/>
            <w:shd w:val="clear" w:color="auto" w:fill="auto"/>
            <w:vAlign w:val="center"/>
          </w:tcPr>
          <w:p w:rsidR="00443733" w:rsidRPr="00D747D8" w:rsidRDefault="00443733" w:rsidP="008A15FA">
            <w:r w:rsidRPr="00D747D8">
              <w:t>Cost per hour (hourly wage)</w:t>
            </w:r>
          </w:p>
        </w:tc>
        <w:tc>
          <w:tcPr>
            <w:tcW w:w="2250" w:type="dxa"/>
            <w:shd w:val="clear" w:color="auto" w:fill="auto"/>
            <w:vAlign w:val="center"/>
          </w:tcPr>
          <w:p w:rsidR="00443733" w:rsidRDefault="00443733">
            <w:pPr>
              <w:pStyle w:val="NormalWeb"/>
              <w:spacing w:before="0" w:beforeAutospacing="0" w:after="0" w:afterAutospacing="0"/>
              <w:contextualSpacing/>
              <w:jc w:val="right"/>
            </w:pPr>
            <w:r>
              <w:t>$</w:t>
            </w:r>
            <w:r w:rsidR="007C23E9">
              <w:t>54</w:t>
            </w:r>
            <w:r>
              <w:t>*</w:t>
            </w:r>
          </w:p>
        </w:tc>
      </w:tr>
      <w:tr w:rsidR="00443733" w:rsidTr="008A15FA">
        <w:trPr>
          <w:trHeight w:val="360"/>
        </w:trPr>
        <w:tc>
          <w:tcPr>
            <w:tcW w:w="7020" w:type="dxa"/>
            <w:shd w:val="clear" w:color="auto" w:fill="auto"/>
            <w:vAlign w:val="center"/>
          </w:tcPr>
          <w:p w:rsidR="00443733" w:rsidRDefault="00443733" w:rsidP="008A15FA">
            <w:r w:rsidRPr="00D747D8">
              <w:t>Total cost</w:t>
            </w:r>
          </w:p>
        </w:tc>
        <w:tc>
          <w:tcPr>
            <w:tcW w:w="2250" w:type="dxa"/>
            <w:shd w:val="clear" w:color="auto" w:fill="auto"/>
            <w:vAlign w:val="center"/>
          </w:tcPr>
          <w:p w:rsidR="00443733" w:rsidRDefault="004A5A36" w:rsidP="00443733">
            <w:pPr>
              <w:pStyle w:val="NormalWeb"/>
              <w:spacing w:before="0" w:beforeAutospacing="0" w:after="0" w:afterAutospacing="0"/>
              <w:contextualSpacing/>
              <w:jc w:val="right"/>
            </w:pPr>
            <w:r>
              <w:t>$6,694,650</w:t>
            </w:r>
          </w:p>
        </w:tc>
      </w:tr>
    </w:tbl>
    <w:p w:rsidR="00F229A8" w:rsidRDefault="00F229A8" w:rsidP="00F229A8">
      <w:pPr>
        <w:tabs>
          <w:tab w:val="left" w:pos="360"/>
        </w:tabs>
      </w:pPr>
      <w:bookmarkStart w:id="16" w:name="cp468"/>
      <w:r w:rsidRPr="00F229A8">
        <w:tab/>
        <w:t xml:space="preserve">*Based on mid-point (step 5) of GS Pay for a GS-12 salary for </w:t>
      </w:r>
      <w:r w:rsidR="00DB5F0F" w:rsidRPr="00F229A8">
        <w:t>201</w:t>
      </w:r>
      <w:r w:rsidR="00DB5F0F">
        <w:t>9</w:t>
      </w:r>
      <w:r w:rsidR="00DB5F0F" w:rsidRPr="00F229A8">
        <w:t xml:space="preserve"> </w:t>
      </w:r>
      <w:r w:rsidRPr="00F229A8">
        <w:t xml:space="preserve">plus 36.25% Civilian Position Full Fringe Benefit Cost Factor per OMB Memo M-08-13 dated March 11, 2008, rounded to the nearest dollar </w:t>
      </w:r>
      <w:r w:rsidR="007C23E9" w:rsidRPr="00627003">
        <w:t>($</w:t>
      </w:r>
      <w:r w:rsidR="007C23E9">
        <w:t>39.85</w:t>
      </w:r>
      <w:r w:rsidR="007C23E9" w:rsidRPr="00627003">
        <w:t>*136.25% = $</w:t>
      </w:r>
      <w:r w:rsidR="007C23E9">
        <w:t>54.30</w:t>
      </w:r>
      <w:r w:rsidR="007C23E9" w:rsidRPr="00627003">
        <w:t xml:space="preserve"> or $</w:t>
      </w:r>
      <w:r w:rsidR="007C23E9">
        <w:t>54</w:t>
      </w:r>
      <w:r w:rsidRPr="00F229A8">
        <w:t>).</w:t>
      </w:r>
    </w:p>
    <w:p w:rsidR="00443733" w:rsidRPr="00F229A8" w:rsidRDefault="00443733" w:rsidP="00F229A8">
      <w:pPr>
        <w:tabs>
          <w:tab w:val="left" w:pos="360"/>
        </w:tabs>
      </w:pPr>
    </w:p>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29387C">
        <w:tab/>
      </w:r>
      <w:r w:rsidR="005E0A0F" w:rsidRPr="0029387C">
        <w:t>15.</w:t>
      </w:r>
      <w:r w:rsidR="00AB41BD" w:rsidRPr="0029387C">
        <w:t xml:space="preserve">  </w:t>
      </w:r>
      <w:r w:rsidR="005E0A0F" w:rsidRPr="0029387C">
        <w:rPr>
          <w:u w:val="single"/>
        </w:rPr>
        <w:t>Reasons for Change in Burden</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bookmarkEnd w:id="16"/>
    <w:p w:rsidR="00BD5500" w:rsidRDefault="00D141EB" w:rsidP="00BD5500">
      <w:pPr>
        <w:tabs>
          <w:tab w:val="left" w:pos="360"/>
        </w:tabs>
      </w:pPr>
      <w:r w:rsidRPr="00BD5500">
        <w:tab/>
      </w:r>
      <w:r w:rsidR="00BD5500" w:rsidRPr="00BD5500">
        <w:t>The changes to the estimates in paragraphs 12. and 14. above are primarily due to</w:t>
      </w:r>
      <w:r w:rsidR="0007660C">
        <w:t xml:space="preserve">: </w:t>
      </w:r>
      <w:r w:rsidR="00BD5500" w:rsidRPr="00BD5500">
        <w:t xml:space="preserve"> (1) removing the burden for DFARS</w:t>
      </w:r>
      <w:r w:rsidR="00DB5F0F">
        <w:t xml:space="preserve"> 242.11</w:t>
      </w:r>
      <w:r w:rsidR="0007660C">
        <w:t>;</w:t>
      </w:r>
      <w:r w:rsidR="00BD5500" w:rsidRPr="00BD5500">
        <w:t xml:space="preserve"> and (2) using </w:t>
      </w:r>
      <w:r w:rsidR="00DB5F0F">
        <w:t>the 2019 OPM hourly rate</w:t>
      </w:r>
      <w:r w:rsidR="00BD5500" w:rsidRPr="00BD5500">
        <w:t>.  The following table summarizes the changes</w:t>
      </w:r>
      <w:r w:rsidR="00DB5F0F">
        <w:t>:</w:t>
      </w:r>
      <w:r w:rsidR="00BD5500" w:rsidRPr="00BD5500">
        <w:t xml:space="preserve"> </w:t>
      </w:r>
    </w:p>
    <w:p w:rsidR="00830F33" w:rsidRPr="00BD5500" w:rsidRDefault="00830F33" w:rsidP="00BD5500">
      <w:pPr>
        <w:tabs>
          <w:tab w:val="left" w:pos="360"/>
        </w:tabs>
      </w:pPr>
    </w:p>
    <w:tbl>
      <w:tblPr>
        <w:tblStyle w:val="TableGrid1"/>
        <w:tblW w:w="0" w:type="auto"/>
        <w:tblInd w:w="175" w:type="dxa"/>
        <w:tblLook w:val="04A0" w:firstRow="1" w:lastRow="0" w:firstColumn="1" w:lastColumn="0" w:noHBand="0" w:noVBand="1"/>
      </w:tblPr>
      <w:tblGrid>
        <w:gridCol w:w="2070"/>
        <w:gridCol w:w="2070"/>
        <w:gridCol w:w="2070"/>
        <w:gridCol w:w="2070"/>
      </w:tblGrid>
      <w:tr w:rsidR="00DB5F0F" w:rsidTr="00667CBE">
        <w:trPr>
          <w:trHeight w:val="360"/>
        </w:trPr>
        <w:tc>
          <w:tcPr>
            <w:tcW w:w="2070" w:type="dxa"/>
            <w:vAlign w:val="center"/>
          </w:tcPr>
          <w:p w:rsidR="00DB5F0F" w:rsidRDefault="00DB5F0F" w:rsidP="008A15FA">
            <w:pPr>
              <w:pStyle w:val="NormalWeb"/>
              <w:tabs>
                <w:tab w:val="left" w:pos="360"/>
                <w:tab w:val="left" w:pos="720"/>
                <w:tab w:val="left" w:pos="1080"/>
                <w:tab w:val="left" w:pos="1440"/>
              </w:tabs>
              <w:spacing w:line="288" w:lineRule="atLeast"/>
              <w:jc w:val="center"/>
            </w:pPr>
            <w:r>
              <w:t>Adjustments</w:t>
            </w:r>
          </w:p>
        </w:tc>
        <w:tc>
          <w:tcPr>
            <w:tcW w:w="2070" w:type="dxa"/>
            <w:vAlign w:val="center"/>
          </w:tcPr>
          <w:p w:rsidR="00DB5F0F" w:rsidRDefault="00DB5F0F" w:rsidP="00830F33">
            <w:pPr>
              <w:pStyle w:val="NormalWeb"/>
              <w:tabs>
                <w:tab w:val="left" w:pos="360"/>
                <w:tab w:val="left" w:pos="720"/>
                <w:tab w:val="left" w:pos="1080"/>
                <w:tab w:val="left" w:pos="1440"/>
              </w:tabs>
              <w:spacing w:line="288" w:lineRule="atLeast"/>
              <w:jc w:val="center"/>
            </w:pPr>
            <w:r>
              <w:t>2016</w:t>
            </w:r>
          </w:p>
        </w:tc>
        <w:tc>
          <w:tcPr>
            <w:tcW w:w="2070" w:type="dxa"/>
            <w:vAlign w:val="center"/>
          </w:tcPr>
          <w:p w:rsidR="00DB5F0F" w:rsidRDefault="00DB5F0F" w:rsidP="008A15FA">
            <w:pPr>
              <w:pStyle w:val="NormalWeb"/>
              <w:tabs>
                <w:tab w:val="left" w:pos="360"/>
                <w:tab w:val="left" w:pos="720"/>
                <w:tab w:val="left" w:pos="1080"/>
                <w:tab w:val="left" w:pos="1440"/>
              </w:tabs>
              <w:spacing w:line="288" w:lineRule="atLeast"/>
              <w:jc w:val="center"/>
            </w:pPr>
            <w:r>
              <w:t>2019</w:t>
            </w:r>
          </w:p>
        </w:tc>
        <w:tc>
          <w:tcPr>
            <w:tcW w:w="2070" w:type="dxa"/>
            <w:vAlign w:val="center"/>
          </w:tcPr>
          <w:p w:rsidR="00DB5F0F" w:rsidRDefault="00DB5F0F" w:rsidP="008A15FA">
            <w:pPr>
              <w:pStyle w:val="NormalWeb"/>
              <w:tabs>
                <w:tab w:val="left" w:pos="360"/>
                <w:tab w:val="left" w:pos="720"/>
                <w:tab w:val="left" w:pos="1080"/>
                <w:tab w:val="left" w:pos="1440"/>
              </w:tabs>
              <w:spacing w:line="288" w:lineRule="atLeast"/>
              <w:jc w:val="center"/>
            </w:pPr>
            <w:r>
              <w:t>Net Change</w:t>
            </w:r>
          </w:p>
        </w:tc>
      </w:tr>
      <w:tr w:rsidR="00DB5F0F" w:rsidRPr="006C682C" w:rsidTr="00667CBE">
        <w:trPr>
          <w:trHeight w:val="360"/>
        </w:trPr>
        <w:tc>
          <w:tcPr>
            <w:tcW w:w="2070" w:type="dxa"/>
            <w:vAlign w:val="center"/>
          </w:tcPr>
          <w:p w:rsidR="00DB5F0F" w:rsidRDefault="00DB5F0F" w:rsidP="008A15FA">
            <w:pPr>
              <w:pStyle w:val="NormalWeb"/>
              <w:tabs>
                <w:tab w:val="left" w:pos="360"/>
                <w:tab w:val="left" w:pos="720"/>
                <w:tab w:val="left" w:pos="1080"/>
                <w:tab w:val="left" w:pos="1440"/>
              </w:tabs>
              <w:spacing w:line="288" w:lineRule="atLeast"/>
              <w:jc w:val="center"/>
            </w:pPr>
            <w:r>
              <w:t>Hours</w:t>
            </w:r>
          </w:p>
        </w:tc>
        <w:tc>
          <w:tcPr>
            <w:tcW w:w="2070" w:type="dxa"/>
            <w:vAlign w:val="center"/>
          </w:tcPr>
          <w:p w:rsidR="00DB5F0F" w:rsidRPr="006C682C" w:rsidRDefault="00DB5F0F" w:rsidP="00830F33">
            <w:pPr>
              <w:jc w:val="center"/>
            </w:pPr>
            <w:r>
              <w:t>192,372</w:t>
            </w:r>
          </w:p>
        </w:tc>
        <w:tc>
          <w:tcPr>
            <w:tcW w:w="2070" w:type="dxa"/>
            <w:vAlign w:val="center"/>
          </w:tcPr>
          <w:p w:rsidR="00DB5F0F" w:rsidRDefault="00850DB7" w:rsidP="00C91235">
            <w:pPr>
              <w:jc w:val="center"/>
            </w:pPr>
            <w:r>
              <w:t>123,975</w:t>
            </w:r>
          </w:p>
        </w:tc>
        <w:tc>
          <w:tcPr>
            <w:tcW w:w="2070" w:type="dxa"/>
            <w:vAlign w:val="center"/>
          </w:tcPr>
          <w:p w:rsidR="00DB5F0F" w:rsidRPr="006C682C" w:rsidRDefault="00667CBE" w:rsidP="00C91235">
            <w:pPr>
              <w:jc w:val="center"/>
            </w:pPr>
            <w:r>
              <w:t>-</w:t>
            </w:r>
            <w:r w:rsidR="00850DB7">
              <w:t>68,397</w:t>
            </w:r>
          </w:p>
        </w:tc>
      </w:tr>
      <w:tr w:rsidR="00DB5F0F" w:rsidTr="00667CBE">
        <w:trPr>
          <w:trHeight w:val="360"/>
        </w:trPr>
        <w:tc>
          <w:tcPr>
            <w:tcW w:w="2070" w:type="dxa"/>
            <w:vAlign w:val="center"/>
          </w:tcPr>
          <w:p w:rsidR="00DB5F0F" w:rsidRDefault="00DB5F0F" w:rsidP="008A15FA">
            <w:pPr>
              <w:pStyle w:val="NormalWeb"/>
              <w:tabs>
                <w:tab w:val="left" w:pos="360"/>
                <w:tab w:val="left" w:pos="720"/>
                <w:tab w:val="left" w:pos="1080"/>
                <w:tab w:val="left" w:pos="1440"/>
              </w:tabs>
              <w:spacing w:line="288" w:lineRule="atLeast"/>
              <w:jc w:val="center"/>
            </w:pPr>
            <w:r>
              <w:t>Dollars</w:t>
            </w:r>
          </w:p>
        </w:tc>
        <w:tc>
          <w:tcPr>
            <w:tcW w:w="2070" w:type="dxa"/>
            <w:vAlign w:val="center"/>
          </w:tcPr>
          <w:p w:rsidR="00DB5F0F" w:rsidRPr="006C682C" w:rsidRDefault="00DB5F0F" w:rsidP="00A01F31">
            <w:pPr>
              <w:jc w:val="center"/>
            </w:pPr>
            <w:r w:rsidRPr="006C682C">
              <w:t>$</w:t>
            </w:r>
            <w:r>
              <w:t>8,177,961</w:t>
            </w:r>
          </w:p>
        </w:tc>
        <w:tc>
          <w:tcPr>
            <w:tcW w:w="2070" w:type="dxa"/>
            <w:vAlign w:val="center"/>
          </w:tcPr>
          <w:p w:rsidR="00DB5F0F" w:rsidRDefault="00850DB7" w:rsidP="00A01F31">
            <w:pPr>
              <w:jc w:val="center"/>
            </w:pPr>
            <w:r>
              <w:t>$6,694,650</w:t>
            </w:r>
          </w:p>
        </w:tc>
        <w:tc>
          <w:tcPr>
            <w:tcW w:w="2070" w:type="dxa"/>
            <w:vAlign w:val="center"/>
          </w:tcPr>
          <w:p w:rsidR="00DB5F0F" w:rsidRDefault="00667CBE" w:rsidP="00A01F31">
            <w:pPr>
              <w:jc w:val="center"/>
            </w:pPr>
            <w:r>
              <w:t>-</w:t>
            </w:r>
            <w:r w:rsidR="00850DB7">
              <w:t>$1,483,311</w:t>
            </w:r>
          </w:p>
        </w:tc>
      </w:tr>
    </w:tbl>
    <w:p w:rsidR="00AB41BD" w:rsidRPr="004E5F13" w:rsidRDefault="00AB41BD" w:rsidP="009F4A5B"/>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ab/>
      </w:r>
      <w:r w:rsidR="00AB41BD">
        <w:t xml:space="preserve">16.  </w:t>
      </w:r>
      <w:r w:rsidR="005E0A0F" w:rsidRPr="004E5F13">
        <w:rPr>
          <w:u w:val="single"/>
        </w:rPr>
        <w:t>Publication of Results</w:t>
      </w:r>
    </w:p>
    <w:p w:rsidR="00AB41BD" w:rsidRPr="004E5F13" w:rsidRDefault="00AB41BD" w:rsidP="009F4A5B">
      <w:pPr>
        <w:pStyle w:val="NormalWeb"/>
        <w:tabs>
          <w:tab w:val="left" w:pos="360"/>
          <w:tab w:val="left" w:pos="720"/>
          <w:tab w:val="left" w:pos="1080"/>
          <w:tab w:val="left" w:pos="1440"/>
        </w:tabs>
        <w:spacing w:before="0" w:beforeAutospacing="0" w:after="0" w:afterAutospacing="0"/>
        <w:rPr>
          <w:u w:val="single"/>
        </w:rPr>
      </w:pPr>
    </w:p>
    <w:p w:rsidR="00982896" w:rsidRDefault="00D141EB" w:rsidP="009F4A5B">
      <w:bookmarkStart w:id="17" w:name="cp471"/>
      <w:r w:rsidRPr="004E5F13">
        <w:tab/>
      </w:r>
      <w:r w:rsidR="00982896" w:rsidRPr="004E5F13">
        <w:t>Results of this information collection will not be tabulated or published.</w:t>
      </w:r>
    </w:p>
    <w:p w:rsidR="00AB41BD" w:rsidRPr="004E5F13" w:rsidRDefault="00AB41BD" w:rsidP="009F4A5B"/>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ab/>
      </w:r>
      <w:r w:rsidR="00AB41BD">
        <w:t xml:space="preserve">17.  </w:t>
      </w:r>
      <w:r w:rsidR="005E0A0F" w:rsidRPr="004E5F13">
        <w:rPr>
          <w:u w:val="single"/>
        </w:rPr>
        <w:t>Non-Display of OMB Expiration Date</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p w:rsidR="00982896" w:rsidRDefault="00D141EB" w:rsidP="009F4A5B">
      <w:bookmarkStart w:id="18" w:name="cp473"/>
      <w:bookmarkEnd w:id="17"/>
      <w:r w:rsidRPr="004E5F13">
        <w:tab/>
      </w:r>
      <w:r w:rsidR="00982896" w:rsidRPr="004E5F13">
        <w:t>DoD does not seek approval to not display the expiration dates for OMB approval of the information collection.</w:t>
      </w:r>
    </w:p>
    <w:p w:rsidR="00AB41BD" w:rsidRPr="004E5F13" w:rsidRDefault="00AB41BD" w:rsidP="009F4A5B"/>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ab/>
      </w:r>
      <w:r w:rsidR="00AB41BD">
        <w:t xml:space="preserve">18.  </w:t>
      </w:r>
      <w:r w:rsidR="005E0A0F" w:rsidRPr="004E5F13">
        <w:rPr>
          <w:u w:val="single"/>
        </w:rPr>
        <w:t>Exceptions to "Certification for Paperwork Reduction Submissions"</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p w:rsidR="00982896" w:rsidRDefault="00D141EB" w:rsidP="009F4A5B">
      <w:bookmarkStart w:id="19" w:name="cp474"/>
      <w:bookmarkEnd w:id="18"/>
      <w:r w:rsidRPr="004E5F13">
        <w:tab/>
      </w:r>
      <w:bookmarkEnd w:id="19"/>
      <w:r w:rsidR="00982896" w:rsidRPr="004E5F13">
        <w:t>DoD is able to certify compliance with all provisions under Item 19 of OMB Form 83-I.</w:t>
      </w:r>
    </w:p>
    <w:p w:rsidR="001B44F5" w:rsidRPr="004E5F13" w:rsidRDefault="001B44F5" w:rsidP="009F4A5B"/>
    <w:p w:rsidR="00D141EB"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 xml:space="preserve">B.  </w:t>
      </w:r>
      <w:r w:rsidRPr="004E5F13">
        <w:rPr>
          <w:u w:val="single"/>
        </w:rPr>
        <w:t>COLLECTION OF INFORMATION EMPLOYING STATISTICAL METHODS</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p w:rsidR="00D141EB" w:rsidRPr="004E5F13" w:rsidRDefault="00D141EB" w:rsidP="009F4A5B">
      <w:pPr>
        <w:tabs>
          <w:tab w:val="left" w:pos="360"/>
        </w:tabs>
      </w:pPr>
      <w:r w:rsidRPr="004E5F13">
        <w:tab/>
      </w:r>
      <w:r w:rsidR="00982896" w:rsidRPr="004E5F13">
        <w:tab/>
      </w:r>
      <w:r w:rsidRPr="004E5F13">
        <w:t>Statistical methods will not be employed.</w:t>
      </w:r>
    </w:p>
    <w:sectPr w:rsidR="00D141EB" w:rsidRPr="004E5F13"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CE" w:rsidRDefault="00CC3BCE" w:rsidP="00D74D55">
      <w:r>
        <w:separator/>
      </w:r>
    </w:p>
    <w:p w:rsidR="00CC3BCE" w:rsidRDefault="00CC3BCE"/>
  </w:endnote>
  <w:endnote w:type="continuationSeparator" w:id="0">
    <w:p w:rsidR="00CC3BCE" w:rsidRDefault="00CC3BCE" w:rsidP="00D74D55">
      <w:r>
        <w:continuationSeparator/>
      </w:r>
    </w:p>
    <w:p w:rsidR="00CC3BCE" w:rsidRDefault="00CC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E12626">
      <w:rPr>
        <w:noProof/>
      </w:rPr>
      <w:t>1</w:t>
    </w:r>
    <w:r>
      <w:fldChar w:fldCharType="end"/>
    </w:r>
  </w:p>
  <w:p w:rsidR="00D74D55" w:rsidRDefault="00D74D55">
    <w:pPr>
      <w:pStyle w:val="Footer"/>
    </w:pPr>
  </w:p>
  <w:p w:rsidR="00A12119" w:rsidRDefault="00A121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CE" w:rsidRDefault="00CC3BCE" w:rsidP="00D74D55">
      <w:r>
        <w:separator/>
      </w:r>
    </w:p>
    <w:p w:rsidR="00CC3BCE" w:rsidRDefault="00CC3BCE"/>
  </w:footnote>
  <w:footnote w:type="continuationSeparator" w:id="0">
    <w:p w:rsidR="00CC3BCE" w:rsidRDefault="00CC3BCE" w:rsidP="00D74D55">
      <w:r>
        <w:continuationSeparator/>
      </w:r>
    </w:p>
    <w:p w:rsidR="00CC3BCE" w:rsidRDefault="00CC3B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43A1E"/>
    <w:rsid w:val="000611B8"/>
    <w:rsid w:val="0007660C"/>
    <w:rsid w:val="000A2459"/>
    <w:rsid w:val="000A2A03"/>
    <w:rsid w:val="000B2E32"/>
    <w:rsid w:val="00125B38"/>
    <w:rsid w:val="00127C69"/>
    <w:rsid w:val="001448DE"/>
    <w:rsid w:val="00164403"/>
    <w:rsid w:val="00191C5D"/>
    <w:rsid w:val="001B44F5"/>
    <w:rsid w:val="001C61AE"/>
    <w:rsid w:val="002230B5"/>
    <w:rsid w:val="002429FD"/>
    <w:rsid w:val="0029387C"/>
    <w:rsid w:val="002D5AEE"/>
    <w:rsid w:val="0030008B"/>
    <w:rsid w:val="003002A0"/>
    <w:rsid w:val="00305997"/>
    <w:rsid w:val="0032295F"/>
    <w:rsid w:val="00366F8F"/>
    <w:rsid w:val="00395F86"/>
    <w:rsid w:val="003C26F7"/>
    <w:rsid w:val="004178C4"/>
    <w:rsid w:val="00443733"/>
    <w:rsid w:val="004A3227"/>
    <w:rsid w:val="004A5A36"/>
    <w:rsid w:val="004B27AF"/>
    <w:rsid w:val="004B37C7"/>
    <w:rsid w:val="004B6441"/>
    <w:rsid w:val="004B6E67"/>
    <w:rsid w:val="004C7516"/>
    <w:rsid w:val="004E5F13"/>
    <w:rsid w:val="004F0934"/>
    <w:rsid w:val="00521FAD"/>
    <w:rsid w:val="0052338C"/>
    <w:rsid w:val="00533827"/>
    <w:rsid w:val="00534658"/>
    <w:rsid w:val="005659D3"/>
    <w:rsid w:val="005756AD"/>
    <w:rsid w:val="005C4463"/>
    <w:rsid w:val="005D3B39"/>
    <w:rsid w:val="005D5455"/>
    <w:rsid w:val="005E0A0F"/>
    <w:rsid w:val="005E0A97"/>
    <w:rsid w:val="0060388A"/>
    <w:rsid w:val="00621324"/>
    <w:rsid w:val="00632AA8"/>
    <w:rsid w:val="00635430"/>
    <w:rsid w:val="00653C4A"/>
    <w:rsid w:val="00667CBE"/>
    <w:rsid w:val="006B2B17"/>
    <w:rsid w:val="006C282D"/>
    <w:rsid w:val="006E7819"/>
    <w:rsid w:val="006F5D65"/>
    <w:rsid w:val="00704E81"/>
    <w:rsid w:val="00746F33"/>
    <w:rsid w:val="007B1D4C"/>
    <w:rsid w:val="007C23E9"/>
    <w:rsid w:val="007E0666"/>
    <w:rsid w:val="007E450E"/>
    <w:rsid w:val="00830F33"/>
    <w:rsid w:val="00850DB7"/>
    <w:rsid w:val="00863F95"/>
    <w:rsid w:val="008972BD"/>
    <w:rsid w:val="008B0DD2"/>
    <w:rsid w:val="008D2996"/>
    <w:rsid w:val="009003A7"/>
    <w:rsid w:val="0094612E"/>
    <w:rsid w:val="00982896"/>
    <w:rsid w:val="009C2264"/>
    <w:rsid w:val="009E7EF7"/>
    <w:rsid w:val="009F4A5B"/>
    <w:rsid w:val="00A01F31"/>
    <w:rsid w:val="00A12119"/>
    <w:rsid w:val="00A1273E"/>
    <w:rsid w:val="00A20EE8"/>
    <w:rsid w:val="00A35F62"/>
    <w:rsid w:val="00A6761C"/>
    <w:rsid w:val="00A7063B"/>
    <w:rsid w:val="00A87B15"/>
    <w:rsid w:val="00A93CBF"/>
    <w:rsid w:val="00AA1A09"/>
    <w:rsid w:val="00AB41BD"/>
    <w:rsid w:val="00AC3144"/>
    <w:rsid w:val="00AC4907"/>
    <w:rsid w:val="00AC5BD4"/>
    <w:rsid w:val="00AF66E0"/>
    <w:rsid w:val="00B75E8A"/>
    <w:rsid w:val="00BB1577"/>
    <w:rsid w:val="00BD5500"/>
    <w:rsid w:val="00BD68E6"/>
    <w:rsid w:val="00BF6680"/>
    <w:rsid w:val="00C00C1A"/>
    <w:rsid w:val="00C34D08"/>
    <w:rsid w:val="00C66D8C"/>
    <w:rsid w:val="00C735EB"/>
    <w:rsid w:val="00C91083"/>
    <w:rsid w:val="00C91235"/>
    <w:rsid w:val="00CB1D10"/>
    <w:rsid w:val="00CB3C32"/>
    <w:rsid w:val="00CC3BCE"/>
    <w:rsid w:val="00D141EB"/>
    <w:rsid w:val="00D37A50"/>
    <w:rsid w:val="00D46148"/>
    <w:rsid w:val="00D74D55"/>
    <w:rsid w:val="00D802A4"/>
    <w:rsid w:val="00D86147"/>
    <w:rsid w:val="00DA727B"/>
    <w:rsid w:val="00DA7D4F"/>
    <w:rsid w:val="00DB5F0F"/>
    <w:rsid w:val="00DC193A"/>
    <w:rsid w:val="00E12626"/>
    <w:rsid w:val="00E53C2C"/>
    <w:rsid w:val="00E82864"/>
    <w:rsid w:val="00E90B41"/>
    <w:rsid w:val="00EB0C6C"/>
    <w:rsid w:val="00EE341D"/>
    <w:rsid w:val="00F06B49"/>
    <w:rsid w:val="00F1447C"/>
    <w:rsid w:val="00F229A8"/>
    <w:rsid w:val="00F32885"/>
    <w:rsid w:val="00F357EB"/>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rsid w:val="00BD5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D10"/>
    <w:rPr>
      <w:rFonts w:ascii="Times New Roman" w:eastAsia="Times New Roman" w:hAnsi="Times New Roman"/>
      <w:sz w:val="24"/>
      <w:szCs w:val="24"/>
    </w:rPr>
  </w:style>
  <w:style w:type="character" w:styleId="Hyperlink">
    <w:name w:val="Hyperlink"/>
    <w:basedOn w:val="DefaultParagraphFont"/>
    <w:uiPriority w:val="99"/>
    <w:unhideWhenUsed/>
    <w:rsid w:val="005756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rsid w:val="00BD5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D10"/>
    <w:rPr>
      <w:rFonts w:ascii="Times New Roman" w:eastAsia="Times New Roman" w:hAnsi="Times New Roman"/>
      <w:sz w:val="24"/>
      <w:szCs w:val="24"/>
    </w:rPr>
  </w:style>
  <w:style w:type="character" w:styleId="Hyperlink">
    <w:name w:val="Hyperlink"/>
    <w:basedOn w:val="DefaultParagraphFont"/>
    <w:uiPriority w:val="99"/>
    <w:unhideWhenUsed/>
    <w:rsid w:val="005756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documents/2019/05/29/2019-11028/information-collection-requirements-defense-federal-acquisition-regulation-supplement-dfars-part-242" TargetMode="External"/><Relationship Id="rId4" Type="http://schemas.microsoft.com/office/2007/relationships/stylesWithEffects" Target="stylesWithEffects.xml"/><Relationship Id="rId9" Type="http://schemas.openxmlformats.org/officeDocument/2006/relationships/hyperlink" Target="https://www.federalregister.gov/documents/2019/03/15/2019-04834/information-collection-requirements-defense-federal-acquisition-regulation-supplement-dfars-part-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4D909-55D4-476A-8224-ABC5EA76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2019-03-11T20:28:00Z</cp:lastPrinted>
  <dcterms:created xsi:type="dcterms:W3CDTF">2019-05-29T13:52:00Z</dcterms:created>
  <dcterms:modified xsi:type="dcterms:W3CDTF">2019-05-29T13:52:00Z</dcterms:modified>
</cp:coreProperties>
</file>