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B04" w:rsidRDefault="005B5775" w:rsidP="007C3B04">
      <w:pPr>
        <w:pStyle w:val="Heading7"/>
        <w:tabs>
          <w:tab w:val="left" w:pos="1890"/>
        </w:tabs>
        <w:jc w:val="center"/>
        <w:rPr>
          <w:rStyle w:val="Heading11"/>
          <w:sz w:val="28"/>
          <w:szCs w:val="28"/>
        </w:rPr>
      </w:pPr>
      <w:bookmarkStart w:id="0" w:name="_GoBack"/>
      <w:bookmarkEnd w:id="0"/>
      <w:r>
        <w:rPr>
          <w:rStyle w:val="Heading11"/>
          <w:sz w:val="28"/>
          <w:szCs w:val="28"/>
        </w:rPr>
        <w:t xml:space="preserve">  </w:t>
      </w:r>
    </w:p>
    <w:p w:rsidR="007C3B04" w:rsidRDefault="007C3B04" w:rsidP="007C3B04">
      <w:pPr>
        <w:pStyle w:val="Heading7"/>
        <w:tabs>
          <w:tab w:val="left" w:pos="1890"/>
        </w:tabs>
        <w:jc w:val="center"/>
        <w:rPr>
          <w:rStyle w:val="Heading11"/>
          <w:sz w:val="28"/>
          <w:szCs w:val="28"/>
        </w:rPr>
      </w:pPr>
    </w:p>
    <w:p w:rsidR="007C3B04" w:rsidRDefault="007C3B04" w:rsidP="007C3B04">
      <w:pPr>
        <w:pStyle w:val="Heading7"/>
        <w:tabs>
          <w:tab w:val="left" w:pos="1890"/>
        </w:tabs>
        <w:jc w:val="center"/>
        <w:rPr>
          <w:rStyle w:val="Heading11"/>
          <w:sz w:val="28"/>
          <w:szCs w:val="28"/>
        </w:rPr>
      </w:pPr>
    </w:p>
    <w:p w:rsidR="007C3B04" w:rsidRDefault="007C3B04" w:rsidP="007C3B04">
      <w:pPr>
        <w:pStyle w:val="Heading7"/>
        <w:tabs>
          <w:tab w:val="left" w:pos="1890"/>
        </w:tabs>
        <w:jc w:val="center"/>
        <w:rPr>
          <w:rStyle w:val="Heading11"/>
          <w:sz w:val="28"/>
          <w:szCs w:val="28"/>
        </w:rPr>
      </w:pPr>
    </w:p>
    <w:p w:rsidR="007C3B04" w:rsidRPr="007C3B04" w:rsidRDefault="007C3B04" w:rsidP="007C3B04">
      <w:pPr>
        <w:pStyle w:val="Heading7"/>
        <w:tabs>
          <w:tab w:val="left" w:pos="1890"/>
        </w:tabs>
        <w:jc w:val="center"/>
        <w:rPr>
          <w:rStyle w:val="Heading11"/>
          <w:sz w:val="28"/>
          <w:szCs w:val="28"/>
        </w:rPr>
      </w:pPr>
      <w:r w:rsidRPr="007C3B04">
        <w:rPr>
          <w:rStyle w:val="Heading11"/>
          <w:sz w:val="28"/>
          <w:szCs w:val="28"/>
        </w:rPr>
        <w:t>SUPPORTING STATEMENT FOR THE</w:t>
      </w:r>
    </w:p>
    <w:p w:rsidR="007C3B04" w:rsidRDefault="007C3B04" w:rsidP="007C3B04">
      <w:pPr>
        <w:pStyle w:val="Heading7"/>
        <w:tabs>
          <w:tab w:val="left" w:pos="1890"/>
        </w:tabs>
        <w:jc w:val="center"/>
        <w:rPr>
          <w:rStyle w:val="Heading11"/>
          <w:sz w:val="28"/>
          <w:szCs w:val="28"/>
        </w:rPr>
      </w:pPr>
    </w:p>
    <w:p w:rsidR="007C3B04" w:rsidRPr="007C3B04" w:rsidRDefault="007C3B04" w:rsidP="007C3B04">
      <w:pPr>
        <w:pStyle w:val="Heading7"/>
        <w:tabs>
          <w:tab w:val="left" w:pos="1890"/>
        </w:tabs>
        <w:jc w:val="center"/>
        <w:rPr>
          <w:sz w:val="28"/>
          <w:szCs w:val="28"/>
        </w:rPr>
      </w:pPr>
      <w:r w:rsidRPr="007C3B04">
        <w:rPr>
          <w:sz w:val="28"/>
          <w:szCs w:val="28"/>
        </w:rPr>
        <w:t xml:space="preserve">NATIONAL </w:t>
      </w:r>
      <w:r w:rsidR="005354BD" w:rsidRPr="005354BD">
        <w:rPr>
          <w:sz w:val="28"/>
          <w:szCs w:val="28"/>
        </w:rPr>
        <w:t>QUITLINE DATA WAREHOUSE</w:t>
      </w:r>
      <w:r w:rsidR="00BC47F1">
        <w:rPr>
          <w:sz w:val="28"/>
          <w:szCs w:val="28"/>
        </w:rPr>
        <w:t xml:space="preserve"> (NQDW)</w:t>
      </w:r>
    </w:p>
    <w:p w:rsidR="00057C6C" w:rsidRPr="0023332E" w:rsidRDefault="00057C6C" w:rsidP="00BC47F1">
      <w:pPr>
        <w:jc w:val="center"/>
      </w:pPr>
      <w:r>
        <w:t xml:space="preserve">(OMB No. </w:t>
      </w:r>
      <w:r w:rsidR="00161296">
        <w:t>0920-0856</w:t>
      </w:r>
      <w:r w:rsidR="00BC47F1">
        <w:t>, exp. 03/31/2019</w:t>
      </w:r>
      <w:r>
        <w:t>)</w:t>
      </w:r>
    </w:p>
    <w:p w:rsidR="007C3B04" w:rsidRDefault="007C3B04" w:rsidP="007C3B04">
      <w:pPr>
        <w:pStyle w:val="Heading7"/>
        <w:jc w:val="center"/>
        <w:rPr>
          <w:sz w:val="28"/>
          <w:szCs w:val="28"/>
        </w:rPr>
      </w:pPr>
    </w:p>
    <w:p w:rsidR="007C3B04" w:rsidRDefault="007C3B04" w:rsidP="007C3B04"/>
    <w:p w:rsidR="007C3B04" w:rsidRPr="008427CE" w:rsidRDefault="007C3B04" w:rsidP="007A5DFA">
      <w:pPr>
        <w:pStyle w:val="Heading7"/>
        <w:ind w:left="0" w:firstLine="0"/>
        <w:jc w:val="center"/>
        <w:rPr>
          <w:b w:val="0"/>
        </w:rPr>
      </w:pPr>
      <w:r w:rsidRPr="007C3B04">
        <w:rPr>
          <w:sz w:val="28"/>
          <w:szCs w:val="28"/>
        </w:rPr>
        <w:t>PART A</w:t>
      </w:r>
      <w:r w:rsidR="001B019F">
        <w:rPr>
          <w:sz w:val="28"/>
          <w:szCs w:val="28"/>
        </w:rPr>
        <w:t>: JUSTIFICATION</w:t>
      </w:r>
      <w:r w:rsidRPr="007C3B04">
        <w:rPr>
          <w:sz w:val="28"/>
          <w:szCs w:val="28"/>
        </w:rPr>
        <w:cr/>
      </w:r>
      <w:r w:rsidRPr="008427CE">
        <w:rPr>
          <w:b w:val="0"/>
        </w:rPr>
        <w:cr/>
      </w:r>
      <w:r w:rsidR="00EF6980">
        <w:rPr>
          <w:b w:val="0"/>
        </w:rPr>
        <w:t>Extension</w:t>
      </w:r>
    </w:p>
    <w:p w:rsidR="007C3B04" w:rsidRDefault="007C3B04" w:rsidP="007C3B04">
      <w:pPr>
        <w:pStyle w:val="Heading7"/>
        <w:jc w:val="center"/>
      </w:pPr>
    </w:p>
    <w:p w:rsidR="007C3B04" w:rsidRDefault="007C3B04" w:rsidP="007C3B04">
      <w:pPr>
        <w:pStyle w:val="Heading7"/>
        <w:jc w:val="center"/>
      </w:pPr>
    </w:p>
    <w:p w:rsidR="003332D2" w:rsidRPr="00EA7BF8" w:rsidRDefault="000135A2" w:rsidP="003332D2">
      <w:pPr>
        <w:jc w:val="center"/>
      </w:pPr>
      <w:r>
        <w:t>January 25, 2019</w:t>
      </w:r>
    </w:p>
    <w:p w:rsidR="003332D2" w:rsidRDefault="003332D2" w:rsidP="003332D2"/>
    <w:p w:rsidR="003332D2" w:rsidRDefault="003332D2" w:rsidP="003332D2"/>
    <w:p w:rsidR="003332D2" w:rsidRDefault="003332D2" w:rsidP="003332D2">
      <w:pPr>
        <w:tabs>
          <w:tab w:val="center" w:pos="4680"/>
        </w:tabs>
        <w:jc w:val="center"/>
      </w:pPr>
      <w:r>
        <w:t>Submitted by:</w:t>
      </w:r>
    </w:p>
    <w:p w:rsidR="003332D2" w:rsidRDefault="003332D2" w:rsidP="003332D2">
      <w:pPr>
        <w:jc w:val="center"/>
      </w:pPr>
    </w:p>
    <w:p w:rsidR="003332D2" w:rsidRDefault="003332D2" w:rsidP="003332D2">
      <w:pPr>
        <w:tabs>
          <w:tab w:val="center" w:pos="4680"/>
        </w:tabs>
        <w:jc w:val="center"/>
      </w:pPr>
      <w:r>
        <w:t>Epidemiology Branch</w:t>
      </w:r>
    </w:p>
    <w:p w:rsidR="003332D2" w:rsidRDefault="003332D2" w:rsidP="003332D2">
      <w:pPr>
        <w:tabs>
          <w:tab w:val="center" w:pos="4680"/>
        </w:tabs>
        <w:jc w:val="center"/>
      </w:pPr>
      <w:r>
        <w:t>Office on Smoking and Health</w:t>
      </w:r>
    </w:p>
    <w:p w:rsidR="003332D2" w:rsidRDefault="003332D2" w:rsidP="003332D2">
      <w:pPr>
        <w:tabs>
          <w:tab w:val="center" w:pos="4680"/>
        </w:tabs>
        <w:jc w:val="center"/>
      </w:pPr>
      <w:r>
        <w:t>National Center for Chronic Disease Prevention and Health Promotion</w:t>
      </w:r>
    </w:p>
    <w:p w:rsidR="003332D2" w:rsidRDefault="003332D2" w:rsidP="003332D2">
      <w:pPr>
        <w:tabs>
          <w:tab w:val="center" w:pos="4680"/>
        </w:tabs>
        <w:jc w:val="center"/>
      </w:pPr>
      <w:r>
        <w:t>Centers for Disease Control and Prevention</w:t>
      </w:r>
    </w:p>
    <w:p w:rsidR="003332D2" w:rsidRDefault="003332D2" w:rsidP="003332D2">
      <w:pPr>
        <w:tabs>
          <w:tab w:val="center" w:pos="4680"/>
        </w:tabs>
        <w:jc w:val="center"/>
      </w:pPr>
      <w:r>
        <w:t>Department of Health and Human Services</w:t>
      </w:r>
    </w:p>
    <w:p w:rsidR="003332D2" w:rsidRDefault="003332D2" w:rsidP="003332D2"/>
    <w:p w:rsidR="003332D2" w:rsidRDefault="003332D2" w:rsidP="003332D2"/>
    <w:p w:rsidR="003332D2" w:rsidRDefault="003332D2" w:rsidP="003332D2"/>
    <w:p w:rsidR="003332D2" w:rsidRDefault="003332D2" w:rsidP="003332D2">
      <w:pPr>
        <w:tabs>
          <w:tab w:val="center" w:pos="4680"/>
        </w:tabs>
        <w:jc w:val="center"/>
      </w:pPr>
      <w:r>
        <w:t>Refer questions to:</w:t>
      </w:r>
    </w:p>
    <w:p w:rsidR="003332D2" w:rsidRDefault="003332D2" w:rsidP="003332D2">
      <w:pPr>
        <w:jc w:val="center"/>
      </w:pPr>
    </w:p>
    <w:p w:rsidR="003332D2" w:rsidRDefault="000135A2" w:rsidP="003332D2">
      <w:pPr>
        <w:tabs>
          <w:tab w:val="center" w:pos="4680"/>
        </w:tabs>
        <w:jc w:val="center"/>
      </w:pPr>
      <w:r>
        <w:t>Lei Zhang</w:t>
      </w:r>
    </w:p>
    <w:p w:rsidR="003332D2" w:rsidRDefault="003332D2" w:rsidP="003332D2">
      <w:pPr>
        <w:tabs>
          <w:tab w:val="center" w:pos="4680"/>
        </w:tabs>
        <w:jc w:val="center"/>
      </w:pPr>
      <w:r>
        <w:t>Epidemiology Branch</w:t>
      </w:r>
    </w:p>
    <w:p w:rsidR="003332D2" w:rsidRDefault="003332D2" w:rsidP="003332D2">
      <w:pPr>
        <w:tabs>
          <w:tab w:val="center" w:pos="4680"/>
        </w:tabs>
        <w:jc w:val="center"/>
      </w:pPr>
      <w:r>
        <w:t>Office on Smoking and Health</w:t>
      </w:r>
    </w:p>
    <w:p w:rsidR="003332D2" w:rsidRDefault="003332D2" w:rsidP="003332D2">
      <w:pPr>
        <w:tabs>
          <w:tab w:val="center" w:pos="4680"/>
        </w:tabs>
        <w:jc w:val="center"/>
      </w:pPr>
      <w:r>
        <w:t>National Center for Chronic Disease Prevention and Health Promotion</w:t>
      </w:r>
    </w:p>
    <w:p w:rsidR="003332D2" w:rsidRDefault="003332D2" w:rsidP="003332D2">
      <w:pPr>
        <w:tabs>
          <w:tab w:val="center" w:pos="4680"/>
        </w:tabs>
        <w:jc w:val="center"/>
      </w:pPr>
      <w:r>
        <w:t>Centers for Disease Control and Prevention</w:t>
      </w:r>
    </w:p>
    <w:p w:rsidR="003332D2" w:rsidRDefault="003332D2" w:rsidP="003332D2">
      <w:pPr>
        <w:tabs>
          <w:tab w:val="center" w:pos="4680"/>
        </w:tabs>
        <w:jc w:val="center"/>
      </w:pPr>
      <w:r>
        <w:t xml:space="preserve">4770 Buford Highway, NE </w:t>
      </w:r>
      <w:r w:rsidR="00327BBE" w:rsidRPr="00327BBE">
        <w:t>S107-7</w:t>
      </w:r>
    </w:p>
    <w:p w:rsidR="003332D2" w:rsidRDefault="003332D2" w:rsidP="003332D2">
      <w:pPr>
        <w:tabs>
          <w:tab w:val="center" w:pos="4680"/>
        </w:tabs>
        <w:jc w:val="center"/>
      </w:pPr>
      <w:r>
        <w:t>Atlanta, Georgia 30341</w:t>
      </w:r>
    </w:p>
    <w:p w:rsidR="003332D2" w:rsidRPr="00C9432A" w:rsidRDefault="003332D2" w:rsidP="003332D2">
      <w:pPr>
        <w:tabs>
          <w:tab w:val="center" w:pos="4680"/>
        </w:tabs>
        <w:jc w:val="center"/>
        <w:rPr>
          <w:lang w:val="pt-BR"/>
        </w:rPr>
      </w:pPr>
      <w:r w:rsidRPr="00C9432A">
        <w:rPr>
          <w:lang w:val="pt-BR"/>
        </w:rPr>
        <w:t>(</w:t>
      </w:r>
      <w:r>
        <w:rPr>
          <w:lang w:val="pt-BR"/>
        </w:rPr>
        <w:t>770</w:t>
      </w:r>
      <w:r w:rsidRPr="00C9432A">
        <w:rPr>
          <w:lang w:val="pt-BR"/>
        </w:rPr>
        <w:t xml:space="preserve">) </w:t>
      </w:r>
      <w:r w:rsidR="00B7683E">
        <w:rPr>
          <w:lang w:val="pt-BR"/>
        </w:rPr>
        <w:t>488-</w:t>
      </w:r>
      <w:r w:rsidR="000135A2">
        <w:rPr>
          <w:lang w:val="pt-BR"/>
        </w:rPr>
        <w:t>1144</w:t>
      </w:r>
    </w:p>
    <w:p w:rsidR="003332D2" w:rsidRPr="00C9432A" w:rsidRDefault="003332D2" w:rsidP="003332D2">
      <w:pPr>
        <w:tabs>
          <w:tab w:val="center" w:pos="4680"/>
        </w:tabs>
        <w:jc w:val="center"/>
        <w:rPr>
          <w:lang w:val="pt-BR"/>
        </w:rPr>
      </w:pPr>
      <w:r w:rsidRPr="00C9432A">
        <w:rPr>
          <w:lang w:val="pt-BR"/>
        </w:rPr>
        <w:t>FAX (</w:t>
      </w:r>
      <w:r>
        <w:rPr>
          <w:lang w:val="pt-BR"/>
        </w:rPr>
        <w:t>770</w:t>
      </w:r>
      <w:r w:rsidRPr="00C9432A">
        <w:rPr>
          <w:lang w:val="pt-BR"/>
        </w:rPr>
        <w:t>) 4</w:t>
      </w:r>
      <w:r>
        <w:rPr>
          <w:lang w:val="pt-BR"/>
        </w:rPr>
        <w:t>88-5848</w:t>
      </w:r>
    </w:p>
    <w:p w:rsidR="003332D2" w:rsidRDefault="003332D2" w:rsidP="003332D2">
      <w:pPr>
        <w:tabs>
          <w:tab w:val="center" w:pos="4680"/>
        </w:tabs>
        <w:jc w:val="center"/>
        <w:rPr>
          <w:lang w:val="pt-BR"/>
        </w:rPr>
      </w:pPr>
      <w:r w:rsidRPr="00C9432A">
        <w:rPr>
          <w:lang w:val="pt-BR"/>
        </w:rPr>
        <w:t xml:space="preserve">E-mail: </w:t>
      </w:r>
      <w:r w:rsidR="00080DF9">
        <w:rPr>
          <w:rStyle w:val="Hyperlink"/>
          <w:lang w:val="pt-BR"/>
        </w:rPr>
        <w:t>fpv4</w:t>
      </w:r>
      <w:r w:rsidR="00B7683E">
        <w:rPr>
          <w:rStyle w:val="Hyperlink"/>
          <w:lang w:val="pt-BR"/>
        </w:rPr>
        <w:t>@cdc.gov</w:t>
      </w:r>
    </w:p>
    <w:p w:rsidR="00E00728" w:rsidRDefault="00E00728" w:rsidP="003332D2">
      <w:pPr>
        <w:tabs>
          <w:tab w:val="center" w:pos="4680"/>
        </w:tabs>
        <w:jc w:val="center"/>
        <w:rPr>
          <w:lang w:val="pt-BR"/>
        </w:rPr>
      </w:pPr>
    </w:p>
    <w:p w:rsidR="00E00728" w:rsidRDefault="00E00728">
      <w:pPr>
        <w:rPr>
          <w:lang w:val="pt-BR"/>
        </w:rPr>
      </w:pPr>
      <w:r>
        <w:rPr>
          <w:lang w:val="pt-BR"/>
        </w:rPr>
        <w:br w:type="page"/>
      </w:r>
    </w:p>
    <w:p w:rsidR="00E00728" w:rsidRPr="00C9432A" w:rsidRDefault="00E00728" w:rsidP="003332D2">
      <w:pPr>
        <w:tabs>
          <w:tab w:val="center" w:pos="4680"/>
        </w:tabs>
        <w:jc w:val="center"/>
        <w:rPr>
          <w:lang w:val="pt-BR"/>
        </w:rPr>
      </w:pPr>
    </w:p>
    <w:p w:rsidR="000622A7" w:rsidRDefault="003332D2" w:rsidP="000622A7">
      <w:pPr>
        <w:jc w:val="center"/>
        <w:rPr>
          <w:b/>
        </w:rPr>
      </w:pPr>
      <w:r>
        <w:rPr>
          <w:b/>
        </w:rPr>
        <w:br w:type="page"/>
      </w:r>
      <w:r w:rsidR="000622A7" w:rsidRPr="00D00578">
        <w:rPr>
          <w:b/>
        </w:rPr>
        <w:lastRenderedPageBreak/>
        <w:t>TABLE OF CONTENT</w:t>
      </w:r>
      <w:r w:rsidR="000622A7">
        <w:rPr>
          <w:b/>
        </w:rPr>
        <w:t>S</w:t>
      </w:r>
    </w:p>
    <w:p w:rsidR="002D4022" w:rsidRDefault="002D4022" w:rsidP="005B192E">
      <w:pPr>
        <w:rPr>
          <w:b/>
          <w:bCs/>
          <w:color w:val="000000"/>
        </w:rPr>
      </w:pPr>
    </w:p>
    <w:p w:rsidR="005B192E" w:rsidRPr="00885CC3" w:rsidRDefault="00885CC3" w:rsidP="005B192E">
      <w:pPr>
        <w:rPr>
          <w:rStyle w:val="Heading31"/>
          <w:color w:val="000000"/>
        </w:rPr>
      </w:pPr>
      <w:r w:rsidRPr="000A1B69">
        <w:rPr>
          <w:b/>
          <w:bCs/>
          <w:color w:val="000000"/>
        </w:rPr>
        <w:t>ABSTRACT</w:t>
      </w:r>
      <w:r w:rsidRPr="00885CC3">
        <w:rPr>
          <w:rStyle w:val="Heading31"/>
          <w:color w:val="000000"/>
        </w:rPr>
        <w:t xml:space="preserve"> </w:t>
      </w:r>
    </w:p>
    <w:p w:rsidR="005B192E" w:rsidRDefault="005B192E" w:rsidP="005B192E">
      <w:pPr>
        <w:rPr>
          <w:rStyle w:val="Heading31"/>
          <w:color w:val="000000"/>
        </w:rPr>
      </w:pPr>
    </w:p>
    <w:p w:rsidR="006C5FBA" w:rsidRDefault="000622A7" w:rsidP="00062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Pr>
          <w:rStyle w:val="Heading31"/>
          <w:color w:val="000000"/>
        </w:rPr>
        <w:t>A.</w:t>
      </w:r>
      <w:r>
        <w:rPr>
          <w:rStyle w:val="Heading31"/>
          <w:color w:val="000000"/>
        </w:rPr>
        <w:tab/>
        <w:t>JUSTIFICATION</w:t>
      </w:r>
    </w:p>
    <w:p w:rsidR="000622A7" w:rsidRDefault="005B192E" w:rsidP="00500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Pr>
          <w:bCs/>
          <w:color w:val="000000"/>
        </w:rPr>
        <w:t>1</w:t>
      </w:r>
      <w:r w:rsidR="000622A7">
        <w:rPr>
          <w:bCs/>
          <w:color w:val="000000"/>
        </w:rPr>
        <w:t xml:space="preserve">. </w:t>
      </w:r>
      <w:r w:rsidR="000622A7">
        <w:rPr>
          <w:bCs/>
          <w:color w:val="000000"/>
        </w:rPr>
        <w:tab/>
        <w:t>Circumstances Making the Coll</w:t>
      </w:r>
      <w:r w:rsidR="00376DE8">
        <w:rPr>
          <w:bCs/>
          <w:color w:val="000000"/>
        </w:rPr>
        <w:t>ection of Information Necessary</w:t>
      </w:r>
      <w:r w:rsidR="000622A7">
        <w:rPr>
          <w:bCs/>
          <w:color w:val="000000"/>
        </w:rPr>
        <w:tab/>
      </w:r>
      <w:r w:rsidR="000622A7">
        <w:rPr>
          <w:bCs/>
          <w:color w:val="000000"/>
        </w:rPr>
        <w:tab/>
      </w:r>
      <w:r w:rsidR="000622A7">
        <w:rPr>
          <w:bCs/>
          <w:color w:val="000000"/>
        </w:rPr>
        <w:tab/>
      </w:r>
    </w:p>
    <w:p w:rsidR="000622A7" w:rsidRDefault="000622A7" w:rsidP="000622A7">
      <w:pPr>
        <w:tabs>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s>
        <w:spacing w:line="232" w:lineRule="auto"/>
        <w:ind w:left="720" w:hanging="720"/>
      </w:pPr>
    </w:p>
    <w:p w:rsidR="000622A7" w:rsidRDefault="00A56AF4" w:rsidP="00062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2</w:t>
      </w:r>
      <w:r w:rsidR="000622A7">
        <w:rPr>
          <w:rStyle w:val="Footer1"/>
          <w:bCs/>
          <w:color w:val="000000"/>
        </w:rPr>
        <w:t>.</w:t>
      </w:r>
      <w:r w:rsidR="000622A7">
        <w:rPr>
          <w:rStyle w:val="Footer1"/>
          <w:bCs/>
          <w:color w:val="000000"/>
        </w:rPr>
        <w:tab/>
        <w:t>Purpose and Use of Information Collection</w:t>
      </w:r>
      <w:r w:rsidR="000622A7">
        <w:rPr>
          <w:rStyle w:val="Footer1"/>
          <w:bCs/>
          <w:color w:val="000000"/>
        </w:rPr>
        <w:tab/>
      </w:r>
    </w:p>
    <w:p w:rsidR="000622A7" w:rsidRDefault="000622A7" w:rsidP="00376DE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Style w:val="Footer1"/>
          <w:bCs/>
          <w:color w:val="000000"/>
        </w:rPr>
      </w:pPr>
      <w:r>
        <w:rPr>
          <w:bCs/>
          <w:color w:val="000000"/>
        </w:rPr>
        <w:tab/>
      </w:r>
      <w:r w:rsidR="00376DE8">
        <w:rPr>
          <w:rStyle w:val="Footer1"/>
          <w:bCs/>
          <w:color w:val="000000"/>
        </w:rPr>
        <w:tab/>
      </w:r>
      <w:r w:rsidR="00376DE8">
        <w:rPr>
          <w:rStyle w:val="Footer1"/>
          <w:bCs/>
          <w:color w:val="000000"/>
        </w:rPr>
        <w:tab/>
      </w:r>
      <w:r>
        <w:rPr>
          <w:rStyle w:val="Footer1"/>
          <w:bCs/>
          <w:color w:val="000000"/>
        </w:rPr>
        <w:tab/>
      </w:r>
      <w:r>
        <w:rPr>
          <w:rStyle w:val="Footer1"/>
          <w:bCs/>
          <w:color w:val="000000"/>
        </w:rPr>
        <w:tab/>
      </w:r>
      <w:r>
        <w:rPr>
          <w:rStyle w:val="Footer1"/>
          <w:bCs/>
          <w:color w:val="000000"/>
        </w:rPr>
        <w:tab/>
      </w:r>
      <w:r>
        <w:rPr>
          <w:rStyle w:val="Footer1"/>
          <w:bCs/>
          <w:color w:val="000000"/>
        </w:rPr>
        <w:tab/>
      </w:r>
      <w:r>
        <w:rPr>
          <w:rStyle w:val="Footer1"/>
          <w:bCs/>
          <w:color w:val="000000"/>
        </w:rPr>
        <w:tab/>
      </w:r>
    </w:p>
    <w:p w:rsidR="000622A7" w:rsidRDefault="00A56AF4" w:rsidP="00062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3</w:t>
      </w:r>
      <w:r w:rsidR="000622A7">
        <w:rPr>
          <w:rStyle w:val="Footer1"/>
          <w:bCs/>
          <w:color w:val="000000"/>
        </w:rPr>
        <w:t>.</w:t>
      </w:r>
      <w:r w:rsidR="000622A7">
        <w:rPr>
          <w:rStyle w:val="Footer1"/>
          <w:bCs/>
          <w:color w:val="000000"/>
        </w:rPr>
        <w:tab/>
        <w:t>Use of Improved Information Technology and Burden Reduction</w:t>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p>
    <w:p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rsidR="000622A7" w:rsidRDefault="00A56AF4"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4</w:t>
      </w:r>
      <w:r w:rsidR="000622A7">
        <w:rPr>
          <w:rStyle w:val="Footer1"/>
          <w:bCs/>
          <w:color w:val="000000"/>
        </w:rPr>
        <w:t>.</w:t>
      </w:r>
      <w:r w:rsidR="000622A7">
        <w:rPr>
          <w:rStyle w:val="Footer1"/>
          <w:bCs/>
          <w:color w:val="000000"/>
        </w:rPr>
        <w:tab/>
        <w:t>Efforts to Identify Duplication and Use of Similar Information</w:t>
      </w:r>
      <w:r w:rsidR="000622A7">
        <w:rPr>
          <w:rStyle w:val="Footer1"/>
          <w:bCs/>
          <w:color w:val="000000"/>
        </w:rPr>
        <w:tab/>
      </w:r>
    </w:p>
    <w:p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ab/>
      </w:r>
      <w:r>
        <w:rPr>
          <w:rStyle w:val="Footer1"/>
          <w:bCs/>
          <w:color w:val="000000"/>
        </w:rPr>
        <w:tab/>
      </w:r>
      <w:r>
        <w:rPr>
          <w:rStyle w:val="Footer1"/>
          <w:bCs/>
          <w:color w:val="000000"/>
        </w:rPr>
        <w:tab/>
      </w:r>
    </w:p>
    <w:p w:rsidR="000622A7" w:rsidRDefault="00A56AF4"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5</w:t>
      </w:r>
      <w:r w:rsidR="000622A7">
        <w:rPr>
          <w:rStyle w:val="Footer1"/>
          <w:bCs/>
          <w:color w:val="000000"/>
        </w:rPr>
        <w:t>.</w:t>
      </w:r>
      <w:r w:rsidR="000622A7">
        <w:rPr>
          <w:rStyle w:val="Footer1"/>
          <w:bCs/>
          <w:color w:val="000000"/>
        </w:rPr>
        <w:tab/>
        <w:t>Impact on Small Businesses or Other Small Entities</w:t>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p>
    <w:p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rsidR="000622A7" w:rsidRDefault="00A56AF4"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6</w:t>
      </w:r>
      <w:r w:rsidR="000622A7">
        <w:rPr>
          <w:rStyle w:val="Footer1"/>
          <w:bCs/>
          <w:color w:val="000000"/>
        </w:rPr>
        <w:t>.</w:t>
      </w:r>
      <w:r w:rsidR="000622A7">
        <w:rPr>
          <w:rStyle w:val="Footer1"/>
          <w:bCs/>
          <w:color w:val="000000"/>
        </w:rPr>
        <w:tab/>
        <w:t>Consequences of Collecting the Information Less Frequently</w:t>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p>
    <w:p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rsidR="000622A7" w:rsidRDefault="00A56AF4"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7</w:t>
      </w:r>
      <w:r w:rsidR="000622A7">
        <w:rPr>
          <w:rStyle w:val="Footer1"/>
          <w:bCs/>
          <w:color w:val="000000"/>
        </w:rPr>
        <w:t>.</w:t>
      </w:r>
      <w:r w:rsidR="000622A7">
        <w:rPr>
          <w:rStyle w:val="Footer1"/>
          <w:bCs/>
          <w:color w:val="000000"/>
        </w:rPr>
        <w:tab/>
        <w:t>Special Circumstances Relating to the Guidelines of 5 CFR 1320.5</w:t>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p>
    <w:p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rsidR="000622A7" w:rsidRDefault="00A56AF4" w:rsidP="000622A7">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Style w:val="Footer1"/>
          <w:bCs/>
          <w:color w:val="000000"/>
        </w:rPr>
      </w:pPr>
      <w:r>
        <w:rPr>
          <w:rStyle w:val="Footer1"/>
          <w:bCs/>
          <w:color w:val="000000"/>
        </w:rPr>
        <w:t>8</w:t>
      </w:r>
      <w:r w:rsidR="000622A7">
        <w:rPr>
          <w:rStyle w:val="Footer1"/>
          <w:bCs/>
          <w:color w:val="000000"/>
        </w:rPr>
        <w:t>.</w:t>
      </w:r>
      <w:r w:rsidR="000622A7">
        <w:rPr>
          <w:rStyle w:val="Footer1"/>
          <w:bCs/>
          <w:color w:val="000000"/>
        </w:rPr>
        <w:tab/>
        <w:t>Comments in Response to the Federal Register Notice and Efforts to Consult Outside the Agency</w:t>
      </w:r>
      <w:r w:rsidR="000622A7">
        <w:rPr>
          <w:rStyle w:val="Footer1"/>
          <w:bCs/>
          <w:color w:val="000000"/>
        </w:rPr>
        <w:tab/>
      </w:r>
    </w:p>
    <w:p w:rsidR="00C66B2E" w:rsidRDefault="00C66B2E" w:rsidP="00C66B2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ab/>
        <w:t>a.</w:t>
      </w:r>
      <w:r>
        <w:rPr>
          <w:rStyle w:val="Footer1"/>
          <w:bCs/>
          <w:color w:val="000000"/>
        </w:rPr>
        <w:tab/>
      </w:r>
      <w:r>
        <w:rPr>
          <w:rStyle w:val="Footer1"/>
          <w:bCs/>
          <w:color w:val="000000"/>
        </w:rPr>
        <w:tab/>
      </w:r>
      <w:r w:rsidR="002426B8">
        <w:rPr>
          <w:rStyle w:val="Footer1"/>
          <w:bCs/>
          <w:color w:val="000000"/>
        </w:rPr>
        <w:t>Federal Register Announcement</w:t>
      </w:r>
    </w:p>
    <w:p w:rsidR="000622A7" w:rsidRDefault="00C66B2E" w:rsidP="00C66B2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Style w:val="Footer1"/>
          <w:bCs/>
          <w:color w:val="000000"/>
        </w:rPr>
      </w:pPr>
      <w:r>
        <w:rPr>
          <w:rStyle w:val="Footer1"/>
          <w:bCs/>
          <w:color w:val="000000"/>
        </w:rPr>
        <w:tab/>
        <w:t>b.</w:t>
      </w:r>
      <w:r>
        <w:rPr>
          <w:rStyle w:val="Footer1"/>
          <w:bCs/>
          <w:color w:val="000000"/>
        </w:rPr>
        <w:tab/>
      </w:r>
      <w:r>
        <w:rPr>
          <w:rStyle w:val="Footer1"/>
          <w:bCs/>
          <w:color w:val="000000"/>
        </w:rPr>
        <w:tab/>
      </w:r>
      <w:r w:rsidR="002426B8">
        <w:rPr>
          <w:rStyle w:val="Footer1"/>
          <w:bCs/>
          <w:color w:val="000000"/>
        </w:rPr>
        <w:t>Consultations</w:t>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p>
    <w:p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rsidR="000622A7" w:rsidRDefault="00A56AF4"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9</w:t>
      </w:r>
      <w:r w:rsidR="000622A7">
        <w:rPr>
          <w:rStyle w:val="Footer1"/>
          <w:bCs/>
          <w:color w:val="000000"/>
        </w:rPr>
        <w:t>.</w:t>
      </w:r>
      <w:r w:rsidR="000622A7">
        <w:rPr>
          <w:rStyle w:val="Footer1"/>
          <w:bCs/>
          <w:color w:val="000000"/>
        </w:rPr>
        <w:tab/>
        <w:t>Explanation of Any Payment or Gift to Respondents</w:t>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p>
    <w:p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rsidR="000622A7" w:rsidRDefault="006C5FBA" w:rsidP="00C175E3">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Style w:val="Footer1"/>
          <w:bCs/>
          <w:color w:val="000000"/>
        </w:rPr>
      </w:pPr>
      <w:r>
        <w:rPr>
          <w:rStyle w:val="Footer1"/>
          <w:bCs/>
          <w:color w:val="000000"/>
        </w:rPr>
        <w:t>1</w:t>
      </w:r>
      <w:r w:rsidR="00A56AF4">
        <w:rPr>
          <w:rStyle w:val="Footer1"/>
          <w:bCs/>
          <w:color w:val="000000"/>
        </w:rPr>
        <w:t>0</w:t>
      </w:r>
      <w:r w:rsidR="000622A7">
        <w:rPr>
          <w:rStyle w:val="Footer1"/>
          <w:bCs/>
          <w:color w:val="000000"/>
        </w:rPr>
        <w:t>.</w:t>
      </w:r>
      <w:r w:rsidR="000622A7">
        <w:rPr>
          <w:rStyle w:val="Footer1"/>
          <w:bCs/>
          <w:color w:val="000000"/>
        </w:rPr>
        <w:tab/>
      </w:r>
      <w:r w:rsidR="00C175E3">
        <w:rPr>
          <w:rStyle w:val="Footer1"/>
          <w:bCs/>
          <w:color w:val="000000"/>
        </w:rPr>
        <w:t>Protection of the Privacy and Confidentiality of Information Provided by Respondents</w:t>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p>
    <w:p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rsidR="000622A7" w:rsidRDefault="006C5FBA" w:rsidP="008369C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Style w:val="Footer1"/>
          <w:bCs/>
          <w:color w:val="000000"/>
        </w:rPr>
      </w:pPr>
      <w:r>
        <w:rPr>
          <w:rStyle w:val="Footer1"/>
          <w:bCs/>
          <w:color w:val="000000"/>
        </w:rPr>
        <w:t>1</w:t>
      </w:r>
      <w:r w:rsidR="00A56AF4">
        <w:rPr>
          <w:rStyle w:val="Footer1"/>
          <w:bCs/>
          <w:color w:val="000000"/>
        </w:rPr>
        <w:t>1</w:t>
      </w:r>
      <w:r w:rsidR="000622A7">
        <w:rPr>
          <w:rStyle w:val="Footer1"/>
          <w:bCs/>
          <w:color w:val="000000"/>
        </w:rPr>
        <w:t>.</w:t>
      </w:r>
      <w:r w:rsidR="000622A7">
        <w:rPr>
          <w:rStyle w:val="Footer1"/>
          <w:bCs/>
          <w:color w:val="000000"/>
        </w:rPr>
        <w:tab/>
      </w:r>
      <w:r w:rsidR="00C175E3">
        <w:rPr>
          <w:rStyle w:val="Footer1"/>
          <w:bCs/>
          <w:color w:val="000000"/>
        </w:rPr>
        <w:t>Institutional Review Board (IRB) and Justification for Sensitive Questions</w:t>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p>
    <w:p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rsidR="000622A7" w:rsidRDefault="006C5FBA"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1</w:t>
      </w:r>
      <w:r w:rsidR="00A56AF4">
        <w:rPr>
          <w:rStyle w:val="Footer1"/>
          <w:bCs/>
          <w:color w:val="000000"/>
        </w:rPr>
        <w:t>2</w:t>
      </w:r>
      <w:r w:rsidR="000622A7">
        <w:rPr>
          <w:rStyle w:val="Footer1"/>
          <w:bCs/>
          <w:color w:val="000000"/>
        </w:rPr>
        <w:t>.</w:t>
      </w:r>
      <w:r w:rsidR="000622A7">
        <w:rPr>
          <w:rStyle w:val="Footer1"/>
          <w:bCs/>
          <w:color w:val="000000"/>
        </w:rPr>
        <w:tab/>
        <w:t>Estimates of Annualized Burden Hours and Costs</w:t>
      </w:r>
    </w:p>
    <w:p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rsidR="000622A7" w:rsidRDefault="006C5FBA"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1</w:t>
      </w:r>
      <w:r w:rsidR="00A56AF4">
        <w:rPr>
          <w:rStyle w:val="Footer1"/>
          <w:bCs/>
          <w:color w:val="000000"/>
        </w:rPr>
        <w:t>3</w:t>
      </w:r>
      <w:r w:rsidR="000622A7">
        <w:rPr>
          <w:rStyle w:val="Footer1"/>
          <w:bCs/>
          <w:color w:val="000000"/>
        </w:rPr>
        <w:t>.</w:t>
      </w:r>
      <w:r w:rsidR="000622A7">
        <w:rPr>
          <w:rStyle w:val="Footer1"/>
          <w:bCs/>
          <w:color w:val="000000"/>
        </w:rPr>
        <w:tab/>
        <w:t>Estimates of Other Total Annual Cost Burden to Respondents or Record Keepers</w:t>
      </w:r>
      <w:r w:rsidR="000622A7">
        <w:rPr>
          <w:rStyle w:val="Footer1"/>
          <w:bCs/>
          <w:color w:val="000000"/>
        </w:rPr>
        <w:tab/>
      </w:r>
      <w:r w:rsidR="000622A7">
        <w:rPr>
          <w:rStyle w:val="Footer1"/>
          <w:bCs/>
          <w:color w:val="000000"/>
        </w:rPr>
        <w:tab/>
      </w:r>
    </w:p>
    <w:p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rsidR="000622A7" w:rsidRDefault="006C5FBA" w:rsidP="000622A7">
      <w:pPr>
        <w:tabs>
          <w:tab w:val="left" w:pos="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1</w:t>
      </w:r>
      <w:r w:rsidR="00A56AF4">
        <w:rPr>
          <w:rStyle w:val="Footer1"/>
          <w:bCs/>
          <w:color w:val="000000"/>
        </w:rPr>
        <w:t>4</w:t>
      </w:r>
      <w:r w:rsidR="000622A7">
        <w:rPr>
          <w:rStyle w:val="Footer1"/>
          <w:bCs/>
          <w:color w:val="000000"/>
        </w:rPr>
        <w:t>.</w:t>
      </w:r>
      <w:r w:rsidR="000622A7">
        <w:rPr>
          <w:rStyle w:val="Footer1"/>
          <w:bCs/>
          <w:color w:val="000000"/>
        </w:rPr>
        <w:tab/>
        <w:t>Annualized Cost to the Government</w:t>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p>
    <w:p w:rsidR="000622A7" w:rsidRDefault="000622A7" w:rsidP="000622A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rsidR="000622A7" w:rsidRDefault="006C5FBA"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1</w:t>
      </w:r>
      <w:r w:rsidR="00A56AF4">
        <w:rPr>
          <w:rStyle w:val="Footer1"/>
          <w:bCs/>
          <w:color w:val="000000"/>
        </w:rPr>
        <w:t>5</w:t>
      </w:r>
      <w:r w:rsidR="000622A7">
        <w:rPr>
          <w:rStyle w:val="Footer1"/>
          <w:bCs/>
          <w:color w:val="000000"/>
        </w:rPr>
        <w:t>.</w:t>
      </w:r>
      <w:r w:rsidR="000622A7">
        <w:rPr>
          <w:rStyle w:val="Footer1"/>
          <w:bCs/>
          <w:color w:val="000000"/>
        </w:rPr>
        <w:tab/>
        <w:t>Explanation for Program Changes or Adjustments</w:t>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r w:rsidR="000622A7">
        <w:rPr>
          <w:rStyle w:val="Footer1"/>
          <w:bCs/>
          <w:color w:val="000000"/>
        </w:rPr>
        <w:tab/>
      </w:r>
    </w:p>
    <w:p w:rsidR="000622A7" w:rsidRDefault="000622A7"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rsidR="000622A7" w:rsidRDefault="006C5FBA"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1</w:t>
      </w:r>
      <w:r w:rsidR="00A56AF4">
        <w:rPr>
          <w:rStyle w:val="Footer1"/>
          <w:bCs/>
          <w:color w:val="000000"/>
        </w:rPr>
        <w:t>6</w:t>
      </w:r>
      <w:r w:rsidR="000622A7">
        <w:rPr>
          <w:rStyle w:val="Footer1"/>
          <w:bCs/>
          <w:color w:val="000000"/>
        </w:rPr>
        <w:t>.</w:t>
      </w:r>
      <w:r w:rsidR="000622A7">
        <w:rPr>
          <w:rStyle w:val="Footer1"/>
          <w:bCs/>
          <w:color w:val="000000"/>
        </w:rPr>
        <w:tab/>
        <w:t>Plans for Tabulation and Publication and Project Time Schedule</w:t>
      </w:r>
    </w:p>
    <w:p w:rsidR="000622A7" w:rsidRDefault="000622A7"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ab/>
        <w:t>a.</w:t>
      </w:r>
      <w:r>
        <w:rPr>
          <w:rStyle w:val="Footer1"/>
          <w:bCs/>
          <w:color w:val="000000"/>
        </w:rPr>
        <w:tab/>
      </w:r>
      <w:r>
        <w:rPr>
          <w:rStyle w:val="Footer1"/>
          <w:bCs/>
          <w:color w:val="000000"/>
        </w:rPr>
        <w:tab/>
        <w:t>Tabulation Plans</w:t>
      </w:r>
    </w:p>
    <w:p w:rsidR="000622A7" w:rsidRDefault="000622A7"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ab/>
        <w:t>b.</w:t>
      </w:r>
      <w:r>
        <w:rPr>
          <w:rStyle w:val="Footer1"/>
          <w:bCs/>
          <w:color w:val="000000"/>
        </w:rPr>
        <w:tab/>
      </w:r>
      <w:r>
        <w:rPr>
          <w:rStyle w:val="Footer1"/>
          <w:bCs/>
          <w:color w:val="000000"/>
        </w:rPr>
        <w:tab/>
        <w:t>Publication Plans</w:t>
      </w:r>
      <w:r>
        <w:rPr>
          <w:rStyle w:val="Footer1"/>
          <w:bCs/>
          <w:color w:val="000000"/>
        </w:rPr>
        <w:tab/>
      </w:r>
    </w:p>
    <w:p w:rsidR="000622A7" w:rsidRDefault="000622A7"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ab/>
        <w:t>c.</w:t>
      </w:r>
      <w:r>
        <w:rPr>
          <w:rStyle w:val="Footer1"/>
          <w:bCs/>
          <w:color w:val="000000"/>
        </w:rPr>
        <w:tab/>
      </w:r>
      <w:r>
        <w:rPr>
          <w:rStyle w:val="Footer1"/>
          <w:bCs/>
          <w:color w:val="000000"/>
        </w:rPr>
        <w:tab/>
        <w:t>Time Schedule for the Project</w:t>
      </w:r>
    </w:p>
    <w:p w:rsidR="000622A7" w:rsidRDefault="000622A7"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rsidR="000622A7" w:rsidRDefault="006C5FBA"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1</w:t>
      </w:r>
      <w:r w:rsidR="00A56AF4">
        <w:rPr>
          <w:rStyle w:val="Footer1"/>
          <w:bCs/>
          <w:color w:val="000000"/>
        </w:rPr>
        <w:t>7</w:t>
      </w:r>
      <w:r w:rsidR="000622A7">
        <w:rPr>
          <w:rStyle w:val="Footer1"/>
          <w:bCs/>
          <w:color w:val="000000"/>
        </w:rPr>
        <w:t>.</w:t>
      </w:r>
      <w:r w:rsidR="000622A7">
        <w:rPr>
          <w:rStyle w:val="Footer1"/>
          <w:bCs/>
          <w:color w:val="000000"/>
        </w:rPr>
        <w:tab/>
        <w:t>Reason(s) Display of OMB Expiration Date is Appropriate</w:t>
      </w:r>
    </w:p>
    <w:p w:rsidR="000622A7" w:rsidRDefault="000622A7"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p>
    <w:p w:rsidR="000622A7" w:rsidRDefault="006C5FBA" w:rsidP="000622A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er1"/>
          <w:bCs/>
          <w:color w:val="000000"/>
        </w:rPr>
      </w:pPr>
      <w:r>
        <w:rPr>
          <w:rStyle w:val="Footer1"/>
          <w:bCs/>
          <w:color w:val="000000"/>
        </w:rPr>
        <w:t>1</w:t>
      </w:r>
      <w:r w:rsidR="00A56AF4">
        <w:rPr>
          <w:rStyle w:val="Footer1"/>
          <w:bCs/>
          <w:color w:val="000000"/>
        </w:rPr>
        <w:t>8</w:t>
      </w:r>
      <w:r w:rsidR="000622A7">
        <w:rPr>
          <w:rStyle w:val="Footer1"/>
          <w:bCs/>
          <w:color w:val="000000"/>
        </w:rPr>
        <w:t>.</w:t>
      </w:r>
      <w:r w:rsidR="000622A7">
        <w:rPr>
          <w:rStyle w:val="Footer1"/>
          <w:bCs/>
          <w:color w:val="000000"/>
        </w:rPr>
        <w:tab/>
        <w:t>Exceptions to Certification for Paperwork Reduction Act Submissions</w:t>
      </w:r>
    </w:p>
    <w:p w:rsidR="000622A7" w:rsidRPr="007D0DDB" w:rsidRDefault="000622A7" w:rsidP="000622A7">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p>
    <w:p w:rsidR="000622A7" w:rsidRDefault="000622A7" w:rsidP="000622A7">
      <w:pPr>
        <w:rPr>
          <w:b/>
          <w:color w:val="000000"/>
        </w:rPr>
      </w:pPr>
    </w:p>
    <w:p w:rsidR="00CF62A5" w:rsidRDefault="000622A7" w:rsidP="000622A7">
      <w:pPr>
        <w:rPr>
          <w:b/>
        </w:rPr>
      </w:pPr>
      <w:r>
        <w:rPr>
          <w:b/>
          <w:color w:val="000000"/>
        </w:rPr>
        <w:t>REFERENCES</w:t>
      </w:r>
    </w:p>
    <w:p w:rsidR="00E00728" w:rsidRDefault="00E00728">
      <w:pPr>
        <w:rPr>
          <w:rStyle w:val="Footer11"/>
          <w:bCs/>
        </w:rPr>
      </w:pPr>
      <w:r>
        <w:rPr>
          <w:rStyle w:val="Footer11"/>
          <w:bCs/>
        </w:rPr>
        <w:br w:type="page"/>
      </w:r>
    </w:p>
    <w:p w:rsidR="0055273A" w:rsidRDefault="0055273A" w:rsidP="0047342B">
      <w:pPr>
        <w:spacing w:line="232" w:lineRule="auto"/>
        <w:rPr>
          <w:rStyle w:val="Footer11"/>
          <w:bCs/>
        </w:rPr>
      </w:pPr>
    </w:p>
    <w:p w:rsidR="00E00728" w:rsidRDefault="00E00728" w:rsidP="00E00728">
      <w:pPr>
        <w:pStyle w:val="Level9"/>
        <w:widowControl/>
        <w:ind w:right="-270"/>
        <w:jc w:val="center"/>
        <w:rPr>
          <w:rStyle w:val="Footer11"/>
          <w:bCs/>
        </w:rPr>
      </w:pPr>
      <w:r>
        <w:rPr>
          <w:rStyle w:val="Footer11"/>
          <w:bCs/>
        </w:rPr>
        <w:t xml:space="preserve">LIST OF </w:t>
      </w:r>
      <w:r w:rsidR="00994469">
        <w:rPr>
          <w:rStyle w:val="Footer11"/>
          <w:bCs/>
        </w:rPr>
        <w:t>APPENDIX</w:t>
      </w:r>
    </w:p>
    <w:p w:rsidR="00B853AC" w:rsidRDefault="00B853AC" w:rsidP="00E00728">
      <w:pPr>
        <w:tabs>
          <w:tab w:val="left" w:pos="2240"/>
        </w:tabs>
        <w:spacing w:line="232" w:lineRule="auto"/>
        <w:rPr>
          <w:color w:val="000000"/>
        </w:rPr>
      </w:pPr>
    </w:p>
    <w:p w:rsidR="00286823" w:rsidRDefault="00286823" w:rsidP="00B853AC"/>
    <w:p w:rsidR="003D69C9" w:rsidRDefault="003D69C9" w:rsidP="003D69C9">
      <w:pPr>
        <w:rPr>
          <w:sz w:val="22"/>
          <w:szCs w:val="22"/>
        </w:rPr>
      </w:pPr>
      <w:r>
        <w:t>A-1.     Public Health Service Act</w:t>
      </w:r>
    </w:p>
    <w:p w:rsidR="003D69C9" w:rsidRDefault="003D69C9" w:rsidP="003D69C9">
      <w:r>
        <w:t>A-2.     American Recovery and Reinvestment Act of 2009</w:t>
      </w:r>
    </w:p>
    <w:p w:rsidR="003D69C9" w:rsidRDefault="003D69C9" w:rsidP="003D69C9">
      <w:r>
        <w:t>A-3.     Affordable Care Act/ Prevention and Public Health Funds</w:t>
      </w:r>
    </w:p>
    <w:p w:rsidR="00B14097" w:rsidRDefault="00B14097" w:rsidP="003D69C9">
      <w:r>
        <w:t>A-4.</w:t>
      </w:r>
      <w:r>
        <w:tab/>
        <w:t>60-Day Federal Register Notice</w:t>
      </w:r>
    </w:p>
    <w:p w:rsidR="00B14097" w:rsidRDefault="00B14097" w:rsidP="003D69C9">
      <w:r>
        <w:t>A-5.</w:t>
      </w:r>
      <w:r>
        <w:tab/>
        <w:t xml:space="preserve">Public Comments and Responses </w:t>
      </w:r>
    </w:p>
    <w:p w:rsidR="00DF070D" w:rsidRDefault="00373CD7" w:rsidP="00C500C1">
      <w:r>
        <w:t> </w:t>
      </w:r>
    </w:p>
    <w:p w:rsidR="00C500C1" w:rsidRPr="00DF070D" w:rsidRDefault="00373CD7" w:rsidP="00C500C1">
      <w:r>
        <w:t>B</w:t>
      </w:r>
      <w:r w:rsidR="00DF070D">
        <w:t xml:space="preserve">. </w:t>
      </w:r>
      <w:r w:rsidR="00DF070D">
        <w:tab/>
      </w:r>
      <w:r w:rsidR="00C500C1" w:rsidRPr="00354BBE">
        <w:rPr>
          <w:bCs/>
        </w:rPr>
        <w:t>Instructions for Submitting Summary Caller Intake and 7-Month Follow-Up Data to CDC</w:t>
      </w:r>
    </w:p>
    <w:p w:rsidR="00C500C1" w:rsidRDefault="00C500C1" w:rsidP="003D69C9"/>
    <w:p w:rsidR="00CD1A9E" w:rsidRDefault="00373CD7" w:rsidP="00CD1A9E">
      <w:r>
        <w:t>C</w:t>
      </w:r>
      <w:r w:rsidR="00CD1A9E">
        <w:t>.</w:t>
      </w:r>
      <w:r>
        <w:t xml:space="preserve">     </w:t>
      </w:r>
      <w:r w:rsidR="00CD1A9E">
        <w:tab/>
        <w:t>NQDW Quitline Services Survey</w:t>
      </w:r>
    </w:p>
    <w:p w:rsidR="003D69C9" w:rsidRDefault="003D69C9" w:rsidP="003D69C9"/>
    <w:p w:rsidR="003D69C9" w:rsidRDefault="009E1076" w:rsidP="003D69C9">
      <w:r>
        <w:t>D</w:t>
      </w:r>
      <w:r w:rsidR="003D69C9">
        <w:t>.        Consultants on NQDW</w:t>
      </w:r>
    </w:p>
    <w:p w:rsidR="003D69C9" w:rsidRDefault="003D69C9" w:rsidP="003D69C9">
      <w:r>
        <w:t> </w:t>
      </w:r>
    </w:p>
    <w:p w:rsidR="003D69C9" w:rsidRDefault="009E1076" w:rsidP="003D69C9">
      <w:r>
        <w:t>E</w:t>
      </w:r>
      <w:r w:rsidR="003D69C9">
        <w:t>-1</w:t>
      </w:r>
      <w:r w:rsidR="00F028EB">
        <w:t>.</w:t>
      </w:r>
      <w:r w:rsidR="003D69C9">
        <w:t xml:space="preserve"> </w:t>
      </w:r>
      <w:r w:rsidR="0089325B">
        <w:tab/>
      </w:r>
      <w:r w:rsidR="003D69C9">
        <w:t xml:space="preserve">NQDW Intake Questionnaire </w:t>
      </w:r>
    </w:p>
    <w:p w:rsidR="003D69C9" w:rsidRDefault="009E1076" w:rsidP="003D69C9">
      <w:r>
        <w:t>E</w:t>
      </w:r>
      <w:r w:rsidR="003D69C9">
        <w:t>-2</w:t>
      </w:r>
      <w:r w:rsidR="00F028EB">
        <w:t>.</w:t>
      </w:r>
      <w:r w:rsidR="003D69C9">
        <w:t xml:space="preserve"> </w:t>
      </w:r>
      <w:r w:rsidR="0089325B">
        <w:tab/>
      </w:r>
      <w:r w:rsidR="003D69C9">
        <w:t>NQDW Intake Questionnaire</w:t>
      </w:r>
      <w:r w:rsidR="004F4A42">
        <w:t>_subset</w:t>
      </w:r>
    </w:p>
    <w:p w:rsidR="00F028EB" w:rsidRDefault="00F028EB" w:rsidP="003D69C9"/>
    <w:p w:rsidR="003D69C9" w:rsidRDefault="009E1076" w:rsidP="003D69C9">
      <w:r>
        <w:t>F</w:t>
      </w:r>
      <w:r w:rsidR="00F028EB">
        <w:t>-1.</w:t>
      </w:r>
      <w:r w:rsidR="003D69C9">
        <w:t xml:space="preserve"> </w:t>
      </w:r>
      <w:r w:rsidR="0089325B">
        <w:tab/>
      </w:r>
      <w:r w:rsidR="004F4A42">
        <w:t>NQDW_</w:t>
      </w:r>
      <w:r w:rsidR="003D69C9">
        <w:t>ASQ Intake Questionnaire</w:t>
      </w:r>
      <w:r w:rsidR="004F4A42">
        <w:t>_Chinese</w:t>
      </w:r>
    </w:p>
    <w:p w:rsidR="003D69C9" w:rsidRDefault="009E1076" w:rsidP="003D69C9">
      <w:r>
        <w:t>F</w:t>
      </w:r>
      <w:r w:rsidR="00F028EB">
        <w:t>-2.</w:t>
      </w:r>
      <w:r w:rsidR="003D69C9">
        <w:t xml:space="preserve"> </w:t>
      </w:r>
      <w:r w:rsidR="0089325B">
        <w:tab/>
      </w:r>
      <w:r w:rsidR="004F4A42">
        <w:t>NQDW_</w:t>
      </w:r>
      <w:r w:rsidR="003D69C9">
        <w:t>ASQ Intake Questionnaire</w:t>
      </w:r>
      <w:r w:rsidR="004F4A42">
        <w:t>_Korean</w:t>
      </w:r>
    </w:p>
    <w:p w:rsidR="003D69C9" w:rsidRDefault="009E1076" w:rsidP="003D69C9">
      <w:r>
        <w:t>F</w:t>
      </w:r>
      <w:r w:rsidR="00F028EB">
        <w:t>-3.</w:t>
      </w:r>
      <w:r w:rsidR="003D69C9">
        <w:t xml:space="preserve"> </w:t>
      </w:r>
      <w:r w:rsidR="0089325B">
        <w:tab/>
      </w:r>
      <w:r w:rsidR="004F4A42">
        <w:t>NQDW_</w:t>
      </w:r>
      <w:r w:rsidR="003D69C9">
        <w:t>ASQ Intake Questionnaire</w:t>
      </w:r>
      <w:r w:rsidR="004F4A42">
        <w:t>_Vietnamese</w:t>
      </w:r>
    </w:p>
    <w:p w:rsidR="002426B8" w:rsidRDefault="009E1076" w:rsidP="002426B8">
      <w:r>
        <w:t>F</w:t>
      </w:r>
      <w:r w:rsidR="002426B8">
        <w:t>-4.</w:t>
      </w:r>
      <w:r w:rsidR="002426B8">
        <w:tab/>
        <w:t>NQDW Intake Questionnaire_subset_Chinese</w:t>
      </w:r>
    </w:p>
    <w:p w:rsidR="002426B8" w:rsidRDefault="009E1076" w:rsidP="002426B8">
      <w:r>
        <w:t>F</w:t>
      </w:r>
      <w:r w:rsidR="002426B8">
        <w:t>-5.</w:t>
      </w:r>
      <w:r w:rsidR="002426B8">
        <w:tab/>
        <w:t>NQDW Intake Questionnaire_subset_Korean</w:t>
      </w:r>
    </w:p>
    <w:p w:rsidR="002426B8" w:rsidRDefault="009E1076" w:rsidP="002426B8">
      <w:r>
        <w:t>F</w:t>
      </w:r>
      <w:r w:rsidR="002426B8">
        <w:t>-6.</w:t>
      </w:r>
      <w:r w:rsidR="002426B8">
        <w:tab/>
        <w:t>NQDW Intake Questionnaire_subset_Vietnamese</w:t>
      </w:r>
    </w:p>
    <w:p w:rsidR="003D69C9" w:rsidRDefault="003D69C9" w:rsidP="003D69C9"/>
    <w:p w:rsidR="003D69C9" w:rsidRDefault="009E1076" w:rsidP="003D69C9">
      <w:r>
        <w:t>G</w:t>
      </w:r>
      <w:r w:rsidR="00F028EB">
        <w:t>-1.</w:t>
      </w:r>
      <w:r w:rsidR="003D69C9">
        <w:t xml:space="preserve"> </w:t>
      </w:r>
      <w:r w:rsidR="0089325B">
        <w:tab/>
      </w:r>
      <w:r w:rsidR="004F4A42">
        <w:t>NQDW_</w:t>
      </w:r>
      <w:r w:rsidR="003D69C9">
        <w:t>ASQ 7-Month Follow-up Questionnaire</w:t>
      </w:r>
      <w:r w:rsidR="004F4A42">
        <w:t>_English</w:t>
      </w:r>
    </w:p>
    <w:p w:rsidR="003D69C9" w:rsidRDefault="009E1076" w:rsidP="003D69C9">
      <w:r>
        <w:t>G</w:t>
      </w:r>
      <w:r w:rsidR="00F028EB">
        <w:t>-2.</w:t>
      </w:r>
      <w:r w:rsidR="003D69C9">
        <w:t xml:space="preserve"> </w:t>
      </w:r>
      <w:r w:rsidR="0089325B">
        <w:tab/>
      </w:r>
      <w:r w:rsidR="004F4A42">
        <w:t>NQDW_</w:t>
      </w:r>
      <w:r w:rsidR="003D69C9">
        <w:t>ASQ 7-Month Follow-up Questionnaire</w:t>
      </w:r>
      <w:r w:rsidR="004F4A42">
        <w:t>_Chinese</w:t>
      </w:r>
    </w:p>
    <w:p w:rsidR="003D69C9" w:rsidRDefault="009E1076" w:rsidP="003D69C9">
      <w:r>
        <w:t>G</w:t>
      </w:r>
      <w:r w:rsidR="00F028EB">
        <w:t>-3.</w:t>
      </w:r>
      <w:r w:rsidR="003D69C9">
        <w:t xml:space="preserve"> </w:t>
      </w:r>
      <w:r w:rsidR="0089325B">
        <w:tab/>
      </w:r>
      <w:r w:rsidR="004F4A42">
        <w:t>NQDW_</w:t>
      </w:r>
      <w:r w:rsidR="003D69C9">
        <w:t xml:space="preserve"> ASQ 7-Month Follow-up Questionnaire</w:t>
      </w:r>
      <w:r w:rsidR="004F4A42">
        <w:t>_Korean</w:t>
      </w:r>
    </w:p>
    <w:p w:rsidR="003D69C9" w:rsidRDefault="009E1076" w:rsidP="003D69C9">
      <w:r>
        <w:t>G</w:t>
      </w:r>
      <w:r w:rsidR="00F028EB">
        <w:t>-4.</w:t>
      </w:r>
      <w:r w:rsidR="003D69C9">
        <w:t xml:space="preserve"> </w:t>
      </w:r>
      <w:r w:rsidR="0089325B">
        <w:tab/>
      </w:r>
      <w:r w:rsidR="004F4A42">
        <w:t>NQDW_</w:t>
      </w:r>
      <w:r w:rsidR="003D69C9">
        <w:t>ASQ 7-Month Follow-up Questionnaire</w:t>
      </w:r>
      <w:r w:rsidR="004F4A42">
        <w:t>_Vietnamese</w:t>
      </w:r>
    </w:p>
    <w:p w:rsidR="003D69C9" w:rsidRDefault="003D69C9" w:rsidP="003D69C9"/>
    <w:p w:rsidR="00DF070D" w:rsidRPr="00D31186" w:rsidRDefault="009E1076" w:rsidP="00DF070D">
      <w:r>
        <w:t>H</w:t>
      </w:r>
      <w:r w:rsidR="00DF070D" w:rsidRPr="00D31186">
        <w:t>-1.</w:t>
      </w:r>
      <w:r w:rsidR="00DF070D" w:rsidRPr="00D31186">
        <w:tab/>
        <w:t>Request Email for Submitting Summary Caller Intake Data to CDC</w:t>
      </w:r>
    </w:p>
    <w:p w:rsidR="00DF070D" w:rsidRPr="00D31186" w:rsidRDefault="009E1076" w:rsidP="00DF070D">
      <w:r>
        <w:t>H</w:t>
      </w:r>
      <w:r w:rsidR="00DF070D" w:rsidRPr="00D31186">
        <w:t xml:space="preserve">-2. </w:t>
      </w:r>
      <w:r w:rsidR="00DF070D" w:rsidRPr="00D31186">
        <w:tab/>
        <w:t>Reminder Email for Non-Respondents for Intake data submission</w:t>
      </w:r>
    </w:p>
    <w:p w:rsidR="00DF070D" w:rsidRPr="00D31186" w:rsidRDefault="009E1076" w:rsidP="00DF070D">
      <w:pPr>
        <w:ind w:left="960" w:hanging="960"/>
      </w:pPr>
      <w:r>
        <w:t>H</w:t>
      </w:r>
      <w:r w:rsidR="00DF070D" w:rsidRPr="00D31186">
        <w:t>-3.</w:t>
      </w:r>
      <w:r w:rsidR="00E02F24">
        <w:t xml:space="preserve">    </w:t>
      </w:r>
      <w:r w:rsidR="00563B80">
        <w:t xml:space="preserve"> </w:t>
      </w:r>
      <w:r w:rsidR="00DF070D" w:rsidRPr="00D31186">
        <w:t>Request Email for Submitting NQDW ASQ 7-month Follow-up data</w:t>
      </w:r>
    </w:p>
    <w:p w:rsidR="00DF070D" w:rsidRPr="00563B80" w:rsidRDefault="009E1076" w:rsidP="00DF070D">
      <w:pPr>
        <w:ind w:left="960" w:hanging="960"/>
      </w:pPr>
      <w:r>
        <w:t>H</w:t>
      </w:r>
      <w:r w:rsidR="00DF070D" w:rsidRPr="00563B80">
        <w:t>-4.     Reminder Email for Non-Respondents for ASQ 7-month Follow-up data</w:t>
      </w:r>
    </w:p>
    <w:p w:rsidR="00DF070D" w:rsidRPr="00563B80" w:rsidRDefault="009E1076" w:rsidP="00DF070D">
      <w:r>
        <w:t>H</w:t>
      </w:r>
      <w:r w:rsidR="00DF070D" w:rsidRPr="00563B80">
        <w:t xml:space="preserve">-5.  </w:t>
      </w:r>
      <w:r w:rsidR="00DF070D" w:rsidRPr="00563B80">
        <w:tab/>
        <w:t xml:space="preserve">Request Email for the NQDW Quitlines Services Survey </w:t>
      </w:r>
    </w:p>
    <w:p w:rsidR="00DF070D" w:rsidRPr="00563B80" w:rsidRDefault="009E1076" w:rsidP="00DF070D">
      <w:r>
        <w:t>H</w:t>
      </w:r>
      <w:r w:rsidR="00DF070D" w:rsidRPr="00563B80">
        <w:t xml:space="preserve">-6.  </w:t>
      </w:r>
      <w:r w:rsidR="00DF070D" w:rsidRPr="00563B80">
        <w:tab/>
        <w:t xml:space="preserve">Reminder Email for Non-Respondents the NQDW Services Survey </w:t>
      </w:r>
    </w:p>
    <w:p w:rsidR="003D69C9" w:rsidRPr="00563B80" w:rsidRDefault="003D69C9" w:rsidP="003D69C9"/>
    <w:p w:rsidR="003D69C9" w:rsidRPr="00563B80" w:rsidRDefault="009E1076" w:rsidP="00DF070D">
      <w:r>
        <w:t>I</w:t>
      </w:r>
      <w:r w:rsidR="00DF070D" w:rsidRPr="00563B80">
        <w:t>.</w:t>
      </w:r>
      <w:r w:rsidR="00DF070D" w:rsidRPr="00563B80">
        <w:tab/>
      </w:r>
      <w:r w:rsidR="003D69C9" w:rsidRPr="00563B80">
        <w:t>Sample Table shells</w:t>
      </w:r>
    </w:p>
    <w:p w:rsidR="00FA6F49" w:rsidRPr="00563B80" w:rsidRDefault="00FA6F49" w:rsidP="00FA6F49">
      <w:pPr>
        <w:pStyle w:val="ListParagraph"/>
      </w:pPr>
    </w:p>
    <w:p w:rsidR="00D67539" w:rsidRPr="00563B80" w:rsidRDefault="00D67539"/>
    <w:p w:rsidR="00E00728" w:rsidRPr="00563B80" w:rsidRDefault="00E00728" w:rsidP="00E00728"/>
    <w:p w:rsidR="0029194A" w:rsidRPr="00563B80" w:rsidRDefault="0029194A" w:rsidP="0029194A">
      <w:pPr>
        <w:tabs>
          <w:tab w:val="num" w:pos="720"/>
        </w:tabs>
      </w:pPr>
    </w:p>
    <w:p w:rsidR="0055273A" w:rsidRDefault="0055273A" w:rsidP="007F17E7">
      <w:pPr>
        <w:spacing w:after="120"/>
        <w:ind w:left="-360"/>
      </w:pPr>
      <w:r>
        <w:rPr>
          <w:noProof/>
        </w:rPr>
        <mc:AlternateContent>
          <mc:Choice Requires="wps">
            <w:drawing>
              <wp:inline distT="0" distB="0" distL="0" distR="0" wp14:anchorId="580CD494" wp14:editId="7F44090E">
                <wp:extent cx="6083300" cy="5031740"/>
                <wp:effectExtent l="0" t="0" r="38100"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5031740"/>
                        </a:xfrm>
                        <a:prstGeom prst="rect">
                          <a:avLst/>
                        </a:prstGeom>
                        <a:solidFill>
                          <a:srgbClr val="FFFFFF"/>
                        </a:solidFill>
                        <a:ln w="9525">
                          <a:solidFill>
                            <a:srgbClr val="000000"/>
                          </a:solidFill>
                          <a:miter lim="800000"/>
                          <a:headEnd/>
                          <a:tailEnd/>
                        </a:ln>
                      </wps:spPr>
                      <wps:txbx>
                        <w:txbxContent>
                          <w:p w:rsidR="00D33999" w:rsidRPr="0055273A" w:rsidRDefault="00D33999" w:rsidP="00A558A7">
                            <w:pPr>
                              <w:spacing w:after="60"/>
                              <w:rPr>
                                <w:sz w:val="20"/>
                                <w:szCs w:val="20"/>
                              </w:rPr>
                            </w:pPr>
                            <w:r w:rsidRPr="00A558A7">
                              <w:rPr>
                                <w:b/>
                                <w:sz w:val="20"/>
                                <w:szCs w:val="20"/>
                                <w:u w:val="single"/>
                              </w:rPr>
                              <w:t>Goal of the study</w:t>
                            </w:r>
                            <w:r w:rsidRPr="00F87B80">
                              <w:rPr>
                                <w:b/>
                                <w:sz w:val="20"/>
                                <w:szCs w:val="20"/>
                              </w:rPr>
                              <w:t xml:space="preserve">: </w:t>
                            </w:r>
                            <w:r w:rsidRPr="0055273A">
                              <w:rPr>
                                <w:sz w:val="20"/>
                                <w:szCs w:val="20"/>
                              </w:rPr>
                              <w:t>Since 2010, the National Quitline Data Warehouse (NQDW) has collected</w:t>
                            </w:r>
                            <w:r>
                              <w:rPr>
                                <w:sz w:val="20"/>
                                <w:szCs w:val="20"/>
                              </w:rPr>
                              <w:t xml:space="preserve"> a core set of </w:t>
                            </w:r>
                            <w:r w:rsidRPr="0055273A">
                              <w:rPr>
                                <w:sz w:val="20"/>
                                <w:szCs w:val="20"/>
                              </w:rPr>
                              <w:t xml:space="preserve"> information from the</w:t>
                            </w:r>
                            <w:r>
                              <w:rPr>
                                <w:sz w:val="20"/>
                                <w:szCs w:val="20"/>
                              </w:rPr>
                              <w:t xml:space="preserve"> 50</w:t>
                            </w:r>
                            <w:r w:rsidRPr="0055273A">
                              <w:rPr>
                                <w:sz w:val="20"/>
                                <w:szCs w:val="20"/>
                              </w:rPr>
                              <w:t xml:space="preserve"> U.S. states, the District of Columbia, Guam, and Puerto Rico regarding what services  telephone quitlines offer to tobacco users</w:t>
                            </w:r>
                            <w:r>
                              <w:rPr>
                                <w:sz w:val="20"/>
                                <w:szCs w:val="20"/>
                              </w:rPr>
                              <w:t xml:space="preserve"> as well as the number and type of tobacco users who receive services from  telephone quitlines. The data collection was modified in 2015 to collect data from the The Asian Smokers’ Quitline (ASQ) in addition to the other 53 states/territories provide data and included five new questions to the NQDW Intake Questionnaire to help CDC and states tailor quitline services to the needs of its callers.</w:t>
                            </w:r>
                          </w:p>
                          <w:p w:rsidR="00D33999" w:rsidRPr="00A558A7" w:rsidRDefault="00D33999" w:rsidP="009F465C">
                            <w:pPr>
                              <w:spacing w:after="60"/>
                              <w:rPr>
                                <w:sz w:val="20"/>
                                <w:szCs w:val="20"/>
                              </w:rPr>
                            </w:pPr>
                            <w:r w:rsidRPr="00A558A7">
                              <w:rPr>
                                <w:b/>
                                <w:sz w:val="20"/>
                                <w:szCs w:val="20"/>
                                <w:u w:val="single"/>
                              </w:rPr>
                              <w:t>Intended use of the resulting data</w:t>
                            </w:r>
                            <w:r w:rsidRPr="00F87B80">
                              <w:rPr>
                                <w:b/>
                                <w:sz w:val="20"/>
                                <w:szCs w:val="20"/>
                              </w:rPr>
                              <w:t xml:space="preserve">: </w:t>
                            </w:r>
                            <w:r w:rsidRPr="00A558A7">
                              <w:rPr>
                                <w:sz w:val="20"/>
                                <w:szCs w:val="20"/>
                              </w:rPr>
                              <w:t>CDC uses the information collected by the NQDW extensively for ongoing monitoring, reporting, and evaluation related to state quitlines</w:t>
                            </w:r>
                            <w:r>
                              <w:rPr>
                                <w:sz w:val="20"/>
                                <w:szCs w:val="20"/>
                              </w:rPr>
                              <w:t xml:space="preserve">.  </w:t>
                            </w:r>
                            <w:r w:rsidRPr="00A558A7">
                              <w:rPr>
                                <w:sz w:val="20"/>
                                <w:szCs w:val="20"/>
                              </w:rPr>
                              <w:t>Select data from the NQDW are reported online through the CDC’s State Tobacco Activities Tracking and Evaluate (STATE) System website (</w:t>
                            </w:r>
                            <w:r w:rsidRPr="00193146">
                              <w:rPr>
                                <w:sz w:val="20"/>
                                <w:szCs w:val="20"/>
                              </w:rPr>
                              <w:t>http://</w:t>
                            </w:r>
                            <w:r>
                              <w:rPr>
                                <w:sz w:val="20"/>
                                <w:szCs w:val="20"/>
                              </w:rPr>
                              <w:t>www.cdc.gov/statesystem</w:t>
                            </w:r>
                            <w:r w:rsidRPr="00A558A7">
                              <w:rPr>
                                <w:sz w:val="20"/>
                                <w:szCs w:val="20"/>
                              </w:rPr>
                              <w:t xml:space="preserve">). </w:t>
                            </w:r>
                          </w:p>
                          <w:p w:rsidR="00D33999" w:rsidRPr="00FA2EC3" w:rsidRDefault="00D33999" w:rsidP="00FA2EC3">
                            <w:pPr>
                              <w:spacing w:after="60"/>
                              <w:rPr>
                                <w:sz w:val="20"/>
                                <w:szCs w:val="20"/>
                              </w:rPr>
                            </w:pPr>
                            <w:r w:rsidRPr="00FA2EC3">
                              <w:rPr>
                                <w:b/>
                                <w:sz w:val="20"/>
                                <w:szCs w:val="20"/>
                                <w:u w:val="single"/>
                              </w:rPr>
                              <w:t>Methods to be used to collect data</w:t>
                            </w:r>
                            <w:r w:rsidRPr="00F87B80">
                              <w:rPr>
                                <w:b/>
                                <w:sz w:val="20"/>
                                <w:szCs w:val="20"/>
                              </w:rPr>
                              <w:t xml:space="preserve">: </w:t>
                            </w:r>
                            <w:r w:rsidRPr="00FA2EC3">
                              <w:rPr>
                                <w:sz w:val="20"/>
                                <w:szCs w:val="20"/>
                              </w:rPr>
                              <w:t xml:space="preserve">Data </w:t>
                            </w:r>
                            <w:r>
                              <w:rPr>
                                <w:sz w:val="20"/>
                                <w:szCs w:val="20"/>
                              </w:rPr>
                              <w:t xml:space="preserve">on tobacco users who received service from state telephone quitlines </w:t>
                            </w:r>
                            <w:r w:rsidRPr="00FA2EC3">
                              <w:rPr>
                                <w:sz w:val="20"/>
                                <w:szCs w:val="20"/>
                              </w:rPr>
                              <w:t xml:space="preserve">is collected from all funded </w:t>
                            </w:r>
                            <w:r>
                              <w:rPr>
                                <w:sz w:val="20"/>
                                <w:szCs w:val="20"/>
                              </w:rPr>
                              <w:t xml:space="preserve">U.S. </w:t>
                            </w:r>
                            <w:r w:rsidRPr="00FA2EC3">
                              <w:rPr>
                                <w:sz w:val="20"/>
                                <w:szCs w:val="20"/>
                              </w:rPr>
                              <w:t>states</w:t>
                            </w:r>
                            <w:r>
                              <w:rPr>
                                <w:sz w:val="20"/>
                                <w:szCs w:val="20"/>
                              </w:rPr>
                              <w:t xml:space="preserve">, </w:t>
                            </w:r>
                            <w:r w:rsidRPr="00FA2EC3">
                              <w:rPr>
                                <w:sz w:val="20"/>
                                <w:szCs w:val="20"/>
                              </w:rPr>
                              <w:t xml:space="preserve">territories </w:t>
                            </w:r>
                            <w:r>
                              <w:rPr>
                                <w:sz w:val="20"/>
                                <w:szCs w:val="20"/>
                              </w:rPr>
                              <w:t xml:space="preserve">and the Asian Smokers’ Quitline (ASQ) </w:t>
                            </w:r>
                            <w:r w:rsidRPr="00FA2EC3">
                              <w:rPr>
                                <w:sz w:val="20"/>
                                <w:szCs w:val="20"/>
                              </w:rPr>
                              <w:t>through the NQDW Intake</w:t>
                            </w:r>
                            <w:r>
                              <w:rPr>
                                <w:sz w:val="20"/>
                                <w:szCs w:val="20"/>
                              </w:rPr>
                              <w:t xml:space="preserve"> Questionnaire. The NQDW Seven-Month Follow-up Questionnaire will be </w:t>
                            </w:r>
                            <w:r w:rsidRPr="00FA2EC3">
                              <w:rPr>
                                <w:sz w:val="20"/>
                                <w:szCs w:val="20"/>
                              </w:rPr>
                              <w:t xml:space="preserve">administered </w:t>
                            </w:r>
                            <w:r>
                              <w:rPr>
                                <w:sz w:val="20"/>
                                <w:szCs w:val="20"/>
                              </w:rPr>
                              <w:t>t</w:t>
                            </w:r>
                            <w:r w:rsidRPr="00FA2EC3">
                              <w:rPr>
                                <w:sz w:val="20"/>
                                <w:szCs w:val="20"/>
                              </w:rPr>
                              <w:t xml:space="preserve">o </w:t>
                            </w:r>
                            <w:r>
                              <w:rPr>
                                <w:sz w:val="20"/>
                                <w:szCs w:val="20"/>
                              </w:rPr>
                              <w:t>tobacco users who received services from the ASQ only</w:t>
                            </w:r>
                            <w:r>
                              <w:rPr>
                                <w:sz w:val="20"/>
                                <w:szCs w:val="20"/>
                                <w:u w:val="single"/>
                              </w:rPr>
                              <w:t xml:space="preserve">. </w:t>
                            </w:r>
                            <w:r w:rsidRPr="00D72034">
                              <w:rPr>
                                <w:rFonts w:cs="Calibri"/>
                                <w:sz w:val="20"/>
                                <w:szCs w:val="20"/>
                              </w:rPr>
                              <w:t>Seven-month quit rates have been previo</w:t>
                            </w:r>
                            <w:r w:rsidRPr="00D772F5">
                              <w:rPr>
                                <w:rFonts w:cs="Calibri"/>
                                <w:sz w:val="20"/>
                                <w:szCs w:val="20"/>
                              </w:rPr>
                              <w:t xml:space="preserve">usly estimated for all Quitline callers except those that call the </w:t>
                            </w:r>
                            <w:r w:rsidRPr="00D72034">
                              <w:rPr>
                                <w:rFonts w:cs="Calibri"/>
                                <w:sz w:val="20"/>
                                <w:szCs w:val="20"/>
                              </w:rPr>
                              <w:t>ASQ</w:t>
                            </w:r>
                            <w:r>
                              <w:rPr>
                                <w:rFonts w:cs="Calibri"/>
                                <w:sz w:val="20"/>
                                <w:szCs w:val="20"/>
                              </w:rPr>
                              <w:t>. Based on previous literature and a review of the follow-up evaluation data previously collected by the NQDW,  seven-month quit rates are not expected to change significantly over time</w:t>
                            </w:r>
                            <w:r w:rsidRPr="00FA2EC3">
                              <w:rPr>
                                <w:sz w:val="20"/>
                                <w:szCs w:val="20"/>
                              </w:rPr>
                              <w:t xml:space="preserve">. </w:t>
                            </w:r>
                            <w:r>
                              <w:rPr>
                                <w:sz w:val="20"/>
                                <w:szCs w:val="20"/>
                              </w:rPr>
                              <w:t>Data on the quitline call volume, number of tobacco users served, and the services offered by state quitlines will be provided by</w:t>
                            </w:r>
                            <w:r w:rsidRPr="00FA2EC3">
                              <w:rPr>
                                <w:sz w:val="20"/>
                                <w:szCs w:val="20"/>
                              </w:rPr>
                              <w:t xml:space="preserve"> state health department personnel who manage the quitline or their designee, such as contracted quitline service providers</w:t>
                            </w:r>
                            <w:r>
                              <w:rPr>
                                <w:sz w:val="20"/>
                                <w:szCs w:val="20"/>
                              </w:rPr>
                              <w:t>, using the NQDW Quitline Services Survey</w:t>
                            </w:r>
                            <w:r w:rsidRPr="00FA2EC3">
                              <w:rPr>
                                <w:sz w:val="20"/>
                                <w:szCs w:val="20"/>
                              </w:rPr>
                              <w:t>.</w:t>
                            </w:r>
                          </w:p>
                          <w:p w:rsidR="00D33999" w:rsidRPr="00FA2EC3" w:rsidRDefault="00D33999" w:rsidP="00FA2EC3">
                            <w:pPr>
                              <w:spacing w:after="60"/>
                              <w:rPr>
                                <w:sz w:val="20"/>
                                <w:szCs w:val="20"/>
                              </w:rPr>
                            </w:pPr>
                            <w:r w:rsidRPr="00FA2EC3">
                              <w:rPr>
                                <w:b/>
                                <w:sz w:val="20"/>
                                <w:szCs w:val="20"/>
                                <w:u w:val="single"/>
                              </w:rPr>
                              <w:t>Subpopulation to be studied</w:t>
                            </w:r>
                            <w:r w:rsidRPr="00F87B80">
                              <w:rPr>
                                <w:b/>
                                <w:sz w:val="20"/>
                                <w:szCs w:val="20"/>
                              </w:rPr>
                              <w:t xml:space="preserve">: </w:t>
                            </w:r>
                            <w:r w:rsidRPr="00FA2EC3">
                              <w:rPr>
                                <w:sz w:val="20"/>
                                <w:szCs w:val="20"/>
                              </w:rPr>
                              <w:t>The NQDW provides data on the general smoking population</w:t>
                            </w:r>
                            <w:r>
                              <w:rPr>
                                <w:sz w:val="20"/>
                                <w:szCs w:val="20"/>
                              </w:rPr>
                              <w:t xml:space="preserve"> who contact their state quitlines, but also allows for collections of information about key subpopulations of tobacco users, such as pregnant women, uninsured, and people with mental illness, who contact state quitlines to better support cessation services. </w:t>
                            </w:r>
                          </w:p>
                          <w:p w:rsidR="00D33999" w:rsidRPr="0047342B" w:rsidRDefault="00D33999" w:rsidP="009F465C">
                            <w:pPr>
                              <w:spacing w:after="60"/>
                              <w:rPr>
                                <w:b/>
                                <w:u w:val="single"/>
                              </w:rPr>
                            </w:pPr>
                            <w:r w:rsidRPr="009F465C">
                              <w:rPr>
                                <w:b/>
                                <w:sz w:val="20"/>
                                <w:szCs w:val="20"/>
                                <w:u w:val="single"/>
                              </w:rPr>
                              <w:t>How data will be analyzed</w:t>
                            </w:r>
                            <w:r w:rsidRPr="00F87B80">
                              <w:rPr>
                                <w:b/>
                                <w:sz w:val="20"/>
                                <w:szCs w:val="20"/>
                              </w:rPr>
                              <w:t xml:space="preserve">: </w:t>
                            </w:r>
                            <w:r>
                              <w:rPr>
                                <w:sz w:val="20"/>
                                <w:szCs w:val="20"/>
                              </w:rPr>
                              <w:t xml:space="preserve">Simple descriptive data tabulations and trends are currently reported online through CDC’s State Tobacco Activities Tracking and Evaluation (STATE) System website. More complex statistical analyses, including multivariate regression techniques will be utilized to assess quitline outcomes such as quitline reach, service utilization, how callers reported hearing about the quitline, and the effectiveness of quitline promotions and CDC’s </w:t>
                            </w:r>
                            <w:r>
                              <w:rPr>
                                <w:i/>
                                <w:sz w:val="20"/>
                                <w:szCs w:val="20"/>
                              </w:rPr>
                              <w:t>Tips From Former Smokers</w:t>
                            </w:r>
                            <w:r>
                              <w:rPr>
                                <w:sz w:val="20"/>
                                <w:szCs w:val="20"/>
                              </w:rPr>
                              <w:t xml:space="preserve"> national tobacco education media campaigns on state quitline call volume and tobacco users receiving services from state quitlines.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9pt;height:39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">
                <v:textbox>
                  <w:txbxContent>
                    <w:p w:rsidR="00D33999" w:rsidRPr="0055273A" w:rsidRDefault="00D33999" w:rsidP="00A558A7">
                      <w:pPr>
                        <w:spacing w:after="60"/>
                        <w:rPr>
                          <w:sz w:val="20"/>
                          <w:szCs w:val="20"/>
                        </w:rPr>
                      </w:pPr>
                      <w:r w:rsidRPr="00A558A7">
                        <w:rPr>
                          <w:b/>
                          <w:sz w:val="20"/>
                          <w:szCs w:val="20"/>
                          <w:u w:val="single"/>
                        </w:rPr>
                        <w:t>Goal of the study</w:t>
                      </w:r>
                      <w:r w:rsidRPr="00F87B80">
                        <w:rPr>
                          <w:b/>
                          <w:sz w:val="20"/>
                          <w:szCs w:val="20"/>
                        </w:rPr>
                        <w:t xml:space="preserve">: </w:t>
                      </w:r>
                      <w:r w:rsidRPr="0055273A">
                        <w:rPr>
                          <w:sz w:val="20"/>
                          <w:szCs w:val="20"/>
                        </w:rPr>
                        <w:t>Since 2010, the National Quitline Data Warehouse (NQDW) has collected</w:t>
                      </w:r>
                      <w:r>
                        <w:rPr>
                          <w:sz w:val="20"/>
                          <w:szCs w:val="20"/>
                        </w:rPr>
                        <w:t xml:space="preserve"> a core set of </w:t>
                      </w:r>
                      <w:r w:rsidRPr="0055273A">
                        <w:rPr>
                          <w:sz w:val="20"/>
                          <w:szCs w:val="20"/>
                        </w:rPr>
                        <w:t xml:space="preserve"> information from the</w:t>
                      </w:r>
                      <w:r>
                        <w:rPr>
                          <w:sz w:val="20"/>
                          <w:szCs w:val="20"/>
                        </w:rPr>
                        <w:t xml:space="preserve"> 50</w:t>
                      </w:r>
                      <w:r w:rsidRPr="0055273A">
                        <w:rPr>
                          <w:sz w:val="20"/>
                          <w:szCs w:val="20"/>
                        </w:rPr>
                        <w:t xml:space="preserve"> U.S. states, the District of Columbia, Guam, and Puerto Rico regarding what services  telephone quitlines offer to tobacco users</w:t>
                      </w:r>
                      <w:r>
                        <w:rPr>
                          <w:sz w:val="20"/>
                          <w:szCs w:val="20"/>
                        </w:rPr>
                        <w:t xml:space="preserve"> as well as the number and type of tobacco users who receive services from  telephone quitlines. The data collection was modified in 2015 to collect data from the The Asian Smokers’ Quitline (ASQ) in addition to the other 53 states/territories provide data and included five new questions to the NQDW Intake Questionnaire to help CDC and states tailor quitline services to the needs of its callers.</w:t>
                      </w:r>
                    </w:p>
                    <w:p w:rsidR="00D33999" w:rsidRPr="00A558A7" w:rsidRDefault="00D33999" w:rsidP="009F465C">
                      <w:pPr>
                        <w:spacing w:after="60"/>
                        <w:rPr>
                          <w:sz w:val="20"/>
                          <w:szCs w:val="20"/>
                        </w:rPr>
                      </w:pPr>
                      <w:r w:rsidRPr="00A558A7">
                        <w:rPr>
                          <w:b/>
                          <w:sz w:val="20"/>
                          <w:szCs w:val="20"/>
                          <w:u w:val="single"/>
                        </w:rPr>
                        <w:t>Intended use of the resulting data</w:t>
                      </w:r>
                      <w:r w:rsidRPr="00F87B80">
                        <w:rPr>
                          <w:b/>
                          <w:sz w:val="20"/>
                          <w:szCs w:val="20"/>
                        </w:rPr>
                        <w:t xml:space="preserve">: </w:t>
                      </w:r>
                      <w:r w:rsidRPr="00A558A7">
                        <w:rPr>
                          <w:sz w:val="20"/>
                          <w:szCs w:val="20"/>
                        </w:rPr>
                        <w:t>CDC uses the information collected by the NQDW extensively for ongoing monitoring, reporting, and evaluation related to state quitlines</w:t>
                      </w:r>
                      <w:r>
                        <w:rPr>
                          <w:sz w:val="20"/>
                          <w:szCs w:val="20"/>
                        </w:rPr>
                        <w:t xml:space="preserve">.  </w:t>
                      </w:r>
                      <w:r w:rsidRPr="00A558A7">
                        <w:rPr>
                          <w:sz w:val="20"/>
                          <w:szCs w:val="20"/>
                        </w:rPr>
                        <w:t>Select data from the NQDW are reported online through the CDC’s State Tobacco Activities Tracking and Evaluate (STATE) System website (</w:t>
                      </w:r>
                      <w:r w:rsidRPr="00193146">
                        <w:rPr>
                          <w:sz w:val="20"/>
                          <w:szCs w:val="20"/>
                        </w:rPr>
                        <w:t>http://</w:t>
                      </w:r>
                      <w:r>
                        <w:rPr>
                          <w:sz w:val="20"/>
                          <w:szCs w:val="20"/>
                        </w:rPr>
                        <w:t>www.cdc.gov/statesystem</w:t>
                      </w:r>
                      <w:r w:rsidRPr="00A558A7">
                        <w:rPr>
                          <w:sz w:val="20"/>
                          <w:szCs w:val="20"/>
                        </w:rPr>
                        <w:t xml:space="preserve">). </w:t>
                      </w:r>
                    </w:p>
                    <w:p w:rsidR="00D33999" w:rsidRPr="00FA2EC3" w:rsidRDefault="00D33999" w:rsidP="00FA2EC3">
                      <w:pPr>
                        <w:spacing w:after="60"/>
                        <w:rPr>
                          <w:sz w:val="20"/>
                          <w:szCs w:val="20"/>
                        </w:rPr>
                      </w:pPr>
                      <w:r w:rsidRPr="00FA2EC3">
                        <w:rPr>
                          <w:b/>
                          <w:sz w:val="20"/>
                          <w:szCs w:val="20"/>
                          <w:u w:val="single"/>
                        </w:rPr>
                        <w:t>Methods to be used to collect data</w:t>
                      </w:r>
                      <w:r w:rsidRPr="00F87B80">
                        <w:rPr>
                          <w:b/>
                          <w:sz w:val="20"/>
                          <w:szCs w:val="20"/>
                        </w:rPr>
                        <w:t xml:space="preserve">: </w:t>
                      </w:r>
                      <w:r w:rsidRPr="00FA2EC3">
                        <w:rPr>
                          <w:sz w:val="20"/>
                          <w:szCs w:val="20"/>
                        </w:rPr>
                        <w:t xml:space="preserve">Data </w:t>
                      </w:r>
                      <w:r>
                        <w:rPr>
                          <w:sz w:val="20"/>
                          <w:szCs w:val="20"/>
                        </w:rPr>
                        <w:t xml:space="preserve">on tobacco users who received service from state telephone quitlines </w:t>
                      </w:r>
                      <w:r w:rsidRPr="00FA2EC3">
                        <w:rPr>
                          <w:sz w:val="20"/>
                          <w:szCs w:val="20"/>
                        </w:rPr>
                        <w:t xml:space="preserve">is collected from all funded </w:t>
                      </w:r>
                      <w:r>
                        <w:rPr>
                          <w:sz w:val="20"/>
                          <w:szCs w:val="20"/>
                        </w:rPr>
                        <w:t xml:space="preserve">U.S. </w:t>
                      </w:r>
                      <w:r w:rsidRPr="00FA2EC3">
                        <w:rPr>
                          <w:sz w:val="20"/>
                          <w:szCs w:val="20"/>
                        </w:rPr>
                        <w:t>states</w:t>
                      </w:r>
                      <w:r>
                        <w:rPr>
                          <w:sz w:val="20"/>
                          <w:szCs w:val="20"/>
                        </w:rPr>
                        <w:t xml:space="preserve">, </w:t>
                      </w:r>
                      <w:r w:rsidRPr="00FA2EC3">
                        <w:rPr>
                          <w:sz w:val="20"/>
                          <w:szCs w:val="20"/>
                        </w:rPr>
                        <w:t xml:space="preserve">territories </w:t>
                      </w:r>
                      <w:r>
                        <w:rPr>
                          <w:sz w:val="20"/>
                          <w:szCs w:val="20"/>
                        </w:rPr>
                        <w:t xml:space="preserve">and the Asian Smokers’ Quitline (ASQ) </w:t>
                      </w:r>
                      <w:r w:rsidRPr="00FA2EC3">
                        <w:rPr>
                          <w:sz w:val="20"/>
                          <w:szCs w:val="20"/>
                        </w:rPr>
                        <w:t>through the NQDW Intake</w:t>
                      </w:r>
                      <w:r>
                        <w:rPr>
                          <w:sz w:val="20"/>
                          <w:szCs w:val="20"/>
                        </w:rPr>
                        <w:t xml:space="preserve"> Questionnaire. The NQDW Seven-Month Follow-up Questionnaire will be </w:t>
                      </w:r>
                      <w:r w:rsidRPr="00FA2EC3">
                        <w:rPr>
                          <w:sz w:val="20"/>
                          <w:szCs w:val="20"/>
                        </w:rPr>
                        <w:t xml:space="preserve">administered </w:t>
                      </w:r>
                      <w:r>
                        <w:rPr>
                          <w:sz w:val="20"/>
                          <w:szCs w:val="20"/>
                        </w:rPr>
                        <w:t>t</w:t>
                      </w:r>
                      <w:r w:rsidRPr="00FA2EC3">
                        <w:rPr>
                          <w:sz w:val="20"/>
                          <w:szCs w:val="20"/>
                        </w:rPr>
                        <w:t xml:space="preserve">o </w:t>
                      </w:r>
                      <w:r>
                        <w:rPr>
                          <w:sz w:val="20"/>
                          <w:szCs w:val="20"/>
                        </w:rPr>
                        <w:t>tobacco users who received services from the ASQ only</w:t>
                      </w:r>
                      <w:r>
                        <w:rPr>
                          <w:sz w:val="20"/>
                          <w:szCs w:val="20"/>
                          <w:u w:val="single"/>
                        </w:rPr>
                        <w:t xml:space="preserve">. </w:t>
                      </w:r>
                      <w:r w:rsidRPr="00D72034">
                        <w:rPr>
                          <w:rFonts w:cs="Calibri"/>
                          <w:sz w:val="20"/>
                          <w:szCs w:val="20"/>
                        </w:rPr>
                        <w:t>Seven-month quit rates have been previo</w:t>
                      </w:r>
                      <w:r w:rsidRPr="00D772F5">
                        <w:rPr>
                          <w:rFonts w:cs="Calibri"/>
                          <w:sz w:val="20"/>
                          <w:szCs w:val="20"/>
                        </w:rPr>
                        <w:t xml:space="preserve">usly estimated for all Quitline callers except those that call the </w:t>
                      </w:r>
                      <w:r w:rsidRPr="00D72034">
                        <w:rPr>
                          <w:rFonts w:cs="Calibri"/>
                          <w:sz w:val="20"/>
                          <w:szCs w:val="20"/>
                        </w:rPr>
                        <w:t>ASQ</w:t>
                      </w:r>
                      <w:r>
                        <w:rPr>
                          <w:rFonts w:cs="Calibri"/>
                          <w:sz w:val="20"/>
                          <w:szCs w:val="20"/>
                        </w:rPr>
                        <w:t>. Based on previous literature and a review of the follow-up evaluation data previously collected by the NQDW,  seven-month quit rates are not expected to change significantly over time</w:t>
                      </w:r>
                      <w:r w:rsidRPr="00FA2EC3">
                        <w:rPr>
                          <w:sz w:val="20"/>
                          <w:szCs w:val="20"/>
                        </w:rPr>
                        <w:t xml:space="preserve">. </w:t>
                      </w:r>
                      <w:r>
                        <w:rPr>
                          <w:sz w:val="20"/>
                          <w:szCs w:val="20"/>
                        </w:rPr>
                        <w:t>Data on the quitline call volume, number of tobacco users served, and the services offered by state quitlines will be provided by</w:t>
                      </w:r>
                      <w:r w:rsidRPr="00FA2EC3">
                        <w:rPr>
                          <w:sz w:val="20"/>
                          <w:szCs w:val="20"/>
                        </w:rPr>
                        <w:t xml:space="preserve"> state health department personnel who manage the quitline or their designee, such as contracted quitline service providers</w:t>
                      </w:r>
                      <w:r>
                        <w:rPr>
                          <w:sz w:val="20"/>
                          <w:szCs w:val="20"/>
                        </w:rPr>
                        <w:t>, using the NQDW Quitline Services Survey</w:t>
                      </w:r>
                      <w:r w:rsidRPr="00FA2EC3">
                        <w:rPr>
                          <w:sz w:val="20"/>
                          <w:szCs w:val="20"/>
                        </w:rPr>
                        <w:t>.</w:t>
                      </w:r>
                    </w:p>
                    <w:p w:rsidR="00D33999" w:rsidRPr="00FA2EC3" w:rsidRDefault="00D33999" w:rsidP="00FA2EC3">
                      <w:pPr>
                        <w:spacing w:after="60"/>
                        <w:rPr>
                          <w:sz w:val="20"/>
                          <w:szCs w:val="20"/>
                        </w:rPr>
                      </w:pPr>
                      <w:r w:rsidRPr="00FA2EC3">
                        <w:rPr>
                          <w:b/>
                          <w:sz w:val="20"/>
                          <w:szCs w:val="20"/>
                          <w:u w:val="single"/>
                        </w:rPr>
                        <w:t>Subpopulation to be studied</w:t>
                      </w:r>
                      <w:r w:rsidRPr="00F87B80">
                        <w:rPr>
                          <w:b/>
                          <w:sz w:val="20"/>
                          <w:szCs w:val="20"/>
                        </w:rPr>
                        <w:t xml:space="preserve">: </w:t>
                      </w:r>
                      <w:r w:rsidRPr="00FA2EC3">
                        <w:rPr>
                          <w:sz w:val="20"/>
                          <w:szCs w:val="20"/>
                        </w:rPr>
                        <w:t>The NQDW provides data on the general smoking population</w:t>
                      </w:r>
                      <w:r>
                        <w:rPr>
                          <w:sz w:val="20"/>
                          <w:szCs w:val="20"/>
                        </w:rPr>
                        <w:t xml:space="preserve"> who contact their state quitlines, but also allows for collections of information about key subpopulations of tobacco users, such as pregnant women, uninsured, and people with mental illness, who contact state quitlines to better support cessation services. </w:t>
                      </w:r>
                    </w:p>
                    <w:p w:rsidR="00D33999" w:rsidRPr="0047342B" w:rsidRDefault="00D33999" w:rsidP="009F465C">
                      <w:pPr>
                        <w:spacing w:after="60"/>
                        <w:rPr>
                          <w:b/>
                          <w:u w:val="single"/>
                        </w:rPr>
                      </w:pPr>
                      <w:r w:rsidRPr="009F465C">
                        <w:rPr>
                          <w:b/>
                          <w:sz w:val="20"/>
                          <w:szCs w:val="20"/>
                          <w:u w:val="single"/>
                        </w:rPr>
                        <w:t>How data will be analyzed</w:t>
                      </w:r>
                      <w:r w:rsidRPr="00F87B80">
                        <w:rPr>
                          <w:b/>
                          <w:sz w:val="20"/>
                          <w:szCs w:val="20"/>
                        </w:rPr>
                        <w:t xml:space="preserve">: </w:t>
                      </w:r>
                      <w:r>
                        <w:rPr>
                          <w:sz w:val="20"/>
                          <w:szCs w:val="20"/>
                        </w:rPr>
                        <w:t xml:space="preserve">Simple descriptive data tabulations and trends are currently reported online through CDC’s State Tobacco Activities Tracking and Evaluation (STATE) System website. More complex statistical analyses, including multivariate regression techniques will be utilized to assess quitline outcomes such as quitline reach, service utilization, how callers reported hearing about the quitline, and the effectiveness of quitline promotions and CDC’s </w:t>
                      </w:r>
                      <w:r>
                        <w:rPr>
                          <w:i/>
                          <w:sz w:val="20"/>
                          <w:szCs w:val="20"/>
                        </w:rPr>
                        <w:t>Tips From Former Smokers</w:t>
                      </w:r>
                      <w:r>
                        <w:rPr>
                          <w:sz w:val="20"/>
                          <w:szCs w:val="20"/>
                        </w:rPr>
                        <w:t xml:space="preserve"> national tobacco education media campaigns on state quitline call volume and tobacco users receiving services from state quitlines.</w:t>
                      </w:r>
                    </w:p>
                  </w:txbxContent>
                </v:textbox>
                <w10:anchorlock/>
              </v:shape>
            </w:pict>
          </mc:Fallback>
        </mc:AlternateContent>
      </w:r>
    </w:p>
    <w:p w:rsidR="007F17E7" w:rsidRDefault="007F17E7" w:rsidP="009F465C">
      <w:pPr>
        <w:spacing w:after="120"/>
        <w:rPr>
          <w:b/>
          <w:bCs/>
          <w:caps/>
          <w:u w:val="single"/>
        </w:rPr>
      </w:pPr>
    </w:p>
    <w:p w:rsidR="0031112A" w:rsidRDefault="0031112A">
      <w:pPr>
        <w:rPr>
          <w:b/>
          <w:bCs/>
          <w:caps/>
          <w:u w:val="single"/>
        </w:rPr>
      </w:pPr>
      <w:r>
        <w:rPr>
          <w:b/>
          <w:bCs/>
          <w:caps/>
          <w:u w:val="single"/>
        </w:rPr>
        <w:br w:type="page"/>
      </w:r>
    </w:p>
    <w:p w:rsidR="0049662B" w:rsidRDefault="0049662B" w:rsidP="0031753C">
      <w:pPr>
        <w:pStyle w:val="Heading2"/>
        <w:spacing w:after="120"/>
      </w:pPr>
    </w:p>
    <w:p w:rsidR="004E048D" w:rsidRDefault="0085460F" w:rsidP="0031753C">
      <w:pPr>
        <w:pStyle w:val="Heading2"/>
        <w:spacing w:after="120"/>
        <w:rPr>
          <w:u w:val="single"/>
        </w:rPr>
      </w:pPr>
      <w:r>
        <w:t>A.</w:t>
      </w:r>
      <w:r w:rsidR="00D57581">
        <w:t>1</w:t>
      </w:r>
      <w:r w:rsidR="004E048D">
        <w:t>.</w:t>
      </w:r>
      <w:r w:rsidR="004E048D">
        <w:tab/>
      </w:r>
      <w:r w:rsidR="004E048D">
        <w:rPr>
          <w:u w:val="single"/>
        </w:rPr>
        <w:t>CIRCUMSTANCES MAKING THE COLLECTION OF INFORMATION NECESSARY</w:t>
      </w:r>
    </w:p>
    <w:p w:rsidR="00D2144E" w:rsidRDefault="00D2144E" w:rsidP="00735497">
      <w:pPr>
        <w:pStyle w:val="Heading3"/>
        <w:spacing w:after="120"/>
        <w:ind w:left="0"/>
      </w:pPr>
    </w:p>
    <w:p w:rsidR="00D2144E" w:rsidRDefault="00D2144E" w:rsidP="0050002C">
      <w:pPr>
        <w:pStyle w:val="Heading3"/>
        <w:spacing w:after="120"/>
        <w:ind w:left="0" w:firstLine="720"/>
        <w:rPr>
          <w:b w:val="0"/>
          <w:bCs/>
          <w:iCs/>
          <w:szCs w:val="24"/>
        </w:rPr>
      </w:pPr>
      <w:r>
        <w:rPr>
          <w:b w:val="0"/>
        </w:rPr>
        <w:t xml:space="preserve">CDC requests OMB approval to </w:t>
      </w:r>
      <w:r w:rsidR="008B67C5">
        <w:rPr>
          <w:b w:val="0"/>
        </w:rPr>
        <w:t>continue information collection</w:t>
      </w:r>
      <w:r>
        <w:rPr>
          <w:b w:val="0"/>
        </w:rPr>
        <w:t xml:space="preserve"> for the National Quitline Data Warehouse (NQDW)</w:t>
      </w:r>
      <w:r w:rsidR="00C23766">
        <w:rPr>
          <w:b w:val="0"/>
        </w:rPr>
        <w:t xml:space="preserve"> (OMB No. 0920-0856, exp. </w:t>
      </w:r>
      <w:r w:rsidR="00D72034">
        <w:rPr>
          <w:b w:val="0"/>
        </w:rPr>
        <w:t>03</w:t>
      </w:r>
      <w:r w:rsidR="00C23766">
        <w:rPr>
          <w:b w:val="0"/>
        </w:rPr>
        <w:t>/31/201</w:t>
      </w:r>
      <w:r w:rsidR="00D72034">
        <w:rPr>
          <w:b w:val="0"/>
        </w:rPr>
        <w:t>9</w:t>
      </w:r>
      <w:r w:rsidR="00C23766">
        <w:rPr>
          <w:b w:val="0"/>
        </w:rPr>
        <w:t>)</w:t>
      </w:r>
      <w:r w:rsidR="008B67C5">
        <w:rPr>
          <w:b w:val="0"/>
        </w:rPr>
        <w:t xml:space="preserve">. </w:t>
      </w:r>
      <w:r w:rsidR="00C23766" w:rsidRPr="00D2144E">
        <w:rPr>
          <w:b w:val="0"/>
        </w:rPr>
        <w:t xml:space="preserve">OMB </w:t>
      </w:r>
      <w:r w:rsidR="00C23766">
        <w:rPr>
          <w:b w:val="0"/>
        </w:rPr>
        <w:t>approval</w:t>
      </w:r>
      <w:r w:rsidR="00C23766" w:rsidRPr="00D2144E">
        <w:rPr>
          <w:b w:val="0"/>
        </w:rPr>
        <w:t xml:space="preserve"> </w:t>
      </w:r>
      <w:r w:rsidR="00C23766">
        <w:rPr>
          <w:b w:val="0"/>
        </w:rPr>
        <w:t xml:space="preserve">is requested </w:t>
      </w:r>
      <w:r w:rsidR="00C23766" w:rsidRPr="00981804">
        <w:rPr>
          <w:b w:val="0"/>
        </w:rPr>
        <w:t xml:space="preserve">for three years. </w:t>
      </w:r>
      <w:r w:rsidR="00981804">
        <w:rPr>
          <w:b w:val="0"/>
        </w:rPr>
        <w:t xml:space="preserve">CDC’s authority to collect information for the NQDW is provided by the Public </w:t>
      </w:r>
      <w:r w:rsidR="00286823">
        <w:rPr>
          <w:b w:val="0"/>
        </w:rPr>
        <w:t>Health Service Act (</w:t>
      </w:r>
      <w:r w:rsidR="00994469">
        <w:rPr>
          <w:b w:val="0"/>
        </w:rPr>
        <w:t>Appendix</w:t>
      </w:r>
      <w:r w:rsidR="00D30187">
        <w:rPr>
          <w:b w:val="0"/>
        </w:rPr>
        <w:t xml:space="preserve"> A</w:t>
      </w:r>
      <w:r w:rsidR="00286823">
        <w:rPr>
          <w:b w:val="0"/>
        </w:rPr>
        <w:t>-1</w:t>
      </w:r>
      <w:r w:rsidR="00981804">
        <w:rPr>
          <w:b w:val="0"/>
        </w:rPr>
        <w:t>).</w:t>
      </w:r>
      <w:r w:rsidR="00352B02">
        <w:rPr>
          <w:b w:val="0"/>
        </w:rPr>
        <w:t xml:space="preserve">  </w:t>
      </w:r>
      <w:r w:rsidR="00BC0E8E">
        <w:rPr>
          <w:b w:val="0"/>
        </w:rPr>
        <w:t xml:space="preserve">Activities to improve quitline capacity are supported </w:t>
      </w:r>
      <w:r w:rsidR="00352B02" w:rsidRPr="0050002C">
        <w:rPr>
          <w:b w:val="0"/>
        </w:rPr>
        <w:t>by funding</w:t>
      </w:r>
      <w:r w:rsidR="00352B02">
        <w:rPr>
          <w:b w:val="0"/>
        </w:rPr>
        <w:t xml:space="preserve"> through the American Recovery and Reinve</w:t>
      </w:r>
      <w:r w:rsidR="00286823">
        <w:rPr>
          <w:b w:val="0"/>
        </w:rPr>
        <w:t>stment Act of 2009 (</w:t>
      </w:r>
      <w:r w:rsidR="00994469">
        <w:rPr>
          <w:b w:val="0"/>
        </w:rPr>
        <w:t>Appendix</w:t>
      </w:r>
      <w:r w:rsidR="00286823">
        <w:rPr>
          <w:b w:val="0"/>
        </w:rPr>
        <w:t xml:space="preserve"> A-2</w:t>
      </w:r>
      <w:r w:rsidR="00352B02">
        <w:rPr>
          <w:b w:val="0"/>
        </w:rPr>
        <w:t>) and the Prevention and Public Health Fund of the A</w:t>
      </w:r>
      <w:r w:rsidR="00D30187">
        <w:rPr>
          <w:b w:val="0"/>
        </w:rPr>
        <w:t>ffordable Care Act (</w:t>
      </w:r>
      <w:r w:rsidR="00994469">
        <w:rPr>
          <w:b w:val="0"/>
        </w:rPr>
        <w:t>Appendix</w:t>
      </w:r>
      <w:r w:rsidR="00286823">
        <w:rPr>
          <w:b w:val="0"/>
        </w:rPr>
        <w:t xml:space="preserve"> A-3</w:t>
      </w:r>
      <w:r w:rsidR="00352B02">
        <w:rPr>
          <w:b w:val="0"/>
        </w:rPr>
        <w:t>).</w:t>
      </w:r>
      <w:r w:rsidR="00352B02" w:rsidRPr="00981804">
        <w:rPr>
          <w:b w:val="0"/>
        </w:rPr>
        <w:t xml:space="preserve"> </w:t>
      </w:r>
    </w:p>
    <w:p w:rsidR="007D2E07" w:rsidRPr="007D2E07" w:rsidRDefault="002A00EA" w:rsidP="00552523">
      <w:pPr>
        <w:pStyle w:val="Heading3"/>
        <w:spacing w:after="120"/>
        <w:ind w:left="0" w:firstLine="720"/>
        <w:rPr>
          <w:b w:val="0"/>
        </w:rPr>
      </w:pPr>
      <w:r w:rsidRPr="002A00EA">
        <w:rPr>
          <w:b w:val="0"/>
        </w:rPr>
        <w:t>The U.S. Surgeon General has concluded that the burden of death and disease from tobacco use in the United States is overwhelmingly caused by cigarettes and other combusted tobacco products</w:t>
      </w:r>
      <w:r>
        <w:rPr>
          <w:b w:val="0"/>
        </w:rPr>
        <w:t xml:space="preserve"> </w:t>
      </w:r>
      <w:r w:rsidRPr="00D00911">
        <w:rPr>
          <w:b w:val="0"/>
        </w:rPr>
        <w:t>(USDHHS, 20</w:t>
      </w:r>
      <w:r>
        <w:rPr>
          <w:b w:val="0"/>
        </w:rPr>
        <w:t>1</w:t>
      </w:r>
      <w:r w:rsidRPr="00D00911">
        <w:rPr>
          <w:b w:val="0"/>
        </w:rPr>
        <w:t>4)</w:t>
      </w:r>
      <w:r w:rsidRPr="002A00EA">
        <w:rPr>
          <w:b w:val="0"/>
        </w:rPr>
        <w:t>. Cigarettes are the most commonly used tobacco product among U.S. adults, and about 480,000 U.S. deaths per year are caused by cigarette smoking and secondhand smoke exposure</w:t>
      </w:r>
      <w:r w:rsidRPr="00D00911">
        <w:rPr>
          <w:b w:val="0"/>
        </w:rPr>
        <w:t xml:space="preserve"> </w:t>
      </w:r>
      <w:r w:rsidR="004E048D" w:rsidRPr="00D00911">
        <w:rPr>
          <w:b w:val="0"/>
        </w:rPr>
        <w:t>(USDHHS, 20</w:t>
      </w:r>
      <w:r w:rsidR="00AE7A5C">
        <w:rPr>
          <w:b w:val="0"/>
        </w:rPr>
        <w:t>1</w:t>
      </w:r>
      <w:r w:rsidR="004E048D" w:rsidRPr="00D00911">
        <w:rPr>
          <w:b w:val="0"/>
        </w:rPr>
        <w:t xml:space="preserve">4).  </w:t>
      </w:r>
      <w:r>
        <w:rPr>
          <w:b w:val="0"/>
        </w:rPr>
        <w:t>A</w:t>
      </w:r>
      <w:r w:rsidR="004D0925" w:rsidRPr="00D00911">
        <w:rPr>
          <w:b w:val="0"/>
        </w:rPr>
        <w:t xml:space="preserve">nd </w:t>
      </w:r>
      <w:r w:rsidR="00BC0E8E">
        <w:rPr>
          <w:b w:val="0"/>
        </w:rPr>
        <w:t>f</w:t>
      </w:r>
      <w:r w:rsidR="0081096E" w:rsidRPr="00D00911">
        <w:rPr>
          <w:b w:val="0"/>
        </w:rPr>
        <w:t xml:space="preserve">or every person who dies from smoking, </w:t>
      </w:r>
      <w:r w:rsidR="0081096E">
        <w:rPr>
          <w:b w:val="0"/>
        </w:rPr>
        <w:t>32</w:t>
      </w:r>
      <w:r w:rsidR="0081096E" w:rsidRPr="00D00911">
        <w:rPr>
          <w:b w:val="0"/>
        </w:rPr>
        <w:t xml:space="preserve"> </w:t>
      </w:r>
      <w:r w:rsidR="0081096E">
        <w:rPr>
          <w:b w:val="0"/>
        </w:rPr>
        <w:t>additional</w:t>
      </w:r>
      <w:r w:rsidR="0081096E" w:rsidRPr="00D00911">
        <w:rPr>
          <w:b w:val="0"/>
        </w:rPr>
        <w:t xml:space="preserve"> people suffer from at least one serious </w:t>
      </w:r>
      <w:r w:rsidR="0081096E">
        <w:rPr>
          <w:b w:val="0"/>
        </w:rPr>
        <w:t>smoking</w:t>
      </w:r>
      <w:r w:rsidR="0081096E" w:rsidRPr="00D00911">
        <w:rPr>
          <w:b w:val="0"/>
        </w:rPr>
        <w:t>-related illness</w:t>
      </w:r>
      <w:r w:rsidR="0081096E">
        <w:rPr>
          <w:b w:val="0"/>
        </w:rPr>
        <w:t xml:space="preserve"> (USDHHS, 2014)</w:t>
      </w:r>
      <w:r w:rsidR="0081096E" w:rsidRPr="00D00911">
        <w:rPr>
          <w:b w:val="0"/>
        </w:rPr>
        <w:t xml:space="preserve">. </w:t>
      </w:r>
      <w:r w:rsidR="007D2E07">
        <w:rPr>
          <w:b w:val="0"/>
        </w:rPr>
        <w:t>Despite these harmful effects, i</w:t>
      </w:r>
      <w:r w:rsidR="007D2E07" w:rsidRPr="007D2E07">
        <w:rPr>
          <w:b w:val="0"/>
        </w:rPr>
        <w:t>n 2016, 37.8 million U.S. adults were current cigarette smokers, and marked sociodemographic differences in smoking prevalence persist</w:t>
      </w:r>
      <w:r w:rsidR="00B5664A">
        <w:rPr>
          <w:b w:val="0"/>
        </w:rPr>
        <w:t xml:space="preserve"> (CDC, 2018)</w:t>
      </w:r>
      <w:r w:rsidR="007D2E07" w:rsidRPr="007D2E07">
        <w:rPr>
          <w:b w:val="0"/>
        </w:rPr>
        <w:t>.</w:t>
      </w:r>
    </w:p>
    <w:p w:rsidR="005C10DC" w:rsidRDefault="00363AF8" w:rsidP="00552523">
      <w:pPr>
        <w:pStyle w:val="Heading3"/>
        <w:spacing w:after="120"/>
        <w:ind w:left="0" w:firstLine="720"/>
        <w:rPr>
          <w:b w:val="0"/>
        </w:rPr>
      </w:pPr>
      <w:r w:rsidRPr="00735497">
        <w:rPr>
          <w:b w:val="0"/>
        </w:rPr>
        <w:t xml:space="preserve">Tobacco dependence is a chronic disease that often requires treatment and multiple attempts to quit (Fiore, et </w:t>
      </w:r>
      <w:r w:rsidR="00C518D1" w:rsidRPr="00735497">
        <w:rPr>
          <w:b w:val="0"/>
        </w:rPr>
        <w:t>a</w:t>
      </w:r>
      <w:r w:rsidRPr="00735497">
        <w:rPr>
          <w:b w:val="0"/>
        </w:rPr>
        <w:t>l</w:t>
      </w:r>
      <w:r w:rsidR="00C518D1" w:rsidRPr="00735497">
        <w:rPr>
          <w:b w:val="0"/>
        </w:rPr>
        <w:t>.</w:t>
      </w:r>
      <w:r w:rsidRPr="00735497">
        <w:rPr>
          <w:b w:val="0"/>
        </w:rPr>
        <w:t>, 2008).</w:t>
      </w:r>
      <w:r w:rsidR="00AA3805" w:rsidRPr="00735497">
        <w:rPr>
          <w:b w:val="0"/>
        </w:rPr>
        <w:t xml:space="preserve"> </w:t>
      </w:r>
      <w:r w:rsidR="00B5664A" w:rsidRPr="00B5664A">
        <w:rPr>
          <w:b w:val="0"/>
        </w:rPr>
        <w:t xml:space="preserve">During 2011–2013, a majority of </w:t>
      </w:r>
      <w:r w:rsidR="00B5664A">
        <w:rPr>
          <w:b w:val="0"/>
        </w:rPr>
        <w:t xml:space="preserve">adult </w:t>
      </w:r>
      <w:r w:rsidR="00B5664A" w:rsidRPr="00B5664A">
        <w:rPr>
          <w:b w:val="0"/>
        </w:rPr>
        <w:t>smokers tried to quit in almost all states</w:t>
      </w:r>
      <w:r w:rsidR="00B5664A" w:rsidRPr="00735497">
        <w:rPr>
          <w:b w:val="0"/>
        </w:rPr>
        <w:t xml:space="preserve"> </w:t>
      </w:r>
      <w:r w:rsidR="00AA3805" w:rsidRPr="00735497">
        <w:rPr>
          <w:b w:val="0"/>
        </w:rPr>
        <w:t>(CDC, 201</w:t>
      </w:r>
      <w:r w:rsidR="00B5664A">
        <w:rPr>
          <w:b w:val="0"/>
        </w:rPr>
        <w:t>5</w:t>
      </w:r>
      <w:r w:rsidR="00AA3805" w:rsidRPr="00735497">
        <w:rPr>
          <w:b w:val="0"/>
        </w:rPr>
        <w:t>).</w:t>
      </w:r>
      <w:r w:rsidR="00A60168">
        <w:rPr>
          <w:b w:val="0"/>
        </w:rPr>
        <w:t xml:space="preserve"> </w:t>
      </w:r>
      <w:r w:rsidR="002B033C">
        <w:rPr>
          <w:b w:val="0"/>
        </w:rPr>
        <w:t xml:space="preserve">To support quit attempts, </w:t>
      </w:r>
      <w:r w:rsidR="00E048B8">
        <w:rPr>
          <w:b w:val="0"/>
        </w:rPr>
        <w:t>q</w:t>
      </w:r>
      <w:r w:rsidR="00A60168" w:rsidRPr="0050002C">
        <w:rPr>
          <w:b w:val="0"/>
        </w:rPr>
        <w:t>uitlines are telephone-based services</w:t>
      </w:r>
      <w:r w:rsidR="00A60168">
        <w:rPr>
          <w:b w:val="0"/>
        </w:rPr>
        <w:t xml:space="preserve"> that </w:t>
      </w:r>
      <w:r w:rsidR="00EE6D37">
        <w:rPr>
          <w:b w:val="0"/>
        </w:rPr>
        <w:t>provide</w:t>
      </w:r>
      <w:r w:rsidR="00A60168">
        <w:rPr>
          <w:b w:val="0"/>
        </w:rPr>
        <w:t xml:space="preserve"> </w:t>
      </w:r>
      <w:r w:rsidR="00EE6D37">
        <w:rPr>
          <w:b w:val="0"/>
        </w:rPr>
        <w:t xml:space="preserve">callers with information, </w:t>
      </w:r>
      <w:r w:rsidR="00A60168">
        <w:rPr>
          <w:b w:val="0"/>
        </w:rPr>
        <w:t>counseling,</w:t>
      </w:r>
      <w:r w:rsidR="00F14042">
        <w:rPr>
          <w:b w:val="0"/>
        </w:rPr>
        <w:t xml:space="preserve"> </w:t>
      </w:r>
      <w:r w:rsidR="00A60168">
        <w:rPr>
          <w:b w:val="0"/>
        </w:rPr>
        <w:t>and referrals</w:t>
      </w:r>
      <w:r w:rsidR="007A60C8">
        <w:rPr>
          <w:b w:val="0"/>
        </w:rPr>
        <w:t xml:space="preserve">. </w:t>
      </w:r>
      <w:r w:rsidR="00735497" w:rsidRPr="0050002C">
        <w:rPr>
          <w:b w:val="0"/>
        </w:rPr>
        <w:t xml:space="preserve">Quitlines </w:t>
      </w:r>
      <w:r w:rsidR="000247B3">
        <w:rPr>
          <w:b w:val="0"/>
        </w:rPr>
        <w:t>have been shown to be</w:t>
      </w:r>
      <w:r w:rsidR="00735497" w:rsidRPr="0050002C">
        <w:rPr>
          <w:b w:val="0"/>
        </w:rPr>
        <w:t xml:space="preserve"> an effective</w:t>
      </w:r>
      <w:r w:rsidR="00A60168" w:rsidRPr="0050002C">
        <w:rPr>
          <w:b w:val="0"/>
        </w:rPr>
        <w:t>,</w:t>
      </w:r>
      <w:r w:rsidR="00735497" w:rsidRPr="0050002C">
        <w:rPr>
          <w:b w:val="0"/>
        </w:rPr>
        <w:t xml:space="preserve"> population-based intervention that increases successful quitting (Task Force on Community Preventive Services, 2011). The U.S. Public Health Services’</w:t>
      </w:r>
      <w:r w:rsidR="00735497" w:rsidRPr="0050002C">
        <w:rPr>
          <w:b w:val="0"/>
          <w:i/>
        </w:rPr>
        <w:t xml:space="preserve"> Clinical Practice Guideline: Treating Tobacco Use and Dependence – 2008 Update</w:t>
      </w:r>
      <w:r w:rsidR="00735497" w:rsidRPr="0050002C">
        <w:rPr>
          <w:b w:val="0"/>
        </w:rPr>
        <w:t>,</w:t>
      </w:r>
      <w:r w:rsidR="00735497" w:rsidRPr="0050002C">
        <w:rPr>
          <w:b w:val="0"/>
          <w:i/>
        </w:rPr>
        <w:t xml:space="preserve"> </w:t>
      </w:r>
      <w:r w:rsidR="00735497" w:rsidRPr="0050002C">
        <w:rPr>
          <w:b w:val="0"/>
        </w:rPr>
        <w:t>identified quitline counseling (telephone counseling that includes counselor-initiated calls or proactive counseling) as an evidence-based treatment that increased the odds of abstinence by approximately 60% (Fiore, 2008). State</w:t>
      </w:r>
      <w:r w:rsidR="000247B3">
        <w:rPr>
          <w:b w:val="0"/>
        </w:rPr>
        <w:t>-based</w:t>
      </w:r>
      <w:r w:rsidR="00735497" w:rsidRPr="0050002C">
        <w:rPr>
          <w:b w:val="0"/>
        </w:rPr>
        <w:t xml:space="preserve"> tobacco cessation quitlines have been shown to be cost-effective (CDC, 2004; Zhu, 2000) and overcome many of the barriers to tobacco cessation classes and traditional clinics because they are free and available at the caller’s convenience. </w:t>
      </w:r>
    </w:p>
    <w:p w:rsidR="00C500C1" w:rsidRDefault="00F91F84" w:rsidP="00C500C1">
      <w:r>
        <w:tab/>
      </w:r>
      <w:r>
        <w:rPr>
          <w:rFonts w:cstheme="minorHAnsi"/>
        </w:rPr>
        <w:t xml:space="preserve">Publicly funded state quitlines operate in every state, the District of Columbia, Guam, and Puerto Rico.  As a result of a collaboration with NCI, callers can be automatically routed to their state quiltine by calling 1-800-QUIT-NOW or Spanish-speaking callers can be automatically routed to Spanish-language services through 1-855-DEJELOYA.  A national quitline for Asian languages of Korean, Mandrin, and Vietnamese is available and marketed directly to these communities in each of these languages.  </w:t>
      </w:r>
    </w:p>
    <w:p w:rsidR="00C500C1" w:rsidRDefault="00C500C1" w:rsidP="00C500C1"/>
    <w:p w:rsidR="00E048B8" w:rsidRDefault="00735497" w:rsidP="00C500C1">
      <w:pPr>
        <w:ind w:firstLine="720"/>
      </w:pPr>
      <w:r w:rsidRPr="00903BE0">
        <w:t>The Centers for Disease Control and Prevention</w:t>
      </w:r>
      <w:r w:rsidR="00EE6D37">
        <w:t xml:space="preserve"> (CDC), </w:t>
      </w:r>
      <w:r w:rsidRPr="00903BE0">
        <w:t xml:space="preserve">Office on Smoking and Health (OSH) </w:t>
      </w:r>
      <w:r w:rsidR="00FC4F06">
        <w:t>provides funding and technical assistance to</w:t>
      </w:r>
      <w:r w:rsidR="00EE6D37">
        <w:t xml:space="preserve"> Quitlines </w:t>
      </w:r>
      <w:r w:rsidR="007C6FD0">
        <w:t xml:space="preserve">in </w:t>
      </w:r>
      <w:r w:rsidR="00EE6D37">
        <w:t>all 50 states, the District of Columbia, Guam, Puerto Rico</w:t>
      </w:r>
      <w:r w:rsidR="00161296">
        <w:t>, and the Asian Smoker’s Quitline (ASQ)</w:t>
      </w:r>
      <w:r w:rsidR="00EE6D37">
        <w:t>.</w:t>
      </w:r>
      <w:r w:rsidR="00F91F84">
        <w:t xml:space="preserve">  </w:t>
      </w:r>
      <w:r w:rsidR="00006E2A">
        <w:t>Although</w:t>
      </w:r>
      <w:r w:rsidR="00E249D6">
        <w:t xml:space="preserve"> </w:t>
      </w:r>
      <w:r w:rsidR="007C6FD0">
        <w:t xml:space="preserve">Quitline </w:t>
      </w:r>
      <w:r w:rsidR="00B55948">
        <w:t xml:space="preserve">services and </w:t>
      </w:r>
      <w:r w:rsidR="000247B3">
        <w:t>operations vary across states and territories</w:t>
      </w:r>
      <w:r w:rsidR="00DE02EA">
        <w:t xml:space="preserve">, </w:t>
      </w:r>
      <w:r w:rsidR="00064F2D">
        <w:t xml:space="preserve">some activities </w:t>
      </w:r>
      <w:r w:rsidR="00FC6FA2">
        <w:t>are based on</w:t>
      </w:r>
      <w:r w:rsidR="000005B7">
        <w:t xml:space="preserve"> common protocols </w:t>
      </w:r>
      <w:r w:rsidR="00F64994">
        <w:t>that provide a framework for program monitoring and evaluation</w:t>
      </w:r>
      <w:r w:rsidR="00170D35">
        <w:t>. A minimum data set (MDS) was</w:t>
      </w:r>
      <w:r w:rsidR="00F64994">
        <w:t xml:space="preserve"> </w:t>
      </w:r>
      <w:r w:rsidR="000005B7">
        <w:t>developed collaboratively by the Quitlines and stakeholders including professional organizations and the CDC</w:t>
      </w:r>
      <w:r w:rsidR="001A67B8">
        <w:t xml:space="preserve"> that serves as a core </w:t>
      </w:r>
      <w:r w:rsidR="00F028EB">
        <w:t>set of information reported by states. A</w:t>
      </w:r>
      <w:r w:rsidR="001A67B8">
        <w:t>d</w:t>
      </w:r>
      <w:r w:rsidR="00E048B8">
        <w:t xml:space="preserve">ditionally, states have the option of adding state-specific questions </w:t>
      </w:r>
      <w:r w:rsidR="00BA3AFF">
        <w:t xml:space="preserve">and services </w:t>
      </w:r>
      <w:r w:rsidR="00E048B8">
        <w:t>to their intake or follow-up surveys that CDC does not require to be submitted. </w:t>
      </w:r>
    </w:p>
    <w:p w:rsidR="007A60C8" w:rsidRDefault="005B0900" w:rsidP="00A60168">
      <w:pPr>
        <w:spacing w:after="120"/>
        <w:ind w:firstLine="720"/>
      </w:pPr>
      <w:r>
        <w:t>During the most recent OMB approval period, 5</w:t>
      </w:r>
      <w:r w:rsidR="00161296">
        <w:t>4</w:t>
      </w:r>
      <w:r w:rsidR="00F64994">
        <w:t xml:space="preserve"> Quitlines </w:t>
      </w:r>
      <w:r>
        <w:t>r</w:t>
      </w:r>
      <w:r w:rsidR="00F64994">
        <w:t>eport</w:t>
      </w:r>
      <w:r>
        <w:t xml:space="preserve">ed caller intake </w:t>
      </w:r>
      <w:r w:rsidR="00F64994">
        <w:t xml:space="preserve">to CDC through the NQDW. </w:t>
      </w:r>
      <w:r w:rsidR="00161296">
        <w:t xml:space="preserve">Additionally, the ASQ included follow-up data to CDC.  </w:t>
      </w:r>
      <w:r w:rsidR="00F64994">
        <w:t>In addition,</w:t>
      </w:r>
      <w:r w:rsidR="00FC6FA2">
        <w:t xml:space="preserve"> each </w:t>
      </w:r>
      <w:r w:rsidR="00FC4F06">
        <w:t>state- or territory-based Quitline</w:t>
      </w:r>
      <w:r>
        <w:t xml:space="preserve"> submitted a </w:t>
      </w:r>
      <w:r w:rsidR="00FC6FA2">
        <w:t xml:space="preserve">quarterly services report </w:t>
      </w:r>
      <w:r w:rsidR="00B55948">
        <w:t>which</w:t>
      </w:r>
      <w:r w:rsidR="00F14042">
        <w:t xml:space="preserve"> summarize</w:t>
      </w:r>
      <w:r>
        <w:t>d</w:t>
      </w:r>
      <w:r w:rsidR="00D64074">
        <w:t xml:space="preserve"> its services, </w:t>
      </w:r>
      <w:r w:rsidR="00F14042">
        <w:t>call volume</w:t>
      </w:r>
      <w:r w:rsidR="00D64074">
        <w:t>, and caller characteristics</w:t>
      </w:r>
      <w:r w:rsidR="00735497" w:rsidRPr="00903BE0">
        <w:t>.</w:t>
      </w:r>
    </w:p>
    <w:p w:rsidR="00F360A4" w:rsidRPr="00084C90" w:rsidRDefault="00F360A4" w:rsidP="00F360A4">
      <w:pPr>
        <w:pStyle w:val="ListParagraph"/>
        <w:spacing w:after="60"/>
        <w:rPr>
          <w:rFonts w:cs="Calibri"/>
        </w:rPr>
      </w:pPr>
    </w:p>
    <w:p w:rsidR="004C1C7D" w:rsidRPr="009E3DC1" w:rsidRDefault="0085460F" w:rsidP="004C1C7D">
      <w:pPr>
        <w:pStyle w:val="BodyText"/>
        <w:spacing w:after="0"/>
        <w:rPr>
          <w:b/>
          <w:u w:val="single"/>
        </w:rPr>
      </w:pPr>
      <w:r w:rsidRPr="009E3DC1">
        <w:rPr>
          <w:b/>
        </w:rPr>
        <w:t>A.</w:t>
      </w:r>
      <w:r w:rsidR="002D7990" w:rsidRPr="009E3DC1">
        <w:rPr>
          <w:b/>
        </w:rPr>
        <w:t>2</w:t>
      </w:r>
      <w:r w:rsidR="008469A3" w:rsidRPr="009E3DC1">
        <w:rPr>
          <w:b/>
        </w:rPr>
        <w:tab/>
      </w:r>
      <w:r w:rsidR="008469A3" w:rsidRPr="009E3DC1">
        <w:rPr>
          <w:b/>
          <w:u w:val="single"/>
        </w:rPr>
        <w:t>PURPOSE AND USE OF INFORMATION COLLECT</w:t>
      </w:r>
      <w:r w:rsidR="00766722" w:rsidRPr="009E3DC1">
        <w:rPr>
          <w:b/>
          <w:u w:val="single"/>
        </w:rPr>
        <w:t>ION</w:t>
      </w:r>
      <w:bookmarkStart w:id="1" w:name="OLE_LINK3"/>
    </w:p>
    <w:p w:rsidR="004C1C7D" w:rsidRDefault="004C1C7D" w:rsidP="00332BE6">
      <w:pPr>
        <w:pStyle w:val="BodyText"/>
        <w:spacing w:after="0"/>
        <w:rPr>
          <w:u w:val="single"/>
        </w:rPr>
      </w:pPr>
    </w:p>
    <w:p w:rsidR="00332BE6" w:rsidRDefault="00332BE6" w:rsidP="00332BE6">
      <w:pPr>
        <w:pStyle w:val="BodyText"/>
        <w:spacing w:after="0"/>
      </w:pPr>
      <w:r>
        <w:t xml:space="preserve">The specific aims of the planned data collection are to: </w:t>
      </w:r>
    </w:p>
    <w:p w:rsidR="00332BE6" w:rsidRDefault="00332BE6" w:rsidP="00332BE6">
      <w:pPr>
        <w:pStyle w:val="BodyText"/>
        <w:spacing w:after="0"/>
      </w:pPr>
    </w:p>
    <w:p w:rsidR="00332BE6" w:rsidRDefault="00332BE6" w:rsidP="00332BE6">
      <w:pPr>
        <w:widowControl w:val="0"/>
        <w:numPr>
          <w:ilvl w:val="0"/>
          <w:numId w:val="12"/>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pPr>
      <w:r>
        <w:t xml:space="preserve">Nationally and by state, determine the population reach of quitlines.    </w:t>
      </w:r>
    </w:p>
    <w:p w:rsidR="00332BE6" w:rsidRDefault="00332BE6" w:rsidP="00332BE6">
      <w:pPr>
        <w:widowControl w:val="0"/>
        <w:numPr>
          <w:ilvl w:val="0"/>
          <w:numId w:val="12"/>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pPr>
      <w:r>
        <w:t xml:space="preserve">Nationally and by state or territory, describe the characteristics of callers who are served by quitlines and determine whether high-risk populations (e.g., pregnant women, </w:t>
      </w:r>
      <w:r w:rsidRPr="009470D9">
        <w:t>racial and ethnic minorities</w:t>
      </w:r>
      <w:r>
        <w:t xml:space="preserve">, low socioeconomic status, uninsured or medically underserved, and tobacco users with mental illness) utilize quitline services. </w:t>
      </w:r>
    </w:p>
    <w:p w:rsidR="00332BE6" w:rsidRDefault="00332BE6" w:rsidP="00332BE6">
      <w:pPr>
        <w:widowControl w:val="0"/>
        <w:numPr>
          <w:ilvl w:val="0"/>
          <w:numId w:val="12"/>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pPr>
      <w:r>
        <w:t xml:space="preserve">Estimate the number and proportion of callers who received treatment from the Asian Smokers’ Quitline who successfully quit (7 month quit rate).  </w:t>
      </w:r>
    </w:p>
    <w:p w:rsidR="00332BE6" w:rsidRDefault="00332BE6" w:rsidP="00332BE6">
      <w:pPr>
        <w:widowControl w:val="0"/>
        <w:numPr>
          <w:ilvl w:val="0"/>
          <w:numId w:val="12"/>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pPr>
      <w:r>
        <w:t>Nationally and by state, monitor and assess the services offered by state quitlines</w:t>
      </w:r>
      <w:r w:rsidR="00F02D73">
        <w:t>.</w:t>
      </w:r>
      <w:r>
        <w:t xml:space="preserve"> </w:t>
      </w:r>
    </w:p>
    <w:p w:rsidR="00332BE6" w:rsidRDefault="00332BE6" w:rsidP="00EF4381">
      <w:pPr>
        <w:ind w:firstLine="720"/>
      </w:pPr>
    </w:p>
    <w:p w:rsidR="00A70650" w:rsidRDefault="00A70650" w:rsidP="00EF4381">
      <w:pPr>
        <w:ind w:firstLine="720"/>
      </w:pPr>
      <w:r w:rsidRPr="00A70650">
        <w:t xml:space="preserve">CDC will continue to use the information collected by the NQDW for ongoing monitoring and evaluation related to state quitlines, including routine tracking of quitline service metrics such as call volume and tobacco users receiving services from quitlines. </w:t>
      </w:r>
      <w:r>
        <w:t>CDC uses NQDW data to s</w:t>
      </w:r>
      <w:r w:rsidRPr="00EF4381">
        <w:t>upport provision of technical assistance and help</w:t>
      </w:r>
      <w:r>
        <w:t xml:space="preserve"> </w:t>
      </w:r>
      <w:r w:rsidRPr="00A70650">
        <w:t>identify best practices in quitline operations which can be used for program improvement</w:t>
      </w:r>
      <w:r w:rsidR="00EF4381">
        <w:t>. This data helps p</w:t>
      </w:r>
      <w:r w:rsidRPr="00A70650">
        <w:t>rovide public health and education officials and the general public with accurate information about quit rate trends</w:t>
      </w:r>
      <w:r w:rsidRPr="00EF4381">
        <w:t xml:space="preserve"> and use of quitlines</w:t>
      </w:r>
      <w:r w:rsidR="00EF4381">
        <w:t>, as well as i</w:t>
      </w:r>
      <w:r w:rsidRPr="00EF4381">
        <w:t xml:space="preserve">nform program development </w:t>
      </w:r>
      <w:r w:rsidR="004C1C7D">
        <w:t xml:space="preserve">and </w:t>
      </w:r>
      <w:r w:rsidRPr="00EF4381">
        <w:t xml:space="preserve">provide </w:t>
      </w:r>
      <w:r w:rsidR="004C1C7D">
        <w:t xml:space="preserve">federal and </w:t>
      </w:r>
      <w:r w:rsidRPr="00EF4381">
        <w:t>state legislatures with information about the use and effectiveness of quitlines</w:t>
      </w:r>
      <w:r w:rsidRPr="00EF4381" w:rsidDel="00C6058C">
        <w:t xml:space="preserve"> </w:t>
      </w:r>
      <w:r w:rsidRPr="00EF4381">
        <w:t>to inform resource allocation for cessation interventions.</w:t>
      </w:r>
    </w:p>
    <w:p w:rsidR="00332BE6" w:rsidRPr="00EF4381" w:rsidRDefault="00332BE6" w:rsidP="00EF4381">
      <w:pPr>
        <w:ind w:firstLine="720"/>
      </w:pPr>
    </w:p>
    <w:p w:rsidR="005212E6" w:rsidRDefault="00EF4381" w:rsidP="00EF4381">
      <w:pPr>
        <w:spacing w:after="120"/>
        <w:ind w:firstLine="720"/>
      </w:pPr>
      <w:r w:rsidRPr="00C833F0">
        <w:rPr>
          <w:bCs/>
          <w:iCs/>
        </w:rPr>
        <w:t xml:space="preserve">In 2012, USDHHS initiated the </w:t>
      </w:r>
      <w:r w:rsidR="001938EF" w:rsidRPr="005D5AC9">
        <w:rPr>
          <w:rFonts w:cstheme="minorHAnsi"/>
        </w:rPr>
        <w:t>U</w:t>
      </w:r>
      <w:r w:rsidR="001938EF">
        <w:rPr>
          <w:rFonts w:cstheme="minorHAnsi"/>
        </w:rPr>
        <w:t>.</w:t>
      </w:r>
      <w:r w:rsidR="001938EF" w:rsidRPr="005D5AC9">
        <w:rPr>
          <w:rFonts w:cstheme="minorHAnsi"/>
        </w:rPr>
        <w:t>S</w:t>
      </w:r>
      <w:r w:rsidR="001938EF">
        <w:rPr>
          <w:rFonts w:cstheme="minorHAnsi"/>
        </w:rPr>
        <w:t>.</w:t>
      </w:r>
      <w:r w:rsidR="001938EF" w:rsidRPr="005D5AC9">
        <w:rPr>
          <w:rFonts w:cstheme="minorHAnsi"/>
        </w:rPr>
        <w:t xml:space="preserve"> Centers </w:t>
      </w:r>
      <w:r w:rsidR="001938EF" w:rsidRPr="00E93B4D">
        <w:rPr>
          <w:rFonts w:cstheme="minorHAnsi"/>
        </w:rPr>
        <w:t xml:space="preserve">for Disease Control and Prevention’s Tips From Former Smokers® (Tips®) </w:t>
      </w:r>
      <w:r w:rsidRPr="00C833F0">
        <w:rPr>
          <w:bCs/>
          <w:iCs/>
        </w:rPr>
        <w:t xml:space="preserve"> campaign, the first-ever </w:t>
      </w:r>
      <w:r>
        <w:rPr>
          <w:bCs/>
          <w:iCs/>
        </w:rPr>
        <w:t xml:space="preserve">federally funded </w:t>
      </w:r>
      <w:r w:rsidRPr="00C833F0">
        <w:rPr>
          <w:bCs/>
          <w:iCs/>
        </w:rPr>
        <w:t xml:space="preserve">national tobacco education media campaign, </w:t>
      </w:r>
      <w:r w:rsidRPr="00C833F0">
        <w:t xml:space="preserve">to increase </w:t>
      </w:r>
      <w:r>
        <w:t>public</w:t>
      </w:r>
      <w:r w:rsidRPr="00C833F0">
        <w:t xml:space="preserve"> awareness of </w:t>
      </w:r>
      <w:r>
        <w:t xml:space="preserve">immediate health damage caused by smoking and to </w:t>
      </w:r>
      <w:r w:rsidRPr="00C833F0">
        <w:t xml:space="preserve">encourage </w:t>
      </w:r>
      <w:r>
        <w:t xml:space="preserve">adult smokers </w:t>
      </w:r>
      <w:r w:rsidRPr="00C833F0">
        <w:t xml:space="preserve">to quit </w:t>
      </w:r>
      <w:r>
        <w:t>(www.cdc.gov/tips)</w:t>
      </w:r>
      <w:r w:rsidRPr="00C833F0">
        <w:t xml:space="preserve">. </w:t>
      </w:r>
      <w:r w:rsidRPr="00C833F0">
        <w:rPr>
          <w:bCs/>
          <w:iCs/>
        </w:rPr>
        <w:t>Data collected by the NQDW serves an important role in helping CDC</w:t>
      </w:r>
      <w:r>
        <w:rPr>
          <w:bCs/>
          <w:iCs/>
        </w:rPr>
        <w:t xml:space="preserve"> assess the effectiveness of the </w:t>
      </w:r>
      <w:r w:rsidR="001B49EC" w:rsidRPr="00E93B4D">
        <w:rPr>
          <w:rFonts w:cstheme="minorHAnsi"/>
        </w:rPr>
        <w:t>Tips®</w:t>
      </w:r>
      <w:r>
        <w:rPr>
          <w:bCs/>
          <w:iCs/>
        </w:rPr>
        <w:t xml:space="preserve"> campaign </w:t>
      </w:r>
      <w:r w:rsidR="005212E6">
        <w:rPr>
          <w:bCs/>
          <w:iCs/>
        </w:rPr>
        <w:t>i</w:t>
      </w:r>
      <w:r>
        <w:rPr>
          <w:bCs/>
          <w:iCs/>
        </w:rPr>
        <w:t xml:space="preserve">n promoting the use of quitlines.  </w:t>
      </w:r>
      <w:r w:rsidR="00A70650" w:rsidRPr="00B14568">
        <w:t>In 2014, CDC provided approximately $</w:t>
      </w:r>
      <w:r w:rsidR="00A70650">
        <w:t>17</w:t>
      </w:r>
      <w:r w:rsidR="00977280">
        <w:t xml:space="preserve"> million through an Notice of Funding Opportunity</w:t>
      </w:r>
      <w:r w:rsidR="00A70650" w:rsidRPr="00B14568">
        <w:t xml:space="preserve"> (CDC-RFA-DP14-1410PPHF14) to </w:t>
      </w:r>
      <w:r w:rsidR="00FA08A3">
        <w:t>46</w:t>
      </w:r>
      <w:r w:rsidR="00A70650" w:rsidRPr="00B14568">
        <w:t xml:space="preserve"> states, DC Guam, and Puerto Rico for a period of 48 months to ensure and support state quitline capacity, in order to respond to federal initiatives such as the CDC’s </w:t>
      </w:r>
      <w:r w:rsidR="001938EF">
        <w:t>Tips®</w:t>
      </w:r>
      <w:r w:rsidR="00A70650" w:rsidRPr="00B14568">
        <w:t xml:space="preserve"> campaign.</w:t>
      </w:r>
      <w:r w:rsidR="00FA08A3">
        <w:t xml:space="preserve">  A concept proposal has been submitted for a new Notice of Funding Opportunity to extend this effort for enhancement infrastructure open to all 50 states, DC, Guam, Puerto Rico and the ASQ estimate to start in 2019 for approximately $18 million.</w:t>
      </w:r>
      <w:r w:rsidR="00A70650" w:rsidRPr="00B14568">
        <w:t xml:space="preserve"> </w:t>
      </w:r>
    </w:p>
    <w:p w:rsidR="00A70650" w:rsidRDefault="00A70650" w:rsidP="00552523">
      <w:pPr>
        <w:spacing w:after="120"/>
        <w:ind w:firstLine="720"/>
      </w:pPr>
      <w:r w:rsidRPr="00B14568">
        <w:t xml:space="preserve">Starting in 2015, CDC is providing funding through the National State-based Tobacco Control Programs (CDC-RFA-DP15-1509) to continue </w:t>
      </w:r>
      <w:r w:rsidRPr="009900C8">
        <w:t>submitting quitline data to the NQDW for a period of 5 years.</w:t>
      </w:r>
      <w:r>
        <w:t xml:space="preserve"> An </w:t>
      </w:r>
      <w:r>
        <w:rPr>
          <w:color w:val="000000"/>
        </w:rPr>
        <w:t>e</w:t>
      </w:r>
      <w:r w:rsidRPr="00345AD1">
        <w:rPr>
          <w:color w:val="000000"/>
        </w:rPr>
        <w:t xml:space="preserve">ssential element of this </w:t>
      </w:r>
      <w:r>
        <w:rPr>
          <w:color w:val="000000"/>
        </w:rPr>
        <w:t>program includes</w:t>
      </w:r>
      <w:r w:rsidRPr="00345AD1">
        <w:rPr>
          <w:color w:val="000000"/>
        </w:rPr>
        <w:t xml:space="preserve"> cessation services</w:t>
      </w:r>
      <w:r>
        <w:rPr>
          <w:color w:val="000000"/>
        </w:rPr>
        <w:t xml:space="preserve"> provided through quitlines.</w:t>
      </w:r>
      <w:r w:rsidRPr="00345AD1">
        <w:rPr>
          <w:color w:val="000000"/>
        </w:rPr>
        <w:t xml:space="preserve"> </w:t>
      </w:r>
      <w:r w:rsidRPr="007C7C2B">
        <w:rPr>
          <w:i/>
        </w:rPr>
        <w:t>CDC’s Best Practices for Comprehensive Tobacco Control Programs-2014</w:t>
      </w:r>
      <w:r>
        <w:rPr>
          <w:i/>
        </w:rPr>
        <w:t xml:space="preserve"> </w:t>
      </w:r>
      <w:r>
        <w:t xml:space="preserve">is </w:t>
      </w:r>
      <w:r w:rsidRPr="003A71D4">
        <w:t>an evidence-based guide</w:t>
      </w:r>
      <w:r>
        <w:t xml:space="preserve"> designed</w:t>
      </w:r>
      <w:r w:rsidRPr="003A71D4">
        <w:t xml:space="preserve"> to help states plan and establish effective tobacco control programs to prevent and reduce tobacco use</w:t>
      </w:r>
      <w:r>
        <w:t xml:space="preserve"> (CDC, 2014a). The Guide’s recommendations for state quitlines include increasing the level of quitline reach within each state to 6%-8%, providing a focus on populations experiencing tobacco-related disparities, providing nicotine replacement therapy through the quitline, and collaborating with health care systems to increase quitline referrals. </w:t>
      </w:r>
      <w:r w:rsidR="00EF4381">
        <w:rPr>
          <w:rStyle w:val="Emphasis"/>
          <w:bCs/>
          <w:i w:val="0"/>
        </w:rPr>
        <w:t>The Affordable Care Act contains several provisions improving insurance coverage of evidence-based preventive services, including tobacco cessation. Health insurers and employers use state quitlines to provide evidence-based counseling services.</w:t>
      </w:r>
    </w:p>
    <w:bookmarkEnd w:id="1"/>
    <w:p w:rsidR="006D47EE" w:rsidRDefault="003538EE" w:rsidP="0050002C">
      <w:pPr>
        <w:ind w:firstLine="720"/>
      </w:pPr>
      <w:r w:rsidRPr="009900C8">
        <w:t>CDC</w:t>
      </w:r>
      <w:r w:rsidRPr="00B14568">
        <w:t xml:space="preserve"> will continue to make information collected by the NQDW available to federal and state governments, state tobacco control program managers, researchers, and the general public online through the CDC’s State Tobacco Activities Tracking and Evaluate (STATE) System website (</w:t>
      </w:r>
      <w:hyperlink r:id="rId9" w:history="1">
        <w:r w:rsidRPr="00AD67D2">
          <w:rPr>
            <w:rStyle w:val="Hyperlink"/>
          </w:rPr>
          <w:t>http://www.cdc.gov/statesystem</w:t>
        </w:r>
      </w:hyperlink>
      <w:r w:rsidRPr="00B14568">
        <w:t>).</w:t>
      </w:r>
    </w:p>
    <w:p w:rsidR="001A67B8" w:rsidRPr="002D3CC6" w:rsidRDefault="001A67B8" w:rsidP="0050002C">
      <w:pPr>
        <w:ind w:firstLine="720"/>
      </w:pPr>
    </w:p>
    <w:p w:rsidR="008469A3" w:rsidRPr="001A67B8" w:rsidRDefault="008469A3" w:rsidP="006E3E10">
      <w:r w:rsidRPr="001A67B8">
        <w:t xml:space="preserve">Uses of </w:t>
      </w:r>
      <w:r w:rsidR="006952E6" w:rsidRPr="001A67B8">
        <w:t>Information Collection</w:t>
      </w:r>
      <w:r w:rsidRPr="001A67B8">
        <w:t xml:space="preserve"> by Other Federal Agencies and Departments</w:t>
      </w:r>
    </w:p>
    <w:p w:rsidR="006D47EE" w:rsidRPr="007B705F" w:rsidRDefault="006D47EE" w:rsidP="006D47EE">
      <w:pPr>
        <w:ind w:firstLine="360"/>
        <w:rPr>
          <w:b/>
        </w:rPr>
      </w:pPr>
    </w:p>
    <w:p w:rsidR="001B5782" w:rsidRPr="00053F78" w:rsidRDefault="00BB2941" w:rsidP="00CC6D73">
      <w:r>
        <w:t>The</w:t>
      </w:r>
      <w:r w:rsidR="00A30023">
        <w:t xml:space="preserve"> data collected as part of the </w:t>
      </w:r>
      <w:r w:rsidR="007F0239">
        <w:t>NQDW</w:t>
      </w:r>
      <w:r>
        <w:t xml:space="preserve"> </w:t>
      </w:r>
      <w:r w:rsidR="008469A3" w:rsidRPr="007B705F">
        <w:t xml:space="preserve">are of interest not only to CDC, but also to other Federal agencies and departments. </w:t>
      </w:r>
      <w:r w:rsidR="00132765">
        <w:t xml:space="preserve">The </w:t>
      </w:r>
      <w:r w:rsidR="008469A3" w:rsidRPr="00053F78">
        <w:t>Department of Health and Human Services</w:t>
      </w:r>
      <w:r w:rsidR="00053F78">
        <w:t xml:space="preserve">, </w:t>
      </w:r>
      <w:r w:rsidR="00D32DC8" w:rsidRPr="00053F78">
        <w:t>Center for Medicare and Medicaid Services</w:t>
      </w:r>
      <w:r w:rsidR="00053F78">
        <w:t xml:space="preserve">, </w:t>
      </w:r>
      <w:r w:rsidR="00073632" w:rsidRPr="00053F78">
        <w:t>Food and Drug Administration</w:t>
      </w:r>
      <w:r w:rsidR="00053F78">
        <w:t xml:space="preserve">, </w:t>
      </w:r>
      <w:r w:rsidR="00053F78" w:rsidRPr="00053F78">
        <w:t>National Cancer Institute</w:t>
      </w:r>
      <w:r w:rsidR="00053F78">
        <w:t xml:space="preserve">, </w:t>
      </w:r>
      <w:r w:rsidR="00073632" w:rsidRPr="00053F78">
        <w:t xml:space="preserve"> </w:t>
      </w:r>
      <w:r w:rsidR="00053F78" w:rsidRPr="00053F78">
        <w:t xml:space="preserve">Office of National Drug Control Policy </w:t>
      </w:r>
      <w:r w:rsidR="00053F78">
        <w:t xml:space="preserve">and </w:t>
      </w:r>
      <w:r w:rsidR="00053F78" w:rsidRPr="00053F78">
        <w:t xml:space="preserve">Substance Abuse and Mental Health Services Administration </w:t>
      </w:r>
      <w:r w:rsidR="008469A3" w:rsidRPr="00053F78">
        <w:t xml:space="preserve">can use </w:t>
      </w:r>
      <w:r w:rsidR="000D1132" w:rsidRPr="00053F78">
        <w:t xml:space="preserve">NQDW </w:t>
      </w:r>
      <w:r w:rsidR="001C1108">
        <w:t xml:space="preserve">data </w:t>
      </w:r>
      <w:r w:rsidR="008469A3" w:rsidRPr="00053F78">
        <w:t xml:space="preserve">to help inform </w:t>
      </w:r>
      <w:r w:rsidR="00053F78">
        <w:t xml:space="preserve">regulatory, </w:t>
      </w:r>
      <w:r w:rsidR="008469A3" w:rsidRPr="00053F78">
        <w:t xml:space="preserve">research, educational efforts, and demonstration projects focused on </w:t>
      </w:r>
      <w:r w:rsidR="00872AAD" w:rsidRPr="00053F78">
        <w:t xml:space="preserve">adult </w:t>
      </w:r>
      <w:r w:rsidR="008469A3" w:rsidRPr="00053F78">
        <w:t>tobacco use cessation</w:t>
      </w:r>
      <w:r w:rsidR="00AC5020" w:rsidRPr="00053F78">
        <w:t xml:space="preserve">, especially related to </w:t>
      </w:r>
      <w:r w:rsidR="00A173C0" w:rsidRPr="00053F78">
        <w:t xml:space="preserve">addressing </w:t>
      </w:r>
      <w:r w:rsidR="00AC5020" w:rsidRPr="00053F78">
        <w:t xml:space="preserve">disparities in access to and use of </w:t>
      </w:r>
      <w:r w:rsidR="00A173C0" w:rsidRPr="00053F78">
        <w:t>cessation</w:t>
      </w:r>
      <w:r w:rsidR="00AC5020" w:rsidRPr="00053F78">
        <w:t xml:space="preserve"> services</w:t>
      </w:r>
      <w:r w:rsidR="0085022F" w:rsidRPr="00053F78">
        <w:t xml:space="preserve">.  </w:t>
      </w:r>
    </w:p>
    <w:p w:rsidR="00E675E5" w:rsidRPr="00053F78" w:rsidRDefault="00E675E5" w:rsidP="00053F78">
      <w:pPr>
        <w:ind w:left="720"/>
      </w:pPr>
    </w:p>
    <w:p w:rsidR="008469A3" w:rsidRPr="0050002C" w:rsidRDefault="008469A3" w:rsidP="007A5DFA">
      <w:pPr>
        <w:pStyle w:val="Heading3"/>
        <w:ind w:left="0"/>
        <w:rPr>
          <w:b w:val="0"/>
        </w:rPr>
      </w:pPr>
      <w:r w:rsidRPr="0050002C">
        <w:rPr>
          <w:b w:val="0"/>
        </w:rPr>
        <w:t>Use</w:t>
      </w:r>
      <w:r w:rsidR="006952E6" w:rsidRPr="0050002C">
        <w:rPr>
          <w:b w:val="0"/>
        </w:rPr>
        <w:t xml:space="preserve">s </w:t>
      </w:r>
      <w:r w:rsidRPr="0050002C">
        <w:rPr>
          <w:b w:val="0"/>
        </w:rPr>
        <w:t xml:space="preserve">of </w:t>
      </w:r>
      <w:r w:rsidR="006952E6" w:rsidRPr="0050002C">
        <w:rPr>
          <w:b w:val="0"/>
        </w:rPr>
        <w:t>Information Collection</w:t>
      </w:r>
      <w:r w:rsidRPr="0050002C">
        <w:rPr>
          <w:b w:val="0"/>
        </w:rPr>
        <w:t xml:space="preserve"> by Those Outside Federal Agencies</w:t>
      </w:r>
    </w:p>
    <w:p w:rsidR="008469A3" w:rsidRPr="00407B40" w:rsidRDefault="00C4719E" w:rsidP="00C500C1">
      <w:pPr>
        <w:pStyle w:val="BodyText"/>
        <w:ind w:firstLine="0"/>
      </w:pPr>
      <w:r>
        <w:t xml:space="preserve">Data collected as part of the </w:t>
      </w:r>
      <w:r w:rsidR="007F0239">
        <w:t>NQDW</w:t>
      </w:r>
      <w:r w:rsidR="00350EBA">
        <w:t xml:space="preserve"> </w:t>
      </w:r>
      <w:r w:rsidR="00C500C1">
        <w:t>can</w:t>
      </w:r>
      <w:r w:rsidR="00F12F95">
        <w:t xml:space="preserve"> be </w:t>
      </w:r>
      <w:r w:rsidR="005636FC" w:rsidRPr="00407B40">
        <w:t xml:space="preserve">used in a variety of ways by state and local governments, researchers, voluntary health organizations, physicians, health educators, </w:t>
      </w:r>
      <w:r w:rsidR="005636FC">
        <w:t>workplace wellness programs, and community outreach organizations:</w:t>
      </w:r>
    </w:p>
    <w:p w:rsidR="008469A3" w:rsidRPr="00407B40" w:rsidRDefault="00022776" w:rsidP="001451C6">
      <w:pPr>
        <w:pStyle w:val="Bullet"/>
        <w:numPr>
          <w:ilvl w:val="0"/>
          <w:numId w:val="10"/>
        </w:numPr>
      </w:pPr>
      <w:r>
        <w:t>T</w:t>
      </w:r>
      <w:r w:rsidR="008469A3" w:rsidRPr="00407B40">
        <w:t>he legislative and executive br</w:t>
      </w:r>
      <w:r w:rsidR="00ED4A0C">
        <w:t xml:space="preserve">anches of government </w:t>
      </w:r>
      <w:r w:rsidR="00C500C1">
        <w:t>can</w:t>
      </w:r>
      <w:r w:rsidR="007E6290">
        <w:t xml:space="preserve"> </w:t>
      </w:r>
      <w:r w:rsidR="00ED4A0C">
        <w:t xml:space="preserve">use </w:t>
      </w:r>
      <w:r w:rsidR="006E079C">
        <w:t xml:space="preserve">NQDW </w:t>
      </w:r>
      <w:r w:rsidR="00407B40" w:rsidRPr="00407B40">
        <w:t>data</w:t>
      </w:r>
      <w:r w:rsidR="008469A3" w:rsidRPr="00407B40">
        <w:t xml:space="preserve"> to evaluate existing </w:t>
      </w:r>
      <w:r w:rsidR="00350EBA">
        <w:t xml:space="preserve">quitline </w:t>
      </w:r>
      <w:r w:rsidR="005636FC">
        <w:t>programs</w:t>
      </w:r>
      <w:r w:rsidR="00775DB7" w:rsidRPr="00407B40">
        <w:t>,</w:t>
      </w:r>
      <w:r w:rsidR="008469A3" w:rsidRPr="00407B40">
        <w:t xml:space="preserve"> and </w:t>
      </w:r>
      <w:r>
        <w:t>use the information to guide program investments</w:t>
      </w:r>
      <w:r w:rsidR="008469A3" w:rsidRPr="00407B40">
        <w:t>.</w:t>
      </w:r>
      <w:r w:rsidR="0043516F">
        <w:t xml:space="preserve">  </w:t>
      </w:r>
    </w:p>
    <w:p w:rsidR="008469A3" w:rsidRPr="00407B40" w:rsidRDefault="001C1108" w:rsidP="001451C6">
      <w:pPr>
        <w:pStyle w:val="Bullet"/>
        <w:numPr>
          <w:ilvl w:val="0"/>
          <w:numId w:val="10"/>
        </w:numPr>
      </w:pPr>
      <w:r>
        <w:t>National d</w:t>
      </w:r>
      <w:r w:rsidR="00C4719E">
        <w:t xml:space="preserve">ata collected as part of the </w:t>
      </w:r>
      <w:r w:rsidR="007F0239">
        <w:t>NQDW</w:t>
      </w:r>
      <w:r w:rsidR="00C4719E">
        <w:t xml:space="preserve"> </w:t>
      </w:r>
      <w:r w:rsidR="008469A3" w:rsidRPr="00407B40">
        <w:t xml:space="preserve">will provide an index against which state and local health agencies can compare their </w:t>
      </w:r>
      <w:r w:rsidR="00ED4A0C">
        <w:t xml:space="preserve">state </w:t>
      </w:r>
      <w:r w:rsidR="00350EBA">
        <w:t>quitline</w:t>
      </w:r>
      <w:r w:rsidR="00775DB7" w:rsidRPr="00407B40">
        <w:t xml:space="preserve"> </w:t>
      </w:r>
      <w:r w:rsidR="008469A3" w:rsidRPr="00407B40">
        <w:t>re</w:t>
      </w:r>
      <w:r w:rsidR="00775DB7" w:rsidRPr="00407B40">
        <w:t>sults</w:t>
      </w:r>
      <w:r w:rsidR="00ED4A0C">
        <w:t>.</w:t>
      </w:r>
    </w:p>
    <w:p w:rsidR="008469A3" w:rsidRPr="00407B40" w:rsidRDefault="008469A3" w:rsidP="001451C6">
      <w:pPr>
        <w:pStyle w:val="Bullet"/>
        <w:numPr>
          <w:ilvl w:val="0"/>
          <w:numId w:val="10"/>
        </w:numPr>
      </w:pPr>
      <w:r w:rsidRPr="00407B40">
        <w:t>State and local h</w:t>
      </w:r>
      <w:r w:rsidR="00350EBA">
        <w:t xml:space="preserve">ealth departments will use </w:t>
      </w:r>
      <w:r w:rsidR="00C4719E">
        <w:t xml:space="preserve">data collected as part of the </w:t>
      </w:r>
      <w:r w:rsidR="007F0239">
        <w:t>NQDW</w:t>
      </w:r>
      <w:r w:rsidR="00C4719E">
        <w:t xml:space="preserve"> </w:t>
      </w:r>
      <w:r w:rsidRPr="00407B40">
        <w:t xml:space="preserve">as a guide in developing </w:t>
      </w:r>
      <w:r w:rsidR="00022776">
        <w:t>and monitoring state-based indicators for tobacco prevention and control</w:t>
      </w:r>
      <w:r w:rsidRPr="00407B40">
        <w:t>.</w:t>
      </w:r>
    </w:p>
    <w:p w:rsidR="00350EBA" w:rsidRDefault="008469A3" w:rsidP="001451C6">
      <w:pPr>
        <w:pStyle w:val="Bullet"/>
        <w:numPr>
          <w:ilvl w:val="0"/>
          <w:numId w:val="10"/>
        </w:numPr>
      </w:pPr>
      <w:r w:rsidRPr="00407B40">
        <w:t>Family physicians, pediatricians, psychologists</w:t>
      </w:r>
      <w:r w:rsidR="00ED4A0C">
        <w:t xml:space="preserve">, and counselors </w:t>
      </w:r>
      <w:r w:rsidR="00DA232E">
        <w:t xml:space="preserve">may </w:t>
      </w:r>
      <w:r w:rsidR="00ED4A0C">
        <w:t xml:space="preserve">use </w:t>
      </w:r>
      <w:r w:rsidR="00C4719E">
        <w:t xml:space="preserve">data collected as part of the </w:t>
      </w:r>
      <w:r w:rsidR="007F0239">
        <w:t>NQDW</w:t>
      </w:r>
      <w:r w:rsidRPr="00407B40">
        <w:t xml:space="preserve"> to provide up-to-date information on </w:t>
      </w:r>
      <w:r w:rsidR="00350EBA">
        <w:t>quit services and information.</w:t>
      </w:r>
    </w:p>
    <w:p w:rsidR="00ED4A0C" w:rsidRPr="00407B40" w:rsidRDefault="008469A3" w:rsidP="00ED4A0C">
      <w:pPr>
        <w:pStyle w:val="Bullet"/>
        <w:numPr>
          <w:ilvl w:val="0"/>
          <w:numId w:val="10"/>
        </w:numPr>
      </w:pPr>
      <w:r w:rsidRPr="00407B40">
        <w:t xml:space="preserve">Health educators </w:t>
      </w:r>
      <w:r w:rsidR="00050F03">
        <w:t xml:space="preserve">and workplace wellness programs </w:t>
      </w:r>
      <w:r w:rsidR="00DA232E">
        <w:t>may</w:t>
      </w:r>
      <w:r w:rsidR="00DA232E" w:rsidRPr="00407B40">
        <w:t xml:space="preserve"> </w:t>
      </w:r>
      <w:r w:rsidRPr="00407B40">
        <w:t xml:space="preserve">use </w:t>
      </w:r>
      <w:r w:rsidR="00C4719E">
        <w:t xml:space="preserve">data collected as part of the </w:t>
      </w:r>
      <w:r w:rsidR="007F0239">
        <w:t>NQDW</w:t>
      </w:r>
      <w:r w:rsidR="00C4719E">
        <w:t xml:space="preserve"> </w:t>
      </w:r>
      <w:r w:rsidR="00050F03">
        <w:t xml:space="preserve">in their curriculum development to provide information on quitline services. </w:t>
      </w:r>
    </w:p>
    <w:p w:rsidR="00DA232E" w:rsidRDefault="00DA232E" w:rsidP="001451C6">
      <w:pPr>
        <w:pStyle w:val="Bullet"/>
        <w:numPr>
          <w:ilvl w:val="0"/>
          <w:numId w:val="10"/>
        </w:numPr>
      </w:pPr>
      <w:r>
        <w:t xml:space="preserve">Health plans/health care systems/insurers can use data collected as part of the NQDW to monitor the utilization and effectiveness of quitlines and compare the cost-effectiveness of quitlines with other </w:t>
      </w:r>
      <w:r w:rsidR="00356F83">
        <w:t xml:space="preserve">covered </w:t>
      </w:r>
      <w:r>
        <w:t xml:space="preserve">quit services.  </w:t>
      </w:r>
    </w:p>
    <w:p w:rsidR="00ED4A0C" w:rsidRDefault="00ED4A0C" w:rsidP="00ED4A0C">
      <w:pPr>
        <w:pStyle w:val="Bullet"/>
        <w:numPr>
          <w:ilvl w:val="0"/>
          <w:numId w:val="10"/>
        </w:numPr>
      </w:pPr>
      <w:r>
        <w:t xml:space="preserve">Professional organizations </w:t>
      </w:r>
      <w:r w:rsidR="00455268">
        <w:t xml:space="preserve">can </w:t>
      </w:r>
      <w:r w:rsidR="007E6290">
        <w:t xml:space="preserve">use </w:t>
      </w:r>
      <w:r w:rsidR="00C4719E">
        <w:t xml:space="preserve">data collected as part of the </w:t>
      </w:r>
      <w:r w:rsidR="007F0239">
        <w:t>NQDW</w:t>
      </w:r>
      <w:r w:rsidR="00C4719E">
        <w:t xml:space="preserve"> </w:t>
      </w:r>
      <w:r>
        <w:t xml:space="preserve">to </w:t>
      </w:r>
      <w:r w:rsidR="000469D6">
        <w:t xml:space="preserve">make the case for </w:t>
      </w:r>
      <w:r>
        <w:t xml:space="preserve">the importance of tobacco </w:t>
      </w:r>
      <w:r w:rsidR="00350EBA">
        <w:t>cessation</w:t>
      </w:r>
      <w:r>
        <w:t xml:space="preserve"> efforts and </w:t>
      </w:r>
      <w:r w:rsidR="000469D6">
        <w:t xml:space="preserve">to </w:t>
      </w:r>
      <w:r>
        <w:t xml:space="preserve">monitor </w:t>
      </w:r>
      <w:r w:rsidR="000469D6">
        <w:t xml:space="preserve">the </w:t>
      </w:r>
      <w:r>
        <w:t xml:space="preserve">progress </w:t>
      </w:r>
      <w:r w:rsidR="000469D6">
        <w:t>of these</w:t>
      </w:r>
      <w:r>
        <w:t xml:space="preserve"> efforts.  </w:t>
      </w:r>
    </w:p>
    <w:p w:rsidR="006931AD" w:rsidRPr="00D571E3" w:rsidRDefault="006931AD" w:rsidP="00FA0C92">
      <w:pPr>
        <w:autoSpaceDE w:val="0"/>
        <w:autoSpaceDN w:val="0"/>
        <w:adjustRightInd w:val="0"/>
        <w:ind w:firstLine="720"/>
        <w:rPr>
          <w:iCs/>
        </w:rPr>
      </w:pPr>
    </w:p>
    <w:p w:rsidR="00BC67DD" w:rsidRPr="00ED6E42" w:rsidRDefault="0085460F" w:rsidP="00813C1D">
      <w:pPr>
        <w:pStyle w:val="Heading2"/>
      </w:pPr>
      <w:r>
        <w:t>A.</w:t>
      </w:r>
      <w:r w:rsidR="002D7990">
        <w:t>3</w:t>
      </w:r>
      <w:r w:rsidR="008469A3">
        <w:tab/>
      </w:r>
      <w:r w:rsidR="008469A3">
        <w:rPr>
          <w:u w:val="single"/>
        </w:rPr>
        <w:t>USE OF IMPROVED INFORMATION TECHNOLOGY AND BURDEN REDUCTION</w:t>
      </w:r>
    </w:p>
    <w:p w:rsidR="00EA6A8A" w:rsidRDefault="00B22E68" w:rsidP="00CF3CCC">
      <w:pPr>
        <w:autoSpaceDE w:val="0"/>
        <w:autoSpaceDN w:val="0"/>
        <w:adjustRightInd w:val="0"/>
        <w:spacing w:after="120"/>
        <w:ind w:firstLine="720"/>
      </w:pPr>
      <w:r>
        <w:t xml:space="preserve">Each state will determine the types of technology used in conducting intake interviews. The majority of states will use </w:t>
      </w:r>
      <w:r w:rsidR="00BC67DD">
        <w:t xml:space="preserve">computer assisted telephone interviewing (CATI). </w:t>
      </w:r>
      <w:r>
        <w:t xml:space="preserve"> At least one </w:t>
      </w:r>
      <w:r w:rsidR="003E4B8B">
        <w:t>state will allow</w:t>
      </w:r>
      <w:r>
        <w:t xml:space="preserve"> callers to conduct the initial intake interview online before they are referred to a live counselor. States will be encouraged to use information technology to reduce burden</w:t>
      </w:r>
      <w:r w:rsidR="00CB5250">
        <w:t xml:space="preserve">. </w:t>
      </w:r>
    </w:p>
    <w:p w:rsidR="00CB5250" w:rsidRDefault="00EA6A8A" w:rsidP="002E5635">
      <w:pPr>
        <w:autoSpaceDE w:val="0"/>
        <w:autoSpaceDN w:val="0"/>
        <w:adjustRightInd w:val="0"/>
        <w:spacing w:after="120"/>
        <w:ind w:firstLine="720"/>
      </w:pPr>
      <w:r>
        <w:t>S</w:t>
      </w:r>
      <w:r w:rsidRPr="00701AB9">
        <w:t xml:space="preserve">tates </w:t>
      </w:r>
      <w:r>
        <w:t xml:space="preserve">currently have two options </w:t>
      </w:r>
      <w:r w:rsidR="00B94F9D">
        <w:t>for</w:t>
      </w:r>
      <w:r>
        <w:t xml:space="preserve"> submitting their individual-level data to CDC: </w:t>
      </w:r>
      <w:r w:rsidRPr="00701AB9">
        <w:t>either</w:t>
      </w:r>
      <w:r w:rsidR="008E6A67">
        <w:t xml:space="preserve"> </w:t>
      </w:r>
      <w:r w:rsidRPr="00701AB9">
        <w:t xml:space="preserve">electronically submitting the data through </w:t>
      </w:r>
      <w:r>
        <w:t>CDC’s</w:t>
      </w:r>
      <w:r w:rsidRPr="00701AB9">
        <w:t xml:space="preserve"> secure FTP server site</w:t>
      </w:r>
      <w:r w:rsidR="008E6A67">
        <w:t xml:space="preserve"> or </w:t>
      </w:r>
      <w:r w:rsidR="008E6A67" w:rsidRPr="00701AB9">
        <w:t>mailing a copy of the data to CDC on a CD/DVD</w:t>
      </w:r>
      <w:r w:rsidR="00994469">
        <w:t xml:space="preserve"> (Appendix </w:t>
      </w:r>
      <w:r w:rsidR="00C500C1">
        <w:t>B</w:t>
      </w:r>
      <w:r w:rsidR="00354BBE">
        <w:t>)</w:t>
      </w:r>
      <w:r w:rsidRPr="00701AB9">
        <w:t xml:space="preserve">. </w:t>
      </w:r>
      <w:r>
        <w:t xml:space="preserve"> CDC</w:t>
      </w:r>
      <w:r w:rsidRPr="00701AB9">
        <w:t xml:space="preserve"> instituted online data submissions through a secure FTP server as a way to </w:t>
      </w:r>
      <w:r w:rsidR="008E6A67">
        <w:t>simplify and expedite</w:t>
      </w:r>
      <w:r w:rsidRPr="00701AB9">
        <w:t xml:space="preserve"> data submission.  Each state has</w:t>
      </w:r>
      <w:r>
        <w:t xml:space="preserve"> its </w:t>
      </w:r>
      <w:r w:rsidRPr="00701AB9">
        <w:t xml:space="preserve">own user </w:t>
      </w:r>
      <w:r w:rsidR="004D1721">
        <w:t>ID</w:t>
      </w:r>
      <w:r w:rsidRPr="00701AB9">
        <w:t xml:space="preserve"> and unique password. The server is checked </w:t>
      </w:r>
      <w:r w:rsidR="006E079C">
        <w:t xml:space="preserve">several times a week </w:t>
      </w:r>
      <w:r w:rsidRPr="00701AB9">
        <w:t>for files and the files are quickly removed</w:t>
      </w:r>
      <w:r>
        <w:t xml:space="preserve"> after being downloaded. </w:t>
      </w:r>
      <w:r w:rsidR="004D1721" w:rsidRPr="009C3E5F">
        <w:t>Technical assistance is provided to states to aid in the submission o</w:t>
      </w:r>
      <w:r w:rsidR="008E6A67">
        <w:t>f</w:t>
      </w:r>
      <w:r w:rsidR="004D1721" w:rsidRPr="009C3E5F">
        <w:t xml:space="preserve"> data to the NQDW.</w:t>
      </w:r>
    </w:p>
    <w:p w:rsidR="00EA6A8A" w:rsidRDefault="002E5635" w:rsidP="004F7B18">
      <w:pPr>
        <w:spacing w:after="120"/>
        <w:ind w:right="-187" w:firstLine="720"/>
      </w:pPr>
      <w:r w:rsidRPr="009A73F8">
        <w:t>The NQDW Qui</w:t>
      </w:r>
      <w:r w:rsidR="00994469">
        <w:t xml:space="preserve">tline Services Survey (Appendix </w:t>
      </w:r>
      <w:r w:rsidR="00C500C1">
        <w:t>C</w:t>
      </w:r>
      <w:r w:rsidRPr="009A73F8">
        <w:t xml:space="preserve">) </w:t>
      </w:r>
      <w:r w:rsidR="003538EE">
        <w:t xml:space="preserve">is based on a </w:t>
      </w:r>
      <w:r w:rsidRPr="009A73F8">
        <w:t>fillable form-style Microsoft Word document</w:t>
      </w:r>
      <w:r w:rsidR="003538EE">
        <w:t xml:space="preserve">. </w:t>
      </w:r>
      <w:r w:rsidRPr="009A73F8">
        <w:t xml:space="preserve">The survey consists of 17 questions, and the electronic form for the survey includes drop-down boxes, data entry fields, and checkboxes to help reduce data entry errors. </w:t>
      </w:r>
      <w:r w:rsidR="003538EE">
        <w:t xml:space="preserve">In addition, </w:t>
      </w:r>
      <w:r w:rsidR="003538EE" w:rsidRPr="009A73F8">
        <w:t xml:space="preserve">CDC pre-populates the responses to questions 8-17 with the information the state reported for the previous quarter. </w:t>
      </w:r>
      <w:r w:rsidR="003538EE">
        <w:t>This minimizes</w:t>
      </w:r>
      <w:r w:rsidRPr="009A73F8">
        <w:t xml:space="preserve"> burden on survey respondents</w:t>
      </w:r>
      <w:r w:rsidR="003538EE">
        <w:t xml:space="preserve"> since s</w:t>
      </w:r>
      <w:r w:rsidRPr="009A73F8">
        <w:t xml:space="preserve">tates </w:t>
      </w:r>
      <w:r w:rsidR="003538EE">
        <w:t xml:space="preserve">only need to make </w:t>
      </w:r>
      <w:r w:rsidRPr="009A73F8">
        <w:t xml:space="preserve">edits if changes </w:t>
      </w:r>
      <w:r w:rsidR="008E6A67">
        <w:t xml:space="preserve">occurred </w:t>
      </w:r>
      <w:r w:rsidRPr="009A73F8">
        <w:t xml:space="preserve">in the services being offered by the quitline since the last time the state responded to the survey. </w:t>
      </w:r>
    </w:p>
    <w:p w:rsidR="00CB5250" w:rsidRDefault="00CB5250" w:rsidP="00CB5250">
      <w:pPr>
        <w:autoSpaceDE w:val="0"/>
        <w:autoSpaceDN w:val="0"/>
        <w:adjustRightInd w:val="0"/>
        <w:ind w:firstLine="720"/>
        <w:jc w:val="both"/>
      </w:pPr>
    </w:p>
    <w:p w:rsidR="008469A3" w:rsidRDefault="0085460F">
      <w:pPr>
        <w:pStyle w:val="Heading2"/>
      </w:pPr>
      <w:r>
        <w:t>A.</w:t>
      </w:r>
      <w:r w:rsidR="002D7990">
        <w:t>4</w:t>
      </w:r>
      <w:r w:rsidR="008469A3">
        <w:tab/>
      </w:r>
      <w:r w:rsidR="008469A3">
        <w:rPr>
          <w:u w:val="single"/>
        </w:rPr>
        <w:t>EFFORTS TO IDENTIFY DUPLICATION AND USE OF SIMILAR INFORMATION</w:t>
      </w:r>
    </w:p>
    <w:p w:rsidR="00153432" w:rsidRDefault="00170D35" w:rsidP="004F7B18">
      <w:pPr>
        <w:widowControl w:val="0"/>
        <w:tabs>
          <w:tab w:val="center" w:pos="4680"/>
        </w:tabs>
        <w:spacing w:after="120"/>
        <w:ind w:firstLine="720"/>
      </w:pPr>
      <w:r>
        <w:t xml:space="preserve">The North American Quitline Consortium (NAQC) is an international, non-profit membership organization. </w:t>
      </w:r>
      <w:r w:rsidR="000E1BEA">
        <w:t xml:space="preserve">NAQC conducts an Annual Survey of Quitlines that CDC initially thought might serve some of the agency’s data needs.  </w:t>
      </w:r>
      <w:r w:rsidR="009B1444">
        <w:t>However</w:t>
      </w:r>
      <w:r w:rsidR="003B4448">
        <w:t xml:space="preserve">, </w:t>
      </w:r>
      <w:r w:rsidR="003B4448" w:rsidRPr="00FF7A5D">
        <w:t>NAQC’s data is collected annually and based on states’ fiscal years</w:t>
      </w:r>
      <w:r w:rsidR="003B4448">
        <w:t xml:space="preserve">. CDC needs to have </w:t>
      </w:r>
      <w:r w:rsidR="00970919">
        <w:t xml:space="preserve">individual-level intake </w:t>
      </w:r>
      <w:r w:rsidR="003B4448">
        <w:t xml:space="preserve">data </w:t>
      </w:r>
      <w:r w:rsidR="00356F83">
        <w:t>quarterly</w:t>
      </w:r>
      <w:r w:rsidR="00550462">
        <w:t xml:space="preserve"> and services data semiannually</w:t>
      </w:r>
      <w:r w:rsidR="00356F83">
        <w:t xml:space="preserve"> </w:t>
      </w:r>
      <w:r w:rsidR="003B4448">
        <w:t>based on standard calendar periods</w:t>
      </w:r>
      <w:r w:rsidR="00356F83">
        <w:t xml:space="preserve"> to evaluate interventions (e.g. CDC </w:t>
      </w:r>
      <w:r w:rsidR="001938EF">
        <w:t>Tips®</w:t>
      </w:r>
      <w:r w:rsidR="00356F83">
        <w:t>) that may impact quitline utilization</w:t>
      </w:r>
      <w:r w:rsidR="003B4448">
        <w:t>. I</w:t>
      </w:r>
      <w:r w:rsidR="00153432">
        <w:t>n addition the data submitted to NQDW undergo a quality assurance process to maintain accuracy.</w:t>
      </w:r>
    </w:p>
    <w:p w:rsidR="00C9047E" w:rsidRDefault="00153432" w:rsidP="00D32DC8">
      <w:pPr>
        <w:widowControl w:val="0"/>
        <w:tabs>
          <w:tab w:val="center" w:pos="4680"/>
        </w:tabs>
        <w:spacing w:after="120"/>
        <w:ind w:firstLine="720"/>
      </w:pPr>
      <w:r>
        <w:t xml:space="preserve"> </w:t>
      </w:r>
      <w:r w:rsidR="00CF3CCC">
        <w:t>T</w:t>
      </w:r>
      <w:r w:rsidR="001070F8">
        <w:t xml:space="preserve">o </w:t>
      </w:r>
      <w:r w:rsidR="005E2C06">
        <w:t xml:space="preserve">minimize </w:t>
      </w:r>
      <w:r w:rsidR="001070F8">
        <w:t xml:space="preserve">duplication of </w:t>
      </w:r>
      <w:r w:rsidR="005E2C06">
        <w:t xml:space="preserve">effort </w:t>
      </w:r>
      <w:r w:rsidR="001070F8">
        <w:t>by CDC and NAQC, i</w:t>
      </w:r>
      <w:r w:rsidR="00FD4596" w:rsidRPr="0079597C">
        <w:t xml:space="preserve">n 2011 CDC asked each state/territory for permission to share their quarterly </w:t>
      </w:r>
      <w:r w:rsidR="00B94F9D">
        <w:t xml:space="preserve">NQDW </w:t>
      </w:r>
      <w:r w:rsidR="00C15FE1">
        <w:t>Quitline Services Online Survey</w:t>
      </w:r>
      <w:r w:rsidR="005B0F26" w:rsidRPr="0079597C">
        <w:t xml:space="preserve"> </w:t>
      </w:r>
      <w:r w:rsidR="00FD4596" w:rsidRPr="0079597C">
        <w:t xml:space="preserve">data </w:t>
      </w:r>
      <w:r w:rsidR="005D2242">
        <w:t>for</w:t>
      </w:r>
      <w:r w:rsidR="005D2242" w:rsidRPr="0079597C">
        <w:t xml:space="preserve"> </w:t>
      </w:r>
      <w:r w:rsidR="00FD4596" w:rsidRPr="0079597C">
        <w:t>2010 and 2011 with NAQC. Over 95% of the states agreed to this and we have shared these 2010 and 2011 NQDW Qui</w:t>
      </w:r>
      <w:r w:rsidR="0079597C">
        <w:t>t</w:t>
      </w:r>
      <w:r w:rsidR="00FD4596" w:rsidRPr="0079597C">
        <w:t xml:space="preserve">line Services Online Survey data with NAQC. NAQC can be assured that these data are </w:t>
      </w:r>
      <w:r w:rsidR="00634BE1">
        <w:t>“</w:t>
      </w:r>
      <w:r w:rsidR="00FD4596" w:rsidRPr="0079597C">
        <w:t xml:space="preserve">clean” when they come from us because we have verified the various data points at various times with each state/territory.  CDC views this as </w:t>
      </w:r>
      <w:r w:rsidR="005D2242">
        <w:t xml:space="preserve">an opportunity to </w:t>
      </w:r>
      <w:r w:rsidR="00FD4596" w:rsidRPr="0079597C">
        <w:t>reduc</w:t>
      </w:r>
      <w:r w:rsidR="005D2242">
        <w:t>e</w:t>
      </w:r>
      <w:r w:rsidR="00FD4596" w:rsidRPr="0079597C">
        <w:t xml:space="preserve"> the burden on states (as they will not need to complete similar surveys for CDC and for NAQC) as well as an opportunity to decrease duplication of </w:t>
      </w:r>
      <w:r w:rsidR="005D2242">
        <w:t xml:space="preserve">similar data collection efforts </w:t>
      </w:r>
      <w:r w:rsidR="00FD4596" w:rsidRPr="0079597C">
        <w:t>by CDC and NAQC.</w:t>
      </w:r>
      <w:r w:rsidR="006C3F9C">
        <w:t xml:space="preserve">  CDC spent many person-hours on this effort and is willing to make a special effort in the </w:t>
      </w:r>
      <w:r w:rsidR="00B65C90">
        <w:t>coming years</w:t>
      </w:r>
      <w:r w:rsidR="006C3F9C">
        <w:t xml:space="preserve"> to again share data with NAQC.</w:t>
      </w:r>
      <w:r w:rsidR="00FD4596">
        <w:t xml:space="preserve">  </w:t>
      </w:r>
      <w:r w:rsidR="00C9047E">
        <w:t xml:space="preserve">More recently, in 2015, CDC and NAQC </w:t>
      </w:r>
      <w:r w:rsidR="00B65C90">
        <w:t>were in</w:t>
      </w:r>
      <w:r w:rsidR="00C9047E">
        <w:t xml:space="preserve"> close communication to ensure that CDC’s changes to the NQDW align</w:t>
      </w:r>
      <w:r w:rsidR="00B65C90">
        <w:t>ed</w:t>
      </w:r>
      <w:r w:rsidR="00C9047E">
        <w:t xml:space="preserve"> with NAQC’s planned changes to the MDS. We plan to continue this communication on a regular basis in order to ensure the coordination of CDC’s and NAQC’s efforts in this area and to avoid duplication and minimize burden on states.</w:t>
      </w:r>
    </w:p>
    <w:p w:rsidR="00FD4596" w:rsidRDefault="004A0AB2" w:rsidP="004F7B18">
      <w:pPr>
        <w:widowControl w:val="0"/>
        <w:tabs>
          <w:tab w:val="center" w:pos="4680"/>
        </w:tabs>
        <w:spacing w:after="120"/>
        <w:ind w:firstLine="720"/>
      </w:pPr>
      <w:r>
        <w:t>It is essential for CDC to have direct control and ready access to these data because CDC provides substantial funding to support state quitline activities and is accountable for the</w:t>
      </w:r>
      <w:r w:rsidR="00E57D31">
        <w:t xml:space="preserve"> outcomes of these activities. CDC currently uses NQDW data for accountability of CDC funding, to track state quitline program performance, to answer questions posed by members of the U.S. Congress, and to respond to time-sensitive internal and external inquiries regarding the number of tobacco users served by quitlines.  NQDW data can also be used to evaluate the effectiveness of CDC’s </w:t>
      </w:r>
      <w:r w:rsidR="00E57D31">
        <w:rPr>
          <w:bCs/>
          <w:iCs/>
        </w:rPr>
        <w:t>Tips®</w:t>
      </w:r>
      <w:r w:rsidR="00E57D31" w:rsidRPr="00C833F0">
        <w:rPr>
          <w:bCs/>
          <w:iCs/>
        </w:rPr>
        <w:t xml:space="preserve"> </w:t>
      </w:r>
      <w:r w:rsidR="00E57D31">
        <w:rPr>
          <w:bCs/>
          <w:iCs/>
        </w:rPr>
        <w:t xml:space="preserve">national tobacco education media </w:t>
      </w:r>
      <w:r w:rsidR="00E57D31" w:rsidRPr="00C833F0">
        <w:rPr>
          <w:bCs/>
          <w:iCs/>
        </w:rPr>
        <w:t>campaign</w:t>
      </w:r>
      <w:r w:rsidR="00E57D31">
        <w:rPr>
          <w:bCs/>
          <w:iCs/>
        </w:rPr>
        <w:t>s on promoting calls to, and use of, state quitlines.</w:t>
      </w:r>
    </w:p>
    <w:p w:rsidR="007C0998" w:rsidRPr="007C0998" w:rsidRDefault="007C0998" w:rsidP="007C0998">
      <w:pPr>
        <w:widowControl w:val="0"/>
        <w:tabs>
          <w:tab w:val="center" w:pos="4680"/>
        </w:tabs>
      </w:pPr>
    </w:p>
    <w:p w:rsidR="008469A3" w:rsidRDefault="0085460F">
      <w:pPr>
        <w:pStyle w:val="Heading2"/>
      </w:pPr>
      <w:r>
        <w:t>A.</w:t>
      </w:r>
      <w:r w:rsidR="002D7990">
        <w:t>5</w:t>
      </w:r>
      <w:r w:rsidR="008469A3">
        <w:tab/>
      </w:r>
      <w:r w:rsidR="008469A3">
        <w:rPr>
          <w:u w:val="single"/>
        </w:rPr>
        <w:t>IMPACT ON SMALL BUSINESSES OR OTHER SMALL ENTITIES</w:t>
      </w:r>
    </w:p>
    <w:p w:rsidR="008469A3" w:rsidRDefault="008469A3">
      <w:pPr>
        <w:pStyle w:val="BodyText"/>
      </w:pPr>
      <w:r>
        <w:t>The planned data collection does not involve small businesses or other small entities.</w:t>
      </w:r>
    </w:p>
    <w:p w:rsidR="008469A3" w:rsidRDefault="0085460F">
      <w:pPr>
        <w:pStyle w:val="Heading2"/>
      </w:pPr>
      <w:r>
        <w:t>A.</w:t>
      </w:r>
      <w:r w:rsidR="002D7990">
        <w:t>6</w:t>
      </w:r>
      <w:r w:rsidR="008469A3">
        <w:tab/>
      </w:r>
      <w:r w:rsidR="008469A3">
        <w:rPr>
          <w:u w:val="single"/>
        </w:rPr>
        <w:t xml:space="preserve">CONSEQUENCES </w:t>
      </w:r>
      <w:r w:rsidR="00576B5E">
        <w:rPr>
          <w:u w:val="single"/>
        </w:rPr>
        <w:t>O</w:t>
      </w:r>
      <w:r w:rsidR="008469A3">
        <w:rPr>
          <w:u w:val="single"/>
        </w:rPr>
        <w:t>F COLLECTING THE INFORMATION LESS FREQUENTLY</w:t>
      </w:r>
    </w:p>
    <w:p w:rsidR="00576B5E" w:rsidRPr="009B1D65" w:rsidRDefault="00E57EAE" w:rsidP="00576B5E">
      <w:pPr>
        <w:pStyle w:val="NormalWeb"/>
        <w:ind w:firstLine="720"/>
      </w:pPr>
      <w:r w:rsidRPr="00FF7A5D">
        <w:t xml:space="preserve">The NQDW collects </w:t>
      </w:r>
      <w:r w:rsidR="00D7210B">
        <w:t xml:space="preserve">NQDW Quitline Services Survey </w:t>
      </w:r>
      <w:r w:rsidRPr="00FF7A5D">
        <w:t xml:space="preserve">data from states on a quarterly basis based on the calendar year.  As such, CDC is </w:t>
      </w:r>
      <w:r w:rsidR="00C322BF">
        <w:t xml:space="preserve">obtaining </w:t>
      </w:r>
      <w:r w:rsidRPr="00FF7A5D">
        <w:t xml:space="preserve">data on call volume and </w:t>
      </w:r>
      <w:r w:rsidR="00C322BF">
        <w:t xml:space="preserve">the number of </w:t>
      </w:r>
      <w:r w:rsidRPr="00FF7A5D">
        <w:t xml:space="preserve">tobacco users receiving services by quarter. </w:t>
      </w:r>
      <w:r w:rsidR="00496AA9">
        <w:t xml:space="preserve">While CDC previously obtained data on services offered by quarter, CDC will now obtain these data semiannually and will publish </w:t>
      </w:r>
      <w:r w:rsidR="00823F98">
        <w:t>NQDW</w:t>
      </w:r>
      <w:r w:rsidR="00496AA9">
        <w:t xml:space="preserve"> data </w:t>
      </w:r>
      <w:r w:rsidR="00823F98">
        <w:t xml:space="preserve">in the STATE System </w:t>
      </w:r>
      <w:r w:rsidR="00496AA9">
        <w:t xml:space="preserve">twice per year beginning in 2019. </w:t>
      </w:r>
      <w:r w:rsidR="00266AE1">
        <w:t>Collecting th</w:t>
      </w:r>
      <w:r w:rsidR="00AB3B9D">
        <w:t>ese</w:t>
      </w:r>
      <w:r w:rsidR="00266AE1">
        <w:t xml:space="preserve"> data less frequently would adversely affect CDC’s ability to release </w:t>
      </w:r>
      <w:r w:rsidR="00A44E9E">
        <w:t>semiannual</w:t>
      </w:r>
      <w:r w:rsidR="00266AE1">
        <w:t xml:space="preserve"> data from the NQDW on the STATE System in an ongoing, and timely, manner. Additionally, there is a</w:t>
      </w:r>
      <w:r w:rsidRPr="00FF7A5D">
        <w:t xml:space="preserve"> large seasonality effect with respect to quitline utilization</w:t>
      </w:r>
      <w:r w:rsidR="00FF294A">
        <w:t xml:space="preserve">. </w:t>
      </w:r>
      <w:r w:rsidR="00266AE1">
        <w:t xml:space="preserve">Because of </w:t>
      </w:r>
      <w:r w:rsidR="00FF294A">
        <w:t>the seasonality of quitline utilization</w:t>
      </w:r>
      <w:r w:rsidR="00C9047E">
        <w:t xml:space="preserve"> as well as the need to monitor the impact of the </w:t>
      </w:r>
      <w:r w:rsidR="001938EF" w:rsidRPr="001B49EC">
        <w:t>Tips</w:t>
      </w:r>
      <w:r w:rsidR="001938EF">
        <w:rPr>
          <w:i/>
        </w:rPr>
        <w:t>®</w:t>
      </w:r>
      <w:r w:rsidR="00C9047E" w:rsidRPr="00BF707D">
        <w:rPr>
          <w:i/>
        </w:rPr>
        <w:t xml:space="preserve"> </w:t>
      </w:r>
      <w:r w:rsidR="00C9047E">
        <w:t xml:space="preserve">media campaigns on </w:t>
      </w:r>
      <w:r w:rsidR="00BF707D">
        <w:t xml:space="preserve">state </w:t>
      </w:r>
      <w:r w:rsidR="00C9047E">
        <w:t>quitline call volume</w:t>
      </w:r>
      <w:r w:rsidR="00BF707D">
        <w:t xml:space="preserve"> and tobacco users registering for services from state quitlines</w:t>
      </w:r>
      <w:r w:rsidR="00266AE1">
        <w:t xml:space="preserve">, </w:t>
      </w:r>
      <w:r w:rsidRPr="00FF7A5D">
        <w:t xml:space="preserve">CDC believes it is important to collect information on call volume on a more frequent basis than annual data collection. Finally, during the past </w:t>
      </w:r>
      <w:r w:rsidR="00F22FEC">
        <w:t xml:space="preserve">several </w:t>
      </w:r>
      <w:r w:rsidRPr="00FF7A5D">
        <w:t>year</w:t>
      </w:r>
      <w:r w:rsidR="00F22FEC">
        <w:t>s</w:t>
      </w:r>
      <w:r w:rsidRPr="00FF7A5D">
        <w:t xml:space="preserve"> states have been changing their service mix </w:t>
      </w:r>
      <w:r w:rsidR="00C322BF">
        <w:t xml:space="preserve">(e.g., providing medication in some quarters and not others) </w:t>
      </w:r>
      <w:r w:rsidRPr="00FF7A5D">
        <w:t>during the course of the year</w:t>
      </w:r>
      <w:r w:rsidR="00F22FEC">
        <w:t>,</w:t>
      </w:r>
      <w:r w:rsidRPr="00FF7A5D">
        <w:t xml:space="preserve"> which confirms the need for data collection more frequently than annually. The NQDW data collection is intended as continuous data collection.  As noted above, t</w:t>
      </w:r>
      <w:r w:rsidRPr="00FF7A5D">
        <w:rPr>
          <w:color w:val="000000"/>
        </w:rPr>
        <w:t xml:space="preserve">he resulting information will provide critical information at the state and national levels for </w:t>
      </w:r>
      <w:r w:rsidR="00121351">
        <w:rPr>
          <w:color w:val="000000"/>
        </w:rPr>
        <w:t xml:space="preserve">ongoing </w:t>
      </w:r>
      <w:r w:rsidRPr="00FF7A5D">
        <w:rPr>
          <w:color w:val="000000"/>
        </w:rPr>
        <w:t>evaluation and monitoring purposes.</w:t>
      </w:r>
      <w:r w:rsidR="000D7B9E">
        <w:rPr>
          <w:color w:val="000000"/>
        </w:rPr>
        <w:t xml:space="preserve"> The CDC and </w:t>
      </w:r>
      <w:r w:rsidR="00D76347">
        <w:rPr>
          <w:color w:val="000000"/>
        </w:rPr>
        <w:t>quitline</w:t>
      </w:r>
      <w:r w:rsidR="000D7B9E">
        <w:rPr>
          <w:color w:val="000000"/>
        </w:rPr>
        <w:t xml:space="preserve"> stakeholders use the NQDW data to demonstrate the role quitlines play in promoting tobacco use cessation, to measure the number of tobacco users being served by state quitlines, and to improve quitline operations, service quality, and access; </w:t>
      </w:r>
      <w:r w:rsidR="00E961B2">
        <w:rPr>
          <w:color w:val="000000"/>
        </w:rPr>
        <w:t xml:space="preserve">more </w:t>
      </w:r>
      <w:r w:rsidR="000D7B9E">
        <w:rPr>
          <w:color w:val="000000"/>
        </w:rPr>
        <w:t xml:space="preserve">granular (quarterly/semiannual) data is necessary </w:t>
      </w:r>
      <w:r w:rsidR="00D76347">
        <w:rPr>
          <w:color w:val="000000"/>
        </w:rPr>
        <w:t>to inform</w:t>
      </w:r>
      <w:r w:rsidR="008F114E">
        <w:rPr>
          <w:color w:val="000000"/>
        </w:rPr>
        <w:t xml:space="preserve"> the future of quitlines</w:t>
      </w:r>
      <w:r w:rsidR="00E961B2">
        <w:rPr>
          <w:color w:val="000000"/>
        </w:rPr>
        <w:t xml:space="preserve"> as well as future federal investments</w:t>
      </w:r>
      <w:r w:rsidR="008F114E">
        <w:rPr>
          <w:color w:val="000000"/>
        </w:rPr>
        <w:t>.</w:t>
      </w:r>
      <w:r>
        <w:rPr>
          <w:color w:val="000000"/>
        </w:rPr>
        <w:t xml:space="preserve">  </w:t>
      </w:r>
      <w:r>
        <w:br/>
      </w:r>
    </w:p>
    <w:p w:rsidR="008469A3" w:rsidRDefault="0085460F">
      <w:pPr>
        <w:pStyle w:val="Heading2"/>
      </w:pPr>
      <w:r>
        <w:t>A.</w:t>
      </w:r>
      <w:r w:rsidR="002D7990">
        <w:t>7</w:t>
      </w:r>
      <w:r w:rsidR="008469A3">
        <w:tab/>
      </w:r>
      <w:r w:rsidR="008469A3">
        <w:rPr>
          <w:u w:val="single"/>
        </w:rPr>
        <w:t>SPECIAL CIRCUMSTANCES RELATING TO THE GUIDELINE OF 5 CFR 1320.5</w:t>
      </w:r>
    </w:p>
    <w:p w:rsidR="008469A3" w:rsidRDefault="00A75E67">
      <w:pPr>
        <w:pStyle w:val="BodyText"/>
      </w:pPr>
      <w:r>
        <w:t>This request fully complies</w:t>
      </w:r>
      <w:r w:rsidR="008469A3">
        <w:t xml:space="preserve"> with</w:t>
      </w:r>
      <w:r>
        <w:t xml:space="preserve"> the regulation</w:t>
      </w:r>
      <w:r w:rsidR="008469A3">
        <w:t xml:space="preserve"> 5 CFR 1320.</w:t>
      </w:r>
      <w:r w:rsidR="006972E7">
        <w:t>5</w:t>
      </w:r>
      <w:r w:rsidR="008469A3">
        <w:t>.</w:t>
      </w:r>
    </w:p>
    <w:p w:rsidR="008469A3" w:rsidRDefault="0085460F">
      <w:pPr>
        <w:pStyle w:val="Heading2"/>
      </w:pPr>
      <w:r>
        <w:t>A.</w:t>
      </w:r>
      <w:r w:rsidR="002D7990">
        <w:t>8</w:t>
      </w:r>
      <w:r w:rsidR="008469A3">
        <w:tab/>
      </w:r>
      <w:r w:rsidR="008469A3">
        <w:rPr>
          <w:u w:val="single"/>
        </w:rPr>
        <w:t>COMMENTS IN RESPONSE TO THE FEDERAL REGISTER NOTICE AND EFFORTS TO CONSULT OUTSIDE THE AGENCY</w:t>
      </w:r>
    </w:p>
    <w:p w:rsidR="008469A3" w:rsidRDefault="0085460F">
      <w:pPr>
        <w:pStyle w:val="Heading3"/>
      </w:pPr>
      <w:r>
        <w:t>A.</w:t>
      </w:r>
      <w:r w:rsidR="002D7990">
        <w:t>8</w:t>
      </w:r>
      <w:r w:rsidR="008469A3">
        <w:t>.a</w:t>
      </w:r>
      <w:r w:rsidR="008469A3">
        <w:tab/>
      </w:r>
      <w:r w:rsidR="008469A3">
        <w:rPr>
          <w:u w:val="single"/>
        </w:rPr>
        <w:t>Federal Register Announcement</w:t>
      </w:r>
    </w:p>
    <w:p w:rsidR="006A2860" w:rsidRDefault="006A2860" w:rsidP="00D7625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816F6" w:rsidRDefault="00C816F6" w:rsidP="00D7625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816F6">
        <w:t xml:space="preserve">In accordance with the Paperwork Reduction Act of 1995 (Pub. L. 104-13 and Office of Management and Budget (OMB) regulations at 5 CFR Part 1320 (60 </w:t>
      </w:r>
      <w:r>
        <w:t>FR 44978, August 29, 1995)), CDC</w:t>
      </w:r>
      <w:r w:rsidRPr="00C816F6">
        <w:t xml:space="preserve"> published a notice in the Federal Register announcing the agency’s intention to request an OMB review of this i</w:t>
      </w:r>
      <w:r>
        <w:t xml:space="preserve">nformation collection activity (Appendix A-4). </w:t>
      </w:r>
      <w:r w:rsidRPr="00C816F6">
        <w:t>This notice was published on</w:t>
      </w:r>
      <w:r>
        <w:t xml:space="preserve"> November 6</w:t>
      </w:r>
      <w:r w:rsidRPr="00C816F6">
        <w:t>, 201</w:t>
      </w:r>
      <w:r>
        <w:t>8, Volume 83</w:t>
      </w:r>
      <w:r w:rsidRPr="00C816F6">
        <w:t xml:space="preserve">, Number </w:t>
      </w:r>
      <w:r>
        <w:t>215</w:t>
      </w:r>
      <w:r w:rsidRPr="00C816F6">
        <w:t xml:space="preserve">, page </w:t>
      </w:r>
      <w:r>
        <w:t>55548</w:t>
      </w:r>
      <w:r w:rsidRPr="00C816F6">
        <w:t>, and provided a 60-day period for public comment.</w:t>
      </w:r>
      <w:r w:rsidR="008B4819">
        <w:t xml:space="preserve"> </w:t>
      </w:r>
      <w:r w:rsidRPr="00C816F6">
        <w:t>During the</w:t>
      </w:r>
      <w:r>
        <w:t xml:space="preserve"> notice and comment period, three public comments were received </w:t>
      </w:r>
      <w:r w:rsidR="00D76251">
        <w:t xml:space="preserve">and responses provided </w:t>
      </w:r>
      <w:r>
        <w:t>(Appendix A-5)</w:t>
      </w:r>
      <w:r w:rsidR="00687CA8">
        <w:t>.</w:t>
      </w:r>
      <w:r w:rsidR="00332C96">
        <w:t xml:space="preserve"> CDC </w:t>
      </w:r>
      <w:r w:rsidR="009E7C27">
        <w:t>responded to</w:t>
      </w:r>
      <w:r w:rsidR="00332C96">
        <w:t xml:space="preserve"> each commenter that their comments are being considered in future reviews.</w:t>
      </w:r>
    </w:p>
    <w:p w:rsidR="006A2860" w:rsidRDefault="006A2860" w:rsidP="00384FC3">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384FC3" w:rsidRDefault="00384FC3" w:rsidP="00384FC3">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B15555" w:rsidRPr="003B4448" w:rsidRDefault="0085460F" w:rsidP="00786B13">
      <w:pPr>
        <w:pStyle w:val="BodyText"/>
        <w:rPr>
          <w:b/>
        </w:rPr>
      </w:pPr>
      <w:r w:rsidRPr="003B4448">
        <w:rPr>
          <w:b/>
        </w:rPr>
        <w:t>A.</w:t>
      </w:r>
      <w:r w:rsidR="002D7990" w:rsidRPr="003B4448">
        <w:rPr>
          <w:b/>
        </w:rPr>
        <w:t>8</w:t>
      </w:r>
      <w:r w:rsidR="008469A3" w:rsidRPr="003B4448">
        <w:rPr>
          <w:b/>
        </w:rPr>
        <w:t>.b</w:t>
      </w:r>
      <w:r w:rsidR="008469A3" w:rsidRPr="003B4448">
        <w:rPr>
          <w:b/>
        </w:rPr>
        <w:tab/>
      </w:r>
      <w:r w:rsidR="008469A3" w:rsidRPr="003B4448">
        <w:rPr>
          <w:b/>
          <w:u w:val="single"/>
        </w:rPr>
        <w:t>Consultations</w:t>
      </w:r>
      <w:r w:rsidR="00B15555" w:rsidRPr="003B4448">
        <w:rPr>
          <w:b/>
          <w:u w:val="single"/>
        </w:rPr>
        <w:t xml:space="preserve"> </w:t>
      </w:r>
    </w:p>
    <w:p w:rsidR="003055F7" w:rsidRDefault="003055F7" w:rsidP="003055F7">
      <w:pPr>
        <w:pStyle w:val="BodyText"/>
      </w:pPr>
      <w:r>
        <w:t xml:space="preserve">CDC continues to consult with partner organizations including the North American Quitline Consortium (NAQC) to explore ways to increase utlity of NQDW and reduce reporting burden. CDC has had ongoing conversations with NAQC regarding alignment of the data collection instruments as well as data sharing. CDC leaders also engaged quitline stakeholders including service providers to gain a better understanding of the evolving quitline service provision. </w:t>
      </w:r>
    </w:p>
    <w:p w:rsidR="003055F7" w:rsidRDefault="003055F7" w:rsidP="002D7CCB">
      <w:pPr>
        <w:ind w:firstLine="720"/>
        <w:rPr>
          <w:sz w:val="22"/>
          <w:szCs w:val="22"/>
        </w:rPr>
      </w:pPr>
      <w:r>
        <w:t xml:space="preserve">During 2017-2018, as part of a strategic planning process to inform OSH’s future tobacco cessation priorities and activities, OSH solicited input on challenges and needs in this area from a wide range of stakeholders, including state tobacco control programs, national partners (including the North American Quitline Consortium), and quitline providers. This was done through a variety of methods, including calls, meetings, visits, and a federal register notice. This included seeking input on OSH’s quitline activities, including the NQDW. </w:t>
      </w:r>
    </w:p>
    <w:p w:rsidR="003055F7" w:rsidRDefault="003055F7" w:rsidP="003055F7"/>
    <w:p w:rsidR="003055F7" w:rsidRDefault="003055F7" w:rsidP="003055F7">
      <w:pPr>
        <w:pStyle w:val="BodyText"/>
      </w:pPr>
      <w:r>
        <w:t>The information collected through this process was used to develop a strategic plan for OSH’s future cessation activities and an operational plan for implementing these activities. The feedback gathered from stakeholders on the NQDW was used to identify several priorities for improving NQDW, including improving the quality of NQDW data, increasing the utility of this data, modernizing NQDW, and drawing on NQDW data to demonstrate the value of state quitlines.</w:t>
      </w:r>
    </w:p>
    <w:p w:rsidR="003055F7" w:rsidRDefault="003055F7" w:rsidP="00EA7BF8">
      <w:pPr>
        <w:pStyle w:val="BodyText"/>
      </w:pPr>
    </w:p>
    <w:p w:rsidR="00032E5F" w:rsidRDefault="00032E5F" w:rsidP="00EA7BF8">
      <w:pPr>
        <w:pStyle w:val="BodyText"/>
      </w:pPr>
      <w:r>
        <w:t>.</w:t>
      </w:r>
    </w:p>
    <w:p w:rsidR="0018695A" w:rsidRDefault="00EA7C9E" w:rsidP="003B4448">
      <w:pPr>
        <w:pStyle w:val="BodyText"/>
        <w:ind w:firstLine="0"/>
      </w:pPr>
      <w:r>
        <w:tab/>
      </w:r>
      <w:r w:rsidR="00316CAF">
        <w:t>Additional specific input, including plans for use of resulting data, were provided by the following representatives of federal agencies with an interest in tobacco</w:t>
      </w:r>
      <w:r w:rsidR="00CD654A">
        <w:t xml:space="preserve"> as outlined in </w:t>
      </w:r>
      <w:r w:rsidR="00994469">
        <w:t>Appendix</w:t>
      </w:r>
      <w:r w:rsidR="008214D0">
        <w:t xml:space="preserve"> D</w:t>
      </w:r>
      <w:r w:rsidR="00CD654A">
        <w:t xml:space="preserve">. </w:t>
      </w:r>
      <w:r w:rsidR="00316CAF">
        <w:t xml:space="preserve">    </w:t>
      </w:r>
    </w:p>
    <w:p w:rsidR="006A7D63" w:rsidRDefault="006A7D63" w:rsidP="00266A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69A3" w:rsidRDefault="00A935CF">
      <w:pPr>
        <w:pStyle w:val="Heading2"/>
      </w:pPr>
      <w:r>
        <w:t>A.</w:t>
      </w:r>
      <w:r w:rsidR="002D7990">
        <w:t>9</w:t>
      </w:r>
      <w:r w:rsidR="008469A3">
        <w:tab/>
      </w:r>
      <w:r w:rsidR="008469A3" w:rsidRPr="000A1B69">
        <w:rPr>
          <w:u w:val="single"/>
        </w:rPr>
        <w:t>EXPLANATION OF ANY PAYMENT OR GIFT TO RESPONDENTS</w:t>
      </w:r>
    </w:p>
    <w:p w:rsidR="00D32DC8" w:rsidRDefault="00844F11" w:rsidP="00694A45">
      <w:pPr>
        <w:ind w:firstLine="720"/>
      </w:pPr>
      <w:r>
        <w:t xml:space="preserve">No payment or gifts are provided to respondents. </w:t>
      </w:r>
    </w:p>
    <w:p w:rsidR="008469A3" w:rsidRDefault="00F128CF">
      <w:pPr>
        <w:pStyle w:val="Heading2"/>
        <w:rPr>
          <w:u w:val="single"/>
        </w:rPr>
      </w:pPr>
      <w:r>
        <w:t>A.1</w:t>
      </w:r>
      <w:r w:rsidR="002D7990">
        <w:t>0</w:t>
      </w:r>
      <w:r w:rsidR="008469A3">
        <w:tab/>
      </w:r>
      <w:r w:rsidR="00CD654A">
        <w:rPr>
          <w:u w:val="single"/>
        </w:rPr>
        <w:t>PROTECTION OF THE PRI</w:t>
      </w:r>
      <w:r w:rsidR="008369C9">
        <w:rPr>
          <w:u w:val="single"/>
        </w:rPr>
        <w:t>VACY AND CONFIDENTIALITY OF INFORMATION PROVIDED BY RESPONDENTS</w:t>
      </w:r>
    </w:p>
    <w:p w:rsidR="001115F5" w:rsidRPr="00AB3B9D" w:rsidRDefault="00384FC3" w:rsidP="00EA7BF8">
      <w:pPr>
        <w:keepNext/>
        <w:autoSpaceDE w:val="0"/>
        <w:autoSpaceDN w:val="0"/>
        <w:spacing w:after="120"/>
        <w:ind w:firstLine="720"/>
        <w:rPr>
          <w:color w:val="000000" w:themeColor="text1"/>
        </w:rPr>
      </w:pPr>
      <w:r w:rsidRPr="00384FC3">
        <w:rPr>
          <w:iCs/>
          <w:color w:val="000000" w:themeColor="text1"/>
        </w:rPr>
        <w:t xml:space="preserve">The Privacy Act does not apply to this information collection.  </w:t>
      </w:r>
      <w:r w:rsidR="00E01768" w:rsidRPr="00AB3B9D">
        <w:rPr>
          <w:rFonts w:cs="ITC Franklin Gothic Std Book"/>
          <w:color w:val="000000" w:themeColor="text1"/>
        </w:rPr>
        <w:t>CDC does not collect or receive information in identifiable form (IIF)</w:t>
      </w:r>
      <w:r w:rsidR="0008723E" w:rsidRPr="00AB3B9D">
        <w:rPr>
          <w:rFonts w:cs="ITC Franklin Gothic Std Book"/>
          <w:color w:val="000000" w:themeColor="text1"/>
        </w:rPr>
        <w:t xml:space="preserve">, </w:t>
      </w:r>
      <w:r w:rsidR="0008723E" w:rsidRPr="00AB3B9D">
        <w:rPr>
          <w:rFonts w:cs="ITC Franklin Gothic Std Book"/>
          <w:color w:val="000000" w:themeColor="text1"/>
          <w:sz w:val="22"/>
          <w:szCs w:val="22"/>
        </w:rPr>
        <w:t>nor can CDC retrieve the data by IIF data elements</w:t>
      </w:r>
      <w:r w:rsidR="00E01768" w:rsidRPr="00AB3B9D">
        <w:rPr>
          <w:rFonts w:cs="ITC Franklin Gothic Std Book"/>
          <w:color w:val="000000" w:themeColor="text1"/>
        </w:rPr>
        <w:t xml:space="preserve">. </w:t>
      </w:r>
      <w:r w:rsidR="00E01768" w:rsidRPr="00AB3B9D">
        <w:rPr>
          <w:color w:val="000000" w:themeColor="text1"/>
        </w:rPr>
        <w:t>CDC requests only a subset of de-identified client-level information, including some demographic data.  The de-identified information is adequate for CDC/NQDW objectives</w:t>
      </w:r>
      <w:r w:rsidR="0008723E" w:rsidRPr="00AB3B9D">
        <w:rPr>
          <w:color w:val="000000" w:themeColor="text1"/>
        </w:rPr>
        <w:t xml:space="preserve">. </w:t>
      </w:r>
    </w:p>
    <w:p w:rsidR="00BC4981" w:rsidRDefault="007A3C61" w:rsidP="00EA7BF8">
      <w:pPr>
        <w:spacing w:after="120"/>
        <w:ind w:firstLine="720"/>
        <w:rPr>
          <w:iCs/>
        </w:rPr>
      </w:pPr>
      <w:r w:rsidRPr="004E6E2D">
        <w:rPr>
          <w:rStyle w:val="Footer11"/>
          <w:bCs/>
          <w:i/>
          <w:color w:val="000000"/>
          <w:u w:val="single"/>
        </w:rPr>
        <w:t>Overview of the Data Collection System</w:t>
      </w:r>
      <w:r w:rsidRPr="004E6E2D">
        <w:rPr>
          <w:rStyle w:val="Footer11"/>
          <w:bCs/>
          <w:color w:val="000000"/>
        </w:rPr>
        <w:t xml:space="preserve">.  </w:t>
      </w:r>
      <w:r>
        <w:rPr>
          <w:iCs/>
        </w:rPr>
        <w:t>The NQDW Intake questionnaire will collect d</w:t>
      </w:r>
      <w:r w:rsidRPr="00D571E3">
        <w:rPr>
          <w:iCs/>
        </w:rPr>
        <w:t xml:space="preserve">ata on </w:t>
      </w:r>
      <w:r>
        <w:rPr>
          <w:iCs/>
        </w:rPr>
        <w:t xml:space="preserve">tobacco use, intention to quit, </w:t>
      </w:r>
      <w:r w:rsidR="00AF6BDC">
        <w:rPr>
          <w:iCs/>
        </w:rPr>
        <w:t xml:space="preserve">previous </w:t>
      </w:r>
      <w:r>
        <w:rPr>
          <w:iCs/>
        </w:rPr>
        <w:t xml:space="preserve">success with quitting, and use of counseling and/or medications to facilitate or maintain quit.  </w:t>
      </w:r>
      <w:r w:rsidR="009740B8">
        <w:rPr>
          <w:iCs/>
        </w:rPr>
        <w:t xml:space="preserve">The </w:t>
      </w:r>
      <w:r w:rsidR="0095414C">
        <w:rPr>
          <w:iCs/>
        </w:rPr>
        <w:t>Seven</w:t>
      </w:r>
      <w:r w:rsidR="009740B8">
        <w:rPr>
          <w:iCs/>
        </w:rPr>
        <w:t>-</w:t>
      </w:r>
      <w:r w:rsidR="0095414C">
        <w:rPr>
          <w:iCs/>
        </w:rPr>
        <w:t>M</w:t>
      </w:r>
      <w:r w:rsidR="009740B8">
        <w:rPr>
          <w:iCs/>
        </w:rPr>
        <w:t>onth Follow-</w:t>
      </w:r>
      <w:r w:rsidR="0095414C">
        <w:rPr>
          <w:iCs/>
        </w:rPr>
        <w:t>u</w:t>
      </w:r>
      <w:r w:rsidR="009740B8">
        <w:rPr>
          <w:iCs/>
        </w:rPr>
        <w:t xml:space="preserve">p Questionnaire will also collect similar data but only for those who </w:t>
      </w:r>
      <w:r w:rsidR="0095414C">
        <w:rPr>
          <w:iCs/>
        </w:rPr>
        <w:t xml:space="preserve">received services from </w:t>
      </w:r>
      <w:r w:rsidR="009740B8">
        <w:rPr>
          <w:iCs/>
        </w:rPr>
        <w:t xml:space="preserve">the Asian </w:t>
      </w:r>
      <w:r w:rsidR="0095414C">
        <w:rPr>
          <w:iCs/>
        </w:rPr>
        <w:t xml:space="preserve">Smokers’ </w:t>
      </w:r>
      <w:r w:rsidR="009740B8">
        <w:rPr>
          <w:iCs/>
        </w:rPr>
        <w:t>Quitline</w:t>
      </w:r>
      <w:r w:rsidR="00AF6BDC">
        <w:rPr>
          <w:iCs/>
        </w:rPr>
        <w:t xml:space="preserve"> (ASQ)</w:t>
      </w:r>
      <w:r w:rsidR="009740B8">
        <w:rPr>
          <w:iCs/>
        </w:rPr>
        <w:t xml:space="preserve">. </w:t>
      </w:r>
      <w:r>
        <w:rPr>
          <w:iCs/>
        </w:rPr>
        <w:t xml:space="preserve">These topics </w:t>
      </w:r>
      <w:r w:rsidRPr="00D571E3">
        <w:rPr>
          <w:iCs/>
        </w:rPr>
        <w:t xml:space="preserve">are generally regarded as being no greater than minimally sensitive. </w:t>
      </w:r>
      <w:r w:rsidR="000C25BF" w:rsidRPr="00D747E2">
        <w:t>Participation</w:t>
      </w:r>
      <w:r w:rsidR="000C25BF" w:rsidRPr="009038EC">
        <w:t xml:space="preserve"> in the intake interview is voluntary but an intrinsic part of seeking services.  </w:t>
      </w:r>
      <w:r w:rsidR="000C25BF">
        <w:t>Participation in the 7-</w:t>
      </w:r>
      <w:r w:rsidR="000C25BF" w:rsidRPr="009038EC">
        <w:t>month follow-up interview is completely voluntary.</w:t>
      </w:r>
      <w:r w:rsidR="000C25BF">
        <w:t xml:space="preserve"> </w:t>
      </w:r>
      <w:r>
        <w:rPr>
          <w:iCs/>
        </w:rPr>
        <w:t xml:space="preserve">Through the NQDW, CDC receives only de-identified common data elements. </w:t>
      </w:r>
      <w:r w:rsidR="0035346C">
        <w:rPr>
          <w:iCs/>
        </w:rPr>
        <w:t xml:space="preserve">Intake data is only reported in aggregate in the CDC STATE System to prevent any inadvertent identification of callers’ due to small cell sizes. </w:t>
      </w:r>
      <w:r w:rsidR="00BF707D">
        <w:rPr>
          <w:iCs/>
        </w:rPr>
        <w:t xml:space="preserve">The NQDW Quitline Services Survey gathers the types of information </w:t>
      </w:r>
      <w:r w:rsidR="00E50B73">
        <w:rPr>
          <w:iCs/>
        </w:rPr>
        <w:t>regarding services from state-based quitlines in tobacco control programs</w:t>
      </w:r>
      <w:r w:rsidR="00BF707D">
        <w:rPr>
          <w:iCs/>
        </w:rPr>
        <w:t>; therefore, this information is not considered sensitive.</w:t>
      </w:r>
      <w:r w:rsidR="00704974">
        <w:rPr>
          <w:iCs/>
        </w:rPr>
        <w:t xml:space="preserve"> </w:t>
      </w:r>
      <w:r w:rsidR="00704974" w:rsidRPr="00D571E3">
        <w:rPr>
          <w:iCs/>
        </w:rPr>
        <w:t xml:space="preserve">Therefore, </w:t>
      </w:r>
      <w:r w:rsidR="00704974">
        <w:rPr>
          <w:iCs/>
        </w:rPr>
        <w:t xml:space="preserve">all three </w:t>
      </w:r>
      <w:r w:rsidR="00704974" w:rsidRPr="00D571E3">
        <w:rPr>
          <w:iCs/>
        </w:rPr>
        <w:t>data collection</w:t>
      </w:r>
      <w:r w:rsidR="00704974">
        <w:rPr>
          <w:iCs/>
        </w:rPr>
        <w:t>s</w:t>
      </w:r>
      <w:r w:rsidR="00704974" w:rsidRPr="00D571E3">
        <w:rPr>
          <w:iCs/>
        </w:rPr>
        <w:t xml:space="preserve"> will have little or no effect on respondent’s privacy.</w:t>
      </w:r>
    </w:p>
    <w:p w:rsidR="00BC4981" w:rsidRDefault="00BC4981" w:rsidP="00EA7BF8">
      <w:pPr>
        <w:spacing w:after="120"/>
        <w:ind w:firstLine="720"/>
        <w:rPr>
          <w:iCs/>
        </w:rPr>
      </w:pPr>
      <w:r w:rsidRPr="009038EC">
        <w:rPr>
          <w:iCs/>
        </w:rPr>
        <w:t xml:space="preserve">Although </w:t>
      </w:r>
      <w:r w:rsidR="00117F82">
        <w:rPr>
          <w:iCs/>
        </w:rPr>
        <w:t xml:space="preserve">the ASQ will collect </w:t>
      </w:r>
      <w:r w:rsidRPr="009038EC">
        <w:rPr>
          <w:iCs/>
        </w:rPr>
        <w:t xml:space="preserve">information </w:t>
      </w:r>
      <w:r>
        <w:rPr>
          <w:iCs/>
        </w:rPr>
        <w:t>in identifiable form (IIF), such as name and telephone number,</w:t>
      </w:r>
      <w:r w:rsidRPr="009038EC">
        <w:rPr>
          <w:iCs/>
        </w:rPr>
        <w:t xml:space="preserve"> </w:t>
      </w:r>
      <w:r w:rsidR="00117F82">
        <w:rPr>
          <w:iCs/>
        </w:rPr>
        <w:t xml:space="preserve">these data are for their operational purposes independent of what is requested to be reported to the NQDW and </w:t>
      </w:r>
      <w:r w:rsidRPr="009038EC">
        <w:rPr>
          <w:iCs/>
        </w:rPr>
        <w:t>will be used to generate advance letters</w:t>
      </w:r>
      <w:r>
        <w:rPr>
          <w:iCs/>
        </w:rPr>
        <w:t xml:space="preserve"> to </w:t>
      </w:r>
      <w:r w:rsidR="00704974">
        <w:rPr>
          <w:iCs/>
        </w:rPr>
        <w:t xml:space="preserve">ASQ </w:t>
      </w:r>
      <w:r>
        <w:rPr>
          <w:iCs/>
        </w:rPr>
        <w:t>quitline callers</w:t>
      </w:r>
      <w:r w:rsidRPr="009038EC">
        <w:rPr>
          <w:iCs/>
        </w:rPr>
        <w:t xml:space="preserve"> sel</w:t>
      </w:r>
      <w:r>
        <w:rPr>
          <w:iCs/>
        </w:rPr>
        <w:t>ected for the 7-month follow-up</w:t>
      </w:r>
      <w:r w:rsidR="00117F82">
        <w:rPr>
          <w:iCs/>
        </w:rPr>
        <w:t>. T</w:t>
      </w:r>
      <w:r>
        <w:rPr>
          <w:iCs/>
        </w:rPr>
        <w:t xml:space="preserve">he IIF will not be transmitted to CDC, and IIF will not be linked to </w:t>
      </w:r>
      <w:r w:rsidRPr="009038EC">
        <w:rPr>
          <w:iCs/>
        </w:rPr>
        <w:t>response data.</w:t>
      </w:r>
    </w:p>
    <w:p w:rsidR="007A3C61" w:rsidRPr="00D571E3" w:rsidRDefault="00BC4981" w:rsidP="00EA7BF8">
      <w:pPr>
        <w:spacing w:after="120"/>
        <w:ind w:firstLine="720"/>
        <w:rPr>
          <w:iCs/>
        </w:rPr>
      </w:pPr>
      <w:r>
        <w:rPr>
          <w:iCs/>
        </w:rPr>
        <w:t xml:space="preserve">Quitlines are state-based services. CDC provides cooperative agreement funding and technical assistance to help states/territories strengthen those services and to facilitate the collection of common data elements. States/territories devise their own strategies for delivering </w:t>
      </w:r>
      <w:r w:rsidR="00AF6BDC">
        <w:rPr>
          <w:iCs/>
        </w:rPr>
        <w:t xml:space="preserve">quitline </w:t>
      </w:r>
      <w:r>
        <w:rPr>
          <w:iCs/>
        </w:rPr>
        <w:t>services</w:t>
      </w:r>
      <w:r w:rsidR="00AF6BDC">
        <w:rPr>
          <w:iCs/>
        </w:rPr>
        <w:t>,</w:t>
      </w:r>
      <w:r>
        <w:rPr>
          <w:iCs/>
        </w:rPr>
        <w:t xml:space="preserve"> and </w:t>
      </w:r>
      <w:r w:rsidR="00AF6BDC">
        <w:rPr>
          <w:iCs/>
        </w:rPr>
        <w:t xml:space="preserve">the Asian Smokers’ Quitline (ASQ) devises its own strategies </w:t>
      </w:r>
      <w:r>
        <w:rPr>
          <w:iCs/>
        </w:rPr>
        <w:t xml:space="preserve">for contacting quitline callers for the </w:t>
      </w:r>
      <w:r w:rsidR="00AF6BDC">
        <w:rPr>
          <w:iCs/>
        </w:rPr>
        <w:t>NQDW Seven</w:t>
      </w:r>
      <w:r>
        <w:rPr>
          <w:iCs/>
        </w:rPr>
        <w:t>-Month Follow-</w:t>
      </w:r>
      <w:r w:rsidR="00AF6BDC">
        <w:rPr>
          <w:iCs/>
        </w:rPr>
        <w:t>u</w:t>
      </w:r>
      <w:r>
        <w:rPr>
          <w:iCs/>
        </w:rPr>
        <w:t xml:space="preserve">p </w:t>
      </w:r>
      <w:r w:rsidR="00AF6BDC">
        <w:rPr>
          <w:iCs/>
        </w:rPr>
        <w:t>Q</w:t>
      </w:r>
      <w:r>
        <w:rPr>
          <w:iCs/>
        </w:rPr>
        <w:t xml:space="preserve">uestionnaire. </w:t>
      </w:r>
      <w:r w:rsidR="00AF6BDC">
        <w:rPr>
          <w:iCs/>
        </w:rPr>
        <w:t>Information on s</w:t>
      </w:r>
      <w:r>
        <w:rPr>
          <w:iCs/>
        </w:rPr>
        <w:t xml:space="preserve">tate-specific operating procedures </w:t>
      </w:r>
      <w:r w:rsidR="00AF6BDC">
        <w:rPr>
          <w:iCs/>
        </w:rPr>
        <w:t>is</w:t>
      </w:r>
      <w:r>
        <w:rPr>
          <w:iCs/>
        </w:rPr>
        <w:t xml:space="preserve"> not requested as part of the NQDW. </w:t>
      </w:r>
      <w:r w:rsidR="007A3C61" w:rsidRPr="00D571E3">
        <w:rPr>
          <w:iCs/>
        </w:rPr>
        <w:t xml:space="preserve">Nevertheless, safeguards will be put in place to ensure that all collected data remain </w:t>
      </w:r>
      <w:r w:rsidR="007A3C61">
        <w:rPr>
          <w:iCs/>
        </w:rPr>
        <w:t>secure (e.g., following protocols for minimum cell sizes for reporting on findings) (</w:t>
      </w:r>
      <w:r w:rsidR="007A3C61" w:rsidRPr="006D6852">
        <w:rPr>
          <w:iCs/>
        </w:rPr>
        <w:t>http://www.cdc.gov/nchs/</w:t>
      </w:r>
      <w:r w:rsidR="007A3C61">
        <w:rPr>
          <w:iCs/>
        </w:rPr>
        <w:t>)</w:t>
      </w:r>
      <w:r w:rsidR="007A3C61" w:rsidRPr="00D571E3">
        <w:rPr>
          <w:iCs/>
        </w:rPr>
        <w:t xml:space="preserve">.    </w:t>
      </w:r>
    </w:p>
    <w:p w:rsidR="00BC4981" w:rsidRPr="002F3BBC" w:rsidRDefault="007A3C61" w:rsidP="00EA7BF8">
      <w:pPr>
        <w:spacing w:after="120"/>
        <w:ind w:firstLine="720"/>
      </w:pPr>
      <w:r w:rsidRPr="004E6E2D">
        <w:t xml:space="preserve">Data for the </w:t>
      </w:r>
      <w:r w:rsidR="00AF6BDC">
        <w:t xml:space="preserve">NQDW Intake Questionnaire </w:t>
      </w:r>
      <w:r w:rsidRPr="004E6E2D">
        <w:t xml:space="preserve">and </w:t>
      </w:r>
      <w:r w:rsidR="00AF6BDC">
        <w:t>Seven</w:t>
      </w:r>
      <w:r w:rsidRPr="004E6E2D">
        <w:t>-</w:t>
      </w:r>
      <w:r w:rsidR="00AF6BDC">
        <w:t>M</w:t>
      </w:r>
      <w:r w:rsidRPr="004E6E2D">
        <w:t xml:space="preserve">onth </w:t>
      </w:r>
      <w:r w:rsidR="00AF6BDC">
        <w:t>F</w:t>
      </w:r>
      <w:r w:rsidRPr="004E6E2D">
        <w:t xml:space="preserve">ollow-up </w:t>
      </w:r>
      <w:r w:rsidR="00AF6BDC">
        <w:t>Questionnaire</w:t>
      </w:r>
      <w:r w:rsidRPr="004E6E2D">
        <w:t xml:space="preserve"> will be collected </w:t>
      </w:r>
      <w:r>
        <w:t xml:space="preserve">from callers </w:t>
      </w:r>
      <w:r w:rsidRPr="004E6E2D">
        <w:t>primarily by telephone, including but not limited to Computer Assisted Telephone Interviews (CATI). Some intake data will also be collected via the web. We are recommending that states continue collecting the intake data using the same media that they are currently using. This is because the states have det</w:t>
      </w:r>
      <w:r w:rsidRPr="007B4DEE">
        <w:t>ermined that these methods are the best to collect the data</w:t>
      </w:r>
      <w:r>
        <w:t xml:space="preserve"> without disrupting the provision of services (the primary goal of the quitlines). </w:t>
      </w:r>
      <w:r w:rsidR="00CD64A8">
        <w:t>Data from the NQDW Intake</w:t>
      </w:r>
      <w:r w:rsidR="00AF6BDC">
        <w:t xml:space="preserve"> Questionnaire</w:t>
      </w:r>
      <w:r w:rsidR="00CD64A8">
        <w:t xml:space="preserve"> and </w:t>
      </w:r>
      <w:r w:rsidR="00AF6BDC">
        <w:t>Seven</w:t>
      </w:r>
      <w:r w:rsidR="00CD64A8" w:rsidRPr="009740B8">
        <w:t>-</w:t>
      </w:r>
      <w:r w:rsidR="00AF6BDC">
        <w:t>M</w:t>
      </w:r>
      <w:r w:rsidR="00CD64A8" w:rsidRPr="009740B8">
        <w:t xml:space="preserve">onth </w:t>
      </w:r>
      <w:r w:rsidR="00AF6BDC">
        <w:t>F</w:t>
      </w:r>
      <w:r w:rsidR="00CD64A8" w:rsidRPr="009740B8">
        <w:t>ollow-up</w:t>
      </w:r>
      <w:r w:rsidR="00CD64A8">
        <w:t xml:space="preserve"> </w:t>
      </w:r>
      <w:r w:rsidR="00AF6BDC">
        <w:t>Q</w:t>
      </w:r>
      <w:r w:rsidR="00CD64A8">
        <w:t xml:space="preserve">uestionnaire are </w:t>
      </w:r>
      <w:r w:rsidR="00AF6BDC">
        <w:t xml:space="preserve">typically </w:t>
      </w:r>
      <w:r w:rsidR="00CD64A8">
        <w:t xml:space="preserve">submitted </w:t>
      </w:r>
      <w:r w:rsidR="00AF6BDC">
        <w:t>to CDC</w:t>
      </w:r>
      <w:r w:rsidR="00CD64A8">
        <w:t xml:space="preserve"> via the </w:t>
      </w:r>
      <w:r w:rsidR="00AF6BDC">
        <w:t xml:space="preserve">CDC’s </w:t>
      </w:r>
      <w:r w:rsidR="00CD64A8">
        <w:t xml:space="preserve">secure </w:t>
      </w:r>
      <w:r w:rsidR="00AF6BDC">
        <w:t xml:space="preserve">NQDW </w:t>
      </w:r>
      <w:r w:rsidR="00CD64A8">
        <w:t>FTP server. However, states</w:t>
      </w:r>
      <w:r w:rsidR="00AF6BDC">
        <w:t>/territories and quitline service providers such as the ASQ also</w:t>
      </w:r>
      <w:r w:rsidR="00CD64A8">
        <w:t xml:space="preserve"> have the option of sending </w:t>
      </w:r>
      <w:r w:rsidR="00AF6BDC">
        <w:t xml:space="preserve">electronic </w:t>
      </w:r>
      <w:r w:rsidR="00CD64A8">
        <w:t xml:space="preserve">data </w:t>
      </w:r>
      <w:r w:rsidR="00AF6BDC">
        <w:t xml:space="preserve">files to CDC </w:t>
      </w:r>
      <w:r w:rsidR="00CD64A8">
        <w:t xml:space="preserve">via U.S. mail if the FTP site </w:t>
      </w:r>
      <w:r w:rsidR="00704974">
        <w:t xml:space="preserve">poses </w:t>
      </w:r>
      <w:r w:rsidR="00CD64A8">
        <w:t xml:space="preserve">technical difficulties. </w:t>
      </w:r>
      <w:r w:rsidRPr="007C09BE">
        <w:t xml:space="preserve">The </w:t>
      </w:r>
      <w:r w:rsidR="0095414C">
        <w:t>NQDW Quitline Services Survey will be completed electronically using a form-style Microsoft Word document. Completed surveys will be returned to CDC via email</w:t>
      </w:r>
      <w:r w:rsidR="00CD64A8">
        <w:t xml:space="preserve">. </w:t>
      </w:r>
    </w:p>
    <w:p w:rsidR="00CD64A8" w:rsidRDefault="007A3C61" w:rsidP="00CD64A8">
      <w:pPr>
        <w:spacing w:after="120"/>
        <w:ind w:firstLine="720"/>
      </w:pPr>
      <w:r w:rsidRPr="006017C0">
        <w:rPr>
          <w:i/>
          <w:u w:val="single"/>
        </w:rPr>
        <w:t>Items of Information to be Collected</w:t>
      </w:r>
      <w:r w:rsidRPr="00F87B80">
        <w:t>.</w:t>
      </w:r>
      <w:r w:rsidRPr="000F444F">
        <w:rPr>
          <w:b/>
        </w:rPr>
        <w:t xml:space="preserve"> </w:t>
      </w:r>
      <w:r w:rsidR="00704974">
        <w:t xml:space="preserve">The NQDW utilizes </w:t>
      </w:r>
      <w:r w:rsidR="0035346C">
        <w:t>four</w:t>
      </w:r>
      <w:r>
        <w:t xml:space="preserve"> instruments: the NQDW Intake </w:t>
      </w:r>
      <w:r w:rsidR="00CD64A8">
        <w:t>Q</w:t>
      </w:r>
      <w:r w:rsidR="0035346C">
        <w:t>uestionnaire (</w:t>
      </w:r>
      <w:r w:rsidR="00994469">
        <w:t>Appendices</w:t>
      </w:r>
      <w:r w:rsidR="009E1076">
        <w:t xml:space="preserve"> E-1 and F-1 to F</w:t>
      </w:r>
      <w:r w:rsidR="0035346C">
        <w:t>-3</w:t>
      </w:r>
      <w:r>
        <w:t xml:space="preserve">); </w:t>
      </w:r>
      <w:r w:rsidR="0035346C">
        <w:t>the NQDW Intake Questionnaire</w:t>
      </w:r>
      <w:r w:rsidR="0035346C" w:rsidRPr="009740B8">
        <w:t xml:space="preserve"> </w:t>
      </w:r>
      <w:r w:rsidR="0035346C">
        <w:t>for the subset of pa</w:t>
      </w:r>
      <w:r w:rsidR="00263632">
        <w:t>rticipants who are calling for s</w:t>
      </w:r>
      <w:r w:rsidR="0035346C">
        <w:t>omeone else</w:t>
      </w:r>
      <w:r w:rsidR="0049662B">
        <w:t xml:space="preserve"> (Appendix E</w:t>
      </w:r>
      <w:r w:rsidR="00263632">
        <w:t>-2</w:t>
      </w:r>
      <w:r w:rsidR="0049662B">
        <w:t xml:space="preserve"> and F</w:t>
      </w:r>
      <w:r w:rsidR="008214D0">
        <w:t>-4 to F</w:t>
      </w:r>
      <w:r w:rsidR="00AC65AA">
        <w:t>-</w:t>
      </w:r>
      <w:r w:rsidR="009C6D5A">
        <w:t>6</w:t>
      </w:r>
      <w:r w:rsidR="00263632">
        <w:t>) and</w:t>
      </w:r>
      <w:r w:rsidR="0035346C">
        <w:t xml:space="preserve"> </w:t>
      </w:r>
      <w:r w:rsidRPr="009740B8">
        <w:t xml:space="preserve">the NQDW </w:t>
      </w:r>
      <w:r w:rsidR="00CD64A8">
        <w:t>Seven</w:t>
      </w:r>
      <w:r w:rsidRPr="009740B8">
        <w:t>-</w:t>
      </w:r>
      <w:r w:rsidR="00CD64A8">
        <w:t>M</w:t>
      </w:r>
      <w:r w:rsidRPr="009740B8">
        <w:t xml:space="preserve">onth </w:t>
      </w:r>
      <w:r w:rsidR="00CD64A8">
        <w:t>F</w:t>
      </w:r>
      <w:r w:rsidRPr="009740B8">
        <w:t xml:space="preserve">ollow-up </w:t>
      </w:r>
      <w:r w:rsidR="00CD64A8">
        <w:t>Q</w:t>
      </w:r>
      <w:r w:rsidRPr="009740B8">
        <w:t>uestionnaire</w:t>
      </w:r>
      <w:r w:rsidR="009740B8" w:rsidRPr="009740B8">
        <w:t xml:space="preserve"> for </w:t>
      </w:r>
      <w:r w:rsidR="00AF6BDC">
        <w:t xml:space="preserve">tobacco users who received services from </w:t>
      </w:r>
      <w:r w:rsidR="009740B8" w:rsidRPr="009740B8">
        <w:t xml:space="preserve">the Asian </w:t>
      </w:r>
      <w:r w:rsidR="00CD64A8">
        <w:t xml:space="preserve">Smokers’ </w:t>
      </w:r>
      <w:r w:rsidR="009740B8" w:rsidRPr="009740B8">
        <w:t>Quitline</w:t>
      </w:r>
      <w:r w:rsidRPr="009740B8">
        <w:t xml:space="preserve"> (</w:t>
      </w:r>
      <w:r w:rsidR="00994469">
        <w:t>Appendices</w:t>
      </w:r>
      <w:r w:rsidRPr="009740B8">
        <w:t xml:space="preserve"> </w:t>
      </w:r>
      <w:r w:rsidR="0049662B">
        <w:t>G</w:t>
      </w:r>
      <w:r w:rsidR="00573B02">
        <w:t>-1</w:t>
      </w:r>
      <w:r w:rsidR="0049662B">
        <w:t xml:space="preserve"> to G</w:t>
      </w:r>
      <w:r w:rsidR="00263632">
        <w:t>-4),</w:t>
      </w:r>
      <w:r>
        <w:t xml:space="preserve"> and the NQDW Quit</w:t>
      </w:r>
      <w:r w:rsidR="00C500C1">
        <w:t>line Services Survey (Appendix C</w:t>
      </w:r>
      <w:r>
        <w:t xml:space="preserve">). </w:t>
      </w:r>
      <w:r w:rsidR="00D32DC8" w:rsidRPr="0091745D">
        <w:rPr>
          <w:i/>
        </w:rPr>
        <w:t>CDC Best Practices for Comprehensive Tobacco Control Programs</w:t>
      </w:r>
      <w:r w:rsidR="00D32DC8">
        <w:rPr>
          <w:i/>
        </w:rPr>
        <w:t xml:space="preserve"> – 2014</w:t>
      </w:r>
      <w:r w:rsidR="00CD64A8">
        <w:t xml:space="preserve"> recommends that quitlines should place specific focus on populations with disproportionate tobacco use</w:t>
      </w:r>
      <w:r w:rsidR="00D32DC8">
        <w:t xml:space="preserve"> (CDC, 2014</w:t>
      </w:r>
      <w:r w:rsidR="0039170E">
        <w:t>a</w:t>
      </w:r>
      <w:r w:rsidR="00D32DC8">
        <w:t>)</w:t>
      </w:r>
      <w:r w:rsidR="00CD64A8">
        <w:t>, and many state quitlines are either specifically targeting populations with disproportionate</w:t>
      </w:r>
      <w:r w:rsidR="003637EC">
        <w:t>ly high</w:t>
      </w:r>
      <w:r w:rsidR="00CD64A8">
        <w:t xml:space="preserve"> tobacco use or provide additional quitline services to those populations (such as additional counseling or free quitting medications). </w:t>
      </w:r>
    </w:p>
    <w:p w:rsidR="007A3C61" w:rsidRDefault="007A3C61" w:rsidP="004F7B18">
      <w:pPr>
        <w:spacing w:after="120"/>
        <w:ind w:firstLine="720"/>
      </w:pPr>
      <w:r>
        <w:t xml:space="preserve"> </w:t>
      </w:r>
      <w:r w:rsidRPr="009740B8">
        <w:t xml:space="preserve">The NQDW </w:t>
      </w:r>
      <w:r w:rsidR="00AF6BDC">
        <w:t>Seven</w:t>
      </w:r>
      <w:r w:rsidRPr="009740B8">
        <w:t>-</w:t>
      </w:r>
      <w:r w:rsidR="00AF6BDC">
        <w:t>M</w:t>
      </w:r>
      <w:r w:rsidRPr="009740B8">
        <w:t xml:space="preserve">onth </w:t>
      </w:r>
      <w:r w:rsidR="00AF6BDC">
        <w:t>F</w:t>
      </w:r>
      <w:r w:rsidRPr="009740B8">
        <w:t xml:space="preserve">ollow-up </w:t>
      </w:r>
      <w:r w:rsidR="00AF6BDC">
        <w:t>Questionnaire</w:t>
      </w:r>
      <w:r w:rsidRPr="009740B8">
        <w:t xml:space="preserve"> will be completed for </w:t>
      </w:r>
      <w:r w:rsidR="00AF6BDC">
        <w:t>tobacco users</w:t>
      </w:r>
      <w:r w:rsidR="00AF6BDC" w:rsidRPr="009740B8">
        <w:t xml:space="preserve"> </w:t>
      </w:r>
      <w:r w:rsidRPr="009740B8">
        <w:t xml:space="preserve">who completed </w:t>
      </w:r>
      <w:r w:rsidR="00AF6BDC">
        <w:t xml:space="preserve">an NQDW Intake Questionnaire </w:t>
      </w:r>
      <w:r w:rsidRPr="009740B8">
        <w:t>and received a service</w:t>
      </w:r>
      <w:r w:rsidR="009740B8" w:rsidRPr="009740B8">
        <w:t xml:space="preserve"> f</w:t>
      </w:r>
      <w:r w:rsidR="00CD64A8">
        <w:t>rom</w:t>
      </w:r>
      <w:r w:rsidR="009740B8" w:rsidRPr="009740B8">
        <w:t xml:space="preserve"> </w:t>
      </w:r>
      <w:r w:rsidR="00CD64A8">
        <w:t xml:space="preserve">the </w:t>
      </w:r>
      <w:r w:rsidR="009740B8" w:rsidRPr="009740B8">
        <w:t xml:space="preserve">Asian </w:t>
      </w:r>
      <w:r w:rsidR="00CD64A8">
        <w:t xml:space="preserve">Smokers’ </w:t>
      </w:r>
      <w:r w:rsidR="009740B8" w:rsidRPr="009740B8">
        <w:t>Quitline</w:t>
      </w:r>
      <w:r w:rsidR="00AF6BDC">
        <w:t xml:space="preserve"> (ASQ)</w:t>
      </w:r>
      <w:r w:rsidRPr="009740B8">
        <w:t xml:space="preserve">. The survey asks questions about quitline service satisfaction, whether or not the caller has quit using tobacco, duration of quitting if applicable, use of products and/or medication to help quit, and use of non-quitline assistance to quit.  </w:t>
      </w:r>
    </w:p>
    <w:p w:rsidR="007A3C61" w:rsidRDefault="007A3C61" w:rsidP="004F7B18">
      <w:pPr>
        <w:spacing w:after="120"/>
        <w:ind w:firstLine="720"/>
      </w:pPr>
      <w:r>
        <w:t xml:space="preserve">Respondents for the NQDW Quitline Services Survey are state health department personnel (e.g., </w:t>
      </w:r>
      <w:r w:rsidR="000C42A4">
        <w:t xml:space="preserve">state </w:t>
      </w:r>
      <w:r>
        <w:t xml:space="preserve">tobacco control managers, </w:t>
      </w:r>
      <w:r w:rsidR="000C42A4">
        <w:t xml:space="preserve">state cessation coordinators, state </w:t>
      </w:r>
      <w:r>
        <w:t xml:space="preserve">quitline managers – not private quitline service providers) </w:t>
      </w:r>
      <w:r w:rsidR="00F8548C">
        <w:t xml:space="preserve">or their designee, which might include quitline service providers such as the ASQ, </w:t>
      </w:r>
      <w:r>
        <w:t xml:space="preserve">in the 50 states, </w:t>
      </w:r>
      <w:r w:rsidR="00F8548C">
        <w:t xml:space="preserve">the </w:t>
      </w:r>
      <w:r>
        <w:t>District of Columbia, Guam</w:t>
      </w:r>
      <w:r w:rsidR="00F8548C">
        <w:t>, Puerto Rico, and for the Asian Smokers’ Quitline</w:t>
      </w:r>
      <w:r w:rsidRPr="00D657EF">
        <w:t>.</w:t>
      </w:r>
      <w:r w:rsidR="00F8548C">
        <w:t xml:space="preserve"> </w:t>
      </w:r>
      <w:r w:rsidRPr="00D657EF">
        <w:t xml:space="preserve">The survey asks questions about hours of service, </w:t>
      </w:r>
      <w:r w:rsidR="009D5E83">
        <w:t xml:space="preserve">available languages offered for counseling services, </w:t>
      </w:r>
      <w:r w:rsidRPr="00D657EF">
        <w:t>number of calls</w:t>
      </w:r>
      <w:r>
        <w:t xml:space="preserve"> received, </w:t>
      </w:r>
      <w:r w:rsidR="00CD64A8">
        <w:t xml:space="preserve">number of tobacco users who were provided with services by the quitline, </w:t>
      </w:r>
      <w:r>
        <w:t xml:space="preserve">eligibility criteria for receiving counseling through the quitline, </w:t>
      </w:r>
      <w:r w:rsidR="009D5E83">
        <w:t>provision of free quitting medications, and eligibility for and amount of free quitting medications offered</w:t>
      </w:r>
      <w:r>
        <w:t xml:space="preserve">.  </w:t>
      </w:r>
      <w:r w:rsidRPr="00D657EF">
        <w:t xml:space="preserve">  </w:t>
      </w:r>
    </w:p>
    <w:p w:rsidR="00552523" w:rsidRDefault="00BC4981" w:rsidP="00376DE8">
      <w:pPr>
        <w:autoSpaceDE w:val="0"/>
        <w:autoSpaceDN w:val="0"/>
        <w:adjustRightInd w:val="0"/>
        <w:spacing w:after="120"/>
        <w:ind w:firstLine="720"/>
        <w:rPr>
          <w:color w:val="1F497D"/>
        </w:rPr>
      </w:pPr>
      <w:r w:rsidRPr="0091745D">
        <w:rPr>
          <w:i/>
          <w:u w:val="single"/>
        </w:rPr>
        <w:t>Data Security</w:t>
      </w:r>
      <w:r w:rsidR="00F8548C">
        <w:t>.</w:t>
      </w:r>
      <w:r w:rsidRPr="00F87B80">
        <w:t xml:space="preserve"> </w:t>
      </w:r>
      <w:r w:rsidRPr="009038EC">
        <w:t xml:space="preserve">Precautions will be taken in how the data are handled to prevent a breach of </w:t>
      </w:r>
      <w:r>
        <w:t>privacy</w:t>
      </w:r>
      <w:r w:rsidRPr="009038EC">
        <w:t>. Survey data and all identifying information about respondents will be handled in ways that prevent unauthorized access at any point during the study. To maintain security, only a sub-string of the telephone numbers associated with each completed call is included in the final data, so a respondent's answers cannot be connected to a specific person or telephone number.  If there is the potential for the identification of these subject(s)</w:t>
      </w:r>
      <w:r>
        <w:t xml:space="preserve"> in any reports produced by CDC</w:t>
      </w:r>
      <w:r w:rsidRPr="009038EC">
        <w:t>, the data in these cells will be removed</w:t>
      </w:r>
      <w:r>
        <w:t>.</w:t>
      </w:r>
      <w:r w:rsidRPr="009038EC">
        <w:t xml:space="preserve"> Respondents will be told during the initial screener that the information they provide will be </w:t>
      </w:r>
      <w:r>
        <w:t>kept secure</w:t>
      </w:r>
      <w:r w:rsidRPr="009038EC">
        <w:t>.</w:t>
      </w:r>
      <w:r w:rsidR="00F8548C">
        <w:t xml:space="preserve"> </w:t>
      </w:r>
      <w:r w:rsidRPr="009038EC">
        <w:t xml:space="preserve">All interviewers will be required to sign a </w:t>
      </w:r>
      <w:r>
        <w:t>non-disclosure agreement</w:t>
      </w:r>
      <w:r w:rsidRPr="009038EC">
        <w:t xml:space="preserve"> on the date of hire, which will be r</w:t>
      </w:r>
      <w:r>
        <w:t>einforced at training</w:t>
      </w:r>
      <w:r w:rsidRPr="009038EC">
        <w:t>.</w:t>
      </w:r>
    </w:p>
    <w:p w:rsidR="00813C1D" w:rsidRPr="00831F0D" w:rsidRDefault="00552523" w:rsidP="00F87B80">
      <w:pPr>
        <w:ind w:firstLine="720"/>
        <w:rPr>
          <w:iCs/>
        </w:rPr>
      </w:pPr>
      <w:r w:rsidRPr="00F87B80">
        <w:rPr>
          <w:i/>
          <w:iCs/>
          <w:u w:val="single"/>
        </w:rPr>
        <w:t>Consent</w:t>
      </w:r>
      <w:r>
        <w:rPr>
          <w:iCs/>
        </w:rPr>
        <w:t xml:space="preserve">.  </w:t>
      </w:r>
      <w:r w:rsidR="008B2F22" w:rsidRPr="009038EC">
        <w:t>Verbal consent will be elicited from participants</w:t>
      </w:r>
      <w:r w:rsidR="009D5E83">
        <w:t xml:space="preserve"> in the NQDW Seven-Month Follow-up</w:t>
      </w:r>
      <w:r w:rsidR="000A348C">
        <w:t xml:space="preserve"> with ASQ</w:t>
      </w:r>
      <w:r w:rsidR="008B2F22" w:rsidRPr="009038EC">
        <w:t xml:space="preserve">.  </w:t>
      </w:r>
      <w:r w:rsidR="00813C1D" w:rsidRPr="009038EC">
        <w:t xml:space="preserve">Before each </w:t>
      </w:r>
      <w:r w:rsidR="004D2AE9">
        <w:t>follow</w:t>
      </w:r>
      <w:r w:rsidR="002C375A">
        <w:t>-</w:t>
      </w:r>
      <w:r w:rsidR="004D2AE9">
        <w:t xml:space="preserve">up </w:t>
      </w:r>
      <w:r w:rsidR="00813C1D" w:rsidRPr="009038EC">
        <w:t xml:space="preserve">interview, the interviewer will read the informed consent </w:t>
      </w:r>
      <w:r w:rsidR="00AF6CCD" w:rsidRPr="009038EC">
        <w:t>script</w:t>
      </w:r>
      <w:r w:rsidR="00813C1D" w:rsidRPr="009038EC">
        <w:t xml:space="preserve"> to each participan</w:t>
      </w:r>
      <w:r w:rsidR="00AF6CCD" w:rsidRPr="009038EC">
        <w:t>t. The consent script</w:t>
      </w:r>
      <w:r w:rsidR="00813C1D" w:rsidRPr="009038EC">
        <w:t xml:space="preserve"> describes the interview</w:t>
      </w:r>
      <w:r w:rsidR="00803197">
        <w:t xml:space="preserve"> and</w:t>
      </w:r>
      <w:r w:rsidR="00813C1D" w:rsidRPr="009038EC">
        <w:t xml:space="preserve"> the types of questions that wil</w:t>
      </w:r>
      <w:r w:rsidR="00803197">
        <w:t>l be asked on the actual survey</w:t>
      </w:r>
      <w:r w:rsidR="00AF6CCD" w:rsidRPr="009038EC">
        <w:t>. The consent script</w:t>
      </w:r>
      <w:r w:rsidR="00813C1D" w:rsidRPr="009038EC">
        <w:t xml:space="preserve"> also indicates that participation is completely voluntary and that participants can refuse to answer any question or discontinue the interview at any time without penalty or loss of benefits.  The interviewer will enter a code via the keyboard to signify that the participant was read the informed consent </w:t>
      </w:r>
      <w:r w:rsidR="00813C1D" w:rsidRPr="002D7990">
        <w:t>script and agreed to participate.</w:t>
      </w:r>
    </w:p>
    <w:p w:rsidR="00773862" w:rsidRPr="00583B0E" w:rsidRDefault="00773862" w:rsidP="00773862">
      <w:pPr>
        <w:autoSpaceDE w:val="0"/>
        <w:autoSpaceDN w:val="0"/>
        <w:adjustRightInd w:val="0"/>
        <w:rPr>
          <w:color w:val="000000"/>
          <w:sz w:val="22"/>
          <w:szCs w:val="22"/>
          <w:highlight w:val="yellow"/>
        </w:rPr>
      </w:pPr>
    </w:p>
    <w:p w:rsidR="008469A3" w:rsidRPr="00407B40" w:rsidRDefault="00F128CF" w:rsidP="00175EB0">
      <w:pPr>
        <w:pStyle w:val="BodyText"/>
        <w:ind w:left="720" w:hanging="720"/>
        <w:rPr>
          <w:b/>
        </w:rPr>
      </w:pPr>
      <w:r>
        <w:rPr>
          <w:b/>
        </w:rPr>
        <w:t>A.1</w:t>
      </w:r>
      <w:r w:rsidR="002D7990">
        <w:rPr>
          <w:b/>
        </w:rPr>
        <w:t>1</w:t>
      </w:r>
      <w:r w:rsidR="008469A3" w:rsidRPr="00407B40">
        <w:rPr>
          <w:b/>
        </w:rPr>
        <w:tab/>
      </w:r>
      <w:r w:rsidR="008369C9">
        <w:rPr>
          <w:b/>
          <w:u w:val="single"/>
        </w:rPr>
        <w:t>INSTITUTIONAL REVIEW BOARD (IRB) AND JUSTIFICATION FOR SENSITIVE QUESTIONS</w:t>
      </w:r>
    </w:p>
    <w:p w:rsidR="00AE6A94" w:rsidRPr="00E00DCA" w:rsidRDefault="00AE6A94" w:rsidP="0068681B">
      <w:pPr>
        <w:pStyle w:val="BodyTextIndent"/>
        <w:spacing w:after="120"/>
        <w:ind w:left="0" w:right="90" w:firstLine="720"/>
        <w:rPr>
          <w:u w:val="single"/>
        </w:rPr>
      </w:pPr>
      <w:r w:rsidRPr="00E00DCA">
        <w:rPr>
          <w:u w:val="single"/>
        </w:rPr>
        <w:t>IRB Approval</w:t>
      </w:r>
    </w:p>
    <w:p w:rsidR="00AE6A94" w:rsidRPr="00F65178" w:rsidRDefault="00AE6A94" w:rsidP="0068681B">
      <w:pPr>
        <w:pStyle w:val="BodyTextIndent"/>
        <w:spacing w:after="120"/>
        <w:ind w:left="0" w:right="90" w:firstLine="720"/>
        <w:rPr>
          <w:b w:val="0"/>
        </w:rPr>
      </w:pPr>
      <w:r w:rsidRPr="00802292">
        <w:rPr>
          <w:b w:val="0"/>
        </w:rPr>
        <w:t>This information collection is a program evaluation activity, not research.  IRB approval is not required.</w:t>
      </w:r>
    </w:p>
    <w:p w:rsidR="00AE6A94" w:rsidRPr="00802292" w:rsidRDefault="00AE6A94" w:rsidP="00AE6A94">
      <w:pPr>
        <w:autoSpaceDE w:val="0"/>
        <w:autoSpaceDN w:val="0"/>
        <w:adjustRightInd w:val="0"/>
        <w:spacing w:after="120"/>
        <w:ind w:firstLine="720"/>
        <w:rPr>
          <w:b/>
          <w:u w:val="single"/>
        </w:rPr>
      </w:pPr>
      <w:r w:rsidRPr="00802292">
        <w:rPr>
          <w:b/>
          <w:u w:val="single"/>
        </w:rPr>
        <w:t>Sensitive Questions</w:t>
      </w:r>
    </w:p>
    <w:p w:rsidR="000C3BFE" w:rsidRDefault="00854328" w:rsidP="0068681B">
      <w:pPr>
        <w:pStyle w:val="BodyTextIndent"/>
        <w:spacing w:after="120"/>
        <w:ind w:left="0" w:right="90" w:firstLine="720"/>
        <w:rPr>
          <w:b w:val="0"/>
          <w:iCs/>
        </w:rPr>
      </w:pPr>
      <w:r>
        <w:rPr>
          <w:b w:val="0"/>
        </w:rPr>
        <w:t xml:space="preserve">On the </w:t>
      </w:r>
      <w:r w:rsidR="00D8766C">
        <w:rPr>
          <w:b w:val="0"/>
        </w:rPr>
        <w:t xml:space="preserve">NQDW </w:t>
      </w:r>
      <w:r>
        <w:rPr>
          <w:b w:val="0"/>
        </w:rPr>
        <w:t xml:space="preserve">intake questionnaire, </w:t>
      </w:r>
      <w:r w:rsidR="00BB59DF">
        <w:rPr>
          <w:b w:val="0"/>
        </w:rPr>
        <w:t>27</w:t>
      </w:r>
      <w:r w:rsidR="00FC4005">
        <w:rPr>
          <w:b w:val="0"/>
        </w:rPr>
        <w:t xml:space="preserve"> of </w:t>
      </w:r>
      <w:r w:rsidR="00BD047D">
        <w:rPr>
          <w:b w:val="0"/>
        </w:rPr>
        <w:t>3</w:t>
      </w:r>
      <w:r w:rsidR="00316605">
        <w:rPr>
          <w:b w:val="0"/>
        </w:rPr>
        <w:t>2</w:t>
      </w:r>
      <w:r w:rsidR="00E675E5">
        <w:rPr>
          <w:b w:val="0"/>
        </w:rPr>
        <w:t xml:space="preserve"> </w:t>
      </w:r>
      <w:r w:rsidR="00993372">
        <w:rPr>
          <w:b w:val="0"/>
        </w:rPr>
        <w:t>questions are tobacco-</w:t>
      </w:r>
      <w:r>
        <w:rPr>
          <w:b w:val="0"/>
        </w:rPr>
        <w:t>related</w:t>
      </w:r>
      <w:r w:rsidR="00316605">
        <w:rPr>
          <w:b w:val="0"/>
        </w:rPr>
        <w:t>.</w:t>
      </w:r>
      <w:r w:rsidR="00557EAE">
        <w:rPr>
          <w:b w:val="0"/>
        </w:rPr>
        <w:t xml:space="preserve"> </w:t>
      </w:r>
      <w:r w:rsidRPr="009740B8">
        <w:rPr>
          <w:b w:val="0"/>
        </w:rPr>
        <w:t xml:space="preserve">Similarly, on the </w:t>
      </w:r>
      <w:r w:rsidR="00D8766C" w:rsidRPr="009740B8">
        <w:rPr>
          <w:b w:val="0"/>
        </w:rPr>
        <w:t xml:space="preserve">NQDW 7-month </w:t>
      </w:r>
      <w:r w:rsidRPr="009740B8">
        <w:rPr>
          <w:b w:val="0"/>
        </w:rPr>
        <w:t xml:space="preserve">follow-up questionnaire, </w:t>
      </w:r>
      <w:r w:rsidR="000C3BFE" w:rsidRPr="009740B8">
        <w:rPr>
          <w:b w:val="0"/>
        </w:rPr>
        <w:t>2</w:t>
      </w:r>
      <w:r w:rsidR="00821A02" w:rsidRPr="009740B8">
        <w:rPr>
          <w:b w:val="0"/>
        </w:rPr>
        <w:t>6</w:t>
      </w:r>
      <w:r w:rsidR="001576EC" w:rsidRPr="009740B8">
        <w:rPr>
          <w:b w:val="0"/>
        </w:rPr>
        <w:t xml:space="preserve"> of </w:t>
      </w:r>
      <w:r w:rsidR="000C3BFE" w:rsidRPr="009740B8">
        <w:rPr>
          <w:b w:val="0"/>
        </w:rPr>
        <w:t>2</w:t>
      </w:r>
      <w:r w:rsidR="00BB59DF" w:rsidRPr="009740B8">
        <w:rPr>
          <w:b w:val="0"/>
        </w:rPr>
        <w:t>8</w:t>
      </w:r>
      <w:r w:rsidR="001576EC" w:rsidRPr="009740B8">
        <w:rPr>
          <w:b w:val="0"/>
        </w:rPr>
        <w:t xml:space="preserve"> </w:t>
      </w:r>
      <w:r w:rsidRPr="009740B8">
        <w:rPr>
          <w:b w:val="0"/>
        </w:rPr>
        <w:t xml:space="preserve">questions are </w:t>
      </w:r>
      <w:r w:rsidR="008469A3" w:rsidRPr="009740B8">
        <w:rPr>
          <w:b w:val="0"/>
        </w:rPr>
        <w:t>tobacco-related</w:t>
      </w:r>
      <w:r w:rsidR="00B363B4" w:rsidRPr="009740B8">
        <w:rPr>
          <w:b w:val="0"/>
        </w:rPr>
        <w:t>.</w:t>
      </w:r>
      <w:r w:rsidR="001D209F">
        <w:rPr>
          <w:b w:val="0"/>
        </w:rPr>
        <w:t xml:space="preserve"> </w:t>
      </w:r>
      <w:r w:rsidR="000C42A4">
        <w:rPr>
          <w:b w:val="0"/>
        </w:rPr>
        <w:t xml:space="preserve">The items are for the most part, not of a sensitive nature and are commonly found in surveys on tobacco use.  </w:t>
      </w:r>
      <w:r w:rsidR="000C42A4" w:rsidRPr="00041535">
        <w:rPr>
          <w:b w:val="0"/>
          <w:iCs/>
        </w:rPr>
        <w:t xml:space="preserve">Data on tobacco use are generally regarded as being no greater than minimally sensitive.  </w:t>
      </w:r>
      <w:r w:rsidR="000C42A4">
        <w:rPr>
          <w:b w:val="0"/>
          <w:iCs/>
        </w:rPr>
        <w:t xml:space="preserve">Most importantly, each individual who completes the NQDW intake questionnaire is seeking assistance with tobacco cessation and providing intake data is part of service provision.   The intake process and counseling protocols cannot be completed without asking about tobacco use history.   </w:t>
      </w:r>
      <w:r w:rsidR="000C42A4" w:rsidRPr="009740B8">
        <w:rPr>
          <w:b w:val="0"/>
          <w:iCs/>
        </w:rPr>
        <w:t xml:space="preserve">Similarly, the NQDW </w:t>
      </w:r>
      <w:r w:rsidR="000C42A4">
        <w:rPr>
          <w:b w:val="0"/>
          <w:iCs/>
        </w:rPr>
        <w:t>Seven</w:t>
      </w:r>
      <w:r w:rsidR="000C42A4" w:rsidRPr="009740B8">
        <w:rPr>
          <w:b w:val="0"/>
          <w:iCs/>
        </w:rPr>
        <w:t>-</w:t>
      </w:r>
      <w:r w:rsidR="000C42A4">
        <w:rPr>
          <w:b w:val="0"/>
          <w:iCs/>
        </w:rPr>
        <w:t>M</w:t>
      </w:r>
      <w:r w:rsidR="000C42A4" w:rsidRPr="009740B8">
        <w:rPr>
          <w:b w:val="0"/>
          <w:iCs/>
        </w:rPr>
        <w:t xml:space="preserve">onth </w:t>
      </w:r>
      <w:r w:rsidR="000C42A4">
        <w:rPr>
          <w:b w:val="0"/>
          <w:iCs/>
        </w:rPr>
        <w:t>Follow-up Q</w:t>
      </w:r>
      <w:r w:rsidR="000C42A4" w:rsidRPr="009740B8">
        <w:rPr>
          <w:b w:val="0"/>
          <w:iCs/>
        </w:rPr>
        <w:t xml:space="preserve">uestionnaire </w:t>
      </w:r>
      <w:r w:rsidR="000C42A4">
        <w:rPr>
          <w:b w:val="0"/>
          <w:iCs/>
        </w:rPr>
        <w:t>will be</w:t>
      </w:r>
      <w:r w:rsidR="000C42A4" w:rsidRPr="009740B8">
        <w:rPr>
          <w:b w:val="0"/>
          <w:iCs/>
        </w:rPr>
        <w:t xml:space="preserve"> conducted among </w:t>
      </w:r>
      <w:r w:rsidR="000C42A4">
        <w:rPr>
          <w:b w:val="0"/>
          <w:iCs/>
        </w:rPr>
        <w:t>callers seeking services from the Asian Smokers’ Quitline</w:t>
      </w:r>
      <w:r w:rsidR="000C42A4" w:rsidRPr="009740B8">
        <w:rPr>
          <w:b w:val="0"/>
          <w:iCs/>
        </w:rPr>
        <w:t xml:space="preserve"> </w:t>
      </w:r>
      <w:r w:rsidR="000C42A4">
        <w:rPr>
          <w:b w:val="0"/>
          <w:iCs/>
        </w:rPr>
        <w:t>in order to assess the effectiveness of its services</w:t>
      </w:r>
      <w:r w:rsidR="000C42A4" w:rsidRPr="009740B8">
        <w:rPr>
          <w:b w:val="0"/>
          <w:iCs/>
        </w:rPr>
        <w:t xml:space="preserve">.   Although follow-up data are </w:t>
      </w:r>
      <w:r w:rsidR="000C42A4">
        <w:rPr>
          <w:b w:val="0"/>
          <w:iCs/>
        </w:rPr>
        <w:t>used</w:t>
      </w:r>
      <w:r w:rsidR="000C42A4" w:rsidRPr="009740B8">
        <w:rPr>
          <w:b w:val="0"/>
          <w:iCs/>
        </w:rPr>
        <w:t xml:space="preserve"> to calculate a quit rate and determine what factors contribute to variability in quit rates, participation in the follow-up interview can identify needs for additional services</w:t>
      </w:r>
      <w:r w:rsidR="00B24A21">
        <w:rPr>
          <w:b w:val="0"/>
          <w:iCs/>
        </w:rPr>
        <w:t xml:space="preserve">, however, in </w:t>
      </w:r>
      <w:r w:rsidR="000C42A4" w:rsidRPr="009740B8">
        <w:rPr>
          <w:b w:val="0"/>
          <w:iCs/>
        </w:rPr>
        <w:t>the clinical context of the follow-up interview, these data are minimally or not at all sensitive.</w:t>
      </w:r>
    </w:p>
    <w:p w:rsidR="00BD047D" w:rsidRPr="00B64F28" w:rsidRDefault="001A5F6C" w:rsidP="00BB7D15">
      <w:pPr>
        <w:autoSpaceDE w:val="0"/>
        <w:autoSpaceDN w:val="0"/>
        <w:adjustRightInd w:val="0"/>
        <w:spacing w:after="120"/>
        <w:ind w:firstLine="720"/>
        <w:rPr>
          <w:iCs/>
        </w:rPr>
      </w:pPr>
      <w:r w:rsidRPr="00407B40">
        <w:t>The</w:t>
      </w:r>
      <w:r>
        <w:t xml:space="preserve"> </w:t>
      </w:r>
      <w:r w:rsidR="00B24A21">
        <w:t xml:space="preserve">proposed </w:t>
      </w:r>
      <w:r w:rsidR="00D8766C">
        <w:t xml:space="preserve">NQDW </w:t>
      </w:r>
      <w:r>
        <w:t xml:space="preserve">intake questionnaire also includes </w:t>
      </w:r>
      <w:r w:rsidR="004F7B18">
        <w:t xml:space="preserve">ten </w:t>
      </w:r>
      <w:r>
        <w:t xml:space="preserve">demographic </w:t>
      </w:r>
      <w:r w:rsidRPr="00D14AF5">
        <w:t>questions</w:t>
      </w:r>
      <w:r>
        <w:t xml:space="preserve">, one question about each of the following: gender, </w:t>
      </w:r>
      <w:r w:rsidR="009D5E83">
        <w:t xml:space="preserve">pregnancy status (for females), </w:t>
      </w:r>
      <w:r>
        <w:t>year respondent was born, zip code</w:t>
      </w:r>
      <w:r w:rsidRPr="00D14AF5">
        <w:t>,</w:t>
      </w:r>
      <w:r>
        <w:t xml:space="preserve"> level of education, </w:t>
      </w:r>
      <w:r w:rsidRPr="00D14AF5">
        <w:t>race and ethnicity</w:t>
      </w:r>
      <w:r w:rsidR="002377A7">
        <w:t xml:space="preserve">, insurance </w:t>
      </w:r>
      <w:r w:rsidR="009D5E83">
        <w:t>status (2 questions), and mental health</w:t>
      </w:r>
      <w:r w:rsidRPr="00D14AF5">
        <w:t>.</w:t>
      </w:r>
      <w:r w:rsidRPr="00407B40">
        <w:t xml:space="preserve"> OMB considers questions about race and ethnicity to be sensitive</w:t>
      </w:r>
      <w:r w:rsidR="00BB7D15">
        <w:t>, but not highly sensitive</w:t>
      </w:r>
      <w:r w:rsidRPr="00407B40">
        <w:t xml:space="preserve">. </w:t>
      </w:r>
      <w:r w:rsidR="000C3BFE" w:rsidRPr="00B64F28">
        <w:rPr>
          <w:iCs/>
        </w:rPr>
        <w:t xml:space="preserve">None of the data reported on the </w:t>
      </w:r>
      <w:r w:rsidR="00D8766C" w:rsidRPr="00B64F28">
        <w:rPr>
          <w:iCs/>
        </w:rPr>
        <w:t xml:space="preserve">NQDW Quitline Services Survey </w:t>
      </w:r>
      <w:r w:rsidR="000C3BFE" w:rsidRPr="00B64F28">
        <w:rPr>
          <w:iCs/>
        </w:rPr>
        <w:t xml:space="preserve">by </w:t>
      </w:r>
      <w:r w:rsidR="00956E5D" w:rsidRPr="00B64F28">
        <w:rPr>
          <w:iCs/>
        </w:rPr>
        <w:t xml:space="preserve">CDC </w:t>
      </w:r>
      <w:r w:rsidR="000C3BFE" w:rsidRPr="00B64F28">
        <w:rPr>
          <w:iCs/>
        </w:rPr>
        <w:t>grantees is sensitive because these kinds of data are normally reported by grantees to maintain accountability in use of government resources.</w:t>
      </w:r>
      <w:r w:rsidRPr="00B64F28">
        <w:rPr>
          <w:iCs/>
        </w:rPr>
        <w:t xml:space="preserve"> </w:t>
      </w:r>
      <w:r w:rsidR="00C60168" w:rsidRPr="00B64F28">
        <w:rPr>
          <w:iCs/>
        </w:rPr>
        <w:t xml:space="preserve">Therefore, the data collection will have little or no effect on </w:t>
      </w:r>
      <w:r w:rsidR="0031412C" w:rsidRPr="00B64F28">
        <w:rPr>
          <w:iCs/>
        </w:rPr>
        <w:t>a</w:t>
      </w:r>
      <w:r w:rsidR="00C60168" w:rsidRPr="00B64F28">
        <w:rPr>
          <w:iCs/>
        </w:rPr>
        <w:t xml:space="preserve"> respondent’s privacy. Nevertheless, safeguards will be put in place to ensure that all collected data remain </w:t>
      </w:r>
      <w:r w:rsidR="000366D7" w:rsidRPr="00B64F28">
        <w:rPr>
          <w:iCs/>
        </w:rPr>
        <w:t>secure</w:t>
      </w:r>
      <w:r w:rsidR="00C60168" w:rsidRPr="00B64F28">
        <w:rPr>
          <w:iCs/>
        </w:rPr>
        <w:t xml:space="preserve">.  </w:t>
      </w:r>
    </w:p>
    <w:p w:rsidR="00BD125C" w:rsidRDefault="00BD125C" w:rsidP="00E3534D">
      <w:pPr>
        <w:pStyle w:val="BodyTextIndent"/>
        <w:ind w:left="0" w:right="90" w:firstLine="720"/>
        <w:rPr>
          <w:b w:val="0"/>
        </w:rPr>
      </w:pPr>
    </w:p>
    <w:p w:rsidR="00EE3B48" w:rsidRPr="00EE3B48" w:rsidRDefault="00EE3B48" w:rsidP="00EE3B48">
      <w:pPr>
        <w:spacing w:after="240"/>
        <w:rPr>
          <w:b/>
          <w:bCs/>
        </w:rPr>
      </w:pPr>
      <w:r w:rsidRPr="00EE3B48">
        <w:rPr>
          <w:b/>
          <w:bCs/>
        </w:rPr>
        <w:t>A.12</w:t>
      </w:r>
      <w:r w:rsidRPr="00EE3B48">
        <w:rPr>
          <w:b/>
          <w:bCs/>
        </w:rPr>
        <w:tab/>
      </w:r>
      <w:r w:rsidRPr="00EE3B48">
        <w:rPr>
          <w:b/>
          <w:bCs/>
          <w:u w:val="single"/>
        </w:rPr>
        <w:t>ESTIMATES OF ANNUALIZED BURDEN HOURS AND COSTS</w:t>
      </w:r>
    </w:p>
    <w:p w:rsidR="00EE3B48" w:rsidRPr="00EE3B48" w:rsidRDefault="00EE3B48" w:rsidP="00EE3B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rPr>
          <w:b/>
          <w:u w:val="single"/>
        </w:rPr>
      </w:pPr>
      <w:r w:rsidRPr="00EE3B48">
        <w:rPr>
          <w:b/>
          <w:bCs/>
          <w:color w:val="000000"/>
          <w:u w:val="single"/>
        </w:rPr>
        <w:t>Estimated Burden Hours</w:t>
      </w:r>
      <w:r w:rsidRPr="00EE3B48">
        <w:rPr>
          <w:b/>
          <w:u w:val="single"/>
        </w:rPr>
        <w:t xml:space="preserve"> </w:t>
      </w:r>
    </w:p>
    <w:p w:rsidR="00EE3B48" w:rsidRPr="00EE3B48" w:rsidRDefault="00EE3B48" w:rsidP="00EE3B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firstLine="720"/>
        <w:rPr>
          <w:b/>
          <w:u w:val="single"/>
        </w:rPr>
      </w:pPr>
    </w:p>
    <w:p w:rsidR="00E85F0B" w:rsidRPr="00C06BA9" w:rsidRDefault="00C06BA9" w:rsidP="00E85F0B">
      <w:pPr>
        <w:spacing w:after="120"/>
        <w:ind w:firstLine="720"/>
        <w:rPr>
          <w:rFonts w:eastAsia="Calibri"/>
          <w:color w:val="000000"/>
        </w:rPr>
      </w:pPr>
      <w:r w:rsidRPr="00C06BA9">
        <w:rPr>
          <w:rFonts w:eastAsia="Calibri"/>
          <w:color w:val="000000"/>
        </w:rPr>
        <w:t>OMB approval is requested for three years.</w:t>
      </w:r>
      <w:r w:rsidR="00431EF5">
        <w:rPr>
          <w:rFonts w:eastAsia="Calibri"/>
          <w:color w:val="000000"/>
        </w:rPr>
        <w:t xml:space="preserve"> </w:t>
      </w:r>
      <w:r w:rsidR="00E85F0B" w:rsidRPr="00C06BA9">
        <w:rPr>
          <w:rFonts w:eastAsia="Calibri"/>
          <w:color w:val="000000"/>
        </w:rPr>
        <w:t xml:space="preserve">The annualized estimates </w:t>
      </w:r>
      <w:r w:rsidR="00E85F0B">
        <w:rPr>
          <w:rFonts w:eastAsia="Calibri"/>
          <w:color w:val="000000"/>
        </w:rPr>
        <w:t>for</w:t>
      </w:r>
      <w:r w:rsidR="00E85F0B" w:rsidRPr="00C06BA9">
        <w:rPr>
          <w:rFonts w:eastAsia="Calibri"/>
          <w:color w:val="000000"/>
        </w:rPr>
        <w:t xml:space="preserve"> the number of respondents and burden hours </w:t>
      </w:r>
      <w:r w:rsidR="00E85F0B">
        <w:rPr>
          <w:rFonts w:eastAsia="Calibri"/>
          <w:color w:val="000000"/>
        </w:rPr>
        <w:t xml:space="preserve">for this proposed OMB revision </w:t>
      </w:r>
      <w:r w:rsidR="00E85F0B" w:rsidRPr="00C06BA9">
        <w:rPr>
          <w:rFonts w:eastAsia="Calibri"/>
          <w:color w:val="000000"/>
        </w:rPr>
        <w:t>are summarized</w:t>
      </w:r>
      <w:r w:rsidR="00E85F0B">
        <w:rPr>
          <w:rFonts w:eastAsia="Calibri"/>
          <w:color w:val="000000"/>
        </w:rPr>
        <w:t xml:space="preserve"> in </w:t>
      </w:r>
      <w:r w:rsidR="00FA7FB5">
        <w:rPr>
          <w:rFonts w:eastAsia="Calibri"/>
          <w:color w:val="000000"/>
        </w:rPr>
        <w:t xml:space="preserve">Table A.12.a </w:t>
      </w:r>
      <w:r w:rsidR="00E85F0B" w:rsidRPr="00C06BA9">
        <w:rPr>
          <w:rFonts w:eastAsia="Calibri"/>
          <w:color w:val="000000"/>
        </w:rPr>
        <w:t>below.</w:t>
      </w:r>
      <w:r w:rsidR="007606EB">
        <w:rPr>
          <w:rFonts w:eastAsia="Calibri"/>
          <w:color w:val="000000"/>
        </w:rPr>
        <w:t xml:space="preserve">  The burden table includes allocations for the time that the </w:t>
      </w:r>
      <w:r w:rsidR="001B104D">
        <w:rPr>
          <w:rFonts w:eastAsia="Calibri"/>
          <w:color w:val="000000"/>
        </w:rPr>
        <w:t xml:space="preserve">50 </w:t>
      </w:r>
      <w:r w:rsidR="007606EB">
        <w:rPr>
          <w:rFonts w:eastAsia="Calibri"/>
          <w:color w:val="000000"/>
        </w:rPr>
        <w:t xml:space="preserve">states, DC, Guam, Puerto Rico, and the ASQ spend administering intake and follow-up interviews </w:t>
      </w:r>
      <w:r w:rsidR="00B24A21">
        <w:rPr>
          <w:rFonts w:eastAsia="Calibri"/>
          <w:color w:val="000000"/>
        </w:rPr>
        <w:t xml:space="preserve">(ASQ only) </w:t>
      </w:r>
      <w:r w:rsidR="007606EB">
        <w:rPr>
          <w:rFonts w:eastAsia="Calibri"/>
          <w:color w:val="000000"/>
        </w:rPr>
        <w:t xml:space="preserve">to Quitline callers.  The burden table also includes allocations for the </w:t>
      </w:r>
      <w:r w:rsidR="001B104D">
        <w:rPr>
          <w:rFonts w:eastAsia="Calibri"/>
          <w:color w:val="000000"/>
        </w:rPr>
        <w:t xml:space="preserve">50 </w:t>
      </w:r>
      <w:r w:rsidR="007606EB">
        <w:rPr>
          <w:rFonts w:eastAsia="Calibri"/>
          <w:color w:val="000000"/>
        </w:rPr>
        <w:t>states, DC, Guam, Puerto Rico, and the ASQ to compile and submit aggregate files and service summaries to CDC.</w:t>
      </w:r>
    </w:p>
    <w:p w:rsidR="00BA76F1" w:rsidRDefault="001A6989" w:rsidP="00492B1B">
      <w:pPr>
        <w:spacing w:after="120"/>
        <w:ind w:firstLine="720"/>
        <w:rPr>
          <w:rFonts w:eastAsia="Calibri"/>
        </w:rPr>
      </w:pPr>
      <w:r>
        <w:rPr>
          <w:rFonts w:eastAsia="Calibri"/>
        </w:rPr>
        <w:t>Two versions of the NQDW Intake Questionnaire will be administered</w:t>
      </w:r>
      <w:r w:rsidR="00C528CE">
        <w:rPr>
          <w:rFonts w:eastAsia="Calibri"/>
        </w:rPr>
        <w:t xml:space="preserve"> to callers through Computer-Assisted Telephone Interview (CATI)</w:t>
      </w:r>
      <w:r>
        <w:rPr>
          <w:rFonts w:eastAsia="Calibri"/>
        </w:rPr>
        <w:t xml:space="preserve">.  The complete questionnaire will be administered to callers who contact a quitline on their own behalf.  The complete intake questionnaire will be administered by </w:t>
      </w:r>
      <w:r w:rsidR="00BA76F1">
        <w:rPr>
          <w:rFonts w:eastAsia="Calibri"/>
        </w:rPr>
        <w:t>the 50 states, DC, Guam, an</w:t>
      </w:r>
      <w:r w:rsidR="00AC65AA">
        <w:rPr>
          <w:rFonts w:eastAsia="Calibri"/>
        </w:rPr>
        <w:t>d Puer</w:t>
      </w:r>
      <w:r w:rsidR="0049662B">
        <w:rPr>
          <w:rFonts w:eastAsia="Calibri"/>
        </w:rPr>
        <w:t>to Rico (see Appendix E</w:t>
      </w:r>
      <w:r w:rsidR="00BA76F1">
        <w:rPr>
          <w:rFonts w:eastAsia="Calibri"/>
        </w:rPr>
        <w:t>-</w:t>
      </w:r>
      <w:r w:rsidR="00B24A21">
        <w:rPr>
          <w:rFonts w:eastAsia="Calibri"/>
        </w:rPr>
        <w:t>1</w:t>
      </w:r>
      <w:r w:rsidR="00C47FA1">
        <w:rPr>
          <w:rFonts w:eastAsia="Calibri"/>
        </w:rPr>
        <w:t xml:space="preserve">, </w:t>
      </w:r>
      <w:r w:rsidR="00AD7F72">
        <w:rPr>
          <w:rFonts w:eastAsia="Calibri"/>
        </w:rPr>
        <w:t xml:space="preserve">in </w:t>
      </w:r>
      <w:r w:rsidR="00C47FA1">
        <w:rPr>
          <w:rFonts w:eastAsia="Calibri"/>
        </w:rPr>
        <w:t>English</w:t>
      </w:r>
      <w:r>
        <w:rPr>
          <w:rFonts w:eastAsia="Calibri"/>
        </w:rPr>
        <w:t>)</w:t>
      </w:r>
      <w:r w:rsidR="00BA76F1">
        <w:rPr>
          <w:rFonts w:eastAsia="Calibri"/>
        </w:rPr>
        <w:t xml:space="preserve">. </w:t>
      </w:r>
      <w:r w:rsidR="00EB61DA">
        <w:rPr>
          <w:rFonts w:eastAsia="Calibri"/>
        </w:rPr>
        <w:t xml:space="preserve">The estimated number of respondents is </w:t>
      </w:r>
      <w:r w:rsidR="008B082B">
        <w:rPr>
          <w:rFonts w:eastAsia="Calibri"/>
        </w:rPr>
        <w:t>488,845 based on 2015-2017</w:t>
      </w:r>
      <w:r w:rsidR="00EB61DA" w:rsidRPr="00E25B6A">
        <w:rPr>
          <w:rFonts w:eastAsia="Calibri"/>
        </w:rPr>
        <w:t xml:space="preserve"> </w:t>
      </w:r>
      <w:r w:rsidR="00EB61DA">
        <w:rPr>
          <w:rFonts w:eastAsia="Calibri"/>
        </w:rPr>
        <w:t xml:space="preserve">data. </w:t>
      </w:r>
      <w:r w:rsidR="00BA76F1">
        <w:rPr>
          <w:rFonts w:eastAsia="Calibri"/>
        </w:rPr>
        <w:t xml:space="preserve">Callers who prefer to receive quitline services in Chinese, Korean, or Vietnames will be referred to the Asian Smokers Quitline (see </w:t>
      </w:r>
      <w:r w:rsidR="00994469">
        <w:rPr>
          <w:rFonts w:eastAsia="Calibri"/>
        </w:rPr>
        <w:t>Appendices</w:t>
      </w:r>
      <w:r w:rsidR="00AC65AA">
        <w:rPr>
          <w:rFonts w:eastAsia="Calibri"/>
        </w:rPr>
        <w:t xml:space="preserve"> </w:t>
      </w:r>
      <w:r w:rsidR="008214D0">
        <w:rPr>
          <w:rFonts w:eastAsia="Calibri"/>
        </w:rPr>
        <w:t>F-1 to F</w:t>
      </w:r>
      <w:r w:rsidR="00B24A21">
        <w:rPr>
          <w:rFonts w:eastAsia="Calibri"/>
        </w:rPr>
        <w:t>-3</w:t>
      </w:r>
      <w:r w:rsidR="00BA76F1">
        <w:rPr>
          <w:rFonts w:eastAsia="Calibri"/>
        </w:rPr>
        <w:t xml:space="preserve">).  </w:t>
      </w:r>
      <w:r w:rsidR="00EB61DA">
        <w:rPr>
          <w:rFonts w:eastAsia="Calibri"/>
        </w:rPr>
        <w:t xml:space="preserve">The estimated number of callers for the </w:t>
      </w:r>
      <w:r w:rsidR="008B082B">
        <w:rPr>
          <w:rFonts w:eastAsia="Calibri"/>
        </w:rPr>
        <w:t>ASQ is 1,935</w:t>
      </w:r>
      <w:r w:rsidR="00EB61DA">
        <w:rPr>
          <w:rFonts w:eastAsia="Calibri"/>
        </w:rPr>
        <w:t xml:space="preserve">, based on ASQ data from </w:t>
      </w:r>
      <w:r w:rsidR="008B082B">
        <w:rPr>
          <w:rFonts w:eastAsia="Calibri"/>
        </w:rPr>
        <w:t>2016-2017</w:t>
      </w:r>
      <w:r w:rsidR="0006298D">
        <w:rPr>
          <w:rFonts w:eastAsia="Calibri"/>
        </w:rPr>
        <w:t>.</w:t>
      </w:r>
      <w:r w:rsidR="00A54877">
        <w:rPr>
          <w:rFonts w:eastAsia="Calibri"/>
        </w:rPr>
        <w:t xml:space="preserve">  </w:t>
      </w:r>
      <w:r w:rsidR="00EB61DA">
        <w:rPr>
          <w:rFonts w:eastAsia="Calibri"/>
        </w:rPr>
        <w:t>For all callers, t</w:t>
      </w:r>
      <w:r w:rsidR="00BA76F1">
        <w:rPr>
          <w:rFonts w:eastAsia="Calibri"/>
        </w:rPr>
        <w:t>he estimated burden per response for a complete intake call is 10 minutes.</w:t>
      </w:r>
      <w:r w:rsidR="00EB61DA">
        <w:rPr>
          <w:rFonts w:eastAsia="Calibri"/>
        </w:rPr>
        <w:t xml:space="preserve">  </w:t>
      </w:r>
    </w:p>
    <w:p w:rsidR="00035D24" w:rsidRDefault="00BA76F1" w:rsidP="00492B1B">
      <w:pPr>
        <w:spacing w:after="120"/>
        <w:ind w:firstLine="720"/>
        <w:rPr>
          <w:rFonts w:eastAsia="Calibri"/>
        </w:rPr>
      </w:pPr>
      <w:r>
        <w:rPr>
          <w:rFonts w:eastAsia="Calibri"/>
        </w:rPr>
        <w:t>An abbreviated version of the Intake Questionnaire will be administered to callers who contact the Quitline on behalf of a another person</w:t>
      </w:r>
      <w:r w:rsidR="008B65F7">
        <w:rPr>
          <w:rFonts w:eastAsia="Calibri"/>
        </w:rPr>
        <w:t xml:space="preserve"> </w:t>
      </w:r>
      <w:r w:rsidR="008B65F7" w:rsidRPr="00C06BA9">
        <w:rPr>
          <w:rFonts w:eastAsia="Calibri"/>
        </w:rPr>
        <w:t>(</w:t>
      </w:r>
      <w:r w:rsidR="008B65F7">
        <w:rPr>
          <w:rFonts w:eastAsia="Calibri"/>
        </w:rPr>
        <w:t xml:space="preserve">approximately </w:t>
      </w:r>
      <w:r w:rsidR="00A54877">
        <w:rPr>
          <w:rFonts w:eastAsia="Calibri"/>
        </w:rPr>
        <w:t>2.</w:t>
      </w:r>
      <w:r w:rsidR="008B65F7">
        <w:rPr>
          <w:rFonts w:eastAsia="Calibri"/>
        </w:rPr>
        <w:t xml:space="preserve">5%, which is </w:t>
      </w:r>
      <w:r w:rsidR="008B65F7" w:rsidRPr="00C06BA9">
        <w:rPr>
          <w:rFonts w:eastAsia="Calibri"/>
        </w:rPr>
        <w:t xml:space="preserve">an estimated </w:t>
      </w:r>
      <w:r w:rsidR="00A54877">
        <w:rPr>
          <w:rFonts w:eastAsia="Calibri"/>
        </w:rPr>
        <w:t>12,217</w:t>
      </w:r>
      <w:r w:rsidR="008B65F7" w:rsidRPr="00C06BA9">
        <w:rPr>
          <w:rFonts w:eastAsia="Calibri"/>
        </w:rPr>
        <w:t xml:space="preserve"> per year). </w:t>
      </w:r>
      <w:r w:rsidR="00A4353A">
        <w:rPr>
          <w:rFonts w:eastAsia="Calibri"/>
        </w:rPr>
        <w:t xml:space="preserve"> </w:t>
      </w:r>
      <w:r w:rsidR="008700BE">
        <w:rPr>
          <w:rFonts w:eastAsia="Calibri"/>
        </w:rPr>
        <w:t xml:space="preserve">Of these callers, </w:t>
      </w:r>
      <w:r w:rsidR="00A54877">
        <w:rPr>
          <w:rFonts w:eastAsia="Calibri"/>
        </w:rPr>
        <w:t>12,131</w:t>
      </w:r>
      <w:r w:rsidR="008700BE">
        <w:rPr>
          <w:rFonts w:eastAsia="Calibri"/>
        </w:rPr>
        <w:t xml:space="preserve"> will be served through the </w:t>
      </w:r>
      <w:r w:rsidR="001B104D">
        <w:rPr>
          <w:rFonts w:eastAsia="Calibri"/>
        </w:rPr>
        <w:t xml:space="preserve">50 </w:t>
      </w:r>
      <w:r w:rsidR="008700BE">
        <w:rPr>
          <w:rFonts w:eastAsia="Calibri"/>
        </w:rPr>
        <w:t>states, DC, Guam</w:t>
      </w:r>
      <w:r w:rsidR="008214D0">
        <w:rPr>
          <w:rFonts w:eastAsia="Calibri"/>
        </w:rPr>
        <w:t>, or Puerto Rico (see Appendix E</w:t>
      </w:r>
      <w:r w:rsidR="008700BE">
        <w:rPr>
          <w:rFonts w:eastAsia="Calibri"/>
        </w:rPr>
        <w:t>-2</w:t>
      </w:r>
      <w:r w:rsidR="00EC2A5E">
        <w:rPr>
          <w:rFonts w:eastAsia="Calibri"/>
        </w:rPr>
        <w:t xml:space="preserve"> in English</w:t>
      </w:r>
      <w:r w:rsidR="008700BE">
        <w:rPr>
          <w:rFonts w:eastAsia="Calibri"/>
        </w:rPr>
        <w:t xml:space="preserve">) and </w:t>
      </w:r>
      <w:r w:rsidR="00A54877">
        <w:rPr>
          <w:rFonts w:eastAsia="Calibri"/>
        </w:rPr>
        <w:t>86</w:t>
      </w:r>
      <w:r w:rsidR="008700BE">
        <w:rPr>
          <w:rFonts w:eastAsia="Calibri"/>
        </w:rPr>
        <w:t xml:space="preserve"> will be served through the ASQ (see </w:t>
      </w:r>
      <w:r w:rsidR="00994469">
        <w:rPr>
          <w:rFonts w:eastAsia="Calibri"/>
        </w:rPr>
        <w:t>Appendix</w:t>
      </w:r>
      <w:r w:rsidR="00435925">
        <w:rPr>
          <w:rFonts w:eastAsia="Calibri"/>
        </w:rPr>
        <w:t xml:space="preserve"> F</w:t>
      </w:r>
      <w:r w:rsidR="00FC5D13">
        <w:rPr>
          <w:rFonts w:eastAsia="Calibri"/>
        </w:rPr>
        <w:t>-</w:t>
      </w:r>
      <w:r w:rsidR="00435925">
        <w:rPr>
          <w:rFonts w:eastAsia="Calibri"/>
        </w:rPr>
        <w:t>4, F-5, and F</w:t>
      </w:r>
      <w:r w:rsidR="008700BE">
        <w:rPr>
          <w:rFonts w:eastAsia="Calibri"/>
        </w:rPr>
        <w:t>-6</w:t>
      </w:r>
      <w:r w:rsidR="00EC2A5E">
        <w:rPr>
          <w:rFonts w:eastAsia="Calibri"/>
        </w:rPr>
        <w:t xml:space="preserve"> in Chinese, Korean, and Vietnamese, respectively</w:t>
      </w:r>
      <w:r w:rsidR="008700BE">
        <w:rPr>
          <w:rFonts w:eastAsia="Calibri"/>
        </w:rPr>
        <w:t xml:space="preserve">).  </w:t>
      </w:r>
      <w:r w:rsidR="00A4353A">
        <w:rPr>
          <w:rFonts w:eastAsia="Calibri"/>
        </w:rPr>
        <w:t>Th</w:t>
      </w:r>
      <w:r w:rsidR="008700BE">
        <w:rPr>
          <w:rFonts w:eastAsia="Calibri"/>
        </w:rPr>
        <w:t>e abbreviated</w:t>
      </w:r>
      <w:r w:rsidR="00A4353A">
        <w:rPr>
          <w:rFonts w:eastAsia="Calibri"/>
        </w:rPr>
        <w:t xml:space="preserve"> version consists of the first 4 questions of the intake interview</w:t>
      </w:r>
      <w:r w:rsidR="00A81213">
        <w:rPr>
          <w:rFonts w:eastAsia="Calibri"/>
        </w:rPr>
        <w:t xml:space="preserve">. </w:t>
      </w:r>
      <w:r w:rsidR="008639F4">
        <w:rPr>
          <w:rFonts w:eastAsia="Calibri"/>
        </w:rPr>
        <w:t>The estimated burden per response for these callers is 1 minute.</w:t>
      </w:r>
    </w:p>
    <w:p w:rsidR="001A6989" w:rsidRDefault="00035D24" w:rsidP="003520D7">
      <w:pPr>
        <w:spacing w:after="120"/>
        <w:ind w:firstLine="720"/>
        <w:rPr>
          <w:rFonts w:eastAsia="Calibri"/>
        </w:rPr>
      </w:pPr>
      <w:r>
        <w:rPr>
          <w:rFonts w:eastAsia="Calibri"/>
        </w:rPr>
        <w:t>The Asian Smokers Quitline will administer a 7-Mon</w:t>
      </w:r>
      <w:r w:rsidR="005C2611">
        <w:rPr>
          <w:rFonts w:eastAsia="Calibri"/>
        </w:rPr>
        <w:t xml:space="preserve">th Follow-up Questionnaire to </w:t>
      </w:r>
      <w:r>
        <w:rPr>
          <w:rFonts w:eastAsia="Calibri"/>
        </w:rPr>
        <w:t xml:space="preserve">callers who complete their intake call through the ASQ (see </w:t>
      </w:r>
      <w:r w:rsidR="00994469">
        <w:rPr>
          <w:rFonts w:eastAsia="Calibri"/>
        </w:rPr>
        <w:t>Appendix</w:t>
      </w:r>
      <w:r w:rsidR="008214D0">
        <w:rPr>
          <w:rFonts w:eastAsia="Calibri"/>
        </w:rPr>
        <w:t xml:space="preserve"> G-2 to G</w:t>
      </w:r>
      <w:r w:rsidR="00265648">
        <w:rPr>
          <w:rFonts w:eastAsia="Calibri"/>
        </w:rPr>
        <w:t>-4</w:t>
      </w:r>
      <w:r>
        <w:rPr>
          <w:rFonts w:eastAsia="Calibri"/>
        </w:rPr>
        <w:t>).  An English language version of the 7-Month Follow-up Questionnaire is included for reference but will not be adminis</w:t>
      </w:r>
      <w:r w:rsidR="00FC5D13">
        <w:rPr>
          <w:rFonts w:eastAsia="Calibri"/>
        </w:rPr>
        <w:t xml:space="preserve">tered by the ASQ </w:t>
      </w:r>
      <w:r w:rsidR="008214D0">
        <w:rPr>
          <w:rFonts w:eastAsia="Calibri"/>
        </w:rPr>
        <w:t>(see Appendix G</w:t>
      </w:r>
      <w:r>
        <w:rPr>
          <w:rFonts w:eastAsia="Calibri"/>
        </w:rPr>
        <w:t>-</w:t>
      </w:r>
      <w:r w:rsidR="00265648">
        <w:rPr>
          <w:rFonts w:eastAsia="Calibri"/>
        </w:rPr>
        <w:t>1</w:t>
      </w:r>
      <w:r>
        <w:rPr>
          <w:rFonts w:eastAsia="Calibri"/>
        </w:rPr>
        <w:t xml:space="preserve">).  </w:t>
      </w:r>
      <w:r w:rsidR="00AE3D3B">
        <w:rPr>
          <w:rFonts w:eastAsia="Calibri"/>
        </w:rPr>
        <w:t xml:space="preserve">The estimated burden per response is 7 minutes.  </w:t>
      </w:r>
      <w:r w:rsidR="005757BD">
        <w:rPr>
          <w:rFonts w:eastAsia="Calibri"/>
        </w:rPr>
        <w:t xml:space="preserve">Although this is the first time the ASQ will administer the NQDW Seven-Month Follow-up, we estimate the burden of seven minutes should remain consistent with the English language survey since we are using the same questionnaire.  NQDW ASQ Seven-Month </w:t>
      </w:r>
      <w:r w:rsidR="005757BD" w:rsidRPr="009740B8">
        <w:rPr>
          <w:rFonts w:eastAsia="Calibri"/>
        </w:rPr>
        <w:t xml:space="preserve">Follow-up </w:t>
      </w:r>
      <w:r w:rsidR="005757BD">
        <w:rPr>
          <w:rFonts w:eastAsia="Calibri"/>
        </w:rPr>
        <w:t xml:space="preserve">Questionnaire </w:t>
      </w:r>
      <w:r w:rsidR="005757BD" w:rsidRPr="009740B8">
        <w:rPr>
          <w:rFonts w:eastAsia="Calibri"/>
        </w:rPr>
        <w:t xml:space="preserve">interviews are collected primarily by telephone, including but not limited to Computer Assisted Telephone Interviews (CATI).  </w:t>
      </w:r>
      <w:r>
        <w:rPr>
          <w:rFonts w:eastAsia="Calibri"/>
        </w:rPr>
        <w:t>The</w:t>
      </w:r>
      <w:r w:rsidR="00AE3D3B">
        <w:rPr>
          <w:rFonts w:eastAsia="Calibri"/>
        </w:rPr>
        <w:t xml:space="preserve"> ASQ is the only service provider that will submit</w:t>
      </w:r>
      <w:r>
        <w:rPr>
          <w:rFonts w:eastAsia="Calibri"/>
        </w:rPr>
        <w:t xml:space="preserve"> 7-Month Follow-up </w:t>
      </w:r>
      <w:r w:rsidR="00AE3D3B">
        <w:rPr>
          <w:rFonts w:eastAsia="Calibri"/>
        </w:rPr>
        <w:t>i</w:t>
      </w:r>
      <w:r w:rsidR="003520D7">
        <w:rPr>
          <w:rFonts w:eastAsia="Calibri"/>
        </w:rPr>
        <w:t>nformation to CDC.</w:t>
      </w:r>
      <w:r w:rsidR="00031E52">
        <w:rPr>
          <w:rFonts w:eastAsia="Calibri"/>
        </w:rPr>
        <w:t xml:space="preserve">  An estimated </w:t>
      </w:r>
      <w:r w:rsidR="008160B2">
        <w:rPr>
          <w:rFonts w:eastAsia="Calibri"/>
        </w:rPr>
        <w:t>1,587</w:t>
      </w:r>
      <w:r w:rsidR="00031E52">
        <w:rPr>
          <w:rFonts w:eastAsia="Calibri"/>
        </w:rPr>
        <w:t xml:space="preserve"> tobacco users who called the ASQ for themselves and received services will complete the NQDW Seven-Month Follow-up Questionnaire. We are assuming that all of the estimated </w:t>
      </w:r>
      <w:r w:rsidR="009B7456">
        <w:rPr>
          <w:rFonts w:eastAsia="Calibri"/>
        </w:rPr>
        <w:t>1,935</w:t>
      </w:r>
      <w:r w:rsidR="00031E52">
        <w:rPr>
          <w:rFonts w:eastAsia="Calibri"/>
        </w:rPr>
        <w:t xml:space="preserve"> tobacco users annually who call the ASQ for themselves and receive services from the ASQ will be recontacted and that the survey will have a response rate similar to the response rate of 82% for the Asian Smokers’ Quitline (ASQ) published by </w:t>
      </w:r>
      <w:r w:rsidR="00031E52" w:rsidRPr="008160B2">
        <w:rPr>
          <w:rFonts w:eastAsia="Calibri"/>
        </w:rPr>
        <w:t>Cummins et al. in 2015 (</w:t>
      </w:r>
      <w:r w:rsidR="008160B2" w:rsidRPr="008160B2">
        <w:rPr>
          <w:rFonts w:eastAsia="Calibri"/>
        </w:rPr>
        <w:t>1,935</w:t>
      </w:r>
      <w:r w:rsidR="00031E52" w:rsidRPr="008160B2">
        <w:rPr>
          <w:rFonts w:eastAsia="Calibri"/>
        </w:rPr>
        <w:t xml:space="preserve"> x 82% = </w:t>
      </w:r>
      <w:r w:rsidR="008160B2" w:rsidRPr="008160B2">
        <w:rPr>
          <w:rFonts w:eastAsia="Calibri"/>
        </w:rPr>
        <w:t>1,587</w:t>
      </w:r>
      <w:r w:rsidR="00031E52" w:rsidRPr="008160B2">
        <w:rPr>
          <w:rFonts w:eastAsia="Calibri"/>
        </w:rPr>
        <w:t>).</w:t>
      </w:r>
    </w:p>
    <w:p w:rsidR="001A6989" w:rsidRDefault="00265648" w:rsidP="00492B1B">
      <w:pPr>
        <w:spacing w:after="120"/>
        <w:ind w:firstLine="720"/>
        <w:rPr>
          <w:rFonts w:eastAsia="Calibri"/>
        </w:rPr>
      </w:pPr>
      <w:r>
        <w:rPr>
          <w:rFonts w:eastAsia="Calibri"/>
        </w:rPr>
        <w:t xml:space="preserve">The </w:t>
      </w:r>
      <w:r>
        <w:t>NQDW Quit</w:t>
      </w:r>
      <w:r w:rsidR="00C500C1">
        <w:t>line Services Survey (Appendix C</w:t>
      </w:r>
      <w:r>
        <w:t>) will be admin</w:t>
      </w:r>
      <w:r w:rsidR="00205BB6">
        <w:t>i</w:t>
      </w:r>
      <w:r>
        <w:t>st</w:t>
      </w:r>
      <w:r w:rsidR="00205BB6">
        <w:t>er</w:t>
      </w:r>
      <w:r>
        <w:t xml:space="preserve">ed </w:t>
      </w:r>
      <w:r w:rsidR="00205BB6">
        <w:t xml:space="preserve">4 times per year </w:t>
      </w:r>
      <w:r>
        <w:t>to state health department personnel (e.g., state tobacco control managers, state cessation coordinators, state quitline managers – not private quitline service providers) or their designee, which might include quitline service providers such as the ASQ, in the 50 states, the District of Columbia, Guam, Puerto Rico, and for the Asian Smokers’ Quitline</w:t>
      </w:r>
      <w:r w:rsidRPr="00D657EF">
        <w:t>.</w:t>
      </w:r>
      <w:r>
        <w:t xml:space="preserve"> </w:t>
      </w:r>
    </w:p>
    <w:p w:rsidR="00492B1B" w:rsidRDefault="00492B1B" w:rsidP="00492B1B">
      <w:pPr>
        <w:spacing w:after="120"/>
        <w:ind w:firstLine="720"/>
        <w:rPr>
          <w:rFonts w:eastAsia="Calibri"/>
        </w:rPr>
      </w:pPr>
      <w:r>
        <w:rPr>
          <w:rFonts w:eastAsia="Calibri"/>
        </w:rPr>
        <w:t xml:space="preserve">On a quarterly basis, the state tobacco control program manager or their designee such as quitline service provider like the ASQ, </w:t>
      </w:r>
      <w:r w:rsidR="00E72904">
        <w:rPr>
          <w:rFonts w:eastAsia="Calibri"/>
        </w:rPr>
        <w:t>is responsible for</w:t>
      </w:r>
      <w:r>
        <w:rPr>
          <w:rFonts w:eastAsia="Calibri"/>
        </w:rPr>
        <w:t xml:space="preserve"> provid</w:t>
      </w:r>
      <w:r w:rsidR="00E72904">
        <w:rPr>
          <w:rFonts w:eastAsia="Calibri"/>
        </w:rPr>
        <w:t>ing</w:t>
      </w:r>
      <w:r>
        <w:rPr>
          <w:rFonts w:eastAsia="Calibri"/>
        </w:rPr>
        <w:t xml:space="preserve"> CDC with a</w:t>
      </w:r>
      <w:r w:rsidR="00E72904">
        <w:rPr>
          <w:rFonts w:eastAsia="Calibri"/>
        </w:rPr>
        <w:t xml:space="preserve"> de-identified</w:t>
      </w:r>
      <w:r>
        <w:rPr>
          <w:rFonts w:eastAsia="Calibri"/>
        </w:rPr>
        <w:t xml:space="preserve"> electronic data file containing data records for individuals who completed the NQDW Intake Questionnaire. </w:t>
      </w:r>
      <w:r w:rsidR="00E72904">
        <w:rPr>
          <w:rFonts w:eastAsia="Calibri"/>
        </w:rPr>
        <w:t>In addition to the burden per respondent for completing the NQDW Intake Questionnaire, we also estimated and report the burden for creating electronic data files and submitting those to the NQDW. T</w:t>
      </w:r>
      <w:r w:rsidRPr="009740B8">
        <w:rPr>
          <w:rFonts w:eastAsia="Calibri"/>
        </w:rPr>
        <w:t xml:space="preserve">he burden for </w:t>
      </w:r>
      <w:r>
        <w:rPr>
          <w:rFonts w:eastAsia="Calibri"/>
        </w:rPr>
        <w:t xml:space="preserve">preparing and </w:t>
      </w:r>
      <w:r w:rsidRPr="009740B8">
        <w:rPr>
          <w:rFonts w:eastAsia="Calibri"/>
        </w:rPr>
        <w:t xml:space="preserve">submitting </w:t>
      </w:r>
      <w:r>
        <w:rPr>
          <w:rFonts w:eastAsia="Calibri"/>
        </w:rPr>
        <w:t xml:space="preserve">the electronic data file for the NQDW Intake Questionnaire, either by uploading the electronic data file to CDC’s secure NQDW FTP server or saving the electronic data file to a CD/DVD and mailing it to CDC, has been estimated as 1 hour per electronic data file submitted (4 </w:t>
      </w:r>
      <w:r w:rsidR="003868A1">
        <w:rPr>
          <w:rFonts w:eastAsia="Calibri"/>
        </w:rPr>
        <w:t xml:space="preserve">times </w:t>
      </w:r>
      <w:r>
        <w:rPr>
          <w:rFonts w:eastAsia="Calibri"/>
        </w:rPr>
        <w:t>per year).</w:t>
      </w:r>
    </w:p>
    <w:p w:rsidR="00E72904" w:rsidRDefault="00E72904" w:rsidP="00E72904">
      <w:pPr>
        <w:spacing w:after="120"/>
        <w:ind w:firstLine="720"/>
        <w:rPr>
          <w:rFonts w:eastAsia="Calibri"/>
        </w:rPr>
      </w:pPr>
      <w:r>
        <w:rPr>
          <w:rFonts w:eastAsia="Calibri"/>
        </w:rPr>
        <w:t xml:space="preserve">On an annual basis, a representative from the ASQ is responsible for providing CDC with an electronic data file containing de-identified data records for individuals who completed the NQDW </w:t>
      </w:r>
      <w:r w:rsidR="003868A1">
        <w:rPr>
          <w:rFonts w:eastAsia="Calibri"/>
        </w:rPr>
        <w:t xml:space="preserve">ASQ </w:t>
      </w:r>
      <w:r>
        <w:rPr>
          <w:rFonts w:eastAsia="Calibri"/>
        </w:rPr>
        <w:t xml:space="preserve">Seven-Month Follow-up Questionnaire. </w:t>
      </w:r>
      <w:r>
        <w:rPr>
          <w:rFonts w:eastAsia="Calibri"/>
          <w:color w:val="000000"/>
        </w:rPr>
        <w:t xml:space="preserve">These electronic data files are </w:t>
      </w:r>
      <w:r w:rsidRPr="002904D7">
        <w:rPr>
          <w:rFonts w:eastAsia="Calibri"/>
          <w:color w:val="000000"/>
        </w:rPr>
        <w:t xml:space="preserve">compiled from the </w:t>
      </w:r>
      <w:r>
        <w:rPr>
          <w:rFonts w:eastAsia="Calibri"/>
          <w:color w:val="000000"/>
        </w:rPr>
        <w:t>ASQ’s</w:t>
      </w:r>
      <w:r w:rsidRPr="002904D7">
        <w:rPr>
          <w:rFonts w:eastAsia="Calibri"/>
          <w:color w:val="000000"/>
        </w:rPr>
        <w:t xml:space="preserve"> quitline data system, which is supported by state funding sources supplemented by cooperative </w:t>
      </w:r>
      <w:r>
        <w:rPr>
          <w:rFonts w:eastAsia="Calibri"/>
          <w:color w:val="000000"/>
        </w:rPr>
        <w:t xml:space="preserve">agreement assistance from CDC. </w:t>
      </w:r>
      <w:r>
        <w:rPr>
          <w:rFonts w:eastAsia="Calibri"/>
        </w:rPr>
        <w:t xml:space="preserve">In addition to the burden per respondent for completing the NQDW </w:t>
      </w:r>
      <w:r w:rsidR="003868A1">
        <w:rPr>
          <w:rFonts w:eastAsia="Calibri"/>
        </w:rPr>
        <w:t xml:space="preserve">ASQ </w:t>
      </w:r>
      <w:r>
        <w:rPr>
          <w:rFonts w:eastAsia="Calibri"/>
        </w:rPr>
        <w:t>Seven-Month Follow-up Questionnaire, we also estimated and report the burden for creating electronic data files and submitting those to the NQDW. T</w:t>
      </w:r>
      <w:r w:rsidRPr="009740B8">
        <w:rPr>
          <w:rFonts w:eastAsia="Calibri"/>
        </w:rPr>
        <w:t xml:space="preserve">he burden for </w:t>
      </w:r>
      <w:r>
        <w:rPr>
          <w:rFonts w:eastAsia="Calibri"/>
        </w:rPr>
        <w:t xml:space="preserve">preparing and </w:t>
      </w:r>
      <w:r w:rsidRPr="009740B8">
        <w:rPr>
          <w:rFonts w:eastAsia="Calibri"/>
        </w:rPr>
        <w:t xml:space="preserve">submitting </w:t>
      </w:r>
      <w:r>
        <w:rPr>
          <w:rFonts w:eastAsia="Calibri"/>
        </w:rPr>
        <w:t xml:space="preserve">the electronic data file for the NQDW </w:t>
      </w:r>
      <w:r w:rsidR="003868A1">
        <w:rPr>
          <w:rFonts w:eastAsia="Calibri"/>
        </w:rPr>
        <w:t xml:space="preserve">ASQ </w:t>
      </w:r>
      <w:r>
        <w:rPr>
          <w:rFonts w:eastAsia="Calibri"/>
        </w:rPr>
        <w:t>Seven-Month Follow-up Questionnaire, either by uploading the electronic data file to CDC’s secure NQDW FTP server or saving the electronic data file to a CD/DVD and mailing it to CDC, has been estimated as 1 hour per electronic data file submitted (1 hour per year).</w:t>
      </w:r>
    </w:p>
    <w:p w:rsidR="00C06BA9" w:rsidRPr="00C06BA9" w:rsidRDefault="00E72904" w:rsidP="004F7B18">
      <w:pPr>
        <w:spacing w:after="120"/>
        <w:ind w:right="-187" w:firstLine="720"/>
        <w:rPr>
          <w:rFonts w:eastAsia="Calibri"/>
          <w:color w:val="000000"/>
        </w:rPr>
      </w:pPr>
      <w:r w:rsidRPr="00C06BA9">
        <w:rPr>
          <w:rFonts w:eastAsia="Calibri"/>
          <w:color w:val="000000"/>
        </w:rPr>
        <w:t>Th</w:t>
      </w:r>
      <w:r>
        <w:rPr>
          <w:rFonts w:eastAsia="Calibri"/>
          <w:color w:val="000000"/>
        </w:rPr>
        <w:t>e NQDW Quitline Services S</w:t>
      </w:r>
      <w:r w:rsidRPr="00C06BA9">
        <w:rPr>
          <w:rFonts w:eastAsia="Calibri"/>
          <w:color w:val="000000"/>
        </w:rPr>
        <w:t>urvey</w:t>
      </w:r>
      <w:r w:rsidR="00C500C1">
        <w:rPr>
          <w:rFonts w:eastAsia="Calibri"/>
          <w:color w:val="000000"/>
        </w:rPr>
        <w:t xml:space="preserve"> (Appendix C</w:t>
      </w:r>
      <w:r>
        <w:rPr>
          <w:rFonts w:eastAsia="Calibri"/>
          <w:color w:val="000000"/>
        </w:rPr>
        <w:t>)</w:t>
      </w:r>
      <w:r w:rsidRPr="00C06BA9">
        <w:rPr>
          <w:rFonts w:eastAsia="Calibri"/>
          <w:color w:val="000000"/>
        </w:rPr>
        <w:t xml:space="preserve"> collects aggregate information, on a quarterly schedule, about the </w:t>
      </w:r>
      <w:r w:rsidR="00B64F28">
        <w:rPr>
          <w:rFonts w:eastAsia="Calibri"/>
          <w:color w:val="000000"/>
        </w:rPr>
        <w:t xml:space="preserve">services offered by the </w:t>
      </w:r>
      <w:r w:rsidRPr="00C06BA9">
        <w:rPr>
          <w:rFonts w:eastAsia="Calibri"/>
          <w:color w:val="000000"/>
        </w:rPr>
        <w:t>state quitline</w:t>
      </w:r>
      <w:r w:rsidR="00B64F28">
        <w:rPr>
          <w:rFonts w:eastAsia="Calibri"/>
          <w:color w:val="000000"/>
        </w:rPr>
        <w:t>,</w:t>
      </w:r>
      <w:r w:rsidRPr="00C06BA9">
        <w:rPr>
          <w:rFonts w:eastAsia="Calibri"/>
          <w:color w:val="000000"/>
        </w:rPr>
        <w:t xml:space="preserve"> rather than individual-level information</w:t>
      </w:r>
      <w:r>
        <w:rPr>
          <w:rFonts w:eastAsia="Calibri"/>
          <w:color w:val="000000"/>
        </w:rPr>
        <w:t xml:space="preserve"> from tobacco users receiving services from quitlines. CDC will request that the 50 U.S. states, the District of Columbia, Guam, Puerto Rico, and the Asian Smokers’ Quitline (ASQ) complete the survey each quarter, for a total number of 54 respondents per quarter. </w:t>
      </w:r>
      <w:r w:rsidR="009D5E83" w:rsidRPr="009A73F8">
        <w:t xml:space="preserve">The NQDW Quitline Services Survey instruments are state-specific fillable form-style Microsoft Word documents that CDC prepares each quarter for states to complete. The survey consists of 17 questions, and the electronic form for the survey includes drop-down boxes, data entry fields, and checkboxes to help reduce data entry errors. The first part of the survey (questions 1-7) consists of collecting respondent contact information and survey questions regarding the state’s quitline call volume, number of tobacco users served by the quitline, types of referral systems utilized by the state quitline, and number of referrals received by the quitline. The second part of the survey (questions 8-17) consists of questions regarding the services offered by the state’s quitline: </w:t>
      </w:r>
      <w:r w:rsidR="009D5E83">
        <w:t xml:space="preserve">(a) the name of the state’s quitline; (b) the phone numbers used by the state’s quitline; </w:t>
      </w:r>
      <w:r w:rsidR="009D5E83" w:rsidRPr="009A73F8">
        <w:t>(</w:t>
      </w:r>
      <w:r w:rsidR="009D5E83">
        <w:t>c</w:t>
      </w:r>
      <w:r w:rsidR="009D5E83" w:rsidRPr="009A73F8">
        <w:t>) the quitline’s hours of operation; (</w:t>
      </w:r>
      <w:r w:rsidR="009D5E83">
        <w:t>d</w:t>
      </w:r>
      <w:r w:rsidR="009D5E83" w:rsidRPr="009A73F8">
        <w:t>) available counseling languages offered by the quitline; (</w:t>
      </w:r>
      <w:r w:rsidR="009D5E83">
        <w:t>e</w:t>
      </w:r>
      <w:r w:rsidR="009D5E83" w:rsidRPr="009A73F8">
        <w:t>) eligibility criteria for receiving counseling from the quitline; (</w:t>
      </w:r>
      <w:r w:rsidR="009D5E83">
        <w:t>f</w:t>
      </w:r>
      <w:r w:rsidR="009D5E83" w:rsidRPr="009A73F8">
        <w:t xml:space="preserve">) </w:t>
      </w:r>
      <w:r w:rsidR="00B64F28">
        <w:t xml:space="preserve">the </w:t>
      </w:r>
      <w:r w:rsidR="009D5E83" w:rsidRPr="009A73F8">
        <w:t>amount of counseling offered by the quitline; (</w:t>
      </w:r>
      <w:r w:rsidR="009D5E83">
        <w:t>g</w:t>
      </w:r>
      <w:r w:rsidR="009D5E83" w:rsidRPr="009A73F8">
        <w:t>) free quitting medications that are offered by the quitline; (</w:t>
      </w:r>
      <w:r w:rsidR="009D5E83">
        <w:t>h</w:t>
      </w:r>
      <w:r w:rsidR="009D5E83" w:rsidRPr="009A73F8">
        <w:t>) eligibility criteria to receive free quitting medications from the quitline, and; (</w:t>
      </w:r>
      <w:r w:rsidR="009D5E83">
        <w:t>i</w:t>
      </w:r>
      <w:r w:rsidR="009D5E83" w:rsidRPr="009A73F8">
        <w:t xml:space="preserve">) the amount of free quitting medications offered by the quitline. Quitline services offered do not typically change much from quarter to quarter for a given state, and </w:t>
      </w:r>
      <w:r w:rsidR="00B64F28">
        <w:t xml:space="preserve">consequently, </w:t>
      </w:r>
      <w:r w:rsidR="009D5E83" w:rsidRPr="009A73F8">
        <w:t xml:space="preserve">responses to these questions tend to </w:t>
      </w:r>
      <w:r w:rsidR="00B64F28">
        <w:t>remain the</w:t>
      </w:r>
      <w:r w:rsidR="009D5E83" w:rsidRPr="009A73F8">
        <w:t xml:space="preserve"> same. To reduce burden on survey respondents, CDC pre-populates the responses to questions 8-17 with the information the state reported for the previous quarter. States are asked to review their previous responses to those questions and make edits if there were any changes in the services being offered by the quitline since the last time the state responded to the survey. </w:t>
      </w:r>
      <w:r w:rsidR="00C06BA9" w:rsidRPr="00C06BA9">
        <w:rPr>
          <w:rFonts w:eastAsia="Calibri"/>
          <w:color w:val="000000"/>
        </w:rPr>
        <w:t xml:space="preserve">The estimated burden per response is </w:t>
      </w:r>
      <w:r w:rsidR="009D5E83">
        <w:rPr>
          <w:rFonts w:eastAsia="Calibri"/>
          <w:color w:val="000000"/>
        </w:rPr>
        <w:t xml:space="preserve">20 minutes and is </w:t>
      </w:r>
      <w:r w:rsidR="00C06BA9" w:rsidRPr="00C06BA9">
        <w:rPr>
          <w:rFonts w:eastAsia="Calibri"/>
          <w:color w:val="000000"/>
        </w:rPr>
        <w:t xml:space="preserve">based on </w:t>
      </w:r>
      <w:r w:rsidR="009D5E83">
        <w:rPr>
          <w:rFonts w:eastAsia="Calibri"/>
          <w:color w:val="000000"/>
        </w:rPr>
        <w:t>states’</w:t>
      </w:r>
      <w:r w:rsidR="00C06BA9" w:rsidRPr="00C06BA9">
        <w:rPr>
          <w:rFonts w:eastAsia="Calibri"/>
          <w:color w:val="000000"/>
        </w:rPr>
        <w:t xml:space="preserve"> experience</w:t>
      </w:r>
      <w:r w:rsidR="009D5E83">
        <w:rPr>
          <w:rFonts w:eastAsia="Calibri"/>
          <w:color w:val="000000"/>
        </w:rPr>
        <w:t>s completing these survey forms over the past five years</w:t>
      </w:r>
      <w:r w:rsidR="00C06BA9" w:rsidRPr="00C06BA9">
        <w:rPr>
          <w:rFonts w:eastAsia="Calibri"/>
          <w:color w:val="000000"/>
        </w:rPr>
        <w:t>.</w:t>
      </w:r>
      <w:r w:rsidR="00C27DB6">
        <w:rPr>
          <w:rFonts w:eastAsia="Calibri"/>
          <w:color w:val="000000"/>
        </w:rPr>
        <w:t xml:space="preserve"> </w:t>
      </w:r>
    </w:p>
    <w:p w:rsidR="00C06BA9" w:rsidRDefault="00C06BA9" w:rsidP="004F7B18">
      <w:pPr>
        <w:spacing w:after="120"/>
        <w:ind w:firstLine="720"/>
        <w:rPr>
          <w:rFonts w:eastAsia="Calibri"/>
        </w:rPr>
      </w:pPr>
      <w:r w:rsidRPr="00C06BA9">
        <w:rPr>
          <w:rFonts w:eastAsia="Calibri"/>
        </w:rPr>
        <w:t xml:space="preserve">The total estimated annualized burden to respondents is </w:t>
      </w:r>
      <w:r w:rsidR="0045615C">
        <w:rPr>
          <w:rFonts w:eastAsia="Calibri"/>
        </w:rPr>
        <w:t>82,477</w:t>
      </w:r>
      <w:r w:rsidR="00CA097E">
        <w:rPr>
          <w:rFonts w:eastAsia="Calibri"/>
        </w:rPr>
        <w:t xml:space="preserve"> </w:t>
      </w:r>
      <w:r w:rsidRPr="00C06BA9">
        <w:rPr>
          <w:rFonts w:eastAsia="Calibri"/>
        </w:rPr>
        <w:t xml:space="preserve">hours.  </w:t>
      </w:r>
    </w:p>
    <w:p w:rsidR="00B24A21" w:rsidRDefault="00B24A21" w:rsidP="004F7B18">
      <w:pPr>
        <w:spacing w:after="120"/>
        <w:ind w:firstLine="720"/>
        <w:rPr>
          <w:rFonts w:eastAsia="Calibri"/>
        </w:rPr>
      </w:pPr>
    </w:p>
    <w:p w:rsidR="00B24A21" w:rsidRDefault="00B24A21" w:rsidP="00B24A21">
      <w:pPr>
        <w:rPr>
          <w:b/>
          <w:color w:val="000000"/>
        </w:rPr>
      </w:pPr>
      <w:r w:rsidRPr="00EE3B48">
        <w:rPr>
          <w:b/>
        </w:rPr>
        <w:t>Table A.12.a.</w:t>
      </w:r>
      <w:r w:rsidRPr="00EE3B48">
        <w:rPr>
          <w:b/>
          <w:color w:val="000000"/>
        </w:rPr>
        <w:t xml:space="preserve"> Estimated Annualized Burden Hours</w:t>
      </w:r>
    </w:p>
    <w:p w:rsidR="000530E6" w:rsidRDefault="000530E6" w:rsidP="00F87B80">
      <w:pPr>
        <w:spacing w:after="120"/>
        <w:rPr>
          <w:rFonts w:eastAsia="Calibri"/>
        </w:rPr>
      </w:pPr>
    </w:p>
    <w:tbl>
      <w:tblPr>
        <w:tblW w:w="9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1998"/>
        <w:gridCol w:w="2222"/>
        <w:gridCol w:w="1440"/>
        <w:gridCol w:w="1260"/>
        <w:gridCol w:w="1350"/>
        <w:gridCol w:w="1018"/>
      </w:tblGrid>
      <w:tr w:rsidR="000530E6" w:rsidRPr="00C175E3" w:rsidTr="0050002C">
        <w:tc>
          <w:tcPr>
            <w:tcW w:w="1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0530E6" w:rsidRPr="0050002C" w:rsidRDefault="000530E6" w:rsidP="00C3333C">
            <w:pPr>
              <w:autoSpaceDE w:val="0"/>
              <w:autoSpaceDN w:val="0"/>
              <w:spacing w:before="120" w:after="120"/>
              <w:jc w:val="center"/>
              <w:rPr>
                <w:rFonts w:eastAsia="Calibri"/>
                <w:sz w:val="22"/>
                <w:szCs w:val="22"/>
              </w:rPr>
            </w:pPr>
            <w:r w:rsidRPr="0050002C">
              <w:rPr>
                <w:rFonts w:eastAsia="Calibri"/>
                <w:sz w:val="22"/>
                <w:szCs w:val="22"/>
              </w:rPr>
              <w:t>Type of respondent</w:t>
            </w:r>
          </w:p>
        </w:tc>
        <w:tc>
          <w:tcPr>
            <w:tcW w:w="2222" w:type="dxa"/>
            <w:tcBorders>
              <w:top w:val="single" w:sz="8" w:space="0" w:color="000000"/>
              <w:left w:val="single" w:sz="8" w:space="0" w:color="000000"/>
              <w:bottom w:val="single" w:sz="8" w:space="0" w:color="000000"/>
              <w:right w:val="single" w:sz="8" w:space="0" w:color="000000"/>
            </w:tcBorders>
            <w:vAlign w:val="bottom"/>
            <w:hideMark/>
          </w:tcPr>
          <w:p w:rsidR="000530E6" w:rsidRPr="0050002C" w:rsidRDefault="000530E6" w:rsidP="00C3333C">
            <w:pPr>
              <w:autoSpaceDE w:val="0"/>
              <w:autoSpaceDN w:val="0"/>
              <w:spacing w:before="120" w:after="120"/>
              <w:jc w:val="center"/>
              <w:rPr>
                <w:rFonts w:eastAsia="Calibri"/>
                <w:sz w:val="22"/>
                <w:szCs w:val="22"/>
              </w:rPr>
            </w:pPr>
            <w:r w:rsidRPr="0050002C">
              <w:rPr>
                <w:rFonts w:eastAsia="Calibri"/>
                <w:sz w:val="22"/>
                <w:szCs w:val="22"/>
              </w:rPr>
              <w:t>Form Name</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0530E6" w:rsidRPr="0050002C" w:rsidRDefault="00767C29" w:rsidP="00767C29">
            <w:pPr>
              <w:autoSpaceDE w:val="0"/>
              <w:autoSpaceDN w:val="0"/>
              <w:spacing w:before="120" w:after="120"/>
              <w:jc w:val="center"/>
              <w:rPr>
                <w:rFonts w:eastAsia="Calibri"/>
                <w:sz w:val="22"/>
                <w:szCs w:val="22"/>
              </w:rPr>
            </w:pPr>
            <w:r w:rsidRPr="0050002C">
              <w:rPr>
                <w:rFonts w:eastAsia="Calibri"/>
                <w:sz w:val="22"/>
                <w:szCs w:val="22"/>
              </w:rPr>
              <w:t xml:space="preserve">Number of </w:t>
            </w:r>
            <w:r w:rsidR="000530E6" w:rsidRPr="0050002C">
              <w:rPr>
                <w:rFonts w:eastAsia="Calibri"/>
                <w:sz w:val="22"/>
                <w:szCs w:val="22"/>
              </w:rPr>
              <w:t>respondents</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0530E6" w:rsidRPr="0050002C" w:rsidRDefault="00767C29" w:rsidP="00767C29">
            <w:pPr>
              <w:autoSpaceDE w:val="0"/>
              <w:autoSpaceDN w:val="0"/>
              <w:spacing w:before="120" w:after="120"/>
              <w:jc w:val="center"/>
              <w:rPr>
                <w:rFonts w:eastAsia="Calibri"/>
                <w:sz w:val="22"/>
                <w:szCs w:val="22"/>
              </w:rPr>
            </w:pPr>
            <w:r w:rsidRPr="0050002C">
              <w:rPr>
                <w:rFonts w:eastAsia="Calibri"/>
                <w:sz w:val="22"/>
                <w:szCs w:val="22"/>
              </w:rPr>
              <w:t xml:space="preserve">Number of </w:t>
            </w:r>
            <w:r w:rsidR="000530E6" w:rsidRPr="0050002C">
              <w:rPr>
                <w:rFonts w:eastAsia="Calibri"/>
                <w:sz w:val="22"/>
                <w:szCs w:val="22"/>
              </w:rPr>
              <w:t>responses per</w:t>
            </w:r>
            <w:r w:rsidRPr="0050002C">
              <w:rPr>
                <w:rFonts w:eastAsia="Calibri"/>
                <w:sz w:val="22"/>
                <w:szCs w:val="22"/>
              </w:rPr>
              <w:t xml:space="preserve"> </w:t>
            </w:r>
            <w:r w:rsidR="000530E6" w:rsidRPr="0050002C">
              <w:rPr>
                <w:rFonts w:eastAsia="Calibri"/>
                <w:sz w:val="22"/>
                <w:szCs w:val="22"/>
              </w:rPr>
              <w:t>respondent</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0530E6" w:rsidRPr="0050002C" w:rsidRDefault="000530E6" w:rsidP="00767C29">
            <w:pPr>
              <w:autoSpaceDE w:val="0"/>
              <w:autoSpaceDN w:val="0"/>
              <w:spacing w:before="120" w:after="120"/>
              <w:jc w:val="center"/>
              <w:rPr>
                <w:rFonts w:eastAsia="Calibri"/>
                <w:sz w:val="22"/>
                <w:szCs w:val="22"/>
              </w:rPr>
            </w:pPr>
            <w:r w:rsidRPr="0050002C">
              <w:rPr>
                <w:rFonts w:eastAsia="Calibri"/>
                <w:sz w:val="22"/>
                <w:szCs w:val="22"/>
              </w:rPr>
              <w:t>Avera</w:t>
            </w:r>
            <w:r w:rsidR="00767C29" w:rsidRPr="0050002C">
              <w:rPr>
                <w:rFonts w:eastAsia="Calibri"/>
                <w:sz w:val="22"/>
                <w:szCs w:val="22"/>
              </w:rPr>
              <w:t xml:space="preserve">ge </w:t>
            </w:r>
            <w:r w:rsidRPr="0050002C">
              <w:rPr>
                <w:rFonts w:eastAsia="Calibri"/>
                <w:sz w:val="22"/>
                <w:szCs w:val="22"/>
              </w:rPr>
              <w:t>burden per</w:t>
            </w:r>
            <w:r w:rsidR="00767C29" w:rsidRPr="0050002C">
              <w:rPr>
                <w:rFonts w:eastAsia="Calibri"/>
                <w:sz w:val="22"/>
                <w:szCs w:val="22"/>
              </w:rPr>
              <w:t xml:space="preserve"> </w:t>
            </w:r>
            <w:r w:rsidRPr="0050002C">
              <w:rPr>
                <w:rFonts w:eastAsia="Calibri"/>
                <w:sz w:val="22"/>
                <w:szCs w:val="22"/>
              </w:rPr>
              <w:t>respondent</w:t>
            </w:r>
            <w:r w:rsidR="00767C29" w:rsidRPr="0050002C">
              <w:rPr>
                <w:rFonts w:eastAsia="Calibri"/>
                <w:sz w:val="22"/>
                <w:szCs w:val="22"/>
              </w:rPr>
              <w:t xml:space="preserve"> </w:t>
            </w:r>
            <w:r w:rsidRPr="0050002C">
              <w:rPr>
                <w:rFonts w:eastAsia="Calibri"/>
                <w:sz w:val="22"/>
                <w:szCs w:val="22"/>
              </w:rPr>
              <w:t>(in hours)</w:t>
            </w: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0530E6" w:rsidRPr="0050002C" w:rsidRDefault="000530E6" w:rsidP="00767C29">
            <w:pPr>
              <w:autoSpaceDE w:val="0"/>
              <w:autoSpaceDN w:val="0"/>
              <w:spacing w:before="120" w:after="120"/>
              <w:jc w:val="center"/>
              <w:rPr>
                <w:rFonts w:eastAsia="Calibri"/>
                <w:sz w:val="22"/>
                <w:szCs w:val="22"/>
              </w:rPr>
            </w:pPr>
            <w:r w:rsidRPr="0050002C">
              <w:rPr>
                <w:rFonts w:eastAsia="Calibri"/>
                <w:sz w:val="22"/>
                <w:szCs w:val="22"/>
              </w:rPr>
              <w:t>Total burden (in hours)</w:t>
            </w:r>
          </w:p>
        </w:tc>
      </w:tr>
      <w:tr w:rsidR="00C3333C" w:rsidRPr="00C175E3" w:rsidTr="0050002C">
        <w:tc>
          <w:tcPr>
            <w:tcW w:w="1998"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C3333C" w:rsidRPr="0050002C" w:rsidRDefault="00C3333C" w:rsidP="000F3853">
            <w:pPr>
              <w:autoSpaceDE w:val="0"/>
              <w:autoSpaceDN w:val="0"/>
              <w:spacing w:before="120" w:after="120"/>
              <w:rPr>
                <w:rFonts w:eastAsia="Calibri"/>
                <w:sz w:val="22"/>
                <w:szCs w:val="22"/>
              </w:rPr>
            </w:pPr>
            <w:r w:rsidRPr="0050002C">
              <w:rPr>
                <w:rFonts w:eastAsia="Calibri"/>
                <w:sz w:val="22"/>
                <w:szCs w:val="22"/>
              </w:rPr>
              <w:t>Quitline callers who contact the quitline for help for themselves</w:t>
            </w:r>
          </w:p>
        </w:tc>
        <w:tc>
          <w:tcPr>
            <w:tcW w:w="2222" w:type="dxa"/>
            <w:tcBorders>
              <w:top w:val="single" w:sz="8" w:space="0" w:color="000000"/>
              <w:left w:val="single" w:sz="8" w:space="0" w:color="000000"/>
              <w:right w:val="single" w:sz="8" w:space="0" w:color="000000"/>
            </w:tcBorders>
          </w:tcPr>
          <w:p w:rsidR="00C3333C" w:rsidRPr="0050002C" w:rsidRDefault="00C3333C" w:rsidP="000F3853">
            <w:pPr>
              <w:autoSpaceDE w:val="0"/>
              <w:autoSpaceDN w:val="0"/>
              <w:spacing w:before="120" w:after="120"/>
              <w:ind w:left="90" w:right="90"/>
              <w:rPr>
                <w:rFonts w:eastAsia="Calibri"/>
                <w:sz w:val="22"/>
                <w:szCs w:val="22"/>
              </w:rPr>
            </w:pPr>
            <w:r w:rsidRPr="0050002C">
              <w:rPr>
                <w:rFonts w:eastAsia="Calibri"/>
                <w:sz w:val="22"/>
                <w:szCs w:val="22"/>
              </w:rPr>
              <w:t>NQDW Intake Questionnaire (English-complete)</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333C" w:rsidRPr="0050002C" w:rsidRDefault="00C0793B" w:rsidP="00767C29">
            <w:pPr>
              <w:autoSpaceDE w:val="0"/>
              <w:autoSpaceDN w:val="0"/>
              <w:spacing w:before="120" w:after="120"/>
              <w:jc w:val="right"/>
              <w:rPr>
                <w:rFonts w:eastAsia="Calibri"/>
                <w:sz w:val="22"/>
                <w:szCs w:val="22"/>
              </w:rPr>
            </w:pPr>
            <w:r>
              <w:rPr>
                <w:rFonts w:eastAsia="Calibri"/>
                <w:sz w:val="22"/>
                <w:szCs w:val="22"/>
              </w:rPr>
              <w:t>488,846</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333C" w:rsidRPr="0050002C" w:rsidRDefault="00C3333C" w:rsidP="000F3853">
            <w:pPr>
              <w:autoSpaceDE w:val="0"/>
              <w:autoSpaceDN w:val="0"/>
              <w:spacing w:before="120" w:after="120"/>
              <w:jc w:val="center"/>
              <w:rPr>
                <w:rFonts w:eastAsia="Calibri"/>
                <w:sz w:val="22"/>
                <w:szCs w:val="22"/>
              </w:rPr>
            </w:pPr>
            <w:r w:rsidRPr="0050002C">
              <w:rPr>
                <w:rFonts w:eastAsia="Calibri"/>
                <w:sz w:val="22"/>
                <w:szCs w:val="22"/>
              </w:rPr>
              <w:t>1</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333C" w:rsidRPr="0050002C" w:rsidRDefault="00C3333C" w:rsidP="000F3853">
            <w:pPr>
              <w:autoSpaceDE w:val="0"/>
              <w:autoSpaceDN w:val="0"/>
              <w:spacing w:before="120" w:after="120"/>
              <w:jc w:val="center"/>
              <w:rPr>
                <w:rFonts w:eastAsia="Calibri"/>
                <w:sz w:val="22"/>
                <w:szCs w:val="22"/>
              </w:rPr>
            </w:pPr>
            <w:r w:rsidRPr="0050002C">
              <w:rPr>
                <w:rFonts w:eastAsia="Calibri"/>
                <w:sz w:val="22"/>
                <w:szCs w:val="22"/>
              </w:rPr>
              <w:t>10/60</w:t>
            </w: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333C" w:rsidRPr="0050002C" w:rsidRDefault="00C0793B" w:rsidP="001A4A9A">
            <w:pPr>
              <w:autoSpaceDE w:val="0"/>
              <w:autoSpaceDN w:val="0"/>
              <w:spacing w:before="120" w:after="120"/>
              <w:jc w:val="center"/>
              <w:rPr>
                <w:rFonts w:eastAsia="Calibri"/>
                <w:sz w:val="22"/>
                <w:szCs w:val="22"/>
              </w:rPr>
            </w:pPr>
            <w:r>
              <w:rPr>
                <w:rFonts w:eastAsia="Calibri"/>
                <w:sz w:val="22"/>
                <w:szCs w:val="22"/>
              </w:rPr>
              <w:t>81,474</w:t>
            </w:r>
          </w:p>
        </w:tc>
      </w:tr>
      <w:tr w:rsidR="00C3333C" w:rsidRPr="00C175E3" w:rsidTr="0050002C">
        <w:tc>
          <w:tcPr>
            <w:tcW w:w="1998" w:type="dxa"/>
            <w:vMerge/>
            <w:tcBorders>
              <w:left w:val="single" w:sz="8" w:space="0" w:color="000000"/>
              <w:right w:val="single" w:sz="8" w:space="0" w:color="000000"/>
            </w:tcBorders>
            <w:tcMar>
              <w:top w:w="0" w:type="dxa"/>
              <w:left w:w="108" w:type="dxa"/>
              <w:bottom w:w="0" w:type="dxa"/>
              <w:right w:w="108" w:type="dxa"/>
            </w:tcMar>
          </w:tcPr>
          <w:p w:rsidR="00C3333C" w:rsidRPr="0050002C" w:rsidRDefault="00C3333C" w:rsidP="0050002C">
            <w:pPr>
              <w:autoSpaceDE w:val="0"/>
              <w:autoSpaceDN w:val="0"/>
              <w:spacing w:before="120" w:after="120"/>
              <w:rPr>
                <w:rFonts w:eastAsia="Calibri"/>
                <w:sz w:val="22"/>
                <w:szCs w:val="22"/>
              </w:rPr>
            </w:pPr>
          </w:p>
        </w:tc>
        <w:tc>
          <w:tcPr>
            <w:tcW w:w="2222" w:type="dxa"/>
            <w:tcBorders>
              <w:top w:val="single" w:sz="8" w:space="0" w:color="000000"/>
              <w:left w:val="single" w:sz="8" w:space="0" w:color="000000"/>
              <w:right w:val="single" w:sz="8" w:space="0" w:color="000000"/>
            </w:tcBorders>
          </w:tcPr>
          <w:p w:rsidR="00C3333C" w:rsidRPr="0050002C" w:rsidRDefault="00C3333C" w:rsidP="0050002C">
            <w:pPr>
              <w:autoSpaceDE w:val="0"/>
              <w:autoSpaceDN w:val="0"/>
              <w:spacing w:before="120" w:after="120"/>
              <w:ind w:left="90" w:right="90"/>
              <w:rPr>
                <w:rFonts w:eastAsia="Calibri"/>
                <w:sz w:val="22"/>
                <w:szCs w:val="22"/>
              </w:rPr>
            </w:pPr>
            <w:r w:rsidRPr="0050002C">
              <w:rPr>
                <w:rFonts w:eastAsia="Calibri"/>
                <w:sz w:val="22"/>
                <w:szCs w:val="22"/>
              </w:rPr>
              <w:t>ASQ Intake Questionnaire (Chinese, Korean, or Vietnamese-complete)</w:t>
            </w:r>
          </w:p>
        </w:tc>
        <w:tc>
          <w:tcPr>
            <w:tcW w:w="144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C3333C" w:rsidRPr="0050002C" w:rsidRDefault="003818A4" w:rsidP="0050002C">
            <w:pPr>
              <w:autoSpaceDE w:val="0"/>
              <w:autoSpaceDN w:val="0"/>
              <w:spacing w:before="120" w:after="120"/>
              <w:jc w:val="right"/>
              <w:rPr>
                <w:rFonts w:eastAsia="Calibri"/>
                <w:sz w:val="22"/>
                <w:szCs w:val="22"/>
              </w:rPr>
            </w:pPr>
            <w:r>
              <w:rPr>
                <w:rFonts w:eastAsia="Calibri"/>
                <w:sz w:val="22"/>
                <w:szCs w:val="22"/>
              </w:rPr>
              <w:t>1,935</w:t>
            </w:r>
          </w:p>
        </w:tc>
        <w:tc>
          <w:tcPr>
            <w:tcW w:w="126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C3333C" w:rsidRPr="0050002C" w:rsidRDefault="00C3333C" w:rsidP="0050002C">
            <w:pPr>
              <w:autoSpaceDE w:val="0"/>
              <w:autoSpaceDN w:val="0"/>
              <w:spacing w:before="120" w:after="120"/>
              <w:jc w:val="center"/>
              <w:rPr>
                <w:rFonts w:eastAsia="Calibri"/>
                <w:sz w:val="22"/>
                <w:szCs w:val="22"/>
              </w:rPr>
            </w:pPr>
            <w:r w:rsidRPr="0050002C">
              <w:rPr>
                <w:rFonts w:eastAsia="Calibri"/>
                <w:sz w:val="22"/>
                <w:szCs w:val="22"/>
              </w:rPr>
              <w:t>1</w:t>
            </w:r>
          </w:p>
        </w:tc>
        <w:tc>
          <w:tcPr>
            <w:tcW w:w="135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C3333C" w:rsidRPr="0050002C" w:rsidRDefault="00C3333C" w:rsidP="0050002C">
            <w:pPr>
              <w:autoSpaceDE w:val="0"/>
              <w:autoSpaceDN w:val="0"/>
              <w:spacing w:before="120" w:after="120"/>
              <w:jc w:val="center"/>
              <w:rPr>
                <w:rFonts w:eastAsia="Calibri"/>
                <w:sz w:val="22"/>
                <w:szCs w:val="22"/>
              </w:rPr>
            </w:pPr>
            <w:r w:rsidRPr="0050002C">
              <w:rPr>
                <w:rFonts w:eastAsia="Calibri"/>
                <w:sz w:val="22"/>
                <w:szCs w:val="22"/>
              </w:rPr>
              <w:t>10/60</w:t>
            </w:r>
          </w:p>
        </w:tc>
        <w:tc>
          <w:tcPr>
            <w:tcW w:w="1018"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C3333C" w:rsidRPr="0050002C" w:rsidRDefault="003818A4" w:rsidP="0050002C">
            <w:pPr>
              <w:autoSpaceDE w:val="0"/>
              <w:autoSpaceDN w:val="0"/>
              <w:spacing w:before="120" w:after="120"/>
              <w:jc w:val="right"/>
              <w:rPr>
                <w:rFonts w:eastAsia="Calibri"/>
                <w:sz w:val="22"/>
                <w:szCs w:val="22"/>
              </w:rPr>
            </w:pPr>
            <w:r>
              <w:rPr>
                <w:rFonts w:eastAsia="Calibri"/>
                <w:sz w:val="22"/>
                <w:szCs w:val="22"/>
              </w:rPr>
              <w:t>323</w:t>
            </w:r>
          </w:p>
        </w:tc>
      </w:tr>
      <w:tr w:rsidR="00C3333C" w:rsidRPr="00C175E3" w:rsidTr="0050002C">
        <w:tc>
          <w:tcPr>
            <w:tcW w:w="1998" w:type="dxa"/>
            <w:vMerge/>
            <w:tcBorders>
              <w:left w:val="single" w:sz="8" w:space="0" w:color="000000"/>
              <w:right w:val="single" w:sz="8" w:space="0" w:color="000000"/>
            </w:tcBorders>
            <w:tcMar>
              <w:top w:w="0" w:type="dxa"/>
              <w:left w:w="108" w:type="dxa"/>
              <w:bottom w:w="0" w:type="dxa"/>
              <w:right w:w="108" w:type="dxa"/>
            </w:tcMar>
          </w:tcPr>
          <w:p w:rsidR="00C3333C" w:rsidRPr="0050002C" w:rsidRDefault="00C3333C" w:rsidP="0050002C">
            <w:pPr>
              <w:autoSpaceDE w:val="0"/>
              <w:autoSpaceDN w:val="0"/>
              <w:spacing w:before="120" w:after="120"/>
              <w:rPr>
                <w:rFonts w:eastAsia="Calibri"/>
                <w:sz w:val="22"/>
                <w:szCs w:val="22"/>
              </w:rPr>
            </w:pPr>
          </w:p>
        </w:tc>
        <w:tc>
          <w:tcPr>
            <w:tcW w:w="2222" w:type="dxa"/>
            <w:tcBorders>
              <w:top w:val="single" w:sz="8" w:space="0" w:color="000000"/>
              <w:left w:val="single" w:sz="8" w:space="0" w:color="000000"/>
              <w:right w:val="single" w:sz="8" w:space="0" w:color="000000"/>
            </w:tcBorders>
          </w:tcPr>
          <w:p w:rsidR="00C3333C" w:rsidRPr="0050002C" w:rsidRDefault="00C3333C" w:rsidP="0050002C">
            <w:pPr>
              <w:autoSpaceDE w:val="0"/>
              <w:autoSpaceDN w:val="0"/>
              <w:spacing w:before="120" w:after="120"/>
              <w:ind w:left="90" w:right="90"/>
              <w:rPr>
                <w:rFonts w:eastAsia="Calibri"/>
                <w:sz w:val="22"/>
                <w:szCs w:val="22"/>
              </w:rPr>
            </w:pPr>
            <w:r w:rsidRPr="0050002C">
              <w:rPr>
                <w:rFonts w:eastAsia="Calibri"/>
                <w:sz w:val="22"/>
                <w:szCs w:val="22"/>
              </w:rPr>
              <w:t>ASQ Seven-Month Follow-up Questionnaire</w:t>
            </w:r>
          </w:p>
        </w:tc>
        <w:tc>
          <w:tcPr>
            <w:tcW w:w="144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C3333C" w:rsidRPr="0050002C" w:rsidRDefault="003818A4" w:rsidP="0050002C">
            <w:pPr>
              <w:autoSpaceDE w:val="0"/>
              <w:autoSpaceDN w:val="0"/>
              <w:spacing w:before="120" w:after="120"/>
              <w:jc w:val="right"/>
              <w:rPr>
                <w:rFonts w:eastAsia="Calibri"/>
                <w:sz w:val="22"/>
                <w:szCs w:val="22"/>
              </w:rPr>
            </w:pPr>
            <w:r>
              <w:rPr>
                <w:color w:val="000000"/>
                <w:sz w:val="22"/>
                <w:szCs w:val="22"/>
              </w:rPr>
              <w:t>1,587</w:t>
            </w:r>
          </w:p>
        </w:tc>
        <w:tc>
          <w:tcPr>
            <w:tcW w:w="126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C3333C" w:rsidRPr="0050002C" w:rsidRDefault="00C3333C" w:rsidP="0050002C">
            <w:pPr>
              <w:autoSpaceDE w:val="0"/>
              <w:autoSpaceDN w:val="0"/>
              <w:spacing w:before="120" w:after="120"/>
              <w:jc w:val="center"/>
              <w:rPr>
                <w:rFonts w:eastAsia="Calibri"/>
                <w:sz w:val="22"/>
                <w:szCs w:val="22"/>
              </w:rPr>
            </w:pPr>
            <w:r w:rsidRPr="0050002C">
              <w:rPr>
                <w:color w:val="000000"/>
                <w:sz w:val="22"/>
                <w:szCs w:val="22"/>
              </w:rPr>
              <w:t>1</w:t>
            </w:r>
          </w:p>
        </w:tc>
        <w:tc>
          <w:tcPr>
            <w:tcW w:w="135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C3333C" w:rsidRPr="0050002C" w:rsidRDefault="00C3333C" w:rsidP="0050002C">
            <w:pPr>
              <w:autoSpaceDE w:val="0"/>
              <w:autoSpaceDN w:val="0"/>
              <w:spacing w:before="120" w:after="120"/>
              <w:jc w:val="center"/>
              <w:rPr>
                <w:rFonts w:eastAsia="Calibri"/>
                <w:sz w:val="22"/>
                <w:szCs w:val="22"/>
              </w:rPr>
            </w:pPr>
            <w:r w:rsidRPr="0050002C">
              <w:rPr>
                <w:color w:val="000000"/>
                <w:sz w:val="22"/>
                <w:szCs w:val="22"/>
              </w:rPr>
              <w:t>7/60</w:t>
            </w:r>
          </w:p>
        </w:tc>
        <w:tc>
          <w:tcPr>
            <w:tcW w:w="1018"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C3333C" w:rsidRPr="0050002C" w:rsidRDefault="003818A4" w:rsidP="0050002C">
            <w:pPr>
              <w:autoSpaceDE w:val="0"/>
              <w:autoSpaceDN w:val="0"/>
              <w:spacing w:before="120" w:after="120"/>
              <w:jc w:val="right"/>
              <w:rPr>
                <w:rFonts w:eastAsia="Calibri"/>
                <w:sz w:val="22"/>
                <w:szCs w:val="22"/>
              </w:rPr>
            </w:pPr>
            <w:r>
              <w:rPr>
                <w:rFonts w:eastAsia="Calibri"/>
                <w:sz w:val="22"/>
                <w:szCs w:val="22"/>
              </w:rPr>
              <w:t>185</w:t>
            </w:r>
          </w:p>
        </w:tc>
      </w:tr>
      <w:tr w:rsidR="00C3333C" w:rsidRPr="00C175E3" w:rsidTr="0050002C">
        <w:tc>
          <w:tcPr>
            <w:tcW w:w="1998"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C3333C" w:rsidRPr="0050002C" w:rsidRDefault="00C3333C" w:rsidP="000F3853">
            <w:pPr>
              <w:autoSpaceDE w:val="0"/>
              <w:autoSpaceDN w:val="0"/>
              <w:spacing w:before="120" w:after="120"/>
              <w:rPr>
                <w:rFonts w:eastAsia="Calibri"/>
                <w:sz w:val="22"/>
                <w:szCs w:val="22"/>
              </w:rPr>
            </w:pPr>
            <w:r w:rsidRPr="0050002C">
              <w:rPr>
                <w:rFonts w:eastAsia="Calibri"/>
                <w:sz w:val="22"/>
                <w:szCs w:val="22"/>
              </w:rPr>
              <w:t>Caller who contacts the Quitline on behalf of someone else</w:t>
            </w:r>
          </w:p>
        </w:tc>
        <w:tc>
          <w:tcPr>
            <w:tcW w:w="2222" w:type="dxa"/>
            <w:tcBorders>
              <w:top w:val="single" w:sz="8" w:space="0" w:color="000000"/>
              <w:left w:val="single" w:sz="8" w:space="0" w:color="000000"/>
              <w:right w:val="single" w:sz="8" w:space="0" w:color="000000"/>
            </w:tcBorders>
          </w:tcPr>
          <w:p w:rsidR="00C3333C" w:rsidRPr="0050002C" w:rsidRDefault="00C3333C" w:rsidP="000F3853">
            <w:pPr>
              <w:autoSpaceDE w:val="0"/>
              <w:autoSpaceDN w:val="0"/>
              <w:spacing w:before="120" w:after="120"/>
              <w:ind w:left="90" w:right="90"/>
              <w:rPr>
                <w:rFonts w:eastAsia="Calibri"/>
                <w:sz w:val="22"/>
                <w:szCs w:val="22"/>
              </w:rPr>
            </w:pPr>
            <w:r w:rsidRPr="0050002C">
              <w:rPr>
                <w:rFonts w:eastAsia="Calibri"/>
                <w:sz w:val="22"/>
                <w:szCs w:val="22"/>
              </w:rPr>
              <w:t>NQDW Intake Questionnaire (English-subset)</w:t>
            </w:r>
          </w:p>
        </w:tc>
        <w:tc>
          <w:tcPr>
            <w:tcW w:w="144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C3333C" w:rsidRPr="0050002C" w:rsidRDefault="00B74ED9" w:rsidP="00767C29">
            <w:pPr>
              <w:autoSpaceDE w:val="0"/>
              <w:autoSpaceDN w:val="0"/>
              <w:spacing w:before="120" w:after="120"/>
              <w:jc w:val="right"/>
              <w:rPr>
                <w:rFonts w:eastAsia="Calibri"/>
                <w:sz w:val="22"/>
                <w:szCs w:val="22"/>
              </w:rPr>
            </w:pPr>
            <w:r>
              <w:rPr>
                <w:rFonts w:eastAsia="Calibri"/>
                <w:sz w:val="22"/>
                <w:szCs w:val="22"/>
              </w:rPr>
              <w:t>12,217</w:t>
            </w:r>
          </w:p>
        </w:tc>
        <w:tc>
          <w:tcPr>
            <w:tcW w:w="126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C3333C" w:rsidRPr="0050002C" w:rsidRDefault="00C3333C" w:rsidP="000F3853">
            <w:pPr>
              <w:autoSpaceDE w:val="0"/>
              <w:autoSpaceDN w:val="0"/>
              <w:spacing w:before="120" w:after="120"/>
              <w:jc w:val="center"/>
              <w:rPr>
                <w:rFonts w:eastAsia="Calibri"/>
                <w:sz w:val="22"/>
                <w:szCs w:val="22"/>
              </w:rPr>
            </w:pPr>
            <w:r w:rsidRPr="0050002C">
              <w:rPr>
                <w:rFonts w:eastAsia="Calibri"/>
                <w:sz w:val="22"/>
                <w:szCs w:val="22"/>
              </w:rPr>
              <w:t>1</w:t>
            </w:r>
          </w:p>
        </w:tc>
        <w:tc>
          <w:tcPr>
            <w:tcW w:w="135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C3333C" w:rsidRPr="0050002C" w:rsidRDefault="00C3333C" w:rsidP="000F3853">
            <w:pPr>
              <w:autoSpaceDE w:val="0"/>
              <w:autoSpaceDN w:val="0"/>
              <w:spacing w:before="120" w:after="120"/>
              <w:jc w:val="center"/>
              <w:rPr>
                <w:rFonts w:eastAsia="Calibri"/>
                <w:sz w:val="22"/>
                <w:szCs w:val="22"/>
              </w:rPr>
            </w:pPr>
            <w:r w:rsidRPr="0050002C">
              <w:rPr>
                <w:rFonts w:eastAsia="Calibri"/>
                <w:sz w:val="22"/>
                <w:szCs w:val="22"/>
              </w:rPr>
              <w:t>1/60</w:t>
            </w:r>
          </w:p>
        </w:tc>
        <w:tc>
          <w:tcPr>
            <w:tcW w:w="1018"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C3333C" w:rsidRPr="0050002C" w:rsidRDefault="00A33598" w:rsidP="000F3853">
            <w:pPr>
              <w:autoSpaceDE w:val="0"/>
              <w:autoSpaceDN w:val="0"/>
              <w:spacing w:before="120" w:after="120"/>
              <w:jc w:val="right"/>
              <w:rPr>
                <w:rFonts w:eastAsia="Calibri"/>
                <w:sz w:val="22"/>
                <w:szCs w:val="22"/>
              </w:rPr>
            </w:pPr>
            <w:r>
              <w:rPr>
                <w:rFonts w:eastAsia="Calibri"/>
                <w:sz w:val="22"/>
                <w:szCs w:val="22"/>
              </w:rPr>
              <w:t>204</w:t>
            </w:r>
          </w:p>
        </w:tc>
      </w:tr>
      <w:tr w:rsidR="00C3333C" w:rsidRPr="00C175E3" w:rsidTr="0050002C">
        <w:tc>
          <w:tcPr>
            <w:tcW w:w="1998"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C3333C" w:rsidRPr="0050002C" w:rsidRDefault="00C3333C" w:rsidP="0050002C">
            <w:pPr>
              <w:autoSpaceDE w:val="0"/>
              <w:autoSpaceDN w:val="0"/>
              <w:spacing w:before="120" w:after="120"/>
              <w:rPr>
                <w:rFonts w:eastAsia="Calibri"/>
                <w:sz w:val="22"/>
                <w:szCs w:val="22"/>
              </w:rPr>
            </w:pPr>
          </w:p>
        </w:tc>
        <w:tc>
          <w:tcPr>
            <w:tcW w:w="2222" w:type="dxa"/>
            <w:tcBorders>
              <w:top w:val="single" w:sz="8" w:space="0" w:color="000000"/>
              <w:left w:val="single" w:sz="8" w:space="0" w:color="000000"/>
              <w:bottom w:val="single" w:sz="8" w:space="0" w:color="000000"/>
              <w:right w:val="single" w:sz="8" w:space="0" w:color="000000"/>
            </w:tcBorders>
          </w:tcPr>
          <w:p w:rsidR="00C3333C" w:rsidRPr="0050002C" w:rsidRDefault="00C3333C" w:rsidP="0050002C">
            <w:pPr>
              <w:autoSpaceDE w:val="0"/>
              <w:autoSpaceDN w:val="0"/>
              <w:spacing w:before="120" w:after="120"/>
              <w:ind w:left="90" w:right="90"/>
              <w:rPr>
                <w:rFonts w:eastAsia="Calibri"/>
                <w:sz w:val="22"/>
                <w:szCs w:val="22"/>
              </w:rPr>
            </w:pPr>
            <w:r w:rsidRPr="0050002C">
              <w:rPr>
                <w:rFonts w:eastAsia="Calibri"/>
                <w:sz w:val="22"/>
                <w:szCs w:val="22"/>
              </w:rPr>
              <w:t>ASQ Intake Questi</w:t>
            </w:r>
            <w:r w:rsidR="00205BB6">
              <w:rPr>
                <w:rFonts w:eastAsia="Calibri"/>
                <w:sz w:val="22"/>
                <w:szCs w:val="22"/>
              </w:rPr>
              <w:t>o</w:t>
            </w:r>
            <w:r w:rsidRPr="0050002C">
              <w:rPr>
                <w:rFonts w:eastAsia="Calibri"/>
                <w:sz w:val="22"/>
                <w:szCs w:val="22"/>
              </w:rPr>
              <w:t>nnaire (Chinese, Korean, or Vietnamese-subset)</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333C" w:rsidRPr="0050002C" w:rsidRDefault="00B74ED9" w:rsidP="0050002C">
            <w:pPr>
              <w:autoSpaceDE w:val="0"/>
              <w:autoSpaceDN w:val="0"/>
              <w:spacing w:before="120" w:after="120"/>
              <w:jc w:val="right"/>
              <w:rPr>
                <w:rFonts w:eastAsia="Calibri"/>
                <w:sz w:val="22"/>
                <w:szCs w:val="22"/>
              </w:rPr>
            </w:pPr>
            <w:r>
              <w:rPr>
                <w:rFonts w:eastAsia="Calibri"/>
                <w:sz w:val="22"/>
                <w:szCs w:val="22"/>
              </w:rPr>
              <w:t>86</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333C" w:rsidRPr="0050002C" w:rsidRDefault="00C3333C" w:rsidP="0050002C">
            <w:pPr>
              <w:autoSpaceDE w:val="0"/>
              <w:autoSpaceDN w:val="0"/>
              <w:spacing w:before="120" w:after="120"/>
              <w:jc w:val="center"/>
              <w:rPr>
                <w:color w:val="000000"/>
                <w:sz w:val="22"/>
                <w:szCs w:val="22"/>
              </w:rPr>
            </w:pPr>
            <w:r w:rsidRPr="0050002C">
              <w:rPr>
                <w:rFonts w:eastAsia="Calibri"/>
                <w:sz w:val="22"/>
                <w:szCs w:val="22"/>
              </w:rPr>
              <w:t>1</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333C" w:rsidRPr="0050002C" w:rsidRDefault="00C3333C" w:rsidP="0050002C">
            <w:pPr>
              <w:autoSpaceDE w:val="0"/>
              <w:autoSpaceDN w:val="0"/>
              <w:spacing w:before="120" w:after="120"/>
              <w:jc w:val="center"/>
              <w:rPr>
                <w:color w:val="000000"/>
                <w:sz w:val="22"/>
                <w:szCs w:val="22"/>
              </w:rPr>
            </w:pPr>
            <w:r w:rsidRPr="0050002C">
              <w:rPr>
                <w:rFonts w:eastAsia="Calibri"/>
                <w:sz w:val="22"/>
                <w:szCs w:val="22"/>
              </w:rPr>
              <w:t>1/60</w:t>
            </w: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333C" w:rsidRPr="0050002C" w:rsidRDefault="00F86079" w:rsidP="0050002C">
            <w:pPr>
              <w:autoSpaceDE w:val="0"/>
              <w:autoSpaceDN w:val="0"/>
              <w:spacing w:before="120" w:after="120"/>
              <w:jc w:val="right"/>
              <w:rPr>
                <w:rFonts w:eastAsia="Calibri"/>
                <w:sz w:val="22"/>
                <w:szCs w:val="22"/>
              </w:rPr>
            </w:pPr>
            <w:r>
              <w:rPr>
                <w:rFonts w:eastAsia="Calibri"/>
                <w:sz w:val="22"/>
                <w:szCs w:val="22"/>
              </w:rPr>
              <w:t>2</w:t>
            </w:r>
          </w:p>
        </w:tc>
      </w:tr>
      <w:tr w:rsidR="0055036D" w:rsidRPr="00C175E3" w:rsidTr="0050002C">
        <w:tc>
          <w:tcPr>
            <w:tcW w:w="1998"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55036D" w:rsidRPr="002933B4" w:rsidRDefault="0055036D" w:rsidP="00A45F24">
            <w:pPr>
              <w:autoSpaceDE w:val="0"/>
              <w:autoSpaceDN w:val="0"/>
              <w:spacing w:before="120" w:after="120"/>
              <w:rPr>
                <w:rFonts w:eastAsia="Calibri"/>
                <w:sz w:val="22"/>
                <w:szCs w:val="22"/>
              </w:rPr>
            </w:pPr>
            <w:r w:rsidRPr="002933B4">
              <w:rPr>
                <w:rFonts w:eastAsia="Calibri"/>
                <w:sz w:val="22"/>
                <w:szCs w:val="22"/>
              </w:rPr>
              <w:t xml:space="preserve">Tobacco Control Manager or their Designee / Quitline Service Provider </w:t>
            </w:r>
          </w:p>
        </w:tc>
        <w:tc>
          <w:tcPr>
            <w:tcW w:w="2222" w:type="dxa"/>
            <w:tcBorders>
              <w:top w:val="single" w:sz="8" w:space="0" w:color="000000"/>
              <w:left w:val="single" w:sz="8" w:space="0" w:color="000000"/>
              <w:bottom w:val="single" w:sz="4" w:space="0" w:color="auto"/>
              <w:right w:val="single" w:sz="8" w:space="0" w:color="000000"/>
            </w:tcBorders>
          </w:tcPr>
          <w:p w:rsidR="0055036D" w:rsidRPr="002933B4" w:rsidRDefault="00F2267D" w:rsidP="000F3853">
            <w:pPr>
              <w:autoSpaceDE w:val="0"/>
              <w:autoSpaceDN w:val="0"/>
              <w:spacing w:before="120" w:after="120"/>
              <w:ind w:left="90" w:right="90"/>
              <w:rPr>
                <w:rFonts w:eastAsia="Calibri"/>
                <w:sz w:val="22"/>
                <w:szCs w:val="22"/>
              </w:rPr>
            </w:pPr>
            <w:r>
              <w:rPr>
                <w:rFonts w:eastAsia="Calibri"/>
                <w:sz w:val="22"/>
                <w:szCs w:val="22"/>
              </w:rPr>
              <w:t>Submission of</w:t>
            </w:r>
            <w:r w:rsidR="0055036D" w:rsidRPr="002933B4">
              <w:rPr>
                <w:rFonts w:eastAsia="Calibri"/>
                <w:sz w:val="22"/>
                <w:szCs w:val="22"/>
              </w:rPr>
              <w:t xml:space="preserve"> NQDW Intake Questionnaire Electronic Data File to CDC </w:t>
            </w:r>
          </w:p>
        </w:tc>
        <w:tc>
          <w:tcPr>
            <w:tcW w:w="144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55036D" w:rsidRPr="002933B4" w:rsidRDefault="0055036D" w:rsidP="000F3853">
            <w:pPr>
              <w:autoSpaceDE w:val="0"/>
              <w:autoSpaceDN w:val="0"/>
              <w:spacing w:before="120" w:after="120"/>
              <w:jc w:val="right"/>
              <w:rPr>
                <w:rFonts w:eastAsia="Calibri"/>
                <w:sz w:val="22"/>
                <w:szCs w:val="22"/>
              </w:rPr>
            </w:pPr>
            <w:r w:rsidRPr="002933B4">
              <w:rPr>
                <w:color w:val="000000"/>
                <w:sz w:val="22"/>
                <w:szCs w:val="22"/>
              </w:rPr>
              <w:t>54</w:t>
            </w:r>
          </w:p>
        </w:tc>
        <w:tc>
          <w:tcPr>
            <w:tcW w:w="126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55036D" w:rsidRPr="002933B4" w:rsidRDefault="0055036D" w:rsidP="000F3853">
            <w:pPr>
              <w:autoSpaceDE w:val="0"/>
              <w:autoSpaceDN w:val="0"/>
              <w:spacing w:before="120" w:after="120"/>
              <w:jc w:val="center"/>
              <w:rPr>
                <w:rFonts w:eastAsia="Calibri"/>
                <w:sz w:val="22"/>
                <w:szCs w:val="22"/>
              </w:rPr>
            </w:pPr>
            <w:r w:rsidRPr="002933B4">
              <w:rPr>
                <w:color w:val="000000"/>
                <w:sz w:val="22"/>
                <w:szCs w:val="22"/>
              </w:rPr>
              <w:t>4</w:t>
            </w:r>
          </w:p>
        </w:tc>
        <w:tc>
          <w:tcPr>
            <w:tcW w:w="135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55036D" w:rsidRPr="002933B4" w:rsidRDefault="0055036D" w:rsidP="000F3853">
            <w:pPr>
              <w:autoSpaceDE w:val="0"/>
              <w:autoSpaceDN w:val="0"/>
              <w:spacing w:before="120" w:after="120"/>
              <w:jc w:val="center"/>
              <w:rPr>
                <w:rFonts w:eastAsia="Calibri"/>
                <w:sz w:val="22"/>
                <w:szCs w:val="22"/>
              </w:rPr>
            </w:pPr>
            <w:r w:rsidRPr="002933B4">
              <w:rPr>
                <w:color w:val="000000"/>
                <w:sz w:val="22"/>
                <w:szCs w:val="22"/>
              </w:rPr>
              <w:t>1</w:t>
            </w:r>
          </w:p>
        </w:tc>
        <w:tc>
          <w:tcPr>
            <w:tcW w:w="101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55036D" w:rsidRPr="002933B4" w:rsidRDefault="001A4A9A" w:rsidP="000F3853">
            <w:pPr>
              <w:autoSpaceDE w:val="0"/>
              <w:autoSpaceDN w:val="0"/>
              <w:spacing w:before="120" w:after="120"/>
              <w:jc w:val="right"/>
              <w:rPr>
                <w:rFonts w:eastAsia="Calibri"/>
                <w:sz w:val="22"/>
                <w:szCs w:val="22"/>
              </w:rPr>
            </w:pPr>
            <w:r w:rsidRPr="002933B4">
              <w:rPr>
                <w:rFonts w:eastAsia="Calibri"/>
                <w:sz w:val="22"/>
                <w:szCs w:val="22"/>
              </w:rPr>
              <w:t>216</w:t>
            </w:r>
          </w:p>
        </w:tc>
      </w:tr>
      <w:tr w:rsidR="0055036D" w:rsidRPr="00C175E3" w:rsidTr="0050002C">
        <w:tc>
          <w:tcPr>
            <w:tcW w:w="1998" w:type="dxa"/>
            <w:vMerge/>
            <w:tcBorders>
              <w:top w:val="single" w:sz="8" w:space="0" w:color="000000"/>
              <w:left w:val="single" w:sz="8" w:space="0" w:color="000000"/>
              <w:right w:val="single" w:sz="8" w:space="0" w:color="000000"/>
            </w:tcBorders>
            <w:tcMar>
              <w:top w:w="0" w:type="dxa"/>
              <w:left w:w="108" w:type="dxa"/>
              <w:bottom w:w="0" w:type="dxa"/>
              <w:right w:w="108" w:type="dxa"/>
            </w:tcMar>
          </w:tcPr>
          <w:p w:rsidR="0055036D" w:rsidRPr="0050002C" w:rsidRDefault="0055036D" w:rsidP="0050002C">
            <w:pPr>
              <w:autoSpaceDE w:val="0"/>
              <w:autoSpaceDN w:val="0"/>
              <w:spacing w:before="120" w:after="120"/>
              <w:rPr>
                <w:rFonts w:eastAsia="Calibri"/>
                <w:sz w:val="22"/>
                <w:szCs w:val="22"/>
              </w:rPr>
            </w:pPr>
          </w:p>
        </w:tc>
        <w:tc>
          <w:tcPr>
            <w:tcW w:w="2222" w:type="dxa"/>
            <w:tcBorders>
              <w:top w:val="single" w:sz="4" w:space="0" w:color="auto"/>
              <w:left w:val="single" w:sz="8" w:space="0" w:color="000000"/>
              <w:bottom w:val="single" w:sz="8" w:space="0" w:color="000000"/>
              <w:right w:val="single" w:sz="8" w:space="0" w:color="000000"/>
            </w:tcBorders>
          </w:tcPr>
          <w:p w:rsidR="0055036D" w:rsidRPr="0050002C" w:rsidRDefault="00F2267D" w:rsidP="00141AB9">
            <w:pPr>
              <w:autoSpaceDE w:val="0"/>
              <w:autoSpaceDN w:val="0"/>
              <w:spacing w:before="120" w:after="120"/>
              <w:ind w:left="90" w:right="90"/>
              <w:rPr>
                <w:rFonts w:eastAsia="Calibri"/>
                <w:sz w:val="22"/>
                <w:szCs w:val="22"/>
              </w:rPr>
            </w:pPr>
            <w:r>
              <w:rPr>
                <w:rFonts w:eastAsia="Calibri"/>
                <w:sz w:val="22"/>
                <w:szCs w:val="22"/>
              </w:rPr>
              <w:t>Submission of</w:t>
            </w:r>
            <w:r w:rsidRPr="002933B4">
              <w:rPr>
                <w:rFonts w:eastAsia="Calibri"/>
                <w:sz w:val="22"/>
                <w:szCs w:val="22"/>
              </w:rPr>
              <w:t xml:space="preserve"> </w:t>
            </w:r>
            <w:r w:rsidR="0055036D" w:rsidRPr="0050002C">
              <w:rPr>
                <w:rFonts w:eastAsia="Calibri"/>
                <w:sz w:val="22"/>
                <w:szCs w:val="22"/>
              </w:rPr>
              <w:t>NQDW</w:t>
            </w:r>
            <w:r w:rsidR="008F4428">
              <w:rPr>
                <w:rFonts w:eastAsia="Calibri"/>
                <w:sz w:val="22"/>
                <w:szCs w:val="22"/>
              </w:rPr>
              <w:t xml:space="preserve"> (ASQ)</w:t>
            </w:r>
            <w:r w:rsidR="0055036D" w:rsidRPr="0050002C">
              <w:rPr>
                <w:rFonts w:eastAsia="Calibri"/>
                <w:sz w:val="22"/>
                <w:szCs w:val="22"/>
              </w:rPr>
              <w:t xml:space="preserve"> Seven-Month Follow-up Electronic Data File to CDC</w:t>
            </w:r>
          </w:p>
        </w:tc>
        <w:tc>
          <w:tcPr>
            <w:tcW w:w="144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55036D" w:rsidRPr="0050002C" w:rsidRDefault="0055036D" w:rsidP="0050002C">
            <w:pPr>
              <w:autoSpaceDE w:val="0"/>
              <w:autoSpaceDN w:val="0"/>
              <w:spacing w:before="120" w:after="120"/>
              <w:jc w:val="right"/>
              <w:rPr>
                <w:color w:val="000000"/>
                <w:sz w:val="22"/>
                <w:szCs w:val="22"/>
              </w:rPr>
            </w:pPr>
            <w:r w:rsidRPr="0050002C">
              <w:rPr>
                <w:color w:val="000000"/>
                <w:sz w:val="22"/>
                <w:szCs w:val="22"/>
              </w:rPr>
              <w:t>1</w:t>
            </w:r>
          </w:p>
        </w:tc>
        <w:tc>
          <w:tcPr>
            <w:tcW w:w="126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55036D" w:rsidRPr="0050002C" w:rsidRDefault="0055036D" w:rsidP="0050002C">
            <w:pPr>
              <w:autoSpaceDE w:val="0"/>
              <w:autoSpaceDN w:val="0"/>
              <w:spacing w:before="120" w:after="120"/>
              <w:jc w:val="center"/>
              <w:rPr>
                <w:color w:val="000000"/>
                <w:sz w:val="22"/>
                <w:szCs w:val="22"/>
              </w:rPr>
            </w:pPr>
            <w:r w:rsidRPr="0050002C">
              <w:rPr>
                <w:color w:val="000000"/>
                <w:sz w:val="22"/>
                <w:szCs w:val="22"/>
              </w:rPr>
              <w:t>1</w:t>
            </w:r>
          </w:p>
        </w:tc>
        <w:tc>
          <w:tcPr>
            <w:tcW w:w="135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55036D" w:rsidRPr="0050002C" w:rsidRDefault="0055036D" w:rsidP="0050002C">
            <w:pPr>
              <w:autoSpaceDE w:val="0"/>
              <w:autoSpaceDN w:val="0"/>
              <w:spacing w:before="120" w:after="120"/>
              <w:jc w:val="center"/>
              <w:rPr>
                <w:color w:val="000000"/>
                <w:sz w:val="22"/>
                <w:szCs w:val="22"/>
              </w:rPr>
            </w:pPr>
            <w:r w:rsidRPr="0050002C">
              <w:rPr>
                <w:color w:val="000000"/>
                <w:sz w:val="22"/>
                <w:szCs w:val="22"/>
              </w:rPr>
              <w:t>1</w:t>
            </w:r>
          </w:p>
        </w:tc>
        <w:tc>
          <w:tcPr>
            <w:tcW w:w="101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55036D" w:rsidRPr="0050002C" w:rsidRDefault="001A4A9A" w:rsidP="0050002C">
            <w:pPr>
              <w:autoSpaceDE w:val="0"/>
              <w:autoSpaceDN w:val="0"/>
              <w:spacing w:before="120" w:after="120"/>
              <w:jc w:val="right"/>
              <w:rPr>
                <w:color w:val="000000"/>
                <w:sz w:val="22"/>
                <w:szCs w:val="22"/>
              </w:rPr>
            </w:pPr>
            <w:r w:rsidRPr="0050002C">
              <w:rPr>
                <w:color w:val="000000"/>
                <w:sz w:val="22"/>
                <w:szCs w:val="22"/>
              </w:rPr>
              <w:t>1</w:t>
            </w:r>
          </w:p>
        </w:tc>
      </w:tr>
      <w:tr w:rsidR="0055036D" w:rsidRPr="00C175E3" w:rsidTr="0050002C">
        <w:tc>
          <w:tcPr>
            <w:tcW w:w="1998"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55036D" w:rsidRPr="0050002C" w:rsidRDefault="0055036D" w:rsidP="0050002C">
            <w:pPr>
              <w:autoSpaceDE w:val="0"/>
              <w:autoSpaceDN w:val="0"/>
              <w:spacing w:before="120" w:after="120"/>
              <w:rPr>
                <w:rFonts w:eastAsia="Calibri"/>
                <w:sz w:val="22"/>
                <w:szCs w:val="22"/>
              </w:rPr>
            </w:pPr>
          </w:p>
        </w:tc>
        <w:tc>
          <w:tcPr>
            <w:tcW w:w="2222" w:type="dxa"/>
            <w:tcBorders>
              <w:top w:val="single" w:sz="8" w:space="0" w:color="000000"/>
              <w:left w:val="single" w:sz="8" w:space="0" w:color="000000"/>
              <w:bottom w:val="single" w:sz="8" w:space="0" w:color="000000"/>
              <w:right w:val="single" w:sz="8" w:space="0" w:color="000000"/>
            </w:tcBorders>
            <w:hideMark/>
          </w:tcPr>
          <w:p w:rsidR="0055036D" w:rsidRPr="0050002C" w:rsidRDefault="0055036D" w:rsidP="0050002C">
            <w:pPr>
              <w:autoSpaceDE w:val="0"/>
              <w:autoSpaceDN w:val="0"/>
              <w:spacing w:before="120" w:after="120"/>
              <w:ind w:left="90" w:right="90"/>
              <w:rPr>
                <w:rFonts w:eastAsia="Calibri"/>
                <w:sz w:val="22"/>
                <w:szCs w:val="22"/>
              </w:rPr>
            </w:pPr>
            <w:r w:rsidRPr="0050002C">
              <w:rPr>
                <w:rFonts w:eastAsia="Calibri"/>
                <w:sz w:val="22"/>
                <w:szCs w:val="22"/>
              </w:rPr>
              <w:t xml:space="preserve">NQDW Quitline Services Survey </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036D" w:rsidRPr="0050002C" w:rsidRDefault="0055036D" w:rsidP="0052397C">
            <w:pPr>
              <w:autoSpaceDE w:val="0"/>
              <w:autoSpaceDN w:val="0"/>
              <w:spacing w:before="120" w:after="120"/>
              <w:jc w:val="right"/>
              <w:rPr>
                <w:rFonts w:eastAsia="Calibri"/>
                <w:sz w:val="22"/>
                <w:szCs w:val="22"/>
              </w:rPr>
            </w:pPr>
            <w:r w:rsidRPr="0050002C">
              <w:rPr>
                <w:color w:val="000000"/>
                <w:sz w:val="22"/>
                <w:szCs w:val="22"/>
              </w:rPr>
              <w:t>54</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036D" w:rsidRPr="0050002C" w:rsidRDefault="008D4950" w:rsidP="00767C29">
            <w:pPr>
              <w:autoSpaceDE w:val="0"/>
              <w:autoSpaceDN w:val="0"/>
              <w:spacing w:before="120" w:after="120"/>
              <w:jc w:val="center"/>
              <w:rPr>
                <w:rFonts w:eastAsia="Calibri"/>
                <w:sz w:val="22"/>
                <w:szCs w:val="22"/>
              </w:rPr>
            </w:pPr>
            <w:r>
              <w:rPr>
                <w:color w:val="000000"/>
                <w:sz w:val="22"/>
                <w:szCs w:val="22"/>
              </w:rPr>
              <w:t>2</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036D" w:rsidRPr="0050002C" w:rsidRDefault="008D4950" w:rsidP="00767C29">
            <w:pPr>
              <w:autoSpaceDE w:val="0"/>
              <w:autoSpaceDN w:val="0"/>
              <w:spacing w:before="120" w:after="120"/>
              <w:jc w:val="center"/>
              <w:rPr>
                <w:rFonts w:eastAsia="Calibri"/>
                <w:sz w:val="22"/>
                <w:szCs w:val="22"/>
              </w:rPr>
            </w:pPr>
            <w:r>
              <w:rPr>
                <w:color w:val="000000"/>
                <w:sz w:val="22"/>
                <w:szCs w:val="22"/>
              </w:rPr>
              <w:t>20</w:t>
            </w:r>
            <w:r w:rsidR="0055036D" w:rsidRPr="0050002C">
              <w:rPr>
                <w:color w:val="000000"/>
                <w:sz w:val="22"/>
                <w:szCs w:val="22"/>
              </w:rPr>
              <w:t>/60</w:t>
            </w: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036D" w:rsidRPr="0050002C" w:rsidRDefault="001F7516" w:rsidP="002933B4">
            <w:pPr>
              <w:autoSpaceDE w:val="0"/>
              <w:autoSpaceDN w:val="0"/>
              <w:spacing w:before="120" w:after="120"/>
              <w:jc w:val="right"/>
              <w:rPr>
                <w:rFonts w:eastAsia="Calibri"/>
                <w:sz w:val="22"/>
                <w:szCs w:val="22"/>
              </w:rPr>
            </w:pPr>
            <w:r>
              <w:rPr>
                <w:rFonts w:eastAsia="Calibri"/>
                <w:sz w:val="22"/>
                <w:szCs w:val="22"/>
              </w:rPr>
              <w:t>36</w:t>
            </w:r>
          </w:p>
        </w:tc>
      </w:tr>
      <w:tr w:rsidR="00EC2A5E" w:rsidRPr="00C175E3" w:rsidTr="00205BB6">
        <w:tc>
          <w:tcPr>
            <w:tcW w:w="1998" w:type="dxa"/>
            <w:tcBorders>
              <w:left w:val="single" w:sz="8" w:space="0" w:color="000000"/>
              <w:bottom w:val="single" w:sz="8" w:space="0" w:color="000000"/>
              <w:right w:val="single" w:sz="8" w:space="0" w:color="000000"/>
            </w:tcBorders>
            <w:tcMar>
              <w:top w:w="0" w:type="dxa"/>
              <w:left w:w="108" w:type="dxa"/>
              <w:bottom w:w="0" w:type="dxa"/>
              <w:right w:w="108" w:type="dxa"/>
            </w:tcMar>
          </w:tcPr>
          <w:p w:rsidR="00EC2A5E" w:rsidRPr="002933B4" w:rsidRDefault="00EC2A5E" w:rsidP="002933B4">
            <w:pPr>
              <w:autoSpaceDE w:val="0"/>
              <w:autoSpaceDN w:val="0"/>
              <w:spacing w:before="120" w:after="120"/>
              <w:rPr>
                <w:rFonts w:eastAsia="Calibri"/>
                <w:sz w:val="22"/>
                <w:szCs w:val="22"/>
              </w:rPr>
            </w:pPr>
          </w:p>
        </w:tc>
        <w:tc>
          <w:tcPr>
            <w:tcW w:w="6272" w:type="dxa"/>
            <w:gridSpan w:val="4"/>
            <w:tcBorders>
              <w:top w:val="single" w:sz="8" w:space="0" w:color="000000"/>
              <w:left w:val="single" w:sz="8" w:space="0" w:color="000000"/>
              <w:bottom w:val="single" w:sz="8" w:space="0" w:color="000000"/>
              <w:right w:val="single" w:sz="8" w:space="0" w:color="000000"/>
            </w:tcBorders>
          </w:tcPr>
          <w:p w:rsidR="00EC2A5E" w:rsidRPr="002933B4" w:rsidRDefault="00EC2A5E" w:rsidP="00F87B80">
            <w:pPr>
              <w:autoSpaceDE w:val="0"/>
              <w:autoSpaceDN w:val="0"/>
              <w:spacing w:before="120" w:after="120"/>
              <w:jc w:val="right"/>
              <w:rPr>
                <w:color w:val="000000"/>
                <w:sz w:val="22"/>
                <w:szCs w:val="22"/>
              </w:rPr>
            </w:pPr>
            <w:r w:rsidRPr="002933B4">
              <w:rPr>
                <w:rFonts w:eastAsia="Calibri"/>
                <w:sz w:val="22"/>
                <w:szCs w:val="22"/>
              </w:rPr>
              <w:t>Total</w:t>
            </w:r>
            <w:r>
              <w:rPr>
                <w:rFonts w:eastAsia="Calibri"/>
                <w:sz w:val="22"/>
                <w:szCs w:val="22"/>
              </w:rPr>
              <w:t xml:space="preserve">    </w:t>
            </w: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C2A5E" w:rsidRPr="002933B4" w:rsidRDefault="0045615C">
            <w:pPr>
              <w:autoSpaceDE w:val="0"/>
              <w:autoSpaceDN w:val="0"/>
              <w:spacing w:before="120" w:after="120"/>
              <w:jc w:val="right"/>
              <w:rPr>
                <w:rFonts w:eastAsia="Calibri"/>
                <w:sz w:val="22"/>
                <w:szCs w:val="22"/>
              </w:rPr>
            </w:pPr>
            <w:r>
              <w:rPr>
                <w:rFonts w:eastAsia="Calibri"/>
                <w:sz w:val="22"/>
                <w:szCs w:val="22"/>
              </w:rPr>
              <w:t>82,</w:t>
            </w:r>
            <w:r w:rsidR="008D4950">
              <w:rPr>
                <w:rFonts w:eastAsia="Calibri"/>
                <w:sz w:val="22"/>
                <w:szCs w:val="22"/>
              </w:rPr>
              <w:t>440</w:t>
            </w:r>
          </w:p>
        </w:tc>
      </w:tr>
    </w:tbl>
    <w:p w:rsidR="000530E6" w:rsidRPr="00C06BA9" w:rsidRDefault="000530E6" w:rsidP="004F7B18">
      <w:pPr>
        <w:spacing w:after="120"/>
        <w:ind w:firstLine="720"/>
        <w:rPr>
          <w:rFonts w:eastAsia="Calibri"/>
        </w:rPr>
      </w:pPr>
    </w:p>
    <w:p w:rsidR="00075DCE" w:rsidRPr="00EE3B48" w:rsidRDefault="00075DCE" w:rsidP="00EE3B48">
      <w:pPr>
        <w:rPr>
          <w:color w:val="000000"/>
        </w:rPr>
      </w:pPr>
    </w:p>
    <w:p w:rsidR="00EE3B48" w:rsidRPr="00EE3B48" w:rsidRDefault="00EE3B48" w:rsidP="004F7B18">
      <w:pPr>
        <w:spacing w:after="120"/>
        <w:ind w:firstLine="720"/>
        <w:rPr>
          <w:color w:val="000000"/>
        </w:rPr>
      </w:pPr>
      <w:r w:rsidRPr="00EE3B48">
        <w:rPr>
          <w:color w:val="000000"/>
        </w:rPr>
        <w:t xml:space="preserve">The burden estimates for caller-level information collection are based on the length of the CATI interviews with callers.  The majority of states have contracts with private-sector quitline service providers to manage the information collected through the CATI systems.  The data management, cleaning and reporting activities conducted by quitline service providers are accounted for in their contractual agreements with states, and do not represent burden to the public.  </w:t>
      </w:r>
      <w:r w:rsidR="00D32DC8" w:rsidRPr="00EE3B48">
        <w:rPr>
          <w:color w:val="000000"/>
        </w:rPr>
        <w:t>CDC allows states to use cooperative agreement funding to support these contracts.</w:t>
      </w:r>
      <w:r w:rsidR="00566548">
        <w:rPr>
          <w:color w:val="000000"/>
        </w:rPr>
        <w:t xml:space="preserve">  </w:t>
      </w:r>
      <w:r w:rsidRPr="00EE3B48">
        <w:rPr>
          <w:color w:val="000000"/>
        </w:rPr>
        <w:t>As quality improvement and cost containment measures, CDC provides substantial technical assistance to states to support and streamline these processes.</w:t>
      </w:r>
      <w:r w:rsidR="00D866B6">
        <w:rPr>
          <w:color w:val="000000"/>
        </w:rPr>
        <w:t xml:space="preserve"> </w:t>
      </w:r>
      <w:r w:rsidRPr="00EE3B48">
        <w:rPr>
          <w:color w:val="000000"/>
        </w:rPr>
        <w:t>Respondents for the NQDW Quitline Services Survey are tobacco control mangers or their designees</w:t>
      </w:r>
      <w:r w:rsidR="00D866B6">
        <w:rPr>
          <w:color w:val="000000"/>
        </w:rPr>
        <w:t>, which might include quitline service providers such as the ASQ</w:t>
      </w:r>
      <w:r w:rsidRPr="00EE3B48">
        <w:rPr>
          <w:color w:val="000000"/>
        </w:rPr>
        <w:t>. Their time is accounted for in the total burden estimate for the NQDW information collection.</w:t>
      </w:r>
    </w:p>
    <w:p w:rsidR="00EE3B48" w:rsidRPr="00EE3B48" w:rsidRDefault="00EE3B48" w:rsidP="00EE3B48">
      <w:pPr>
        <w:ind w:firstLine="720"/>
      </w:pPr>
    </w:p>
    <w:p w:rsidR="00EE3B48" w:rsidRPr="00EE3B48" w:rsidRDefault="00EE3B48" w:rsidP="00EE3B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firstLine="720"/>
        <w:rPr>
          <w:b/>
          <w:u w:val="single"/>
        </w:rPr>
      </w:pPr>
      <w:r w:rsidRPr="00EE3B48">
        <w:rPr>
          <w:b/>
          <w:bCs/>
          <w:color w:val="000000"/>
          <w:u w:val="single"/>
        </w:rPr>
        <w:t>A.12.b  Estimated Annualized Cost to Respondents</w:t>
      </w:r>
      <w:r w:rsidRPr="00EE3B48">
        <w:rPr>
          <w:b/>
          <w:u w:val="single"/>
        </w:rPr>
        <w:t xml:space="preserve"> </w:t>
      </w:r>
    </w:p>
    <w:p w:rsidR="00EE3B48" w:rsidRPr="00EE3B48" w:rsidRDefault="00EE3B48" w:rsidP="00EE3B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firstLine="720"/>
        <w:rPr>
          <w:b/>
          <w:u w:val="single"/>
        </w:rPr>
      </w:pPr>
    </w:p>
    <w:p w:rsidR="00EE3B48" w:rsidRPr="00EE3B48" w:rsidRDefault="00A01E92" w:rsidP="00EE3B48">
      <w:pPr>
        <w:ind w:firstLine="720"/>
        <w:rPr>
          <w:color w:val="000000"/>
        </w:rPr>
      </w:pPr>
      <w:r w:rsidRPr="00EE3B48">
        <w:rPr>
          <w:color w:val="000000"/>
        </w:rPr>
        <w:t>There are no direct costs to the respondents in this planned data collection.  Indirect costs to adult respondents can be calculated in terms of the time required to respond to the three questionnaires.  For these calculations, we used the average hourly wage rate of $</w:t>
      </w:r>
      <w:r w:rsidR="00DD6B5A">
        <w:rPr>
          <w:color w:val="000000"/>
        </w:rPr>
        <w:t>26.84</w:t>
      </w:r>
      <w:r w:rsidRPr="00EE3B48">
        <w:rPr>
          <w:color w:val="000000"/>
        </w:rPr>
        <w:t>/hour (</w:t>
      </w:r>
      <w:r w:rsidRPr="00EE3B48">
        <w:t>estimated mean of state, local and private industry earnings,</w:t>
      </w:r>
      <w:r w:rsidRPr="00EE3B48">
        <w:rPr>
          <w:color w:val="000000"/>
        </w:rPr>
        <w:t xml:space="preserve"> </w:t>
      </w:r>
      <w:r w:rsidRPr="00EE3B48">
        <w:t xml:space="preserve">U.S. Department of Labor). </w:t>
      </w:r>
      <w:r w:rsidRPr="00EE3B48">
        <w:rPr>
          <w:color w:val="000000"/>
        </w:rPr>
        <w:t xml:space="preserve"> </w:t>
      </w:r>
      <w:r>
        <w:rPr>
          <w:color w:val="000000"/>
        </w:rPr>
        <w:t>Reporting on</w:t>
      </w:r>
      <w:r w:rsidRPr="00EE3B48">
        <w:rPr>
          <w:color w:val="000000"/>
        </w:rPr>
        <w:t xml:space="preserve"> the NQDW Quitline Services Survey is a requirement of </w:t>
      </w:r>
      <w:r>
        <w:rPr>
          <w:color w:val="000000"/>
        </w:rPr>
        <w:t xml:space="preserve">The CDC core cooperative agreement for state tobacco control programs as well as CDC cooperative agreements that specifically provide funding for quitlines. </w:t>
      </w:r>
      <w:r w:rsidR="00EE3B48" w:rsidRPr="00EE3B48">
        <w:rPr>
          <w:color w:val="000000"/>
        </w:rPr>
        <w:t xml:space="preserve">These awards provide compensation for the cost of the state health department personnel’s time. </w:t>
      </w:r>
      <w:r w:rsidR="00EE3B48" w:rsidRPr="00EE3B48">
        <w:t xml:space="preserve">The total estimated annualized cost to respondents is </w:t>
      </w:r>
      <w:r w:rsidR="00631FBC">
        <w:t>$</w:t>
      </w:r>
      <w:r w:rsidR="00752E80" w:rsidRPr="00752E80">
        <w:rPr>
          <w:color w:val="000000"/>
          <w:sz w:val="22"/>
          <w:szCs w:val="22"/>
        </w:rPr>
        <w:t>2,213,683</w:t>
      </w:r>
      <w:r w:rsidR="00EE3B48" w:rsidRPr="00752E80">
        <w:t>.</w:t>
      </w:r>
      <w:r w:rsidR="00EE3B48" w:rsidRPr="00EE3B48">
        <w:t xml:space="preserve">  </w:t>
      </w:r>
    </w:p>
    <w:p w:rsidR="0080679D" w:rsidRDefault="0080679D">
      <w:pPr>
        <w:rPr>
          <w:b/>
        </w:rPr>
      </w:pPr>
      <w:r>
        <w:rPr>
          <w:b/>
        </w:rPr>
        <w:br w:type="page"/>
      </w:r>
    </w:p>
    <w:p w:rsidR="00EE3B48" w:rsidRDefault="00EE3B48" w:rsidP="00AC540F">
      <w:pPr>
        <w:keepNext/>
        <w:keepLines/>
        <w:spacing w:after="120"/>
        <w:rPr>
          <w:b/>
        </w:rPr>
      </w:pPr>
      <w:r w:rsidRPr="00EE3B48">
        <w:rPr>
          <w:b/>
        </w:rPr>
        <w:t>Table A-12.b. Annualized Estimated Cost to Respondents</w:t>
      </w:r>
    </w:p>
    <w:tbl>
      <w:tblPr>
        <w:tblW w:w="104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1998"/>
        <w:gridCol w:w="1800"/>
        <w:gridCol w:w="1440"/>
        <w:gridCol w:w="1350"/>
        <w:gridCol w:w="1142"/>
        <w:gridCol w:w="2700"/>
      </w:tblGrid>
      <w:tr w:rsidR="00EC2A5E" w:rsidRPr="00E72C47" w:rsidTr="00D119DF">
        <w:trPr>
          <w:trHeight w:val="683"/>
          <w:jc w:val="center"/>
        </w:trPr>
        <w:tc>
          <w:tcPr>
            <w:tcW w:w="1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EC2A5E" w:rsidRPr="00F87B80" w:rsidRDefault="00EC2A5E" w:rsidP="00AC540F">
            <w:pPr>
              <w:autoSpaceDE w:val="0"/>
              <w:autoSpaceDN w:val="0"/>
              <w:spacing w:after="40"/>
              <w:jc w:val="center"/>
              <w:rPr>
                <w:rFonts w:eastAsia="Calibri"/>
                <w:sz w:val="22"/>
                <w:szCs w:val="22"/>
              </w:rPr>
            </w:pPr>
            <w:r w:rsidRPr="00F87B80">
              <w:rPr>
                <w:rFonts w:eastAsia="Calibri"/>
                <w:sz w:val="22"/>
                <w:szCs w:val="22"/>
              </w:rPr>
              <w:t>Type of respondent</w:t>
            </w:r>
          </w:p>
        </w:tc>
        <w:tc>
          <w:tcPr>
            <w:tcW w:w="1800" w:type="dxa"/>
            <w:tcBorders>
              <w:top w:val="single" w:sz="8" w:space="0" w:color="000000"/>
              <w:left w:val="single" w:sz="8" w:space="0" w:color="000000"/>
              <w:bottom w:val="single" w:sz="8" w:space="0" w:color="000000"/>
              <w:right w:val="single" w:sz="8" w:space="0" w:color="000000"/>
            </w:tcBorders>
            <w:vAlign w:val="bottom"/>
            <w:hideMark/>
          </w:tcPr>
          <w:p w:rsidR="00EC2A5E" w:rsidRPr="00F87B80" w:rsidRDefault="00EC2A5E" w:rsidP="00AC540F">
            <w:pPr>
              <w:autoSpaceDE w:val="0"/>
              <w:autoSpaceDN w:val="0"/>
              <w:spacing w:after="40"/>
              <w:jc w:val="center"/>
              <w:rPr>
                <w:rFonts w:eastAsia="Calibri"/>
                <w:sz w:val="22"/>
                <w:szCs w:val="22"/>
              </w:rPr>
            </w:pPr>
            <w:r w:rsidRPr="00F87B80">
              <w:rPr>
                <w:rFonts w:eastAsia="Calibri"/>
                <w:sz w:val="22"/>
                <w:szCs w:val="22"/>
              </w:rPr>
              <w:t>Form Name</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EC2A5E" w:rsidRPr="00F87B80" w:rsidRDefault="00EC2A5E" w:rsidP="00AC540F">
            <w:pPr>
              <w:autoSpaceDE w:val="0"/>
              <w:autoSpaceDN w:val="0"/>
              <w:spacing w:after="40"/>
              <w:jc w:val="center"/>
              <w:rPr>
                <w:rFonts w:eastAsia="Calibri"/>
                <w:sz w:val="22"/>
                <w:szCs w:val="22"/>
              </w:rPr>
            </w:pPr>
            <w:r w:rsidRPr="00F87B80">
              <w:rPr>
                <w:rFonts w:eastAsia="Calibri"/>
                <w:sz w:val="22"/>
                <w:szCs w:val="22"/>
              </w:rPr>
              <w:t>Number of</w:t>
            </w:r>
          </w:p>
          <w:p w:rsidR="00EC2A5E" w:rsidRPr="00F87B80" w:rsidRDefault="00EC2A5E" w:rsidP="00AC540F">
            <w:pPr>
              <w:autoSpaceDE w:val="0"/>
              <w:autoSpaceDN w:val="0"/>
              <w:spacing w:after="40"/>
              <w:jc w:val="center"/>
              <w:rPr>
                <w:rFonts w:eastAsia="Calibri"/>
                <w:sz w:val="22"/>
                <w:szCs w:val="22"/>
              </w:rPr>
            </w:pPr>
            <w:r w:rsidRPr="00F87B80">
              <w:rPr>
                <w:rFonts w:eastAsia="Calibri"/>
                <w:sz w:val="22"/>
                <w:szCs w:val="22"/>
              </w:rPr>
              <w:t>respondents</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EC2A5E" w:rsidRPr="00F87B80" w:rsidRDefault="00EC2A5E" w:rsidP="00AC540F">
            <w:pPr>
              <w:autoSpaceDE w:val="0"/>
              <w:autoSpaceDN w:val="0"/>
              <w:spacing w:after="40"/>
              <w:jc w:val="center"/>
              <w:rPr>
                <w:rFonts w:eastAsia="Calibri"/>
                <w:sz w:val="22"/>
                <w:szCs w:val="22"/>
              </w:rPr>
            </w:pPr>
            <w:r>
              <w:rPr>
                <w:rFonts w:eastAsia="Calibri"/>
                <w:sz w:val="22"/>
                <w:szCs w:val="22"/>
              </w:rPr>
              <w:t xml:space="preserve">Total </w:t>
            </w:r>
          </w:p>
          <w:p w:rsidR="00EC2A5E" w:rsidRPr="00F87B80" w:rsidRDefault="00EC2A5E" w:rsidP="00AC540F">
            <w:pPr>
              <w:autoSpaceDE w:val="0"/>
              <w:autoSpaceDN w:val="0"/>
              <w:spacing w:after="40"/>
              <w:jc w:val="center"/>
              <w:rPr>
                <w:rFonts w:eastAsia="Calibri"/>
                <w:sz w:val="22"/>
                <w:szCs w:val="22"/>
              </w:rPr>
            </w:pPr>
            <w:r w:rsidRPr="00EC2A5E">
              <w:rPr>
                <w:rFonts w:eastAsia="Calibri"/>
                <w:sz w:val="22"/>
                <w:szCs w:val="22"/>
              </w:rPr>
              <w:t>B</w:t>
            </w:r>
            <w:r w:rsidRPr="00F87B80">
              <w:rPr>
                <w:rFonts w:eastAsia="Calibri"/>
                <w:sz w:val="22"/>
                <w:szCs w:val="22"/>
              </w:rPr>
              <w:t>urden</w:t>
            </w:r>
            <w:r>
              <w:rPr>
                <w:rFonts w:eastAsia="Calibri"/>
                <w:sz w:val="22"/>
                <w:szCs w:val="22"/>
              </w:rPr>
              <w:t xml:space="preserve"> </w:t>
            </w:r>
            <w:r w:rsidRPr="00F87B80">
              <w:rPr>
                <w:rFonts w:eastAsia="Calibri"/>
                <w:sz w:val="22"/>
                <w:szCs w:val="22"/>
              </w:rPr>
              <w:t>(in hours)</w:t>
            </w:r>
          </w:p>
        </w:tc>
        <w:tc>
          <w:tcPr>
            <w:tcW w:w="1142" w:type="dxa"/>
            <w:tcBorders>
              <w:top w:val="single" w:sz="8" w:space="0" w:color="000000"/>
              <w:left w:val="single" w:sz="8" w:space="0" w:color="000000"/>
              <w:bottom w:val="single" w:sz="8" w:space="0" w:color="000000"/>
              <w:right w:val="single" w:sz="8" w:space="0" w:color="000000"/>
            </w:tcBorders>
            <w:vAlign w:val="bottom"/>
          </w:tcPr>
          <w:p w:rsidR="00EC2A5E" w:rsidRPr="00F87B80" w:rsidRDefault="00EC2A5E" w:rsidP="00AC540F">
            <w:pPr>
              <w:autoSpaceDE w:val="0"/>
              <w:autoSpaceDN w:val="0"/>
              <w:spacing w:after="40"/>
              <w:jc w:val="center"/>
              <w:rPr>
                <w:rFonts w:eastAsia="Calibri"/>
                <w:sz w:val="22"/>
                <w:szCs w:val="22"/>
              </w:rPr>
            </w:pPr>
            <w:r w:rsidRPr="00F87B80">
              <w:rPr>
                <w:rFonts w:eastAsia="Calibri"/>
                <w:sz w:val="22"/>
                <w:szCs w:val="22"/>
              </w:rPr>
              <w:t>Average Hourly Wage</w:t>
            </w:r>
          </w:p>
        </w:tc>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EC2A5E" w:rsidRPr="00F87B80" w:rsidRDefault="00EC2A5E" w:rsidP="00AC540F">
            <w:pPr>
              <w:autoSpaceDE w:val="0"/>
              <w:autoSpaceDN w:val="0"/>
              <w:spacing w:after="40"/>
              <w:jc w:val="center"/>
              <w:rPr>
                <w:rFonts w:eastAsia="Calibri"/>
                <w:sz w:val="22"/>
                <w:szCs w:val="22"/>
              </w:rPr>
            </w:pPr>
            <w:r w:rsidRPr="00F87B80">
              <w:rPr>
                <w:rFonts w:eastAsia="Calibri"/>
                <w:sz w:val="22"/>
                <w:szCs w:val="22"/>
              </w:rPr>
              <w:t>Total cost</w:t>
            </w:r>
          </w:p>
          <w:p w:rsidR="00EC2A5E" w:rsidRPr="00F87B80" w:rsidRDefault="00EC2A5E" w:rsidP="00AC540F">
            <w:pPr>
              <w:autoSpaceDE w:val="0"/>
              <w:autoSpaceDN w:val="0"/>
              <w:spacing w:after="40"/>
              <w:jc w:val="center"/>
              <w:rPr>
                <w:rFonts w:eastAsia="Calibri"/>
                <w:sz w:val="22"/>
                <w:szCs w:val="22"/>
              </w:rPr>
            </w:pPr>
          </w:p>
        </w:tc>
      </w:tr>
      <w:tr w:rsidR="00B15A8A" w:rsidRPr="00E25B6A" w:rsidTr="00D119DF">
        <w:trPr>
          <w:trHeight w:val="1276"/>
          <w:jc w:val="center"/>
        </w:trPr>
        <w:tc>
          <w:tcPr>
            <w:tcW w:w="1998"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B15A8A" w:rsidRPr="00F87B80" w:rsidRDefault="00F67549" w:rsidP="00B15A8A">
            <w:pPr>
              <w:autoSpaceDE w:val="0"/>
              <w:autoSpaceDN w:val="0"/>
              <w:spacing w:before="60"/>
              <w:rPr>
                <w:rFonts w:eastAsia="Calibri"/>
                <w:sz w:val="22"/>
                <w:szCs w:val="22"/>
              </w:rPr>
            </w:pPr>
            <w:r>
              <w:rPr>
                <w:rFonts w:eastAsia="Calibri"/>
                <w:sz w:val="22"/>
                <w:szCs w:val="22"/>
              </w:rPr>
              <w:t>.</w:t>
            </w:r>
            <w:r w:rsidR="00B15A8A" w:rsidRPr="00F87B80">
              <w:rPr>
                <w:rFonts w:eastAsia="Calibri"/>
                <w:sz w:val="22"/>
                <w:szCs w:val="22"/>
              </w:rPr>
              <w:t>Quitline callers who contact the quitline for help for themselves</w:t>
            </w:r>
          </w:p>
        </w:tc>
        <w:tc>
          <w:tcPr>
            <w:tcW w:w="1800" w:type="dxa"/>
            <w:tcBorders>
              <w:top w:val="single" w:sz="8" w:space="0" w:color="000000"/>
              <w:left w:val="single" w:sz="8" w:space="0" w:color="000000"/>
              <w:right w:val="single" w:sz="8" w:space="0" w:color="000000"/>
            </w:tcBorders>
          </w:tcPr>
          <w:p w:rsidR="00B15A8A" w:rsidRPr="00F87B80" w:rsidRDefault="00B15A8A" w:rsidP="00B15A8A">
            <w:pPr>
              <w:autoSpaceDE w:val="0"/>
              <w:autoSpaceDN w:val="0"/>
              <w:spacing w:before="60"/>
              <w:ind w:left="90" w:right="90"/>
              <w:rPr>
                <w:rFonts w:eastAsia="Calibri"/>
                <w:sz w:val="22"/>
                <w:szCs w:val="22"/>
              </w:rPr>
            </w:pPr>
            <w:r w:rsidRPr="00F87B80">
              <w:rPr>
                <w:rFonts w:eastAsia="Calibri"/>
                <w:sz w:val="22"/>
                <w:szCs w:val="22"/>
              </w:rPr>
              <w:t>NQDW Intake Questionnaire (</w:t>
            </w:r>
            <w:r>
              <w:rPr>
                <w:rFonts w:eastAsia="Calibri"/>
                <w:sz w:val="22"/>
                <w:szCs w:val="22"/>
              </w:rPr>
              <w:t>English-</w:t>
            </w:r>
            <w:r w:rsidRPr="00F87B80">
              <w:rPr>
                <w:rFonts w:eastAsia="Calibri"/>
                <w:sz w:val="22"/>
                <w:szCs w:val="22"/>
              </w:rPr>
              <w:t>complete)</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15A8A" w:rsidRPr="00F87B80" w:rsidRDefault="00B15A8A" w:rsidP="00B15A8A">
            <w:pPr>
              <w:autoSpaceDE w:val="0"/>
              <w:autoSpaceDN w:val="0"/>
              <w:spacing w:before="60"/>
              <w:jc w:val="right"/>
              <w:rPr>
                <w:rFonts w:eastAsia="Calibri"/>
                <w:sz w:val="22"/>
                <w:szCs w:val="22"/>
              </w:rPr>
            </w:pPr>
            <w:r>
              <w:rPr>
                <w:rFonts w:eastAsia="Calibri"/>
                <w:sz w:val="22"/>
                <w:szCs w:val="22"/>
              </w:rPr>
              <w:t>488,846</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15A8A" w:rsidRPr="00F87B80" w:rsidRDefault="00B15A8A" w:rsidP="00B15A8A">
            <w:pPr>
              <w:autoSpaceDE w:val="0"/>
              <w:autoSpaceDN w:val="0"/>
              <w:spacing w:before="60"/>
              <w:jc w:val="center"/>
              <w:rPr>
                <w:rFonts w:eastAsia="Calibri"/>
                <w:sz w:val="22"/>
                <w:szCs w:val="22"/>
              </w:rPr>
            </w:pPr>
            <w:r>
              <w:rPr>
                <w:rFonts w:eastAsia="Calibri"/>
                <w:sz w:val="22"/>
                <w:szCs w:val="22"/>
              </w:rPr>
              <w:t>81,474</w:t>
            </w:r>
          </w:p>
        </w:tc>
        <w:tc>
          <w:tcPr>
            <w:tcW w:w="1142" w:type="dxa"/>
            <w:tcBorders>
              <w:top w:val="single" w:sz="8" w:space="0" w:color="000000"/>
              <w:left w:val="single" w:sz="8" w:space="0" w:color="000000"/>
              <w:bottom w:val="single" w:sz="8" w:space="0" w:color="000000"/>
              <w:right w:val="single" w:sz="8" w:space="0" w:color="000000"/>
            </w:tcBorders>
          </w:tcPr>
          <w:p w:rsidR="00B15A8A" w:rsidRPr="00F87B80" w:rsidRDefault="00B15A8A" w:rsidP="00B15A8A">
            <w:pPr>
              <w:autoSpaceDE w:val="0"/>
              <w:autoSpaceDN w:val="0"/>
              <w:spacing w:before="60"/>
              <w:jc w:val="center"/>
              <w:rPr>
                <w:rFonts w:eastAsia="Calibri"/>
                <w:sz w:val="22"/>
                <w:szCs w:val="22"/>
              </w:rPr>
            </w:pPr>
            <w:r w:rsidRPr="00F87B80">
              <w:rPr>
                <w:rFonts w:eastAsia="Calibri"/>
                <w:sz w:val="22"/>
                <w:szCs w:val="22"/>
              </w:rPr>
              <w:t>$</w:t>
            </w:r>
            <w:r>
              <w:rPr>
                <w:rFonts w:eastAsia="Calibri"/>
                <w:sz w:val="22"/>
                <w:szCs w:val="22"/>
              </w:rPr>
              <w:t>27</w:t>
            </w:r>
          </w:p>
        </w:tc>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B15A8A" w:rsidRPr="00F87B80" w:rsidRDefault="00B15A8A" w:rsidP="00537926">
            <w:pPr>
              <w:autoSpaceDE w:val="0"/>
              <w:autoSpaceDN w:val="0"/>
              <w:spacing w:before="60"/>
              <w:jc w:val="right"/>
              <w:rPr>
                <w:rFonts w:eastAsia="Calibri"/>
                <w:sz w:val="22"/>
                <w:szCs w:val="22"/>
              </w:rPr>
            </w:pPr>
            <w:r>
              <w:rPr>
                <w:rFonts w:ascii="Calibri" w:hAnsi="Calibri" w:cs="Calibri"/>
                <w:color w:val="000000"/>
                <w:sz w:val="22"/>
                <w:szCs w:val="22"/>
              </w:rPr>
              <w:t>$2,199,798.00</w:t>
            </w:r>
          </w:p>
        </w:tc>
      </w:tr>
      <w:tr w:rsidR="00B15A8A" w:rsidRPr="00E72C47" w:rsidTr="00D119DF">
        <w:trPr>
          <w:trHeight w:val="1258"/>
          <w:jc w:val="center"/>
        </w:trPr>
        <w:tc>
          <w:tcPr>
            <w:tcW w:w="1998" w:type="dxa"/>
            <w:vMerge/>
            <w:tcBorders>
              <w:left w:val="single" w:sz="8" w:space="0" w:color="000000"/>
              <w:right w:val="single" w:sz="8" w:space="0" w:color="000000"/>
            </w:tcBorders>
            <w:tcMar>
              <w:top w:w="0" w:type="dxa"/>
              <w:left w:w="108" w:type="dxa"/>
              <w:bottom w:w="0" w:type="dxa"/>
              <w:right w:w="108" w:type="dxa"/>
            </w:tcMar>
          </w:tcPr>
          <w:p w:rsidR="00B15A8A" w:rsidRPr="00F87B80" w:rsidRDefault="00B15A8A" w:rsidP="00B15A8A">
            <w:pPr>
              <w:autoSpaceDE w:val="0"/>
              <w:autoSpaceDN w:val="0"/>
              <w:spacing w:before="60"/>
              <w:rPr>
                <w:rFonts w:eastAsia="Calibri"/>
                <w:sz w:val="22"/>
                <w:szCs w:val="22"/>
              </w:rPr>
            </w:pPr>
          </w:p>
        </w:tc>
        <w:tc>
          <w:tcPr>
            <w:tcW w:w="1800" w:type="dxa"/>
            <w:tcBorders>
              <w:left w:val="single" w:sz="8" w:space="0" w:color="000000"/>
              <w:bottom w:val="single" w:sz="8" w:space="0" w:color="000000"/>
              <w:right w:val="single" w:sz="8" w:space="0" w:color="000000"/>
            </w:tcBorders>
          </w:tcPr>
          <w:p w:rsidR="00B15A8A" w:rsidRPr="00F87B80" w:rsidRDefault="00B15A8A" w:rsidP="00B15A8A">
            <w:pPr>
              <w:autoSpaceDE w:val="0"/>
              <w:autoSpaceDN w:val="0"/>
              <w:spacing w:before="60"/>
              <w:ind w:left="90" w:right="90"/>
              <w:rPr>
                <w:rFonts w:eastAsia="Calibri"/>
                <w:sz w:val="22"/>
                <w:szCs w:val="22"/>
              </w:rPr>
            </w:pPr>
            <w:r w:rsidRPr="00F87B80">
              <w:rPr>
                <w:rFonts w:eastAsia="Calibri"/>
                <w:sz w:val="22"/>
                <w:szCs w:val="22"/>
              </w:rPr>
              <w:t>NQDW (ASQ) Intake Questionnaire (Chinese, Korean, or Vietnamese</w:t>
            </w:r>
            <w:r>
              <w:rPr>
                <w:rFonts w:eastAsia="Calibri"/>
                <w:sz w:val="22"/>
                <w:szCs w:val="22"/>
              </w:rPr>
              <w:t>-complete</w:t>
            </w:r>
            <w:r w:rsidRPr="00F87B80">
              <w:rPr>
                <w:rFonts w:eastAsia="Calibri"/>
                <w:sz w:val="22"/>
                <w:szCs w:val="22"/>
              </w:rPr>
              <w:t>)</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15A8A" w:rsidRPr="00F87B80" w:rsidRDefault="00B15A8A" w:rsidP="00B15A8A">
            <w:pPr>
              <w:autoSpaceDE w:val="0"/>
              <w:autoSpaceDN w:val="0"/>
              <w:spacing w:before="60"/>
              <w:jc w:val="right"/>
              <w:rPr>
                <w:color w:val="000000"/>
                <w:sz w:val="22"/>
                <w:szCs w:val="22"/>
              </w:rPr>
            </w:pPr>
            <w:r>
              <w:rPr>
                <w:rFonts w:eastAsia="Calibri"/>
                <w:sz w:val="22"/>
                <w:szCs w:val="22"/>
              </w:rPr>
              <w:t>1,935</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15A8A" w:rsidRPr="00F87B80" w:rsidRDefault="00B15A8A" w:rsidP="00B15A8A">
            <w:pPr>
              <w:autoSpaceDE w:val="0"/>
              <w:autoSpaceDN w:val="0"/>
              <w:spacing w:before="60"/>
              <w:jc w:val="center"/>
              <w:rPr>
                <w:color w:val="000000"/>
                <w:sz w:val="22"/>
                <w:szCs w:val="22"/>
              </w:rPr>
            </w:pPr>
            <w:r>
              <w:rPr>
                <w:rFonts w:eastAsia="Calibri"/>
                <w:sz w:val="22"/>
                <w:szCs w:val="22"/>
              </w:rPr>
              <w:t>323</w:t>
            </w:r>
          </w:p>
        </w:tc>
        <w:tc>
          <w:tcPr>
            <w:tcW w:w="1142" w:type="dxa"/>
            <w:tcBorders>
              <w:top w:val="single" w:sz="8" w:space="0" w:color="000000"/>
              <w:left w:val="single" w:sz="8" w:space="0" w:color="000000"/>
              <w:bottom w:val="single" w:sz="8" w:space="0" w:color="000000"/>
              <w:right w:val="single" w:sz="8" w:space="0" w:color="000000"/>
            </w:tcBorders>
          </w:tcPr>
          <w:p w:rsidR="00B15A8A" w:rsidRPr="00F87B80" w:rsidRDefault="00B15A8A" w:rsidP="00B15A8A">
            <w:pPr>
              <w:autoSpaceDE w:val="0"/>
              <w:autoSpaceDN w:val="0"/>
              <w:spacing w:before="60"/>
              <w:jc w:val="center"/>
              <w:rPr>
                <w:color w:val="000000"/>
                <w:sz w:val="22"/>
                <w:szCs w:val="22"/>
              </w:rPr>
            </w:pPr>
            <w:r w:rsidRPr="00B3496F">
              <w:rPr>
                <w:rFonts w:eastAsia="Calibri"/>
                <w:sz w:val="22"/>
                <w:szCs w:val="22"/>
              </w:rPr>
              <w:t>$27</w:t>
            </w:r>
          </w:p>
        </w:tc>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B15A8A" w:rsidRPr="00187419" w:rsidRDefault="00B15A8A" w:rsidP="00537926">
            <w:pPr>
              <w:autoSpaceDE w:val="0"/>
              <w:autoSpaceDN w:val="0"/>
              <w:spacing w:before="60"/>
              <w:jc w:val="right"/>
              <w:rPr>
                <w:rFonts w:eastAsia="Calibri"/>
                <w:sz w:val="22"/>
                <w:szCs w:val="22"/>
              </w:rPr>
            </w:pPr>
            <w:r>
              <w:rPr>
                <w:rFonts w:ascii="Calibri" w:hAnsi="Calibri" w:cs="Calibri"/>
                <w:color w:val="000000"/>
                <w:sz w:val="22"/>
                <w:szCs w:val="22"/>
              </w:rPr>
              <w:t>$8,721.00</w:t>
            </w:r>
          </w:p>
        </w:tc>
      </w:tr>
      <w:tr w:rsidR="00B15A8A" w:rsidRPr="00E72C47" w:rsidTr="00D119DF">
        <w:trPr>
          <w:trHeight w:val="1258"/>
          <w:jc w:val="center"/>
        </w:trPr>
        <w:tc>
          <w:tcPr>
            <w:tcW w:w="1998"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B15A8A" w:rsidRPr="00F87B80" w:rsidRDefault="00B15A8A" w:rsidP="00B15A8A">
            <w:pPr>
              <w:autoSpaceDE w:val="0"/>
              <w:autoSpaceDN w:val="0"/>
              <w:spacing w:before="60"/>
              <w:rPr>
                <w:rFonts w:eastAsia="Calibri"/>
                <w:sz w:val="22"/>
                <w:szCs w:val="22"/>
              </w:rPr>
            </w:pPr>
          </w:p>
        </w:tc>
        <w:tc>
          <w:tcPr>
            <w:tcW w:w="1800" w:type="dxa"/>
            <w:tcBorders>
              <w:left w:val="single" w:sz="8" w:space="0" w:color="000000"/>
              <w:bottom w:val="single" w:sz="8" w:space="0" w:color="000000"/>
              <w:right w:val="single" w:sz="8" w:space="0" w:color="000000"/>
            </w:tcBorders>
          </w:tcPr>
          <w:p w:rsidR="00B15A8A" w:rsidRPr="00F87B80" w:rsidRDefault="00B15A8A" w:rsidP="00B15A8A">
            <w:pPr>
              <w:autoSpaceDE w:val="0"/>
              <w:autoSpaceDN w:val="0"/>
              <w:spacing w:before="60"/>
              <w:ind w:left="90" w:right="90"/>
              <w:rPr>
                <w:rFonts w:eastAsia="Calibri"/>
                <w:sz w:val="22"/>
                <w:szCs w:val="22"/>
              </w:rPr>
            </w:pPr>
            <w:r w:rsidRPr="00F87B80">
              <w:rPr>
                <w:rFonts w:eastAsia="Calibri"/>
                <w:sz w:val="22"/>
                <w:szCs w:val="22"/>
              </w:rPr>
              <w:t>NQDW (ASQ) Seven-Month Follow-up Questionnaire</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15A8A" w:rsidRPr="00F87B80" w:rsidRDefault="00B15A8A" w:rsidP="00B15A8A">
            <w:pPr>
              <w:autoSpaceDE w:val="0"/>
              <w:autoSpaceDN w:val="0"/>
              <w:spacing w:before="60"/>
              <w:jc w:val="right"/>
              <w:rPr>
                <w:rFonts w:eastAsia="Calibri"/>
                <w:sz w:val="22"/>
                <w:szCs w:val="22"/>
              </w:rPr>
            </w:pPr>
            <w:r>
              <w:rPr>
                <w:color w:val="000000"/>
                <w:sz w:val="22"/>
                <w:szCs w:val="22"/>
              </w:rPr>
              <w:t>1,587</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15A8A" w:rsidRPr="00F87B80" w:rsidRDefault="00B15A8A" w:rsidP="00B15A8A">
            <w:pPr>
              <w:autoSpaceDE w:val="0"/>
              <w:autoSpaceDN w:val="0"/>
              <w:spacing w:before="60"/>
              <w:jc w:val="center"/>
              <w:rPr>
                <w:rFonts w:eastAsia="Calibri"/>
                <w:sz w:val="22"/>
                <w:szCs w:val="22"/>
              </w:rPr>
            </w:pPr>
            <w:r>
              <w:rPr>
                <w:rFonts w:eastAsia="Calibri"/>
                <w:sz w:val="22"/>
                <w:szCs w:val="22"/>
              </w:rPr>
              <w:t>185</w:t>
            </w:r>
          </w:p>
        </w:tc>
        <w:tc>
          <w:tcPr>
            <w:tcW w:w="1142" w:type="dxa"/>
            <w:tcBorders>
              <w:top w:val="single" w:sz="8" w:space="0" w:color="000000"/>
              <w:left w:val="single" w:sz="8" w:space="0" w:color="000000"/>
              <w:bottom w:val="single" w:sz="8" w:space="0" w:color="000000"/>
              <w:right w:val="single" w:sz="8" w:space="0" w:color="000000"/>
            </w:tcBorders>
          </w:tcPr>
          <w:p w:rsidR="00B15A8A" w:rsidRPr="00F87B80" w:rsidRDefault="00B15A8A" w:rsidP="00B15A8A">
            <w:pPr>
              <w:autoSpaceDE w:val="0"/>
              <w:autoSpaceDN w:val="0"/>
              <w:spacing w:before="60"/>
              <w:jc w:val="center"/>
              <w:rPr>
                <w:rFonts w:eastAsia="Calibri"/>
                <w:sz w:val="22"/>
                <w:szCs w:val="22"/>
              </w:rPr>
            </w:pPr>
            <w:r w:rsidRPr="00B3496F">
              <w:rPr>
                <w:rFonts w:eastAsia="Calibri"/>
                <w:sz w:val="22"/>
                <w:szCs w:val="22"/>
              </w:rPr>
              <w:t>$27</w:t>
            </w:r>
          </w:p>
        </w:tc>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B15A8A" w:rsidRPr="00F87B80" w:rsidRDefault="00B15A8A" w:rsidP="00537926">
            <w:pPr>
              <w:autoSpaceDE w:val="0"/>
              <w:autoSpaceDN w:val="0"/>
              <w:spacing w:before="60"/>
              <w:jc w:val="right"/>
              <w:rPr>
                <w:rFonts w:eastAsia="Calibri"/>
                <w:sz w:val="22"/>
                <w:szCs w:val="22"/>
              </w:rPr>
            </w:pPr>
            <w:r>
              <w:rPr>
                <w:rFonts w:ascii="Calibri" w:hAnsi="Calibri" w:cs="Calibri"/>
                <w:color w:val="000000"/>
                <w:sz w:val="22"/>
                <w:szCs w:val="22"/>
              </w:rPr>
              <w:t>$4,995.00</w:t>
            </w:r>
          </w:p>
        </w:tc>
      </w:tr>
      <w:tr w:rsidR="00B15A8A" w:rsidRPr="00E72C47" w:rsidTr="00D119DF">
        <w:trPr>
          <w:cantSplit/>
          <w:jc w:val="center"/>
        </w:trPr>
        <w:tc>
          <w:tcPr>
            <w:tcW w:w="1998"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B15A8A" w:rsidRPr="00F87B80" w:rsidRDefault="00B15A8A" w:rsidP="00B15A8A">
            <w:pPr>
              <w:autoSpaceDE w:val="0"/>
              <w:autoSpaceDN w:val="0"/>
              <w:spacing w:before="60"/>
              <w:rPr>
                <w:rFonts w:eastAsia="Calibri"/>
                <w:sz w:val="22"/>
                <w:szCs w:val="22"/>
              </w:rPr>
            </w:pPr>
            <w:r w:rsidRPr="00F87B80">
              <w:rPr>
                <w:rFonts w:eastAsia="Calibri"/>
                <w:sz w:val="22"/>
                <w:szCs w:val="22"/>
              </w:rPr>
              <w:t>Caller who contacts the Quitline on behalf of someone else</w:t>
            </w:r>
          </w:p>
        </w:tc>
        <w:tc>
          <w:tcPr>
            <w:tcW w:w="1800" w:type="dxa"/>
            <w:tcBorders>
              <w:top w:val="single" w:sz="8" w:space="0" w:color="000000"/>
              <w:left w:val="single" w:sz="8" w:space="0" w:color="000000"/>
              <w:right w:val="single" w:sz="8" w:space="0" w:color="000000"/>
            </w:tcBorders>
          </w:tcPr>
          <w:p w:rsidR="00B15A8A" w:rsidRPr="00F87B80" w:rsidRDefault="00B15A8A" w:rsidP="00B15A8A">
            <w:pPr>
              <w:autoSpaceDE w:val="0"/>
              <w:autoSpaceDN w:val="0"/>
              <w:spacing w:before="60"/>
              <w:ind w:left="90" w:right="90"/>
              <w:rPr>
                <w:rFonts w:eastAsia="Calibri"/>
                <w:sz w:val="22"/>
                <w:szCs w:val="22"/>
              </w:rPr>
            </w:pPr>
            <w:r w:rsidRPr="00F87B80">
              <w:rPr>
                <w:rFonts w:eastAsia="Calibri"/>
                <w:sz w:val="22"/>
                <w:szCs w:val="22"/>
              </w:rPr>
              <w:t>NQDW Intake Questionnaire (</w:t>
            </w:r>
            <w:r>
              <w:rPr>
                <w:rFonts w:eastAsia="Calibri"/>
                <w:sz w:val="22"/>
                <w:szCs w:val="22"/>
              </w:rPr>
              <w:t>English-</w:t>
            </w:r>
            <w:r w:rsidRPr="00F87B80">
              <w:rPr>
                <w:rFonts w:eastAsia="Calibri"/>
                <w:sz w:val="22"/>
                <w:szCs w:val="22"/>
              </w:rPr>
              <w:t>subset)</w:t>
            </w:r>
          </w:p>
        </w:tc>
        <w:tc>
          <w:tcPr>
            <w:tcW w:w="144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B15A8A" w:rsidRPr="00F87B80" w:rsidRDefault="00B15A8A" w:rsidP="00B15A8A">
            <w:pPr>
              <w:autoSpaceDE w:val="0"/>
              <w:autoSpaceDN w:val="0"/>
              <w:spacing w:before="60"/>
              <w:jc w:val="right"/>
              <w:rPr>
                <w:rFonts w:eastAsia="Calibri"/>
                <w:sz w:val="22"/>
                <w:szCs w:val="22"/>
              </w:rPr>
            </w:pPr>
            <w:r>
              <w:rPr>
                <w:rFonts w:eastAsia="Calibri"/>
                <w:sz w:val="22"/>
                <w:szCs w:val="22"/>
              </w:rPr>
              <w:t>12,217</w:t>
            </w:r>
          </w:p>
        </w:tc>
        <w:tc>
          <w:tcPr>
            <w:tcW w:w="135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B15A8A" w:rsidRPr="00F87B80" w:rsidRDefault="00B15A8A" w:rsidP="00B15A8A">
            <w:pPr>
              <w:autoSpaceDE w:val="0"/>
              <w:autoSpaceDN w:val="0"/>
              <w:spacing w:before="60"/>
              <w:jc w:val="center"/>
              <w:rPr>
                <w:rFonts w:eastAsia="Calibri"/>
                <w:sz w:val="22"/>
                <w:szCs w:val="22"/>
              </w:rPr>
            </w:pPr>
            <w:r>
              <w:rPr>
                <w:rFonts w:eastAsia="Calibri"/>
                <w:sz w:val="22"/>
                <w:szCs w:val="22"/>
              </w:rPr>
              <w:t>204</w:t>
            </w:r>
          </w:p>
        </w:tc>
        <w:tc>
          <w:tcPr>
            <w:tcW w:w="1142" w:type="dxa"/>
            <w:tcBorders>
              <w:top w:val="single" w:sz="8" w:space="0" w:color="000000"/>
              <w:left w:val="single" w:sz="8" w:space="0" w:color="000000"/>
              <w:bottom w:val="single" w:sz="4" w:space="0" w:color="000000"/>
              <w:right w:val="single" w:sz="8" w:space="0" w:color="000000"/>
            </w:tcBorders>
          </w:tcPr>
          <w:p w:rsidR="00B15A8A" w:rsidRPr="00F87B80" w:rsidRDefault="00B15A8A" w:rsidP="00B15A8A">
            <w:pPr>
              <w:autoSpaceDE w:val="0"/>
              <w:autoSpaceDN w:val="0"/>
              <w:spacing w:before="60"/>
              <w:jc w:val="center"/>
              <w:rPr>
                <w:rFonts w:eastAsia="Calibri"/>
                <w:sz w:val="22"/>
                <w:szCs w:val="22"/>
              </w:rPr>
            </w:pPr>
            <w:r w:rsidRPr="00B3496F">
              <w:rPr>
                <w:rFonts w:eastAsia="Calibri"/>
                <w:sz w:val="22"/>
                <w:szCs w:val="22"/>
              </w:rPr>
              <w:t>$27</w:t>
            </w:r>
          </w:p>
        </w:tc>
        <w:tc>
          <w:tcPr>
            <w:tcW w:w="270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bottom"/>
          </w:tcPr>
          <w:p w:rsidR="00B15A8A" w:rsidRPr="00F87B80" w:rsidRDefault="00B15A8A" w:rsidP="00537926">
            <w:pPr>
              <w:autoSpaceDE w:val="0"/>
              <w:autoSpaceDN w:val="0"/>
              <w:spacing w:before="60"/>
              <w:jc w:val="right"/>
              <w:rPr>
                <w:rFonts w:eastAsia="Calibri"/>
                <w:sz w:val="22"/>
                <w:szCs w:val="22"/>
              </w:rPr>
            </w:pPr>
            <w:r>
              <w:rPr>
                <w:rFonts w:ascii="Calibri" w:hAnsi="Calibri" w:cs="Calibri"/>
                <w:color w:val="000000"/>
                <w:sz w:val="22"/>
                <w:szCs w:val="22"/>
              </w:rPr>
              <w:t>$5,508.00</w:t>
            </w:r>
          </w:p>
        </w:tc>
      </w:tr>
      <w:tr w:rsidR="00B15A8A" w:rsidRPr="00E72C47" w:rsidTr="00D119DF">
        <w:trPr>
          <w:trHeight w:val="1159"/>
          <w:jc w:val="center"/>
        </w:trPr>
        <w:tc>
          <w:tcPr>
            <w:tcW w:w="1998" w:type="dxa"/>
            <w:vMerge/>
            <w:tcBorders>
              <w:left w:val="single" w:sz="8" w:space="0" w:color="000000"/>
              <w:right w:val="single" w:sz="8" w:space="0" w:color="000000"/>
            </w:tcBorders>
            <w:tcMar>
              <w:top w:w="0" w:type="dxa"/>
              <w:left w:w="108" w:type="dxa"/>
              <w:bottom w:w="0" w:type="dxa"/>
              <w:right w:w="108" w:type="dxa"/>
            </w:tcMar>
          </w:tcPr>
          <w:p w:rsidR="00B15A8A" w:rsidRPr="00F87B80" w:rsidRDefault="00B15A8A" w:rsidP="00B15A8A">
            <w:pPr>
              <w:autoSpaceDE w:val="0"/>
              <w:autoSpaceDN w:val="0"/>
              <w:spacing w:before="60"/>
              <w:rPr>
                <w:rFonts w:eastAsia="Calibri"/>
                <w:sz w:val="22"/>
                <w:szCs w:val="22"/>
              </w:rPr>
            </w:pPr>
          </w:p>
        </w:tc>
        <w:tc>
          <w:tcPr>
            <w:tcW w:w="1800" w:type="dxa"/>
            <w:tcBorders>
              <w:top w:val="single" w:sz="8" w:space="0" w:color="000000"/>
              <w:left w:val="single" w:sz="8" w:space="0" w:color="000000"/>
              <w:right w:val="single" w:sz="8" w:space="0" w:color="000000"/>
            </w:tcBorders>
          </w:tcPr>
          <w:p w:rsidR="00B15A8A" w:rsidRPr="00F87B80" w:rsidRDefault="00B15A8A" w:rsidP="00B15A8A">
            <w:pPr>
              <w:autoSpaceDE w:val="0"/>
              <w:autoSpaceDN w:val="0"/>
              <w:spacing w:before="60"/>
              <w:ind w:left="90" w:right="90"/>
              <w:rPr>
                <w:rFonts w:eastAsia="Calibri"/>
                <w:sz w:val="22"/>
                <w:szCs w:val="22"/>
              </w:rPr>
            </w:pPr>
            <w:r w:rsidRPr="00F87B80">
              <w:rPr>
                <w:rFonts w:eastAsia="Calibri"/>
                <w:sz w:val="22"/>
                <w:szCs w:val="22"/>
              </w:rPr>
              <w:t>NQDW (A</w:t>
            </w:r>
            <w:r w:rsidRPr="00205BB6">
              <w:rPr>
                <w:rFonts w:eastAsia="Calibri"/>
                <w:sz w:val="22"/>
                <w:szCs w:val="22"/>
              </w:rPr>
              <w:t>SQ) Intake Questionnaire (</w:t>
            </w:r>
            <w:r w:rsidRPr="00F87B80">
              <w:rPr>
                <w:rFonts w:eastAsia="Calibri"/>
                <w:sz w:val="22"/>
                <w:szCs w:val="22"/>
              </w:rPr>
              <w:t>Chinese, Korean, or Vietnamese</w:t>
            </w:r>
            <w:r>
              <w:rPr>
                <w:rFonts w:eastAsia="Calibri"/>
                <w:sz w:val="22"/>
                <w:szCs w:val="22"/>
              </w:rPr>
              <w:t>-subset</w:t>
            </w:r>
            <w:r w:rsidRPr="00F87B80">
              <w:rPr>
                <w:rFonts w:eastAsia="Calibri"/>
                <w:sz w:val="22"/>
                <w:szCs w:val="22"/>
              </w:rPr>
              <w:t>)</w:t>
            </w:r>
          </w:p>
        </w:tc>
        <w:tc>
          <w:tcPr>
            <w:tcW w:w="144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B15A8A" w:rsidRPr="00F87B80" w:rsidRDefault="00B15A8A" w:rsidP="00B15A8A">
            <w:pPr>
              <w:autoSpaceDE w:val="0"/>
              <w:autoSpaceDN w:val="0"/>
              <w:spacing w:before="60"/>
              <w:jc w:val="right"/>
              <w:rPr>
                <w:rFonts w:eastAsia="Calibri"/>
                <w:sz w:val="22"/>
                <w:szCs w:val="22"/>
              </w:rPr>
            </w:pPr>
            <w:r>
              <w:rPr>
                <w:rFonts w:eastAsia="Calibri"/>
                <w:sz w:val="22"/>
                <w:szCs w:val="22"/>
              </w:rPr>
              <w:t>86</w:t>
            </w:r>
          </w:p>
        </w:tc>
        <w:tc>
          <w:tcPr>
            <w:tcW w:w="135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B15A8A" w:rsidRPr="00F87B80" w:rsidRDefault="00B15A8A" w:rsidP="00B15A8A">
            <w:pPr>
              <w:autoSpaceDE w:val="0"/>
              <w:autoSpaceDN w:val="0"/>
              <w:spacing w:before="60"/>
              <w:jc w:val="center"/>
              <w:rPr>
                <w:rFonts w:eastAsia="Calibri"/>
                <w:sz w:val="22"/>
                <w:szCs w:val="22"/>
              </w:rPr>
            </w:pPr>
            <w:r>
              <w:rPr>
                <w:rFonts w:eastAsia="Calibri"/>
                <w:sz w:val="22"/>
                <w:szCs w:val="22"/>
              </w:rPr>
              <w:t>2</w:t>
            </w:r>
          </w:p>
        </w:tc>
        <w:tc>
          <w:tcPr>
            <w:tcW w:w="1142" w:type="dxa"/>
            <w:tcBorders>
              <w:top w:val="single" w:sz="8" w:space="0" w:color="000000"/>
              <w:left w:val="single" w:sz="8" w:space="0" w:color="000000"/>
              <w:bottom w:val="single" w:sz="4" w:space="0" w:color="000000"/>
              <w:right w:val="single" w:sz="8" w:space="0" w:color="000000"/>
            </w:tcBorders>
          </w:tcPr>
          <w:p w:rsidR="00B15A8A" w:rsidRPr="00F87B80" w:rsidRDefault="00B15A8A" w:rsidP="00B15A8A">
            <w:pPr>
              <w:autoSpaceDE w:val="0"/>
              <w:autoSpaceDN w:val="0"/>
              <w:spacing w:before="60"/>
              <w:jc w:val="center"/>
              <w:rPr>
                <w:rFonts w:eastAsia="Calibri"/>
                <w:sz w:val="22"/>
                <w:szCs w:val="22"/>
              </w:rPr>
            </w:pPr>
            <w:r w:rsidRPr="00B3496F">
              <w:rPr>
                <w:rFonts w:eastAsia="Calibri"/>
                <w:sz w:val="22"/>
                <w:szCs w:val="22"/>
              </w:rPr>
              <w:t>$27</w:t>
            </w:r>
          </w:p>
        </w:tc>
        <w:tc>
          <w:tcPr>
            <w:tcW w:w="270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bottom"/>
          </w:tcPr>
          <w:p w:rsidR="00B15A8A" w:rsidRPr="00F87B80" w:rsidRDefault="00B15A8A" w:rsidP="00537926">
            <w:pPr>
              <w:autoSpaceDE w:val="0"/>
              <w:autoSpaceDN w:val="0"/>
              <w:spacing w:before="60"/>
              <w:jc w:val="right"/>
              <w:rPr>
                <w:rFonts w:eastAsia="Calibri"/>
                <w:sz w:val="22"/>
                <w:szCs w:val="22"/>
              </w:rPr>
            </w:pPr>
            <w:r>
              <w:rPr>
                <w:rFonts w:ascii="Calibri" w:hAnsi="Calibri" w:cs="Calibri"/>
                <w:color w:val="000000"/>
                <w:sz w:val="22"/>
                <w:szCs w:val="22"/>
              </w:rPr>
              <w:t>$54.00</w:t>
            </w:r>
          </w:p>
        </w:tc>
      </w:tr>
      <w:tr w:rsidR="00B15A8A" w:rsidRPr="00E72C47" w:rsidTr="00D119DF">
        <w:trPr>
          <w:jc w:val="center"/>
        </w:trPr>
        <w:tc>
          <w:tcPr>
            <w:tcW w:w="1998"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B15A8A" w:rsidRPr="00F87B80" w:rsidRDefault="00B15A8A" w:rsidP="00B15A8A">
            <w:pPr>
              <w:autoSpaceDE w:val="0"/>
              <w:autoSpaceDN w:val="0"/>
              <w:spacing w:before="60"/>
              <w:rPr>
                <w:rFonts w:eastAsia="Calibri"/>
                <w:sz w:val="22"/>
                <w:szCs w:val="22"/>
              </w:rPr>
            </w:pPr>
            <w:r w:rsidRPr="00F87B80">
              <w:rPr>
                <w:rFonts w:eastAsia="Calibri"/>
                <w:sz w:val="22"/>
                <w:szCs w:val="22"/>
              </w:rPr>
              <w:t>Tobacco Control Manager or their Designee / Quitline Service Provider (such as the Asian Smokers’ Quitline)</w:t>
            </w:r>
          </w:p>
        </w:tc>
        <w:tc>
          <w:tcPr>
            <w:tcW w:w="1800" w:type="dxa"/>
            <w:tcBorders>
              <w:top w:val="single" w:sz="8" w:space="0" w:color="000000"/>
              <w:left w:val="single" w:sz="8" w:space="0" w:color="000000"/>
              <w:bottom w:val="single" w:sz="4" w:space="0" w:color="auto"/>
              <w:right w:val="single" w:sz="8" w:space="0" w:color="000000"/>
            </w:tcBorders>
          </w:tcPr>
          <w:p w:rsidR="00B15A8A" w:rsidRPr="00F87B80" w:rsidRDefault="00B15A8A" w:rsidP="00B15A8A">
            <w:pPr>
              <w:autoSpaceDE w:val="0"/>
              <w:autoSpaceDN w:val="0"/>
              <w:spacing w:before="60"/>
              <w:ind w:left="90" w:right="90"/>
              <w:rPr>
                <w:rFonts w:eastAsia="Calibri"/>
                <w:sz w:val="22"/>
                <w:szCs w:val="22"/>
              </w:rPr>
            </w:pPr>
            <w:r w:rsidRPr="00F87B80">
              <w:rPr>
                <w:rFonts w:eastAsia="Calibri"/>
                <w:sz w:val="22"/>
                <w:szCs w:val="22"/>
              </w:rPr>
              <w:t xml:space="preserve">Submission of NQDW Intake Questionnaire Electronic Data File to CDC </w:t>
            </w:r>
          </w:p>
        </w:tc>
        <w:tc>
          <w:tcPr>
            <w:tcW w:w="144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B15A8A" w:rsidRPr="00F87B80" w:rsidRDefault="00B15A8A" w:rsidP="00B15A8A">
            <w:pPr>
              <w:autoSpaceDE w:val="0"/>
              <w:autoSpaceDN w:val="0"/>
              <w:spacing w:before="60"/>
              <w:jc w:val="right"/>
              <w:rPr>
                <w:rFonts w:eastAsia="Calibri"/>
                <w:sz w:val="22"/>
                <w:szCs w:val="22"/>
              </w:rPr>
            </w:pPr>
            <w:r w:rsidRPr="00F87B80">
              <w:rPr>
                <w:color w:val="000000"/>
                <w:sz w:val="22"/>
                <w:szCs w:val="22"/>
              </w:rPr>
              <w:t>54</w:t>
            </w:r>
          </w:p>
        </w:tc>
        <w:tc>
          <w:tcPr>
            <w:tcW w:w="135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B15A8A" w:rsidRPr="00F87B80" w:rsidRDefault="00B15A8A" w:rsidP="00B15A8A">
            <w:pPr>
              <w:autoSpaceDE w:val="0"/>
              <w:autoSpaceDN w:val="0"/>
              <w:spacing w:before="60"/>
              <w:jc w:val="center"/>
              <w:rPr>
                <w:rFonts w:eastAsia="Calibri"/>
                <w:sz w:val="22"/>
                <w:szCs w:val="22"/>
              </w:rPr>
            </w:pPr>
            <w:r>
              <w:rPr>
                <w:color w:val="000000"/>
                <w:sz w:val="22"/>
                <w:szCs w:val="22"/>
              </w:rPr>
              <w:t>216</w:t>
            </w:r>
          </w:p>
        </w:tc>
        <w:tc>
          <w:tcPr>
            <w:tcW w:w="1142" w:type="dxa"/>
            <w:tcBorders>
              <w:top w:val="single" w:sz="8" w:space="0" w:color="000000"/>
              <w:left w:val="single" w:sz="8" w:space="0" w:color="000000"/>
              <w:bottom w:val="single" w:sz="4" w:space="0" w:color="auto"/>
              <w:right w:val="single" w:sz="8" w:space="0" w:color="000000"/>
            </w:tcBorders>
          </w:tcPr>
          <w:p w:rsidR="00B15A8A" w:rsidRPr="00F87B80" w:rsidRDefault="00B15A8A" w:rsidP="00B15A8A">
            <w:pPr>
              <w:autoSpaceDE w:val="0"/>
              <w:autoSpaceDN w:val="0"/>
              <w:spacing w:before="60"/>
              <w:jc w:val="center"/>
              <w:rPr>
                <w:color w:val="000000"/>
                <w:sz w:val="22"/>
                <w:szCs w:val="22"/>
              </w:rPr>
            </w:pPr>
            <w:r w:rsidRPr="00B3496F">
              <w:rPr>
                <w:rFonts w:eastAsia="Calibri"/>
                <w:sz w:val="22"/>
                <w:szCs w:val="22"/>
              </w:rPr>
              <w:t>$27</w:t>
            </w:r>
          </w:p>
        </w:tc>
        <w:tc>
          <w:tcPr>
            <w:tcW w:w="270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bottom"/>
          </w:tcPr>
          <w:p w:rsidR="00B15A8A" w:rsidRPr="00F87B80" w:rsidRDefault="00B15A8A" w:rsidP="00537926">
            <w:pPr>
              <w:autoSpaceDE w:val="0"/>
              <w:autoSpaceDN w:val="0"/>
              <w:spacing w:before="60"/>
              <w:jc w:val="right"/>
              <w:rPr>
                <w:rFonts w:eastAsia="Calibri"/>
                <w:sz w:val="22"/>
                <w:szCs w:val="22"/>
              </w:rPr>
            </w:pPr>
            <w:r>
              <w:rPr>
                <w:rFonts w:ascii="Calibri" w:hAnsi="Calibri" w:cs="Calibri"/>
                <w:color w:val="000000"/>
                <w:sz w:val="22"/>
                <w:szCs w:val="22"/>
              </w:rPr>
              <w:t>$5,832.00</w:t>
            </w:r>
          </w:p>
        </w:tc>
      </w:tr>
      <w:tr w:rsidR="00B15A8A" w:rsidRPr="00E72C47" w:rsidTr="00D119DF">
        <w:trPr>
          <w:cantSplit/>
          <w:jc w:val="center"/>
        </w:trPr>
        <w:tc>
          <w:tcPr>
            <w:tcW w:w="1998" w:type="dxa"/>
            <w:vMerge/>
            <w:tcBorders>
              <w:top w:val="single" w:sz="8" w:space="0" w:color="000000"/>
              <w:left w:val="single" w:sz="8" w:space="0" w:color="000000"/>
              <w:right w:val="single" w:sz="8" w:space="0" w:color="000000"/>
            </w:tcBorders>
            <w:tcMar>
              <w:top w:w="0" w:type="dxa"/>
              <w:left w:w="108" w:type="dxa"/>
              <w:bottom w:w="0" w:type="dxa"/>
              <w:right w:w="108" w:type="dxa"/>
            </w:tcMar>
          </w:tcPr>
          <w:p w:rsidR="00B15A8A" w:rsidRPr="00F87B80" w:rsidRDefault="00B15A8A" w:rsidP="00B15A8A">
            <w:pPr>
              <w:autoSpaceDE w:val="0"/>
              <w:autoSpaceDN w:val="0"/>
              <w:spacing w:before="60"/>
              <w:rPr>
                <w:rFonts w:eastAsia="Calibri"/>
                <w:sz w:val="22"/>
                <w:szCs w:val="22"/>
              </w:rPr>
            </w:pPr>
          </w:p>
        </w:tc>
        <w:tc>
          <w:tcPr>
            <w:tcW w:w="1800" w:type="dxa"/>
            <w:tcBorders>
              <w:top w:val="single" w:sz="4" w:space="0" w:color="auto"/>
              <w:left w:val="single" w:sz="8" w:space="0" w:color="000000"/>
              <w:bottom w:val="single" w:sz="8" w:space="0" w:color="000000"/>
              <w:right w:val="single" w:sz="8" w:space="0" w:color="000000"/>
            </w:tcBorders>
          </w:tcPr>
          <w:p w:rsidR="00B15A8A" w:rsidRPr="00F87B80" w:rsidRDefault="00B15A8A" w:rsidP="00B15A8A">
            <w:pPr>
              <w:autoSpaceDE w:val="0"/>
              <w:autoSpaceDN w:val="0"/>
              <w:spacing w:before="60"/>
              <w:ind w:left="90" w:right="90"/>
              <w:rPr>
                <w:rFonts w:eastAsia="Calibri"/>
                <w:sz w:val="22"/>
                <w:szCs w:val="22"/>
              </w:rPr>
            </w:pPr>
            <w:r w:rsidRPr="00F87B80">
              <w:rPr>
                <w:rFonts w:eastAsia="Calibri"/>
                <w:sz w:val="22"/>
                <w:szCs w:val="22"/>
              </w:rPr>
              <w:t>Submission of NQDW Seven-Month Follow-up Electronic Data File to CDC</w:t>
            </w:r>
          </w:p>
        </w:tc>
        <w:tc>
          <w:tcPr>
            <w:tcW w:w="144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B15A8A" w:rsidRPr="00F87B80" w:rsidRDefault="00B15A8A" w:rsidP="00B15A8A">
            <w:pPr>
              <w:autoSpaceDE w:val="0"/>
              <w:autoSpaceDN w:val="0"/>
              <w:spacing w:before="60"/>
              <w:jc w:val="right"/>
              <w:rPr>
                <w:color w:val="000000"/>
                <w:sz w:val="22"/>
                <w:szCs w:val="22"/>
              </w:rPr>
            </w:pPr>
            <w:r w:rsidRPr="00F87B80">
              <w:rPr>
                <w:color w:val="000000"/>
                <w:sz w:val="22"/>
                <w:szCs w:val="22"/>
              </w:rPr>
              <w:t>1</w:t>
            </w:r>
          </w:p>
        </w:tc>
        <w:tc>
          <w:tcPr>
            <w:tcW w:w="135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B15A8A" w:rsidRPr="00F87B80" w:rsidRDefault="00B15A8A" w:rsidP="00B15A8A">
            <w:pPr>
              <w:autoSpaceDE w:val="0"/>
              <w:autoSpaceDN w:val="0"/>
              <w:spacing w:before="60"/>
              <w:jc w:val="center"/>
              <w:rPr>
                <w:color w:val="000000"/>
                <w:sz w:val="22"/>
                <w:szCs w:val="22"/>
              </w:rPr>
            </w:pPr>
            <w:r w:rsidRPr="00F87B80">
              <w:rPr>
                <w:color w:val="000000"/>
                <w:sz w:val="22"/>
                <w:szCs w:val="22"/>
              </w:rPr>
              <w:t>1</w:t>
            </w:r>
          </w:p>
        </w:tc>
        <w:tc>
          <w:tcPr>
            <w:tcW w:w="1142" w:type="dxa"/>
            <w:tcBorders>
              <w:top w:val="single" w:sz="4" w:space="0" w:color="auto"/>
              <w:left w:val="single" w:sz="8" w:space="0" w:color="000000"/>
              <w:bottom w:val="single" w:sz="8" w:space="0" w:color="000000"/>
              <w:right w:val="single" w:sz="8" w:space="0" w:color="000000"/>
            </w:tcBorders>
          </w:tcPr>
          <w:p w:rsidR="00B15A8A" w:rsidRPr="00F87B80" w:rsidRDefault="00B15A8A" w:rsidP="00B15A8A">
            <w:pPr>
              <w:autoSpaceDE w:val="0"/>
              <w:autoSpaceDN w:val="0"/>
              <w:spacing w:before="60"/>
              <w:jc w:val="center"/>
              <w:rPr>
                <w:color w:val="000000"/>
                <w:sz w:val="22"/>
                <w:szCs w:val="22"/>
              </w:rPr>
            </w:pPr>
            <w:r w:rsidRPr="00B3496F">
              <w:rPr>
                <w:rFonts w:eastAsia="Calibri"/>
                <w:sz w:val="22"/>
                <w:szCs w:val="22"/>
              </w:rPr>
              <w:t>$27</w:t>
            </w:r>
          </w:p>
        </w:tc>
        <w:tc>
          <w:tcPr>
            <w:tcW w:w="270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bottom"/>
          </w:tcPr>
          <w:p w:rsidR="00B15A8A" w:rsidRPr="00F87B80" w:rsidRDefault="00B15A8A" w:rsidP="00537926">
            <w:pPr>
              <w:autoSpaceDE w:val="0"/>
              <w:autoSpaceDN w:val="0"/>
              <w:spacing w:before="60"/>
              <w:jc w:val="right"/>
              <w:rPr>
                <w:color w:val="000000"/>
                <w:sz w:val="22"/>
                <w:szCs w:val="22"/>
              </w:rPr>
            </w:pPr>
            <w:r>
              <w:rPr>
                <w:rFonts w:ascii="Calibri" w:hAnsi="Calibri" w:cs="Calibri"/>
                <w:color w:val="000000"/>
                <w:sz w:val="22"/>
                <w:szCs w:val="22"/>
              </w:rPr>
              <w:t>$27.00</w:t>
            </w:r>
          </w:p>
        </w:tc>
      </w:tr>
      <w:tr w:rsidR="00B15A8A" w:rsidRPr="00E72C47" w:rsidTr="00D119DF">
        <w:trPr>
          <w:jc w:val="center"/>
        </w:trPr>
        <w:tc>
          <w:tcPr>
            <w:tcW w:w="1998"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B15A8A" w:rsidRPr="00F87B80" w:rsidRDefault="00B15A8A" w:rsidP="00B15A8A">
            <w:pPr>
              <w:autoSpaceDE w:val="0"/>
              <w:autoSpaceDN w:val="0"/>
              <w:spacing w:before="60"/>
              <w:rPr>
                <w:rFonts w:eastAsia="Calibri"/>
                <w:sz w:val="22"/>
                <w:szCs w:val="22"/>
              </w:rPr>
            </w:pPr>
          </w:p>
        </w:tc>
        <w:tc>
          <w:tcPr>
            <w:tcW w:w="1800" w:type="dxa"/>
            <w:tcBorders>
              <w:top w:val="single" w:sz="8" w:space="0" w:color="000000"/>
              <w:left w:val="single" w:sz="8" w:space="0" w:color="000000"/>
              <w:bottom w:val="single" w:sz="8" w:space="0" w:color="000000"/>
              <w:right w:val="single" w:sz="8" w:space="0" w:color="000000"/>
            </w:tcBorders>
            <w:hideMark/>
          </w:tcPr>
          <w:p w:rsidR="00B15A8A" w:rsidRPr="00F87B80" w:rsidRDefault="00B15A8A" w:rsidP="00B15A8A">
            <w:pPr>
              <w:autoSpaceDE w:val="0"/>
              <w:autoSpaceDN w:val="0"/>
              <w:spacing w:before="60"/>
              <w:ind w:left="90" w:right="90"/>
              <w:rPr>
                <w:rFonts w:eastAsia="Calibri"/>
                <w:sz w:val="22"/>
                <w:szCs w:val="22"/>
              </w:rPr>
            </w:pPr>
            <w:r w:rsidRPr="00F87B80">
              <w:rPr>
                <w:rFonts w:eastAsia="Calibri"/>
                <w:sz w:val="22"/>
                <w:szCs w:val="22"/>
              </w:rPr>
              <w:t xml:space="preserve">NQDW Quitline Services Survey </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5A8A" w:rsidRPr="00F87B80" w:rsidRDefault="00B15A8A" w:rsidP="00B15A8A">
            <w:pPr>
              <w:autoSpaceDE w:val="0"/>
              <w:autoSpaceDN w:val="0"/>
              <w:spacing w:before="60"/>
              <w:jc w:val="right"/>
              <w:rPr>
                <w:rFonts w:eastAsia="Calibri"/>
                <w:sz w:val="22"/>
                <w:szCs w:val="22"/>
              </w:rPr>
            </w:pPr>
            <w:r w:rsidRPr="00F87B80">
              <w:rPr>
                <w:color w:val="000000"/>
                <w:sz w:val="22"/>
                <w:szCs w:val="22"/>
              </w:rPr>
              <w:t>54</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5A8A" w:rsidRPr="00F87B80" w:rsidRDefault="008D4950" w:rsidP="00B15A8A">
            <w:pPr>
              <w:autoSpaceDE w:val="0"/>
              <w:autoSpaceDN w:val="0"/>
              <w:spacing w:before="60"/>
              <w:jc w:val="center"/>
              <w:rPr>
                <w:rFonts w:eastAsia="Calibri"/>
                <w:sz w:val="22"/>
                <w:szCs w:val="22"/>
              </w:rPr>
            </w:pPr>
            <w:r>
              <w:rPr>
                <w:color w:val="000000"/>
                <w:sz w:val="22"/>
                <w:szCs w:val="22"/>
              </w:rPr>
              <w:t>36</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5A8A" w:rsidRPr="00F87B80" w:rsidRDefault="00B15A8A" w:rsidP="00B15A8A">
            <w:pPr>
              <w:autoSpaceDE w:val="0"/>
              <w:autoSpaceDN w:val="0"/>
              <w:spacing w:before="60"/>
              <w:jc w:val="center"/>
              <w:rPr>
                <w:rFonts w:eastAsia="Calibri"/>
                <w:sz w:val="22"/>
                <w:szCs w:val="22"/>
              </w:rPr>
            </w:pPr>
            <w:r w:rsidRPr="00B3496F">
              <w:rPr>
                <w:rFonts w:eastAsia="Calibri"/>
                <w:sz w:val="22"/>
                <w:szCs w:val="22"/>
              </w:rPr>
              <w:t>$27</w:t>
            </w:r>
          </w:p>
        </w:tc>
        <w:tc>
          <w:tcPr>
            <w:tcW w:w="2700" w:type="dxa"/>
            <w:tcBorders>
              <w:top w:val="single" w:sz="8" w:space="0" w:color="000000"/>
              <w:left w:val="single" w:sz="8" w:space="0" w:color="000000"/>
              <w:bottom w:val="single" w:sz="8" w:space="0" w:color="000000"/>
              <w:right w:val="single" w:sz="8" w:space="0" w:color="000000"/>
            </w:tcBorders>
            <w:vAlign w:val="bottom"/>
          </w:tcPr>
          <w:p w:rsidR="00B15A8A" w:rsidRPr="00F87B80" w:rsidRDefault="00B15A8A">
            <w:pPr>
              <w:autoSpaceDE w:val="0"/>
              <w:autoSpaceDN w:val="0"/>
              <w:spacing w:before="60"/>
              <w:jc w:val="right"/>
              <w:rPr>
                <w:color w:val="000000"/>
                <w:sz w:val="22"/>
                <w:szCs w:val="22"/>
              </w:rPr>
            </w:pPr>
            <w:r>
              <w:rPr>
                <w:rFonts w:ascii="Calibri" w:hAnsi="Calibri" w:cs="Calibri"/>
                <w:color w:val="000000"/>
                <w:sz w:val="22"/>
                <w:szCs w:val="22"/>
              </w:rPr>
              <w:t>$</w:t>
            </w:r>
            <w:r w:rsidR="008D4950">
              <w:rPr>
                <w:rFonts w:ascii="Calibri" w:hAnsi="Calibri" w:cs="Calibri"/>
                <w:color w:val="000000"/>
                <w:sz w:val="22"/>
                <w:szCs w:val="22"/>
              </w:rPr>
              <w:t>972</w:t>
            </w:r>
            <w:r>
              <w:rPr>
                <w:rFonts w:ascii="Calibri" w:hAnsi="Calibri" w:cs="Calibri"/>
                <w:color w:val="000000"/>
                <w:sz w:val="22"/>
                <w:szCs w:val="22"/>
              </w:rPr>
              <w:t>.00</w:t>
            </w:r>
          </w:p>
        </w:tc>
      </w:tr>
      <w:tr w:rsidR="00B15A8A" w:rsidRPr="00E72C47" w:rsidTr="00D119DF">
        <w:trPr>
          <w:jc w:val="center"/>
        </w:trPr>
        <w:tc>
          <w:tcPr>
            <w:tcW w:w="1998" w:type="dxa"/>
            <w:tcBorders>
              <w:left w:val="single" w:sz="8" w:space="0" w:color="000000"/>
              <w:bottom w:val="single" w:sz="8" w:space="0" w:color="000000"/>
              <w:right w:val="single" w:sz="8" w:space="0" w:color="000000"/>
            </w:tcBorders>
            <w:tcMar>
              <w:top w:w="0" w:type="dxa"/>
              <w:left w:w="108" w:type="dxa"/>
              <w:bottom w:w="0" w:type="dxa"/>
              <w:right w:w="108" w:type="dxa"/>
            </w:tcMar>
          </w:tcPr>
          <w:p w:rsidR="00B15A8A" w:rsidRPr="00EC2A5E" w:rsidRDefault="00B15A8A" w:rsidP="00B15A8A">
            <w:pPr>
              <w:autoSpaceDE w:val="0"/>
              <w:autoSpaceDN w:val="0"/>
              <w:spacing w:before="60"/>
              <w:rPr>
                <w:rFonts w:eastAsia="Calibri"/>
                <w:sz w:val="22"/>
                <w:szCs w:val="22"/>
              </w:rPr>
            </w:pPr>
          </w:p>
        </w:tc>
        <w:tc>
          <w:tcPr>
            <w:tcW w:w="5732" w:type="dxa"/>
            <w:gridSpan w:val="4"/>
            <w:tcBorders>
              <w:top w:val="single" w:sz="8" w:space="0" w:color="000000"/>
              <w:left w:val="single" w:sz="8" w:space="0" w:color="000000"/>
              <w:bottom w:val="single" w:sz="8" w:space="0" w:color="000000"/>
              <w:right w:val="single" w:sz="8" w:space="0" w:color="000000"/>
            </w:tcBorders>
          </w:tcPr>
          <w:p w:rsidR="00B15A8A" w:rsidRPr="00EC2A5E" w:rsidDel="00EC2A5E" w:rsidRDefault="00B15A8A" w:rsidP="00B15A8A">
            <w:pPr>
              <w:autoSpaceDE w:val="0"/>
              <w:autoSpaceDN w:val="0"/>
              <w:spacing w:before="60"/>
              <w:jc w:val="right"/>
              <w:rPr>
                <w:color w:val="000000"/>
                <w:sz w:val="22"/>
                <w:szCs w:val="22"/>
              </w:rPr>
            </w:pPr>
            <w:r>
              <w:rPr>
                <w:color w:val="000000"/>
                <w:sz w:val="22"/>
                <w:szCs w:val="22"/>
              </w:rPr>
              <w:t>Total</w:t>
            </w:r>
          </w:p>
        </w:tc>
        <w:tc>
          <w:tcPr>
            <w:tcW w:w="2700" w:type="dxa"/>
            <w:tcBorders>
              <w:top w:val="single" w:sz="8" w:space="0" w:color="000000"/>
              <w:left w:val="single" w:sz="8" w:space="0" w:color="000000"/>
              <w:bottom w:val="single" w:sz="8" w:space="0" w:color="000000"/>
              <w:right w:val="single" w:sz="8" w:space="0" w:color="000000"/>
            </w:tcBorders>
          </w:tcPr>
          <w:p w:rsidR="00B15A8A" w:rsidRPr="00EC2A5E" w:rsidRDefault="008D4950">
            <w:pPr>
              <w:autoSpaceDE w:val="0"/>
              <w:autoSpaceDN w:val="0"/>
              <w:spacing w:before="60"/>
              <w:jc w:val="right"/>
              <w:rPr>
                <w:color w:val="000000"/>
                <w:sz w:val="22"/>
                <w:szCs w:val="22"/>
              </w:rPr>
            </w:pPr>
            <w:r>
              <w:rPr>
                <w:rFonts w:ascii="Calibri" w:hAnsi="Calibri" w:cs="Calibri"/>
                <w:color w:val="000000"/>
                <w:sz w:val="22"/>
                <w:szCs w:val="22"/>
              </w:rPr>
              <w:t xml:space="preserve">$2,225,907.00 </w:t>
            </w:r>
          </w:p>
        </w:tc>
      </w:tr>
    </w:tbl>
    <w:p w:rsidR="00D866B6" w:rsidRDefault="00D866B6" w:rsidP="00EE3B48">
      <w:pPr>
        <w:keepNext/>
        <w:keepLines/>
        <w:rPr>
          <w:b/>
        </w:rPr>
      </w:pPr>
    </w:p>
    <w:p w:rsidR="00BD125C" w:rsidRPr="00BD125C" w:rsidRDefault="00BD125C" w:rsidP="00B73B5A">
      <w:pPr>
        <w:widowControl w:val="0"/>
        <w:tabs>
          <w:tab w:val="center" w:pos="4680"/>
        </w:tabs>
        <w:rPr>
          <w:b/>
          <w:color w:val="000000"/>
        </w:rPr>
      </w:pPr>
    </w:p>
    <w:p w:rsidR="00BD125C" w:rsidRPr="00BD125C" w:rsidRDefault="00BD125C" w:rsidP="00BD125C">
      <w:pPr>
        <w:keepNext/>
        <w:spacing w:after="240"/>
        <w:ind w:left="720" w:hanging="720"/>
        <w:outlineLvl w:val="1"/>
        <w:rPr>
          <w:b/>
        </w:rPr>
      </w:pPr>
      <w:r w:rsidRPr="00BD125C">
        <w:rPr>
          <w:b/>
        </w:rPr>
        <w:t>A.13</w:t>
      </w:r>
      <w:r w:rsidRPr="00BD125C">
        <w:rPr>
          <w:b/>
        </w:rPr>
        <w:tab/>
      </w:r>
      <w:r w:rsidRPr="00BD125C">
        <w:rPr>
          <w:b/>
          <w:u w:val="single"/>
        </w:rPr>
        <w:t>ESTIMATES OF OTHER TOTAL ANNUAL COST BURDEN TO RESPONDENTS OR RECORD KEEPERS</w:t>
      </w:r>
    </w:p>
    <w:p w:rsidR="00BD125C" w:rsidRPr="00BD125C" w:rsidRDefault="00BD125C" w:rsidP="00BD125C">
      <w:pPr>
        <w:keepNext/>
        <w:spacing w:after="240"/>
        <w:ind w:firstLine="720"/>
        <w:outlineLvl w:val="1"/>
        <w:rPr>
          <w:bCs/>
        </w:rPr>
      </w:pPr>
      <w:r w:rsidRPr="00BD125C">
        <w:rPr>
          <w:bCs/>
        </w:rPr>
        <w:t>There will be no respondent capital and maintenance costs.</w:t>
      </w:r>
    </w:p>
    <w:p w:rsidR="00BD125C" w:rsidRPr="00BD125C" w:rsidRDefault="00BD125C" w:rsidP="00BD125C">
      <w:pPr>
        <w:keepNext/>
        <w:spacing w:after="240"/>
        <w:outlineLvl w:val="1"/>
        <w:rPr>
          <w:b/>
        </w:rPr>
      </w:pPr>
      <w:r w:rsidRPr="00BD125C">
        <w:rPr>
          <w:b/>
        </w:rPr>
        <w:t>A.14</w:t>
      </w:r>
      <w:r w:rsidRPr="00BD125C">
        <w:rPr>
          <w:b/>
        </w:rPr>
        <w:tab/>
      </w:r>
      <w:r w:rsidRPr="00BD125C">
        <w:rPr>
          <w:b/>
          <w:u w:val="single"/>
        </w:rPr>
        <w:t>ANNUALIZED COSTS TO THE GOVERNMENT</w:t>
      </w:r>
    </w:p>
    <w:p w:rsidR="00BD125C" w:rsidRPr="00BD125C" w:rsidRDefault="00BD125C" w:rsidP="00BD125C">
      <w:pPr>
        <w:ind w:firstLine="720"/>
        <w:rPr>
          <w:color w:val="000000"/>
        </w:rPr>
      </w:pPr>
      <w:r w:rsidRPr="00BD125C">
        <w:rPr>
          <w:color w:val="000000"/>
        </w:rPr>
        <w:t>CDC will have contract costs to create the database, clean and process the data, provide technical assistance to states on data collection, and report on the data of $</w:t>
      </w:r>
      <w:r w:rsidR="004347DB">
        <w:rPr>
          <w:color w:val="000000"/>
        </w:rPr>
        <w:t>3</w:t>
      </w:r>
      <w:r w:rsidR="00BC6F8B">
        <w:rPr>
          <w:color w:val="000000"/>
        </w:rPr>
        <w:t>75,000</w:t>
      </w:r>
      <w:r w:rsidRPr="00BD125C">
        <w:rPr>
          <w:color w:val="000000"/>
        </w:rPr>
        <w:t xml:space="preserve"> annually.  Additional costs will be incurred indirectly by the government in personnel costs of staff involved in oversight of the study and in conducting data analysis.  The direct annual costs in CDC staff time will be approximately $</w:t>
      </w:r>
      <w:r w:rsidR="00EE005F">
        <w:rPr>
          <w:color w:val="000000"/>
        </w:rPr>
        <w:t>136,313</w:t>
      </w:r>
      <w:r w:rsidRPr="00BD125C">
        <w:rPr>
          <w:color w:val="000000"/>
        </w:rPr>
        <w:t xml:space="preserve"> annually.  </w:t>
      </w:r>
    </w:p>
    <w:p w:rsidR="00BD125C" w:rsidRPr="00BD125C" w:rsidRDefault="00BD125C" w:rsidP="00BD125C">
      <w:pPr>
        <w:ind w:firstLine="72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9"/>
        <w:gridCol w:w="3473"/>
      </w:tblGrid>
      <w:tr w:rsidR="00BD125C" w:rsidRPr="00BD125C" w:rsidTr="00BC6F8B">
        <w:tc>
          <w:tcPr>
            <w:tcW w:w="5769" w:type="dxa"/>
          </w:tcPr>
          <w:p w:rsidR="00BD125C" w:rsidRPr="00BD125C" w:rsidRDefault="00BD125C" w:rsidP="00BD125C">
            <w:pPr>
              <w:ind w:left="72"/>
            </w:pPr>
            <w:r w:rsidRPr="00BD125C">
              <w:rPr>
                <w:b/>
                <w:u w:val="single"/>
              </w:rPr>
              <w:t>Activity</w:t>
            </w:r>
          </w:p>
        </w:tc>
        <w:tc>
          <w:tcPr>
            <w:tcW w:w="3473" w:type="dxa"/>
          </w:tcPr>
          <w:p w:rsidR="00BD125C" w:rsidRPr="00BD125C" w:rsidRDefault="00BD125C" w:rsidP="00BD125C">
            <w:pPr>
              <w:ind w:left="252"/>
              <w:jc w:val="center"/>
              <w:rPr>
                <w:b/>
                <w:u w:val="single"/>
              </w:rPr>
            </w:pPr>
            <w:r w:rsidRPr="00BD125C">
              <w:rPr>
                <w:b/>
                <w:u w:val="single"/>
              </w:rPr>
              <w:t>Yearly Costs</w:t>
            </w:r>
          </w:p>
        </w:tc>
      </w:tr>
      <w:tr w:rsidR="00BD125C" w:rsidRPr="00BD125C" w:rsidTr="00BC6F8B">
        <w:tc>
          <w:tcPr>
            <w:tcW w:w="5769" w:type="dxa"/>
          </w:tcPr>
          <w:p w:rsidR="00BD125C" w:rsidRPr="00BD125C" w:rsidRDefault="00BD125C" w:rsidP="00BD125C">
            <w:pPr>
              <w:ind w:left="72"/>
              <w:rPr>
                <w:i/>
              </w:rPr>
            </w:pPr>
            <w:r w:rsidRPr="00BD125C">
              <w:rPr>
                <w:i/>
              </w:rPr>
              <w:t>Annual Contract Costs</w:t>
            </w:r>
          </w:p>
        </w:tc>
        <w:tc>
          <w:tcPr>
            <w:tcW w:w="3473" w:type="dxa"/>
          </w:tcPr>
          <w:p w:rsidR="00BD125C" w:rsidRPr="00BD125C" w:rsidRDefault="00BD125C" w:rsidP="00BD125C">
            <w:pPr>
              <w:ind w:left="252"/>
              <w:jc w:val="center"/>
            </w:pPr>
          </w:p>
        </w:tc>
      </w:tr>
      <w:tr w:rsidR="00BD125C" w:rsidRPr="00BD125C" w:rsidTr="00BC6F8B">
        <w:tc>
          <w:tcPr>
            <w:tcW w:w="5769" w:type="dxa"/>
          </w:tcPr>
          <w:p w:rsidR="00BD125C" w:rsidRPr="00BD125C" w:rsidRDefault="00BD125C" w:rsidP="00BD125C">
            <w:pPr>
              <w:ind w:left="72"/>
            </w:pPr>
            <w:r w:rsidRPr="00BD125C">
              <w:t>Data collection, processing and analysis</w:t>
            </w:r>
          </w:p>
        </w:tc>
        <w:tc>
          <w:tcPr>
            <w:tcW w:w="3473" w:type="dxa"/>
          </w:tcPr>
          <w:p w:rsidR="00BD125C" w:rsidRPr="00BD125C" w:rsidRDefault="00BD125C" w:rsidP="004347DB">
            <w:pPr>
              <w:ind w:left="252"/>
              <w:jc w:val="center"/>
            </w:pPr>
            <w:r w:rsidRPr="00BD125C">
              <w:t>$</w:t>
            </w:r>
            <w:r w:rsidR="004347DB">
              <w:t>3</w:t>
            </w:r>
            <w:r w:rsidR="00BC6F8B">
              <w:t>75,000</w:t>
            </w:r>
          </w:p>
        </w:tc>
      </w:tr>
      <w:tr w:rsidR="00BD125C" w:rsidRPr="00BD125C" w:rsidTr="00BC6F8B">
        <w:tc>
          <w:tcPr>
            <w:tcW w:w="5769" w:type="dxa"/>
          </w:tcPr>
          <w:p w:rsidR="00BD125C" w:rsidRPr="00BD125C" w:rsidRDefault="00BD125C" w:rsidP="00F87B80">
            <w:pPr>
              <w:ind w:left="72"/>
              <w:jc w:val="right"/>
              <w:rPr>
                <w:i/>
              </w:rPr>
            </w:pPr>
            <w:r w:rsidRPr="00BD125C">
              <w:rPr>
                <w:i/>
              </w:rPr>
              <w:t>Subtotal</w:t>
            </w:r>
          </w:p>
        </w:tc>
        <w:tc>
          <w:tcPr>
            <w:tcW w:w="3473" w:type="dxa"/>
          </w:tcPr>
          <w:p w:rsidR="00BD125C" w:rsidRPr="00BD125C" w:rsidRDefault="00BD125C" w:rsidP="004347DB">
            <w:pPr>
              <w:ind w:left="252"/>
              <w:jc w:val="right"/>
              <w:rPr>
                <w:i/>
              </w:rPr>
            </w:pPr>
            <w:r w:rsidRPr="00BD125C">
              <w:rPr>
                <w:i/>
              </w:rPr>
              <w:t>$</w:t>
            </w:r>
            <w:r w:rsidR="004347DB">
              <w:rPr>
                <w:i/>
              </w:rPr>
              <w:t>3</w:t>
            </w:r>
            <w:r w:rsidR="00BC6F8B">
              <w:rPr>
                <w:i/>
              </w:rPr>
              <w:t>75,000</w:t>
            </w:r>
          </w:p>
        </w:tc>
      </w:tr>
      <w:tr w:rsidR="00BD125C" w:rsidRPr="00BD125C" w:rsidTr="00BC6F8B">
        <w:tc>
          <w:tcPr>
            <w:tcW w:w="5769" w:type="dxa"/>
          </w:tcPr>
          <w:p w:rsidR="00BD125C" w:rsidRPr="00BD125C" w:rsidRDefault="00BD125C" w:rsidP="00BD125C">
            <w:pPr>
              <w:ind w:left="72"/>
              <w:rPr>
                <w:i/>
              </w:rPr>
            </w:pPr>
            <w:r w:rsidRPr="00BD125C">
              <w:rPr>
                <w:i/>
              </w:rPr>
              <w:t>Annual Personnel Costs (Federal Employee Time Cost)</w:t>
            </w:r>
          </w:p>
        </w:tc>
        <w:tc>
          <w:tcPr>
            <w:tcW w:w="3473" w:type="dxa"/>
          </w:tcPr>
          <w:p w:rsidR="00BD125C" w:rsidRPr="00BD125C" w:rsidRDefault="00BD125C" w:rsidP="00BD125C">
            <w:pPr>
              <w:ind w:left="252"/>
              <w:jc w:val="center"/>
            </w:pPr>
          </w:p>
        </w:tc>
      </w:tr>
      <w:tr w:rsidR="00BD125C" w:rsidRPr="00BD125C" w:rsidTr="00BC6F8B">
        <w:tc>
          <w:tcPr>
            <w:tcW w:w="5769" w:type="dxa"/>
          </w:tcPr>
          <w:p w:rsidR="00BD125C" w:rsidRPr="00BD125C" w:rsidRDefault="00BC6F8B" w:rsidP="00DD6B5A">
            <w:pPr>
              <w:ind w:left="72"/>
            </w:pPr>
            <w:r>
              <w:t>5</w:t>
            </w:r>
            <w:r w:rsidR="00BD125C" w:rsidRPr="00BD125C">
              <w:t>% time – GS14 FTE @ $</w:t>
            </w:r>
            <w:r w:rsidR="00DD6B5A">
              <w:t>137,156</w:t>
            </w:r>
          </w:p>
        </w:tc>
        <w:tc>
          <w:tcPr>
            <w:tcW w:w="3473" w:type="dxa"/>
          </w:tcPr>
          <w:p w:rsidR="00BD125C" w:rsidRPr="00BD125C" w:rsidRDefault="00BD125C" w:rsidP="00EE005F">
            <w:pPr>
              <w:ind w:left="252"/>
              <w:jc w:val="center"/>
            </w:pPr>
            <w:r w:rsidRPr="00BD125C">
              <w:t>$</w:t>
            </w:r>
            <w:r w:rsidR="00EE005F">
              <w:t>6,858</w:t>
            </w:r>
          </w:p>
        </w:tc>
      </w:tr>
      <w:tr w:rsidR="00BD125C" w:rsidRPr="00BD125C" w:rsidTr="00BC6F8B">
        <w:tc>
          <w:tcPr>
            <w:tcW w:w="5769" w:type="dxa"/>
          </w:tcPr>
          <w:p w:rsidR="00BD125C" w:rsidRPr="00BD125C" w:rsidRDefault="00BC6F8B" w:rsidP="00DD6B5A">
            <w:pPr>
              <w:ind w:left="72"/>
            </w:pPr>
            <w:r>
              <w:t>5</w:t>
            </w:r>
            <w:r w:rsidR="00BD125C" w:rsidRPr="00BD125C">
              <w:t>% time – GS1</w:t>
            </w:r>
            <w:r w:rsidR="00DD6B5A">
              <w:t>3</w:t>
            </w:r>
            <w:r w:rsidR="00BD125C" w:rsidRPr="00BD125C">
              <w:t xml:space="preserve"> FTE @ $</w:t>
            </w:r>
            <w:r w:rsidR="00DD6B5A">
              <w:t>119,121</w:t>
            </w:r>
          </w:p>
        </w:tc>
        <w:tc>
          <w:tcPr>
            <w:tcW w:w="3473" w:type="dxa"/>
          </w:tcPr>
          <w:p w:rsidR="00BD125C" w:rsidRPr="00BD125C" w:rsidRDefault="00BD125C" w:rsidP="00EE005F">
            <w:pPr>
              <w:ind w:left="252"/>
              <w:jc w:val="center"/>
            </w:pPr>
            <w:r w:rsidRPr="00BD125C">
              <w:t>$</w:t>
            </w:r>
            <w:r w:rsidR="00BC6F8B">
              <w:t>5,</w:t>
            </w:r>
            <w:r w:rsidR="00EE005F">
              <w:t>956</w:t>
            </w:r>
          </w:p>
        </w:tc>
      </w:tr>
      <w:tr w:rsidR="00BD125C" w:rsidRPr="00BD125C" w:rsidTr="00BC6F8B">
        <w:tc>
          <w:tcPr>
            <w:tcW w:w="5769" w:type="dxa"/>
          </w:tcPr>
          <w:p w:rsidR="00BD125C" w:rsidRPr="00BD125C" w:rsidRDefault="00BD125C" w:rsidP="00DD6B5A">
            <w:pPr>
              <w:ind w:left="72"/>
            </w:pPr>
            <w:r w:rsidRPr="00BD125C">
              <w:t xml:space="preserve">5% time – </w:t>
            </w:r>
            <w:r w:rsidR="00BC6F8B">
              <w:t>GS1</w:t>
            </w:r>
            <w:r w:rsidR="00DD6B5A">
              <w:t>3</w:t>
            </w:r>
            <w:r w:rsidR="00BC6F8B">
              <w:t xml:space="preserve"> FTE @ $</w:t>
            </w:r>
            <w:r w:rsidR="00DD6B5A">
              <w:t>103,849</w:t>
            </w:r>
          </w:p>
        </w:tc>
        <w:tc>
          <w:tcPr>
            <w:tcW w:w="3473" w:type="dxa"/>
          </w:tcPr>
          <w:p w:rsidR="00BD125C" w:rsidRPr="00BD125C" w:rsidRDefault="00BD125C" w:rsidP="00EE005F">
            <w:pPr>
              <w:ind w:left="252"/>
              <w:jc w:val="center"/>
            </w:pPr>
            <w:r w:rsidRPr="00BD125C">
              <w:t>$</w:t>
            </w:r>
            <w:r w:rsidR="00EE005F">
              <w:t>5,192</w:t>
            </w:r>
          </w:p>
        </w:tc>
      </w:tr>
      <w:tr w:rsidR="00BD125C" w:rsidRPr="00BD125C" w:rsidTr="00BC6F8B">
        <w:tc>
          <w:tcPr>
            <w:tcW w:w="5769" w:type="dxa"/>
          </w:tcPr>
          <w:p w:rsidR="00BD125C" w:rsidRPr="00BD125C" w:rsidRDefault="00BC6F8B" w:rsidP="00DD6B5A">
            <w:pPr>
              <w:ind w:left="72"/>
            </w:pPr>
            <w:r>
              <w:t>8</w:t>
            </w:r>
            <w:r w:rsidR="00BD125C" w:rsidRPr="00BD125C">
              <w:t xml:space="preserve">0% time – </w:t>
            </w:r>
            <w:r>
              <w:t>GS13 FTE @ $</w:t>
            </w:r>
            <w:r w:rsidR="00DD6B5A">
              <w:t>103,849</w:t>
            </w:r>
          </w:p>
        </w:tc>
        <w:tc>
          <w:tcPr>
            <w:tcW w:w="3473" w:type="dxa"/>
          </w:tcPr>
          <w:p w:rsidR="00BD125C" w:rsidRPr="00BD125C" w:rsidRDefault="00BD125C" w:rsidP="00EE005F">
            <w:pPr>
              <w:ind w:left="252"/>
              <w:jc w:val="center"/>
            </w:pPr>
            <w:r w:rsidRPr="00BD125C">
              <w:t>$</w:t>
            </w:r>
            <w:r w:rsidR="00EE005F">
              <w:t>83,079</w:t>
            </w:r>
            <w:r w:rsidR="00BC6F8B">
              <w:t xml:space="preserve"> </w:t>
            </w:r>
          </w:p>
        </w:tc>
      </w:tr>
      <w:tr w:rsidR="00BC6F8B" w:rsidRPr="00BD125C" w:rsidTr="00BC6F8B">
        <w:tc>
          <w:tcPr>
            <w:tcW w:w="5769" w:type="dxa"/>
          </w:tcPr>
          <w:p w:rsidR="00BC6F8B" w:rsidRPr="00BD125C" w:rsidRDefault="00BC6F8B" w:rsidP="00DD6B5A">
            <w:pPr>
              <w:ind w:left="72"/>
            </w:pPr>
            <w:r>
              <w:t>20% time – GS12 FTE @ $</w:t>
            </w:r>
            <w:r w:rsidR="00DD6B5A">
              <w:t>87,332</w:t>
            </w:r>
          </w:p>
        </w:tc>
        <w:tc>
          <w:tcPr>
            <w:tcW w:w="3473" w:type="dxa"/>
          </w:tcPr>
          <w:p w:rsidR="00BC6F8B" w:rsidRPr="00BD125C" w:rsidRDefault="00BC6F8B" w:rsidP="00EE005F">
            <w:pPr>
              <w:ind w:left="252"/>
              <w:jc w:val="center"/>
            </w:pPr>
            <w:r>
              <w:t>$</w:t>
            </w:r>
            <w:r w:rsidR="00EE005F">
              <w:t>17,466</w:t>
            </w:r>
          </w:p>
        </w:tc>
      </w:tr>
      <w:tr w:rsidR="00BC6F8B" w:rsidRPr="00BD125C" w:rsidTr="00BC6F8B">
        <w:tc>
          <w:tcPr>
            <w:tcW w:w="5769" w:type="dxa"/>
          </w:tcPr>
          <w:p w:rsidR="00BC6F8B" w:rsidRPr="00BD125C" w:rsidRDefault="00BC6F8B" w:rsidP="00DD6B5A">
            <w:pPr>
              <w:ind w:left="72"/>
            </w:pPr>
            <w:r>
              <w:t>50% time – CCO – 04 FTE @ $</w:t>
            </w:r>
            <w:r w:rsidR="00DD6B5A">
              <w:t>35,523</w:t>
            </w:r>
          </w:p>
        </w:tc>
        <w:tc>
          <w:tcPr>
            <w:tcW w:w="3473" w:type="dxa"/>
          </w:tcPr>
          <w:p w:rsidR="00BC6F8B" w:rsidRPr="00BD125C" w:rsidRDefault="00BC6F8B" w:rsidP="00EE005F">
            <w:pPr>
              <w:ind w:left="252"/>
              <w:jc w:val="center"/>
            </w:pPr>
            <w:r>
              <w:t>$</w:t>
            </w:r>
            <w:r w:rsidR="00EE005F">
              <w:t>17,762</w:t>
            </w:r>
          </w:p>
        </w:tc>
      </w:tr>
      <w:tr w:rsidR="00BD125C" w:rsidRPr="00BD125C" w:rsidTr="00BC6F8B">
        <w:tc>
          <w:tcPr>
            <w:tcW w:w="5769" w:type="dxa"/>
          </w:tcPr>
          <w:p w:rsidR="00BD125C" w:rsidRPr="00BD125C" w:rsidRDefault="00BD125C" w:rsidP="00F87B80">
            <w:pPr>
              <w:ind w:left="72"/>
              <w:jc w:val="right"/>
              <w:rPr>
                <w:i/>
              </w:rPr>
            </w:pPr>
            <w:r w:rsidRPr="00BD125C">
              <w:rPr>
                <w:i/>
              </w:rPr>
              <w:t>Subtotal</w:t>
            </w:r>
          </w:p>
        </w:tc>
        <w:tc>
          <w:tcPr>
            <w:tcW w:w="3473" w:type="dxa"/>
          </w:tcPr>
          <w:p w:rsidR="00BD125C" w:rsidRPr="00BD125C" w:rsidRDefault="00BD125C" w:rsidP="00EE005F">
            <w:pPr>
              <w:ind w:left="252"/>
              <w:jc w:val="right"/>
              <w:rPr>
                <w:i/>
              </w:rPr>
            </w:pPr>
            <w:r w:rsidRPr="00BD125C">
              <w:rPr>
                <w:i/>
              </w:rPr>
              <w:t>$</w:t>
            </w:r>
            <w:r w:rsidR="00EE005F">
              <w:rPr>
                <w:i/>
              </w:rPr>
              <w:t>136,313</w:t>
            </w:r>
          </w:p>
        </w:tc>
      </w:tr>
      <w:tr w:rsidR="00BD125C" w:rsidRPr="00BD125C" w:rsidTr="00BC6F8B">
        <w:tc>
          <w:tcPr>
            <w:tcW w:w="5769" w:type="dxa"/>
          </w:tcPr>
          <w:p w:rsidR="00BD125C" w:rsidRPr="00BD125C" w:rsidRDefault="00BD125C" w:rsidP="00BD125C">
            <w:pPr>
              <w:ind w:left="72"/>
              <w:rPr>
                <w:i/>
              </w:rPr>
            </w:pPr>
            <w:r w:rsidRPr="00BD125C">
              <w:rPr>
                <w:i/>
              </w:rPr>
              <w:t>Grantee Costs</w:t>
            </w:r>
          </w:p>
        </w:tc>
        <w:tc>
          <w:tcPr>
            <w:tcW w:w="3473" w:type="dxa"/>
          </w:tcPr>
          <w:p w:rsidR="00BD125C" w:rsidRPr="00BD125C" w:rsidRDefault="00BD125C" w:rsidP="00BD125C">
            <w:pPr>
              <w:ind w:left="252"/>
              <w:jc w:val="center"/>
            </w:pPr>
          </w:p>
        </w:tc>
      </w:tr>
      <w:tr w:rsidR="00BD125C" w:rsidRPr="00BD125C" w:rsidTr="00BC6F8B">
        <w:tc>
          <w:tcPr>
            <w:tcW w:w="5769" w:type="dxa"/>
          </w:tcPr>
          <w:p w:rsidR="00BD125C" w:rsidRPr="00BD125C" w:rsidRDefault="00BC6F8B" w:rsidP="00BC6F8B">
            <w:pPr>
              <w:ind w:left="72"/>
            </w:pPr>
            <w:r>
              <w:t>5</w:t>
            </w:r>
            <w:r w:rsidR="00BD125C" w:rsidRPr="00BD125C">
              <w:t>% of grantee’s program cost (</w:t>
            </w:r>
            <w:r>
              <w:t>Quitline FOA</w:t>
            </w:r>
            <w:r w:rsidR="00BD125C" w:rsidRPr="00BD125C">
              <w:t>)</w:t>
            </w:r>
          </w:p>
        </w:tc>
        <w:tc>
          <w:tcPr>
            <w:tcW w:w="3473" w:type="dxa"/>
          </w:tcPr>
          <w:p w:rsidR="00BD125C" w:rsidRPr="00BD125C" w:rsidRDefault="00BD125C" w:rsidP="004347DB">
            <w:pPr>
              <w:ind w:left="252"/>
              <w:jc w:val="center"/>
            </w:pPr>
            <w:r w:rsidRPr="004347DB">
              <w:t>$</w:t>
            </w:r>
            <w:r w:rsidR="004347DB" w:rsidRPr="004347DB">
              <w:t>90</w:t>
            </w:r>
            <w:r w:rsidR="00BC6F8B" w:rsidRPr="004347DB">
              <w:t>0</w:t>
            </w:r>
            <w:r w:rsidRPr="004347DB">
              <w:t>,000</w:t>
            </w:r>
          </w:p>
        </w:tc>
      </w:tr>
      <w:tr w:rsidR="00BD125C" w:rsidRPr="00BD125C" w:rsidTr="00BC6F8B">
        <w:tc>
          <w:tcPr>
            <w:tcW w:w="5769" w:type="dxa"/>
          </w:tcPr>
          <w:p w:rsidR="00BD125C" w:rsidRPr="00BD125C" w:rsidRDefault="00BD125C" w:rsidP="00F87B80">
            <w:pPr>
              <w:ind w:left="72"/>
              <w:jc w:val="right"/>
              <w:rPr>
                <w:i/>
              </w:rPr>
            </w:pPr>
            <w:r w:rsidRPr="00BD125C">
              <w:rPr>
                <w:i/>
              </w:rPr>
              <w:t>Subtotal</w:t>
            </w:r>
          </w:p>
        </w:tc>
        <w:tc>
          <w:tcPr>
            <w:tcW w:w="3473" w:type="dxa"/>
          </w:tcPr>
          <w:p w:rsidR="00BD125C" w:rsidRPr="00BD125C" w:rsidRDefault="00BD125C" w:rsidP="004347DB">
            <w:pPr>
              <w:jc w:val="right"/>
              <w:rPr>
                <w:i/>
              </w:rPr>
            </w:pPr>
            <w:r w:rsidRPr="00BD125C">
              <w:rPr>
                <w:i/>
              </w:rPr>
              <w:t>$</w:t>
            </w:r>
            <w:r w:rsidR="004347DB">
              <w:rPr>
                <w:i/>
              </w:rPr>
              <w:t>90</w:t>
            </w:r>
            <w:r w:rsidR="00BC6F8B">
              <w:rPr>
                <w:i/>
              </w:rPr>
              <w:t>0,000</w:t>
            </w:r>
          </w:p>
        </w:tc>
      </w:tr>
      <w:tr w:rsidR="00BD125C" w:rsidRPr="00BD125C" w:rsidTr="00BC6F8B">
        <w:tc>
          <w:tcPr>
            <w:tcW w:w="5769" w:type="dxa"/>
          </w:tcPr>
          <w:p w:rsidR="00BD125C" w:rsidRPr="00BD125C" w:rsidRDefault="00BD125C" w:rsidP="00BD125C">
            <w:pPr>
              <w:ind w:left="72"/>
              <w:rPr>
                <w:b/>
              </w:rPr>
            </w:pPr>
            <w:r w:rsidRPr="00BD125C">
              <w:rPr>
                <w:b/>
              </w:rPr>
              <w:t>Total Annualized Cost to the Government</w:t>
            </w:r>
          </w:p>
        </w:tc>
        <w:tc>
          <w:tcPr>
            <w:tcW w:w="3473" w:type="dxa"/>
          </w:tcPr>
          <w:p w:rsidR="00BD125C" w:rsidRPr="00BD125C" w:rsidRDefault="004347DB" w:rsidP="00BD125C">
            <w:pPr>
              <w:jc w:val="center"/>
              <w:rPr>
                <w:b/>
              </w:rPr>
            </w:pPr>
            <w:r>
              <w:rPr>
                <w:b/>
              </w:rPr>
              <w:t>1,411,313</w:t>
            </w:r>
          </w:p>
        </w:tc>
      </w:tr>
    </w:tbl>
    <w:p w:rsidR="00B115A1" w:rsidRDefault="00B115A1" w:rsidP="00BD125C">
      <w:pPr>
        <w:ind w:firstLine="720"/>
        <w:rPr>
          <w:color w:val="000000"/>
        </w:rPr>
      </w:pPr>
    </w:p>
    <w:p w:rsidR="00BD125C" w:rsidRPr="00BD125C" w:rsidRDefault="00BD125C" w:rsidP="00BD125C">
      <w:pPr>
        <w:ind w:firstLine="720"/>
        <w:rPr>
          <w:color w:val="000000"/>
        </w:rPr>
      </w:pPr>
      <w:r w:rsidRPr="00BD125C">
        <w:rPr>
          <w:color w:val="000000"/>
        </w:rPr>
        <w:t>The annualized cost to the government for the study will be $</w:t>
      </w:r>
      <w:r w:rsidR="00070256">
        <w:rPr>
          <w:color w:val="000000"/>
        </w:rPr>
        <w:t>1,</w:t>
      </w:r>
      <w:r w:rsidR="007F2EE1">
        <w:rPr>
          <w:color w:val="000000"/>
        </w:rPr>
        <w:t>411,313</w:t>
      </w:r>
      <w:r w:rsidRPr="00BD125C">
        <w:rPr>
          <w:color w:val="000000"/>
        </w:rPr>
        <w:t>.  The 36-month cost to the government for the study will be $</w:t>
      </w:r>
      <w:r w:rsidR="007F2EE1">
        <w:rPr>
          <w:color w:val="000000"/>
        </w:rPr>
        <w:t>4,233,939</w:t>
      </w:r>
      <w:r w:rsidRPr="00BD125C">
        <w:rPr>
          <w:color w:val="000000"/>
        </w:rPr>
        <w:t>.</w:t>
      </w:r>
    </w:p>
    <w:p w:rsidR="001576EC" w:rsidRDefault="001576EC" w:rsidP="001576EC">
      <w:pPr>
        <w:autoSpaceDE w:val="0"/>
        <w:autoSpaceDN w:val="0"/>
        <w:adjustRightInd w:val="0"/>
        <w:ind w:firstLine="720"/>
        <w:rPr>
          <w:b/>
        </w:rPr>
      </w:pPr>
    </w:p>
    <w:p w:rsidR="00600B8F" w:rsidRPr="00600B8F" w:rsidRDefault="00600B8F" w:rsidP="00600B8F">
      <w:pPr>
        <w:ind w:firstLine="720"/>
        <w:rPr>
          <w:color w:val="000000"/>
        </w:rPr>
      </w:pPr>
    </w:p>
    <w:p w:rsidR="008469A3" w:rsidRDefault="00F128CF">
      <w:pPr>
        <w:pStyle w:val="Heading2"/>
      </w:pPr>
      <w:r>
        <w:t>A.1</w:t>
      </w:r>
      <w:r w:rsidR="00831F0D">
        <w:t>5</w:t>
      </w:r>
      <w:r w:rsidR="008469A3">
        <w:tab/>
      </w:r>
      <w:r w:rsidR="00455449">
        <w:rPr>
          <w:u w:val="single"/>
        </w:rPr>
        <w:t xml:space="preserve">EXPLANATION </w:t>
      </w:r>
      <w:r w:rsidR="008469A3">
        <w:rPr>
          <w:u w:val="single"/>
        </w:rPr>
        <w:t>F</w:t>
      </w:r>
      <w:r w:rsidR="00455449">
        <w:rPr>
          <w:u w:val="single"/>
        </w:rPr>
        <w:t>OR</w:t>
      </w:r>
      <w:r w:rsidR="008469A3">
        <w:rPr>
          <w:u w:val="single"/>
        </w:rPr>
        <w:t xml:space="preserve"> PROGRAM CHANGES OR ADJUSTMENTS</w:t>
      </w:r>
    </w:p>
    <w:p w:rsidR="002828EC" w:rsidRDefault="00DD2E62" w:rsidP="002828EC">
      <w:pPr>
        <w:ind w:firstLine="720"/>
      </w:pPr>
      <w:r w:rsidRPr="00DD2E62">
        <w:t>The total estimated annual burden hours for the proposed OMB revision are 82,440, which is 37 hours lower than the 82,477 estimated annual burden hours in the previous OMB approval period. This decrease is driven by the decrease in periodicity of the NQDW Quitline Services Survey from quarterly to semi-annually.</w:t>
      </w:r>
      <w:r>
        <w:t xml:space="preserve"> </w:t>
      </w:r>
      <w:r w:rsidR="002828EC">
        <w:t>Our update to this ICR includes a decrease in the number of respondents (-1,552) and an increase in the total burden (+1,767) based on an update of our estimates</w:t>
      </w:r>
    </w:p>
    <w:p w:rsidR="00455449" w:rsidRDefault="00455449" w:rsidP="00455449"/>
    <w:p w:rsidR="008469A3" w:rsidRDefault="00F128CF" w:rsidP="001A1FAE">
      <w:pPr>
        <w:pStyle w:val="Heading2"/>
      </w:pPr>
      <w:r>
        <w:t>A.1</w:t>
      </w:r>
      <w:r w:rsidR="00912536">
        <w:t>6</w:t>
      </w:r>
      <w:r w:rsidR="008469A3">
        <w:tab/>
      </w:r>
      <w:r w:rsidR="008469A3">
        <w:rPr>
          <w:u w:val="single"/>
        </w:rPr>
        <w:t>PLANS FOR TABULATION AND PUBLICATION AND PROJECT TIME SCHEDULE</w:t>
      </w:r>
    </w:p>
    <w:p w:rsidR="006D0040" w:rsidRPr="001615FF" w:rsidRDefault="006D0040" w:rsidP="006D0040">
      <w:pPr>
        <w:pStyle w:val="BodyText"/>
        <w:ind w:firstLine="0"/>
        <w:rPr>
          <w:b/>
          <w:u w:val="single"/>
        </w:rPr>
      </w:pPr>
      <w:r>
        <w:rPr>
          <w:b/>
          <w:u w:val="single"/>
        </w:rPr>
        <w:t>Data Tabulation Plans</w:t>
      </w:r>
    </w:p>
    <w:p w:rsidR="006035AF" w:rsidRDefault="008469A3">
      <w:pPr>
        <w:pStyle w:val="BodyText"/>
      </w:pPr>
      <w:r w:rsidRPr="000A1B69">
        <w:t>Data will be tabulated in ways that will address the pr</w:t>
      </w:r>
      <w:r w:rsidR="00E553FD" w:rsidRPr="000A1B69">
        <w:t>incipal purposes outlined in A.3</w:t>
      </w:r>
      <w:r w:rsidRPr="000A1B69">
        <w:t xml:space="preserve">.  </w:t>
      </w:r>
      <w:r w:rsidR="00A01E92">
        <w:t xml:space="preserve">Starting in November 2013, </w:t>
      </w:r>
      <w:r w:rsidR="006035AF">
        <w:t xml:space="preserve">CDC </w:t>
      </w:r>
      <w:r w:rsidR="00A01E92">
        <w:t>began sharing</w:t>
      </w:r>
      <w:r w:rsidR="006035AF">
        <w:t xml:space="preserve"> tabulations using the NQDW data collected </w:t>
      </w:r>
      <w:r w:rsidR="00E3202A">
        <w:t xml:space="preserve">publicly </w:t>
      </w:r>
      <w:r w:rsidR="006035AF">
        <w:t xml:space="preserve">online through the CDC’s State Tobacco Activities Tracking and Evaluation (STATE) System website </w:t>
      </w:r>
      <w:r w:rsidR="006035AF" w:rsidRPr="006F4BF6">
        <w:t>(</w:t>
      </w:r>
      <w:hyperlink r:id="rId10" w:history="1">
        <w:r w:rsidR="006035AF" w:rsidRPr="006F4BF6">
          <w:rPr>
            <w:rStyle w:val="Hyperlink"/>
          </w:rPr>
          <w:t>http://apps.nccd.cdc.gov/statesystem/Default/Default.aspx</w:t>
        </w:r>
      </w:hyperlink>
      <w:r w:rsidR="006035AF" w:rsidRPr="006F4BF6">
        <w:t>)</w:t>
      </w:r>
      <w:r w:rsidR="00E3202A">
        <w:t xml:space="preserve"> which contains a variety of current and historical state-level and national data on tobacco use prevention and control</w:t>
      </w:r>
      <w:r w:rsidR="006035AF" w:rsidRPr="006F4BF6">
        <w:t>.</w:t>
      </w:r>
      <w:r w:rsidR="006035AF">
        <w:t xml:space="preserve"> CDC plans to continue sharing quarterly NQDW data tabulations from the NQDW </w:t>
      </w:r>
      <w:r w:rsidR="00E3202A">
        <w:t>data</w:t>
      </w:r>
      <w:r w:rsidR="006035AF">
        <w:t xml:space="preserve"> on the STATE system on an ongoing basis. </w:t>
      </w:r>
      <w:r w:rsidR="0035346C">
        <w:t xml:space="preserve">Data is reported in aggregate to prevent involuntary disclosure due to small cell sizes at the individual level. </w:t>
      </w:r>
      <w:r w:rsidR="006035AF">
        <w:t xml:space="preserve">Through the CDC’s STATE System, </w:t>
      </w:r>
      <w:r w:rsidR="00E3202A">
        <w:t xml:space="preserve">website </w:t>
      </w:r>
      <w:r w:rsidR="006035AF">
        <w:t>visitors can access a variety of detailed reports</w:t>
      </w:r>
      <w:r w:rsidR="00E3202A">
        <w:t xml:space="preserve"> and data tables</w:t>
      </w:r>
      <w:r w:rsidR="006035AF">
        <w:t xml:space="preserve"> that present a state-level summary of NQDW data for a single quarter</w:t>
      </w:r>
      <w:r w:rsidR="00E3202A">
        <w:t xml:space="preserve">. </w:t>
      </w:r>
      <w:r w:rsidR="006035AF">
        <w:t>Detailed reports available on the CDC’s STATE System website that are based upon NQDW data include:</w:t>
      </w:r>
    </w:p>
    <w:p w:rsidR="00E3202A" w:rsidRDefault="00E3202A" w:rsidP="00E3202A">
      <w:pPr>
        <w:pStyle w:val="BodyText"/>
        <w:numPr>
          <w:ilvl w:val="0"/>
          <w:numId w:val="53"/>
        </w:numPr>
        <w:spacing w:after="60"/>
      </w:pPr>
      <w:r>
        <w:t>Quitline - Services Available</w:t>
      </w:r>
    </w:p>
    <w:p w:rsidR="00E3202A" w:rsidRDefault="00E3202A" w:rsidP="00E3202A">
      <w:pPr>
        <w:pStyle w:val="BodyText"/>
        <w:numPr>
          <w:ilvl w:val="1"/>
          <w:numId w:val="53"/>
        </w:numPr>
        <w:spacing w:after="60"/>
      </w:pPr>
      <w:r>
        <w:t>Hours of Operation and Available Languages</w:t>
      </w:r>
    </w:p>
    <w:p w:rsidR="00E3202A" w:rsidRDefault="00E3202A" w:rsidP="00E3202A">
      <w:pPr>
        <w:pStyle w:val="BodyText"/>
        <w:numPr>
          <w:ilvl w:val="1"/>
          <w:numId w:val="53"/>
        </w:numPr>
        <w:spacing w:after="60"/>
      </w:pPr>
      <w:r>
        <w:t>Counseling</w:t>
      </w:r>
    </w:p>
    <w:p w:rsidR="00E3202A" w:rsidRDefault="00E3202A" w:rsidP="00E3202A">
      <w:pPr>
        <w:pStyle w:val="BodyText"/>
        <w:numPr>
          <w:ilvl w:val="1"/>
          <w:numId w:val="53"/>
        </w:numPr>
        <w:spacing w:after="60"/>
      </w:pPr>
      <w:r>
        <w:t>Medications</w:t>
      </w:r>
    </w:p>
    <w:p w:rsidR="00E3202A" w:rsidRDefault="00E3202A" w:rsidP="00E3202A">
      <w:pPr>
        <w:pStyle w:val="BodyText"/>
        <w:numPr>
          <w:ilvl w:val="0"/>
          <w:numId w:val="53"/>
        </w:numPr>
        <w:spacing w:after="60"/>
      </w:pPr>
      <w:r>
        <w:t>Quitline – Service Utilization</w:t>
      </w:r>
    </w:p>
    <w:p w:rsidR="00E3202A" w:rsidRDefault="00E3202A" w:rsidP="00E3202A">
      <w:pPr>
        <w:pStyle w:val="BodyText"/>
        <w:numPr>
          <w:ilvl w:val="1"/>
          <w:numId w:val="53"/>
        </w:numPr>
        <w:spacing w:after="60"/>
      </w:pPr>
      <w:r>
        <w:t>Call Volume</w:t>
      </w:r>
    </w:p>
    <w:p w:rsidR="00E3202A" w:rsidRDefault="00E3202A" w:rsidP="00E3202A">
      <w:pPr>
        <w:pStyle w:val="BodyText"/>
        <w:numPr>
          <w:ilvl w:val="1"/>
          <w:numId w:val="53"/>
        </w:numPr>
        <w:spacing w:after="60"/>
      </w:pPr>
      <w:r>
        <w:t>Services Received</w:t>
      </w:r>
    </w:p>
    <w:p w:rsidR="00E3202A" w:rsidRDefault="00E3202A" w:rsidP="00E3202A">
      <w:pPr>
        <w:pStyle w:val="BodyText"/>
        <w:numPr>
          <w:ilvl w:val="1"/>
          <w:numId w:val="53"/>
        </w:numPr>
        <w:spacing w:after="60"/>
      </w:pPr>
      <w:r>
        <w:t>Caller Characteristics</w:t>
      </w:r>
    </w:p>
    <w:p w:rsidR="00E3202A" w:rsidRDefault="00E3202A" w:rsidP="001615FF">
      <w:pPr>
        <w:pStyle w:val="BodyText"/>
        <w:numPr>
          <w:ilvl w:val="1"/>
          <w:numId w:val="53"/>
        </w:numPr>
        <w:spacing w:after="60"/>
      </w:pPr>
      <w:r>
        <w:t>How Callers Heard about Quitline</w:t>
      </w:r>
    </w:p>
    <w:p w:rsidR="00E3202A" w:rsidRDefault="00E3202A" w:rsidP="001615FF">
      <w:pPr>
        <w:pStyle w:val="BodyText"/>
        <w:numPr>
          <w:ilvl w:val="1"/>
          <w:numId w:val="53"/>
        </w:numPr>
        <w:spacing w:after="60"/>
      </w:pPr>
      <w:r>
        <w:t>Types of Tobacco Products Used</w:t>
      </w:r>
    </w:p>
    <w:p w:rsidR="00E3202A" w:rsidRDefault="00E3202A">
      <w:pPr>
        <w:pStyle w:val="BodyText"/>
      </w:pPr>
    </w:p>
    <w:p w:rsidR="00E3202A" w:rsidRDefault="00E3202A" w:rsidP="001615FF">
      <w:pPr>
        <w:pStyle w:val="BodyText"/>
        <w:ind w:firstLine="0"/>
      </w:pPr>
      <w:r>
        <w:t xml:space="preserve">CDC STATE System users can also access highlights reports that present state and national trends for several key measures from the NQDW data including quitline call volume, the number of tobacco users who received counseling and/or free quitting medications from quitlines, and the demographic characteristics and tobacco products used by individuals who completed an NQDW Intake Questionnaire. Finally, CDC STATE System users can access maps that present state-level standardized quitline call volume and reach measures. The STATE System is designed to integrate many data sources to provide comprehensive summary data on a state level and facilitate research and consistent data interpretation.  The STATE System does not collect data and is simply a way for CDC to display data for public consumption in a user-friendly online environment.  Data submitted to CDC for inclusion in the NQDW is cleaned, standardized, formatted, analyzed and shared with states for sign off and verification before being published online. </w:t>
      </w:r>
    </w:p>
    <w:p w:rsidR="008469A3" w:rsidRDefault="008469A3" w:rsidP="007A5DFA">
      <w:pPr>
        <w:pStyle w:val="Heading3"/>
        <w:ind w:left="0"/>
      </w:pPr>
      <w:r w:rsidRPr="009B1D65">
        <w:rPr>
          <w:u w:val="single"/>
        </w:rPr>
        <w:t xml:space="preserve">Publication </w:t>
      </w:r>
      <w:r w:rsidR="006D0040">
        <w:rPr>
          <w:u w:val="single"/>
        </w:rPr>
        <w:t xml:space="preserve">and Dissemination </w:t>
      </w:r>
      <w:r w:rsidR="00C663AB">
        <w:rPr>
          <w:u w:val="single"/>
        </w:rPr>
        <w:t>Plans</w:t>
      </w:r>
    </w:p>
    <w:p w:rsidR="006D0040" w:rsidRDefault="006D0040" w:rsidP="00EC1669">
      <w:pPr>
        <w:pStyle w:val="BodyText"/>
      </w:pPr>
      <w:r w:rsidRPr="006F4BF6">
        <w:t>CDC has</w:t>
      </w:r>
      <w:r>
        <w:t xml:space="preserve">, and continues to, extensively </w:t>
      </w:r>
      <w:r w:rsidRPr="006F4BF6">
        <w:t>used the information collected by the NQDW for ongoing monitoring and evaluation related to state quitlines</w:t>
      </w:r>
      <w:r>
        <w:t xml:space="preserve">. CDC has also relied heavily on data from the NQDW to </w:t>
      </w:r>
      <w:r w:rsidRPr="006F4BF6">
        <w:t xml:space="preserve">respond to frequent quitline-related queries from CDC management, the U.S. Department of Health and Human Services (USDHHS), state tobacco control programs, and legislators and policymakers. </w:t>
      </w:r>
      <w:r>
        <w:t xml:space="preserve">CDC plans to continue sharing and disseminating NQDW data from this data collection online through the CDC’s STATE System website </w:t>
      </w:r>
      <w:r w:rsidRPr="006F4BF6">
        <w:t>(</w:t>
      </w:r>
      <w:hyperlink r:id="rId11" w:history="1">
        <w:r w:rsidR="00802292" w:rsidRPr="00802292">
          <w:rPr>
            <w:rStyle w:val="Hyperlink"/>
          </w:rPr>
          <w:t>http://www.cdc.gov/statesystem</w:t>
        </w:r>
      </w:hyperlink>
      <w:r>
        <w:rPr>
          <w:rStyle w:val="Hyperlink"/>
        </w:rPr>
        <w:t xml:space="preserve">). </w:t>
      </w:r>
      <w:r>
        <w:t xml:space="preserve">CDC has also presented findings and results from the NQDW data collection at various meetings and conferences and plans to continue presenting NQDW data at a variety of meetings and conferences. </w:t>
      </w:r>
    </w:p>
    <w:p w:rsidR="00FB68E4" w:rsidRPr="00963C1C" w:rsidRDefault="006D0040" w:rsidP="00FB68E4">
      <w:pPr>
        <w:pStyle w:val="BodyText"/>
      </w:pPr>
      <w:r>
        <w:t xml:space="preserve">CDC plans to disseminate NQDW data through several mechanisms that will reach public health providers, clinicians who refer their patients to quitlines, quitline professionals and researchers.  </w:t>
      </w:r>
      <w:r w:rsidR="00FB68E4">
        <w:t>For example, data from the NQDW was included in CDC’s Tobacco Control State Highlights 2012 report (CDC, 2013</w:t>
      </w:r>
      <w:r w:rsidR="00E502F6">
        <w:t>c</w:t>
      </w:r>
      <w:r w:rsidR="0039170E">
        <w:t>)</w:t>
      </w:r>
      <w:r w:rsidR="00FB68E4">
        <w:t xml:space="preserve">. CDC anticipates presenting NQDW in similar reports in the future. </w:t>
      </w:r>
      <w:r w:rsidR="00FB68E4" w:rsidRPr="0007491C">
        <w:t xml:space="preserve">CDC plans to release </w:t>
      </w:r>
      <w:r w:rsidR="00FB68E4">
        <w:t>NQDW data</w:t>
      </w:r>
      <w:r w:rsidR="00FB68E4" w:rsidRPr="0007491C">
        <w:t xml:space="preserve"> through a variety of government publications, refereed journals, and annual conferences of national organizations focused on tobacco use, prevention and control, preventive medicine, health promotion, and epidem</w:t>
      </w:r>
      <w:r w:rsidR="00FB68E4">
        <w:t xml:space="preserve">iology. Anticipated </w:t>
      </w:r>
      <w:r w:rsidR="00FB68E4" w:rsidRPr="00963C1C">
        <w:t>publications using NQDW data include:</w:t>
      </w:r>
    </w:p>
    <w:p w:rsidR="00B2087C" w:rsidRPr="00963C1C" w:rsidRDefault="00B2087C" w:rsidP="00EC1669">
      <w:pPr>
        <w:pStyle w:val="BodyText"/>
        <w:numPr>
          <w:ilvl w:val="0"/>
          <w:numId w:val="54"/>
        </w:numPr>
        <w:spacing w:after="60"/>
        <w:ind w:left="720"/>
      </w:pPr>
      <w:r w:rsidRPr="00963C1C">
        <w:t xml:space="preserve">Examination of variations in quitline reach by race/ethnicity across U.S. states (Marshall et. al., 2016 </w:t>
      </w:r>
      <w:hyperlink r:id="rId12" w:history="1">
        <w:r w:rsidRPr="002D7CCB">
          <w:rPr>
            <w:color w:val="006FB7"/>
            <w:lang w:val="en"/>
          </w:rPr>
          <w:t>https://doi.org/10.1093/ntr/ntw281</w:t>
        </w:r>
      </w:hyperlink>
      <w:r w:rsidRPr="002D7CCB">
        <w:rPr>
          <w:color w:val="2A2A2A"/>
          <w:lang w:val="en"/>
        </w:rPr>
        <w:t>)</w:t>
      </w:r>
    </w:p>
    <w:p w:rsidR="00B2087C" w:rsidRPr="00963C1C" w:rsidRDefault="00B2087C" w:rsidP="00EC1669">
      <w:pPr>
        <w:pStyle w:val="BodyText"/>
        <w:numPr>
          <w:ilvl w:val="0"/>
          <w:numId w:val="54"/>
        </w:numPr>
        <w:spacing w:after="60"/>
        <w:ind w:left="720"/>
      </w:pPr>
      <w:r w:rsidRPr="002D7CCB">
        <w:rPr>
          <w:color w:val="2A2A2A"/>
          <w:lang w:val="en"/>
        </w:rPr>
        <w:t xml:space="preserve">Examination of characteristics of ASQ callers, how they heard about the quitline, and their use of the service. (Kuiper et al., 2015 </w:t>
      </w:r>
      <w:r w:rsidRPr="00963C1C">
        <w:rPr>
          <w:lang w:val="en"/>
        </w:rPr>
        <w:t xml:space="preserve">doi:  </w:t>
      </w:r>
      <w:hyperlink r:id="rId13" w:tgtFrame="pmc_ext" w:history="1">
        <w:r w:rsidRPr="00963C1C">
          <w:rPr>
            <w:color w:val="0000FF"/>
            <w:u w:val="single"/>
            <w:lang w:val="en"/>
          </w:rPr>
          <w:t>10.5888/pcd12.140584</w:t>
        </w:r>
      </w:hyperlink>
      <w:r w:rsidRPr="00963C1C">
        <w:rPr>
          <w:lang w:val="en"/>
        </w:rPr>
        <w:t>)</w:t>
      </w:r>
    </w:p>
    <w:p w:rsidR="00FB68E4" w:rsidRPr="00963C1C" w:rsidRDefault="00FB68E4" w:rsidP="00EC1669">
      <w:pPr>
        <w:pStyle w:val="BodyText"/>
        <w:numPr>
          <w:ilvl w:val="0"/>
          <w:numId w:val="54"/>
        </w:numPr>
        <w:spacing w:after="60"/>
        <w:ind w:left="720"/>
      </w:pPr>
      <w:r w:rsidRPr="00963C1C">
        <w:t xml:space="preserve">Evaluation of the success of CDC’s </w:t>
      </w:r>
      <w:r w:rsidR="001938EF" w:rsidRPr="00963C1C">
        <w:t>Tips®</w:t>
      </w:r>
      <w:r w:rsidRPr="00963C1C">
        <w:t xml:space="preserve"> national tobacco education media campaigns that CDC has been running annually since 2012 on key quitline outcomes such as call volume and reach</w:t>
      </w:r>
    </w:p>
    <w:p w:rsidR="00FB68E4" w:rsidRPr="00963C1C" w:rsidRDefault="00FB68E4" w:rsidP="00EC1669">
      <w:pPr>
        <w:pStyle w:val="BodyText"/>
        <w:numPr>
          <w:ilvl w:val="0"/>
          <w:numId w:val="54"/>
        </w:numPr>
        <w:spacing w:after="60"/>
        <w:ind w:left="720"/>
      </w:pPr>
      <w:r w:rsidRPr="00963C1C">
        <w:t xml:space="preserve">Proportion of quitline callers who report hearing about the quitline from a health </w:t>
      </w:r>
    </w:p>
    <w:p w:rsidR="00FB68E4" w:rsidRPr="00963C1C" w:rsidRDefault="00FB68E4" w:rsidP="00EC1669">
      <w:pPr>
        <w:pStyle w:val="BodyText"/>
        <w:numPr>
          <w:ilvl w:val="0"/>
          <w:numId w:val="54"/>
        </w:numPr>
        <w:spacing w:after="60"/>
        <w:ind w:left="720"/>
      </w:pPr>
      <w:r w:rsidRPr="00963C1C">
        <w:t>Profiles of services offered by state quitlines and changes in quitline services offered over time</w:t>
      </w:r>
    </w:p>
    <w:p w:rsidR="00CC6E00" w:rsidRDefault="00FB68E4" w:rsidP="00EC1669">
      <w:pPr>
        <w:pStyle w:val="BodyText"/>
        <w:ind w:firstLine="0"/>
      </w:pPr>
      <w:r>
        <w:t xml:space="preserve">CDC has already begun drafting several of the manuscripts described above and plans to continue </w:t>
      </w:r>
      <w:r w:rsidR="00B2087C">
        <w:t>work on additional topics</w:t>
      </w:r>
      <w:r>
        <w:t xml:space="preserve">. </w:t>
      </w:r>
    </w:p>
    <w:p w:rsidR="00576B5E" w:rsidRPr="00EC1669" w:rsidRDefault="00576B5E" w:rsidP="00033102">
      <w:pPr>
        <w:pStyle w:val="BodyText"/>
        <w:ind w:firstLine="0"/>
        <w:rPr>
          <w:b/>
        </w:rPr>
      </w:pPr>
      <w:r w:rsidRPr="00EC1669">
        <w:rPr>
          <w:b/>
          <w:u w:val="single"/>
        </w:rPr>
        <w:t>Time Schedule for the Project</w:t>
      </w:r>
    </w:p>
    <w:p w:rsidR="00822495" w:rsidRDefault="007C3B04" w:rsidP="007C3B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pPr>
      <w:r>
        <w:t xml:space="preserve">The following represents our proposed schedule of activities for the </w:t>
      </w:r>
      <w:r w:rsidR="007F0239">
        <w:t>NQDW</w:t>
      </w:r>
      <w:r w:rsidR="0097136C">
        <w:t xml:space="preserve">, </w:t>
      </w:r>
      <w:r>
        <w:t>in terms of months after receipt of OMB clearance</w:t>
      </w:r>
      <w:r w:rsidRPr="0029334C">
        <w:t xml:space="preserve">. </w:t>
      </w:r>
      <w:r w:rsidR="009B1D65" w:rsidRPr="0029334C">
        <w:t xml:space="preserve">Data collection </w:t>
      </w:r>
      <w:r w:rsidR="00F128CF">
        <w:t>is ongoing</w:t>
      </w:r>
      <w:r w:rsidR="00822495">
        <w:t>,</w:t>
      </w:r>
      <w:r w:rsidR="00F128CF">
        <w:t xml:space="preserve"> and we anticipate obtaining OMB renewals to continue data collection until discontinuation. </w:t>
      </w:r>
    </w:p>
    <w:p w:rsidR="00822495" w:rsidRDefault="00822495" w:rsidP="00822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57676D" w:rsidRDefault="007C3B04" w:rsidP="00802292">
      <w:pPr>
        <w:rPr>
          <w:rFonts w:ascii="Times New Roman TUR" w:hAnsi="Times New Roman TUR" w:cs="Times New Roman TUR"/>
          <w:b/>
          <w:bCs/>
        </w:rPr>
      </w:pPr>
      <w:r>
        <w:rPr>
          <w:rFonts w:ascii="Times New Roman TUR" w:hAnsi="Times New Roman TUR" w:cs="Times New Roman TUR"/>
        </w:rPr>
        <w:t>Key project dates will occur during the following time periods for the data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572"/>
      </w:tblGrid>
      <w:tr w:rsidR="006C7D1E" w:rsidRPr="004D2188" w:rsidTr="00822495">
        <w:tc>
          <w:tcPr>
            <w:tcW w:w="4698" w:type="dxa"/>
          </w:tcPr>
          <w:p w:rsidR="006C7D1E" w:rsidRPr="000A1B69" w:rsidRDefault="006C7D1E" w:rsidP="00822495">
            <w:pPr>
              <w:ind w:left="180"/>
              <w:rPr>
                <w:b/>
                <w:u w:val="single"/>
              </w:rPr>
            </w:pPr>
            <w:r w:rsidRPr="000A1B69">
              <w:rPr>
                <w:b/>
                <w:u w:val="single"/>
              </w:rPr>
              <w:t>Activity</w:t>
            </w:r>
          </w:p>
        </w:tc>
        <w:tc>
          <w:tcPr>
            <w:tcW w:w="4572" w:type="dxa"/>
          </w:tcPr>
          <w:p w:rsidR="006C7D1E" w:rsidRPr="000A1B69" w:rsidRDefault="006C7D1E" w:rsidP="00822495">
            <w:pPr>
              <w:ind w:left="90"/>
              <w:rPr>
                <w:b/>
                <w:u w:val="single"/>
              </w:rPr>
            </w:pPr>
            <w:r w:rsidRPr="000A1B69">
              <w:rPr>
                <w:b/>
                <w:u w:val="single"/>
              </w:rPr>
              <w:t>Time Period</w:t>
            </w:r>
          </w:p>
        </w:tc>
      </w:tr>
      <w:tr w:rsidR="006C7D1E" w:rsidRPr="004D2188" w:rsidTr="00822495">
        <w:trPr>
          <w:trHeight w:val="1016"/>
        </w:trPr>
        <w:tc>
          <w:tcPr>
            <w:tcW w:w="4698" w:type="dxa"/>
          </w:tcPr>
          <w:p w:rsidR="006C7D1E" w:rsidRPr="000A1B69" w:rsidRDefault="003E4AA9" w:rsidP="00822495">
            <w:pPr>
              <w:spacing w:before="60"/>
              <w:ind w:left="180"/>
            </w:pPr>
            <w:r w:rsidRPr="000A1B69">
              <w:rPr>
                <w:rFonts w:ascii="Times New Roman TUR" w:hAnsi="Times New Roman TUR" w:cs="Times New Roman TUR"/>
              </w:rPr>
              <w:t xml:space="preserve">Ongoing </w:t>
            </w:r>
            <w:r w:rsidR="004D2188" w:rsidRPr="000A1B69">
              <w:rPr>
                <w:rFonts w:ascii="Times New Roman TUR" w:hAnsi="Times New Roman TUR" w:cs="Times New Roman TUR"/>
              </w:rPr>
              <w:t xml:space="preserve">data collection </w:t>
            </w:r>
            <w:r w:rsidR="00822495">
              <w:rPr>
                <w:rFonts w:ascii="Times New Roman TUR" w:hAnsi="Times New Roman TUR" w:cs="Times New Roman TUR"/>
              </w:rPr>
              <w:t xml:space="preserve">for the NQDW Intake Questionnaire </w:t>
            </w:r>
            <w:r w:rsidR="004D2188" w:rsidRPr="000A1B69">
              <w:rPr>
                <w:rFonts w:ascii="Times New Roman TUR" w:hAnsi="Times New Roman TUR" w:cs="Times New Roman TUR"/>
              </w:rPr>
              <w:t xml:space="preserve">using </w:t>
            </w:r>
            <w:r w:rsidRPr="000A1B69">
              <w:rPr>
                <w:rFonts w:ascii="Times New Roman TUR" w:hAnsi="Times New Roman TUR" w:cs="Times New Roman TUR"/>
              </w:rPr>
              <w:t>approved protocol</w:t>
            </w:r>
            <w:r w:rsidR="004D2188" w:rsidRPr="000A1B69">
              <w:rPr>
                <w:rFonts w:ascii="Times New Roman TUR" w:hAnsi="Times New Roman TUR" w:cs="Times New Roman TUR"/>
              </w:rPr>
              <w:t>s</w:t>
            </w:r>
          </w:p>
        </w:tc>
        <w:tc>
          <w:tcPr>
            <w:tcW w:w="4572" w:type="dxa"/>
          </w:tcPr>
          <w:p w:rsidR="006C7D1E" w:rsidRPr="000A1B69" w:rsidRDefault="00343A44" w:rsidP="00822495">
            <w:pPr>
              <w:spacing w:before="60"/>
              <w:ind w:left="86"/>
            </w:pPr>
            <w:r w:rsidRPr="000A1B69">
              <w:rPr>
                <w:rFonts w:ascii="Times New Roman TUR" w:hAnsi="Times New Roman TUR" w:cs="Times New Roman TUR"/>
              </w:rPr>
              <w:t xml:space="preserve">As soon as possible after </w:t>
            </w:r>
            <w:r w:rsidR="00C33481" w:rsidRPr="000A1B69">
              <w:rPr>
                <w:rFonts w:ascii="Times New Roman TUR" w:hAnsi="Times New Roman TUR" w:cs="Times New Roman TUR"/>
              </w:rPr>
              <w:t>OMB clearance</w:t>
            </w:r>
          </w:p>
        </w:tc>
      </w:tr>
      <w:tr w:rsidR="006C7D1E" w:rsidRPr="004D2188" w:rsidTr="00822495">
        <w:trPr>
          <w:trHeight w:val="1259"/>
        </w:trPr>
        <w:tc>
          <w:tcPr>
            <w:tcW w:w="4698" w:type="dxa"/>
          </w:tcPr>
          <w:p w:rsidR="006C7D1E" w:rsidRPr="000A1B69" w:rsidRDefault="00815300" w:rsidP="00822495">
            <w:pPr>
              <w:spacing w:before="60"/>
              <w:ind w:left="180"/>
            </w:pPr>
            <w:r>
              <w:rPr>
                <w:rFonts w:ascii="Times New Roman TUR" w:hAnsi="Times New Roman TUR" w:cs="Times New Roman TUR"/>
              </w:rPr>
              <w:t>Ongoing</w:t>
            </w:r>
            <w:r w:rsidR="004D2188" w:rsidRPr="008A6DA1">
              <w:rPr>
                <w:rFonts w:ascii="Times New Roman TUR" w:hAnsi="Times New Roman TUR" w:cs="Times New Roman TUR"/>
              </w:rPr>
              <w:t xml:space="preserve"> </w:t>
            </w:r>
            <w:r w:rsidR="00822495">
              <w:rPr>
                <w:rFonts w:ascii="Times New Roman TUR" w:hAnsi="Times New Roman TUR" w:cs="Times New Roman TUR"/>
              </w:rPr>
              <w:t>Seven</w:t>
            </w:r>
            <w:r w:rsidR="004D2188" w:rsidRPr="008A6DA1">
              <w:rPr>
                <w:rFonts w:ascii="Times New Roman TUR" w:hAnsi="Times New Roman TUR" w:cs="Times New Roman TUR"/>
              </w:rPr>
              <w:t>-</w:t>
            </w:r>
            <w:r w:rsidR="00822495">
              <w:rPr>
                <w:rFonts w:ascii="Times New Roman TUR" w:hAnsi="Times New Roman TUR" w:cs="Times New Roman TUR"/>
              </w:rPr>
              <w:t>M</w:t>
            </w:r>
            <w:r w:rsidR="004D2188" w:rsidRPr="008A6DA1">
              <w:rPr>
                <w:rFonts w:ascii="Times New Roman TUR" w:hAnsi="Times New Roman TUR" w:cs="Times New Roman TUR"/>
              </w:rPr>
              <w:t xml:space="preserve">onth </w:t>
            </w:r>
            <w:r w:rsidR="00822495">
              <w:rPr>
                <w:rFonts w:ascii="Times New Roman TUR" w:hAnsi="Times New Roman TUR" w:cs="Times New Roman TUR"/>
              </w:rPr>
              <w:t>F</w:t>
            </w:r>
            <w:r w:rsidR="004D2188" w:rsidRPr="008A6DA1">
              <w:rPr>
                <w:rFonts w:ascii="Times New Roman TUR" w:hAnsi="Times New Roman TUR" w:cs="Times New Roman TUR"/>
              </w:rPr>
              <w:t xml:space="preserve">ollow-up </w:t>
            </w:r>
            <w:r w:rsidR="00822495">
              <w:rPr>
                <w:rFonts w:ascii="Times New Roman TUR" w:hAnsi="Times New Roman TUR" w:cs="Times New Roman TUR"/>
              </w:rPr>
              <w:t xml:space="preserve">Questionnaire </w:t>
            </w:r>
            <w:r w:rsidR="004D2188" w:rsidRPr="008A6DA1">
              <w:rPr>
                <w:rFonts w:ascii="Times New Roman TUR" w:hAnsi="Times New Roman TUR" w:cs="Times New Roman TUR"/>
              </w:rPr>
              <w:t>interviews</w:t>
            </w:r>
            <w:r w:rsidR="008A6DA1">
              <w:rPr>
                <w:rFonts w:ascii="Times New Roman TUR" w:hAnsi="Times New Roman TUR" w:cs="Times New Roman TUR"/>
              </w:rPr>
              <w:t xml:space="preserve"> (only for Asian </w:t>
            </w:r>
            <w:r w:rsidR="00FB68E4">
              <w:rPr>
                <w:rFonts w:ascii="Times New Roman TUR" w:hAnsi="Times New Roman TUR" w:cs="Times New Roman TUR"/>
              </w:rPr>
              <w:t xml:space="preserve">Smokers’ </w:t>
            </w:r>
            <w:r w:rsidR="008A6DA1">
              <w:rPr>
                <w:rFonts w:ascii="Times New Roman TUR" w:hAnsi="Times New Roman TUR" w:cs="Times New Roman TUR"/>
              </w:rPr>
              <w:t>Quitline)</w:t>
            </w:r>
            <w:r w:rsidR="004D2188" w:rsidRPr="000A1B69">
              <w:rPr>
                <w:rFonts w:ascii="Times New Roman TUR" w:hAnsi="Times New Roman TUR" w:cs="Times New Roman TUR"/>
              </w:rPr>
              <w:t xml:space="preserve"> </w:t>
            </w:r>
            <w:r w:rsidR="00822495">
              <w:rPr>
                <w:rFonts w:ascii="Times New Roman TUR" w:hAnsi="Times New Roman TUR" w:cs="Times New Roman TUR"/>
              </w:rPr>
              <w:t>using approved protocols</w:t>
            </w:r>
          </w:p>
        </w:tc>
        <w:tc>
          <w:tcPr>
            <w:tcW w:w="4572" w:type="dxa"/>
          </w:tcPr>
          <w:p w:rsidR="00822495" w:rsidRDefault="00822495" w:rsidP="00822495">
            <w:pPr>
              <w:spacing w:before="60"/>
              <w:ind w:left="86"/>
              <w:rPr>
                <w:rFonts w:ascii="Times New Roman TUR" w:hAnsi="Times New Roman TUR" w:cs="Times New Roman TUR"/>
              </w:rPr>
            </w:pPr>
            <w:r>
              <w:rPr>
                <w:rFonts w:ascii="Times New Roman TUR" w:hAnsi="Times New Roman TUR" w:cs="Times New Roman TUR"/>
              </w:rPr>
              <w:t xml:space="preserve">As soon as possible after OMB clearance </w:t>
            </w:r>
          </w:p>
          <w:p w:rsidR="006C7D1E" w:rsidRPr="000A1B69" w:rsidRDefault="00822495" w:rsidP="00822495">
            <w:pPr>
              <w:spacing w:before="60"/>
              <w:ind w:left="86"/>
            </w:pPr>
            <w:r>
              <w:rPr>
                <w:rFonts w:ascii="Times New Roman TUR" w:hAnsi="Times New Roman TUR" w:cs="Times New Roman TUR"/>
              </w:rPr>
              <w:t xml:space="preserve">Individuals will be followed-up with </w:t>
            </w:r>
            <w:r w:rsidR="00C33481" w:rsidRPr="000A1B69">
              <w:rPr>
                <w:rFonts w:ascii="Times New Roman TUR" w:hAnsi="Times New Roman TUR" w:cs="Times New Roman TUR"/>
              </w:rPr>
              <w:t xml:space="preserve">7 months after </w:t>
            </w:r>
            <w:r w:rsidR="004E1E38">
              <w:rPr>
                <w:rFonts w:ascii="Times New Roman TUR" w:hAnsi="Times New Roman TUR" w:cs="Times New Roman TUR"/>
              </w:rPr>
              <w:t xml:space="preserve">intake </w:t>
            </w:r>
          </w:p>
        </w:tc>
      </w:tr>
      <w:tr w:rsidR="006C7D1E" w:rsidRPr="004D2188" w:rsidTr="00822495">
        <w:trPr>
          <w:trHeight w:val="989"/>
        </w:trPr>
        <w:tc>
          <w:tcPr>
            <w:tcW w:w="4698" w:type="dxa"/>
          </w:tcPr>
          <w:p w:rsidR="006C7D1E" w:rsidRPr="000A1B69" w:rsidRDefault="00822495" w:rsidP="00822495">
            <w:pPr>
              <w:spacing w:before="60"/>
              <w:ind w:left="180"/>
            </w:pPr>
            <w:r>
              <w:rPr>
                <w:rFonts w:ascii="Times New Roman TUR" w:hAnsi="Times New Roman TUR" w:cs="Times New Roman TUR"/>
              </w:rPr>
              <w:t>States/Territories and ASQ submit electronic data files for the NQDW Intake Questionnaire</w:t>
            </w:r>
            <w:r w:rsidR="004D2188" w:rsidRPr="000A1B69">
              <w:rPr>
                <w:rFonts w:ascii="Times New Roman TUR" w:hAnsi="Times New Roman TUR" w:cs="Times New Roman TUR"/>
              </w:rPr>
              <w:t xml:space="preserve"> </w:t>
            </w:r>
          </w:p>
        </w:tc>
        <w:tc>
          <w:tcPr>
            <w:tcW w:w="4572" w:type="dxa"/>
          </w:tcPr>
          <w:p w:rsidR="006C7D1E" w:rsidRPr="000A1B69" w:rsidRDefault="00C33481" w:rsidP="00822495">
            <w:pPr>
              <w:spacing w:before="60"/>
              <w:ind w:left="86"/>
            </w:pPr>
            <w:r w:rsidRPr="000A1B69">
              <w:rPr>
                <w:rFonts w:ascii="Times New Roman TUR" w:hAnsi="Times New Roman TUR" w:cs="Times New Roman TUR"/>
              </w:rPr>
              <w:t xml:space="preserve">Quarterly </w:t>
            </w:r>
            <w:r w:rsidR="00822495">
              <w:rPr>
                <w:rFonts w:ascii="Times New Roman TUR" w:hAnsi="Times New Roman TUR" w:cs="Times New Roman TUR"/>
              </w:rPr>
              <w:t>and ongoing</w:t>
            </w:r>
          </w:p>
        </w:tc>
      </w:tr>
      <w:tr w:rsidR="00EC1669" w:rsidRPr="004D2188" w:rsidTr="00822495">
        <w:tc>
          <w:tcPr>
            <w:tcW w:w="4698" w:type="dxa"/>
          </w:tcPr>
          <w:p w:rsidR="00EC1669" w:rsidRPr="000A1B69" w:rsidRDefault="00822495" w:rsidP="00822495">
            <w:pPr>
              <w:spacing w:before="60"/>
              <w:ind w:left="180"/>
              <w:rPr>
                <w:rFonts w:ascii="Times New Roman TUR" w:hAnsi="Times New Roman TUR" w:cs="Times New Roman TUR"/>
              </w:rPr>
            </w:pPr>
            <w:r>
              <w:rPr>
                <w:rFonts w:ascii="Times New Roman TUR" w:hAnsi="Times New Roman TUR" w:cs="Times New Roman TUR"/>
              </w:rPr>
              <w:t>ASQ submits electronic data files for the NQDW Seven-Month Follow-up Questionnaire</w:t>
            </w:r>
          </w:p>
        </w:tc>
        <w:tc>
          <w:tcPr>
            <w:tcW w:w="4572" w:type="dxa"/>
          </w:tcPr>
          <w:p w:rsidR="00EC1669" w:rsidRDefault="00822495" w:rsidP="00822495">
            <w:pPr>
              <w:spacing w:before="60"/>
              <w:ind w:left="86"/>
              <w:rPr>
                <w:rFonts w:ascii="Times New Roman TUR" w:hAnsi="Times New Roman TUR" w:cs="Times New Roman TUR"/>
              </w:rPr>
            </w:pPr>
            <w:r>
              <w:rPr>
                <w:rFonts w:ascii="Times New Roman TUR" w:hAnsi="Times New Roman TUR" w:cs="Times New Roman TUR"/>
              </w:rPr>
              <w:t>Annually and ongoing</w:t>
            </w:r>
          </w:p>
        </w:tc>
      </w:tr>
      <w:tr w:rsidR="00822495" w:rsidRPr="004D2188" w:rsidTr="00822495">
        <w:trPr>
          <w:trHeight w:val="710"/>
        </w:trPr>
        <w:tc>
          <w:tcPr>
            <w:tcW w:w="4698" w:type="dxa"/>
          </w:tcPr>
          <w:p w:rsidR="00822495" w:rsidRPr="000A1B69" w:rsidRDefault="00822495" w:rsidP="00822495">
            <w:pPr>
              <w:spacing w:before="60"/>
              <w:ind w:left="180"/>
              <w:rPr>
                <w:rFonts w:ascii="Times New Roman TUR" w:hAnsi="Times New Roman TUR" w:cs="Times New Roman TUR"/>
              </w:rPr>
            </w:pPr>
            <w:r>
              <w:rPr>
                <w:rFonts w:ascii="Times New Roman TUR" w:hAnsi="Times New Roman TUR" w:cs="Times New Roman TUR"/>
              </w:rPr>
              <w:t>States/Territories and ASQ submit NQDW Quitline Services Survey</w:t>
            </w:r>
          </w:p>
        </w:tc>
        <w:tc>
          <w:tcPr>
            <w:tcW w:w="4572" w:type="dxa"/>
          </w:tcPr>
          <w:p w:rsidR="00822495" w:rsidRDefault="00822495" w:rsidP="00822495">
            <w:pPr>
              <w:spacing w:before="60"/>
              <w:ind w:left="86"/>
              <w:rPr>
                <w:rFonts w:ascii="Times New Roman TUR" w:hAnsi="Times New Roman TUR" w:cs="Times New Roman TUR"/>
              </w:rPr>
            </w:pPr>
            <w:r>
              <w:rPr>
                <w:rFonts w:ascii="Times New Roman TUR" w:hAnsi="Times New Roman TUR" w:cs="Times New Roman TUR"/>
              </w:rPr>
              <w:t>Quarterly and ongoing</w:t>
            </w:r>
          </w:p>
        </w:tc>
      </w:tr>
      <w:tr w:rsidR="006C7D1E" w:rsidRPr="004D2188" w:rsidTr="00822495">
        <w:trPr>
          <w:trHeight w:val="431"/>
        </w:trPr>
        <w:tc>
          <w:tcPr>
            <w:tcW w:w="4698" w:type="dxa"/>
          </w:tcPr>
          <w:p w:rsidR="006C7D1E" w:rsidRPr="000A1B69" w:rsidRDefault="00C33481" w:rsidP="00822495">
            <w:pPr>
              <w:spacing w:before="60"/>
              <w:ind w:left="180"/>
            </w:pPr>
            <w:r w:rsidRPr="000A1B69">
              <w:rPr>
                <w:rFonts w:ascii="Times New Roman TUR" w:hAnsi="Times New Roman TUR" w:cs="Times New Roman TUR"/>
              </w:rPr>
              <w:t>Process</w:t>
            </w:r>
            <w:r w:rsidR="006C7D1E" w:rsidRPr="000A1B69">
              <w:rPr>
                <w:rFonts w:ascii="Times New Roman TUR" w:hAnsi="Times New Roman TUR" w:cs="Times New Roman TUR"/>
              </w:rPr>
              <w:t xml:space="preserve"> data</w:t>
            </w:r>
            <w:r w:rsidRPr="000A1B69">
              <w:rPr>
                <w:rFonts w:ascii="Times New Roman TUR" w:hAnsi="Times New Roman TUR" w:cs="Times New Roman TUR"/>
              </w:rPr>
              <w:t xml:space="preserve"> and publish results</w:t>
            </w:r>
          </w:p>
        </w:tc>
        <w:tc>
          <w:tcPr>
            <w:tcW w:w="4572" w:type="dxa"/>
          </w:tcPr>
          <w:p w:rsidR="006C7D1E" w:rsidRPr="000A1B69" w:rsidRDefault="004E1E38" w:rsidP="00822495">
            <w:pPr>
              <w:spacing w:before="60"/>
              <w:ind w:left="86"/>
            </w:pPr>
            <w:r>
              <w:rPr>
                <w:rFonts w:ascii="Times New Roman TUR" w:hAnsi="Times New Roman TUR" w:cs="Times New Roman TUR"/>
              </w:rPr>
              <w:t xml:space="preserve">Quarterly and ongoing </w:t>
            </w:r>
          </w:p>
        </w:tc>
      </w:tr>
    </w:tbl>
    <w:p w:rsidR="0057676D" w:rsidRDefault="0057676D" w:rsidP="005767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916B4A" w:rsidRDefault="00916B4A" w:rsidP="005767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8469A3" w:rsidRDefault="00F128CF">
      <w:pPr>
        <w:pStyle w:val="Heading2"/>
      </w:pPr>
      <w:r>
        <w:t>A.1</w:t>
      </w:r>
      <w:r w:rsidR="00912536">
        <w:t>7</w:t>
      </w:r>
      <w:r w:rsidR="008469A3">
        <w:tab/>
      </w:r>
      <w:r w:rsidR="008469A3">
        <w:rPr>
          <w:u w:val="single"/>
        </w:rPr>
        <w:t>REASON(S) DISPLAY OF OMB EXPIRATION DATE IS INAPPROPRIATE</w:t>
      </w:r>
    </w:p>
    <w:p w:rsidR="008469A3" w:rsidRDefault="008469A3">
      <w:pPr>
        <w:pStyle w:val="BodyText"/>
        <w:rPr>
          <w:u w:val="single"/>
        </w:rPr>
      </w:pPr>
      <w:r>
        <w:t>The expiration date of OMB approval of the data collection will be displayed.</w:t>
      </w:r>
    </w:p>
    <w:p w:rsidR="008469A3" w:rsidRDefault="00F128CF">
      <w:pPr>
        <w:pStyle w:val="Heading2"/>
      </w:pPr>
      <w:r>
        <w:t>A.1</w:t>
      </w:r>
      <w:r w:rsidR="00912536">
        <w:t>8</w:t>
      </w:r>
      <w:r w:rsidR="008469A3">
        <w:tab/>
      </w:r>
      <w:r w:rsidR="008469A3">
        <w:rPr>
          <w:u w:val="single"/>
        </w:rPr>
        <w:t>EXCEPTIONS TO CERTIFICATION FOR PAPERWORK REDUCTION ACT SUBMISSIONS</w:t>
      </w:r>
    </w:p>
    <w:p w:rsidR="00B42B21" w:rsidRDefault="008469A3" w:rsidP="003C55F1">
      <w:pPr>
        <w:pStyle w:val="BodyText"/>
      </w:pPr>
      <w:r>
        <w:t>No exemptions from the certification statement are being sought.</w:t>
      </w:r>
    </w:p>
    <w:p w:rsidR="00527C8F" w:rsidRPr="007F6CD7" w:rsidRDefault="004E1475" w:rsidP="00527C8F">
      <w:pPr>
        <w:widowControl w:val="0"/>
        <w:tabs>
          <w:tab w:val="center" w:pos="4680"/>
        </w:tabs>
        <w:spacing w:line="227" w:lineRule="auto"/>
        <w:jc w:val="center"/>
        <w:rPr>
          <w:b/>
          <w:color w:val="000000"/>
        </w:rPr>
      </w:pPr>
      <w:r>
        <w:br w:type="page"/>
      </w:r>
      <w:r w:rsidR="00527C8F" w:rsidRPr="007F6CD7">
        <w:rPr>
          <w:b/>
          <w:color w:val="000000"/>
        </w:rPr>
        <w:t>REFERENCES</w:t>
      </w:r>
    </w:p>
    <w:p w:rsidR="00033102" w:rsidRDefault="00033102" w:rsidP="00033102">
      <w:pPr>
        <w:pStyle w:val="REF"/>
        <w:tabs>
          <w:tab w:val="clear" w:pos="720"/>
        </w:tabs>
        <w:spacing w:after="0" w:line="240" w:lineRule="auto"/>
        <w:ind w:left="0" w:firstLine="0"/>
      </w:pPr>
    </w:p>
    <w:p w:rsidR="00A02BF5" w:rsidRPr="00A02BF5" w:rsidRDefault="00A02BF5" w:rsidP="00A02BF5">
      <w:pPr>
        <w:rPr>
          <w:color w:val="000000"/>
        </w:rPr>
      </w:pPr>
      <w:r w:rsidRPr="00A02BF5">
        <w:rPr>
          <w:color w:val="000000"/>
        </w:rPr>
        <w:t>Case, P., S.B. Austin, D.J. Hunter, W.C. Willett, S. Malspeis, J.E. Manson, D. Spiegelman. 2006.</w:t>
      </w:r>
    </w:p>
    <w:p w:rsidR="00A02BF5" w:rsidRPr="00A02BF5" w:rsidRDefault="00A02BF5" w:rsidP="00A02BF5">
      <w:pPr>
        <w:rPr>
          <w:color w:val="000000"/>
        </w:rPr>
      </w:pPr>
      <w:r w:rsidRPr="00A02BF5">
        <w:rPr>
          <w:color w:val="000000"/>
        </w:rPr>
        <w:t>“Disclosure of Sexual Orientation and Behavior in the Nurses' Health Study II: Results from a</w:t>
      </w:r>
    </w:p>
    <w:p w:rsidR="00A02BF5" w:rsidRDefault="00A02BF5" w:rsidP="00A02BF5">
      <w:pPr>
        <w:rPr>
          <w:color w:val="000000"/>
        </w:rPr>
      </w:pPr>
      <w:r w:rsidRPr="00A02BF5">
        <w:rPr>
          <w:color w:val="000000"/>
        </w:rPr>
        <w:t>Pilot Study.”</w:t>
      </w:r>
      <w:r>
        <w:rPr>
          <w:color w:val="000000"/>
        </w:rPr>
        <w:t xml:space="preserve"> </w:t>
      </w:r>
      <w:r w:rsidRPr="00A02BF5">
        <w:rPr>
          <w:color w:val="000000"/>
        </w:rPr>
        <w:t>Journal of Homosexuality</w:t>
      </w:r>
      <w:r>
        <w:rPr>
          <w:color w:val="000000"/>
        </w:rPr>
        <w:t xml:space="preserve"> </w:t>
      </w:r>
      <w:r w:rsidRPr="00A02BF5">
        <w:rPr>
          <w:color w:val="000000"/>
        </w:rPr>
        <w:t>51</w:t>
      </w:r>
      <w:r>
        <w:rPr>
          <w:color w:val="000000"/>
        </w:rPr>
        <w:t xml:space="preserve"> </w:t>
      </w:r>
      <w:r w:rsidRPr="00A02BF5">
        <w:rPr>
          <w:color w:val="000000"/>
        </w:rPr>
        <w:t>(1): 13–31</w:t>
      </w:r>
      <w:r>
        <w:rPr>
          <w:color w:val="000000"/>
        </w:rPr>
        <w:t>.</w:t>
      </w:r>
    </w:p>
    <w:p w:rsidR="00A02BF5" w:rsidRDefault="00A02BF5" w:rsidP="00A02BF5">
      <w:pPr>
        <w:rPr>
          <w:color w:val="000000"/>
        </w:rPr>
      </w:pPr>
    </w:p>
    <w:p w:rsidR="0035301F" w:rsidRDefault="0035301F" w:rsidP="0035301F">
      <w:pPr>
        <w:rPr>
          <w:color w:val="000000"/>
        </w:rPr>
      </w:pPr>
      <w:r>
        <w:rPr>
          <w:color w:val="000000"/>
        </w:rPr>
        <w:t xml:space="preserve">Centers for Disease Control and Prevention (CDC). 2004. </w:t>
      </w:r>
      <w:r w:rsidRPr="00075C81">
        <w:rPr>
          <w:i/>
          <w:iCs/>
          <w:color w:val="000000"/>
        </w:rPr>
        <w:t xml:space="preserve">Telephone Quitlines: A Resource for Development, Implementation, and Evaluation. </w:t>
      </w:r>
      <w:r w:rsidRPr="00075C81">
        <w:rPr>
          <w:color w:val="000000"/>
        </w:rPr>
        <w:t xml:space="preserve">Atlanta, GA: U.S. Department of Health and Human Services, Centers for Disease Control and Prevention, National Center for Chronic Disease Prevention and Health Promotion, Office on Smoking and </w:t>
      </w:r>
      <w:r>
        <w:rPr>
          <w:color w:val="000000"/>
        </w:rPr>
        <w:t>Health</w:t>
      </w:r>
      <w:r w:rsidRPr="00075C81">
        <w:rPr>
          <w:color w:val="000000"/>
        </w:rPr>
        <w:t>.</w:t>
      </w:r>
    </w:p>
    <w:p w:rsidR="0035301F" w:rsidRDefault="0035301F" w:rsidP="0035301F">
      <w:pPr>
        <w:rPr>
          <w:bCs/>
          <w:color w:val="000000"/>
          <w:lang w:val="en"/>
        </w:rPr>
      </w:pPr>
    </w:p>
    <w:p w:rsidR="0035301F" w:rsidRPr="00FB68E4" w:rsidRDefault="0035301F" w:rsidP="0035301F">
      <w:pPr>
        <w:rPr>
          <w:bCs/>
        </w:rPr>
      </w:pPr>
      <w:r w:rsidRPr="00FB68E4">
        <w:rPr>
          <w:bCs/>
          <w:color w:val="000000"/>
          <w:lang w:val="en"/>
        </w:rPr>
        <w:t>Centers for Disease Control and Prevention (CDC). 2011.</w:t>
      </w:r>
      <w:r w:rsidRPr="00E3390F">
        <w:rPr>
          <w:bCs/>
          <w:color w:val="000000"/>
          <w:lang w:val="en"/>
        </w:rPr>
        <w:t xml:space="preserve"> </w:t>
      </w:r>
      <w:r w:rsidRPr="00FB68E4">
        <w:rPr>
          <w:rStyle w:val="emphasis1"/>
          <w:b w:val="0"/>
          <w:color w:val="000000"/>
          <w:lang w:val="en"/>
        </w:rPr>
        <w:t>Quitting Smoking Among Adults—United States, 2001–2010. Morbidity and Mortality Weekly Report (MMWR). 2011;</w:t>
      </w:r>
      <w:r w:rsidRPr="00FB68E4">
        <w:rPr>
          <w:bCs/>
          <w:color w:val="000000"/>
          <w:lang w:val="en"/>
        </w:rPr>
        <w:t xml:space="preserve"> 60(44):1513-1519.</w:t>
      </w:r>
    </w:p>
    <w:p w:rsidR="0035301F" w:rsidRDefault="0035301F" w:rsidP="0035301F">
      <w:pPr>
        <w:rPr>
          <w:color w:val="000000"/>
        </w:rPr>
      </w:pPr>
    </w:p>
    <w:p w:rsidR="0035301F" w:rsidRDefault="0035301F" w:rsidP="0035301F">
      <w:r>
        <w:t xml:space="preserve">Centers for Disease Control and Prevention (CDC). 2013a. </w:t>
      </w:r>
      <w:hyperlink r:id="rId14" w:history="1">
        <w:r>
          <w:rPr>
            <w:rStyle w:val="Hyperlink"/>
          </w:rPr>
          <w:t>Trends in Smoking Before, During, and After Pregnancy—Pregnancy Risk Assessment Monitoring System, United States, 40 Sites, 2000–2010</w:t>
        </w:r>
      </w:hyperlink>
      <w:r>
        <w:t>. Morbidity and Mortality Weekly Report (MMWR). 2013;62(SS06)1–19. [accessed 2015 Mar 26].</w:t>
      </w:r>
    </w:p>
    <w:p w:rsidR="0035301F" w:rsidRDefault="0035301F" w:rsidP="0035301F">
      <w:pPr>
        <w:rPr>
          <w:bCs/>
          <w:color w:val="000000"/>
        </w:rPr>
      </w:pPr>
    </w:p>
    <w:p w:rsidR="0035301F" w:rsidRPr="00FA02E3" w:rsidRDefault="0035301F" w:rsidP="0035301F">
      <w:pPr>
        <w:rPr>
          <w:b/>
          <w:bCs/>
          <w:color w:val="000000"/>
          <w:lang w:val="en"/>
        </w:rPr>
      </w:pPr>
      <w:r w:rsidRPr="007100D0">
        <w:rPr>
          <w:bCs/>
          <w:color w:val="000000"/>
        </w:rPr>
        <w:t>Centers for Disease Control and Prevention (</w:t>
      </w:r>
      <w:r>
        <w:rPr>
          <w:bCs/>
          <w:color w:val="000000"/>
        </w:rPr>
        <w:t>CDC</w:t>
      </w:r>
      <w:r w:rsidRPr="007100D0">
        <w:rPr>
          <w:bCs/>
          <w:color w:val="000000"/>
        </w:rPr>
        <w:t>).</w:t>
      </w:r>
      <w:r>
        <w:rPr>
          <w:bCs/>
          <w:color w:val="000000"/>
        </w:rPr>
        <w:t xml:space="preserve"> 2013b.</w:t>
      </w:r>
      <w:r w:rsidRPr="007100D0">
        <w:rPr>
          <w:bCs/>
          <w:color w:val="000000"/>
        </w:rPr>
        <w:t xml:space="preserve"> Vital Signs: Current Cigarette Smoking Among Adults Aged ≥18 Years with Mental Illness — United States, 2009–2011. </w:t>
      </w:r>
      <w:r w:rsidRPr="007100D0">
        <w:rPr>
          <w:bCs/>
          <w:i/>
          <w:iCs/>
          <w:color w:val="000000"/>
        </w:rPr>
        <w:t xml:space="preserve">Morbidity and Mortality Weekly Report (MMWR). </w:t>
      </w:r>
      <w:r w:rsidRPr="007100D0">
        <w:rPr>
          <w:bCs/>
          <w:color w:val="000000"/>
        </w:rPr>
        <w:t xml:space="preserve">February 8, 2013;62(05);81-87. </w:t>
      </w:r>
      <w:hyperlink r:id="rId15" w:history="1">
        <w:r w:rsidRPr="007100D0">
          <w:rPr>
            <w:rStyle w:val="Hyperlink"/>
            <w:bCs/>
          </w:rPr>
          <w:t>http</w:t>
        </w:r>
      </w:hyperlink>
      <w:hyperlink r:id="rId16" w:history="1">
        <w:r w:rsidRPr="007100D0">
          <w:rPr>
            <w:rStyle w:val="Hyperlink"/>
            <w:bCs/>
          </w:rPr>
          <w:t>://www.cdc.gov/mmwr/preview/mmwrhtml/mm6205a2.htm?s_cid=</w:t>
        </w:r>
      </w:hyperlink>
      <w:hyperlink r:id="rId17" w:history="1">
        <w:r w:rsidRPr="007100D0">
          <w:rPr>
            <w:rStyle w:val="Hyperlink"/>
            <w:bCs/>
          </w:rPr>
          <w:t>mm6205a2_w</w:t>
        </w:r>
      </w:hyperlink>
      <w:r w:rsidRPr="007100D0">
        <w:rPr>
          <w:bCs/>
          <w:color w:val="000000"/>
        </w:rPr>
        <w:t>.</w:t>
      </w:r>
    </w:p>
    <w:p w:rsidR="0035301F" w:rsidRDefault="0035301F" w:rsidP="0035301F">
      <w:pPr>
        <w:rPr>
          <w:color w:val="000000"/>
        </w:rPr>
      </w:pPr>
    </w:p>
    <w:p w:rsidR="00930E9E" w:rsidRDefault="00930E9E" w:rsidP="00930E9E">
      <w:pPr>
        <w:widowControl w:val="0"/>
        <w:autoSpaceDE w:val="0"/>
        <w:autoSpaceDN w:val="0"/>
        <w:adjustRightInd w:val="0"/>
        <w:rPr>
          <w:sz w:val="23"/>
          <w:szCs w:val="23"/>
        </w:rPr>
      </w:pPr>
      <w:r>
        <w:rPr>
          <w:sz w:val="23"/>
          <w:szCs w:val="23"/>
        </w:rPr>
        <w:t>Centers for Disease Control and Prevention. Tobacco Control State Highlights 2012 (CDC). 2013c. Atlanta: U.S. Department of Health and Human Services, Centers for Disease Control and Prevention, National Center for Chronic Disease Prevention and Health Promotion, Office on Smoking and Health, 2013.</w:t>
      </w:r>
    </w:p>
    <w:p w:rsidR="00930E9E" w:rsidRDefault="00930E9E" w:rsidP="00FB68E4">
      <w:pPr>
        <w:pStyle w:val="REF"/>
        <w:tabs>
          <w:tab w:val="clear" w:pos="-1080"/>
          <w:tab w:val="clear" w:pos="-720"/>
          <w:tab w:val="clear" w:pos="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firstLine="0"/>
      </w:pPr>
    </w:p>
    <w:p w:rsidR="00FB68E4" w:rsidRDefault="00FB68E4" w:rsidP="00FB68E4">
      <w:pPr>
        <w:pStyle w:val="REF"/>
        <w:tabs>
          <w:tab w:val="clear" w:pos="-1080"/>
          <w:tab w:val="clear" w:pos="-720"/>
          <w:tab w:val="clear" w:pos="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firstLine="0"/>
      </w:pPr>
      <w:r>
        <w:t xml:space="preserve">Centers for Disease Control and Prevention (CDC). 2014a. </w:t>
      </w:r>
      <w:r w:rsidRPr="00237168">
        <w:rPr>
          <w:i/>
        </w:rPr>
        <w:t>Best Practices for Comprehensive Tobacco Control Programs – 20</w:t>
      </w:r>
      <w:r>
        <w:rPr>
          <w:i/>
        </w:rPr>
        <w:t>14</w:t>
      </w:r>
      <w:r>
        <w:t>.  Atlanta, GA: U.S. Department of Health and Human Services, CDC, National Center for Chronic Disease Prevention and Health Promotion, Office on Smoking and Health.</w:t>
      </w:r>
    </w:p>
    <w:p w:rsidR="00FB68E4" w:rsidRDefault="00FB68E4" w:rsidP="00FB68E4">
      <w:r>
        <w:t xml:space="preserve">Centers for Disease Control and Prevention (CDC). 2014b. </w:t>
      </w:r>
      <w:hyperlink r:id="rId18" w:history="1">
        <w:r>
          <w:rPr>
            <w:rStyle w:val="Hyperlink"/>
          </w:rPr>
          <w:t>Current Cigarette Smoking Among Adults—United States, 2005–2013</w:t>
        </w:r>
      </w:hyperlink>
      <w:r>
        <w:t>. Morbidity and Mortality Weekly Report (MMWR). 2014;63(47):1108–12 [accessed 2015 Mar 26]</w:t>
      </w:r>
    </w:p>
    <w:p w:rsidR="000F6E2A" w:rsidRDefault="000F6E2A" w:rsidP="00FB68E4"/>
    <w:p w:rsidR="000F6E2A" w:rsidRDefault="000F6E2A" w:rsidP="004350F3">
      <w:r>
        <w:t>Centers for Disease Control and Prevention (CDC). 2015.</w:t>
      </w:r>
      <w:r w:rsidR="004350F3">
        <w:t xml:space="preserve"> </w:t>
      </w:r>
      <w:hyperlink r:id="rId19" w:history="1">
        <w:r w:rsidR="004350F3" w:rsidRPr="004350F3">
          <w:rPr>
            <w:rStyle w:val="Hyperlink"/>
          </w:rPr>
          <w:t>Trends in Quit Attempts Among Current Cigarette Smokers – United States – 2001-2013</w:t>
        </w:r>
      </w:hyperlink>
      <w:r w:rsidR="004350F3">
        <w:t>. Morbidity and Mortality Weekly Report (MMWR). 201564(40):1129-1135.</w:t>
      </w:r>
    </w:p>
    <w:p w:rsidR="000F6E2A" w:rsidRDefault="000F6E2A" w:rsidP="000F6E2A"/>
    <w:p w:rsidR="000F6E2A" w:rsidRDefault="000F6E2A" w:rsidP="000F6E2A"/>
    <w:p w:rsidR="00120819" w:rsidRDefault="00120819" w:rsidP="00FB68E4">
      <w:r>
        <w:t>Centers for Disease Control and Prevention (CDC). 2018</w:t>
      </w:r>
      <w:hyperlink r:id="rId20" w:anchor="suggestedcitation" w:history="1">
        <w:r w:rsidRPr="00C51233">
          <w:rPr>
            <w:rStyle w:val="Hyperlink"/>
          </w:rPr>
          <w:t>.  Current Cigarette Smoking Among Adults — United States</w:t>
        </w:r>
      </w:hyperlink>
      <w:r w:rsidRPr="00120819">
        <w:t xml:space="preserve">, </w:t>
      </w:r>
      <w:r>
        <w:t>Morbidity and Mortality Weekly Report (MMWR). 2018</w:t>
      </w:r>
      <w:r w:rsidRPr="00120819">
        <w:t xml:space="preserve">;67:53–59. DOI: </w:t>
      </w:r>
      <w:hyperlink r:id="rId21" w:tgtFrame="_self" w:history="1">
        <w:r w:rsidRPr="00120819">
          <w:t>http://dx.doi.org/10.15585/mmwr.mm6702a1</w:t>
        </w:r>
      </w:hyperlink>
    </w:p>
    <w:p w:rsidR="00FB68E4" w:rsidRDefault="00FB68E4" w:rsidP="00F77594">
      <w:pPr>
        <w:rPr>
          <w:color w:val="000000"/>
        </w:rPr>
      </w:pPr>
    </w:p>
    <w:p w:rsidR="00FB68E4" w:rsidRDefault="00182E03" w:rsidP="00F77594">
      <w:pPr>
        <w:rPr>
          <w:color w:val="222222"/>
        </w:rPr>
      </w:pPr>
      <w:r>
        <w:rPr>
          <w:color w:val="222222"/>
        </w:rPr>
        <w:t xml:space="preserve">Cummins, S. E., Wong, S., Bonnevie, E., Lee, H. R., Goto, C. J., McCree Carrington, J., ... &amp; Zhu, S. H. (2015). A multistate Asian-language tobacco quitline: addressing a disparity in access to care. </w:t>
      </w:r>
      <w:r>
        <w:rPr>
          <w:i/>
          <w:iCs/>
          <w:color w:val="222222"/>
        </w:rPr>
        <w:t>American journal of public health</w:t>
      </w:r>
      <w:r>
        <w:rPr>
          <w:color w:val="222222"/>
        </w:rPr>
        <w:t xml:space="preserve">, </w:t>
      </w:r>
      <w:r>
        <w:rPr>
          <w:i/>
          <w:iCs/>
          <w:color w:val="222222"/>
        </w:rPr>
        <w:t>105</w:t>
      </w:r>
      <w:r>
        <w:rPr>
          <w:color w:val="222222"/>
        </w:rPr>
        <w:t xml:space="preserve">(10), 2150-2155.  DOI: </w:t>
      </w:r>
      <w:hyperlink r:id="rId22" w:tgtFrame="pmc_ext" w:history="1">
        <w:r>
          <w:rPr>
            <w:rStyle w:val="Hyperlink"/>
            <w:lang w:val="en"/>
          </w:rPr>
          <w:t>10.2105/AJPH.2014.302418</w:t>
        </w:r>
      </w:hyperlink>
    </w:p>
    <w:p w:rsidR="00182E03" w:rsidRDefault="00182E03" w:rsidP="00F77594">
      <w:pPr>
        <w:rPr>
          <w:color w:val="000000"/>
        </w:rPr>
      </w:pPr>
    </w:p>
    <w:p w:rsidR="00FB68E4" w:rsidRDefault="00FB68E4" w:rsidP="00FB68E4">
      <w:pPr>
        <w:widowControl w:val="0"/>
        <w:tabs>
          <w:tab w:val="center" w:pos="4680"/>
        </w:tabs>
      </w:pPr>
      <w:r w:rsidRPr="00B87359">
        <w:t xml:space="preserve">Fellows, </w:t>
      </w:r>
      <w:r>
        <w:t xml:space="preserve">J. L., T. Bush, et al. (2007). </w:t>
      </w:r>
      <w:r w:rsidRPr="00B87359">
        <w:t>Cost effectiveness of the Oregon qu</w:t>
      </w:r>
      <w:r>
        <w:t>itline "free patch initiative".</w:t>
      </w:r>
      <w:r w:rsidRPr="00B87359">
        <w:t xml:space="preserve"> </w:t>
      </w:r>
      <w:r w:rsidRPr="00622C25">
        <w:rPr>
          <w:i/>
        </w:rPr>
        <w:t>Tobacco Control</w:t>
      </w:r>
      <w:r w:rsidRPr="00B87359">
        <w:t xml:space="preserve"> 16(Suppl_1): i47-52.</w:t>
      </w:r>
      <w:r w:rsidRPr="00B87359">
        <w:br/>
      </w:r>
    </w:p>
    <w:p w:rsidR="00FB68E4" w:rsidRDefault="00FB68E4" w:rsidP="00FB68E4">
      <w:r>
        <w:t xml:space="preserve">Fiore, M.C., Jaen CR, Baker TB, et al. (2008).  </w:t>
      </w:r>
      <w:r>
        <w:rPr>
          <w:i/>
        </w:rPr>
        <w:t xml:space="preserve">Treating Tobacco Use and Dependence: 2008 Update Clinical Practice Guideline.  </w:t>
      </w:r>
      <w:r w:rsidRPr="00662761">
        <w:t xml:space="preserve">Rockville, MD: U.S. Department of Health and Human Services, Public Health Service, </w:t>
      </w:r>
      <w:r>
        <w:t>Public Health Service</w:t>
      </w:r>
      <w:r w:rsidRPr="00662761">
        <w:t>.</w:t>
      </w:r>
    </w:p>
    <w:p w:rsidR="00FB68E4" w:rsidRPr="005E7278" w:rsidRDefault="00FB68E4" w:rsidP="00FB68E4">
      <w:pPr>
        <w:widowControl w:val="0"/>
        <w:tabs>
          <w:tab w:val="center" w:pos="4680"/>
        </w:tabs>
        <w:rPr>
          <w:highlight w:val="green"/>
        </w:rPr>
      </w:pPr>
    </w:p>
    <w:p w:rsidR="00FB68E4" w:rsidRPr="00E21E77" w:rsidRDefault="00FB68E4" w:rsidP="00FB68E4">
      <w:pPr>
        <w:widowControl w:val="0"/>
        <w:tabs>
          <w:tab w:val="center" w:pos="4680"/>
        </w:tabs>
      </w:pPr>
      <w:r w:rsidRPr="00B87359">
        <w:t>Hollis, J. F.</w:t>
      </w:r>
      <w:r>
        <w:t xml:space="preserve">, T. A. McAfee, et al. (2007). </w:t>
      </w:r>
      <w:r w:rsidRPr="00B87359">
        <w:t>The effectiveness and cost effectiveness of telephone counseling and the nicotine pat</w:t>
      </w:r>
      <w:r>
        <w:t>ch in a state tobacco quitline.</w:t>
      </w:r>
      <w:r w:rsidRPr="00B87359">
        <w:t xml:space="preserve"> </w:t>
      </w:r>
      <w:r w:rsidRPr="00622C25">
        <w:rPr>
          <w:i/>
        </w:rPr>
        <w:t>Tobacco Control</w:t>
      </w:r>
      <w:r w:rsidRPr="00B87359">
        <w:t xml:space="preserve"> 16(Suppl_1): i53-59.</w:t>
      </w:r>
      <w:r w:rsidRPr="00B87359">
        <w:br/>
      </w:r>
    </w:p>
    <w:p w:rsidR="00FB68E4" w:rsidRDefault="00FB68E4" w:rsidP="00FB68E4">
      <w:pPr>
        <w:widowControl w:val="0"/>
      </w:pPr>
      <w:r>
        <w:t xml:space="preserve">IOM. 2009. </w:t>
      </w:r>
      <w:r w:rsidRPr="007A78D9">
        <w:t>Secondhand Smoke Exposure and Cardiovascular Effects: Making Sense of the Evidence</w:t>
      </w:r>
      <w:r>
        <w:t xml:space="preserve">. </w:t>
      </w:r>
      <w:r w:rsidRPr="007A78D9">
        <w:t>National Academies Press</w:t>
      </w:r>
      <w:r>
        <w:t>. Washington DC.</w:t>
      </w:r>
    </w:p>
    <w:p w:rsidR="001D6637" w:rsidRDefault="001D6637" w:rsidP="00FB68E4">
      <w:pPr>
        <w:widowControl w:val="0"/>
      </w:pPr>
    </w:p>
    <w:p w:rsidR="001D6637" w:rsidRDefault="001D6637" w:rsidP="00FB68E4">
      <w:pPr>
        <w:widowControl w:val="0"/>
      </w:pPr>
      <w:r>
        <w:rPr>
          <w:color w:val="222222"/>
        </w:rPr>
        <w:t xml:space="preserve">Kuiper, N., Zhang, L., Lee, J., Babb, S. D., Anderson, C. M., Shannon, C., ... &amp; Zhu, S. H. (2015). Peer Reviewed: A National Asian-Language Smokers’ Quitline—United States, 2012–2014. </w:t>
      </w:r>
      <w:r>
        <w:rPr>
          <w:i/>
          <w:iCs/>
          <w:color w:val="222222"/>
        </w:rPr>
        <w:t>Preventing chronic disease</w:t>
      </w:r>
      <w:r>
        <w:rPr>
          <w:color w:val="222222"/>
        </w:rPr>
        <w:t xml:space="preserve">, </w:t>
      </w:r>
      <w:r>
        <w:rPr>
          <w:i/>
          <w:iCs/>
          <w:color w:val="222222"/>
        </w:rPr>
        <w:t>12</w:t>
      </w:r>
      <w:r>
        <w:rPr>
          <w:color w:val="222222"/>
        </w:rPr>
        <w:t xml:space="preserve">. DOI: </w:t>
      </w:r>
      <w:hyperlink r:id="rId23" w:tgtFrame="pmc_ext" w:history="1">
        <w:r>
          <w:rPr>
            <w:rStyle w:val="Hyperlink"/>
            <w:lang w:val="en"/>
          </w:rPr>
          <w:t>10.5888/pcd12.140584</w:t>
        </w:r>
      </w:hyperlink>
    </w:p>
    <w:p w:rsidR="00865CC4" w:rsidRDefault="00865CC4" w:rsidP="00816CF7">
      <w:pPr>
        <w:widowControl w:val="0"/>
      </w:pPr>
    </w:p>
    <w:p w:rsidR="00CA236F" w:rsidRPr="00CA236F" w:rsidRDefault="00CA236F" w:rsidP="00816CF7">
      <w:pPr>
        <w:widowControl w:val="0"/>
      </w:pPr>
      <w:r>
        <w:t>L</w:t>
      </w:r>
      <w:r w:rsidRPr="00CA236F">
        <w:t xml:space="preserve">egacy. 2011. A Hidden Epidemic: Tobacco Use and Mental Illness. June 2011. </w:t>
      </w:r>
      <w:hyperlink r:id="rId24" w:history="1">
        <w:r w:rsidRPr="00CA236F">
          <w:rPr>
            <w:rStyle w:val="Hyperlink"/>
          </w:rPr>
          <w:t>http://legacyforhealth.org/content/download/608/7232/file/</w:t>
        </w:r>
      </w:hyperlink>
      <w:hyperlink r:id="rId25" w:history="1">
        <w:r w:rsidRPr="00CA236F">
          <w:rPr>
            <w:rStyle w:val="Hyperlink"/>
          </w:rPr>
          <w:t>A_Hidden_Epidemic.pdf</w:t>
        </w:r>
      </w:hyperlink>
      <w:r w:rsidRPr="00CA236F">
        <w:t>.</w:t>
      </w:r>
    </w:p>
    <w:p w:rsidR="00CA236F" w:rsidRDefault="00CA236F" w:rsidP="00F77594">
      <w:pPr>
        <w:widowControl w:val="0"/>
        <w:tabs>
          <w:tab w:val="center" w:pos="4680"/>
        </w:tabs>
      </w:pPr>
    </w:p>
    <w:p w:rsidR="00815300" w:rsidRDefault="00852F9E" w:rsidP="00852F9E">
      <w:pPr>
        <w:widowControl w:val="0"/>
        <w:tabs>
          <w:tab w:val="center" w:pos="4680"/>
        </w:tabs>
      </w:pPr>
      <w:r w:rsidRPr="00B87359">
        <w:t xml:space="preserve">Maher, J. E., K. Rohde, et al. (2007). "Is a statewide tobacco quitline an appropriate service for specific populations?" </w:t>
      </w:r>
      <w:r w:rsidRPr="00622C25">
        <w:rPr>
          <w:i/>
        </w:rPr>
        <w:t>Tobacco Control</w:t>
      </w:r>
      <w:r w:rsidRPr="00B87359">
        <w:t xml:space="preserve"> 16(Suppl_1): i65-70.</w:t>
      </w:r>
    </w:p>
    <w:p w:rsidR="00815300" w:rsidRDefault="00815300" w:rsidP="00852F9E">
      <w:pPr>
        <w:widowControl w:val="0"/>
        <w:tabs>
          <w:tab w:val="center" w:pos="4680"/>
        </w:tabs>
      </w:pPr>
    </w:p>
    <w:p w:rsidR="00852F9E" w:rsidRDefault="00815300" w:rsidP="00852F9E">
      <w:pPr>
        <w:widowControl w:val="0"/>
        <w:tabs>
          <w:tab w:val="center" w:pos="4680"/>
        </w:tabs>
      </w:pPr>
      <w:r>
        <w:rPr>
          <w:color w:val="222222"/>
        </w:rPr>
        <w:t xml:space="preserve">Marshall, L. L., Zhang, L., Malarcher, A. M., Mann, N. H., King, B. A., &amp; Alexander, R. L. (2016). Race/Ethnic Variations in Quitline Use Among US Adult Tobacco Users in 45 States, 2011–2013. </w:t>
      </w:r>
      <w:r>
        <w:rPr>
          <w:i/>
          <w:iCs/>
          <w:color w:val="222222"/>
        </w:rPr>
        <w:t>Nicotine &amp; Tobacco Research</w:t>
      </w:r>
      <w:r>
        <w:rPr>
          <w:color w:val="222222"/>
        </w:rPr>
        <w:t xml:space="preserve">, </w:t>
      </w:r>
      <w:r>
        <w:rPr>
          <w:i/>
          <w:iCs/>
          <w:color w:val="222222"/>
        </w:rPr>
        <w:t>19</w:t>
      </w:r>
      <w:r>
        <w:rPr>
          <w:color w:val="222222"/>
        </w:rPr>
        <w:t xml:space="preserve">(12), 1473-1481. </w:t>
      </w:r>
      <w:hyperlink r:id="rId26" w:history="1">
        <w:r w:rsidRPr="00815300">
          <w:rPr>
            <w:rFonts w:ascii="Source Sans Pro" w:hAnsi="Source Sans Pro"/>
            <w:color w:val="006FB7"/>
            <w:lang w:val="en"/>
          </w:rPr>
          <w:t>https://doi.org/10.1093/ntr/ntw281</w:t>
        </w:r>
      </w:hyperlink>
      <w:r w:rsidR="00852F9E" w:rsidRPr="00B87359">
        <w:br/>
      </w:r>
    </w:p>
    <w:p w:rsidR="00852F9E" w:rsidRDefault="00852F9E" w:rsidP="00852F9E">
      <w:r w:rsidRPr="00CA236F">
        <w:t xml:space="preserve">North American Quitline Consortium (NAQC). (2011). The Use of Quitlines Among Priority Populations in the U.S.: Lessons from the Scientific Evidence. (Baezconde-Garbanati, L., et al.). Oakland, CA. </w:t>
      </w:r>
      <w:hyperlink r:id="rId27" w:history="1">
        <w:r w:rsidRPr="00CA236F">
          <w:rPr>
            <w:rStyle w:val="Hyperlink"/>
          </w:rPr>
          <w:t>https://c.ymcdn.com/sites/www.naquitline.org/resource/resmgr/Issue_Papers/</w:t>
        </w:r>
      </w:hyperlink>
      <w:hyperlink r:id="rId28" w:history="1">
        <w:r w:rsidRPr="00CA236F">
          <w:rPr>
            <w:rStyle w:val="Hyperlink"/>
          </w:rPr>
          <w:t>IssuePaperTheUseofQuitlinesA.pdf</w:t>
        </w:r>
      </w:hyperlink>
    </w:p>
    <w:p w:rsidR="00852F9E" w:rsidRDefault="00852F9E" w:rsidP="00852F9E">
      <w:pPr>
        <w:widowControl w:val="0"/>
        <w:tabs>
          <w:tab w:val="center" w:pos="4680"/>
        </w:tabs>
      </w:pPr>
    </w:p>
    <w:p w:rsidR="00852F9E" w:rsidRDefault="00852F9E" w:rsidP="00852F9E">
      <w:r>
        <w:t>North American Quitline Consortium</w:t>
      </w:r>
      <w:r w:rsidR="00E502F6">
        <w:t xml:space="preserve"> (NAQC)</w:t>
      </w:r>
      <w:r>
        <w:t xml:space="preserve">. 2009. </w:t>
      </w:r>
      <w:r>
        <w:rPr>
          <w:i/>
        </w:rPr>
        <w:t xml:space="preserve">Exploring a National Data Warehouse for U.S. Quitlines.  </w:t>
      </w:r>
      <w:r>
        <w:t xml:space="preserve">  Report developed by the North American Quitline Consortium National Data Warehouse Workgroup [</w:t>
      </w:r>
      <w:r w:rsidRPr="00EE2C56">
        <w:t>http://www.naquitline.org/resource/resmgr/reports-naqc/exploringanationalquitlineda.pdf</w:t>
      </w:r>
      <w:r>
        <w:t>].  January 2009.</w:t>
      </w:r>
    </w:p>
    <w:p w:rsidR="00852F9E" w:rsidRDefault="00852F9E" w:rsidP="00852F9E">
      <w:pPr>
        <w:widowControl w:val="0"/>
        <w:tabs>
          <w:tab w:val="center" w:pos="4680"/>
        </w:tabs>
      </w:pPr>
    </w:p>
    <w:p w:rsidR="00852F9E" w:rsidRPr="00B14A03" w:rsidRDefault="00852F9E" w:rsidP="00852F9E">
      <w:pPr>
        <w:autoSpaceDE w:val="0"/>
        <w:autoSpaceDN w:val="0"/>
        <w:adjustRightInd w:val="0"/>
        <w:rPr>
          <w:color w:val="231F20"/>
        </w:rPr>
      </w:pPr>
      <w:r w:rsidRPr="00B14A03">
        <w:rPr>
          <w:color w:val="231F20"/>
        </w:rPr>
        <w:t xml:space="preserve">Ossip-Klein, D. and McIntosh, S. (2003). Quitlines in North America: Evidence base and applications. </w:t>
      </w:r>
      <w:r w:rsidRPr="00B14A03">
        <w:rPr>
          <w:i/>
          <w:iCs/>
          <w:color w:val="231F20"/>
        </w:rPr>
        <w:t>The American Journal of the Medical Sciences</w:t>
      </w:r>
      <w:r w:rsidRPr="00B14A03">
        <w:rPr>
          <w:color w:val="231F20"/>
        </w:rPr>
        <w:t>. 326(4), 201-205.</w:t>
      </w:r>
    </w:p>
    <w:p w:rsidR="00852F9E" w:rsidRDefault="00852F9E" w:rsidP="00852F9E">
      <w:pPr>
        <w:widowControl w:val="0"/>
        <w:tabs>
          <w:tab w:val="center" w:pos="4680"/>
        </w:tabs>
        <w:rPr>
          <w:color w:val="231F20"/>
          <w:sz w:val="19"/>
          <w:szCs w:val="19"/>
        </w:rPr>
      </w:pPr>
    </w:p>
    <w:p w:rsidR="00852F9E" w:rsidRDefault="00852F9E" w:rsidP="00852F9E">
      <w:pPr>
        <w:widowControl w:val="0"/>
        <w:tabs>
          <w:tab w:val="center" w:pos="4680"/>
        </w:tabs>
      </w:pPr>
      <w:r w:rsidRPr="00B87359">
        <w:t>Rabius, V., K. J. Pike, et al. (2007). "Effects of frequency and duration in telephone counselling for smoking cessation." Tob Control 16(Suppl_1): i71-74.</w:t>
      </w:r>
      <w:r w:rsidRPr="00B87359">
        <w:br/>
      </w:r>
    </w:p>
    <w:p w:rsidR="00852F9E" w:rsidRPr="00D01627" w:rsidRDefault="00852F9E" w:rsidP="00852F9E">
      <w:pPr>
        <w:widowControl w:val="0"/>
        <w:tabs>
          <w:tab w:val="center" w:pos="4680"/>
        </w:tabs>
      </w:pPr>
      <w:r w:rsidRPr="00D01627">
        <w:t>Starr, G, T Rogers, M Schooley, S Porter, E Wiesen &amp; N Jamison (2005</w:t>
      </w:r>
      <w:r w:rsidRPr="00D01627">
        <w:rPr>
          <w:i/>
        </w:rPr>
        <w:t>).  Key Outcome Indicators for Evaluating Comprehensive Tobacco Control Programs</w:t>
      </w:r>
      <w:r w:rsidRPr="00D01627">
        <w:t>. Atlanta, GA: CDC.</w:t>
      </w:r>
    </w:p>
    <w:p w:rsidR="00F77594" w:rsidRDefault="00F77594" w:rsidP="00F77594"/>
    <w:p w:rsidR="00F77594" w:rsidRDefault="00F77594" w:rsidP="00F77594">
      <w:r>
        <w:t xml:space="preserve">Task Force on Community Preventive Services. (2011). Increasing Tobacco Use Cessation:  Multicomponent Interventions that Include Telephone Support. Available at . </w:t>
      </w:r>
      <w:hyperlink r:id="rId29" w:history="1">
        <w:r>
          <w:rPr>
            <w:rStyle w:val="Hyperlink"/>
          </w:rPr>
          <w:t>http://www.thecommunityguide.org/tobacco/cessation/multicomponentinterventions.html</w:t>
        </w:r>
      </w:hyperlink>
    </w:p>
    <w:p w:rsidR="00F77594" w:rsidRDefault="00F77594" w:rsidP="00F77594">
      <w:pPr>
        <w:widowControl w:val="0"/>
        <w:tabs>
          <w:tab w:val="center" w:pos="4680"/>
        </w:tabs>
      </w:pPr>
    </w:p>
    <w:p w:rsidR="00F77594" w:rsidRPr="00B87359" w:rsidRDefault="00F77594" w:rsidP="00F77594">
      <w:pPr>
        <w:widowControl w:val="0"/>
        <w:tabs>
          <w:tab w:val="center" w:pos="4680"/>
        </w:tabs>
      </w:pPr>
      <w:r w:rsidRPr="00B87359">
        <w:t>Tinkelman, D.</w:t>
      </w:r>
      <w:r>
        <w:t xml:space="preserve">, S. M. Wilson, et al. (2007). </w:t>
      </w:r>
      <w:r w:rsidRPr="00B87359">
        <w:t>Offering free NRT through a tobacco quitline: impact</w:t>
      </w:r>
      <w:r>
        <w:t xml:space="preserve"> on utilisation and quit rates.</w:t>
      </w:r>
      <w:r w:rsidRPr="00B87359">
        <w:t xml:space="preserve"> </w:t>
      </w:r>
      <w:r w:rsidRPr="00622C25">
        <w:rPr>
          <w:i/>
        </w:rPr>
        <w:t>Tobacco Control</w:t>
      </w:r>
      <w:r w:rsidRPr="00B87359">
        <w:t xml:space="preserve"> 16(Suppl_1): i42-46.</w:t>
      </w:r>
    </w:p>
    <w:p w:rsidR="003803FB" w:rsidRDefault="003803FB" w:rsidP="00F77594">
      <w:pPr>
        <w:pStyle w:val="REF"/>
        <w:tabs>
          <w:tab w:val="clear" w:pos="720"/>
        </w:tabs>
        <w:spacing w:after="0" w:line="240" w:lineRule="auto"/>
        <w:ind w:left="0" w:firstLine="0"/>
      </w:pPr>
    </w:p>
    <w:p w:rsidR="00F77594" w:rsidRDefault="00852F9E" w:rsidP="00F77594">
      <w:pPr>
        <w:pStyle w:val="REF"/>
        <w:tabs>
          <w:tab w:val="clear" w:pos="720"/>
        </w:tabs>
        <w:spacing w:after="0" w:line="240" w:lineRule="auto"/>
        <w:ind w:left="0" w:firstLine="0"/>
      </w:pPr>
      <w:r>
        <w:t>United States Department of Health and Human Services (</w:t>
      </w:r>
      <w:r w:rsidR="00F77594">
        <w:t>USDHHS</w:t>
      </w:r>
      <w:r>
        <w:t>).</w:t>
      </w:r>
      <w:r w:rsidR="00F77594">
        <w:t xml:space="preserve"> 2014.</w:t>
      </w:r>
      <w:r w:rsidR="00F77594" w:rsidRPr="000A6E36">
        <w:t xml:space="preserve"> </w:t>
      </w:r>
      <w:r w:rsidR="00F77594" w:rsidRPr="000A6E36">
        <w:rPr>
          <w:i/>
          <w:iCs/>
        </w:rPr>
        <w:t>The Health Consequences of Smoking</w:t>
      </w:r>
      <w:r w:rsidR="00F77594">
        <w:rPr>
          <w:i/>
          <w:iCs/>
        </w:rPr>
        <w:t>-50 years of progress</w:t>
      </w:r>
      <w:r w:rsidR="00F77594" w:rsidRPr="000A6E36">
        <w:rPr>
          <w:i/>
          <w:iCs/>
        </w:rPr>
        <w:t>:</w:t>
      </w:r>
      <w:r w:rsidR="00F77594" w:rsidRPr="000A6E36">
        <w:rPr>
          <w:i/>
        </w:rPr>
        <w:t xml:space="preserve"> A Report of the Surgeon General</w:t>
      </w:r>
      <w:r w:rsidR="00F77594" w:rsidRPr="000A6E36">
        <w:t xml:space="preserve">.  </w:t>
      </w:r>
      <w:r w:rsidR="00F77594">
        <w:t xml:space="preserve">Atlanta, GA: </w:t>
      </w:r>
      <w:r w:rsidR="00F77594" w:rsidRPr="000A6E36">
        <w:t xml:space="preserve">U.S. Department of Health and Human Service, Public Health Service, </w:t>
      </w:r>
      <w:r w:rsidR="00F77594">
        <w:t>CDC</w:t>
      </w:r>
      <w:r w:rsidR="00F77594" w:rsidRPr="000A6E36">
        <w:t>, National Center for Chronic Disease Prevention and Health Promotion, Of</w:t>
      </w:r>
      <w:r w:rsidR="00F77594">
        <w:t>fice on Smoking and Health.</w:t>
      </w:r>
      <w:r w:rsidR="00F77594" w:rsidDel="00AD6379">
        <w:t xml:space="preserve"> </w:t>
      </w:r>
    </w:p>
    <w:p w:rsidR="00F77594" w:rsidRDefault="00F77594" w:rsidP="00F77594">
      <w:pPr>
        <w:pStyle w:val="REF"/>
        <w:tabs>
          <w:tab w:val="clear" w:pos="720"/>
        </w:tabs>
        <w:spacing w:after="0" w:line="240" w:lineRule="auto"/>
        <w:ind w:left="0" w:firstLine="0"/>
      </w:pPr>
    </w:p>
    <w:p w:rsidR="003803FB" w:rsidRDefault="00852F9E" w:rsidP="003803FB">
      <w:r>
        <w:t>United States Department of Health and Human Services (</w:t>
      </w:r>
      <w:r w:rsidR="003803FB" w:rsidRPr="004E054D">
        <w:t>U</w:t>
      </w:r>
      <w:r w:rsidR="003803FB">
        <w:t>SDHHS</w:t>
      </w:r>
      <w:r>
        <w:t>).</w:t>
      </w:r>
      <w:r w:rsidR="003803FB">
        <w:t xml:space="preserve"> 2010</w:t>
      </w:r>
      <w:r w:rsidR="003803FB" w:rsidRPr="004E054D">
        <w:t>. Office of Disease Prevention and Health Promotion. Healthy People 2020. Washington, DC. Available at [</w:t>
      </w:r>
      <w:r w:rsidR="003803FB">
        <w:t>www.healthypeople.gov/2020</w:t>
      </w:r>
      <w:r w:rsidR="003803FB" w:rsidRPr="004E054D">
        <w:t>]. Accessed [</w:t>
      </w:r>
      <w:r w:rsidR="003803FB">
        <w:t>June 19, 2012</w:t>
      </w:r>
      <w:r w:rsidR="003803FB" w:rsidRPr="004E054D">
        <w:t>].</w:t>
      </w:r>
    </w:p>
    <w:p w:rsidR="003803FB" w:rsidRDefault="003803FB" w:rsidP="00F77594">
      <w:pPr>
        <w:pStyle w:val="REF"/>
        <w:tabs>
          <w:tab w:val="clear" w:pos="720"/>
        </w:tabs>
        <w:spacing w:after="0" w:line="240" w:lineRule="auto"/>
        <w:ind w:left="0" w:firstLine="0"/>
      </w:pPr>
    </w:p>
    <w:p w:rsidR="00F77594" w:rsidRDefault="00852F9E" w:rsidP="00F77594">
      <w:pPr>
        <w:pStyle w:val="REF"/>
        <w:tabs>
          <w:tab w:val="clear" w:pos="720"/>
        </w:tabs>
        <w:spacing w:after="0" w:line="240" w:lineRule="auto"/>
        <w:ind w:left="0" w:firstLine="0"/>
      </w:pPr>
      <w:r>
        <w:t>United States Department of Health and Human Services (</w:t>
      </w:r>
      <w:r w:rsidR="00F77594">
        <w:t>USDHHS</w:t>
      </w:r>
      <w:r>
        <w:t>).</w:t>
      </w:r>
      <w:r w:rsidR="00F77594">
        <w:t xml:space="preserve"> 2006. U.S. Department of Health and Human Services. </w:t>
      </w:r>
      <w:r w:rsidR="00F77594" w:rsidRPr="009D1EF4">
        <w:rPr>
          <w:i/>
        </w:rPr>
        <w:t>The Health Consequences of Involuntary Exposure to Tobacco Smoke: A Report of the Surgeon General</w:t>
      </w:r>
      <w:r w:rsidR="00F77594">
        <w:t>. Atlanta, GA: U.S. Department of Health and Human Services, Centers for Disease Control and Prevention, Coordinating Center for Health Promotion, National Center for Chronic Disease Prevention and Health Promotion, Office on Smoking and Health, 2006.</w:t>
      </w:r>
    </w:p>
    <w:p w:rsidR="00F77594" w:rsidRDefault="00F77594" w:rsidP="00F77594">
      <w:pPr>
        <w:pStyle w:val="REF"/>
        <w:tabs>
          <w:tab w:val="clear" w:pos="720"/>
        </w:tabs>
        <w:spacing w:after="0" w:line="240" w:lineRule="auto"/>
        <w:ind w:left="0" w:firstLine="0"/>
      </w:pPr>
    </w:p>
    <w:p w:rsidR="003803FB" w:rsidRDefault="00852F9E" w:rsidP="003803FB">
      <w:pPr>
        <w:pStyle w:val="REF"/>
        <w:tabs>
          <w:tab w:val="clear" w:pos="720"/>
        </w:tabs>
        <w:spacing w:after="0" w:line="240" w:lineRule="auto"/>
        <w:ind w:left="0" w:firstLine="0"/>
      </w:pPr>
      <w:r>
        <w:t>United States Department of Health and Human Services (</w:t>
      </w:r>
      <w:r w:rsidR="003803FB">
        <w:t>USDHHS</w:t>
      </w:r>
      <w:r>
        <w:t>).</w:t>
      </w:r>
      <w:r w:rsidR="003803FB">
        <w:t xml:space="preserve"> 2000. With understanding and improving health and objectives for improving health. In: </w:t>
      </w:r>
      <w:r w:rsidR="003803FB" w:rsidRPr="00593658">
        <w:rPr>
          <w:i/>
        </w:rPr>
        <w:t>Health</w:t>
      </w:r>
      <w:r w:rsidR="003803FB">
        <w:rPr>
          <w:i/>
        </w:rPr>
        <w:t>y</w:t>
      </w:r>
      <w:r w:rsidR="003803FB" w:rsidRPr="00593658">
        <w:rPr>
          <w:i/>
        </w:rPr>
        <w:t xml:space="preserve"> People 2010.</w:t>
      </w:r>
      <w:r w:rsidR="003803FB">
        <w:t xml:space="preserve"> Washington, DC: </w:t>
      </w:r>
      <w:r w:rsidR="003803FB" w:rsidRPr="00593658">
        <w:t>U.S. Department of Health and Human Services.</w:t>
      </w:r>
    </w:p>
    <w:p w:rsidR="00F77594" w:rsidRDefault="00F77594" w:rsidP="00F77594"/>
    <w:p w:rsidR="00A01E92" w:rsidRDefault="00A01E92" w:rsidP="00A01E92">
      <w:pPr>
        <w:pStyle w:val="REF"/>
        <w:tabs>
          <w:tab w:val="clear" w:pos="720"/>
        </w:tabs>
        <w:spacing w:after="0" w:line="240" w:lineRule="auto"/>
        <w:ind w:left="0" w:firstLine="0"/>
      </w:pPr>
      <w:r>
        <w:t xml:space="preserve">Xu X, Bishop EE, Kennedy SM, Simpson SA, Pechacek TF. 2015. Annual healthcare spending attributable to cigarette smoking. American Journal of Preventive Medicine 2015;48(3):326-333. </w:t>
      </w:r>
    </w:p>
    <w:p w:rsidR="00A01E92" w:rsidRDefault="00A01E92" w:rsidP="003803FB"/>
    <w:p w:rsidR="00033102" w:rsidRDefault="00F77594" w:rsidP="00F853F6">
      <w:r w:rsidRPr="00662761">
        <w:t xml:space="preserve">Zhu, S. 2000. </w:t>
      </w:r>
      <w:r w:rsidRPr="00622C25">
        <w:rPr>
          <w:i/>
        </w:rPr>
        <w:t>Telephone Quitlines for Smoking Cessation</w:t>
      </w:r>
      <w:r w:rsidRPr="00662761">
        <w:t>.  Smoking and Tobacco Control Monograph No. 12. Population Based Smoking Cessation Proceedings of a Conference on What Works to Influence Cessation in the General Population.</w:t>
      </w:r>
      <w:r>
        <w:t xml:space="preserve">  B</w:t>
      </w:r>
      <w:r w:rsidRPr="00662761">
        <w:t xml:space="preserve">ethesda, MD: U.S. Department of Health and Human Services, Public Health Service, National Institutes of Health. November </w:t>
      </w:r>
      <w:r w:rsidRPr="00B87359">
        <w:t>2000</w:t>
      </w:r>
      <w:r w:rsidRPr="00B87359">
        <w:rPr>
          <w:color w:val="000000"/>
        </w:rPr>
        <w:t>.</w:t>
      </w:r>
    </w:p>
    <w:sectPr w:rsidR="00033102" w:rsidSect="006372FC">
      <w:footerReference w:type="default" r:id="rId30"/>
      <w:type w:val="continuous"/>
      <w:pgSz w:w="12240" w:h="15840"/>
      <w:pgMar w:top="1440" w:right="1440" w:bottom="1440" w:left="1440" w:header="1080" w:footer="5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999" w:rsidRDefault="00D33999">
      <w:r>
        <w:separator/>
      </w:r>
    </w:p>
  </w:endnote>
  <w:endnote w:type="continuationSeparator" w:id="0">
    <w:p w:rsidR="00D33999" w:rsidRDefault="00D3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IFTYRA+Palatino-Roman">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Lucida Grande">
    <w:charset w:val="00"/>
    <w:family w:val="auto"/>
    <w:pitch w:val="variable"/>
    <w:sig w:usb0="E1000AEF"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99" w:rsidRDefault="00D33999">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A45FAF">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999" w:rsidRDefault="00D33999">
      <w:r>
        <w:separator/>
      </w:r>
    </w:p>
  </w:footnote>
  <w:footnote w:type="continuationSeparator" w:id="0">
    <w:p w:rsidR="00D33999" w:rsidRDefault="00D33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FFFFFF1D"/>
    <w:multiLevelType w:val="multilevel"/>
    <w:tmpl w:val="7CB001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E03F9D"/>
    <w:multiLevelType w:val="hybridMultilevel"/>
    <w:tmpl w:val="5420B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9EB33C3"/>
    <w:multiLevelType w:val="hybridMultilevel"/>
    <w:tmpl w:val="27D8D5B8"/>
    <w:lvl w:ilvl="0" w:tplc="3C0ACA0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B1A1A23"/>
    <w:multiLevelType w:val="hybridMultilevel"/>
    <w:tmpl w:val="F1DAE3B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44621"/>
    <w:multiLevelType w:val="hybridMultilevel"/>
    <w:tmpl w:val="39C21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13864"/>
    <w:multiLevelType w:val="hybridMultilevel"/>
    <w:tmpl w:val="B6E03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0537E7"/>
    <w:multiLevelType w:val="hybridMultilevel"/>
    <w:tmpl w:val="3C2E1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094A6B"/>
    <w:multiLevelType w:val="multilevel"/>
    <w:tmpl w:val="60A62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4C2B48"/>
    <w:multiLevelType w:val="hybridMultilevel"/>
    <w:tmpl w:val="4BCE76BA"/>
    <w:lvl w:ilvl="0" w:tplc="4A96D116">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331E9A"/>
    <w:multiLevelType w:val="multilevel"/>
    <w:tmpl w:val="5704B01E"/>
    <w:lvl w:ilvl="0">
      <w:start w:val="27"/>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98F4205"/>
    <w:multiLevelType w:val="multilevel"/>
    <w:tmpl w:val="06E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B71033"/>
    <w:multiLevelType w:val="hybridMultilevel"/>
    <w:tmpl w:val="AB6C0112"/>
    <w:lvl w:ilvl="0" w:tplc="89C24DF6">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C274687"/>
    <w:multiLevelType w:val="hybridMultilevel"/>
    <w:tmpl w:val="361A05AA"/>
    <w:lvl w:ilvl="0" w:tplc="B930E964">
      <w:start w:val="2"/>
      <w:numFmt w:val="upperLetter"/>
      <w:lvlText w:val="%1."/>
      <w:lvlJc w:val="left"/>
      <w:pPr>
        <w:tabs>
          <w:tab w:val="num" w:pos="1830"/>
        </w:tabs>
        <w:ind w:left="1830" w:hanging="11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CE81CAF"/>
    <w:multiLevelType w:val="hybridMultilevel"/>
    <w:tmpl w:val="5DEA5498"/>
    <w:lvl w:ilvl="0" w:tplc="B484BEA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9D4D8B"/>
    <w:multiLevelType w:val="hybridMultilevel"/>
    <w:tmpl w:val="06C28B28"/>
    <w:lvl w:ilvl="0" w:tplc="3208A30A">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4555DB"/>
    <w:multiLevelType w:val="hybridMultilevel"/>
    <w:tmpl w:val="A5868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4451A07"/>
    <w:multiLevelType w:val="hybridMultilevel"/>
    <w:tmpl w:val="A3F2FF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6F1A38"/>
    <w:multiLevelType w:val="hybridMultilevel"/>
    <w:tmpl w:val="D5C46C62"/>
    <w:lvl w:ilvl="0" w:tplc="40E89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874306"/>
    <w:multiLevelType w:val="hybridMultilevel"/>
    <w:tmpl w:val="FD460D1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87D7DA5"/>
    <w:multiLevelType w:val="hybridMultilevel"/>
    <w:tmpl w:val="01101F2A"/>
    <w:lvl w:ilvl="0" w:tplc="1E645BF6">
      <w:start w:val="1"/>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3B7C4F"/>
    <w:multiLevelType w:val="hybridMultilevel"/>
    <w:tmpl w:val="8138E960"/>
    <w:lvl w:ilvl="0" w:tplc="4A96D116">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9C470AB"/>
    <w:multiLevelType w:val="hybridMultilevel"/>
    <w:tmpl w:val="1B446B86"/>
    <w:lvl w:ilvl="0" w:tplc="04090005">
      <w:start w:val="1"/>
      <w:numFmt w:val="bullet"/>
      <w:lvlText w:val=""/>
      <w:lvlJc w:val="left"/>
      <w:pPr>
        <w:ind w:left="1507" w:hanging="360"/>
      </w:pPr>
      <w:rPr>
        <w:rFonts w:ascii="Wingdings" w:hAnsi="Wingdings"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2">
    <w:nsid w:val="2CC361D4"/>
    <w:multiLevelType w:val="hybridMultilevel"/>
    <w:tmpl w:val="A91AE7CC"/>
    <w:lvl w:ilvl="0" w:tplc="3208A30A">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DD20E6F"/>
    <w:multiLevelType w:val="hybridMultilevel"/>
    <w:tmpl w:val="61D81FFA"/>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2E291D62"/>
    <w:multiLevelType w:val="hybridMultilevel"/>
    <w:tmpl w:val="A0185F7E"/>
    <w:lvl w:ilvl="0" w:tplc="F17EF0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30491C27"/>
    <w:multiLevelType w:val="hybridMultilevel"/>
    <w:tmpl w:val="727EA4C2"/>
    <w:lvl w:ilvl="0" w:tplc="7714B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B9725C"/>
    <w:multiLevelType w:val="hybridMultilevel"/>
    <w:tmpl w:val="F5E4F4DA"/>
    <w:lvl w:ilvl="0" w:tplc="0409000F">
      <w:start w:val="1"/>
      <w:numFmt w:val="decimal"/>
      <w:lvlText w:val="%1."/>
      <w:lvlJc w:val="left"/>
      <w:pPr>
        <w:tabs>
          <w:tab w:val="num" w:pos="720"/>
        </w:tabs>
        <w:ind w:left="720" w:hanging="360"/>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5181DEB"/>
    <w:multiLevelType w:val="hybridMultilevel"/>
    <w:tmpl w:val="FF0C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540E2F"/>
    <w:multiLevelType w:val="hybridMultilevel"/>
    <w:tmpl w:val="9E1C1904"/>
    <w:lvl w:ilvl="0" w:tplc="87D470D8">
      <w:numFmt w:val="bullet"/>
      <w:lvlText w:val=""/>
      <w:lvlJc w:val="left"/>
      <w:pPr>
        <w:tabs>
          <w:tab w:val="num" w:pos="792"/>
        </w:tabs>
        <w:ind w:left="792" w:hanging="432"/>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5C755F0"/>
    <w:multiLevelType w:val="multilevel"/>
    <w:tmpl w:val="5BE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8746C7C"/>
    <w:multiLevelType w:val="hybridMultilevel"/>
    <w:tmpl w:val="3BA6ACF4"/>
    <w:lvl w:ilvl="0" w:tplc="87D470D8">
      <w:numFmt w:val="bullet"/>
      <w:lvlText w:val=""/>
      <w:lvlJc w:val="left"/>
      <w:pPr>
        <w:tabs>
          <w:tab w:val="num" w:pos="792"/>
        </w:tabs>
        <w:ind w:left="792" w:hanging="432"/>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CED0647"/>
    <w:multiLevelType w:val="hybridMultilevel"/>
    <w:tmpl w:val="E368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7D2BF5"/>
    <w:multiLevelType w:val="hybridMultilevel"/>
    <w:tmpl w:val="AAF4F3BA"/>
    <w:lvl w:ilvl="0" w:tplc="D10C6FE6">
      <w:numFmt w:val="bullet"/>
      <w:lvlText w:val=""/>
      <w:lvlJc w:val="left"/>
      <w:pPr>
        <w:tabs>
          <w:tab w:val="num" w:pos="792"/>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D7F7232"/>
    <w:multiLevelType w:val="hybridMultilevel"/>
    <w:tmpl w:val="DB8E95A0"/>
    <w:lvl w:ilvl="0" w:tplc="24ECF8D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9072A5"/>
    <w:multiLevelType w:val="hybridMultilevel"/>
    <w:tmpl w:val="F8964C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A3B05C7"/>
    <w:multiLevelType w:val="hybridMultilevel"/>
    <w:tmpl w:val="9FD2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707736"/>
    <w:multiLevelType w:val="hybridMultilevel"/>
    <w:tmpl w:val="4B52E6E0"/>
    <w:lvl w:ilvl="0" w:tplc="4A96D116">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511310E"/>
    <w:multiLevelType w:val="hybridMultilevel"/>
    <w:tmpl w:val="3858119E"/>
    <w:lvl w:ilvl="0" w:tplc="4A96D116">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6D72C42"/>
    <w:multiLevelType w:val="hybridMultilevel"/>
    <w:tmpl w:val="12D289F0"/>
    <w:lvl w:ilvl="0" w:tplc="46EC4602">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5BC275F0"/>
    <w:multiLevelType w:val="hybridMultilevel"/>
    <w:tmpl w:val="25407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B0B3E"/>
    <w:multiLevelType w:val="hybridMultilevel"/>
    <w:tmpl w:val="A3F2FF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D80BA8"/>
    <w:multiLevelType w:val="hybridMultilevel"/>
    <w:tmpl w:val="EBA0DCEC"/>
    <w:lvl w:ilvl="0" w:tplc="4A96D116">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98273FF"/>
    <w:multiLevelType w:val="hybridMultilevel"/>
    <w:tmpl w:val="7C80B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A5B0437"/>
    <w:multiLevelType w:val="multilevel"/>
    <w:tmpl w:val="A654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C3902BE"/>
    <w:multiLevelType w:val="hybridMultilevel"/>
    <w:tmpl w:val="2770376C"/>
    <w:lvl w:ilvl="0" w:tplc="483EDBEE">
      <w:start w:val="1"/>
      <w:numFmt w:val="decimal"/>
      <w:lvlText w:val="%1)"/>
      <w:lvlJc w:val="left"/>
      <w:pPr>
        <w:tabs>
          <w:tab w:val="num" w:pos="720"/>
        </w:tabs>
        <w:ind w:left="720" w:hanging="360"/>
      </w:pPr>
      <w:rPr>
        <w:rFonts w:ascii="Times New Roman" w:hAnsi="Times New Roman" w:hint="default"/>
        <w:sz w:val="22"/>
      </w:rPr>
    </w:lvl>
    <w:lvl w:ilvl="1" w:tplc="483EDBEE">
      <w:start w:val="1"/>
      <w:numFmt w:val="decimal"/>
      <w:lvlText w:val="%2)"/>
      <w:lvlJc w:val="left"/>
      <w:pPr>
        <w:tabs>
          <w:tab w:val="num" w:pos="720"/>
        </w:tabs>
        <w:ind w:left="720" w:hanging="360"/>
      </w:pPr>
      <w:rPr>
        <w:rFonts w:ascii="Times New Roman" w:hAnsi="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D3A0656"/>
    <w:multiLevelType w:val="multilevel"/>
    <w:tmpl w:val="A202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0577731"/>
    <w:multiLevelType w:val="hybridMultilevel"/>
    <w:tmpl w:val="B488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037CA2"/>
    <w:multiLevelType w:val="hybridMultilevel"/>
    <w:tmpl w:val="7CDEC2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5341C57"/>
    <w:multiLevelType w:val="hybridMultilevel"/>
    <w:tmpl w:val="D69A519A"/>
    <w:lvl w:ilvl="0" w:tplc="9EC679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7D7327C"/>
    <w:multiLevelType w:val="hybridMultilevel"/>
    <w:tmpl w:val="0A4A3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8326F3A"/>
    <w:multiLevelType w:val="hybridMultilevel"/>
    <w:tmpl w:val="A3F2FF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692AB7"/>
    <w:multiLevelType w:val="hybridMultilevel"/>
    <w:tmpl w:val="CC788C38"/>
    <w:lvl w:ilvl="0" w:tplc="24D454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E526F65"/>
    <w:multiLevelType w:val="hybridMultilevel"/>
    <w:tmpl w:val="7B861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A410AF"/>
    <w:multiLevelType w:val="hybridMultilevel"/>
    <w:tmpl w:val="9F5C2518"/>
    <w:lvl w:ilvl="0" w:tplc="4A96D116">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9"/>
  </w:num>
  <w:num w:numId="3">
    <w:abstractNumId w:val="31"/>
  </w:num>
  <w:num w:numId="4">
    <w:abstractNumId w:val="33"/>
  </w:num>
  <w:num w:numId="5">
    <w:abstractNumId w:val="37"/>
  </w:num>
  <w:num w:numId="6">
    <w:abstractNumId w:val="38"/>
  </w:num>
  <w:num w:numId="7">
    <w:abstractNumId w:val="20"/>
  </w:num>
  <w:num w:numId="8">
    <w:abstractNumId w:val="42"/>
  </w:num>
  <w:num w:numId="9">
    <w:abstractNumId w:val="8"/>
  </w:num>
  <w:num w:numId="10">
    <w:abstractNumId w:val="54"/>
  </w:num>
  <w:num w:numId="11">
    <w:abstractNumId w:val="23"/>
  </w:num>
  <w:num w:numId="12">
    <w:abstractNumId w:val="48"/>
  </w:num>
  <w:num w:numId="13">
    <w:abstractNumId w:val="43"/>
  </w:num>
  <w:num w:numId="14">
    <w:abstractNumId w:val="22"/>
  </w:num>
  <w:num w:numId="15">
    <w:abstractNumId w:val="14"/>
  </w:num>
  <w:num w:numId="16">
    <w:abstractNumId w:val="30"/>
  </w:num>
  <w:num w:numId="17">
    <w:abstractNumId w:val="46"/>
  </w:num>
  <w:num w:numId="18">
    <w:abstractNumId w:val="10"/>
  </w:num>
  <w:num w:numId="19">
    <w:abstractNumId w:val="9"/>
  </w:num>
  <w:num w:numId="20">
    <w:abstractNumId w:val="47"/>
  </w:num>
  <w:num w:numId="21">
    <w:abstractNumId w:val="50"/>
  </w:num>
  <w:num w:numId="22">
    <w:abstractNumId w:val="5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12"/>
  </w:num>
  <w:num w:numId="26">
    <w:abstractNumId w:val="2"/>
  </w:num>
  <w:num w:numId="27">
    <w:abstractNumId w:val="44"/>
  </w:num>
  <w:num w:numId="28">
    <w:abstractNumId w:val="15"/>
  </w:num>
  <w:num w:numId="29">
    <w:abstractNumId w:val="6"/>
  </w:num>
  <w:num w:numId="30">
    <w:abstractNumId w:val="5"/>
  </w:num>
  <w:num w:numId="31">
    <w:abstractNumId w:val="27"/>
  </w:num>
  <w:num w:numId="32">
    <w:abstractNumId w:val="34"/>
  </w:num>
  <w:num w:numId="33">
    <w:abstractNumId w:val="40"/>
  </w:num>
  <w:num w:numId="34">
    <w:abstractNumId w:val="36"/>
  </w:num>
  <w:num w:numId="35">
    <w:abstractNumId w:val="32"/>
  </w:num>
  <w:num w:numId="36">
    <w:abstractNumId w:val="3"/>
  </w:num>
  <w:num w:numId="37">
    <w:abstractNumId w:val="24"/>
  </w:num>
  <w:num w:numId="38">
    <w:abstractNumId w:val="17"/>
  </w:num>
  <w:num w:numId="39">
    <w:abstractNumId w:val="49"/>
  </w:num>
  <w:num w:numId="40">
    <w:abstractNumId w:val="26"/>
  </w:num>
  <w:num w:numId="41">
    <w:abstractNumId w:val="25"/>
  </w:num>
  <w:num w:numId="42">
    <w:abstractNumId w:val="19"/>
  </w:num>
  <w:num w:numId="43">
    <w:abstractNumId w:val="18"/>
    <w:lvlOverride w:ilvl="0"/>
    <w:lvlOverride w:ilvl="1">
      <w:startOverride w:val="1"/>
    </w:lvlOverride>
    <w:lvlOverride w:ilvl="2"/>
    <w:lvlOverride w:ilvl="3"/>
    <w:lvlOverride w:ilvl="4"/>
    <w:lvlOverride w:ilvl="5"/>
    <w:lvlOverride w:ilvl="6"/>
    <w:lvlOverride w:ilvl="7"/>
    <w:lvlOverride w:ilvl="8"/>
  </w:num>
  <w:num w:numId="44">
    <w:abstractNumId w:val="1"/>
  </w:num>
  <w:num w:numId="45">
    <w:abstractNumId w:val="0"/>
  </w:num>
  <w:num w:numId="46">
    <w:abstractNumId w:val="4"/>
  </w:num>
  <w:num w:numId="47">
    <w:abstractNumId w:val="51"/>
  </w:num>
  <w:num w:numId="48">
    <w:abstractNumId w:val="16"/>
  </w:num>
  <w:num w:numId="49">
    <w:abstractNumId w:val="7"/>
  </w:num>
  <w:num w:numId="50">
    <w:abstractNumId w:val="28"/>
  </w:num>
  <w:num w:numId="51">
    <w:abstractNumId w:val="41"/>
  </w:num>
  <w:num w:numId="52">
    <w:abstractNumId w:val="35"/>
  </w:num>
  <w:num w:numId="53">
    <w:abstractNumId w:val="53"/>
  </w:num>
  <w:num w:numId="54">
    <w:abstractNumId w:val="21"/>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17B"/>
    <w:rsid w:val="000005B7"/>
    <w:rsid w:val="0000092C"/>
    <w:rsid w:val="0000168F"/>
    <w:rsid w:val="00001A57"/>
    <w:rsid w:val="00001D0B"/>
    <w:rsid w:val="000022D2"/>
    <w:rsid w:val="00002386"/>
    <w:rsid w:val="00004815"/>
    <w:rsid w:val="00004B9E"/>
    <w:rsid w:val="00006E2A"/>
    <w:rsid w:val="00006E73"/>
    <w:rsid w:val="000072E2"/>
    <w:rsid w:val="000100A5"/>
    <w:rsid w:val="0001041F"/>
    <w:rsid w:val="00010C73"/>
    <w:rsid w:val="00010E27"/>
    <w:rsid w:val="00011554"/>
    <w:rsid w:val="00012A04"/>
    <w:rsid w:val="00012BB8"/>
    <w:rsid w:val="00012DC1"/>
    <w:rsid w:val="000135A2"/>
    <w:rsid w:val="00014A4A"/>
    <w:rsid w:val="00014D29"/>
    <w:rsid w:val="00014EFE"/>
    <w:rsid w:val="00015A43"/>
    <w:rsid w:val="00015E58"/>
    <w:rsid w:val="00015E83"/>
    <w:rsid w:val="00021562"/>
    <w:rsid w:val="00022776"/>
    <w:rsid w:val="00022BCA"/>
    <w:rsid w:val="00023CD0"/>
    <w:rsid w:val="000247B3"/>
    <w:rsid w:val="00024D74"/>
    <w:rsid w:val="0002634D"/>
    <w:rsid w:val="0002741E"/>
    <w:rsid w:val="00027B0B"/>
    <w:rsid w:val="00027BB1"/>
    <w:rsid w:val="00030805"/>
    <w:rsid w:val="00030C8A"/>
    <w:rsid w:val="000310E8"/>
    <w:rsid w:val="000312A8"/>
    <w:rsid w:val="000317DF"/>
    <w:rsid w:val="00031E52"/>
    <w:rsid w:val="000322B2"/>
    <w:rsid w:val="00032587"/>
    <w:rsid w:val="00032776"/>
    <w:rsid w:val="00032E5F"/>
    <w:rsid w:val="00033102"/>
    <w:rsid w:val="000331A0"/>
    <w:rsid w:val="000337B0"/>
    <w:rsid w:val="00033C7F"/>
    <w:rsid w:val="00033E3A"/>
    <w:rsid w:val="000349EC"/>
    <w:rsid w:val="00035011"/>
    <w:rsid w:val="00035630"/>
    <w:rsid w:val="00035C14"/>
    <w:rsid w:val="00035D24"/>
    <w:rsid w:val="000366D7"/>
    <w:rsid w:val="00036D56"/>
    <w:rsid w:val="000370C4"/>
    <w:rsid w:val="000376E2"/>
    <w:rsid w:val="00037B38"/>
    <w:rsid w:val="00037EFF"/>
    <w:rsid w:val="0004090F"/>
    <w:rsid w:val="00040B77"/>
    <w:rsid w:val="00041535"/>
    <w:rsid w:val="000415B4"/>
    <w:rsid w:val="00042834"/>
    <w:rsid w:val="00044E53"/>
    <w:rsid w:val="0004502A"/>
    <w:rsid w:val="00046568"/>
    <w:rsid w:val="000469D6"/>
    <w:rsid w:val="00050F03"/>
    <w:rsid w:val="000530E6"/>
    <w:rsid w:val="00053B93"/>
    <w:rsid w:val="00053BC1"/>
    <w:rsid w:val="00053F78"/>
    <w:rsid w:val="00054917"/>
    <w:rsid w:val="000563FC"/>
    <w:rsid w:val="00057B08"/>
    <w:rsid w:val="00057C6C"/>
    <w:rsid w:val="00060784"/>
    <w:rsid w:val="000622A7"/>
    <w:rsid w:val="0006298D"/>
    <w:rsid w:val="00064F2D"/>
    <w:rsid w:val="000652DF"/>
    <w:rsid w:val="0006605B"/>
    <w:rsid w:val="00066B30"/>
    <w:rsid w:val="00067B67"/>
    <w:rsid w:val="00070256"/>
    <w:rsid w:val="000706C0"/>
    <w:rsid w:val="00070F8B"/>
    <w:rsid w:val="000712CE"/>
    <w:rsid w:val="000715FC"/>
    <w:rsid w:val="00071B48"/>
    <w:rsid w:val="00071D83"/>
    <w:rsid w:val="00072150"/>
    <w:rsid w:val="00072EA6"/>
    <w:rsid w:val="00073632"/>
    <w:rsid w:val="00074427"/>
    <w:rsid w:val="000747C2"/>
    <w:rsid w:val="0007491C"/>
    <w:rsid w:val="00074BD5"/>
    <w:rsid w:val="00075DCE"/>
    <w:rsid w:val="000761E8"/>
    <w:rsid w:val="00076567"/>
    <w:rsid w:val="00077DA6"/>
    <w:rsid w:val="00080DF9"/>
    <w:rsid w:val="00081D59"/>
    <w:rsid w:val="00082301"/>
    <w:rsid w:val="00082E6C"/>
    <w:rsid w:val="00083A2A"/>
    <w:rsid w:val="00084C90"/>
    <w:rsid w:val="0008582B"/>
    <w:rsid w:val="000867F2"/>
    <w:rsid w:val="00086925"/>
    <w:rsid w:val="0008723E"/>
    <w:rsid w:val="000879B5"/>
    <w:rsid w:val="00087E58"/>
    <w:rsid w:val="00090777"/>
    <w:rsid w:val="00090AD9"/>
    <w:rsid w:val="00090E25"/>
    <w:rsid w:val="00090E39"/>
    <w:rsid w:val="000913A1"/>
    <w:rsid w:val="000926F3"/>
    <w:rsid w:val="00093C0F"/>
    <w:rsid w:val="00094DF8"/>
    <w:rsid w:val="00094E4D"/>
    <w:rsid w:val="000951F7"/>
    <w:rsid w:val="00096617"/>
    <w:rsid w:val="000A0A8C"/>
    <w:rsid w:val="000A1B69"/>
    <w:rsid w:val="000A2083"/>
    <w:rsid w:val="000A246A"/>
    <w:rsid w:val="000A2521"/>
    <w:rsid w:val="000A2D62"/>
    <w:rsid w:val="000A3335"/>
    <w:rsid w:val="000A348C"/>
    <w:rsid w:val="000A3898"/>
    <w:rsid w:val="000A4246"/>
    <w:rsid w:val="000A46C3"/>
    <w:rsid w:val="000A4F44"/>
    <w:rsid w:val="000A503E"/>
    <w:rsid w:val="000A68C7"/>
    <w:rsid w:val="000A7138"/>
    <w:rsid w:val="000B07B0"/>
    <w:rsid w:val="000B1B9A"/>
    <w:rsid w:val="000B2F8D"/>
    <w:rsid w:val="000B4212"/>
    <w:rsid w:val="000B4CB2"/>
    <w:rsid w:val="000B4CB8"/>
    <w:rsid w:val="000B4DB4"/>
    <w:rsid w:val="000B74A3"/>
    <w:rsid w:val="000C0394"/>
    <w:rsid w:val="000C0EA8"/>
    <w:rsid w:val="000C0EFE"/>
    <w:rsid w:val="000C0FB1"/>
    <w:rsid w:val="000C12BA"/>
    <w:rsid w:val="000C1532"/>
    <w:rsid w:val="000C1A78"/>
    <w:rsid w:val="000C253C"/>
    <w:rsid w:val="000C25BF"/>
    <w:rsid w:val="000C3BFE"/>
    <w:rsid w:val="000C42A4"/>
    <w:rsid w:val="000C4678"/>
    <w:rsid w:val="000C648C"/>
    <w:rsid w:val="000C78A1"/>
    <w:rsid w:val="000C7A5E"/>
    <w:rsid w:val="000D1132"/>
    <w:rsid w:val="000D1540"/>
    <w:rsid w:val="000D1EC6"/>
    <w:rsid w:val="000D2009"/>
    <w:rsid w:val="000D2159"/>
    <w:rsid w:val="000D26DC"/>
    <w:rsid w:val="000D4F1D"/>
    <w:rsid w:val="000D53E6"/>
    <w:rsid w:val="000D7B9E"/>
    <w:rsid w:val="000E0867"/>
    <w:rsid w:val="000E1BEA"/>
    <w:rsid w:val="000E2616"/>
    <w:rsid w:val="000E2826"/>
    <w:rsid w:val="000E2BB0"/>
    <w:rsid w:val="000E317E"/>
    <w:rsid w:val="000E3FAC"/>
    <w:rsid w:val="000E6379"/>
    <w:rsid w:val="000E6B02"/>
    <w:rsid w:val="000E6BFC"/>
    <w:rsid w:val="000E6C1D"/>
    <w:rsid w:val="000E6C52"/>
    <w:rsid w:val="000E76E3"/>
    <w:rsid w:val="000F0F89"/>
    <w:rsid w:val="000F149E"/>
    <w:rsid w:val="000F2304"/>
    <w:rsid w:val="000F2EB8"/>
    <w:rsid w:val="000F3853"/>
    <w:rsid w:val="000F444F"/>
    <w:rsid w:val="000F5109"/>
    <w:rsid w:val="000F532E"/>
    <w:rsid w:val="000F5338"/>
    <w:rsid w:val="000F554C"/>
    <w:rsid w:val="000F5AA7"/>
    <w:rsid w:val="000F6E2A"/>
    <w:rsid w:val="000F7391"/>
    <w:rsid w:val="000F7C13"/>
    <w:rsid w:val="0010184E"/>
    <w:rsid w:val="00101D37"/>
    <w:rsid w:val="001024C3"/>
    <w:rsid w:val="00102E40"/>
    <w:rsid w:val="00102F83"/>
    <w:rsid w:val="00103BF8"/>
    <w:rsid w:val="0010477F"/>
    <w:rsid w:val="00104BE7"/>
    <w:rsid w:val="0010541A"/>
    <w:rsid w:val="00105B67"/>
    <w:rsid w:val="00106A10"/>
    <w:rsid w:val="001070CA"/>
    <w:rsid w:val="001070F8"/>
    <w:rsid w:val="00107668"/>
    <w:rsid w:val="00107F1A"/>
    <w:rsid w:val="00110AC2"/>
    <w:rsid w:val="001115F5"/>
    <w:rsid w:val="001121D5"/>
    <w:rsid w:val="00112FBA"/>
    <w:rsid w:val="0011317F"/>
    <w:rsid w:val="00113411"/>
    <w:rsid w:val="0011355C"/>
    <w:rsid w:val="0011380C"/>
    <w:rsid w:val="00115A03"/>
    <w:rsid w:val="00116A85"/>
    <w:rsid w:val="00117F2C"/>
    <w:rsid w:val="00117F82"/>
    <w:rsid w:val="00120819"/>
    <w:rsid w:val="00121351"/>
    <w:rsid w:val="00121D9F"/>
    <w:rsid w:val="00121F24"/>
    <w:rsid w:val="00125595"/>
    <w:rsid w:val="00125D8A"/>
    <w:rsid w:val="00126142"/>
    <w:rsid w:val="00127C14"/>
    <w:rsid w:val="00132765"/>
    <w:rsid w:val="00133DC7"/>
    <w:rsid w:val="001341F7"/>
    <w:rsid w:val="001378FB"/>
    <w:rsid w:val="00137D67"/>
    <w:rsid w:val="00140679"/>
    <w:rsid w:val="00140689"/>
    <w:rsid w:val="00141AB9"/>
    <w:rsid w:val="001428A6"/>
    <w:rsid w:val="001429CF"/>
    <w:rsid w:val="00144CEF"/>
    <w:rsid w:val="00145103"/>
    <w:rsid w:val="001451C6"/>
    <w:rsid w:val="001458DD"/>
    <w:rsid w:val="00145A1C"/>
    <w:rsid w:val="00145B7A"/>
    <w:rsid w:val="0014608A"/>
    <w:rsid w:val="001463BB"/>
    <w:rsid w:val="001464A3"/>
    <w:rsid w:val="00146B0A"/>
    <w:rsid w:val="0014793A"/>
    <w:rsid w:val="00150DB2"/>
    <w:rsid w:val="00150FAB"/>
    <w:rsid w:val="00151425"/>
    <w:rsid w:val="00151B55"/>
    <w:rsid w:val="00151F2C"/>
    <w:rsid w:val="00152521"/>
    <w:rsid w:val="001525F1"/>
    <w:rsid w:val="00153432"/>
    <w:rsid w:val="00153935"/>
    <w:rsid w:val="001549C6"/>
    <w:rsid w:val="00154F4D"/>
    <w:rsid w:val="001551EF"/>
    <w:rsid w:val="001566DB"/>
    <w:rsid w:val="00156758"/>
    <w:rsid w:val="00156F1B"/>
    <w:rsid w:val="00157009"/>
    <w:rsid w:val="001573BB"/>
    <w:rsid w:val="001576EC"/>
    <w:rsid w:val="00157FED"/>
    <w:rsid w:val="001604FD"/>
    <w:rsid w:val="00160640"/>
    <w:rsid w:val="00161296"/>
    <w:rsid w:val="001615FF"/>
    <w:rsid w:val="001625BF"/>
    <w:rsid w:val="00162ABF"/>
    <w:rsid w:val="0016350B"/>
    <w:rsid w:val="001642E3"/>
    <w:rsid w:val="001648DE"/>
    <w:rsid w:val="00164CA6"/>
    <w:rsid w:val="00164D54"/>
    <w:rsid w:val="00165526"/>
    <w:rsid w:val="0016582F"/>
    <w:rsid w:val="001672EC"/>
    <w:rsid w:val="00167CA4"/>
    <w:rsid w:val="00170233"/>
    <w:rsid w:val="00170613"/>
    <w:rsid w:val="00170D35"/>
    <w:rsid w:val="00171023"/>
    <w:rsid w:val="00171B50"/>
    <w:rsid w:val="00171C50"/>
    <w:rsid w:val="001722BA"/>
    <w:rsid w:val="00172E2D"/>
    <w:rsid w:val="0017398F"/>
    <w:rsid w:val="00173B02"/>
    <w:rsid w:val="0017434F"/>
    <w:rsid w:val="0017557A"/>
    <w:rsid w:val="00175A8F"/>
    <w:rsid w:val="00175EB0"/>
    <w:rsid w:val="0017601C"/>
    <w:rsid w:val="001760EA"/>
    <w:rsid w:val="00180A38"/>
    <w:rsid w:val="00180E1A"/>
    <w:rsid w:val="00180F9D"/>
    <w:rsid w:val="00181BCC"/>
    <w:rsid w:val="00182623"/>
    <w:rsid w:val="001828E5"/>
    <w:rsid w:val="00182E03"/>
    <w:rsid w:val="00183B9E"/>
    <w:rsid w:val="00183C6D"/>
    <w:rsid w:val="00184277"/>
    <w:rsid w:val="0018695A"/>
    <w:rsid w:val="00187419"/>
    <w:rsid w:val="00191259"/>
    <w:rsid w:val="0019217B"/>
    <w:rsid w:val="00192373"/>
    <w:rsid w:val="00192B3B"/>
    <w:rsid w:val="00193146"/>
    <w:rsid w:val="001938EF"/>
    <w:rsid w:val="00194061"/>
    <w:rsid w:val="00195F54"/>
    <w:rsid w:val="00196B5D"/>
    <w:rsid w:val="001970E8"/>
    <w:rsid w:val="001A132E"/>
    <w:rsid w:val="001A179F"/>
    <w:rsid w:val="001A1FAE"/>
    <w:rsid w:val="001A2312"/>
    <w:rsid w:val="001A27FE"/>
    <w:rsid w:val="001A40F5"/>
    <w:rsid w:val="001A4940"/>
    <w:rsid w:val="001A4A9A"/>
    <w:rsid w:val="001A5825"/>
    <w:rsid w:val="001A585A"/>
    <w:rsid w:val="001A58D0"/>
    <w:rsid w:val="001A5D2A"/>
    <w:rsid w:val="001A5F6C"/>
    <w:rsid w:val="001A67B8"/>
    <w:rsid w:val="001A6989"/>
    <w:rsid w:val="001A72EB"/>
    <w:rsid w:val="001B019F"/>
    <w:rsid w:val="001B0A04"/>
    <w:rsid w:val="001B0A70"/>
    <w:rsid w:val="001B104D"/>
    <w:rsid w:val="001B3A97"/>
    <w:rsid w:val="001B3BD0"/>
    <w:rsid w:val="001B485E"/>
    <w:rsid w:val="001B49EC"/>
    <w:rsid w:val="001B5782"/>
    <w:rsid w:val="001B5E89"/>
    <w:rsid w:val="001B6781"/>
    <w:rsid w:val="001B6C37"/>
    <w:rsid w:val="001B745F"/>
    <w:rsid w:val="001C1108"/>
    <w:rsid w:val="001C2E1C"/>
    <w:rsid w:val="001C2E86"/>
    <w:rsid w:val="001C3510"/>
    <w:rsid w:val="001C43B0"/>
    <w:rsid w:val="001C5B56"/>
    <w:rsid w:val="001C5C67"/>
    <w:rsid w:val="001C5F97"/>
    <w:rsid w:val="001C6A2B"/>
    <w:rsid w:val="001D02DD"/>
    <w:rsid w:val="001D0ACA"/>
    <w:rsid w:val="001D1478"/>
    <w:rsid w:val="001D1E67"/>
    <w:rsid w:val="001D209F"/>
    <w:rsid w:val="001D23E6"/>
    <w:rsid w:val="001D29B9"/>
    <w:rsid w:val="001D3089"/>
    <w:rsid w:val="001D31B4"/>
    <w:rsid w:val="001D4BF3"/>
    <w:rsid w:val="001D4CDE"/>
    <w:rsid w:val="001D4F98"/>
    <w:rsid w:val="001D6637"/>
    <w:rsid w:val="001D7763"/>
    <w:rsid w:val="001E0082"/>
    <w:rsid w:val="001E1896"/>
    <w:rsid w:val="001E2979"/>
    <w:rsid w:val="001E3194"/>
    <w:rsid w:val="001E3C79"/>
    <w:rsid w:val="001E3CB6"/>
    <w:rsid w:val="001E46FD"/>
    <w:rsid w:val="001E5070"/>
    <w:rsid w:val="001E53B1"/>
    <w:rsid w:val="001E6021"/>
    <w:rsid w:val="001E77E1"/>
    <w:rsid w:val="001F05A6"/>
    <w:rsid w:val="001F13E3"/>
    <w:rsid w:val="001F1433"/>
    <w:rsid w:val="001F2886"/>
    <w:rsid w:val="001F3DA4"/>
    <w:rsid w:val="001F5356"/>
    <w:rsid w:val="001F7516"/>
    <w:rsid w:val="00201287"/>
    <w:rsid w:val="00202897"/>
    <w:rsid w:val="0020345D"/>
    <w:rsid w:val="00203B3E"/>
    <w:rsid w:val="002046F2"/>
    <w:rsid w:val="00204E56"/>
    <w:rsid w:val="00205739"/>
    <w:rsid w:val="00205BB6"/>
    <w:rsid w:val="002068A4"/>
    <w:rsid w:val="00207417"/>
    <w:rsid w:val="00207CFE"/>
    <w:rsid w:val="002119F3"/>
    <w:rsid w:val="00212285"/>
    <w:rsid w:val="00212E6F"/>
    <w:rsid w:val="0021421D"/>
    <w:rsid w:val="002144BD"/>
    <w:rsid w:val="0021631A"/>
    <w:rsid w:val="002169B4"/>
    <w:rsid w:val="002176E0"/>
    <w:rsid w:val="00217EEB"/>
    <w:rsid w:val="00220577"/>
    <w:rsid w:val="00220F75"/>
    <w:rsid w:val="00221384"/>
    <w:rsid w:val="002220A1"/>
    <w:rsid w:val="00223F04"/>
    <w:rsid w:val="0022477C"/>
    <w:rsid w:val="00225C3B"/>
    <w:rsid w:val="00226169"/>
    <w:rsid w:val="002264C2"/>
    <w:rsid w:val="00226976"/>
    <w:rsid w:val="002274E3"/>
    <w:rsid w:val="0023010A"/>
    <w:rsid w:val="00230565"/>
    <w:rsid w:val="00232AC6"/>
    <w:rsid w:val="002333F2"/>
    <w:rsid w:val="002336AF"/>
    <w:rsid w:val="00234CAF"/>
    <w:rsid w:val="00234D25"/>
    <w:rsid w:val="00235162"/>
    <w:rsid w:val="00235277"/>
    <w:rsid w:val="00235B4A"/>
    <w:rsid w:val="00235D3B"/>
    <w:rsid w:val="00236198"/>
    <w:rsid w:val="00236240"/>
    <w:rsid w:val="0023674C"/>
    <w:rsid w:val="00236806"/>
    <w:rsid w:val="002377A7"/>
    <w:rsid w:val="00241857"/>
    <w:rsid w:val="00241DC2"/>
    <w:rsid w:val="002426B8"/>
    <w:rsid w:val="0024403B"/>
    <w:rsid w:val="00244621"/>
    <w:rsid w:val="00244727"/>
    <w:rsid w:val="002479B6"/>
    <w:rsid w:val="00250115"/>
    <w:rsid w:val="002515D5"/>
    <w:rsid w:val="0025189D"/>
    <w:rsid w:val="00252828"/>
    <w:rsid w:val="00252BC4"/>
    <w:rsid w:val="00253050"/>
    <w:rsid w:val="00253604"/>
    <w:rsid w:val="00253774"/>
    <w:rsid w:val="00253BB8"/>
    <w:rsid w:val="00254DFB"/>
    <w:rsid w:val="00254F2F"/>
    <w:rsid w:val="00255494"/>
    <w:rsid w:val="00255E2D"/>
    <w:rsid w:val="00255F1C"/>
    <w:rsid w:val="00256418"/>
    <w:rsid w:val="00256B0D"/>
    <w:rsid w:val="00256F5C"/>
    <w:rsid w:val="0025750C"/>
    <w:rsid w:val="00260A0A"/>
    <w:rsid w:val="0026125D"/>
    <w:rsid w:val="0026157A"/>
    <w:rsid w:val="00261967"/>
    <w:rsid w:val="00263053"/>
    <w:rsid w:val="00263632"/>
    <w:rsid w:val="002645DC"/>
    <w:rsid w:val="00265648"/>
    <w:rsid w:val="00265C62"/>
    <w:rsid w:val="00266AE1"/>
    <w:rsid w:val="00271EF4"/>
    <w:rsid w:val="00273767"/>
    <w:rsid w:val="002753D5"/>
    <w:rsid w:val="002765EC"/>
    <w:rsid w:val="00276F3F"/>
    <w:rsid w:val="0027758A"/>
    <w:rsid w:val="002778A4"/>
    <w:rsid w:val="002800C0"/>
    <w:rsid w:val="00280336"/>
    <w:rsid w:val="00280599"/>
    <w:rsid w:val="0028133D"/>
    <w:rsid w:val="002813F3"/>
    <w:rsid w:val="00281D0D"/>
    <w:rsid w:val="002828EC"/>
    <w:rsid w:val="00283B15"/>
    <w:rsid w:val="00284716"/>
    <w:rsid w:val="002858A8"/>
    <w:rsid w:val="00286823"/>
    <w:rsid w:val="0029157F"/>
    <w:rsid w:val="002917CD"/>
    <w:rsid w:val="002918EB"/>
    <w:rsid w:val="0029194A"/>
    <w:rsid w:val="00291A0B"/>
    <w:rsid w:val="00291CDC"/>
    <w:rsid w:val="00293160"/>
    <w:rsid w:val="0029334C"/>
    <w:rsid w:val="002933B4"/>
    <w:rsid w:val="00295235"/>
    <w:rsid w:val="00297161"/>
    <w:rsid w:val="002A00EA"/>
    <w:rsid w:val="002A05E4"/>
    <w:rsid w:val="002A182E"/>
    <w:rsid w:val="002A51D6"/>
    <w:rsid w:val="002B033C"/>
    <w:rsid w:val="002B0547"/>
    <w:rsid w:val="002B0A62"/>
    <w:rsid w:val="002B2058"/>
    <w:rsid w:val="002B256A"/>
    <w:rsid w:val="002B2CA6"/>
    <w:rsid w:val="002B33B5"/>
    <w:rsid w:val="002B4624"/>
    <w:rsid w:val="002B513A"/>
    <w:rsid w:val="002B56E6"/>
    <w:rsid w:val="002B5705"/>
    <w:rsid w:val="002B5E99"/>
    <w:rsid w:val="002B637E"/>
    <w:rsid w:val="002B66E2"/>
    <w:rsid w:val="002B6942"/>
    <w:rsid w:val="002B77DC"/>
    <w:rsid w:val="002B79C6"/>
    <w:rsid w:val="002C011D"/>
    <w:rsid w:val="002C2DEE"/>
    <w:rsid w:val="002C375A"/>
    <w:rsid w:val="002C5A68"/>
    <w:rsid w:val="002C78AA"/>
    <w:rsid w:val="002D04C2"/>
    <w:rsid w:val="002D0A31"/>
    <w:rsid w:val="002D1878"/>
    <w:rsid w:val="002D19F3"/>
    <w:rsid w:val="002D39CA"/>
    <w:rsid w:val="002D3BBC"/>
    <w:rsid w:val="002D3CC6"/>
    <w:rsid w:val="002D4022"/>
    <w:rsid w:val="002D4A06"/>
    <w:rsid w:val="002D4D41"/>
    <w:rsid w:val="002D5B95"/>
    <w:rsid w:val="002D676F"/>
    <w:rsid w:val="002D689A"/>
    <w:rsid w:val="002D7990"/>
    <w:rsid w:val="002D7CCB"/>
    <w:rsid w:val="002E0049"/>
    <w:rsid w:val="002E077C"/>
    <w:rsid w:val="002E1734"/>
    <w:rsid w:val="002E1C84"/>
    <w:rsid w:val="002E1F1E"/>
    <w:rsid w:val="002E3F10"/>
    <w:rsid w:val="002E4E2C"/>
    <w:rsid w:val="002E5635"/>
    <w:rsid w:val="002E6A0E"/>
    <w:rsid w:val="002E6A92"/>
    <w:rsid w:val="002F0786"/>
    <w:rsid w:val="002F0F65"/>
    <w:rsid w:val="002F22A6"/>
    <w:rsid w:val="002F2D31"/>
    <w:rsid w:val="002F3BBC"/>
    <w:rsid w:val="002F43CA"/>
    <w:rsid w:val="002F4BDB"/>
    <w:rsid w:val="002F4CE4"/>
    <w:rsid w:val="002F5CB8"/>
    <w:rsid w:val="00300090"/>
    <w:rsid w:val="00300EB0"/>
    <w:rsid w:val="00302E3B"/>
    <w:rsid w:val="00303084"/>
    <w:rsid w:val="00303876"/>
    <w:rsid w:val="00303E5D"/>
    <w:rsid w:val="00305523"/>
    <w:rsid w:val="003055F7"/>
    <w:rsid w:val="00305AFD"/>
    <w:rsid w:val="0030622C"/>
    <w:rsid w:val="00307971"/>
    <w:rsid w:val="0031112A"/>
    <w:rsid w:val="0031176E"/>
    <w:rsid w:val="003127F3"/>
    <w:rsid w:val="00312D14"/>
    <w:rsid w:val="00312E1B"/>
    <w:rsid w:val="0031339D"/>
    <w:rsid w:val="0031387E"/>
    <w:rsid w:val="00313982"/>
    <w:rsid w:val="0031412C"/>
    <w:rsid w:val="003154A1"/>
    <w:rsid w:val="00315AD2"/>
    <w:rsid w:val="003165A6"/>
    <w:rsid w:val="00316605"/>
    <w:rsid w:val="00316C37"/>
    <w:rsid w:val="00316C55"/>
    <w:rsid w:val="00316CAF"/>
    <w:rsid w:val="0031753C"/>
    <w:rsid w:val="00317BA7"/>
    <w:rsid w:val="003206C4"/>
    <w:rsid w:val="003208C1"/>
    <w:rsid w:val="0032118B"/>
    <w:rsid w:val="003212A0"/>
    <w:rsid w:val="00322102"/>
    <w:rsid w:val="00322D87"/>
    <w:rsid w:val="00322FD5"/>
    <w:rsid w:val="00323DC4"/>
    <w:rsid w:val="00324D2D"/>
    <w:rsid w:val="00324DBD"/>
    <w:rsid w:val="003252A2"/>
    <w:rsid w:val="0032725D"/>
    <w:rsid w:val="00327387"/>
    <w:rsid w:val="0032748F"/>
    <w:rsid w:val="00327BBE"/>
    <w:rsid w:val="00330035"/>
    <w:rsid w:val="0033014A"/>
    <w:rsid w:val="00331587"/>
    <w:rsid w:val="003322FD"/>
    <w:rsid w:val="0033238A"/>
    <w:rsid w:val="00332BE6"/>
    <w:rsid w:val="00332C96"/>
    <w:rsid w:val="003332D2"/>
    <w:rsid w:val="00333A3F"/>
    <w:rsid w:val="00334A39"/>
    <w:rsid w:val="00335675"/>
    <w:rsid w:val="00335DD3"/>
    <w:rsid w:val="00336A5A"/>
    <w:rsid w:val="0033780B"/>
    <w:rsid w:val="00337A89"/>
    <w:rsid w:val="00337BFE"/>
    <w:rsid w:val="00337F67"/>
    <w:rsid w:val="003406DA"/>
    <w:rsid w:val="0034248E"/>
    <w:rsid w:val="00342CDB"/>
    <w:rsid w:val="00343A44"/>
    <w:rsid w:val="00344252"/>
    <w:rsid w:val="00344AD0"/>
    <w:rsid w:val="00345AD1"/>
    <w:rsid w:val="003507F3"/>
    <w:rsid w:val="00350E7A"/>
    <w:rsid w:val="00350EBA"/>
    <w:rsid w:val="00351C76"/>
    <w:rsid w:val="003520D7"/>
    <w:rsid w:val="003527FC"/>
    <w:rsid w:val="00352933"/>
    <w:rsid w:val="00352B02"/>
    <w:rsid w:val="0035301F"/>
    <w:rsid w:val="0035346C"/>
    <w:rsid w:val="003538EE"/>
    <w:rsid w:val="00353FEB"/>
    <w:rsid w:val="00354BBE"/>
    <w:rsid w:val="00354DD8"/>
    <w:rsid w:val="00355535"/>
    <w:rsid w:val="0035575A"/>
    <w:rsid w:val="00356F83"/>
    <w:rsid w:val="003610B4"/>
    <w:rsid w:val="00361A8C"/>
    <w:rsid w:val="00361AFD"/>
    <w:rsid w:val="0036222B"/>
    <w:rsid w:val="003627E6"/>
    <w:rsid w:val="0036306C"/>
    <w:rsid w:val="00363699"/>
    <w:rsid w:val="003637EC"/>
    <w:rsid w:val="00363AF8"/>
    <w:rsid w:val="0036439B"/>
    <w:rsid w:val="00364484"/>
    <w:rsid w:val="00365696"/>
    <w:rsid w:val="00367829"/>
    <w:rsid w:val="00370276"/>
    <w:rsid w:val="00370F3D"/>
    <w:rsid w:val="0037106F"/>
    <w:rsid w:val="00371206"/>
    <w:rsid w:val="00373CD7"/>
    <w:rsid w:val="00373F57"/>
    <w:rsid w:val="00374557"/>
    <w:rsid w:val="00374C03"/>
    <w:rsid w:val="00374EAF"/>
    <w:rsid w:val="00376766"/>
    <w:rsid w:val="00376DE8"/>
    <w:rsid w:val="0037713C"/>
    <w:rsid w:val="0037724D"/>
    <w:rsid w:val="003775A5"/>
    <w:rsid w:val="00377F51"/>
    <w:rsid w:val="003803FB"/>
    <w:rsid w:val="003818A4"/>
    <w:rsid w:val="003824AF"/>
    <w:rsid w:val="00382A0E"/>
    <w:rsid w:val="00382EE2"/>
    <w:rsid w:val="00384C66"/>
    <w:rsid w:val="00384FC3"/>
    <w:rsid w:val="003868A1"/>
    <w:rsid w:val="00390037"/>
    <w:rsid w:val="003913BE"/>
    <w:rsid w:val="0039170E"/>
    <w:rsid w:val="0039475C"/>
    <w:rsid w:val="003953BA"/>
    <w:rsid w:val="003962B4"/>
    <w:rsid w:val="00396B86"/>
    <w:rsid w:val="003A0383"/>
    <w:rsid w:val="003A109B"/>
    <w:rsid w:val="003A2611"/>
    <w:rsid w:val="003A315C"/>
    <w:rsid w:val="003A3D7C"/>
    <w:rsid w:val="003A4AD8"/>
    <w:rsid w:val="003A71D4"/>
    <w:rsid w:val="003A7237"/>
    <w:rsid w:val="003A76D0"/>
    <w:rsid w:val="003B178D"/>
    <w:rsid w:val="003B2A7E"/>
    <w:rsid w:val="003B3542"/>
    <w:rsid w:val="003B4406"/>
    <w:rsid w:val="003B4448"/>
    <w:rsid w:val="003B4C6E"/>
    <w:rsid w:val="003B623D"/>
    <w:rsid w:val="003B625A"/>
    <w:rsid w:val="003B70E5"/>
    <w:rsid w:val="003C1C29"/>
    <w:rsid w:val="003C38CB"/>
    <w:rsid w:val="003C3B79"/>
    <w:rsid w:val="003C3C6B"/>
    <w:rsid w:val="003C5010"/>
    <w:rsid w:val="003C55F1"/>
    <w:rsid w:val="003C58B1"/>
    <w:rsid w:val="003D04C3"/>
    <w:rsid w:val="003D168B"/>
    <w:rsid w:val="003D2BB6"/>
    <w:rsid w:val="003D5624"/>
    <w:rsid w:val="003D5C57"/>
    <w:rsid w:val="003D604E"/>
    <w:rsid w:val="003D635D"/>
    <w:rsid w:val="003D69C9"/>
    <w:rsid w:val="003D6C07"/>
    <w:rsid w:val="003D7E26"/>
    <w:rsid w:val="003E025B"/>
    <w:rsid w:val="003E0BC8"/>
    <w:rsid w:val="003E10A5"/>
    <w:rsid w:val="003E392A"/>
    <w:rsid w:val="003E4AA9"/>
    <w:rsid w:val="003E4B8B"/>
    <w:rsid w:val="003E4CE5"/>
    <w:rsid w:val="003E7B91"/>
    <w:rsid w:val="003F14F0"/>
    <w:rsid w:val="003F1B18"/>
    <w:rsid w:val="003F4756"/>
    <w:rsid w:val="003F4B30"/>
    <w:rsid w:val="003F62F6"/>
    <w:rsid w:val="003F7797"/>
    <w:rsid w:val="00402175"/>
    <w:rsid w:val="0040363F"/>
    <w:rsid w:val="00403805"/>
    <w:rsid w:val="004039D7"/>
    <w:rsid w:val="00404499"/>
    <w:rsid w:val="00404F6A"/>
    <w:rsid w:val="0040563E"/>
    <w:rsid w:val="004076E9"/>
    <w:rsid w:val="00407B40"/>
    <w:rsid w:val="00407E00"/>
    <w:rsid w:val="00411C5F"/>
    <w:rsid w:val="004123B2"/>
    <w:rsid w:val="00414757"/>
    <w:rsid w:val="00414CE7"/>
    <w:rsid w:val="00414F38"/>
    <w:rsid w:val="00415371"/>
    <w:rsid w:val="00415B56"/>
    <w:rsid w:val="004211DA"/>
    <w:rsid w:val="00421F1F"/>
    <w:rsid w:val="00422305"/>
    <w:rsid w:val="0042357B"/>
    <w:rsid w:val="0042557A"/>
    <w:rsid w:val="0042560C"/>
    <w:rsid w:val="004271A7"/>
    <w:rsid w:val="00427D66"/>
    <w:rsid w:val="00427E84"/>
    <w:rsid w:val="00430954"/>
    <w:rsid w:val="004309ED"/>
    <w:rsid w:val="00431EF5"/>
    <w:rsid w:val="00433BFD"/>
    <w:rsid w:val="004347DB"/>
    <w:rsid w:val="004350F3"/>
    <w:rsid w:val="0043516F"/>
    <w:rsid w:val="00435925"/>
    <w:rsid w:val="004367B9"/>
    <w:rsid w:val="00436D39"/>
    <w:rsid w:val="004373FE"/>
    <w:rsid w:val="00437FEE"/>
    <w:rsid w:val="00441DAF"/>
    <w:rsid w:val="004438FA"/>
    <w:rsid w:val="00444443"/>
    <w:rsid w:val="0044445A"/>
    <w:rsid w:val="004465F2"/>
    <w:rsid w:val="00447188"/>
    <w:rsid w:val="00447826"/>
    <w:rsid w:val="00447AC8"/>
    <w:rsid w:val="00447DF5"/>
    <w:rsid w:val="004503F4"/>
    <w:rsid w:val="0045060D"/>
    <w:rsid w:val="004509A8"/>
    <w:rsid w:val="004509EE"/>
    <w:rsid w:val="004533C8"/>
    <w:rsid w:val="00455268"/>
    <w:rsid w:val="00455449"/>
    <w:rsid w:val="00455A99"/>
    <w:rsid w:val="0045603E"/>
    <w:rsid w:val="0045615C"/>
    <w:rsid w:val="0045711E"/>
    <w:rsid w:val="004576B5"/>
    <w:rsid w:val="00460AC7"/>
    <w:rsid w:val="00460D51"/>
    <w:rsid w:val="004616EF"/>
    <w:rsid w:val="0046366B"/>
    <w:rsid w:val="0046411E"/>
    <w:rsid w:val="004642DA"/>
    <w:rsid w:val="0046505C"/>
    <w:rsid w:val="004667FF"/>
    <w:rsid w:val="00466CD8"/>
    <w:rsid w:val="00467118"/>
    <w:rsid w:val="00467A3C"/>
    <w:rsid w:val="00467CF6"/>
    <w:rsid w:val="00471C45"/>
    <w:rsid w:val="004725ED"/>
    <w:rsid w:val="00472A34"/>
    <w:rsid w:val="00472C3E"/>
    <w:rsid w:val="0047342B"/>
    <w:rsid w:val="00473FFA"/>
    <w:rsid w:val="00475EFF"/>
    <w:rsid w:val="00476426"/>
    <w:rsid w:val="0047705E"/>
    <w:rsid w:val="00477AC0"/>
    <w:rsid w:val="00480310"/>
    <w:rsid w:val="004806AE"/>
    <w:rsid w:val="00481FDD"/>
    <w:rsid w:val="004822DC"/>
    <w:rsid w:val="00482368"/>
    <w:rsid w:val="0048248E"/>
    <w:rsid w:val="00483CFF"/>
    <w:rsid w:val="00485AB1"/>
    <w:rsid w:val="00486700"/>
    <w:rsid w:val="004867B5"/>
    <w:rsid w:val="004929D7"/>
    <w:rsid w:val="00492B1B"/>
    <w:rsid w:val="00493F11"/>
    <w:rsid w:val="00494B97"/>
    <w:rsid w:val="00495660"/>
    <w:rsid w:val="00495665"/>
    <w:rsid w:val="0049662B"/>
    <w:rsid w:val="004968EE"/>
    <w:rsid w:val="00496A3F"/>
    <w:rsid w:val="00496AA9"/>
    <w:rsid w:val="004A036E"/>
    <w:rsid w:val="004A0AB2"/>
    <w:rsid w:val="004A13ED"/>
    <w:rsid w:val="004A14E9"/>
    <w:rsid w:val="004A1DDE"/>
    <w:rsid w:val="004A3BA6"/>
    <w:rsid w:val="004A61B6"/>
    <w:rsid w:val="004A72AC"/>
    <w:rsid w:val="004A77F2"/>
    <w:rsid w:val="004A7D3C"/>
    <w:rsid w:val="004A7D53"/>
    <w:rsid w:val="004A7DE4"/>
    <w:rsid w:val="004B1227"/>
    <w:rsid w:val="004B1402"/>
    <w:rsid w:val="004B1521"/>
    <w:rsid w:val="004B2860"/>
    <w:rsid w:val="004B2DB4"/>
    <w:rsid w:val="004B2EF6"/>
    <w:rsid w:val="004B311F"/>
    <w:rsid w:val="004B411F"/>
    <w:rsid w:val="004B4362"/>
    <w:rsid w:val="004B6288"/>
    <w:rsid w:val="004B67AB"/>
    <w:rsid w:val="004B753F"/>
    <w:rsid w:val="004B77E3"/>
    <w:rsid w:val="004C04DE"/>
    <w:rsid w:val="004C18D5"/>
    <w:rsid w:val="004C1C7D"/>
    <w:rsid w:val="004C1F23"/>
    <w:rsid w:val="004C2E44"/>
    <w:rsid w:val="004C315F"/>
    <w:rsid w:val="004C5C64"/>
    <w:rsid w:val="004C68FB"/>
    <w:rsid w:val="004C7F95"/>
    <w:rsid w:val="004D0925"/>
    <w:rsid w:val="004D0ABE"/>
    <w:rsid w:val="004D1022"/>
    <w:rsid w:val="004D10D8"/>
    <w:rsid w:val="004D1721"/>
    <w:rsid w:val="004D2188"/>
    <w:rsid w:val="004D2AE9"/>
    <w:rsid w:val="004D3767"/>
    <w:rsid w:val="004D4F9A"/>
    <w:rsid w:val="004D5480"/>
    <w:rsid w:val="004D6301"/>
    <w:rsid w:val="004D7D7B"/>
    <w:rsid w:val="004E041F"/>
    <w:rsid w:val="004E0486"/>
    <w:rsid w:val="004E048D"/>
    <w:rsid w:val="004E054D"/>
    <w:rsid w:val="004E0E09"/>
    <w:rsid w:val="004E1475"/>
    <w:rsid w:val="004E1E38"/>
    <w:rsid w:val="004E22F0"/>
    <w:rsid w:val="004E2ABB"/>
    <w:rsid w:val="004E2E94"/>
    <w:rsid w:val="004E5B67"/>
    <w:rsid w:val="004E5C0B"/>
    <w:rsid w:val="004E5F1D"/>
    <w:rsid w:val="004E6E2D"/>
    <w:rsid w:val="004E7965"/>
    <w:rsid w:val="004E7F5F"/>
    <w:rsid w:val="004F0807"/>
    <w:rsid w:val="004F0F57"/>
    <w:rsid w:val="004F42CF"/>
    <w:rsid w:val="004F4A42"/>
    <w:rsid w:val="004F56A2"/>
    <w:rsid w:val="004F66D6"/>
    <w:rsid w:val="004F75BA"/>
    <w:rsid w:val="004F777A"/>
    <w:rsid w:val="004F794D"/>
    <w:rsid w:val="004F7B18"/>
    <w:rsid w:val="0050002C"/>
    <w:rsid w:val="00500349"/>
    <w:rsid w:val="00500418"/>
    <w:rsid w:val="005012DE"/>
    <w:rsid w:val="00501D12"/>
    <w:rsid w:val="00501EFA"/>
    <w:rsid w:val="00502D6C"/>
    <w:rsid w:val="005038DF"/>
    <w:rsid w:val="00504EE6"/>
    <w:rsid w:val="00505B9C"/>
    <w:rsid w:val="0050723C"/>
    <w:rsid w:val="00507BF0"/>
    <w:rsid w:val="00510151"/>
    <w:rsid w:val="005105A3"/>
    <w:rsid w:val="00511547"/>
    <w:rsid w:val="00511604"/>
    <w:rsid w:val="00511992"/>
    <w:rsid w:val="00512A43"/>
    <w:rsid w:val="00513365"/>
    <w:rsid w:val="00513B73"/>
    <w:rsid w:val="00513EC0"/>
    <w:rsid w:val="00514115"/>
    <w:rsid w:val="005141E4"/>
    <w:rsid w:val="00514FD7"/>
    <w:rsid w:val="00516124"/>
    <w:rsid w:val="00516C2A"/>
    <w:rsid w:val="00517393"/>
    <w:rsid w:val="00517E84"/>
    <w:rsid w:val="00517FAD"/>
    <w:rsid w:val="00520C1A"/>
    <w:rsid w:val="0052114E"/>
    <w:rsid w:val="005212E6"/>
    <w:rsid w:val="0052191A"/>
    <w:rsid w:val="00521B54"/>
    <w:rsid w:val="0052265A"/>
    <w:rsid w:val="0052397C"/>
    <w:rsid w:val="00524CE8"/>
    <w:rsid w:val="00527C8F"/>
    <w:rsid w:val="005303F0"/>
    <w:rsid w:val="00530662"/>
    <w:rsid w:val="00530A6C"/>
    <w:rsid w:val="005311C1"/>
    <w:rsid w:val="005320FF"/>
    <w:rsid w:val="00532125"/>
    <w:rsid w:val="00534A96"/>
    <w:rsid w:val="005354BD"/>
    <w:rsid w:val="0053690D"/>
    <w:rsid w:val="005377A5"/>
    <w:rsid w:val="0053790C"/>
    <w:rsid w:val="00537926"/>
    <w:rsid w:val="005403E9"/>
    <w:rsid w:val="00540F30"/>
    <w:rsid w:val="00542AD4"/>
    <w:rsid w:val="00543262"/>
    <w:rsid w:val="005451F3"/>
    <w:rsid w:val="005454CB"/>
    <w:rsid w:val="00546B7F"/>
    <w:rsid w:val="0055036D"/>
    <w:rsid w:val="00550462"/>
    <w:rsid w:val="005505F3"/>
    <w:rsid w:val="00551D2E"/>
    <w:rsid w:val="00552523"/>
    <w:rsid w:val="0055273A"/>
    <w:rsid w:val="0055342D"/>
    <w:rsid w:val="00553A3A"/>
    <w:rsid w:val="0055433C"/>
    <w:rsid w:val="00555172"/>
    <w:rsid w:val="00555687"/>
    <w:rsid w:val="00556587"/>
    <w:rsid w:val="005565F0"/>
    <w:rsid w:val="005572AF"/>
    <w:rsid w:val="005577CE"/>
    <w:rsid w:val="00557A66"/>
    <w:rsid w:val="00557BE5"/>
    <w:rsid w:val="00557DA9"/>
    <w:rsid w:val="00557EAE"/>
    <w:rsid w:val="00561696"/>
    <w:rsid w:val="00561ADF"/>
    <w:rsid w:val="00562C07"/>
    <w:rsid w:val="00563549"/>
    <w:rsid w:val="005636FC"/>
    <w:rsid w:val="00563B80"/>
    <w:rsid w:val="0056537F"/>
    <w:rsid w:val="0056615C"/>
    <w:rsid w:val="005661BC"/>
    <w:rsid w:val="00566548"/>
    <w:rsid w:val="00566C69"/>
    <w:rsid w:val="00566DED"/>
    <w:rsid w:val="00567EEA"/>
    <w:rsid w:val="005704A4"/>
    <w:rsid w:val="00570EE7"/>
    <w:rsid w:val="00572F59"/>
    <w:rsid w:val="00573655"/>
    <w:rsid w:val="00573B02"/>
    <w:rsid w:val="00575597"/>
    <w:rsid w:val="005757BD"/>
    <w:rsid w:val="00575D8E"/>
    <w:rsid w:val="0057676D"/>
    <w:rsid w:val="00576B5E"/>
    <w:rsid w:val="00577DA3"/>
    <w:rsid w:val="0058136A"/>
    <w:rsid w:val="005813A4"/>
    <w:rsid w:val="00582619"/>
    <w:rsid w:val="00582E2A"/>
    <w:rsid w:val="00583709"/>
    <w:rsid w:val="00583B0E"/>
    <w:rsid w:val="0058430D"/>
    <w:rsid w:val="00584A38"/>
    <w:rsid w:val="00584EF6"/>
    <w:rsid w:val="005856D2"/>
    <w:rsid w:val="005857D5"/>
    <w:rsid w:val="005858A5"/>
    <w:rsid w:val="00585AD6"/>
    <w:rsid w:val="00587CE6"/>
    <w:rsid w:val="00590049"/>
    <w:rsid w:val="0059065E"/>
    <w:rsid w:val="00591A0B"/>
    <w:rsid w:val="005947E1"/>
    <w:rsid w:val="00594AE0"/>
    <w:rsid w:val="00594FB4"/>
    <w:rsid w:val="00596CAF"/>
    <w:rsid w:val="00597A47"/>
    <w:rsid w:val="005A08BE"/>
    <w:rsid w:val="005A0C6C"/>
    <w:rsid w:val="005A1F63"/>
    <w:rsid w:val="005A2995"/>
    <w:rsid w:val="005A3157"/>
    <w:rsid w:val="005A342B"/>
    <w:rsid w:val="005A3567"/>
    <w:rsid w:val="005A3B06"/>
    <w:rsid w:val="005A42A7"/>
    <w:rsid w:val="005A7B2E"/>
    <w:rsid w:val="005B0900"/>
    <w:rsid w:val="005B0B48"/>
    <w:rsid w:val="005B0F26"/>
    <w:rsid w:val="005B0F9F"/>
    <w:rsid w:val="005B0FCB"/>
    <w:rsid w:val="005B18BB"/>
    <w:rsid w:val="005B192E"/>
    <w:rsid w:val="005B1A50"/>
    <w:rsid w:val="005B2937"/>
    <w:rsid w:val="005B47B6"/>
    <w:rsid w:val="005B48B7"/>
    <w:rsid w:val="005B4D8E"/>
    <w:rsid w:val="005B4DC6"/>
    <w:rsid w:val="005B510E"/>
    <w:rsid w:val="005B5775"/>
    <w:rsid w:val="005B60D6"/>
    <w:rsid w:val="005B636A"/>
    <w:rsid w:val="005B7E86"/>
    <w:rsid w:val="005C0E8B"/>
    <w:rsid w:val="005C0F7E"/>
    <w:rsid w:val="005C10DC"/>
    <w:rsid w:val="005C1139"/>
    <w:rsid w:val="005C1715"/>
    <w:rsid w:val="005C2509"/>
    <w:rsid w:val="005C2611"/>
    <w:rsid w:val="005C2967"/>
    <w:rsid w:val="005C2A87"/>
    <w:rsid w:val="005C3516"/>
    <w:rsid w:val="005C3C0D"/>
    <w:rsid w:val="005C3E14"/>
    <w:rsid w:val="005C6711"/>
    <w:rsid w:val="005C6B9C"/>
    <w:rsid w:val="005D035E"/>
    <w:rsid w:val="005D1AFA"/>
    <w:rsid w:val="005D1C1A"/>
    <w:rsid w:val="005D2242"/>
    <w:rsid w:val="005D533C"/>
    <w:rsid w:val="005D58A6"/>
    <w:rsid w:val="005D5A73"/>
    <w:rsid w:val="005D7638"/>
    <w:rsid w:val="005D79B2"/>
    <w:rsid w:val="005E1165"/>
    <w:rsid w:val="005E16E9"/>
    <w:rsid w:val="005E1A0B"/>
    <w:rsid w:val="005E2011"/>
    <w:rsid w:val="005E2583"/>
    <w:rsid w:val="005E2C06"/>
    <w:rsid w:val="005E378C"/>
    <w:rsid w:val="005E4EC0"/>
    <w:rsid w:val="005F0CC7"/>
    <w:rsid w:val="005F0EA6"/>
    <w:rsid w:val="005F10A7"/>
    <w:rsid w:val="005F1732"/>
    <w:rsid w:val="005F1EF7"/>
    <w:rsid w:val="005F437D"/>
    <w:rsid w:val="005F440F"/>
    <w:rsid w:val="005F4E4D"/>
    <w:rsid w:val="005F4F3C"/>
    <w:rsid w:val="005F5CB0"/>
    <w:rsid w:val="005F68AC"/>
    <w:rsid w:val="005F74E9"/>
    <w:rsid w:val="005F7C68"/>
    <w:rsid w:val="00600924"/>
    <w:rsid w:val="00600B8F"/>
    <w:rsid w:val="0060100B"/>
    <w:rsid w:val="00601629"/>
    <w:rsid w:val="006017C0"/>
    <w:rsid w:val="00601FD8"/>
    <w:rsid w:val="006027FC"/>
    <w:rsid w:val="006035AF"/>
    <w:rsid w:val="00604480"/>
    <w:rsid w:val="0060482E"/>
    <w:rsid w:val="006049B2"/>
    <w:rsid w:val="0060528B"/>
    <w:rsid w:val="00606738"/>
    <w:rsid w:val="006076C2"/>
    <w:rsid w:val="00610064"/>
    <w:rsid w:val="0061083C"/>
    <w:rsid w:val="00610A47"/>
    <w:rsid w:val="00610D91"/>
    <w:rsid w:val="006118F8"/>
    <w:rsid w:val="00611947"/>
    <w:rsid w:val="00614820"/>
    <w:rsid w:val="006154FB"/>
    <w:rsid w:val="00615989"/>
    <w:rsid w:val="00615E3C"/>
    <w:rsid w:val="00616501"/>
    <w:rsid w:val="00616879"/>
    <w:rsid w:val="0061732D"/>
    <w:rsid w:val="006228DE"/>
    <w:rsid w:val="00622C25"/>
    <w:rsid w:val="00623461"/>
    <w:rsid w:val="00623B3C"/>
    <w:rsid w:val="00624A30"/>
    <w:rsid w:val="00624CB0"/>
    <w:rsid w:val="00624D52"/>
    <w:rsid w:val="00625383"/>
    <w:rsid w:val="0062550B"/>
    <w:rsid w:val="00626FAF"/>
    <w:rsid w:val="00627344"/>
    <w:rsid w:val="00627AFA"/>
    <w:rsid w:val="00627B67"/>
    <w:rsid w:val="006316FB"/>
    <w:rsid w:val="00631723"/>
    <w:rsid w:val="00631FBC"/>
    <w:rsid w:val="00634BE1"/>
    <w:rsid w:val="006354C4"/>
    <w:rsid w:val="00635F92"/>
    <w:rsid w:val="00636185"/>
    <w:rsid w:val="006362EC"/>
    <w:rsid w:val="006372FC"/>
    <w:rsid w:val="0063795B"/>
    <w:rsid w:val="00640D2F"/>
    <w:rsid w:val="006410F0"/>
    <w:rsid w:val="00642F8E"/>
    <w:rsid w:val="00644869"/>
    <w:rsid w:val="006460E2"/>
    <w:rsid w:val="006466C7"/>
    <w:rsid w:val="006467B9"/>
    <w:rsid w:val="00646A50"/>
    <w:rsid w:val="006471DD"/>
    <w:rsid w:val="006476B5"/>
    <w:rsid w:val="00647A07"/>
    <w:rsid w:val="00650D8E"/>
    <w:rsid w:val="006511C1"/>
    <w:rsid w:val="0065175C"/>
    <w:rsid w:val="00652721"/>
    <w:rsid w:val="00652BB4"/>
    <w:rsid w:val="00652DEE"/>
    <w:rsid w:val="00652F55"/>
    <w:rsid w:val="0065318C"/>
    <w:rsid w:val="00655F1F"/>
    <w:rsid w:val="006603D5"/>
    <w:rsid w:val="006605DF"/>
    <w:rsid w:val="00661D5F"/>
    <w:rsid w:val="006632D9"/>
    <w:rsid w:val="0066429E"/>
    <w:rsid w:val="00664486"/>
    <w:rsid w:val="00664815"/>
    <w:rsid w:val="00666EF4"/>
    <w:rsid w:val="0066749A"/>
    <w:rsid w:val="006676E3"/>
    <w:rsid w:val="00670417"/>
    <w:rsid w:val="00670FA0"/>
    <w:rsid w:val="006718A5"/>
    <w:rsid w:val="00672467"/>
    <w:rsid w:val="00672BFC"/>
    <w:rsid w:val="00674040"/>
    <w:rsid w:val="0067405A"/>
    <w:rsid w:val="00676190"/>
    <w:rsid w:val="00680B60"/>
    <w:rsid w:val="00681161"/>
    <w:rsid w:val="006817F3"/>
    <w:rsid w:val="006823C1"/>
    <w:rsid w:val="00682BD7"/>
    <w:rsid w:val="006832D7"/>
    <w:rsid w:val="006832F3"/>
    <w:rsid w:val="00683E82"/>
    <w:rsid w:val="00684872"/>
    <w:rsid w:val="00684DD0"/>
    <w:rsid w:val="00685913"/>
    <w:rsid w:val="00685E9A"/>
    <w:rsid w:val="00686229"/>
    <w:rsid w:val="0068681B"/>
    <w:rsid w:val="00687CA8"/>
    <w:rsid w:val="00690F95"/>
    <w:rsid w:val="00691DF9"/>
    <w:rsid w:val="0069214A"/>
    <w:rsid w:val="006931AD"/>
    <w:rsid w:val="00694A45"/>
    <w:rsid w:val="006952E6"/>
    <w:rsid w:val="00695EBC"/>
    <w:rsid w:val="00696836"/>
    <w:rsid w:val="00696B37"/>
    <w:rsid w:val="006972E7"/>
    <w:rsid w:val="0069773B"/>
    <w:rsid w:val="006A0686"/>
    <w:rsid w:val="006A07F6"/>
    <w:rsid w:val="006A0BBB"/>
    <w:rsid w:val="006A11CF"/>
    <w:rsid w:val="006A179C"/>
    <w:rsid w:val="006A2239"/>
    <w:rsid w:val="006A2860"/>
    <w:rsid w:val="006A323F"/>
    <w:rsid w:val="006A3382"/>
    <w:rsid w:val="006A3BE8"/>
    <w:rsid w:val="006A3FCC"/>
    <w:rsid w:val="006A509A"/>
    <w:rsid w:val="006A5F89"/>
    <w:rsid w:val="006A654F"/>
    <w:rsid w:val="006A6800"/>
    <w:rsid w:val="006A6E21"/>
    <w:rsid w:val="006A7D63"/>
    <w:rsid w:val="006B08C8"/>
    <w:rsid w:val="006B19D1"/>
    <w:rsid w:val="006B2265"/>
    <w:rsid w:val="006B265E"/>
    <w:rsid w:val="006B2C09"/>
    <w:rsid w:val="006B2FC1"/>
    <w:rsid w:val="006B3047"/>
    <w:rsid w:val="006B3DDA"/>
    <w:rsid w:val="006B4FC5"/>
    <w:rsid w:val="006B59D7"/>
    <w:rsid w:val="006B5F7B"/>
    <w:rsid w:val="006B6F52"/>
    <w:rsid w:val="006C1A97"/>
    <w:rsid w:val="006C1F46"/>
    <w:rsid w:val="006C252E"/>
    <w:rsid w:val="006C39D4"/>
    <w:rsid w:val="006C3F9C"/>
    <w:rsid w:val="006C5FBA"/>
    <w:rsid w:val="006C71B4"/>
    <w:rsid w:val="006C7445"/>
    <w:rsid w:val="006C7D1E"/>
    <w:rsid w:val="006D0040"/>
    <w:rsid w:val="006D1E8B"/>
    <w:rsid w:val="006D21DB"/>
    <w:rsid w:val="006D2460"/>
    <w:rsid w:val="006D3006"/>
    <w:rsid w:val="006D31A6"/>
    <w:rsid w:val="006D47EE"/>
    <w:rsid w:val="006D50AF"/>
    <w:rsid w:val="006D5281"/>
    <w:rsid w:val="006D5E18"/>
    <w:rsid w:val="006D636A"/>
    <w:rsid w:val="006D6852"/>
    <w:rsid w:val="006D740E"/>
    <w:rsid w:val="006D7E38"/>
    <w:rsid w:val="006E079C"/>
    <w:rsid w:val="006E0C75"/>
    <w:rsid w:val="006E2241"/>
    <w:rsid w:val="006E282B"/>
    <w:rsid w:val="006E2D1E"/>
    <w:rsid w:val="006E3E10"/>
    <w:rsid w:val="006E42F1"/>
    <w:rsid w:val="006E4DF0"/>
    <w:rsid w:val="006E6F73"/>
    <w:rsid w:val="006E76C1"/>
    <w:rsid w:val="006E7EEF"/>
    <w:rsid w:val="006F069D"/>
    <w:rsid w:val="006F0F13"/>
    <w:rsid w:val="006F1E1E"/>
    <w:rsid w:val="006F3270"/>
    <w:rsid w:val="006F3A49"/>
    <w:rsid w:val="006F3B64"/>
    <w:rsid w:val="006F4CA0"/>
    <w:rsid w:val="006F4E0A"/>
    <w:rsid w:val="006F5BEE"/>
    <w:rsid w:val="006F6697"/>
    <w:rsid w:val="006F6E7E"/>
    <w:rsid w:val="007002FA"/>
    <w:rsid w:val="0070113B"/>
    <w:rsid w:val="007028CB"/>
    <w:rsid w:val="007036A7"/>
    <w:rsid w:val="0070450A"/>
    <w:rsid w:val="00704974"/>
    <w:rsid w:val="00705E0E"/>
    <w:rsid w:val="00705EEF"/>
    <w:rsid w:val="00705FCC"/>
    <w:rsid w:val="00706229"/>
    <w:rsid w:val="007069E8"/>
    <w:rsid w:val="00707163"/>
    <w:rsid w:val="00707C4E"/>
    <w:rsid w:val="007100D0"/>
    <w:rsid w:val="00710DF6"/>
    <w:rsid w:val="00711EFD"/>
    <w:rsid w:val="00713E41"/>
    <w:rsid w:val="00714108"/>
    <w:rsid w:val="00714507"/>
    <w:rsid w:val="00714697"/>
    <w:rsid w:val="00714938"/>
    <w:rsid w:val="00716753"/>
    <w:rsid w:val="00716EE3"/>
    <w:rsid w:val="0071755C"/>
    <w:rsid w:val="00721205"/>
    <w:rsid w:val="00722035"/>
    <w:rsid w:val="00722B1C"/>
    <w:rsid w:val="00722F60"/>
    <w:rsid w:val="00724B24"/>
    <w:rsid w:val="00725C45"/>
    <w:rsid w:val="007264C7"/>
    <w:rsid w:val="00726992"/>
    <w:rsid w:val="00726C0D"/>
    <w:rsid w:val="00727D99"/>
    <w:rsid w:val="00730608"/>
    <w:rsid w:val="0073276B"/>
    <w:rsid w:val="007335B1"/>
    <w:rsid w:val="00733D8E"/>
    <w:rsid w:val="0073431C"/>
    <w:rsid w:val="007350EA"/>
    <w:rsid w:val="00735497"/>
    <w:rsid w:val="00735A5F"/>
    <w:rsid w:val="00735D0A"/>
    <w:rsid w:val="00735FB6"/>
    <w:rsid w:val="007364DC"/>
    <w:rsid w:val="007369D1"/>
    <w:rsid w:val="007378A3"/>
    <w:rsid w:val="00737AEC"/>
    <w:rsid w:val="0074133F"/>
    <w:rsid w:val="00741D22"/>
    <w:rsid w:val="00741F68"/>
    <w:rsid w:val="00742230"/>
    <w:rsid w:val="007452B1"/>
    <w:rsid w:val="00745D29"/>
    <w:rsid w:val="00750235"/>
    <w:rsid w:val="00750FC5"/>
    <w:rsid w:val="00752454"/>
    <w:rsid w:val="00752E80"/>
    <w:rsid w:val="00753FB5"/>
    <w:rsid w:val="00754460"/>
    <w:rsid w:val="00760678"/>
    <w:rsid w:val="007606EB"/>
    <w:rsid w:val="00760F80"/>
    <w:rsid w:val="00761020"/>
    <w:rsid w:val="007616DF"/>
    <w:rsid w:val="00763338"/>
    <w:rsid w:val="007640BB"/>
    <w:rsid w:val="007641F1"/>
    <w:rsid w:val="00764561"/>
    <w:rsid w:val="007665A2"/>
    <w:rsid w:val="00766722"/>
    <w:rsid w:val="00766857"/>
    <w:rsid w:val="007674FB"/>
    <w:rsid w:val="00767C29"/>
    <w:rsid w:val="00770576"/>
    <w:rsid w:val="00770B15"/>
    <w:rsid w:val="00771274"/>
    <w:rsid w:val="007713F3"/>
    <w:rsid w:val="00772380"/>
    <w:rsid w:val="00772922"/>
    <w:rsid w:val="00773253"/>
    <w:rsid w:val="00773546"/>
    <w:rsid w:val="00773862"/>
    <w:rsid w:val="00773DA0"/>
    <w:rsid w:val="00773E6D"/>
    <w:rsid w:val="00774231"/>
    <w:rsid w:val="007743CB"/>
    <w:rsid w:val="007757F3"/>
    <w:rsid w:val="00775DB7"/>
    <w:rsid w:val="00776209"/>
    <w:rsid w:val="00780422"/>
    <w:rsid w:val="00780F29"/>
    <w:rsid w:val="007812F2"/>
    <w:rsid w:val="007826F3"/>
    <w:rsid w:val="00782F8A"/>
    <w:rsid w:val="00785419"/>
    <w:rsid w:val="00786B13"/>
    <w:rsid w:val="00790783"/>
    <w:rsid w:val="00791111"/>
    <w:rsid w:val="0079149A"/>
    <w:rsid w:val="007919DB"/>
    <w:rsid w:val="00792D60"/>
    <w:rsid w:val="00793948"/>
    <w:rsid w:val="00794CF8"/>
    <w:rsid w:val="007953AD"/>
    <w:rsid w:val="0079597C"/>
    <w:rsid w:val="007972C6"/>
    <w:rsid w:val="00797730"/>
    <w:rsid w:val="007A0294"/>
    <w:rsid w:val="007A3C61"/>
    <w:rsid w:val="007A3C76"/>
    <w:rsid w:val="007A46B1"/>
    <w:rsid w:val="007A4C86"/>
    <w:rsid w:val="007A585A"/>
    <w:rsid w:val="007A59E0"/>
    <w:rsid w:val="007A5DFA"/>
    <w:rsid w:val="007A60C8"/>
    <w:rsid w:val="007A78D9"/>
    <w:rsid w:val="007A7AB0"/>
    <w:rsid w:val="007A7E33"/>
    <w:rsid w:val="007B0EC1"/>
    <w:rsid w:val="007B112C"/>
    <w:rsid w:val="007B25A7"/>
    <w:rsid w:val="007B2856"/>
    <w:rsid w:val="007B4950"/>
    <w:rsid w:val="007B4DEE"/>
    <w:rsid w:val="007B4E04"/>
    <w:rsid w:val="007B55A5"/>
    <w:rsid w:val="007B68A8"/>
    <w:rsid w:val="007B6F24"/>
    <w:rsid w:val="007B6F4F"/>
    <w:rsid w:val="007B705F"/>
    <w:rsid w:val="007B7B5B"/>
    <w:rsid w:val="007C04C1"/>
    <w:rsid w:val="007C0998"/>
    <w:rsid w:val="007C09BE"/>
    <w:rsid w:val="007C1493"/>
    <w:rsid w:val="007C1D11"/>
    <w:rsid w:val="007C2B61"/>
    <w:rsid w:val="007C3B04"/>
    <w:rsid w:val="007C3FA9"/>
    <w:rsid w:val="007C40D6"/>
    <w:rsid w:val="007C55E9"/>
    <w:rsid w:val="007C6FD0"/>
    <w:rsid w:val="007C721A"/>
    <w:rsid w:val="007D0501"/>
    <w:rsid w:val="007D07AB"/>
    <w:rsid w:val="007D0B87"/>
    <w:rsid w:val="007D1F53"/>
    <w:rsid w:val="007D279B"/>
    <w:rsid w:val="007D2E07"/>
    <w:rsid w:val="007D2EDD"/>
    <w:rsid w:val="007D4ACE"/>
    <w:rsid w:val="007D5793"/>
    <w:rsid w:val="007D690E"/>
    <w:rsid w:val="007D710A"/>
    <w:rsid w:val="007E0A88"/>
    <w:rsid w:val="007E1F10"/>
    <w:rsid w:val="007E264D"/>
    <w:rsid w:val="007E2821"/>
    <w:rsid w:val="007E53C2"/>
    <w:rsid w:val="007E6290"/>
    <w:rsid w:val="007E6958"/>
    <w:rsid w:val="007E74AF"/>
    <w:rsid w:val="007F0239"/>
    <w:rsid w:val="007F0417"/>
    <w:rsid w:val="007F0A5E"/>
    <w:rsid w:val="007F0A89"/>
    <w:rsid w:val="007F17E7"/>
    <w:rsid w:val="007F2EE1"/>
    <w:rsid w:val="007F315D"/>
    <w:rsid w:val="007F38E1"/>
    <w:rsid w:val="007F40F5"/>
    <w:rsid w:val="007F47D7"/>
    <w:rsid w:val="007F5155"/>
    <w:rsid w:val="007F5F88"/>
    <w:rsid w:val="007F62BE"/>
    <w:rsid w:val="007F6EFE"/>
    <w:rsid w:val="0080137B"/>
    <w:rsid w:val="00801B1B"/>
    <w:rsid w:val="00802292"/>
    <w:rsid w:val="00802806"/>
    <w:rsid w:val="00802967"/>
    <w:rsid w:val="00802DE9"/>
    <w:rsid w:val="00803197"/>
    <w:rsid w:val="00803733"/>
    <w:rsid w:val="00803FAF"/>
    <w:rsid w:val="00805A0E"/>
    <w:rsid w:val="0080679D"/>
    <w:rsid w:val="008077A7"/>
    <w:rsid w:val="0081096E"/>
    <w:rsid w:val="008119B9"/>
    <w:rsid w:val="00813C1D"/>
    <w:rsid w:val="00815300"/>
    <w:rsid w:val="008160B2"/>
    <w:rsid w:val="0081642F"/>
    <w:rsid w:val="00816CF7"/>
    <w:rsid w:val="00817798"/>
    <w:rsid w:val="008179DB"/>
    <w:rsid w:val="008202F2"/>
    <w:rsid w:val="00820318"/>
    <w:rsid w:val="0082080A"/>
    <w:rsid w:val="00820DFC"/>
    <w:rsid w:val="00820FFC"/>
    <w:rsid w:val="008214D0"/>
    <w:rsid w:val="00821A02"/>
    <w:rsid w:val="00822053"/>
    <w:rsid w:val="00822495"/>
    <w:rsid w:val="00823ACF"/>
    <w:rsid w:val="00823D0A"/>
    <w:rsid w:val="00823F98"/>
    <w:rsid w:val="00825F4F"/>
    <w:rsid w:val="00826F74"/>
    <w:rsid w:val="00827643"/>
    <w:rsid w:val="00827919"/>
    <w:rsid w:val="008309AD"/>
    <w:rsid w:val="00831460"/>
    <w:rsid w:val="00831F0D"/>
    <w:rsid w:val="00831FC5"/>
    <w:rsid w:val="00832007"/>
    <w:rsid w:val="008320BC"/>
    <w:rsid w:val="0083243E"/>
    <w:rsid w:val="008324FA"/>
    <w:rsid w:val="00833704"/>
    <w:rsid w:val="00833C66"/>
    <w:rsid w:val="0083568B"/>
    <w:rsid w:val="00835B40"/>
    <w:rsid w:val="0083627B"/>
    <w:rsid w:val="008369C9"/>
    <w:rsid w:val="00837995"/>
    <w:rsid w:val="00840106"/>
    <w:rsid w:val="00840906"/>
    <w:rsid w:val="00841807"/>
    <w:rsid w:val="00842791"/>
    <w:rsid w:val="00844008"/>
    <w:rsid w:val="00844214"/>
    <w:rsid w:val="00844C78"/>
    <w:rsid w:val="00844F11"/>
    <w:rsid w:val="0084697C"/>
    <w:rsid w:val="008469A3"/>
    <w:rsid w:val="0085022F"/>
    <w:rsid w:val="0085153F"/>
    <w:rsid w:val="00851649"/>
    <w:rsid w:val="00851C69"/>
    <w:rsid w:val="00852572"/>
    <w:rsid w:val="00852B57"/>
    <w:rsid w:val="00852F9E"/>
    <w:rsid w:val="00854328"/>
    <w:rsid w:val="0085460F"/>
    <w:rsid w:val="008551E1"/>
    <w:rsid w:val="00855ABF"/>
    <w:rsid w:val="0085605E"/>
    <w:rsid w:val="00856B9A"/>
    <w:rsid w:val="008576D3"/>
    <w:rsid w:val="00857A56"/>
    <w:rsid w:val="0086217F"/>
    <w:rsid w:val="0086243D"/>
    <w:rsid w:val="00862517"/>
    <w:rsid w:val="00862963"/>
    <w:rsid w:val="008638F9"/>
    <w:rsid w:val="008639F4"/>
    <w:rsid w:val="00865150"/>
    <w:rsid w:val="00865307"/>
    <w:rsid w:val="00865CC4"/>
    <w:rsid w:val="00866376"/>
    <w:rsid w:val="008668BC"/>
    <w:rsid w:val="00866C84"/>
    <w:rsid w:val="0086792E"/>
    <w:rsid w:val="008700BE"/>
    <w:rsid w:val="008702AE"/>
    <w:rsid w:val="00870498"/>
    <w:rsid w:val="00870C10"/>
    <w:rsid w:val="00872469"/>
    <w:rsid w:val="00872AAD"/>
    <w:rsid w:val="00872FBF"/>
    <w:rsid w:val="00874E20"/>
    <w:rsid w:val="00875B98"/>
    <w:rsid w:val="008760BB"/>
    <w:rsid w:val="00876759"/>
    <w:rsid w:val="0087710C"/>
    <w:rsid w:val="008773DD"/>
    <w:rsid w:val="00883D2F"/>
    <w:rsid w:val="00883DD4"/>
    <w:rsid w:val="008840B4"/>
    <w:rsid w:val="0088430C"/>
    <w:rsid w:val="00885CC3"/>
    <w:rsid w:val="00885E06"/>
    <w:rsid w:val="00886491"/>
    <w:rsid w:val="00890240"/>
    <w:rsid w:val="008904B2"/>
    <w:rsid w:val="00890602"/>
    <w:rsid w:val="00890BCF"/>
    <w:rsid w:val="00891193"/>
    <w:rsid w:val="008912BC"/>
    <w:rsid w:val="008920FA"/>
    <w:rsid w:val="00892574"/>
    <w:rsid w:val="0089325B"/>
    <w:rsid w:val="0089562F"/>
    <w:rsid w:val="0089613E"/>
    <w:rsid w:val="00896C99"/>
    <w:rsid w:val="008A0B54"/>
    <w:rsid w:val="008A0B57"/>
    <w:rsid w:val="008A1B3E"/>
    <w:rsid w:val="008A3314"/>
    <w:rsid w:val="008A3544"/>
    <w:rsid w:val="008A5068"/>
    <w:rsid w:val="008A5B10"/>
    <w:rsid w:val="008A61B6"/>
    <w:rsid w:val="008A6DA1"/>
    <w:rsid w:val="008B01EA"/>
    <w:rsid w:val="008B082B"/>
    <w:rsid w:val="008B0C4F"/>
    <w:rsid w:val="008B14BF"/>
    <w:rsid w:val="008B2B55"/>
    <w:rsid w:val="008B2F22"/>
    <w:rsid w:val="008B47FC"/>
    <w:rsid w:val="008B4819"/>
    <w:rsid w:val="008B4D95"/>
    <w:rsid w:val="008B65F7"/>
    <w:rsid w:val="008B67C5"/>
    <w:rsid w:val="008B72DF"/>
    <w:rsid w:val="008B7C1F"/>
    <w:rsid w:val="008C17AC"/>
    <w:rsid w:val="008C28E2"/>
    <w:rsid w:val="008C3FFF"/>
    <w:rsid w:val="008C68C9"/>
    <w:rsid w:val="008C6F3F"/>
    <w:rsid w:val="008C7F23"/>
    <w:rsid w:val="008D1177"/>
    <w:rsid w:val="008D18F6"/>
    <w:rsid w:val="008D1C86"/>
    <w:rsid w:val="008D2171"/>
    <w:rsid w:val="008D27EA"/>
    <w:rsid w:val="008D2CB4"/>
    <w:rsid w:val="008D340C"/>
    <w:rsid w:val="008D3D80"/>
    <w:rsid w:val="008D3F62"/>
    <w:rsid w:val="008D4789"/>
    <w:rsid w:val="008D4950"/>
    <w:rsid w:val="008D4C3C"/>
    <w:rsid w:val="008D4F5E"/>
    <w:rsid w:val="008D5383"/>
    <w:rsid w:val="008D5CAC"/>
    <w:rsid w:val="008D5F3A"/>
    <w:rsid w:val="008D60F3"/>
    <w:rsid w:val="008D6A38"/>
    <w:rsid w:val="008E0413"/>
    <w:rsid w:val="008E398E"/>
    <w:rsid w:val="008E4F7A"/>
    <w:rsid w:val="008E5657"/>
    <w:rsid w:val="008E5C46"/>
    <w:rsid w:val="008E5CB9"/>
    <w:rsid w:val="008E6A67"/>
    <w:rsid w:val="008E7BBA"/>
    <w:rsid w:val="008F0D13"/>
    <w:rsid w:val="008F114E"/>
    <w:rsid w:val="008F1863"/>
    <w:rsid w:val="008F1D7B"/>
    <w:rsid w:val="008F4325"/>
    <w:rsid w:val="008F4428"/>
    <w:rsid w:val="008F4BA2"/>
    <w:rsid w:val="008F5201"/>
    <w:rsid w:val="008F5723"/>
    <w:rsid w:val="008F639D"/>
    <w:rsid w:val="008F66BA"/>
    <w:rsid w:val="008F6FBF"/>
    <w:rsid w:val="008F7983"/>
    <w:rsid w:val="008F7993"/>
    <w:rsid w:val="00902DF6"/>
    <w:rsid w:val="009038EC"/>
    <w:rsid w:val="00903BE0"/>
    <w:rsid w:val="00905598"/>
    <w:rsid w:val="009057DD"/>
    <w:rsid w:val="00907A8B"/>
    <w:rsid w:val="00907A99"/>
    <w:rsid w:val="00907FBF"/>
    <w:rsid w:val="00910347"/>
    <w:rsid w:val="00910A2F"/>
    <w:rsid w:val="009112C9"/>
    <w:rsid w:val="00911FAB"/>
    <w:rsid w:val="00912536"/>
    <w:rsid w:val="00912B50"/>
    <w:rsid w:val="0091546C"/>
    <w:rsid w:val="00915774"/>
    <w:rsid w:val="00915A18"/>
    <w:rsid w:val="009161BB"/>
    <w:rsid w:val="00916B4A"/>
    <w:rsid w:val="0091745D"/>
    <w:rsid w:val="00917465"/>
    <w:rsid w:val="00917601"/>
    <w:rsid w:val="00923325"/>
    <w:rsid w:val="00925E7B"/>
    <w:rsid w:val="00930255"/>
    <w:rsid w:val="00930E9E"/>
    <w:rsid w:val="0093254E"/>
    <w:rsid w:val="00932C73"/>
    <w:rsid w:val="00932D58"/>
    <w:rsid w:val="00933A1A"/>
    <w:rsid w:val="009348F6"/>
    <w:rsid w:val="00935050"/>
    <w:rsid w:val="009350F0"/>
    <w:rsid w:val="009354DE"/>
    <w:rsid w:val="0093572B"/>
    <w:rsid w:val="00935FF7"/>
    <w:rsid w:val="009360D6"/>
    <w:rsid w:val="009360EB"/>
    <w:rsid w:val="00940147"/>
    <w:rsid w:val="00940863"/>
    <w:rsid w:val="009414D4"/>
    <w:rsid w:val="00941CC0"/>
    <w:rsid w:val="0094309F"/>
    <w:rsid w:val="0094382F"/>
    <w:rsid w:val="00945D81"/>
    <w:rsid w:val="009464F0"/>
    <w:rsid w:val="009470D9"/>
    <w:rsid w:val="0095037F"/>
    <w:rsid w:val="00950ED3"/>
    <w:rsid w:val="009514B2"/>
    <w:rsid w:val="00953103"/>
    <w:rsid w:val="0095414C"/>
    <w:rsid w:val="00954AB3"/>
    <w:rsid w:val="009555F9"/>
    <w:rsid w:val="00955F62"/>
    <w:rsid w:val="00956E5D"/>
    <w:rsid w:val="00957BA0"/>
    <w:rsid w:val="00957CCC"/>
    <w:rsid w:val="009609A0"/>
    <w:rsid w:val="00960FA6"/>
    <w:rsid w:val="0096128C"/>
    <w:rsid w:val="00961339"/>
    <w:rsid w:val="00961B17"/>
    <w:rsid w:val="00961F84"/>
    <w:rsid w:val="009621AF"/>
    <w:rsid w:val="00963C1C"/>
    <w:rsid w:val="00964798"/>
    <w:rsid w:val="00965A01"/>
    <w:rsid w:val="00965D3C"/>
    <w:rsid w:val="00966103"/>
    <w:rsid w:val="0096786C"/>
    <w:rsid w:val="00967E40"/>
    <w:rsid w:val="00970811"/>
    <w:rsid w:val="00970919"/>
    <w:rsid w:val="00970EA3"/>
    <w:rsid w:val="0097136C"/>
    <w:rsid w:val="0097155C"/>
    <w:rsid w:val="00971673"/>
    <w:rsid w:val="00971D76"/>
    <w:rsid w:val="00971F4C"/>
    <w:rsid w:val="00972D2F"/>
    <w:rsid w:val="00972F6E"/>
    <w:rsid w:val="009732C5"/>
    <w:rsid w:val="009732D5"/>
    <w:rsid w:val="009740B8"/>
    <w:rsid w:val="00974B9F"/>
    <w:rsid w:val="00975592"/>
    <w:rsid w:val="0097582F"/>
    <w:rsid w:val="00975FC4"/>
    <w:rsid w:val="00977280"/>
    <w:rsid w:val="0097772F"/>
    <w:rsid w:val="00977B8C"/>
    <w:rsid w:val="00981804"/>
    <w:rsid w:val="00982D8E"/>
    <w:rsid w:val="009843DC"/>
    <w:rsid w:val="00984FF2"/>
    <w:rsid w:val="0098690C"/>
    <w:rsid w:val="00986B52"/>
    <w:rsid w:val="009900C8"/>
    <w:rsid w:val="00990300"/>
    <w:rsid w:val="00990D55"/>
    <w:rsid w:val="00992E6F"/>
    <w:rsid w:val="00993372"/>
    <w:rsid w:val="009942C4"/>
    <w:rsid w:val="00994469"/>
    <w:rsid w:val="00995E78"/>
    <w:rsid w:val="009967DE"/>
    <w:rsid w:val="00996881"/>
    <w:rsid w:val="009976F6"/>
    <w:rsid w:val="009A0A53"/>
    <w:rsid w:val="009A0FF5"/>
    <w:rsid w:val="009A18F3"/>
    <w:rsid w:val="009A39B7"/>
    <w:rsid w:val="009A51A5"/>
    <w:rsid w:val="009A59F3"/>
    <w:rsid w:val="009A6371"/>
    <w:rsid w:val="009A647B"/>
    <w:rsid w:val="009A67A5"/>
    <w:rsid w:val="009A681A"/>
    <w:rsid w:val="009A6C92"/>
    <w:rsid w:val="009A6D03"/>
    <w:rsid w:val="009A7DF7"/>
    <w:rsid w:val="009B037F"/>
    <w:rsid w:val="009B1444"/>
    <w:rsid w:val="009B171B"/>
    <w:rsid w:val="009B1D65"/>
    <w:rsid w:val="009B2012"/>
    <w:rsid w:val="009B36E1"/>
    <w:rsid w:val="009B37B5"/>
    <w:rsid w:val="009B386B"/>
    <w:rsid w:val="009B40E0"/>
    <w:rsid w:val="009B4FDA"/>
    <w:rsid w:val="009B5388"/>
    <w:rsid w:val="009B5AF9"/>
    <w:rsid w:val="009B5B09"/>
    <w:rsid w:val="009B6479"/>
    <w:rsid w:val="009B68AD"/>
    <w:rsid w:val="009B7456"/>
    <w:rsid w:val="009C1DBB"/>
    <w:rsid w:val="009C3564"/>
    <w:rsid w:val="009C3E5F"/>
    <w:rsid w:val="009C4CD6"/>
    <w:rsid w:val="009C5D74"/>
    <w:rsid w:val="009C6B98"/>
    <w:rsid w:val="009C6D5A"/>
    <w:rsid w:val="009C7475"/>
    <w:rsid w:val="009C7D4C"/>
    <w:rsid w:val="009D1037"/>
    <w:rsid w:val="009D1D15"/>
    <w:rsid w:val="009D1EF4"/>
    <w:rsid w:val="009D268C"/>
    <w:rsid w:val="009D2B0A"/>
    <w:rsid w:val="009D5384"/>
    <w:rsid w:val="009D5E83"/>
    <w:rsid w:val="009D5F62"/>
    <w:rsid w:val="009D64B2"/>
    <w:rsid w:val="009D6D02"/>
    <w:rsid w:val="009D727A"/>
    <w:rsid w:val="009D73AE"/>
    <w:rsid w:val="009D7678"/>
    <w:rsid w:val="009D7821"/>
    <w:rsid w:val="009E03CC"/>
    <w:rsid w:val="009E0908"/>
    <w:rsid w:val="009E0E5D"/>
    <w:rsid w:val="009E1076"/>
    <w:rsid w:val="009E350A"/>
    <w:rsid w:val="009E3B83"/>
    <w:rsid w:val="009E3DC1"/>
    <w:rsid w:val="009E41FA"/>
    <w:rsid w:val="009E50A5"/>
    <w:rsid w:val="009E6F65"/>
    <w:rsid w:val="009E7C27"/>
    <w:rsid w:val="009F0F5A"/>
    <w:rsid w:val="009F15F9"/>
    <w:rsid w:val="009F183B"/>
    <w:rsid w:val="009F274B"/>
    <w:rsid w:val="009F3196"/>
    <w:rsid w:val="009F465C"/>
    <w:rsid w:val="009F4B41"/>
    <w:rsid w:val="009F4D16"/>
    <w:rsid w:val="009F5181"/>
    <w:rsid w:val="009F587B"/>
    <w:rsid w:val="009F5C8C"/>
    <w:rsid w:val="009F6206"/>
    <w:rsid w:val="009F686B"/>
    <w:rsid w:val="009F6AD7"/>
    <w:rsid w:val="009F774F"/>
    <w:rsid w:val="00A00349"/>
    <w:rsid w:val="00A0082C"/>
    <w:rsid w:val="00A01A00"/>
    <w:rsid w:val="00A01E92"/>
    <w:rsid w:val="00A027B9"/>
    <w:rsid w:val="00A02BF5"/>
    <w:rsid w:val="00A030AD"/>
    <w:rsid w:val="00A039E5"/>
    <w:rsid w:val="00A066C6"/>
    <w:rsid w:val="00A06A54"/>
    <w:rsid w:val="00A06ED0"/>
    <w:rsid w:val="00A10304"/>
    <w:rsid w:val="00A12861"/>
    <w:rsid w:val="00A133D5"/>
    <w:rsid w:val="00A139C2"/>
    <w:rsid w:val="00A13E5D"/>
    <w:rsid w:val="00A14B9D"/>
    <w:rsid w:val="00A14E10"/>
    <w:rsid w:val="00A16240"/>
    <w:rsid w:val="00A1667D"/>
    <w:rsid w:val="00A166E9"/>
    <w:rsid w:val="00A168B6"/>
    <w:rsid w:val="00A16CF2"/>
    <w:rsid w:val="00A173C0"/>
    <w:rsid w:val="00A220A1"/>
    <w:rsid w:val="00A223F1"/>
    <w:rsid w:val="00A25331"/>
    <w:rsid w:val="00A258DD"/>
    <w:rsid w:val="00A2620D"/>
    <w:rsid w:val="00A26A6F"/>
    <w:rsid w:val="00A27026"/>
    <w:rsid w:val="00A30023"/>
    <w:rsid w:val="00A30059"/>
    <w:rsid w:val="00A32A3F"/>
    <w:rsid w:val="00A32E58"/>
    <w:rsid w:val="00A33598"/>
    <w:rsid w:val="00A33FF7"/>
    <w:rsid w:val="00A35261"/>
    <w:rsid w:val="00A35FBE"/>
    <w:rsid w:val="00A36DC3"/>
    <w:rsid w:val="00A37784"/>
    <w:rsid w:val="00A378B9"/>
    <w:rsid w:val="00A37A39"/>
    <w:rsid w:val="00A414F9"/>
    <w:rsid w:val="00A41BCD"/>
    <w:rsid w:val="00A421A1"/>
    <w:rsid w:val="00A434AA"/>
    <w:rsid w:val="00A4353A"/>
    <w:rsid w:val="00A43D87"/>
    <w:rsid w:val="00A43F4F"/>
    <w:rsid w:val="00A440C7"/>
    <w:rsid w:val="00A44583"/>
    <w:rsid w:val="00A44B2B"/>
    <w:rsid w:val="00A44E9E"/>
    <w:rsid w:val="00A45F24"/>
    <w:rsid w:val="00A45FAF"/>
    <w:rsid w:val="00A46D6A"/>
    <w:rsid w:val="00A52BC2"/>
    <w:rsid w:val="00A54129"/>
    <w:rsid w:val="00A54877"/>
    <w:rsid w:val="00A54E7B"/>
    <w:rsid w:val="00A54F9A"/>
    <w:rsid w:val="00A55804"/>
    <w:rsid w:val="00A558A7"/>
    <w:rsid w:val="00A5614A"/>
    <w:rsid w:val="00A562FA"/>
    <w:rsid w:val="00A56AF4"/>
    <w:rsid w:val="00A56D39"/>
    <w:rsid w:val="00A576F5"/>
    <w:rsid w:val="00A57FA8"/>
    <w:rsid w:val="00A60168"/>
    <w:rsid w:val="00A60B2B"/>
    <w:rsid w:val="00A60F0F"/>
    <w:rsid w:val="00A61F91"/>
    <w:rsid w:val="00A6336C"/>
    <w:rsid w:val="00A6409E"/>
    <w:rsid w:val="00A64912"/>
    <w:rsid w:val="00A649D2"/>
    <w:rsid w:val="00A64DD2"/>
    <w:rsid w:val="00A66942"/>
    <w:rsid w:val="00A67F51"/>
    <w:rsid w:val="00A70650"/>
    <w:rsid w:val="00A72F9A"/>
    <w:rsid w:val="00A73273"/>
    <w:rsid w:val="00A733F1"/>
    <w:rsid w:val="00A7456D"/>
    <w:rsid w:val="00A75E67"/>
    <w:rsid w:val="00A77848"/>
    <w:rsid w:val="00A81213"/>
    <w:rsid w:val="00A819B7"/>
    <w:rsid w:val="00A81C72"/>
    <w:rsid w:val="00A8385C"/>
    <w:rsid w:val="00A83897"/>
    <w:rsid w:val="00A83E54"/>
    <w:rsid w:val="00A84BF8"/>
    <w:rsid w:val="00A85FAA"/>
    <w:rsid w:val="00A86E54"/>
    <w:rsid w:val="00A87132"/>
    <w:rsid w:val="00A87A19"/>
    <w:rsid w:val="00A87E78"/>
    <w:rsid w:val="00A906CE"/>
    <w:rsid w:val="00A90744"/>
    <w:rsid w:val="00A91B80"/>
    <w:rsid w:val="00A92083"/>
    <w:rsid w:val="00A935CF"/>
    <w:rsid w:val="00A956FA"/>
    <w:rsid w:val="00A963EF"/>
    <w:rsid w:val="00AA1235"/>
    <w:rsid w:val="00AA1BFE"/>
    <w:rsid w:val="00AA2064"/>
    <w:rsid w:val="00AA2498"/>
    <w:rsid w:val="00AA2857"/>
    <w:rsid w:val="00AA308A"/>
    <w:rsid w:val="00AA3805"/>
    <w:rsid w:val="00AA4365"/>
    <w:rsid w:val="00AA4457"/>
    <w:rsid w:val="00AA49C6"/>
    <w:rsid w:val="00AA5303"/>
    <w:rsid w:val="00AA6FB0"/>
    <w:rsid w:val="00AA753A"/>
    <w:rsid w:val="00AA76B4"/>
    <w:rsid w:val="00AA7A6D"/>
    <w:rsid w:val="00AB0163"/>
    <w:rsid w:val="00AB03D5"/>
    <w:rsid w:val="00AB16AE"/>
    <w:rsid w:val="00AB2F68"/>
    <w:rsid w:val="00AB32B6"/>
    <w:rsid w:val="00AB334C"/>
    <w:rsid w:val="00AB3B9D"/>
    <w:rsid w:val="00AB4461"/>
    <w:rsid w:val="00AB4651"/>
    <w:rsid w:val="00AB4727"/>
    <w:rsid w:val="00AB4F32"/>
    <w:rsid w:val="00AB5237"/>
    <w:rsid w:val="00AB579D"/>
    <w:rsid w:val="00AB59EE"/>
    <w:rsid w:val="00AB5EEF"/>
    <w:rsid w:val="00AB675D"/>
    <w:rsid w:val="00AB6771"/>
    <w:rsid w:val="00AB6EB6"/>
    <w:rsid w:val="00AB7E93"/>
    <w:rsid w:val="00AC01E5"/>
    <w:rsid w:val="00AC1353"/>
    <w:rsid w:val="00AC1384"/>
    <w:rsid w:val="00AC1B3C"/>
    <w:rsid w:val="00AC375D"/>
    <w:rsid w:val="00AC3C1B"/>
    <w:rsid w:val="00AC3F72"/>
    <w:rsid w:val="00AC5020"/>
    <w:rsid w:val="00AC540F"/>
    <w:rsid w:val="00AC65AA"/>
    <w:rsid w:val="00AC6C19"/>
    <w:rsid w:val="00AD0491"/>
    <w:rsid w:val="00AD18D9"/>
    <w:rsid w:val="00AD1EB2"/>
    <w:rsid w:val="00AD2469"/>
    <w:rsid w:val="00AD3363"/>
    <w:rsid w:val="00AD6379"/>
    <w:rsid w:val="00AD6664"/>
    <w:rsid w:val="00AD67D2"/>
    <w:rsid w:val="00AD6DA2"/>
    <w:rsid w:val="00AD7F72"/>
    <w:rsid w:val="00AE08B7"/>
    <w:rsid w:val="00AE0FC9"/>
    <w:rsid w:val="00AE1A18"/>
    <w:rsid w:val="00AE2022"/>
    <w:rsid w:val="00AE25E6"/>
    <w:rsid w:val="00AE3D3B"/>
    <w:rsid w:val="00AE50AF"/>
    <w:rsid w:val="00AE6A94"/>
    <w:rsid w:val="00AE7A5C"/>
    <w:rsid w:val="00AF082D"/>
    <w:rsid w:val="00AF3240"/>
    <w:rsid w:val="00AF3660"/>
    <w:rsid w:val="00AF3A17"/>
    <w:rsid w:val="00AF4600"/>
    <w:rsid w:val="00AF5F28"/>
    <w:rsid w:val="00AF609F"/>
    <w:rsid w:val="00AF6978"/>
    <w:rsid w:val="00AF6BDC"/>
    <w:rsid w:val="00AF6CCD"/>
    <w:rsid w:val="00AF77B3"/>
    <w:rsid w:val="00AF7E79"/>
    <w:rsid w:val="00B00B00"/>
    <w:rsid w:val="00B011A2"/>
    <w:rsid w:val="00B015BA"/>
    <w:rsid w:val="00B01ED2"/>
    <w:rsid w:val="00B02679"/>
    <w:rsid w:val="00B03FB8"/>
    <w:rsid w:val="00B04B6F"/>
    <w:rsid w:val="00B0558A"/>
    <w:rsid w:val="00B06577"/>
    <w:rsid w:val="00B068AC"/>
    <w:rsid w:val="00B07A33"/>
    <w:rsid w:val="00B07A47"/>
    <w:rsid w:val="00B07BF5"/>
    <w:rsid w:val="00B115A1"/>
    <w:rsid w:val="00B119A4"/>
    <w:rsid w:val="00B12344"/>
    <w:rsid w:val="00B14097"/>
    <w:rsid w:val="00B14568"/>
    <w:rsid w:val="00B14CD9"/>
    <w:rsid w:val="00B15162"/>
    <w:rsid w:val="00B15555"/>
    <w:rsid w:val="00B15A8A"/>
    <w:rsid w:val="00B166AE"/>
    <w:rsid w:val="00B168DD"/>
    <w:rsid w:val="00B16938"/>
    <w:rsid w:val="00B178A3"/>
    <w:rsid w:val="00B201EF"/>
    <w:rsid w:val="00B2087C"/>
    <w:rsid w:val="00B20937"/>
    <w:rsid w:val="00B20B90"/>
    <w:rsid w:val="00B21402"/>
    <w:rsid w:val="00B21564"/>
    <w:rsid w:val="00B227FD"/>
    <w:rsid w:val="00B22E68"/>
    <w:rsid w:val="00B23BE5"/>
    <w:rsid w:val="00B24A21"/>
    <w:rsid w:val="00B26647"/>
    <w:rsid w:val="00B2795C"/>
    <w:rsid w:val="00B30268"/>
    <w:rsid w:val="00B31DFC"/>
    <w:rsid w:val="00B3258C"/>
    <w:rsid w:val="00B32CA8"/>
    <w:rsid w:val="00B330BA"/>
    <w:rsid w:val="00B33106"/>
    <w:rsid w:val="00B343D1"/>
    <w:rsid w:val="00B347D9"/>
    <w:rsid w:val="00B34E12"/>
    <w:rsid w:val="00B3542D"/>
    <w:rsid w:val="00B355CC"/>
    <w:rsid w:val="00B35A39"/>
    <w:rsid w:val="00B363B4"/>
    <w:rsid w:val="00B36884"/>
    <w:rsid w:val="00B37409"/>
    <w:rsid w:val="00B37ABC"/>
    <w:rsid w:val="00B41479"/>
    <w:rsid w:val="00B429C9"/>
    <w:rsid w:val="00B42B21"/>
    <w:rsid w:val="00B434D6"/>
    <w:rsid w:val="00B43692"/>
    <w:rsid w:val="00B44A58"/>
    <w:rsid w:val="00B44C32"/>
    <w:rsid w:val="00B450CB"/>
    <w:rsid w:val="00B459D2"/>
    <w:rsid w:val="00B45C93"/>
    <w:rsid w:val="00B4616B"/>
    <w:rsid w:val="00B463D2"/>
    <w:rsid w:val="00B46E7F"/>
    <w:rsid w:val="00B50305"/>
    <w:rsid w:val="00B503D3"/>
    <w:rsid w:val="00B50BE8"/>
    <w:rsid w:val="00B50C77"/>
    <w:rsid w:val="00B5165C"/>
    <w:rsid w:val="00B525D8"/>
    <w:rsid w:val="00B526B5"/>
    <w:rsid w:val="00B52898"/>
    <w:rsid w:val="00B53405"/>
    <w:rsid w:val="00B53FF4"/>
    <w:rsid w:val="00B55812"/>
    <w:rsid w:val="00B55948"/>
    <w:rsid w:val="00B55C73"/>
    <w:rsid w:val="00B560B0"/>
    <w:rsid w:val="00B5664A"/>
    <w:rsid w:val="00B569CD"/>
    <w:rsid w:val="00B56DDF"/>
    <w:rsid w:val="00B570D6"/>
    <w:rsid w:val="00B606DD"/>
    <w:rsid w:val="00B61A54"/>
    <w:rsid w:val="00B629F7"/>
    <w:rsid w:val="00B63705"/>
    <w:rsid w:val="00B6385A"/>
    <w:rsid w:val="00B6399A"/>
    <w:rsid w:val="00B639B1"/>
    <w:rsid w:val="00B64066"/>
    <w:rsid w:val="00B64F28"/>
    <w:rsid w:val="00B65C90"/>
    <w:rsid w:val="00B66700"/>
    <w:rsid w:val="00B66716"/>
    <w:rsid w:val="00B70C26"/>
    <w:rsid w:val="00B71E18"/>
    <w:rsid w:val="00B7241C"/>
    <w:rsid w:val="00B72F8F"/>
    <w:rsid w:val="00B73B5A"/>
    <w:rsid w:val="00B748A8"/>
    <w:rsid w:val="00B74ED9"/>
    <w:rsid w:val="00B754BB"/>
    <w:rsid w:val="00B7683E"/>
    <w:rsid w:val="00B76EDA"/>
    <w:rsid w:val="00B814C1"/>
    <w:rsid w:val="00B81BD6"/>
    <w:rsid w:val="00B823DB"/>
    <w:rsid w:val="00B82F04"/>
    <w:rsid w:val="00B83DCE"/>
    <w:rsid w:val="00B841C5"/>
    <w:rsid w:val="00B853AC"/>
    <w:rsid w:val="00B862A7"/>
    <w:rsid w:val="00B8749B"/>
    <w:rsid w:val="00B87CAF"/>
    <w:rsid w:val="00B91A86"/>
    <w:rsid w:val="00B940B9"/>
    <w:rsid w:val="00B94F9D"/>
    <w:rsid w:val="00B95314"/>
    <w:rsid w:val="00B95844"/>
    <w:rsid w:val="00B96093"/>
    <w:rsid w:val="00B96BC4"/>
    <w:rsid w:val="00B96FAF"/>
    <w:rsid w:val="00B97FD8"/>
    <w:rsid w:val="00BA08EB"/>
    <w:rsid w:val="00BA0B3E"/>
    <w:rsid w:val="00BA15FE"/>
    <w:rsid w:val="00BA1EB2"/>
    <w:rsid w:val="00BA2194"/>
    <w:rsid w:val="00BA3AFF"/>
    <w:rsid w:val="00BA570D"/>
    <w:rsid w:val="00BA5829"/>
    <w:rsid w:val="00BA61D9"/>
    <w:rsid w:val="00BA6B05"/>
    <w:rsid w:val="00BA76F1"/>
    <w:rsid w:val="00BB0F93"/>
    <w:rsid w:val="00BB12BB"/>
    <w:rsid w:val="00BB144C"/>
    <w:rsid w:val="00BB1725"/>
    <w:rsid w:val="00BB18CA"/>
    <w:rsid w:val="00BB26E8"/>
    <w:rsid w:val="00BB2941"/>
    <w:rsid w:val="00BB3401"/>
    <w:rsid w:val="00BB38E6"/>
    <w:rsid w:val="00BB59DF"/>
    <w:rsid w:val="00BB64E1"/>
    <w:rsid w:val="00BB6651"/>
    <w:rsid w:val="00BB7D15"/>
    <w:rsid w:val="00BC00A6"/>
    <w:rsid w:val="00BC0E8E"/>
    <w:rsid w:val="00BC11DF"/>
    <w:rsid w:val="00BC1908"/>
    <w:rsid w:val="00BC1C7E"/>
    <w:rsid w:val="00BC27C6"/>
    <w:rsid w:val="00BC34C1"/>
    <w:rsid w:val="00BC3582"/>
    <w:rsid w:val="00BC3FA0"/>
    <w:rsid w:val="00BC47F1"/>
    <w:rsid w:val="00BC4981"/>
    <w:rsid w:val="00BC5D67"/>
    <w:rsid w:val="00BC6282"/>
    <w:rsid w:val="00BC67DD"/>
    <w:rsid w:val="00BC6F79"/>
    <w:rsid w:val="00BC6F8B"/>
    <w:rsid w:val="00BC737D"/>
    <w:rsid w:val="00BD047D"/>
    <w:rsid w:val="00BD125C"/>
    <w:rsid w:val="00BD2E60"/>
    <w:rsid w:val="00BD2E67"/>
    <w:rsid w:val="00BD3273"/>
    <w:rsid w:val="00BD4197"/>
    <w:rsid w:val="00BD47B8"/>
    <w:rsid w:val="00BD4C4C"/>
    <w:rsid w:val="00BD6289"/>
    <w:rsid w:val="00BD6678"/>
    <w:rsid w:val="00BD6C4C"/>
    <w:rsid w:val="00BD747C"/>
    <w:rsid w:val="00BE1742"/>
    <w:rsid w:val="00BE1C26"/>
    <w:rsid w:val="00BE1D9A"/>
    <w:rsid w:val="00BE37B6"/>
    <w:rsid w:val="00BE4384"/>
    <w:rsid w:val="00BE5660"/>
    <w:rsid w:val="00BE5CC4"/>
    <w:rsid w:val="00BE654A"/>
    <w:rsid w:val="00BE66DA"/>
    <w:rsid w:val="00BE6881"/>
    <w:rsid w:val="00BE69EE"/>
    <w:rsid w:val="00BE7DF6"/>
    <w:rsid w:val="00BF0AB3"/>
    <w:rsid w:val="00BF112D"/>
    <w:rsid w:val="00BF125B"/>
    <w:rsid w:val="00BF1F23"/>
    <w:rsid w:val="00BF2546"/>
    <w:rsid w:val="00BF35AD"/>
    <w:rsid w:val="00BF388B"/>
    <w:rsid w:val="00BF4454"/>
    <w:rsid w:val="00BF4B87"/>
    <w:rsid w:val="00BF4FC4"/>
    <w:rsid w:val="00BF5CC6"/>
    <w:rsid w:val="00BF6237"/>
    <w:rsid w:val="00BF67AF"/>
    <w:rsid w:val="00BF6C06"/>
    <w:rsid w:val="00BF707D"/>
    <w:rsid w:val="00C02969"/>
    <w:rsid w:val="00C0421D"/>
    <w:rsid w:val="00C0582B"/>
    <w:rsid w:val="00C06727"/>
    <w:rsid w:val="00C06AF1"/>
    <w:rsid w:val="00C06BA9"/>
    <w:rsid w:val="00C06C79"/>
    <w:rsid w:val="00C0764C"/>
    <w:rsid w:val="00C0793B"/>
    <w:rsid w:val="00C07CAB"/>
    <w:rsid w:val="00C113ED"/>
    <w:rsid w:val="00C119F2"/>
    <w:rsid w:val="00C14954"/>
    <w:rsid w:val="00C14DE4"/>
    <w:rsid w:val="00C15294"/>
    <w:rsid w:val="00C15FE1"/>
    <w:rsid w:val="00C1639C"/>
    <w:rsid w:val="00C175E3"/>
    <w:rsid w:val="00C17B84"/>
    <w:rsid w:val="00C20640"/>
    <w:rsid w:val="00C21E9D"/>
    <w:rsid w:val="00C22F19"/>
    <w:rsid w:val="00C23449"/>
    <w:rsid w:val="00C23766"/>
    <w:rsid w:val="00C25460"/>
    <w:rsid w:val="00C25953"/>
    <w:rsid w:val="00C26F9C"/>
    <w:rsid w:val="00C2795D"/>
    <w:rsid w:val="00C27DB6"/>
    <w:rsid w:val="00C315DB"/>
    <w:rsid w:val="00C32121"/>
    <w:rsid w:val="00C322BF"/>
    <w:rsid w:val="00C32B48"/>
    <w:rsid w:val="00C3333C"/>
    <w:rsid w:val="00C33481"/>
    <w:rsid w:val="00C33571"/>
    <w:rsid w:val="00C345F1"/>
    <w:rsid w:val="00C34ACD"/>
    <w:rsid w:val="00C354E0"/>
    <w:rsid w:val="00C35B20"/>
    <w:rsid w:val="00C35D7B"/>
    <w:rsid w:val="00C35E93"/>
    <w:rsid w:val="00C3617C"/>
    <w:rsid w:val="00C36AC8"/>
    <w:rsid w:val="00C41F75"/>
    <w:rsid w:val="00C46B22"/>
    <w:rsid w:val="00C46FB3"/>
    <w:rsid w:val="00C4719E"/>
    <w:rsid w:val="00C47D6A"/>
    <w:rsid w:val="00C47DA0"/>
    <w:rsid w:val="00C47FA1"/>
    <w:rsid w:val="00C500C1"/>
    <w:rsid w:val="00C5041F"/>
    <w:rsid w:val="00C51233"/>
    <w:rsid w:val="00C51465"/>
    <w:rsid w:val="00C518D1"/>
    <w:rsid w:val="00C51942"/>
    <w:rsid w:val="00C524A3"/>
    <w:rsid w:val="00C528CE"/>
    <w:rsid w:val="00C52BEE"/>
    <w:rsid w:val="00C53779"/>
    <w:rsid w:val="00C53B08"/>
    <w:rsid w:val="00C550D2"/>
    <w:rsid w:val="00C5670E"/>
    <w:rsid w:val="00C56BEF"/>
    <w:rsid w:val="00C60168"/>
    <w:rsid w:val="00C6041D"/>
    <w:rsid w:val="00C6058C"/>
    <w:rsid w:val="00C611E4"/>
    <w:rsid w:val="00C6178D"/>
    <w:rsid w:val="00C62983"/>
    <w:rsid w:val="00C63441"/>
    <w:rsid w:val="00C638DA"/>
    <w:rsid w:val="00C6391A"/>
    <w:rsid w:val="00C63F6B"/>
    <w:rsid w:val="00C654C9"/>
    <w:rsid w:val="00C65E30"/>
    <w:rsid w:val="00C663AB"/>
    <w:rsid w:val="00C66B2E"/>
    <w:rsid w:val="00C7090F"/>
    <w:rsid w:val="00C712FE"/>
    <w:rsid w:val="00C71990"/>
    <w:rsid w:val="00C71E33"/>
    <w:rsid w:val="00C71ED9"/>
    <w:rsid w:val="00C72701"/>
    <w:rsid w:val="00C72BF3"/>
    <w:rsid w:val="00C72C91"/>
    <w:rsid w:val="00C73B4D"/>
    <w:rsid w:val="00C761F9"/>
    <w:rsid w:val="00C80097"/>
    <w:rsid w:val="00C80E1F"/>
    <w:rsid w:val="00C80F78"/>
    <w:rsid w:val="00C816F6"/>
    <w:rsid w:val="00C81D4B"/>
    <w:rsid w:val="00C81F09"/>
    <w:rsid w:val="00C821E9"/>
    <w:rsid w:val="00C8283F"/>
    <w:rsid w:val="00C833F0"/>
    <w:rsid w:val="00C8407E"/>
    <w:rsid w:val="00C840C6"/>
    <w:rsid w:val="00C8464B"/>
    <w:rsid w:val="00C86477"/>
    <w:rsid w:val="00C86C75"/>
    <w:rsid w:val="00C87069"/>
    <w:rsid w:val="00C9047E"/>
    <w:rsid w:val="00C9075A"/>
    <w:rsid w:val="00C909A0"/>
    <w:rsid w:val="00C90A13"/>
    <w:rsid w:val="00C90A6A"/>
    <w:rsid w:val="00C91D55"/>
    <w:rsid w:val="00C94AC6"/>
    <w:rsid w:val="00C94B6E"/>
    <w:rsid w:val="00C96772"/>
    <w:rsid w:val="00C96A1A"/>
    <w:rsid w:val="00CA0215"/>
    <w:rsid w:val="00CA097E"/>
    <w:rsid w:val="00CA236F"/>
    <w:rsid w:val="00CA24E9"/>
    <w:rsid w:val="00CA436E"/>
    <w:rsid w:val="00CA4387"/>
    <w:rsid w:val="00CA5690"/>
    <w:rsid w:val="00CA5964"/>
    <w:rsid w:val="00CA7162"/>
    <w:rsid w:val="00CA7C70"/>
    <w:rsid w:val="00CA7D40"/>
    <w:rsid w:val="00CB3226"/>
    <w:rsid w:val="00CB3E1A"/>
    <w:rsid w:val="00CB43CB"/>
    <w:rsid w:val="00CB4673"/>
    <w:rsid w:val="00CB5250"/>
    <w:rsid w:val="00CB5DC3"/>
    <w:rsid w:val="00CB696A"/>
    <w:rsid w:val="00CB6F64"/>
    <w:rsid w:val="00CB6FC6"/>
    <w:rsid w:val="00CC048F"/>
    <w:rsid w:val="00CC1A52"/>
    <w:rsid w:val="00CC1BF2"/>
    <w:rsid w:val="00CC2433"/>
    <w:rsid w:val="00CC24A4"/>
    <w:rsid w:val="00CC2DB1"/>
    <w:rsid w:val="00CC3E06"/>
    <w:rsid w:val="00CC4803"/>
    <w:rsid w:val="00CC491B"/>
    <w:rsid w:val="00CC4FDF"/>
    <w:rsid w:val="00CC5181"/>
    <w:rsid w:val="00CC566B"/>
    <w:rsid w:val="00CC63C2"/>
    <w:rsid w:val="00CC6D73"/>
    <w:rsid w:val="00CC6E00"/>
    <w:rsid w:val="00CC7478"/>
    <w:rsid w:val="00CC7BC7"/>
    <w:rsid w:val="00CD0D2F"/>
    <w:rsid w:val="00CD10A7"/>
    <w:rsid w:val="00CD1A9E"/>
    <w:rsid w:val="00CD3072"/>
    <w:rsid w:val="00CD44AC"/>
    <w:rsid w:val="00CD4F66"/>
    <w:rsid w:val="00CD4FAA"/>
    <w:rsid w:val="00CD64A8"/>
    <w:rsid w:val="00CD654A"/>
    <w:rsid w:val="00CD6E0A"/>
    <w:rsid w:val="00CD6EDF"/>
    <w:rsid w:val="00CD7782"/>
    <w:rsid w:val="00CD79DB"/>
    <w:rsid w:val="00CD7CD8"/>
    <w:rsid w:val="00CE09B2"/>
    <w:rsid w:val="00CE0CCF"/>
    <w:rsid w:val="00CE3159"/>
    <w:rsid w:val="00CE3B96"/>
    <w:rsid w:val="00CE40E8"/>
    <w:rsid w:val="00CE4613"/>
    <w:rsid w:val="00CE58F5"/>
    <w:rsid w:val="00CE5EDF"/>
    <w:rsid w:val="00CE61FA"/>
    <w:rsid w:val="00CE6433"/>
    <w:rsid w:val="00CE6994"/>
    <w:rsid w:val="00CE7B19"/>
    <w:rsid w:val="00CF1F7A"/>
    <w:rsid w:val="00CF2340"/>
    <w:rsid w:val="00CF29E7"/>
    <w:rsid w:val="00CF2BDC"/>
    <w:rsid w:val="00CF3133"/>
    <w:rsid w:val="00CF3716"/>
    <w:rsid w:val="00CF38EE"/>
    <w:rsid w:val="00CF3CCC"/>
    <w:rsid w:val="00CF47D3"/>
    <w:rsid w:val="00CF58DE"/>
    <w:rsid w:val="00CF6079"/>
    <w:rsid w:val="00CF62A5"/>
    <w:rsid w:val="00CF6310"/>
    <w:rsid w:val="00CF68F4"/>
    <w:rsid w:val="00CF70D1"/>
    <w:rsid w:val="00CF755F"/>
    <w:rsid w:val="00D005DB"/>
    <w:rsid w:val="00D00911"/>
    <w:rsid w:val="00D00A69"/>
    <w:rsid w:val="00D00CB7"/>
    <w:rsid w:val="00D00EFB"/>
    <w:rsid w:val="00D01DA3"/>
    <w:rsid w:val="00D01FC6"/>
    <w:rsid w:val="00D02300"/>
    <w:rsid w:val="00D023C0"/>
    <w:rsid w:val="00D02FE5"/>
    <w:rsid w:val="00D033D5"/>
    <w:rsid w:val="00D036FA"/>
    <w:rsid w:val="00D04C35"/>
    <w:rsid w:val="00D04ED8"/>
    <w:rsid w:val="00D05694"/>
    <w:rsid w:val="00D05BDB"/>
    <w:rsid w:val="00D06561"/>
    <w:rsid w:val="00D075CF"/>
    <w:rsid w:val="00D07B32"/>
    <w:rsid w:val="00D07B51"/>
    <w:rsid w:val="00D10F73"/>
    <w:rsid w:val="00D10FDF"/>
    <w:rsid w:val="00D119DF"/>
    <w:rsid w:val="00D1344C"/>
    <w:rsid w:val="00D137D5"/>
    <w:rsid w:val="00D13A9A"/>
    <w:rsid w:val="00D14AF5"/>
    <w:rsid w:val="00D1573A"/>
    <w:rsid w:val="00D15777"/>
    <w:rsid w:val="00D166AD"/>
    <w:rsid w:val="00D1790B"/>
    <w:rsid w:val="00D17C2C"/>
    <w:rsid w:val="00D2144E"/>
    <w:rsid w:val="00D2240D"/>
    <w:rsid w:val="00D22C1D"/>
    <w:rsid w:val="00D24B75"/>
    <w:rsid w:val="00D259DD"/>
    <w:rsid w:val="00D2694B"/>
    <w:rsid w:val="00D277BA"/>
    <w:rsid w:val="00D30187"/>
    <w:rsid w:val="00D3075C"/>
    <w:rsid w:val="00D3140E"/>
    <w:rsid w:val="00D31520"/>
    <w:rsid w:val="00D32DC8"/>
    <w:rsid w:val="00D33762"/>
    <w:rsid w:val="00D33999"/>
    <w:rsid w:val="00D33A5B"/>
    <w:rsid w:val="00D33D49"/>
    <w:rsid w:val="00D3426A"/>
    <w:rsid w:val="00D35BBD"/>
    <w:rsid w:val="00D3646F"/>
    <w:rsid w:val="00D4029D"/>
    <w:rsid w:val="00D4094D"/>
    <w:rsid w:val="00D40D1F"/>
    <w:rsid w:val="00D42550"/>
    <w:rsid w:val="00D42D74"/>
    <w:rsid w:val="00D43373"/>
    <w:rsid w:val="00D4576A"/>
    <w:rsid w:val="00D463E6"/>
    <w:rsid w:val="00D46629"/>
    <w:rsid w:val="00D4677E"/>
    <w:rsid w:val="00D47A1C"/>
    <w:rsid w:val="00D50779"/>
    <w:rsid w:val="00D50F90"/>
    <w:rsid w:val="00D51666"/>
    <w:rsid w:val="00D544C0"/>
    <w:rsid w:val="00D548DD"/>
    <w:rsid w:val="00D55A40"/>
    <w:rsid w:val="00D56129"/>
    <w:rsid w:val="00D57581"/>
    <w:rsid w:val="00D57616"/>
    <w:rsid w:val="00D57C37"/>
    <w:rsid w:val="00D57EFA"/>
    <w:rsid w:val="00D6004C"/>
    <w:rsid w:val="00D60E91"/>
    <w:rsid w:val="00D61328"/>
    <w:rsid w:val="00D6204C"/>
    <w:rsid w:val="00D6251E"/>
    <w:rsid w:val="00D630E8"/>
    <w:rsid w:val="00D64074"/>
    <w:rsid w:val="00D6481F"/>
    <w:rsid w:val="00D657EF"/>
    <w:rsid w:val="00D66326"/>
    <w:rsid w:val="00D66D30"/>
    <w:rsid w:val="00D67539"/>
    <w:rsid w:val="00D67D13"/>
    <w:rsid w:val="00D67E04"/>
    <w:rsid w:val="00D7042B"/>
    <w:rsid w:val="00D704AA"/>
    <w:rsid w:val="00D70AE5"/>
    <w:rsid w:val="00D7152C"/>
    <w:rsid w:val="00D72034"/>
    <w:rsid w:val="00D7210B"/>
    <w:rsid w:val="00D72936"/>
    <w:rsid w:val="00D72B5E"/>
    <w:rsid w:val="00D741E2"/>
    <w:rsid w:val="00D74675"/>
    <w:rsid w:val="00D747E2"/>
    <w:rsid w:val="00D75027"/>
    <w:rsid w:val="00D757F6"/>
    <w:rsid w:val="00D75839"/>
    <w:rsid w:val="00D76251"/>
    <w:rsid w:val="00D76347"/>
    <w:rsid w:val="00D772F5"/>
    <w:rsid w:val="00D77518"/>
    <w:rsid w:val="00D776E8"/>
    <w:rsid w:val="00D8022D"/>
    <w:rsid w:val="00D81721"/>
    <w:rsid w:val="00D821B7"/>
    <w:rsid w:val="00D835F3"/>
    <w:rsid w:val="00D848A4"/>
    <w:rsid w:val="00D85B81"/>
    <w:rsid w:val="00D86211"/>
    <w:rsid w:val="00D866B6"/>
    <w:rsid w:val="00D873D7"/>
    <w:rsid w:val="00D874B4"/>
    <w:rsid w:val="00D8766C"/>
    <w:rsid w:val="00D87CCE"/>
    <w:rsid w:val="00D87E53"/>
    <w:rsid w:val="00D87E59"/>
    <w:rsid w:val="00D90644"/>
    <w:rsid w:val="00D91163"/>
    <w:rsid w:val="00D91DA5"/>
    <w:rsid w:val="00D925F3"/>
    <w:rsid w:val="00D95030"/>
    <w:rsid w:val="00D954AA"/>
    <w:rsid w:val="00D95EE4"/>
    <w:rsid w:val="00D960EE"/>
    <w:rsid w:val="00D9629D"/>
    <w:rsid w:val="00D966BA"/>
    <w:rsid w:val="00D97221"/>
    <w:rsid w:val="00DA0ED6"/>
    <w:rsid w:val="00DA232E"/>
    <w:rsid w:val="00DA335A"/>
    <w:rsid w:val="00DA3406"/>
    <w:rsid w:val="00DA4523"/>
    <w:rsid w:val="00DA757E"/>
    <w:rsid w:val="00DB05A8"/>
    <w:rsid w:val="00DB1F6E"/>
    <w:rsid w:val="00DB26B8"/>
    <w:rsid w:val="00DB2A12"/>
    <w:rsid w:val="00DB5C98"/>
    <w:rsid w:val="00DB6065"/>
    <w:rsid w:val="00DB7A0D"/>
    <w:rsid w:val="00DC043A"/>
    <w:rsid w:val="00DC0FFC"/>
    <w:rsid w:val="00DC15ED"/>
    <w:rsid w:val="00DC2868"/>
    <w:rsid w:val="00DC29A4"/>
    <w:rsid w:val="00DC2C63"/>
    <w:rsid w:val="00DC4DAC"/>
    <w:rsid w:val="00DC5D8B"/>
    <w:rsid w:val="00DC69F4"/>
    <w:rsid w:val="00DC78AD"/>
    <w:rsid w:val="00DC7ABF"/>
    <w:rsid w:val="00DC7D5C"/>
    <w:rsid w:val="00DD0BB4"/>
    <w:rsid w:val="00DD14A5"/>
    <w:rsid w:val="00DD2105"/>
    <w:rsid w:val="00DD240E"/>
    <w:rsid w:val="00DD2598"/>
    <w:rsid w:val="00DD2E62"/>
    <w:rsid w:val="00DD3916"/>
    <w:rsid w:val="00DD4E27"/>
    <w:rsid w:val="00DD5A21"/>
    <w:rsid w:val="00DD5B32"/>
    <w:rsid w:val="00DD6B5A"/>
    <w:rsid w:val="00DD704B"/>
    <w:rsid w:val="00DE02EA"/>
    <w:rsid w:val="00DE17DD"/>
    <w:rsid w:val="00DE1B91"/>
    <w:rsid w:val="00DE2AED"/>
    <w:rsid w:val="00DE2FBD"/>
    <w:rsid w:val="00DE5296"/>
    <w:rsid w:val="00DE6717"/>
    <w:rsid w:val="00DE6D89"/>
    <w:rsid w:val="00DE74D1"/>
    <w:rsid w:val="00DF070D"/>
    <w:rsid w:val="00DF0F18"/>
    <w:rsid w:val="00DF1341"/>
    <w:rsid w:val="00DF15E0"/>
    <w:rsid w:val="00DF25F9"/>
    <w:rsid w:val="00DF3527"/>
    <w:rsid w:val="00DF3F45"/>
    <w:rsid w:val="00DF6378"/>
    <w:rsid w:val="00DF6383"/>
    <w:rsid w:val="00DF6456"/>
    <w:rsid w:val="00DF77A3"/>
    <w:rsid w:val="00E00728"/>
    <w:rsid w:val="00E00DCA"/>
    <w:rsid w:val="00E012A9"/>
    <w:rsid w:val="00E01768"/>
    <w:rsid w:val="00E01977"/>
    <w:rsid w:val="00E01B81"/>
    <w:rsid w:val="00E02501"/>
    <w:rsid w:val="00E02E49"/>
    <w:rsid w:val="00E02F21"/>
    <w:rsid w:val="00E02F24"/>
    <w:rsid w:val="00E02F57"/>
    <w:rsid w:val="00E03136"/>
    <w:rsid w:val="00E03AF7"/>
    <w:rsid w:val="00E0470F"/>
    <w:rsid w:val="00E048B8"/>
    <w:rsid w:val="00E07754"/>
    <w:rsid w:val="00E11589"/>
    <w:rsid w:val="00E1191F"/>
    <w:rsid w:val="00E121E7"/>
    <w:rsid w:val="00E13B2E"/>
    <w:rsid w:val="00E13F1B"/>
    <w:rsid w:val="00E1419C"/>
    <w:rsid w:val="00E1451E"/>
    <w:rsid w:val="00E15D8E"/>
    <w:rsid w:val="00E1696E"/>
    <w:rsid w:val="00E17DCB"/>
    <w:rsid w:val="00E21E77"/>
    <w:rsid w:val="00E22072"/>
    <w:rsid w:val="00E221BC"/>
    <w:rsid w:val="00E22ADD"/>
    <w:rsid w:val="00E2481A"/>
    <w:rsid w:val="00E249D6"/>
    <w:rsid w:val="00E25249"/>
    <w:rsid w:val="00E25B6A"/>
    <w:rsid w:val="00E26801"/>
    <w:rsid w:val="00E2681F"/>
    <w:rsid w:val="00E27E18"/>
    <w:rsid w:val="00E30790"/>
    <w:rsid w:val="00E308D7"/>
    <w:rsid w:val="00E3202A"/>
    <w:rsid w:val="00E324A6"/>
    <w:rsid w:val="00E32A80"/>
    <w:rsid w:val="00E33627"/>
    <w:rsid w:val="00E3390F"/>
    <w:rsid w:val="00E340C3"/>
    <w:rsid w:val="00E3534D"/>
    <w:rsid w:val="00E356FE"/>
    <w:rsid w:val="00E357CE"/>
    <w:rsid w:val="00E35B05"/>
    <w:rsid w:val="00E35F04"/>
    <w:rsid w:val="00E36AEB"/>
    <w:rsid w:val="00E3744A"/>
    <w:rsid w:val="00E37899"/>
    <w:rsid w:val="00E4127F"/>
    <w:rsid w:val="00E41645"/>
    <w:rsid w:val="00E42B3E"/>
    <w:rsid w:val="00E449EE"/>
    <w:rsid w:val="00E45F43"/>
    <w:rsid w:val="00E46B46"/>
    <w:rsid w:val="00E502F6"/>
    <w:rsid w:val="00E50609"/>
    <w:rsid w:val="00E507CE"/>
    <w:rsid w:val="00E50B73"/>
    <w:rsid w:val="00E513FB"/>
    <w:rsid w:val="00E519F7"/>
    <w:rsid w:val="00E5245D"/>
    <w:rsid w:val="00E52763"/>
    <w:rsid w:val="00E53467"/>
    <w:rsid w:val="00E53BB6"/>
    <w:rsid w:val="00E54467"/>
    <w:rsid w:val="00E54541"/>
    <w:rsid w:val="00E55096"/>
    <w:rsid w:val="00E553FD"/>
    <w:rsid w:val="00E57D31"/>
    <w:rsid w:val="00E57EAE"/>
    <w:rsid w:val="00E619BE"/>
    <w:rsid w:val="00E632AE"/>
    <w:rsid w:val="00E635CA"/>
    <w:rsid w:val="00E6448A"/>
    <w:rsid w:val="00E64589"/>
    <w:rsid w:val="00E64790"/>
    <w:rsid w:val="00E65A41"/>
    <w:rsid w:val="00E66059"/>
    <w:rsid w:val="00E6647D"/>
    <w:rsid w:val="00E6725A"/>
    <w:rsid w:val="00E675E5"/>
    <w:rsid w:val="00E6773D"/>
    <w:rsid w:val="00E70DD3"/>
    <w:rsid w:val="00E72904"/>
    <w:rsid w:val="00E72C47"/>
    <w:rsid w:val="00E73ADB"/>
    <w:rsid w:val="00E74217"/>
    <w:rsid w:val="00E74C39"/>
    <w:rsid w:val="00E74CA1"/>
    <w:rsid w:val="00E76348"/>
    <w:rsid w:val="00E7656A"/>
    <w:rsid w:val="00E76B6A"/>
    <w:rsid w:val="00E77364"/>
    <w:rsid w:val="00E7746C"/>
    <w:rsid w:val="00E80905"/>
    <w:rsid w:val="00E82D00"/>
    <w:rsid w:val="00E82F12"/>
    <w:rsid w:val="00E830D1"/>
    <w:rsid w:val="00E84CF0"/>
    <w:rsid w:val="00E85314"/>
    <w:rsid w:val="00E85F0B"/>
    <w:rsid w:val="00E8669D"/>
    <w:rsid w:val="00E87419"/>
    <w:rsid w:val="00E90250"/>
    <w:rsid w:val="00E91A79"/>
    <w:rsid w:val="00E91EC0"/>
    <w:rsid w:val="00E92472"/>
    <w:rsid w:val="00E92A7D"/>
    <w:rsid w:val="00E9310C"/>
    <w:rsid w:val="00E94BED"/>
    <w:rsid w:val="00E961B2"/>
    <w:rsid w:val="00E96219"/>
    <w:rsid w:val="00E9634E"/>
    <w:rsid w:val="00E975CA"/>
    <w:rsid w:val="00EA098A"/>
    <w:rsid w:val="00EA30D6"/>
    <w:rsid w:val="00EA3437"/>
    <w:rsid w:val="00EA4DAF"/>
    <w:rsid w:val="00EA56C9"/>
    <w:rsid w:val="00EA6677"/>
    <w:rsid w:val="00EA6A8A"/>
    <w:rsid w:val="00EA7BF8"/>
    <w:rsid w:val="00EA7C9E"/>
    <w:rsid w:val="00EB0066"/>
    <w:rsid w:val="00EB450D"/>
    <w:rsid w:val="00EB4844"/>
    <w:rsid w:val="00EB48B6"/>
    <w:rsid w:val="00EB4B74"/>
    <w:rsid w:val="00EB4BC6"/>
    <w:rsid w:val="00EB5F37"/>
    <w:rsid w:val="00EB61DA"/>
    <w:rsid w:val="00EB6EDB"/>
    <w:rsid w:val="00EC0151"/>
    <w:rsid w:val="00EC01BC"/>
    <w:rsid w:val="00EC0762"/>
    <w:rsid w:val="00EC0D22"/>
    <w:rsid w:val="00EC1669"/>
    <w:rsid w:val="00EC2407"/>
    <w:rsid w:val="00EC2A5E"/>
    <w:rsid w:val="00EC3F97"/>
    <w:rsid w:val="00EC541B"/>
    <w:rsid w:val="00EC588A"/>
    <w:rsid w:val="00EC6553"/>
    <w:rsid w:val="00EC6C1E"/>
    <w:rsid w:val="00ED0CC2"/>
    <w:rsid w:val="00ED1825"/>
    <w:rsid w:val="00ED22E3"/>
    <w:rsid w:val="00ED2AEA"/>
    <w:rsid w:val="00ED3E2F"/>
    <w:rsid w:val="00ED4A0C"/>
    <w:rsid w:val="00ED6E42"/>
    <w:rsid w:val="00ED7DA4"/>
    <w:rsid w:val="00EE005F"/>
    <w:rsid w:val="00EE264A"/>
    <w:rsid w:val="00EE2800"/>
    <w:rsid w:val="00EE2822"/>
    <w:rsid w:val="00EE2AEB"/>
    <w:rsid w:val="00EE2C56"/>
    <w:rsid w:val="00EE3B48"/>
    <w:rsid w:val="00EE44F5"/>
    <w:rsid w:val="00EE5C92"/>
    <w:rsid w:val="00EE602C"/>
    <w:rsid w:val="00EE6D37"/>
    <w:rsid w:val="00EE747D"/>
    <w:rsid w:val="00EE7B5C"/>
    <w:rsid w:val="00EF035F"/>
    <w:rsid w:val="00EF1FD8"/>
    <w:rsid w:val="00EF2841"/>
    <w:rsid w:val="00EF2C1C"/>
    <w:rsid w:val="00EF3ABD"/>
    <w:rsid w:val="00EF4381"/>
    <w:rsid w:val="00EF4D4C"/>
    <w:rsid w:val="00EF5777"/>
    <w:rsid w:val="00EF5876"/>
    <w:rsid w:val="00EF5AFD"/>
    <w:rsid w:val="00EF5D4C"/>
    <w:rsid w:val="00EF6980"/>
    <w:rsid w:val="00EF7454"/>
    <w:rsid w:val="00F0013B"/>
    <w:rsid w:val="00F00F01"/>
    <w:rsid w:val="00F01377"/>
    <w:rsid w:val="00F014EA"/>
    <w:rsid w:val="00F028EB"/>
    <w:rsid w:val="00F02D73"/>
    <w:rsid w:val="00F034CE"/>
    <w:rsid w:val="00F04EA6"/>
    <w:rsid w:val="00F05FA3"/>
    <w:rsid w:val="00F0632E"/>
    <w:rsid w:val="00F0761E"/>
    <w:rsid w:val="00F10393"/>
    <w:rsid w:val="00F105E3"/>
    <w:rsid w:val="00F11F1E"/>
    <w:rsid w:val="00F128CF"/>
    <w:rsid w:val="00F12F95"/>
    <w:rsid w:val="00F14042"/>
    <w:rsid w:val="00F14987"/>
    <w:rsid w:val="00F15361"/>
    <w:rsid w:val="00F15E0E"/>
    <w:rsid w:val="00F1688F"/>
    <w:rsid w:val="00F16D08"/>
    <w:rsid w:val="00F17359"/>
    <w:rsid w:val="00F2129E"/>
    <w:rsid w:val="00F216F6"/>
    <w:rsid w:val="00F21757"/>
    <w:rsid w:val="00F21B5F"/>
    <w:rsid w:val="00F2267D"/>
    <w:rsid w:val="00F22FEC"/>
    <w:rsid w:val="00F2448C"/>
    <w:rsid w:val="00F25F44"/>
    <w:rsid w:val="00F26481"/>
    <w:rsid w:val="00F27182"/>
    <w:rsid w:val="00F3006C"/>
    <w:rsid w:val="00F305DD"/>
    <w:rsid w:val="00F306FB"/>
    <w:rsid w:val="00F3213E"/>
    <w:rsid w:val="00F3293C"/>
    <w:rsid w:val="00F32C83"/>
    <w:rsid w:val="00F32ED7"/>
    <w:rsid w:val="00F32F7F"/>
    <w:rsid w:val="00F33186"/>
    <w:rsid w:val="00F3331C"/>
    <w:rsid w:val="00F33F88"/>
    <w:rsid w:val="00F34F24"/>
    <w:rsid w:val="00F360A4"/>
    <w:rsid w:val="00F37FE8"/>
    <w:rsid w:val="00F40943"/>
    <w:rsid w:val="00F41387"/>
    <w:rsid w:val="00F43AEE"/>
    <w:rsid w:val="00F44CD4"/>
    <w:rsid w:val="00F452FA"/>
    <w:rsid w:val="00F45F9D"/>
    <w:rsid w:val="00F46B7F"/>
    <w:rsid w:val="00F47F5E"/>
    <w:rsid w:val="00F5240C"/>
    <w:rsid w:val="00F55882"/>
    <w:rsid w:val="00F55D24"/>
    <w:rsid w:val="00F564DF"/>
    <w:rsid w:val="00F56ADB"/>
    <w:rsid w:val="00F57122"/>
    <w:rsid w:val="00F577DE"/>
    <w:rsid w:val="00F601F3"/>
    <w:rsid w:val="00F62C3C"/>
    <w:rsid w:val="00F63A17"/>
    <w:rsid w:val="00F64994"/>
    <w:rsid w:val="00F64F57"/>
    <w:rsid w:val="00F65178"/>
    <w:rsid w:val="00F65C31"/>
    <w:rsid w:val="00F65E56"/>
    <w:rsid w:val="00F66867"/>
    <w:rsid w:val="00F66C45"/>
    <w:rsid w:val="00F67058"/>
    <w:rsid w:val="00F6736F"/>
    <w:rsid w:val="00F67549"/>
    <w:rsid w:val="00F71944"/>
    <w:rsid w:val="00F72AE1"/>
    <w:rsid w:val="00F76E42"/>
    <w:rsid w:val="00F77594"/>
    <w:rsid w:val="00F77A26"/>
    <w:rsid w:val="00F832D9"/>
    <w:rsid w:val="00F8392C"/>
    <w:rsid w:val="00F83C7C"/>
    <w:rsid w:val="00F8509E"/>
    <w:rsid w:val="00F853F6"/>
    <w:rsid w:val="00F8548C"/>
    <w:rsid w:val="00F85CD2"/>
    <w:rsid w:val="00F86079"/>
    <w:rsid w:val="00F860D4"/>
    <w:rsid w:val="00F87214"/>
    <w:rsid w:val="00F8780F"/>
    <w:rsid w:val="00F87B80"/>
    <w:rsid w:val="00F91F84"/>
    <w:rsid w:val="00F92942"/>
    <w:rsid w:val="00F932A3"/>
    <w:rsid w:val="00F9464D"/>
    <w:rsid w:val="00F94710"/>
    <w:rsid w:val="00F948E9"/>
    <w:rsid w:val="00F96A64"/>
    <w:rsid w:val="00F976EC"/>
    <w:rsid w:val="00F97E08"/>
    <w:rsid w:val="00FA02E3"/>
    <w:rsid w:val="00FA08A3"/>
    <w:rsid w:val="00FA09F1"/>
    <w:rsid w:val="00FA0C92"/>
    <w:rsid w:val="00FA15DF"/>
    <w:rsid w:val="00FA1D5A"/>
    <w:rsid w:val="00FA24BB"/>
    <w:rsid w:val="00FA2EC3"/>
    <w:rsid w:val="00FA407E"/>
    <w:rsid w:val="00FA56F4"/>
    <w:rsid w:val="00FA6F49"/>
    <w:rsid w:val="00FA7620"/>
    <w:rsid w:val="00FA7AA8"/>
    <w:rsid w:val="00FA7FB5"/>
    <w:rsid w:val="00FB093B"/>
    <w:rsid w:val="00FB0ACE"/>
    <w:rsid w:val="00FB0E98"/>
    <w:rsid w:val="00FB1D61"/>
    <w:rsid w:val="00FB3782"/>
    <w:rsid w:val="00FB402B"/>
    <w:rsid w:val="00FB4614"/>
    <w:rsid w:val="00FB46DC"/>
    <w:rsid w:val="00FB6533"/>
    <w:rsid w:val="00FB677C"/>
    <w:rsid w:val="00FB68E4"/>
    <w:rsid w:val="00FB7E5D"/>
    <w:rsid w:val="00FC0646"/>
    <w:rsid w:val="00FC1320"/>
    <w:rsid w:val="00FC13AA"/>
    <w:rsid w:val="00FC18A3"/>
    <w:rsid w:val="00FC1A45"/>
    <w:rsid w:val="00FC1ABC"/>
    <w:rsid w:val="00FC24B6"/>
    <w:rsid w:val="00FC4005"/>
    <w:rsid w:val="00FC42D5"/>
    <w:rsid w:val="00FC4361"/>
    <w:rsid w:val="00FC4C8E"/>
    <w:rsid w:val="00FC4CD7"/>
    <w:rsid w:val="00FC4F06"/>
    <w:rsid w:val="00FC56AB"/>
    <w:rsid w:val="00FC590B"/>
    <w:rsid w:val="00FC5D13"/>
    <w:rsid w:val="00FC65AA"/>
    <w:rsid w:val="00FC6ED7"/>
    <w:rsid w:val="00FC6FA2"/>
    <w:rsid w:val="00FC74A7"/>
    <w:rsid w:val="00FC7664"/>
    <w:rsid w:val="00FC79F3"/>
    <w:rsid w:val="00FD272A"/>
    <w:rsid w:val="00FD4596"/>
    <w:rsid w:val="00FD47B6"/>
    <w:rsid w:val="00FE1994"/>
    <w:rsid w:val="00FE31A0"/>
    <w:rsid w:val="00FE31D4"/>
    <w:rsid w:val="00FE41F4"/>
    <w:rsid w:val="00FE60B1"/>
    <w:rsid w:val="00FE623B"/>
    <w:rsid w:val="00FE64CC"/>
    <w:rsid w:val="00FE6D1C"/>
    <w:rsid w:val="00FE7044"/>
    <w:rsid w:val="00FE78A2"/>
    <w:rsid w:val="00FF1B90"/>
    <w:rsid w:val="00FF294A"/>
    <w:rsid w:val="00FF4863"/>
    <w:rsid w:val="00FF6013"/>
    <w:rsid w:val="00FF6094"/>
    <w:rsid w:val="00FF65BF"/>
    <w:rsid w:val="00FF65DF"/>
    <w:rsid w:val="00FF769A"/>
    <w:rsid w:val="00FF7A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61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384FC3"/>
    <w:rPr>
      <w:sz w:val="24"/>
      <w:szCs w:val="24"/>
    </w:rPr>
  </w:style>
  <w:style w:type="paragraph" w:styleId="Heading1">
    <w:name w:val="heading 1"/>
    <w:basedOn w:val="Normal"/>
    <w:next w:val="Normal"/>
    <w:qFormat/>
    <w:pPr>
      <w:keepNext/>
      <w:tabs>
        <w:tab w:val="left" w:pos="720"/>
      </w:tabs>
      <w:spacing w:after="240"/>
      <w:ind w:left="720" w:hanging="720"/>
      <w:jc w:val="center"/>
      <w:outlineLvl w:val="0"/>
    </w:pPr>
    <w:rPr>
      <w:b/>
      <w:bCs/>
      <w:caps/>
    </w:rPr>
  </w:style>
  <w:style w:type="paragraph" w:styleId="Heading2">
    <w:name w:val="heading 2"/>
    <w:basedOn w:val="Normal"/>
    <w:next w:val="Normal"/>
    <w:link w:val="Heading2Char"/>
    <w:qFormat/>
    <w:pPr>
      <w:keepNext/>
      <w:spacing w:after="240"/>
      <w:ind w:left="720" w:hanging="720"/>
      <w:outlineLvl w:val="1"/>
    </w:pPr>
    <w:rPr>
      <w:b/>
    </w:rPr>
  </w:style>
  <w:style w:type="paragraph" w:styleId="Heading3">
    <w:name w:val="heading 3"/>
    <w:basedOn w:val="Normal"/>
    <w:next w:val="Normal"/>
    <w:link w:val="Heading3Char"/>
    <w:qFormat/>
    <w:pPr>
      <w:keepNext/>
      <w:spacing w:after="240"/>
      <w:ind w:left="720"/>
      <w:outlineLvl w:val="2"/>
    </w:pPr>
    <w:rPr>
      <w:b/>
      <w:szCs w:val="26"/>
    </w:rPr>
  </w:style>
  <w:style w:type="paragraph" w:styleId="Heading4">
    <w:name w:val="heading 4"/>
    <w:basedOn w:val="Normal"/>
    <w:next w:val="Normal"/>
    <w:qFormat/>
    <w:pPr>
      <w:keepNext/>
      <w:tabs>
        <w:tab w:val="left" w:pos="2160"/>
      </w:tabs>
      <w:spacing w:after="240"/>
      <w:outlineLvl w:val="3"/>
    </w:pPr>
    <w:rPr>
      <w:rFonts w:ascii="Gill Sans MT" w:hAnsi="Gill Sans MT"/>
      <w:bCs/>
      <w:i/>
      <w:sz w:val="28"/>
      <w:szCs w:val="28"/>
    </w:rPr>
  </w:style>
  <w:style w:type="paragraph" w:styleId="Heading5">
    <w:name w:val="heading 5"/>
    <w:basedOn w:val="Normal"/>
    <w:next w:val="Normal"/>
    <w:qFormat/>
    <w:pPr>
      <w:keepNext/>
      <w:spacing w:line="232" w:lineRule="auto"/>
      <w:ind w:left="720" w:hanging="720"/>
      <w:outlineLvl w:val="4"/>
    </w:pPr>
    <w:rPr>
      <w:b/>
    </w:rPr>
  </w:style>
  <w:style w:type="paragraph" w:styleId="Heading6">
    <w:name w:val="heading 6"/>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outlineLvl w:val="5"/>
    </w:pPr>
    <w:rPr>
      <w:u w:val="single"/>
    </w:rPr>
  </w:style>
  <w:style w:type="paragraph" w:styleId="Heading7">
    <w:name w:val="heading 7"/>
    <w:basedOn w:val="Normal"/>
    <w:next w:val="Normal"/>
    <w:qFormat/>
    <w:pPr>
      <w:keepNext/>
      <w:spacing w:line="232" w:lineRule="auto"/>
      <w:ind w:left="1080" w:hanging="1080"/>
      <w:outlineLvl w:val="6"/>
    </w:pPr>
    <w:rPr>
      <w:b/>
    </w:rPr>
  </w:style>
  <w:style w:type="paragraph" w:styleId="Heading8">
    <w:name w:val="heading 8"/>
    <w:basedOn w:val="Normal"/>
    <w:next w:val="Normal"/>
    <w:qFormat/>
    <w:pPr>
      <w:keepNext/>
      <w:spacing w:line="232" w:lineRule="auto"/>
      <w:jc w:val="right"/>
      <w:outlineLvl w:val="7"/>
    </w:pPr>
    <w:rPr>
      <w:b/>
      <w:u w:val="single"/>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tabs>
        <w:tab w:val="clear" w:pos="1080"/>
      </w:tabs>
      <w:spacing w:after="240"/>
      <w:ind w:left="720" w:hanging="720"/>
    </w:pPr>
  </w:style>
  <w:style w:type="paragraph" w:styleId="BodyText">
    <w:name w:val="Body Text"/>
    <w:basedOn w:val="Normal"/>
    <w:link w:val="BodyTextChar"/>
    <w:pPr>
      <w:spacing w:after="240"/>
      <w:ind w:firstLine="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2">
    <w:name w:val="toc 2"/>
    <w:basedOn w:val="Normal"/>
    <w:next w:val="Normal"/>
    <w:autoRedefine/>
    <w:semiHidden/>
    <w:pPr>
      <w:ind w:left="240"/>
    </w:pPr>
  </w:style>
  <w:style w:type="paragraph" w:customStyle="1" w:styleId="REF">
    <w:name w:val="REF"/>
    <w:basedOn w:val="Normal"/>
    <w:pPr>
      <w:widowControl w:val="0"/>
      <w:tabs>
        <w:tab w:val="left" w:pos="-1080"/>
        <w:tab w:val="left" w:pos="-720"/>
        <w:tab w:val="left" w:pos="0"/>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228" w:lineRule="auto"/>
      <w:ind w:left="720" w:hanging="720"/>
    </w:pPr>
    <w:rPr>
      <w:color w:val="000000"/>
    </w:rPr>
  </w:style>
  <w:style w:type="paragraph" w:styleId="TOC1">
    <w:name w:val="toc 1"/>
    <w:basedOn w:val="Normal"/>
    <w:next w:val="Normal"/>
    <w:autoRedefine/>
    <w:semiHidden/>
    <w:rPr>
      <w:b/>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customStyle="1" w:styleId="Level1">
    <w:name w:val="Level 1"/>
    <w:basedOn w:val="Normal"/>
    <w:pPr>
      <w:widowControl w:val="0"/>
    </w:pPr>
    <w:rPr>
      <w:szCs w:val="20"/>
    </w:rPr>
  </w:style>
  <w:style w:type="paragraph" w:customStyle="1" w:styleId="Level2">
    <w:name w:val="Level 2"/>
    <w:basedOn w:val="Normal"/>
    <w:pPr>
      <w:widowControl w:val="0"/>
    </w:pPr>
    <w:rPr>
      <w:szCs w:val="20"/>
    </w:rPr>
  </w:style>
  <w:style w:type="paragraph" w:styleId="BodyTextIndent">
    <w:name w:val="Body Text Indent"/>
    <w:basedOn w:val="Normal"/>
    <w:pPr>
      <w:spacing w:line="232" w:lineRule="auto"/>
      <w:ind w:left="2160" w:hanging="720"/>
    </w:pPr>
    <w:rPr>
      <w:b/>
    </w:rPr>
  </w:style>
  <w:style w:type="paragraph" w:styleId="BodyTextIndent2">
    <w:name w:val="Body Text Indent 2"/>
    <w:basedOn w:val="Normal"/>
    <w:pPr>
      <w:spacing w:line="232" w:lineRule="auto"/>
      <w:ind w:left="2880" w:hanging="720"/>
    </w:pPr>
    <w:rPr>
      <w:b/>
    </w:r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pPr>
      <w:spacing w:line="233" w:lineRule="auto"/>
      <w:ind w:left="1440" w:hanging="360"/>
    </w:pPr>
    <w:rPr>
      <w:b/>
    </w:rPr>
  </w:style>
  <w:style w:type="character" w:styleId="FollowedHyperlink">
    <w:name w:val="FollowedHyperlink"/>
    <w:rPr>
      <w:color w:val="800080"/>
      <w:u w:val="single"/>
    </w:rPr>
  </w:style>
  <w:style w:type="paragraph" w:styleId="BalloonText">
    <w:name w:val="Balloon Text"/>
    <w:basedOn w:val="Normal"/>
    <w:semiHidden/>
    <w:rsid w:val="0019217B"/>
    <w:rPr>
      <w:rFonts w:ascii="Tahoma" w:hAnsi="Tahoma" w:cs="Tahoma"/>
      <w:sz w:val="16"/>
      <w:szCs w:val="16"/>
    </w:rPr>
  </w:style>
  <w:style w:type="paragraph" w:customStyle="1" w:styleId="CM310">
    <w:name w:val="CM310"/>
    <w:basedOn w:val="Normal"/>
    <w:next w:val="Normal"/>
    <w:rsid w:val="00BF6237"/>
    <w:pPr>
      <w:autoSpaceDE w:val="0"/>
      <w:autoSpaceDN w:val="0"/>
      <w:adjustRightInd w:val="0"/>
      <w:spacing w:after="248"/>
    </w:pPr>
    <w:rPr>
      <w:rFonts w:ascii="IFTYRA+Palatino-Roman" w:hAnsi="IFTYRA+Palatino-Roman"/>
    </w:rPr>
  </w:style>
  <w:style w:type="table" w:styleId="TableGrid">
    <w:name w:val="Table Grid"/>
    <w:basedOn w:val="TableNormal"/>
    <w:uiPriority w:val="59"/>
    <w:rsid w:val="007A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1">
    <w:name w:val="Heading 31"/>
    <w:rsid w:val="00954AB3"/>
    <w:rPr>
      <w:b/>
    </w:rPr>
  </w:style>
  <w:style w:type="character" w:customStyle="1" w:styleId="Footer1">
    <w:name w:val="Footer1"/>
    <w:basedOn w:val="DefaultParagraphFont"/>
    <w:rsid w:val="00954AB3"/>
  </w:style>
  <w:style w:type="paragraph" w:customStyle="1" w:styleId="Level9">
    <w:name w:val="Level 9"/>
    <w:basedOn w:val="Normal"/>
    <w:rsid w:val="00954AB3"/>
    <w:pPr>
      <w:widowControl w:val="0"/>
    </w:pPr>
    <w:rPr>
      <w:b/>
      <w:szCs w:val="20"/>
    </w:rPr>
  </w:style>
  <w:style w:type="paragraph" w:styleId="Title">
    <w:name w:val="Title"/>
    <w:basedOn w:val="Normal"/>
    <w:link w:val="TitleChar"/>
    <w:qFormat/>
    <w:rsid w:val="00954AB3"/>
    <w:pPr>
      <w:jc w:val="center"/>
    </w:pPr>
    <w:rPr>
      <w:b/>
      <w:sz w:val="20"/>
    </w:rPr>
  </w:style>
  <w:style w:type="character" w:customStyle="1" w:styleId="TitleChar">
    <w:name w:val="Title Char"/>
    <w:link w:val="Title"/>
    <w:rsid w:val="00954AB3"/>
    <w:rPr>
      <w:b/>
      <w:szCs w:val="24"/>
    </w:rPr>
  </w:style>
  <w:style w:type="character" w:styleId="Strong">
    <w:name w:val="Strong"/>
    <w:uiPriority w:val="22"/>
    <w:qFormat/>
    <w:rsid w:val="004F66D6"/>
    <w:rPr>
      <w:b/>
      <w:bCs/>
    </w:rPr>
  </w:style>
  <w:style w:type="character" w:customStyle="1" w:styleId="Heading11">
    <w:name w:val="Heading 11"/>
    <w:rsid w:val="007C3B04"/>
    <w:rPr>
      <w:b/>
    </w:rPr>
  </w:style>
  <w:style w:type="paragraph" w:styleId="ListParagraph">
    <w:name w:val="List Paragraph"/>
    <w:basedOn w:val="Normal"/>
    <w:uiPriority w:val="34"/>
    <w:qFormat/>
    <w:rsid w:val="00961B17"/>
    <w:pPr>
      <w:ind w:left="720"/>
    </w:pPr>
  </w:style>
  <w:style w:type="character" w:styleId="CommentReference">
    <w:name w:val="annotation reference"/>
    <w:uiPriority w:val="99"/>
    <w:semiHidden/>
    <w:rsid w:val="00D01DA3"/>
    <w:rPr>
      <w:sz w:val="16"/>
      <w:szCs w:val="16"/>
    </w:rPr>
  </w:style>
  <w:style w:type="paragraph" w:styleId="CommentText">
    <w:name w:val="annotation text"/>
    <w:basedOn w:val="Normal"/>
    <w:link w:val="CommentTextChar"/>
    <w:uiPriority w:val="99"/>
    <w:semiHidden/>
    <w:rsid w:val="00D01DA3"/>
    <w:rPr>
      <w:sz w:val="20"/>
      <w:szCs w:val="20"/>
    </w:rPr>
  </w:style>
  <w:style w:type="paragraph" w:styleId="CommentSubject">
    <w:name w:val="annotation subject"/>
    <w:basedOn w:val="CommentText"/>
    <w:next w:val="CommentText"/>
    <w:semiHidden/>
    <w:rsid w:val="00D01DA3"/>
    <w:rPr>
      <w:b/>
      <w:bCs/>
    </w:rPr>
  </w:style>
  <w:style w:type="character" w:styleId="Emphasis">
    <w:name w:val="Emphasis"/>
    <w:uiPriority w:val="20"/>
    <w:qFormat/>
    <w:rsid w:val="00042834"/>
    <w:rPr>
      <w:i/>
      <w:iCs/>
    </w:rPr>
  </w:style>
  <w:style w:type="paragraph" w:styleId="E-mailSignature">
    <w:name w:val="E-mail Signature"/>
    <w:basedOn w:val="Normal"/>
    <w:link w:val="E-mailSignatureChar"/>
    <w:uiPriority w:val="99"/>
    <w:semiHidden/>
    <w:unhideWhenUsed/>
    <w:rsid w:val="00B36884"/>
    <w:pPr>
      <w:spacing w:before="100" w:beforeAutospacing="1" w:after="100" w:afterAutospacing="1"/>
    </w:pPr>
    <w:rPr>
      <w:rFonts w:eastAsia="Calibri"/>
    </w:rPr>
  </w:style>
  <w:style w:type="character" w:customStyle="1" w:styleId="E-mailSignatureChar">
    <w:name w:val="E-mail Signature Char"/>
    <w:link w:val="E-mailSignature"/>
    <w:uiPriority w:val="99"/>
    <w:semiHidden/>
    <w:rsid w:val="00B36884"/>
    <w:rPr>
      <w:rFonts w:eastAsia="Calibri"/>
      <w:sz w:val="24"/>
      <w:szCs w:val="24"/>
    </w:rPr>
  </w:style>
  <w:style w:type="character" w:customStyle="1" w:styleId="apple-style-span">
    <w:name w:val="apple-style-span"/>
    <w:basedOn w:val="DefaultParagraphFont"/>
    <w:rsid w:val="00B36884"/>
  </w:style>
  <w:style w:type="character" w:customStyle="1" w:styleId="reftitle1">
    <w:name w:val="ref_title1"/>
    <w:rsid w:val="00C81F09"/>
    <w:rPr>
      <w:b/>
      <w:bCs/>
      <w:color w:val="424242"/>
    </w:rPr>
  </w:style>
  <w:style w:type="character" w:customStyle="1" w:styleId="refpub1">
    <w:name w:val="ref_pub1"/>
    <w:rsid w:val="00C81F09"/>
    <w:rPr>
      <w:b w:val="0"/>
      <w:bCs w:val="0"/>
    </w:rPr>
  </w:style>
  <w:style w:type="paragraph" w:customStyle="1" w:styleId="objective">
    <w:name w:val="objective"/>
    <w:basedOn w:val="Normal"/>
    <w:rsid w:val="007D4ACE"/>
    <w:pPr>
      <w:keepNext/>
      <w:spacing w:before="100" w:beforeAutospacing="1" w:after="100" w:afterAutospacing="1" w:line="216" w:lineRule="atLeast"/>
    </w:pPr>
    <w:rPr>
      <w:rFonts w:ascii="Arial" w:hAnsi="Arial" w:cs="Arial"/>
      <w:b/>
      <w:bCs/>
      <w:color w:val="000000"/>
      <w:sz w:val="22"/>
      <w:szCs w:val="22"/>
    </w:rPr>
  </w:style>
  <w:style w:type="character" w:customStyle="1" w:styleId="A0">
    <w:name w:val="A0"/>
    <w:uiPriority w:val="99"/>
    <w:rsid w:val="00ED6E42"/>
    <w:rPr>
      <w:rFonts w:cs="Myriad Pro"/>
      <w:color w:val="000000"/>
      <w:sz w:val="21"/>
      <w:szCs w:val="21"/>
    </w:rPr>
  </w:style>
  <w:style w:type="paragraph" w:styleId="NormalWeb">
    <w:name w:val="Normal (Web)"/>
    <w:basedOn w:val="Normal"/>
    <w:uiPriority w:val="99"/>
    <w:unhideWhenUsed/>
    <w:rsid w:val="00566DED"/>
    <w:pPr>
      <w:spacing w:before="100" w:beforeAutospacing="1" w:after="100" w:afterAutospacing="1"/>
    </w:pPr>
    <w:rPr>
      <w:rFonts w:eastAsia="Calibri"/>
    </w:rPr>
  </w:style>
  <w:style w:type="paragraph" w:styleId="BodyText3">
    <w:name w:val="Body Text 3"/>
    <w:basedOn w:val="Normal"/>
    <w:link w:val="BodyText3Char"/>
    <w:uiPriority w:val="99"/>
    <w:semiHidden/>
    <w:unhideWhenUsed/>
    <w:rsid w:val="007C1D11"/>
    <w:pPr>
      <w:spacing w:after="120"/>
    </w:pPr>
    <w:rPr>
      <w:sz w:val="16"/>
      <w:szCs w:val="16"/>
    </w:rPr>
  </w:style>
  <w:style w:type="character" w:customStyle="1" w:styleId="BodyText3Char">
    <w:name w:val="Body Text 3 Char"/>
    <w:link w:val="BodyText3"/>
    <w:uiPriority w:val="99"/>
    <w:semiHidden/>
    <w:rsid w:val="007C1D11"/>
    <w:rPr>
      <w:sz w:val="16"/>
      <w:szCs w:val="16"/>
    </w:rPr>
  </w:style>
  <w:style w:type="character" w:customStyle="1" w:styleId="Heading2Char">
    <w:name w:val="Heading 2 Char"/>
    <w:link w:val="Heading2"/>
    <w:rsid w:val="004E048D"/>
    <w:rPr>
      <w:b/>
      <w:sz w:val="24"/>
      <w:szCs w:val="24"/>
    </w:rPr>
  </w:style>
  <w:style w:type="character" w:customStyle="1" w:styleId="Heading3Char">
    <w:name w:val="Heading 3 Char"/>
    <w:link w:val="Heading3"/>
    <w:rsid w:val="004E048D"/>
    <w:rPr>
      <w:b/>
      <w:sz w:val="24"/>
      <w:szCs w:val="26"/>
    </w:rPr>
  </w:style>
  <w:style w:type="character" w:customStyle="1" w:styleId="BodyTextChar">
    <w:name w:val="Body Text Char"/>
    <w:link w:val="BodyText"/>
    <w:rsid w:val="004E048D"/>
    <w:rPr>
      <w:sz w:val="24"/>
      <w:szCs w:val="24"/>
    </w:rPr>
  </w:style>
  <w:style w:type="character" w:customStyle="1" w:styleId="Footer11">
    <w:name w:val="Footer11"/>
    <w:basedOn w:val="DefaultParagraphFont"/>
    <w:rsid w:val="004E048D"/>
  </w:style>
  <w:style w:type="paragraph" w:styleId="PlainText">
    <w:name w:val="Plain Text"/>
    <w:basedOn w:val="Normal"/>
    <w:link w:val="PlainTextChar"/>
    <w:uiPriority w:val="99"/>
    <w:semiHidden/>
    <w:unhideWhenUsed/>
    <w:rsid w:val="00033C7F"/>
    <w:rPr>
      <w:rFonts w:ascii="Consolas" w:eastAsia="Calibri" w:hAnsi="Consolas"/>
      <w:sz w:val="21"/>
      <w:szCs w:val="21"/>
    </w:rPr>
  </w:style>
  <w:style w:type="character" w:customStyle="1" w:styleId="PlainTextChar">
    <w:name w:val="Plain Text Char"/>
    <w:link w:val="PlainText"/>
    <w:uiPriority w:val="99"/>
    <w:semiHidden/>
    <w:rsid w:val="00033C7F"/>
    <w:rPr>
      <w:rFonts w:ascii="Consolas" w:eastAsia="Calibri" w:hAnsi="Consolas" w:cs="Times New Roman"/>
      <w:sz w:val="21"/>
      <w:szCs w:val="21"/>
    </w:rPr>
  </w:style>
  <w:style w:type="character" w:customStyle="1" w:styleId="style41">
    <w:name w:val="style41"/>
    <w:rsid w:val="00033C7F"/>
    <w:rPr>
      <w:sz w:val="11"/>
      <w:szCs w:val="11"/>
    </w:rPr>
  </w:style>
  <w:style w:type="paragraph" w:styleId="HTMLPreformatted">
    <w:name w:val="HTML Preformatted"/>
    <w:basedOn w:val="Normal"/>
    <w:link w:val="HTMLPreformattedChar"/>
    <w:uiPriority w:val="99"/>
    <w:semiHidden/>
    <w:unhideWhenUsed/>
    <w:rsid w:val="0086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865150"/>
    <w:rPr>
      <w:rFonts w:ascii="Courier New" w:hAnsi="Courier New" w:cs="Courier New"/>
    </w:rPr>
  </w:style>
  <w:style w:type="paragraph" w:customStyle="1" w:styleId="t11">
    <w:name w:val="t11"/>
    <w:basedOn w:val="Normal"/>
    <w:rsid w:val="00447DF5"/>
    <w:pPr>
      <w:spacing w:before="100" w:beforeAutospacing="1" w:after="100" w:afterAutospacing="1"/>
    </w:pPr>
    <w:rPr>
      <w:b/>
      <w:bCs/>
      <w:color w:val="000000"/>
      <w:sz w:val="20"/>
      <w:szCs w:val="20"/>
    </w:rPr>
  </w:style>
  <w:style w:type="paragraph" w:customStyle="1" w:styleId="a">
    <w:name w:val="列出段落"/>
    <w:basedOn w:val="Normal"/>
    <w:uiPriority w:val="34"/>
    <w:qFormat/>
    <w:rsid w:val="006E2D1E"/>
    <w:pPr>
      <w:ind w:left="720"/>
    </w:pPr>
  </w:style>
  <w:style w:type="paragraph" w:styleId="Revision">
    <w:name w:val="Revision"/>
    <w:hidden/>
    <w:uiPriority w:val="99"/>
    <w:semiHidden/>
    <w:rsid w:val="00D24B75"/>
    <w:rPr>
      <w:sz w:val="24"/>
      <w:szCs w:val="24"/>
    </w:rPr>
  </w:style>
  <w:style w:type="paragraph" w:customStyle="1" w:styleId="CommentText1">
    <w:name w:val="Comment Text1"/>
    <w:rsid w:val="00A223F1"/>
    <w:rPr>
      <w:rFonts w:ascii="Lucida Grande" w:eastAsia="ヒラギノ角ゴ Pro W3" w:hAnsi="Lucida Grande"/>
      <w:color w:val="000000"/>
    </w:rPr>
  </w:style>
  <w:style w:type="character" w:customStyle="1" w:styleId="emphasis1">
    <w:name w:val="emphasis1"/>
    <w:rsid w:val="00FA02E3"/>
    <w:rPr>
      <w:b/>
      <w:bCs/>
    </w:rPr>
  </w:style>
  <w:style w:type="character" w:customStyle="1" w:styleId="reftitle">
    <w:name w:val="ref_title"/>
    <w:rsid w:val="00F77594"/>
  </w:style>
  <w:style w:type="character" w:customStyle="1" w:styleId="CommentTextChar">
    <w:name w:val="Comment Text Char"/>
    <w:basedOn w:val="DefaultParagraphFont"/>
    <w:link w:val="CommentText"/>
    <w:uiPriority w:val="99"/>
    <w:semiHidden/>
    <w:rsid w:val="006460E2"/>
  </w:style>
  <w:style w:type="character" w:customStyle="1" w:styleId="A11">
    <w:name w:val="A11"/>
    <w:uiPriority w:val="99"/>
    <w:rsid w:val="00475EFF"/>
    <w:rPr>
      <w:rFonts w:ascii="Myriad Pro" w:hAnsi="Myriad Pro" w:cs="Myriad Pro"/>
      <w:color w:val="000000"/>
      <w:sz w:val="11"/>
      <w:szCs w:val="11"/>
    </w:rPr>
  </w:style>
  <w:style w:type="character" w:customStyle="1" w:styleId="HeaderChar">
    <w:name w:val="Header Char"/>
    <w:basedOn w:val="DefaultParagraphFont"/>
    <w:link w:val="Header"/>
    <w:uiPriority w:val="99"/>
    <w:rsid w:val="00A60B2B"/>
    <w:rPr>
      <w:sz w:val="24"/>
      <w:szCs w:val="24"/>
    </w:rPr>
  </w:style>
  <w:style w:type="character" w:customStyle="1" w:styleId="doi1">
    <w:name w:val="doi1"/>
    <w:basedOn w:val="DefaultParagraphFont"/>
    <w:rsid w:val="001D6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384FC3"/>
    <w:rPr>
      <w:sz w:val="24"/>
      <w:szCs w:val="24"/>
    </w:rPr>
  </w:style>
  <w:style w:type="paragraph" w:styleId="Heading1">
    <w:name w:val="heading 1"/>
    <w:basedOn w:val="Normal"/>
    <w:next w:val="Normal"/>
    <w:qFormat/>
    <w:pPr>
      <w:keepNext/>
      <w:tabs>
        <w:tab w:val="left" w:pos="720"/>
      </w:tabs>
      <w:spacing w:after="240"/>
      <w:ind w:left="720" w:hanging="720"/>
      <w:jc w:val="center"/>
      <w:outlineLvl w:val="0"/>
    </w:pPr>
    <w:rPr>
      <w:b/>
      <w:bCs/>
      <w:caps/>
    </w:rPr>
  </w:style>
  <w:style w:type="paragraph" w:styleId="Heading2">
    <w:name w:val="heading 2"/>
    <w:basedOn w:val="Normal"/>
    <w:next w:val="Normal"/>
    <w:link w:val="Heading2Char"/>
    <w:qFormat/>
    <w:pPr>
      <w:keepNext/>
      <w:spacing w:after="240"/>
      <w:ind w:left="720" w:hanging="720"/>
      <w:outlineLvl w:val="1"/>
    </w:pPr>
    <w:rPr>
      <w:b/>
    </w:rPr>
  </w:style>
  <w:style w:type="paragraph" w:styleId="Heading3">
    <w:name w:val="heading 3"/>
    <w:basedOn w:val="Normal"/>
    <w:next w:val="Normal"/>
    <w:link w:val="Heading3Char"/>
    <w:qFormat/>
    <w:pPr>
      <w:keepNext/>
      <w:spacing w:after="240"/>
      <w:ind w:left="720"/>
      <w:outlineLvl w:val="2"/>
    </w:pPr>
    <w:rPr>
      <w:b/>
      <w:szCs w:val="26"/>
    </w:rPr>
  </w:style>
  <w:style w:type="paragraph" w:styleId="Heading4">
    <w:name w:val="heading 4"/>
    <w:basedOn w:val="Normal"/>
    <w:next w:val="Normal"/>
    <w:qFormat/>
    <w:pPr>
      <w:keepNext/>
      <w:tabs>
        <w:tab w:val="left" w:pos="2160"/>
      </w:tabs>
      <w:spacing w:after="240"/>
      <w:outlineLvl w:val="3"/>
    </w:pPr>
    <w:rPr>
      <w:rFonts w:ascii="Gill Sans MT" w:hAnsi="Gill Sans MT"/>
      <w:bCs/>
      <w:i/>
      <w:sz w:val="28"/>
      <w:szCs w:val="28"/>
    </w:rPr>
  </w:style>
  <w:style w:type="paragraph" w:styleId="Heading5">
    <w:name w:val="heading 5"/>
    <w:basedOn w:val="Normal"/>
    <w:next w:val="Normal"/>
    <w:qFormat/>
    <w:pPr>
      <w:keepNext/>
      <w:spacing w:line="232" w:lineRule="auto"/>
      <w:ind w:left="720" w:hanging="720"/>
      <w:outlineLvl w:val="4"/>
    </w:pPr>
    <w:rPr>
      <w:b/>
    </w:rPr>
  </w:style>
  <w:style w:type="paragraph" w:styleId="Heading6">
    <w:name w:val="heading 6"/>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outlineLvl w:val="5"/>
    </w:pPr>
    <w:rPr>
      <w:u w:val="single"/>
    </w:rPr>
  </w:style>
  <w:style w:type="paragraph" w:styleId="Heading7">
    <w:name w:val="heading 7"/>
    <w:basedOn w:val="Normal"/>
    <w:next w:val="Normal"/>
    <w:qFormat/>
    <w:pPr>
      <w:keepNext/>
      <w:spacing w:line="232" w:lineRule="auto"/>
      <w:ind w:left="1080" w:hanging="1080"/>
      <w:outlineLvl w:val="6"/>
    </w:pPr>
    <w:rPr>
      <w:b/>
    </w:rPr>
  </w:style>
  <w:style w:type="paragraph" w:styleId="Heading8">
    <w:name w:val="heading 8"/>
    <w:basedOn w:val="Normal"/>
    <w:next w:val="Normal"/>
    <w:qFormat/>
    <w:pPr>
      <w:keepNext/>
      <w:spacing w:line="232" w:lineRule="auto"/>
      <w:jc w:val="right"/>
      <w:outlineLvl w:val="7"/>
    </w:pPr>
    <w:rPr>
      <w:b/>
      <w:u w:val="single"/>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tabs>
        <w:tab w:val="clear" w:pos="1080"/>
      </w:tabs>
      <w:spacing w:after="240"/>
      <w:ind w:left="720" w:hanging="720"/>
    </w:pPr>
  </w:style>
  <w:style w:type="paragraph" w:styleId="BodyText">
    <w:name w:val="Body Text"/>
    <w:basedOn w:val="Normal"/>
    <w:link w:val="BodyTextChar"/>
    <w:pPr>
      <w:spacing w:after="240"/>
      <w:ind w:firstLine="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2">
    <w:name w:val="toc 2"/>
    <w:basedOn w:val="Normal"/>
    <w:next w:val="Normal"/>
    <w:autoRedefine/>
    <w:semiHidden/>
    <w:pPr>
      <w:ind w:left="240"/>
    </w:pPr>
  </w:style>
  <w:style w:type="paragraph" w:customStyle="1" w:styleId="REF">
    <w:name w:val="REF"/>
    <w:basedOn w:val="Normal"/>
    <w:pPr>
      <w:widowControl w:val="0"/>
      <w:tabs>
        <w:tab w:val="left" w:pos="-1080"/>
        <w:tab w:val="left" w:pos="-720"/>
        <w:tab w:val="left" w:pos="0"/>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228" w:lineRule="auto"/>
      <w:ind w:left="720" w:hanging="720"/>
    </w:pPr>
    <w:rPr>
      <w:color w:val="000000"/>
    </w:rPr>
  </w:style>
  <w:style w:type="paragraph" w:styleId="TOC1">
    <w:name w:val="toc 1"/>
    <w:basedOn w:val="Normal"/>
    <w:next w:val="Normal"/>
    <w:autoRedefine/>
    <w:semiHidden/>
    <w:rPr>
      <w:b/>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customStyle="1" w:styleId="Level1">
    <w:name w:val="Level 1"/>
    <w:basedOn w:val="Normal"/>
    <w:pPr>
      <w:widowControl w:val="0"/>
    </w:pPr>
    <w:rPr>
      <w:szCs w:val="20"/>
    </w:rPr>
  </w:style>
  <w:style w:type="paragraph" w:customStyle="1" w:styleId="Level2">
    <w:name w:val="Level 2"/>
    <w:basedOn w:val="Normal"/>
    <w:pPr>
      <w:widowControl w:val="0"/>
    </w:pPr>
    <w:rPr>
      <w:szCs w:val="20"/>
    </w:rPr>
  </w:style>
  <w:style w:type="paragraph" w:styleId="BodyTextIndent">
    <w:name w:val="Body Text Indent"/>
    <w:basedOn w:val="Normal"/>
    <w:pPr>
      <w:spacing w:line="232" w:lineRule="auto"/>
      <w:ind w:left="2160" w:hanging="720"/>
    </w:pPr>
    <w:rPr>
      <w:b/>
    </w:rPr>
  </w:style>
  <w:style w:type="paragraph" w:styleId="BodyTextIndent2">
    <w:name w:val="Body Text Indent 2"/>
    <w:basedOn w:val="Normal"/>
    <w:pPr>
      <w:spacing w:line="232" w:lineRule="auto"/>
      <w:ind w:left="2880" w:hanging="720"/>
    </w:pPr>
    <w:rPr>
      <w:b/>
    </w:r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pPr>
      <w:spacing w:line="233" w:lineRule="auto"/>
      <w:ind w:left="1440" w:hanging="360"/>
    </w:pPr>
    <w:rPr>
      <w:b/>
    </w:rPr>
  </w:style>
  <w:style w:type="character" w:styleId="FollowedHyperlink">
    <w:name w:val="FollowedHyperlink"/>
    <w:rPr>
      <w:color w:val="800080"/>
      <w:u w:val="single"/>
    </w:rPr>
  </w:style>
  <w:style w:type="paragraph" w:styleId="BalloonText">
    <w:name w:val="Balloon Text"/>
    <w:basedOn w:val="Normal"/>
    <w:semiHidden/>
    <w:rsid w:val="0019217B"/>
    <w:rPr>
      <w:rFonts w:ascii="Tahoma" w:hAnsi="Tahoma" w:cs="Tahoma"/>
      <w:sz w:val="16"/>
      <w:szCs w:val="16"/>
    </w:rPr>
  </w:style>
  <w:style w:type="paragraph" w:customStyle="1" w:styleId="CM310">
    <w:name w:val="CM310"/>
    <w:basedOn w:val="Normal"/>
    <w:next w:val="Normal"/>
    <w:rsid w:val="00BF6237"/>
    <w:pPr>
      <w:autoSpaceDE w:val="0"/>
      <w:autoSpaceDN w:val="0"/>
      <w:adjustRightInd w:val="0"/>
      <w:spacing w:after="248"/>
    </w:pPr>
    <w:rPr>
      <w:rFonts w:ascii="IFTYRA+Palatino-Roman" w:hAnsi="IFTYRA+Palatino-Roman"/>
    </w:rPr>
  </w:style>
  <w:style w:type="table" w:styleId="TableGrid">
    <w:name w:val="Table Grid"/>
    <w:basedOn w:val="TableNormal"/>
    <w:uiPriority w:val="59"/>
    <w:rsid w:val="007A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1">
    <w:name w:val="Heading 31"/>
    <w:rsid w:val="00954AB3"/>
    <w:rPr>
      <w:b/>
    </w:rPr>
  </w:style>
  <w:style w:type="character" w:customStyle="1" w:styleId="Footer1">
    <w:name w:val="Footer1"/>
    <w:basedOn w:val="DefaultParagraphFont"/>
    <w:rsid w:val="00954AB3"/>
  </w:style>
  <w:style w:type="paragraph" w:customStyle="1" w:styleId="Level9">
    <w:name w:val="Level 9"/>
    <w:basedOn w:val="Normal"/>
    <w:rsid w:val="00954AB3"/>
    <w:pPr>
      <w:widowControl w:val="0"/>
    </w:pPr>
    <w:rPr>
      <w:b/>
      <w:szCs w:val="20"/>
    </w:rPr>
  </w:style>
  <w:style w:type="paragraph" w:styleId="Title">
    <w:name w:val="Title"/>
    <w:basedOn w:val="Normal"/>
    <w:link w:val="TitleChar"/>
    <w:qFormat/>
    <w:rsid w:val="00954AB3"/>
    <w:pPr>
      <w:jc w:val="center"/>
    </w:pPr>
    <w:rPr>
      <w:b/>
      <w:sz w:val="20"/>
    </w:rPr>
  </w:style>
  <w:style w:type="character" w:customStyle="1" w:styleId="TitleChar">
    <w:name w:val="Title Char"/>
    <w:link w:val="Title"/>
    <w:rsid w:val="00954AB3"/>
    <w:rPr>
      <w:b/>
      <w:szCs w:val="24"/>
    </w:rPr>
  </w:style>
  <w:style w:type="character" w:styleId="Strong">
    <w:name w:val="Strong"/>
    <w:uiPriority w:val="22"/>
    <w:qFormat/>
    <w:rsid w:val="004F66D6"/>
    <w:rPr>
      <w:b/>
      <w:bCs/>
    </w:rPr>
  </w:style>
  <w:style w:type="character" w:customStyle="1" w:styleId="Heading11">
    <w:name w:val="Heading 11"/>
    <w:rsid w:val="007C3B04"/>
    <w:rPr>
      <w:b/>
    </w:rPr>
  </w:style>
  <w:style w:type="paragraph" w:styleId="ListParagraph">
    <w:name w:val="List Paragraph"/>
    <w:basedOn w:val="Normal"/>
    <w:uiPriority w:val="34"/>
    <w:qFormat/>
    <w:rsid w:val="00961B17"/>
    <w:pPr>
      <w:ind w:left="720"/>
    </w:pPr>
  </w:style>
  <w:style w:type="character" w:styleId="CommentReference">
    <w:name w:val="annotation reference"/>
    <w:uiPriority w:val="99"/>
    <w:semiHidden/>
    <w:rsid w:val="00D01DA3"/>
    <w:rPr>
      <w:sz w:val="16"/>
      <w:szCs w:val="16"/>
    </w:rPr>
  </w:style>
  <w:style w:type="paragraph" w:styleId="CommentText">
    <w:name w:val="annotation text"/>
    <w:basedOn w:val="Normal"/>
    <w:link w:val="CommentTextChar"/>
    <w:uiPriority w:val="99"/>
    <w:semiHidden/>
    <w:rsid w:val="00D01DA3"/>
    <w:rPr>
      <w:sz w:val="20"/>
      <w:szCs w:val="20"/>
    </w:rPr>
  </w:style>
  <w:style w:type="paragraph" w:styleId="CommentSubject">
    <w:name w:val="annotation subject"/>
    <w:basedOn w:val="CommentText"/>
    <w:next w:val="CommentText"/>
    <w:semiHidden/>
    <w:rsid w:val="00D01DA3"/>
    <w:rPr>
      <w:b/>
      <w:bCs/>
    </w:rPr>
  </w:style>
  <w:style w:type="character" w:styleId="Emphasis">
    <w:name w:val="Emphasis"/>
    <w:uiPriority w:val="20"/>
    <w:qFormat/>
    <w:rsid w:val="00042834"/>
    <w:rPr>
      <w:i/>
      <w:iCs/>
    </w:rPr>
  </w:style>
  <w:style w:type="paragraph" w:styleId="E-mailSignature">
    <w:name w:val="E-mail Signature"/>
    <w:basedOn w:val="Normal"/>
    <w:link w:val="E-mailSignatureChar"/>
    <w:uiPriority w:val="99"/>
    <w:semiHidden/>
    <w:unhideWhenUsed/>
    <w:rsid w:val="00B36884"/>
    <w:pPr>
      <w:spacing w:before="100" w:beforeAutospacing="1" w:after="100" w:afterAutospacing="1"/>
    </w:pPr>
    <w:rPr>
      <w:rFonts w:eastAsia="Calibri"/>
    </w:rPr>
  </w:style>
  <w:style w:type="character" w:customStyle="1" w:styleId="E-mailSignatureChar">
    <w:name w:val="E-mail Signature Char"/>
    <w:link w:val="E-mailSignature"/>
    <w:uiPriority w:val="99"/>
    <w:semiHidden/>
    <w:rsid w:val="00B36884"/>
    <w:rPr>
      <w:rFonts w:eastAsia="Calibri"/>
      <w:sz w:val="24"/>
      <w:szCs w:val="24"/>
    </w:rPr>
  </w:style>
  <w:style w:type="character" w:customStyle="1" w:styleId="apple-style-span">
    <w:name w:val="apple-style-span"/>
    <w:basedOn w:val="DefaultParagraphFont"/>
    <w:rsid w:val="00B36884"/>
  </w:style>
  <w:style w:type="character" w:customStyle="1" w:styleId="reftitle1">
    <w:name w:val="ref_title1"/>
    <w:rsid w:val="00C81F09"/>
    <w:rPr>
      <w:b/>
      <w:bCs/>
      <w:color w:val="424242"/>
    </w:rPr>
  </w:style>
  <w:style w:type="character" w:customStyle="1" w:styleId="refpub1">
    <w:name w:val="ref_pub1"/>
    <w:rsid w:val="00C81F09"/>
    <w:rPr>
      <w:b w:val="0"/>
      <w:bCs w:val="0"/>
    </w:rPr>
  </w:style>
  <w:style w:type="paragraph" w:customStyle="1" w:styleId="objective">
    <w:name w:val="objective"/>
    <w:basedOn w:val="Normal"/>
    <w:rsid w:val="007D4ACE"/>
    <w:pPr>
      <w:keepNext/>
      <w:spacing w:before="100" w:beforeAutospacing="1" w:after="100" w:afterAutospacing="1" w:line="216" w:lineRule="atLeast"/>
    </w:pPr>
    <w:rPr>
      <w:rFonts w:ascii="Arial" w:hAnsi="Arial" w:cs="Arial"/>
      <w:b/>
      <w:bCs/>
      <w:color w:val="000000"/>
      <w:sz w:val="22"/>
      <w:szCs w:val="22"/>
    </w:rPr>
  </w:style>
  <w:style w:type="character" w:customStyle="1" w:styleId="A0">
    <w:name w:val="A0"/>
    <w:uiPriority w:val="99"/>
    <w:rsid w:val="00ED6E42"/>
    <w:rPr>
      <w:rFonts w:cs="Myriad Pro"/>
      <w:color w:val="000000"/>
      <w:sz w:val="21"/>
      <w:szCs w:val="21"/>
    </w:rPr>
  </w:style>
  <w:style w:type="paragraph" w:styleId="NormalWeb">
    <w:name w:val="Normal (Web)"/>
    <w:basedOn w:val="Normal"/>
    <w:uiPriority w:val="99"/>
    <w:unhideWhenUsed/>
    <w:rsid w:val="00566DED"/>
    <w:pPr>
      <w:spacing w:before="100" w:beforeAutospacing="1" w:after="100" w:afterAutospacing="1"/>
    </w:pPr>
    <w:rPr>
      <w:rFonts w:eastAsia="Calibri"/>
    </w:rPr>
  </w:style>
  <w:style w:type="paragraph" w:styleId="BodyText3">
    <w:name w:val="Body Text 3"/>
    <w:basedOn w:val="Normal"/>
    <w:link w:val="BodyText3Char"/>
    <w:uiPriority w:val="99"/>
    <w:semiHidden/>
    <w:unhideWhenUsed/>
    <w:rsid w:val="007C1D11"/>
    <w:pPr>
      <w:spacing w:after="120"/>
    </w:pPr>
    <w:rPr>
      <w:sz w:val="16"/>
      <w:szCs w:val="16"/>
    </w:rPr>
  </w:style>
  <w:style w:type="character" w:customStyle="1" w:styleId="BodyText3Char">
    <w:name w:val="Body Text 3 Char"/>
    <w:link w:val="BodyText3"/>
    <w:uiPriority w:val="99"/>
    <w:semiHidden/>
    <w:rsid w:val="007C1D11"/>
    <w:rPr>
      <w:sz w:val="16"/>
      <w:szCs w:val="16"/>
    </w:rPr>
  </w:style>
  <w:style w:type="character" w:customStyle="1" w:styleId="Heading2Char">
    <w:name w:val="Heading 2 Char"/>
    <w:link w:val="Heading2"/>
    <w:rsid w:val="004E048D"/>
    <w:rPr>
      <w:b/>
      <w:sz w:val="24"/>
      <w:szCs w:val="24"/>
    </w:rPr>
  </w:style>
  <w:style w:type="character" w:customStyle="1" w:styleId="Heading3Char">
    <w:name w:val="Heading 3 Char"/>
    <w:link w:val="Heading3"/>
    <w:rsid w:val="004E048D"/>
    <w:rPr>
      <w:b/>
      <w:sz w:val="24"/>
      <w:szCs w:val="26"/>
    </w:rPr>
  </w:style>
  <w:style w:type="character" w:customStyle="1" w:styleId="BodyTextChar">
    <w:name w:val="Body Text Char"/>
    <w:link w:val="BodyText"/>
    <w:rsid w:val="004E048D"/>
    <w:rPr>
      <w:sz w:val="24"/>
      <w:szCs w:val="24"/>
    </w:rPr>
  </w:style>
  <w:style w:type="character" w:customStyle="1" w:styleId="Footer11">
    <w:name w:val="Footer11"/>
    <w:basedOn w:val="DefaultParagraphFont"/>
    <w:rsid w:val="004E048D"/>
  </w:style>
  <w:style w:type="paragraph" w:styleId="PlainText">
    <w:name w:val="Plain Text"/>
    <w:basedOn w:val="Normal"/>
    <w:link w:val="PlainTextChar"/>
    <w:uiPriority w:val="99"/>
    <w:semiHidden/>
    <w:unhideWhenUsed/>
    <w:rsid w:val="00033C7F"/>
    <w:rPr>
      <w:rFonts w:ascii="Consolas" w:eastAsia="Calibri" w:hAnsi="Consolas"/>
      <w:sz w:val="21"/>
      <w:szCs w:val="21"/>
    </w:rPr>
  </w:style>
  <w:style w:type="character" w:customStyle="1" w:styleId="PlainTextChar">
    <w:name w:val="Plain Text Char"/>
    <w:link w:val="PlainText"/>
    <w:uiPriority w:val="99"/>
    <w:semiHidden/>
    <w:rsid w:val="00033C7F"/>
    <w:rPr>
      <w:rFonts w:ascii="Consolas" w:eastAsia="Calibri" w:hAnsi="Consolas" w:cs="Times New Roman"/>
      <w:sz w:val="21"/>
      <w:szCs w:val="21"/>
    </w:rPr>
  </w:style>
  <w:style w:type="character" w:customStyle="1" w:styleId="style41">
    <w:name w:val="style41"/>
    <w:rsid w:val="00033C7F"/>
    <w:rPr>
      <w:sz w:val="11"/>
      <w:szCs w:val="11"/>
    </w:rPr>
  </w:style>
  <w:style w:type="paragraph" w:styleId="HTMLPreformatted">
    <w:name w:val="HTML Preformatted"/>
    <w:basedOn w:val="Normal"/>
    <w:link w:val="HTMLPreformattedChar"/>
    <w:uiPriority w:val="99"/>
    <w:semiHidden/>
    <w:unhideWhenUsed/>
    <w:rsid w:val="0086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865150"/>
    <w:rPr>
      <w:rFonts w:ascii="Courier New" w:hAnsi="Courier New" w:cs="Courier New"/>
    </w:rPr>
  </w:style>
  <w:style w:type="paragraph" w:customStyle="1" w:styleId="t11">
    <w:name w:val="t11"/>
    <w:basedOn w:val="Normal"/>
    <w:rsid w:val="00447DF5"/>
    <w:pPr>
      <w:spacing w:before="100" w:beforeAutospacing="1" w:after="100" w:afterAutospacing="1"/>
    </w:pPr>
    <w:rPr>
      <w:b/>
      <w:bCs/>
      <w:color w:val="000000"/>
      <w:sz w:val="20"/>
      <w:szCs w:val="20"/>
    </w:rPr>
  </w:style>
  <w:style w:type="paragraph" w:customStyle="1" w:styleId="a">
    <w:name w:val="列出段落"/>
    <w:basedOn w:val="Normal"/>
    <w:uiPriority w:val="34"/>
    <w:qFormat/>
    <w:rsid w:val="006E2D1E"/>
    <w:pPr>
      <w:ind w:left="720"/>
    </w:pPr>
  </w:style>
  <w:style w:type="paragraph" w:styleId="Revision">
    <w:name w:val="Revision"/>
    <w:hidden/>
    <w:uiPriority w:val="99"/>
    <w:semiHidden/>
    <w:rsid w:val="00D24B75"/>
    <w:rPr>
      <w:sz w:val="24"/>
      <w:szCs w:val="24"/>
    </w:rPr>
  </w:style>
  <w:style w:type="paragraph" w:customStyle="1" w:styleId="CommentText1">
    <w:name w:val="Comment Text1"/>
    <w:rsid w:val="00A223F1"/>
    <w:rPr>
      <w:rFonts w:ascii="Lucida Grande" w:eastAsia="ヒラギノ角ゴ Pro W3" w:hAnsi="Lucida Grande"/>
      <w:color w:val="000000"/>
    </w:rPr>
  </w:style>
  <w:style w:type="character" w:customStyle="1" w:styleId="emphasis1">
    <w:name w:val="emphasis1"/>
    <w:rsid w:val="00FA02E3"/>
    <w:rPr>
      <w:b/>
      <w:bCs/>
    </w:rPr>
  </w:style>
  <w:style w:type="character" w:customStyle="1" w:styleId="reftitle">
    <w:name w:val="ref_title"/>
    <w:rsid w:val="00F77594"/>
  </w:style>
  <w:style w:type="character" w:customStyle="1" w:styleId="CommentTextChar">
    <w:name w:val="Comment Text Char"/>
    <w:basedOn w:val="DefaultParagraphFont"/>
    <w:link w:val="CommentText"/>
    <w:uiPriority w:val="99"/>
    <w:semiHidden/>
    <w:rsid w:val="006460E2"/>
  </w:style>
  <w:style w:type="character" w:customStyle="1" w:styleId="A11">
    <w:name w:val="A11"/>
    <w:uiPriority w:val="99"/>
    <w:rsid w:val="00475EFF"/>
    <w:rPr>
      <w:rFonts w:ascii="Myriad Pro" w:hAnsi="Myriad Pro" w:cs="Myriad Pro"/>
      <w:color w:val="000000"/>
      <w:sz w:val="11"/>
      <w:szCs w:val="11"/>
    </w:rPr>
  </w:style>
  <w:style w:type="character" w:customStyle="1" w:styleId="HeaderChar">
    <w:name w:val="Header Char"/>
    <w:basedOn w:val="DefaultParagraphFont"/>
    <w:link w:val="Header"/>
    <w:uiPriority w:val="99"/>
    <w:rsid w:val="00A60B2B"/>
    <w:rPr>
      <w:sz w:val="24"/>
      <w:szCs w:val="24"/>
    </w:rPr>
  </w:style>
  <w:style w:type="character" w:customStyle="1" w:styleId="doi1">
    <w:name w:val="doi1"/>
    <w:basedOn w:val="DefaultParagraphFont"/>
    <w:rsid w:val="001D6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148">
      <w:bodyDiv w:val="1"/>
      <w:marLeft w:val="0"/>
      <w:marRight w:val="0"/>
      <w:marTop w:val="0"/>
      <w:marBottom w:val="0"/>
      <w:divBdr>
        <w:top w:val="none" w:sz="0" w:space="0" w:color="auto"/>
        <w:left w:val="none" w:sz="0" w:space="0" w:color="auto"/>
        <w:bottom w:val="none" w:sz="0" w:space="0" w:color="auto"/>
        <w:right w:val="none" w:sz="0" w:space="0" w:color="auto"/>
      </w:divBdr>
    </w:div>
    <w:div w:id="18513606">
      <w:bodyDiv w:val="1"/>
      <w:marLeft w:val="0"/>
      <w:marRight w:val="0"/>
      <w:marTop w:val="0"/>
      <w:marBottom w:val="0"/>
      <w:divBdr>
        <w:top w:val="none" w:sz="0" w:space="0" w:color="auto"/>
        <w:left w:val="none" w:sz="0" w:space="0" w:color="auto"/>
        <w:bottom w:val="none" w:sz="0" w:space="0" w:color="auto"/>
        <w:right w:val="none" w:sz="0" w:space="0" w:color="auto"/>
      </w:divBdr>
    </w:div>
    <w:div w:id="71512496">
      <w:bodyDiv w:val="1"/>
      <w:marLeft w:val="0"/>
      <w:marRight w:val="0"/>
      <w:marTop w:val="0"/>
      <w:marBottom w:val="0"/>
      <w:divBdr>
        <w:top w:val="none" w:sz="0" w:space="0" w:color="auto"/>
        <w:left w:val="none" w:sz="0" w:space="0" w:color="auto"/>
        <w:bottom w:val="none" w:sz="0" w:space="0" w:color="auto"/>
        <w:right w:val="none" w:sz="0" w:space="0" w:color="auto"/>
      </w:divBdr>
    </w:div>
    <w:div w:id="111284777">
      <w:bodyDiv w:val="1"/>
      <w:marLeft w:val="0"/>
      <w:marRight w:val="0"/>
      <w:marTop w:val="0"/>
      <w:marBottom w:val="0"/>
      <w:divBdr>
        <w:top w:val="none" w:sz="0" w:space="0" w:color="auto"/>
        <w:left w:val="none" w:sz="0" w:space="0" w:color="auto"/>
        <w:bottom w:val="none" w:sz="0" w:space="0" w:color="auto"/>
        <w:right w:val="none" w:sz="0" w:space="0" w:color="auto"/>
      </w:divBdr>
    </w:div>
    <w:div w:id="129831259">
      <w:bodyDiv w:val="1"/>
      <w:marLeft w:val="0"/>
      <w:marRight w:val="0"/>
      <w:marTop w:val="0"/>
      <w:marBottom w:val="0"/>
      <w:divBdr>
        <w:top w:val="none" w:sz="0" w:space="0" w:color="auto"/>
        <w:left w:val="none" w:sz="0" w:space="0" w:color="auto"/>
        <w:bottom w:val="none" w:sz="0" w:space="0" w:color="auto"/>
        <w:right w:val="none" w:sz="0" w:space="0" w:color="auto"/>
      </w:divBdr>
    </w:div>
    <w:div w:id="130371458">
      <w:bodyDiv w:val="1"/>
      <w:marLeft w:val="0"/>
      <w:marRight w:val="0"/>
      <w:marTop w:val="0"/>
      <w:marBottom w:val="0"/>
      <w:divBdr>
        <w:top w:val="none" w:sz="0" w:space="0" w:color="auto"/>
        <w:left w:val="none" w:sz="0" w:space="0" w:color="auto"/>
        <w:bottom w:val="none" w:sz="0" w:space="0" w:color="auto"/>
        <w:right w:val="none" w:sz="0" w:space="0" w:color="auto"/>
      </w:divBdr>
    </w:div>
    <w:div w:id="173541607">
      <w:bodyDiv w:val="1"/>
      <w:marLeft w:val="0"/>
      <w:marRight w:val="0"/>
      <w:marTop w:val="0"/>
      <w:marBottom w:val="0"/>
      <w:divBdr>
        <w:top w:val="none" w:sz="0" w:space="0" w:color="auto"/>
        <w:left w:val="none" w:sz="0" w:space="0" w:color="auto"/>
        <w:bottom w:val="none" w:sz="0" w:space="0" w:color="auto"/>
        <w:right w:val="none" w:sz="0" w:space="0" w:color="auto"/>
      </w:divBdr>
    </w:div>
    <w:div w:id="195045947">
      <w:bodyDiv w:val="1"/>
      <w:marLeft w:val="0"/>
      <w:marRight w:val="0"/>
      <w:marTop w:val="0"/>
      <w:marBottom w:val="0"/>
      <w:divBdr>
        <w:top w:val="none" w:sz="0" w:space="0" w:color="auto"/>
        <w:left w:val="none" w:sz="0" w:space="0" w:color="auto"/>
        <w:bottom w:val="none" w:sz="0" w:space="0" w:color="auto"/>
        <w:right w:val="none" w:sz="0" w:space="0" w:color="auto"/>
      </w:divBdr>
    </w:div>
    <w:div w:id="217740898">
      <w:bodyDiv w:val="1"/>
      <w:marLeft w:val="0"/>
      <w:marRight w:val="0"/>
      <w:marTop w:val="0"/>
      <w:marBottom w:val="0"/>
      <w:divBdr>
        <w:top w:val="none" w:sz="0" w:space="0" w:color="auto"/>
        <w:left w:val="none" w:sz="0" w:space="0" w:color="auto"/>
        <w:bottom w:val="none" w:sz="0" w:space="0" w:color="auto"/>
        <w:right w:val="none" w:sz="0" w:space="0" w:color="auto"/>
      </w:divBdr>
    </w:div>
    <w:div w:id="298459930">
      <w:bodyDiv w:val="1"/>
      <w:marLeft w:val="0"/>
      <w:marRight w:val="0"/>
      <w:marTop w:val="0"/>
      <w:marBottom w:val="0"/>
      <w:divBdr>
        <w:top w:val="none" w:sz="0" w:space="0" w:color="auto"/>
        <w:left w:val="none" w:sz="0" w:space="0" w:color="auto"/>
        <w:bottom w:val="none" w:sz="0" w:space="0" w:color="auto"/>
        <w:right w:val="none" w:sz="0" w:space="0" w:color="auto"/>
      </w:divBdr>
    </w:div>
    <w:div w:id="370611124">
      <w:bodyDiv w:val="1"/>
      <w:marLeft w:val="0"/>
      <w:marRight w:val="0"/>
      <w:marTop w:val="0"/>
      <w:marBottom w:val="0"/>
      <w:divBdr>
        <w:top w:val="none" w:sz="0" w:space="0" w:color="auto"/>
        <w:left w:val="none" w:sz="0" w:space="0" w:color="auto"/>
        <w:bottom w:val="none" w:sz="0" w:space="0" w:color="auto"/>
        <w:right w:val="none" w:sz="0" w:space="0" w:color="auto"/>
      </w:divBdr>
    </w:div>
    <w:div w:id="382145998">
      <w:bodyDiv w:val="1"/>
      <w:marLeft w:val="0"/>
      <w:marRight w:val="0"/>
      <w:marTop w:val="0"/>
      <w:marBottom w:val="0"/>
      <w:divBdr>
        <w:top w:val="none" w:sz="0" w:space="0" w:color="auto"/>
        <w:left w:val="none" w:sz="0" w:space="0" w:color="auto"/>
        <w:bottom w:val="none" w:sz="0" w:space="0" w:color="auto"/>
        <w:right w:val="none" w:sz="0" w:space="0" w:color="auto"/>
      </w:divBdr>
    </w:div>
    <w:div w:id="423691978">
      <w:bodyDiv w:val="1"/>
      <w:marLeft w:val="0"/>
      <w:marRight w:val="0"/>
      <w:marTop w:val="0"/>
      <w:marBottom w:val="0"/>
      <w:divBdr>
        <w:top w:val="none" w:sz="0" w:space="0" w:color="auto"/>
        <w:left w:val="none" w:sz="0" w:space="0" w:color="auto"/>
        <w:bottom w:val="none" w:sz="0" w:space="0" w:color="auto"/>
        <w:right w:val="none" w:sz="0" w:space="0" w:color="auto"/>
      </w:divBdr>
    </w:div>
    <w:div w:id="423838706">
      <w:bodyDiv w:val="1"/>
      <w:marLeft w:val="0"/>
      <w:marRight w:val="0"/>
      <w:marTop w:val="0"/>
      <w:marBottom w:val="0"/>
      <w:divBdr>
        <w:top w:val="none" w:sz="0" w:space="0" w:color="auto"/>
        <w:left w:val="none" w:sz="0" w:space="0" w:color="auto"/>
        <w:bottom w:val="none" w:sz="0" w:space="0" w:color="auto"/>
        <w:right w:val="none" w:sz="0" w:space="0" w:color="auto"/>
      </w:divBdr>
    </w:div>
    <w:div w:id="491532032">
      <w:bodyDiv w:val="1"/>
      <w:marLeft w:val="0"/>
      <w:marRight w:val="0"/>
      <w:marTop w:val="0"/>
      <w:marBottom w:val="0"/>
      <w:divBdr>
        <w:top w:val="none" w:sz="0" w:space="0" w:color="auto"/>
        <w:left w:val="none" w:sz="0" w:space="0" w:color="auto"/>
        <w:bottom w:val="none" w:sz="0" w:space="0" w:color="auto"/>
        <w:right w:val="none" w:sz="0" w:space="0" w:color="auto"/>
      </w:divBdr>
    </w:div>
    <w:div w:id="502012066">
      <w:bodyDiv w:val="1"/>
      <w:marLeft w:val="0"/>
      <w:marRight w:val="0"/>
      <w:marTop w:val="0"/>
      <w:marBottom w:val="0"/>
      <w:divBdr>
        <w:top w:val="none" w:sz="0" w:space="0" w:color="auto"/>
        <w:left w:val="none" w:sz="0" w:space="0" w:color="auto"/>
        <w:bottom w:val="none" w:sz="0" w:space="0" w:color="auto"/>
        <w:right w:val="none" w:sz="0" w:space="0" w:color="auto"/>
      </w:divBdr>
      <w:divsChild>
        <w:div w:id="1314987538">
          <w:marLeft w:val="0"/>
          <w:marRight w:val="0"/>
          <w:marTop w:val="0"/>
          <w:marBottom w:val="0"/>
          <w:divBdr>
            <w:top w:val="none" w:sz="0" w:space="0" w:color="auto"/>
            <w:left w:val="none" w:sz="0" w:space="0" w:color="auto"/>
            <w:bottom w:val="none" w:sz="0" w:space="0" w:color="auto"/>
            <w:right w:val="none" w:sz="0" w:space="0" w:color="auto"/>
          </w:divBdr>
          <w:divsChild>
            <w:div w:id="1616325006">
              <w:marLeft w:val="0"/>
              <w:marRight w:val="0"/>
              <w:marTop w:val="0"/>
              <w:marBottom w:val="0"/>
              <w:divBdr>
                <w:top w:val="none" w:sz="0" w:space="0" w:color="auto"/>
                <w:left w:val="none" w:sz="0" w:space="0" w:color="auto"/>
                <w:bottom w:val="none" w:sz="0" w:space="0" w:color="auto"/>
                <w:right w:val="none" w:sz="0" w:space="0" w:color="auto"/>
              </w:divBdr>
              <w:divsChild>
                <w:div w:id="606275887">
                  <w:marLeft w:val="0"/>
                  <w:marRight w:val="0"/>
                  <w:marTop w:val="0"/>
                  <w:marBottom w:val="0"/>
                  <w:divBdr>
                    <w:top w:val="none" w:sz="0" w:space="0" w:color="auto"/>
                    <w:left w:val="none" w:sz="0" w:space="0" w:color="auto"/>
                    <w:bottom w:val="none" w:sz="0" w:space="0" w:color="auto"/>
                    <w:right w:val="none" w:sz="0" w:space="0" w:color="auto"/>
                  </w:divBdr>
                  <w:divsChild>
                    <w:div w:id="1883856677">
                      <w:marLeft w:val="0"/>
                      <w:marRight w:val="0"/>
                      <w:marTop w:val="0"/>
                      <w:marBottom w:val="0"/>
                      <w:divBdr>
                        <w:top w:val="none" w:sz="0" w:space="0" w:color="auto"/>
                        <w:left w:val="none" w:sz="0" w:space="0" w:color="auto"/>
                        <w:bottom w:val="none" w:sz="0" w:space="0" w:color="auto"/>
                        <w:right w:val="none" w:sz="0" w:space="0" w:color="auto"/>
                      </w:divBdr>
                      <w:divsChild>
                        <w:div w:id="1646399188">
                          <w:marLeft w:val="0"/>
                          <w:marRight w:val="0"/>
                          <w:marTop w:val="0"/>
                          <w:marBottom w:val="0"/>
                          <w:divBdr>
                            <w:top w:val="none" w:sz="0" w:space="0" w:color="auto"/>
                            <w:left w:val="none" w:sz="0" w:space="0" w:color="auto"/>
                            <w:bottom w:val="none" w:sz="0" w:space="0" w:color="auto"/>
                            <w:right w:val="none" w:sz="0" w:space="0" w:color="auto"/>
                          </w:divBdr>
                          <w:divsChild>
                            <w:div w:id="749347291">
                              <w:marLeft w:val="0"/>
                              <w:marRight w:val="0"/>
                              <w:marTop w:val="0"/>
                              <w:marBottom w:val="0"/>
                              <w:divBdr>
                                <w:top w:val="none" w:sz="0" w:space="0" w:color="auto"/>
                                <w:left w:val="none" w:sz="0" w:space="0" w:color="auto"/>
                                <w:bottom w:val="none" w:sz="0" w:space="0" w:color="auto"/>
                                <w:right w:val="none" w:sz="0" w:space="0" w:color="auto"/>
                              </w:divBdr>
                              <w:divsChild>
                                <w:div w:id="190150912">
                                  <w:marLeft w:val="0"/>
                                  <w:marRight w:val="0"/>
                                  <w:marTop w:val="0"/>
                                  <w:marBottom w:val="0"/>
                                  <w:divBdr>
                                    <w:top w:val="none" w:sz="0" w:space="0" w:color="auto"/>
                                    <w:left w:val="none" w:sz="0" w:space="0" w:color="auto"/>
                                    <w:bottom w:val="none" w:sz="0" w:space="0" w:color="auto"/>
                                    <w:right w:val="none" w:sz="0" w:space="0" w:color="auto"/>
                                  </w:divBdr>
                                </w:div>
                                <w:div w:id="15683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463230">
      <w:bodyDiv w:val="1"/>
      <w:marLeft w:val="0"/>
      <w:marRight w:val="0"/>
      <w:marTop w:val="0"/>
      <w:marBottom w:val="0"/>
      <w:divBdr>
        <w:top w:val="none" w:sz="0" w:space="0" w:color="auto"/>
        <w:left w:val="none" w:sz="0" w:space="0" w:color="auto"/>
        <w:bottom w:val="none" w:sz="0" w:space="0" w:color="auto"/>
        <w:right w:val="none" w:sz="0" w:space="0" w:color="auto"/>
      </w:divBdr>
    </w:div>
    <w:div w:id="522288263">
      <w:bodyDiv w:val="1"/>
      <w:marLeft w:val="0"/>
      <w:marRight w:val="0"/>
      <w:marTop w:val="0"/>
      <w:marBottom w:val="0"/>
      <w:divBdr>
        <w:top w:val="none" w:sz="0" w:space="0" w:color="auto"/>
        <w:left w:val="none" w:sz="0" w:space="0" w:color="auto"/>
        <w:bottom w:val="none" w:sz="0" w:space="0" w:color="auto"/>
        <w:right w:val="none" w:sz="0" w:space="0" w:color="auto"/>
      </w:divBdr>
    </w:div>
    <w:div w:id="626856632">
      <w:bodyDiv w:val="1"/>
      <w:marLeft w:val="0"/>
      <w:marRight w:val="0"/>
      <w:marTop w:val="0"/>
      <w:marBottom w:val="0"/>
      <w:divBdr>
        <w:top w:val="none" w:sz="0" w:space="0" w:color="auto"/>
        <w:left w:val="none" w:sz="0" w:space="0" w:color="auto"/>
        <w:bottom w:val="none" w:sz="0" w:space="0" w:color="auto"/>
        <w:right w:val="none" w:sz="0" w:space="0" w:color="auto"/>
      </w:divBdr>
    </w:div>
    <w:div w:id="640506070">
      <w:bodyDiv w:val="1"/>
      <w:marLeft w:val="0"/>
      <w:marRight w:val="0"/>
      <w:marTop w:val="0"/>
      <w:marBottom w:val="0"/>
      <w:divBdr>
        <w:top w:val="none" w:sz="0" w:space="0" w:color="auto"/>
        <w:left w:val="none" w:sz="0" w:space="0" w:color="auto"/>
        <w:bottom w:val="none" w:sz="0" w:space="0" w:color="auto"/>
        <w:right w:val="none" w:sz="0" w:space="0" w:color="auto"/>
      </w:divBdr>
      <w:divsChild>
        <w:div w:id="293025932">
          <w:marLeft w:val="0"/>
          <w:marRight w:val="0"/>
          <w:marTop w:val="0"/>
          <w:marBottom w:val="0"/>
          <w:divBdr>
            <w:top w:val="none" w:sz="0" w:space="0" w:color="auto"/>
            <w:left w:val="none" w:sz="0" w:space="0" w:color="auto"/>
            <w:bottom w:val="none" w:sz="0" w:space="0" w:color="auto"/>
            <w:right w:val="none" w:sz="0" w:space="0" w:color="auto"/>
          </w:divBdr>
        </w:div>
        <w:div w:id="328562834">
          <w:marLeft w:val="0"/>
          <w:marRight w:val="0"/>
          <w:marTop w:val="0"/>
          <w:marBottom w:val="0"/>
          <w:divBdr>
            <w:top w:val="none" w:sz="0" w:space="0" w:color="auto"/>
            <w:left w:val="none" w:sz="0" w:space="0" w:color="auto"/>
            <w:bottom w:val="none" w:sz="0" w:space="0" w:color="auto"/>
            <w:right w:val="none" w:sz="0" w:space="0" w:color="auto"/>
          </w:divBdr>
        </w:div>
        <w:div w:id="461965966">
          <w:marLeft w:val="0"/>
          <w:marRight w:val="0"/>
          <w:marTop w:val="0"/>
          <w:marBottom w:val="0"/>
          <w:divBdr>
            <w:top w:val="none" w:sz="0" w:space="0" w:color="auto"/>
            <w:left w:val="none" w:sz="0" w:space="0" w:color="auto"/>
            <w:bottom w:val="none" w:sz="0" w:space="0" w:color="auto"/>
            <w:right w:val="none" w:sz="0" w:space="0" w:color="auto"/>
          </w:divBdr>
        </w:div>
        <w:div w:id="709836925">
          <w:marLeft w:val="0"/>
          <w:marRight w:val="0"/>
          <w:marTop w:val="0"/>
          <w:marBottom w:val="0"/>
          <w:divBdr>
            <w:top w:val="none" w:sz="0" w:space="0" w:color="auto"/>
            <w:left w:val="none" w:sz="0" w:space="0" w:color="auto"/>
            <w:bottom w:val="none" w:sz="0" w:space="0" w:color="auto"/>
            <w:right w:val="none" w:sz="0" w:space="0" w:color="auto"/>
          </w:divBdr>
        </w:div>
        <w:div w:id="899557575">
          <w:marLeft w:val="0"/>
          <w:marRight w:val="0"/>
          <w:marTop w:val="0"/>
          <w:marBottom w:val="0"/>
          <w:divBdr>
            <w:top w:val="none" w:sz="0" w:space="0" w:color="auto"/>
            <w:left w:val="none" w:sz="0" w:space="0" w:color="auto"/>
            <w:bottom w:val="none" w:sz="0" w:space="0" w:color="auto"/>
            <w:right w:val="none" w:sz="0" w:space="0" w:color="auto"/>
          </w:divBdr>
        </w:div>
        <w:div w:id="1637831386">
          <w:marLeft w:val="0"/>
          <w:marRight w:val="0"/>
          <w:marTop w:val="0"/>
          <w:marBottom w:val="0"/>
          <w:divBdr>
            <w:top w:val="none" w:sz="0" w:space="0" w:color="auto"/>
            <w:left w:val="none" w:sz="0" w:space="0" w:color="auto"/>
            <w:bottom w:val="none" w:sz="0" w:space="0" w:color="auto"/>
            <w:right w:val="none" w:sz="0" w:space="0" w:color="auto"/>
          </w:divBdr>
        </w:div>
        <w:div w:id="1815172016">
          <w:marLeft w:val="0"/>
          <w:marRight w:val="0"/>
          <w:marTop w:val="0"/>
          <w:marBottom w:val="0"/>
          <w:divBdr>
            <w:top w:val="none" w:sz="0" w:space="0" w:color="auto"/>
            <w:left w:val="none" w:sz="0" w:space="0" w:color="auto"/>
            <w:bottom w:val="none" w:sz="0" w:space="0" w:color="auto"/>
            <w:right w:val="none" w:sz="0" w:space="0" w:color="auto"/>
          </w:divBdr>
        </w:div>
        <w:div w:id="2005234603">
          <w:marLeft w:val="0"/>
          <w:marRight w:val="0"/>
          <w:marTop w:val="0"/>
          <w:marBottom w:val="0"/>
          <w:divBdr>
            <w:top w:val="none" w:sz="0" w:space="0" w:color="auto"/>
            <w:left w:val="none" w:sz="0" w:space="0" w:color="auto"/>
            <w:bottom w:val="none" w:sz="0" w:space="0" w:color="auto"/>
            <w:right w:val="none" w:sz="0" w:space="0" w:color="auto"/>
          </w:divBdr>
        </w:div>
      </w:divsChild>
    </w:div>
    <w:div w:id="668144272">
      <w:bodyDiv w:val="1"/>
      <w:marLeft w:val="0"/>
      <w:marRight w:val="0"/>
      <w:marTop w:val="0"/>
      <w:marBottom w:val="0"/>
      <w:divBdr>
        <w:top w:val="none" w:sz="0" w:space="0" w:color="auto"/>
        <w:left w:val="none" w:sz="0" w:space="0" w:color="auto"/>
        <w:bottom w:val="none" w:sz="0" w:space="0" w:color="auto"/>
        <w:right w:val="none" w:sz="0" w:space="0" w:color="auto"/>
      </w:divBdr>
    </w:div>
    <w:div w:id="690372278">
      <w:bodyDiv w:val="1"/>
      <w:marLeft w:val="0"/>
      <w:marRight w:val="0"/>
      <w:marTop w:val="0"/>
      <w:marBottom w:val="0"/>
      <w:divBdr>
        <w:top w:val="none" w:sz="0" w:space="0" w:color="auto"/>
        <w:left w:val="none" w:sz="0" w:space="0" w:color="auto"/>
        <w:bottom w:val="none" w:sz="0" w:space="0" w:color="auto"/>
        <w:right w:val="none" w:sz="0" w:space="0" w:color="auto"/>
      </w:divBdr>
    </w:div>
    <w:div w:id="737944372">
      <w:bodyDiv w:val="1"/>
      <w:marLeft w:val="0"/>
      <w:marRight w:val="0"/>
      <w:marTop w:val="0"/>
      <w:marBottom w:val="0"/>
      <w:divBdr>
        <w:top w:val="none" w:sz="0" w:space="0" w:color="auto"/>
        <w:left w:val="none" w:sz="0" w:space="0" w:color="auto"/>
        <w:bottom w:val="none" w:sz="0" w:space="0" w:color="auto"/>
        <w:right w:val="none" w:sz="0" w:space="0" w:color="auto"/>
      </w:divBdr>
    </w:div>
    <w:div w:id="742602652">
      <w:bodyDiv w:val="1"/>
      <w:marLeft w:val="0"/>
      <w:marRight w:val="0"/>
      <w:marTop w:val="0"/>
      <w:marBottom w:val="0"/>
      <w:divBdr>
        <w:top w:val="none" w:sz="0" w:space="0" w:color="auto"/>
        <w:left w:val="none" w:sz="0" w:space="0" w:color="auto"/>
        <w:bottom w:val="none" w:sz="0" w:space="0" w:color="auto"/>
        <w:right w:val="none" w:sz="0" w:space="0" w:color="auto"/>
      </w:divBdr>
    </w:div>
    <w:div w:id="797072413">
      <w:bodyDiv w:val="1"/>
      <w:marLeft w:val="0"/>
      <w:marRight w:val="0"/>
      <w:marTop w:val="0"/>
      <w:marBottom w:val="0"/>
      <w:divBdr>
        <w:top w:val="none" w:sz="0" w:space="0" w:color="auto"/>
        <w:left w:val="none" w:sz="0" w:space="0" w:color="auto"/>
        <w:bottom w:val="none" w:sz="0" w:space="0" w:color="auto"/>
        <w:right w:val="none" w:sz="0" w:space="0" w:color="auto"/>
      </w:divBdr>
      <w:divsChild>
        <w:div w:id="60180960">
          <w:marLeft w:val="0"/>
          <w:marRight w:val="0"/>
          <w:marTop w:val="0"/>
          <w:marBottom w:val="0"/>
          <w:divBdr>
            <w:top w:val="none" w:sz="0" w:space="0" w:color="auto"/>
            <w:left w:val="none" w:sz="0" w:space="0" w:color="auto"/>
            <w:bottom w:val="none" w:sz="0" w:space="0" w:color="auto"/>
            <w:right w:val="none" w:sz="0" w:space="0" w:color="auto"/>
          </w:divBdr>
          <w:divsChild>
            <w:div w:id="2106223196">
              <w:marLeft w:val="0"/>
              <w:marRight w:val="0"/>
              <w:marTop w:val="0"/>
              <w:marBottom w:val="0"/>
              <w:divBdr>
                <w:top w:val="none" w:sz="0" w:space="0" w:color="auto"/>
                <w:left w:val="none" w:sz="0" w:space="0" w:color="auto"/>
                <w:bottom w:val="none" w:sz="0" w:space="0" w:color="auto"/>
                <w:right w:val="none" w:sz="0" w:space="0" w:color="auto"/>
              </w:divBdr>
              <w:divsChild>
                <w:div w:id="1642033730">
                  <w:marLeft w:val="0"/>
                  <w:marRight w:val="0"/>
                  <w:marTop w:val="150"/>
                  <w:marBottom w:val="0"/>
                  <w:divBdr>
                    <w:top w:val="none" w:sz="0" w:space="0" w:color="auto"/>
                    <w:left w:val="none" w:sz="0" w:space="0" w:color="auto"/>
                    <w:bottom w:val="none" w:sz="0" w:space="0" w:color="auto"/>
                    <w:right w:val="none" w:sz="0" w:space="0" w:color="auto"/>
                  </w:divBdr>
                  <w:divsChild>
                    <w:div w:id="1155222189">
                      <w:marLeft w:val="-150"/>
                      <w:marRight w:val="0"/>
                      <w:marTop w:val="0"/>
                      <w:marBottom w:val="0"/>
                      <w:divBdr>
                        <w:top w:val="none" w:sz="0" w:space="0" w:color="auto"/>
                        <w:left w:val="none" w:sz="0" w:space="0" w:color="auto"/>
                        <w:bottom w:val="none" w:sz="0" w:space="0" w:color="auto"/>
                        <w:right w:val="none" w:sz="0" w:space="0" w:color="auto"/>
                      </w:divBdr>
                      <w:divsChild>
                        <w:div w:id="1790276775">
                          <w:marLeft w:val="0"/>
                          <w:marRight w:val="0"/>
                          <w:marTop w:val="0"/>
                          <w:marBottom w:val="0"/>
                          <w:divBdr>
                            <w:top w:val="none" w:sz="0" w:space="0" w:color="auto"/>
                            <w:left w:val="none" w:sz="0" w:space="0" w:color="auto"/>
                            <w:bottom w:val="none" w:sz="0" w:space="0" w:color="auto"/>
                            <w:right w:val="none" w:sz="0" w:space="0" w:color="auto"/>
                          </w:divBdr>
                          <w:divsChild>
                            <w:div w:id="460466945">
                              <w:marLeft w:val="0"/>
                              <w:marRight w:val="0"/>
                              <w:marTop w:val="0"/>
                              <w:marBottom w:val="0"/>
                              <w:divBdr>
                                <w:top w:val="none" w:sz="0" w:space="0" w:color="auto"/>
                                <w:left w:val="none" w:sz="0" w:space="0" w:color="auto"/>
                                <w:bottom w:val="none" w:sz="0" w:space="0" w:color="auto"/>
                                <w:right w:val="none" w:sz="0" w:space="0" w:color="auto"/>
                              </w:divBdr>
                              <w:divsChild>
                                <w:div w:id="798915737">
                                  <w:marLeft w:val="0"/>
                                  <w:marRight w:val="0"/>
                                  <w:marTop w:val="0"/>
                                  <w:marBottom w:val="0"/>
                                  <w:divBdr>
                                    <w:top w:val="none" w:sz="0" w:space="0" w:color="auto"/>
                                    <w:left w:val="none" w:sz="0" w:space="0" w:color="auto"/>
                                    <w:bottom w:val="none" w:sz="0" w:space="0" w:color="auto"/>
                                    <w:right w:val="none" w:sz="0" w:space="0" w:color="auto"/>
                                  </w:divBdr>
                                  <w:divsChild>
                                    <w:div w:id="2014721449">
                                      <w:marLeft w:val="0"/>
                                      <w:marRight w:val="0"/>
                                      <w:marTop w:val="0"/>
                                      <w:marBottom w:val="0"/>
                                      <w:divBdr>
                                        <w:top w:val="none" w:sz="0" w:space="0" w:color="auto"/>
                                        <w:left w:val="none" w:sz="0" w:space="0" w:color="auto"/>
                                        <w:bottom w:val="none" w:sz="0" w:space="0" w:color="auto"/>
                                        <w:right w:val="none" w:sz="0" w:space="0" w:color="auto"/>
                                      </w:divBdr>
                                      <w:divsChild>
                                        <w:div w:id="1292789890">
                                          <w:marLeft w:val="-150"/>
                                          <w:marRight w:val="0"/>
                                          <w:marTop w:val="0"/>
                                          <w:marBottom w:val="0"/>
                                          <w:divBdr>
                                            <w:top w:val="none" w:sz="0" w:space="0" w:color="auto"/>
                                            <w:left w:val="none" w:sz="0" w:space="0" w:color="auto"/>
                                            <w:bottom w:val="none" w:sz="0" w:space="0" w:color="auto"/>
                                            <w:right w:val="none" w:sz="0" w:space="0" w:color="auto"/>
                                          </w:divBdr>
                                          <w:divsChild>
                                            <w:div w:id="386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636038">
      <w:bodyDiv w:val="1"/>
      <w:marLeft w:val="0"/>
      <w:marRight w:val="0"/>
      <w:marTop w:val="0"/>
      <w:marBottom w:val="0"/>
      <w:divBdr>
        <w:top w:val="none" w:sz="0" w:space="0" w:color="auto"/>
        <w:left w:val="none" w:sz="0" w:space="0" w:color="auto"/>
        <w:bottom w:val="none" w:sz="0" w:space="0" w:color="auto"/>
        <w:right w:val="none" w:sz="0" w:space="0" w:color="auto"/>
      </w:divBdr>
      <w:divsChild>
        <w:div w:id="165170783">
          <w:marLeft w:val="0"/>
          <w:marRight w:val="0"/>
          <w:marTop w:val="0"/>
          <w:marBottom w:val="0"/>
          <w:divBdr>
            <w:top w:val="none" w:sz="0" w:space="0" w:color="auto"/>
            <w:left w:val="none" w:sz="0" w:space="0" w:color="auto"/>
            <w:bottom w:val="none" w:sz="0" w:space="0" w:color="auto"/>
            <w:right w:val="none" w:sz="0" w:space="0" w:color="auto"/>
          </w:divBdr>
          <w:divsChild>
            <w:div w:id="1985042640">
              <w:marLeft w:val="0"/>
              <w:marRight w:val="0"/>
              <w:marTop w:val="0"/>
              <w:marBottom w:val="0"/>
              <w:divBdr>
                <w:top w:val="none" w:sz="0" w:space="0" w:color="auto"/>
                <w:left w:val="none" w:sz="0" w:space="0" w:color="auto"/>
                <w:bottom w:val="none" w:sz="0" w:space="0" w:color="auto"/>
                <w:right w:val="none" w:sz="0" w:space="0" w:color="auto"/>
              </w:divBdr>
            </w:div>
            <w:div w:id="1267352561">
              <w:marLeft w:val="0"/>
              <w:marRight w:val="0"/>
              <w:marTop w:val="0"/>
              <w:marBottom w:val="0"/>
              <w:divBdr>
                <w:top w:val="none" w:sz="0" w:space="0" w:color="auto"/>
                <w:left w:val="none" w:sz="0" w:space="0" w:color="auto"/>
                <w:bottom w:val="none" w:sz="0" w:space="0" w:color="auto"/>
                <w:right w:val="none" w:sz="0" w:space="0" w:color="auto"/>
              </w:divBdr>
            </w:div>
            <w:div w:id="4906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6602">
      <w:bodyDiv w:val="1"/>
      <w:marLeft w:val="0"/>
      <w:marRight w:val="0"/>
      <w:marTop w:val="0"/>
      <w:marBottom w:val="0"/>
      <w:divBdr>
        <w:top w:val="none" w:sz="0" w:space="0" w:color="auto"/>
        <w:left w:val="none" w:sz="0" w:space="0" w:color="auto"/>
        <w:bottom w:val="none" w:sz="0" w:space="0" w:color="auto"/>
        <w:right w:val="none" w:sz="0" w:space="0" w:color="auto"/>
      </w:divBdr>
    </w:div>
    <w:div w:id="870609629">
      <w:bodyDiv w:val="1"/>
      <w:marLeft w:val="0"/>
      <w:marRight w:val="0"/>
      <w:marTop w:val="0"/>
      <w:marBottom w:val="0"/>
      <w:divBdr>
        <w:top w:val="none" w:sz="0" w:space="0" w:color="auto"/>
        <w:left w:val="none" w:sz="0" w:space="0" w:color="auto"/>
        <w:bottom w:val="none" w:sz="0" w:space="0" w:color="auto"/>
        <w:right w:val="none" w:sz="0" w:space="0" w:color="auto"/>
      </w:divBdr>
      <w:divsChild>
        <w:div w:id="369886697">
          <w:marLeft w:val="0"/>
          <w:marRight w:val="0"/>
          <w:marTop w:val="0"/>
          <w:marBottom w:val="0"/>
          <w:divBdr>
            <w:top w:val="none" w:sz="0" w:space="0" w:color="auto"/>
            <w:left w:val="none" w:sz="0" w:space="0" w:color="auto"/>
            <w:bottom w:val="none" w:sz="0" w:space="0" w:color="auto"/>
            <w:right w:val="none" w:sz="0" w:space="0" w:color="auto"/>
          </w:divBdr>
        </w:div>
        <w:div w:id="1091852693">
          <w:marLeft w:val="0"/>
          <w:marRight w:val="0"/>
          <w:marTop w:val="0"/>
          <w:marBottom w:val="0"/>
          <w:divBdr>
            <w:top w:val="none" w:sz="0" w:space="0" w:color="auto"/>
            <w:left w:val="none" w:sz="0" w:space="0" w:color="auto"/>
            <w:bottom w:val="none" w:sz="0" w:space="0" w:color="auto"/>
            <w:right w:val="none" w:sz="0" w:space="0" w:color="auto"/>
          </w:divBdr>
        </w:div>
        <w:div w:id="1150908154">
          <w:marLeft w:val="0"/>
          <w:marRight w:val="0"/>
          <w:marTop w:val="0"/>
          <w:marBottom w:val="0"/>
          <w:divBdr>
            <w:top w:val="none" w:sz="0" w:space="0" w:color="auto"/>
            <w:left w:val="none" w:sz="0" w:space="0" w:color="auto"/>
            <w:bottom w:val="none" w:sz="0" w:space="0" w:color="auto"/>
            <w:right w:val="none" w:sz="0" w:space="0" w:color="auto"/>
          </w:divBdr>
        </w:div>
        <w:div w:id="1276711171">
          <w:marLeft w:val="0"/>
          <w:marRight w:val="0"/>
          <w:marTop w:val="0"/>
          <w:marBottom w:val="0"/>
          <w:divBdr>
            <w:top w:val="none" w:sz="0" w:space="0" w:color="auto"/>
            <w:left w:val="none" w:sz="0" w:space="0" w:color="auto"/>
            <w:bottom w:val="none" w:sz="0" w:space="0" w:color="auto"/>
            <w:right w:val="none" w:sz="0" w:space="0" w:color="auto"/>
          </w:divBdr>
        </w:div>
        <w:div w:id="1472870121">
          <w:marLeft w:val="0"/>
          <w:marRight w:val="0"/>
          <w:marTop w:val="0"/>
          <w:marBottom w:val="0"/>
          <w:divBdr>
            <w:top w:val="none" w:sz="0" w:space="0" w:color="auto"/>
            <w:left w:val="none" w:sz="0" w:space="0" w:color="auto"/>
            <w:bottom w:val="none" w:sz="0" w:space="0" w:color="auto"/>
            <w:right w:val="none" w:sz="0" w:space="0" w:color="auto"/>
          </w:divBdr>
        </w:div>
        <w:div w:id="1659769326">
          <w:marLeft w:val="0"/>
          <w:marRight w:val="0"/>
          <w:marTop w:val="0"/>
          <w:marBottom w:val="0"/>
          <w:divBdr>
            <w:top w:val="none" w:sz="0" w:space="0" w:color="auto"/>
            <w:left w:val="none" w:sz="0" w:space="0" w:color="auto"/>
            <w:bottom w:val="none" w:sz="0" w:space="0" w:color="auto"/>
            <w:right w:val="none" w:sz="0" w:space="0" w:color="auto"/>
          </w:divBdr>
        </w:div>
        <w:div w:id="1892420697">
          <w:marLeft w:val="0"/>
          <w:marRight w:val="0"/>
          <w:marTop w:val="0"/>
          <w:marBottom w:val="0"/>
          <w:divBdr>
            <w:top w:val="none" w:sz="0" w:space="0" w:color="auto"/>
            <w:left w:val="none" w:sz="0" w:space="0" w:color="auto"/>
            <w:bottom w:val="none" w:sz="0" w:space="0" w:color="auto"/>
            <w:right w:val="none" w:sz="0" w:space="0" w:color="auto"/>
          </w:divBdr>
        </w:div>
        <w:div w:id="1901549513">
          <w:marLeft w:val="0"/>
          <w:marRight w:val="0"/>
          <w:marTop w:val="0"/>
          <w:marBottom w:val="0"/>
          <w:divBdr>
            <w:top w:val="none" w:sz="0" w:space="0" w:color="auto"/>
            <w:left w:val="none" w:sz="0" w:space="0" w:color="auto"/>
            <w:bottom w:val="none" w:sz="0" w:space="0" w:color="auto"/>
            <w:right w:val="none" w:sz="0" w:space="0" w:color="auto"/>
          </w:divBdr>
        </w:div>
      </w:divsChild>
    </w:div>
    <w:div w:id="891841272">
      <w:bodyDiv w:val="1"/>
      <w:marLeft w:val="0"/>
      <w:marRight w:val="0"/>
      <w:marTop w:val="0"/>
      <w:marBottom w:val="0"/>
      <w:divBdr>
        <w:top w:val="none" w:sz="0" w:space="0" w:color="auto"/>
        <w:left w:val="none" w:sz="0" w:space="0" w:color="auto"/>
        <w:bottom w:val="none" w:sz="0" w:space="0" w:color="auto"/>
        <w:right w:val="none" w:sz="0" w:space="0" w:color="auto"/>
      </w:divBdr>
      <w:divsChild>
        <w:div w:id="536164574">
          <w:marLeft w:val="0"/>
          <w:marRight w:val="0"/>
          <w:marTop w:val="0"/>
          <w:marBottom w:val="0"/>
          <w:divBdr>
            <w:top w:val="none" w:sz="0" w:space="0" w:color="auto"/>
            <w:left w:val="none" w:sz="0" w:space="0" w:color="auto"/>
            <w:bottom w:val="none" w:sz="0" w:space="0" w:color="auto"/>
            <w:right w:val="none" w:sz="0" w:space="0" w:color="auto"/>
          </w:divBdr>
          <w:divsChild>
            <w:div w:id="448551229">
              <w:marLeft w:val="0"/>
              <w:marRight w:val="0"/>
              <w:marTop w:val="0"/>
              <w:marBottom w:val="0"/>
              <w:divBdr>
                <w:top w:val="none" w:sz="0" w:space="0" w:color="auto"/>
                <w:left w:val="none" w:sz="0" w:space="0" w:color="auto"/>
                <w:bottom w:val="none" w:sz="0" w:space="0" w:color="auto"/>
                <w:right w:val="none" w:sz="0" w:space="0" w:color="auto"/>
              </w:divBdr>
              <w:divsChild>
                <w:div w:id="350841260">
                  <w:marLeft w:val="0"/>
                  <w:marRight w:val="0"/>
                  <w:marTop w:val="0"/>
                  <w:marBottom w:val="0"/>
                  <w:divBdr>
                    <w:top w:val="none" w:sz="0" w:space="0" w:color="auto"/>
                    <w:left w:val="none" w:sz="0" w:space="0" w:color="auto"/>
                    <w:bottom w:val="none" w:sz="0" w:space="0" w:color="auto"/>
                    <w:right w:val="none" w:sz="0" w:space="0" w:color="auto"/>
                  </w:divBdr>
                  <w:divsChild>
                    <w:div w:id="19288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77937">
      <w:bodyDiv w:val="1"/>
      <w:marLeft w:val="0"/>
      <w:marRight w:val="0"/>
      <w:marTop w:val="0"/>
      <w:marBottom w:val="0"/>
      <w:divBdr>
        <w:top w:val="none" w:sz="0" w:space="0" w:color="auto"/>
        <w:left w:val="none" w:sz="0" w:space="0" w:color="auto"/>
        <w:bottom w:val="none" w:sz="0" w:space="0" w:color="auto"/>
        <w:right w:val="none" w:sz="0" w:space="0" w:color="auto"/>
      </w:divBdr>
    </w:div>
    <w:div w:id="909776304">
      <w:bodyDiv w:val="1"/>
      <w:marLeft w:val="0"/>
      <w:marRight w:val="0"/>
      <w:marTop w:val="0"/>
      <w:marBottom w:val="0"/>
      <w:divBdr>
        <w:top w:val="none" w:sz="0" w:space="0" w:color="auto"/>
        <w:left w:val="none" w:sz="0" w:space="0" w:color="auto"/>
        <w:bottom w:val="none" w:sz="0" w:space="0" w:color="auto"/>
        <w:right w:val="none" w:sz="0" w:space="0" w:color="auto"/>
      </w:divBdr>
    </w:div>
    <w:div w:id="951403701">
      <w:bodyDiv w:val="1"/>
      <w:marLeft w:val="0"/>
      <w:marRight w:val="0"/>
      <w:marTop w:val="0"/>
      <w:marBottom w:val="0"/>
      <w:divBdr>
        <w:top w:val="none" w:sz="0" w:space="0" w:color="auto"/>
        <w:left w:val="none" w:sz="0" w:space="0" w:color="auto"/>
        <w:bottom w:val="none" w:sz="0" w:space="0" w:color="auto"/>
        <w:right w:val="none" w:sz="0" w:space="0" w:color="auto"/>
      </w:divBdr>
    </w:div>
    <w:div w:id="974681293">
      <w:bodyDiv w:val="1"/>
      <w:marLeft w:val="0"/>
      <w:marRight w:val="0"/>
      <w:marTop w:val="0"/>
      <w:marBottom w:val="0"/>
      <w:divBdr>
        <w:top w:val="none" w:sz="0" w:space="0" w:color="auto"/>
        <w:left w:val="none" w:sz="0" w:space="0" w:color="auto"/>
        <w:bottom w:val="none" w:sz="0" w:space="0" w:color="auto"/>
        <w:right w:val="none" w:sz="0" w:space="0" w:color="auto"/>
      </w:divBdr>
    </w:div>
    <w:div w:id="974873814">
      <w:bodyDiv w:val="1"/>
      <w:marLeft w:val="0"/>
      <w:marRight w:val="0"/>
      <w:marTop w:val="0"/>
      <w:marBottom w:val="0"/>
      <w:divBdr>
        <w:top w:val="none" w:sz="0" w:space="0" w:color="auto"/>
        <w:left w:val="none" w:sz="0" w:space="0" w:color="auto"/>
        <w:bottom w:val="none" w:sz="0" w:space="0" w:color="auto"/>
        <w:right w:val="none" w:sz="0" w:space="0" w:color="auto"/>
      </w:divBdr>
    </w:div>
    <w:div w:id="996806391">
      <w:bodyDiv w:val="1"/>
      <w:marLeft w:val="0"/>
      <w:marRight w:val="0"/>
      <w:marTop w:val="0"/>
      <w:marBottom w:val="0"/>
      <w:divBdr>
        <w:top w:val="none" w:sz="0" w:space="0" w:color="auto"/>
        <w:left w:val="none" w:sz="0" w:space="0" w:color="auto"/>
        <w:bottom w:val="none" w:sz="0" w:space="0" w:color="auto"/>
        <w:right w:val="none" w:sz="0" w:space="0" w:color="auto"/>
      </w:divBdr>
    </w:div>
    <w:div w:id="1001467559">
      <w:bodyDiv w:val="1"/>
      <w:marLeft w:val="0"/>
      <w:marRight w:val="0"/>
      <w:marTop w:val="0"/>
      <w:marBottom w:val="0"/>
      <w:divBdr>
        <w:top w:val="none" w:sz="0" w:space="0" w:color="auto"/>
        <w:left w:val="none" w:sz="0" w:space="0" w:color="auto"/>
        <w:bottom w:val="none" w:sz="0" w:space="0" w:color="auto"/>
        <w:right w:val="none" w:sz="0" w:space="0" w:color="auto"/>
      </w:divBdr>
      <w:divsChild>
        <w:div w:id="1213419771">
          <w:marLeft w:val="0"/>
          <w:marRight w:val="0"/>
          <w:marTop w:val="0"/>
          <w:marBottom w:val="0"/>
          <w:divBdr>
            <w:top w:val="none" w:sz="0" w:space="0" w:color="auto"/>
            <w:left w:val="none" w:sz="0" w:space="0" w:color="auto"/>
            <w:bottom w:val="none" w:sz="0" w:space="0" w:color="auto"/>
            <w:right w:val="none" w:sz="0" w:space="0" w:color="auto"/>
          </w:divBdr>
        </w:div>
      </w:divsChild>
    </w:div>
    <w:div w:id="1006588675">
      <w:bodyDiv w:val="1"/>
      <w:marLeft w:val="0"/>
      <w:marRight w:val="0"/>
      <w:marTop w:val="0"/>
      <w:marBottom w:val="0"/>
      <w:divBdr>
        <w:top w:val="none" w:sz="0" w:space="0" w:color="auto"/>
        <w:left w:val="none" w:sz="0" w:space="0" w:color="auto"/>
        <w:bottom w:val="none" w:sz="0" w:space="0" w:color="auto"/>
        <w:right w:val="none" w:sz="0" w:space="0" w:color="auto"/>
      </w:divBdr>
    </w:div>
    <w:div w:id="1084448308">
      <w:bodyDiv w:val="1"/>
      <w:marLeft w:val="0"/>
      <w:marRight w:val="0"/>
      <w:marTop w:val="0"/>
      <w:marBottom w:val="0"/>
      <w:divBdr>
        <w:top w:val="none" w:sz="0" w:space="0" w:color="auto"/>
        <w:left w:val="none" w:sz="0" w:space="0" w:color="auto"/>
        <w:bottom w:val="none" w:sz="0" w:space="0" w:color="auto"/>
        <w:right w:val="none" w:sz="0" w:space="0" w:color="auto"/>
      </w:divBdr>
    </w:div>
    <w:div w:id="1264874412">
      <w:bodyDiv w:val="1"/>
      <w:marLeft w:val="0"/>
      <w:marRight w:val="0"/>
      <w:marTop w:val="0"/>
      <w:marBottom w:val="0"/>
      <w:divBdr>
        <w:top w:val="none" w:sz="0" w:space="0" w:color="auto"/>
        <w:left w:val="none" w:sz="0" w:space="0" w:color="auto"/>
        <w:bottom w:val="none" w:sz="0" w:space="0" w:color="auto"/>
        <w:right w:val="none" w:sz="0" w:space="0" w:color="auto"/>
      </w:divBdr>
    </w:div>
    <w:div w:id="1309895710">
      <w:bodyDiv w:val="1"/>
      <w:marLeft w:val="0"/>
      <w:marRight w:val="0"/>
      <w:marTop w:val="0"/>
      <w:marBottom w:val="0"/>
      <w:divBdr>
        <w:top w:val="none" w:sz="0" w:space="0" w:color="auto"/>
        <w:left w:val="none" w:sz="0" w:space="0" w:color="auto"/>
        <w:bottom w:val="none" w:sz="0" w:space="0" w:color="auto"/>
        <w:right w:val="none" w:sz="0" w:space="0" w:color="auto"/>
      </w:divBdr>
    </w:div>
    <w:div w:id="1321421109">
      <w:bodyDiv w:val="1"/>
      <w:marLeft w:val="0"/>
      <w:marRight w:val="0"/>
      <w:marTop w:val="0"/>
      <w:marBottom w:val="0"/>
      <w:divBdr>
        <w:top w:val="none" w:sz="0" w:space="0" w:color="auto"/>
        <w:left w:val="none" w:sz="0" w:space="0" w:color="auto"/>
        <w:bottom w:val="none" w:sz="0" w:space="0" w:color="auto"/>
        <w:right w:val="none" w:sz="0" w:space="0" w:color="auto"/>
      </w:divBdr>
    </w:div>
    <w:div w:id="1344212325">
      <w:bodyDiv w:val="1"/>
      <w:marLeft w:val="0"/>
      <w:marRight w:val="0"/>
      <w:marTop w:val="0"/>
      <w:marBottom w:val="0"/>
      <w:divBdr>
        <w:top w:val="none" w:sz="0" w:space="0" w:color="auto"/>
        <w:left w:val="none" w:sz="0" w:space="0" w:color="auto"/>
        <w:bottom w:val="none" w:sz="0" w:space="0" w:color="auto"/>
        <w:right w:val="none" w:sz="0" w:space="0" w:color="auto"/>
      </w:divBdr>
    </w:div>
    <w:div w:id="1389844255">
      <w:bodyDiv w:val="1"/>
      <w:marLeft w:val="0"/>
      <w:marRight w:val="0"/>
      <w:marTop w:val="0"/>
      <w:marBottom w:val="0"/>
      <w:divBdr>
        <w:top w:val="none" w:sz="0" w:space="0" w:color="auto"/>
        <w:left w:val="none" w:sz="0" w:space="0" w:color="auto"/>
        <w:bottom w:val="none" w:sz="0" w:space="0" w:color="auto"/>
        <w:right w:val="none" w:sz="0" w:space="0" w:color="auto"/>
      </w:divBdr>
    </w:div>
    <w:div w:id="1419206008">
      <w:bodyDiv w:val="1"/>
      <w:marLeft w:val="0"/>
      <w:marRight w:val="0"/>
      <w:marTop w:val="0"/>
      <w:marBottom w:val="0"/>
      <w:divBdr>
        <w:top w:val="none" w:sz="0" w:space="0" w:color="auto"/>
        <w:left w:val="none" w:sz="0" w:space="0" w:color="auto"/>
        <w:bottom w:val="none" w:sz="0" w:space="0" w:color="auto"/>
        <w:right w:val="none" w:sz="0" w:space="0" w:color="auto"/>
      </w:divBdr>
    </w:div>
    <w:div w:id="1423719741">
      <w:bodyDiv w:val="1"/>
      <w:marLeft w:val="0"/>
      <w:marRight w:val="0"/>
      <w:marTop w:val="0"/>
      <w:marBottom w:val="0"/>
      <w:divBdr>
        <w:top w:val="none" w:sz="0" w:space="0" w:color="auto"/>
        <w:left w:val="none" w:sz="0" w:space="0" w:color="auto"/>
        <w:bottom w:val="none" w:sz="0" w:space="0" w:color="auto"/>
        <w:right w:val="none" w:sz="0" w:space="0" w:color="auto"/>
      </w:divBdr>
    </w:div>
    <w:div w:id="1489512335">
      <w:bodyDiv w:val="1"/>
      <w:marLeft w:val="0"/>
      <w:marRight w:val="0"/>
      <w:marTop w:val="0"/>
      <w:marBottom w:val="0"/>
      <w:divBdr>
        <w:top w:val="none" w:sz="0" w:space="0" w:color="auto"/>
        <w:left w:val="none" w:sz="0" w:space="0" w:color="auto"/>
        <w:bottom w:val="none" w:sz="0" w:space="0" w:color="auto"/>
        <w:right w:val="none" w:sz="0" w:space="0" w:color="auto"/>
      </w:divBdr>
    </w:div>
    <w:div w:id="1503623727">
      <w:bodyDiv w:val="1"/>
      <w:marLeft w:val="0"/>
      <w:marRight w:val="0"/>
      <w:marTop w:val="0"/>
      <w:marBottom w:val="0"/>
      <w:divBdr>
        <w:top w:val="none" w:sz="0" w:space="0" w:color="auto"/>
        <w:left w:val="none" w:sz="0" w:space="0" w:color="auto"/>
        <w:bottom w:val="none" w:sz="0" w:space="0" w:color="auto"/>
        <w:right w:val="none" w:sz="0" w:space="0" w:color="auto"/>
      </w:divBdr>
    </w:div>
    <w:div w:id="1503744367">
      <w:bodyDiv w:val="1"/>
      <w:marLeft w:val="0"/>
      <w:marRight w:val="0"/>
      <w:marTop w:val="0"/>
      <w:marBottom w:val="0"/>
      <w:divBdr>
        <w:top w:val="none" w:sz="0" w:space="0" w:color="auto"/>
        <w:left w:val="none" w:sz="0" w:space="0" w:color="auto"/>
        <w:bottom w:val="none" w:sz="0" w:space="0" w:color="auto"/>
        <w:right w:val="none" w:sz="0" w:space="0" w:color="auto"/>
      </w:divBdr>
    </w:div>
    <w:div w:id="1560238795">
      <w:bodyDiv w:val="1"/>
      <w:marLeft w:val="0"/>
      <w:marRight w:val="0"/>
      <w:marTop w:val="0"/>
      <w:marBottom w:val="0"/>
      <w:divBdr>
        <w:top w:val="none" w:sz="0" w:space="0" w:color="auto"/>
        <w:left w:val="none" w:sz="0" w:space="0" w:color="auto"/>
        <w:bottom w:val="none" w:sz="0" w:space="0" w:color="auto"/>
        <w:right w:val="none" w:sz="0" w:space="0" w:color="auto"/>
      </w:divBdr>
      <w:divsChild>
        <w:div w:id="1367556964">
          <w:marLeft w:val="0"/>
          <w:marRight w:val="0"/>
          <w:marTop w:val="0"/>
          <w:marBottom w:val="0"/>
          <w:divBdr>
            <w:top w:val="none" w:sz="0" w:space="0" w:color="auto"/>
            <w:left w:val="none" w:sz="0" w:space="0" w:color="auto"/>
            <w:bottom w:val="none" w:sz="0" w:space="0" w:color="auto"/>
            <w:right w:val="none" w:sz="0" w:space="0" w:color="auto"/>
          </w:divBdr>
          <w:divsChild>
            <w:div w:id="549612100">
              <w:marLeft w:val="-24"/>
              <w:marRight w:val="96"/>
              <w:marTop w:val="0"/>
              <w:marBottom w:val="240"/>
              <w:divBdr>
                <w:top w:val="single" w:sz="4" w:space="6" w:color="E5E5E5"/>
                <w:left w:val="single" w:sz="4" w:space="6" w:color="E5E5E5"/>
                <w:bottom w:val="none" w:sz="0" w:space="0" w:color="auto"/>
                <w:right w:val="none" w:sz="0" w:space="0" w:color="auto"/>
              </w:divBdr>
            </w:div>
          </w:divsChild>
        </w:div>
      </w:divsChild>
    </w:div>
    <w:div w:id="1565292538">
      <w:bodyDiv w:val="1"/>
      <w:marLeft w:val="0"/>
      <w:marRight w:val="0"/>
      <w:marTop w:val="0"/>
      <w:marBottom w:val="0"/>
      <w:divBdr>
        <w:top w:val="none" w:sz="0" w:space="0" w:color="auto"/>
        <w:left w:val="none" w:sz="0" w:space="0" w:color="auto"/>
        <w:bottom w:val="none" w:sz="0" w:space="0" w:color="auto"/>
        <w:right w:val="none" w:sz="0" w:space="0" w:color="auto"/>
      </w:divBdr>
    </w:div>
    <w:div w:id="1571890605">
      <w:bodyDiv w:val="1"/>
      <w:marLeft w:val="0"/>
      <w:marRight w:val="0"/>
      <w:marTop w:val="0"/>
      <w:marBottom w:val="0"/>
      <w:divBdr>
        <w:top w:val="none" w:sz="0" w:space="0" w:color="auto"/>
        <w:left w:val="none" w:sz="0" w:space="0" w:color="auto"/>
        <w:bottom w:val="none" w:sz="0" w:space="0" w:color="auto"/>
        <w:right w:val="none" w:sz="0" w:space="0" w:color="auto"/>
      </w:divBdr>
    </w:div>
    <w:div w:id="1599215785">
      <w:bodyDiv w:val="1"/>
      <w:marLeft w:val="0"/>
      <w:marRight w:val="0"/>
      <w:marTop w:val="0"/>
      <w:marBottom w:val="0"/>
      <w:divBdr>
        <w:top w:val="none" w:sz="0" w:space="0" w:color="auto"/>
        <w:left w:val="none" w:sz="0" w:space="0" w:color="auto"/>
        <w:bottom w:val="none" w:sz="0" w:space="0" w:color="auto"/>
        <w:right w:val="none" w:sz="0" w:space="0" w:color="auto"/>
      </w:divBdr>
    </w:div>
    <w:div w:id="1616785710">
      <w:bodyDiv w:val="1"/>
      <w:marLeft w:val="0"/>
      <w:marRight w:val="0"/>
      <w:marTop w:val="0"/>
      <w:marBottom w:val="0"/>
      <w:divBdr>
        <w:top w:val="none" w:sz="0" w:space="0" w:color="auto"/>
        <w:left w:val="none" w:sz="0" w:space="0" w:color="auto"/>
        <w:bottom w:val="none" w:sz="0" w:space="0" w:color="auto"/>
        <w:right w:val="none" w:sz="0" w:space="0" w:color="auto"/>
      </w:divBdr>
      <w:divsChild>
        <w:div w:id="1569000718">
          <w:marLeft w:val="0"/>
          <w:marRight w:val="0"/>
          <w:marTop w:val="0"/>
          <w:marBottom w:val="0"/>
          <w:divBdr>
            <w:top w:val="none" w:sz="0" w:space="0" w:color="auto"/>
            <w:left w:val="none" w:sz="0" w:space="0" w:color="auto"/>
            <w:bottom w:val="none" w:sz="0" w:space="0" w:color="auto"/>
            <w:right w:val="none" w:sz="0" w:space="0" w:color="auto"/>
          </w:divBdr>
          <w:divsChild>
            <w:div w:id="5795416">
              <w:marLeft w:val="-24"/>
              <w:marRight w:val="96"/>
              <w:marTop w:val="0"/>
              <w:marBottom w:val="240"/>
              <w:divBdr>
                <w:top w:val="single" w:sz="4" w:space="6" w:color="E5E5E5"/>
                <w:left w:val="single" w:sz="4" w:space="6" w:color="E5E5E5"/>
                <w:bottom w:val="none" w:sz="0" w:space="0" w:color="auto"/>
                <w:right w:val="none" w:sz="0" w:space="0" w:color="auto"/>
              </w:divBdr>
            </w:div>
          </w:divsChild>
        </w:div>
      </w:divsChild>
    </w:div>
    <w:div w:id="1681277562">
      <w:bodyDiv w:val="1"/>
      <w:marLeft w:val="0"/>
      <w:marRight w:val="0"/>
      <w:marTop w:val="0"/>
      <w:marBottom w:val="0"/>
      <w:divBdr>
        <w:top w:val="none" w:sz="0" w:space="0" w:color="auto"/>
        <w:left w:val="none" w:sz="0" w:space="0" w:color="auto"/>
        <w:bottom w:val="none" w:sz="0" w:space="0" w:color="auto"/>
        <w:right w:val="none" w:sz="0" w:space="0" w:color="auto"/>
      </w:divBdr>
    </w:div>
    <w:div w:id="1713192841">
      <w:bodyDiv w:val="1"/>
      <w:marLeft w:val="0"/>
      <w:marRight w:val="0"/>
      <w:marTop w:val="0"/>
      <w:marBottom w:val="0"/>
      <w:divBdr>
        <w:top w:val="none" w:sz="0" w:space="0" w:color="auto"/>
        <w:left w:val="none" w:sz="0" w:space="0" w:color="auto"/>
        <w:bottom w:val="none" w:sz="0" w:space="0" w:color="auto"/>
        <w:right w:val="none" w:sz="0" w:space="0" w:color="auto"/>
      </w:divBdr>
    </w:div>
    <w:div w:id="1742289748">
      <w:bodyDiv w:val="1"/>
      <w:marLeft w:val="0"/>
      <w:marRight w:val="0"/>
      <w:marTop w:val="0"/>
      <w:marBottom w:val="0"/>
      <w:divBdr>
        <w:top w:val="none" w:sz="0" w:space="0" w:color="auto"/>
        <w:left w:val="none" w:sz="0" w:space="0" w:color="auto"/>
        <w:bottom w:val="none" w:sz="0" w:space="0" w:color="auto"/>
        <w:right w:val="none" w:sz="0" w:space="0" w:color="auto"/>
      </w:divBdr>
    </w:div>
    <w:div w:id="1766998417">
      <w:bodyDiv w:val="1"/>
      <w:marLeft w:val="0"/>
      <w:marRight w:val="0"/>
      <w:marTop w:val="0"/>
      <w:marBottom w:val="0"/>
      <w:divBdr>
        <w:top w:val="none" w:sz="0" w:space="0" w:color="auto"/>
        <w:left w:val="none" w:sz="0" w:space="0" w:color="auto"/>
        <w:bottom w:val="none" w:sz="0" w:space="0" w:color="auto"/>
        <w:right w:val="none" w:sz="0" w:space="0" w:color="auto"/>
      </w:divBdr>
    </w:div>
    <w:div w:id="1772893510">
      <w:bodyDiv w:val="1"/>
      <w:marLeft w:val="0"/>
      <w:marRight w:val="0"/>
      <w:marTop w:val="0"/>
      <w:marBottom w:val="0"/>
      <w:divBdr>
        <w:top w:val="none" w:sz="0" w:space="0" w:color="auto"/>
        <w:left w:val="none" w:sz="0" w:space="0" w:color="auto"/>
        <w:bottom w:val="none" w:sz="0" w:space="0" w:color="auto"/>
        <w:right w:val="none" w:sz="0" w:space="0" w:color="auto"/>
      </w:divBdr>
    </w:div>
    <w:div w:id="1800561896">
      <w:bodyDiv w:val="1"/>
      <w:marLeft w:val="0"/>
      <w:marRight w:val="0"/>
      <w:marTop w:val="0"/>
      <w:marBottom w:val="0"/>
      <w:divBdr>
        <w:top w:val="none" w:sz="0" w:space="0" w:color="auto"/>
        <w:left w:val="none" w:sz="0" w:space="0" w:color="auto"/>
        <w:bottom w:val="none" w:sz="0" w:space="0" w:color="auto"/>
        <w:right w:val="none" w:sz="0" w:space="0" w:color="auto"/>
      </w:divBdr>
    </w:div>
    <w:div w:id="1853059613">
      <w:bodyDiv w:val="1"/>
      <w:marLeft w:val="0"/>
      <w:marRight w:val="0"/>
      <w:marTop w:val="0"/>
      <w:marBottom w:val="0"/>
      <w:divBdr>
        <w:top w:val="none" w:sz="0" w:space="0" w:color="auto"/>
        <w:left w:val="none" w:sz="0" w:space="0" w:color="auto"/>
        <w:bottom w:val="none" w:sz="0" w:space="0" w:color="auto"/>
        <w:right w:val="none" w:sz="0" w:space="0" w:color="auto"/>
      </w:divBdr>
    </w:div>
    <w:div w:id="1863780595">
      <w:bodyDiv w:val="1"/>
      <w:marLeft w:val="0"/>
      <w:marRight w:val="0"/>
      <w:marTop w:val="0"/>
      <w:marBottom w:val="0"/>
      <w:divBdr>
        <w:top w:val="none" w:sz="0" w:space="0" w:color="auto"/>
        <w:left w:val="none" w:sz="0" w:space="0" w:color="auto"/>
        <w:bottom w:val="none" w:sz="0" w:space="0" w:color="auto"/>
        <w:right w:val="none" w:sz="0" w:space="0" w:color="auto"/>
      </w:divBdr>
    </w:div>
    <w:div w:id="1873641262">
      <w:bodyDiv w:val="1"/>
      <w:marLeft w:val="0"/>
      <w:marRight w:val="0"/>
      <w:marTop w:val="0"/>
      <w:marBottom w:val="0"/>
      <w:divBdr>
        <w:top w:val="none" w:sz="0" w:space="0" w:color="auto"/>
        <w:left w:val="none" w:sz="0" w:space="0" w:color="auto"/>
        <w:bottom w:val="none" w:sz="0" w:space="0" w:color="auto"/>
        <w:right w:val="none" w:sz="0" w:space="0" w:color="auto"/>
      </w:divBdr>
    </w:div>
    <w:div w:id="1883637421">
      <w:bodyDiv w:val="1"/>
      <w:marLeft w:val="0"/>
      <w:marRight w:val="0"/>
      <w:marTop w:val="0"/>
      <w:marBottom w:val="0"/>
      <w:divBdr>
        <w:top w:val="none" w:sz="0" w:space="0" w:color="auto"/>
        <w:left w:val="none" w:sz="0" w:space="0" w:color="auto"/>
        <w:bottom w:val="none" w:sz="0" w:space="0" w:color="auto"/>
        <w:right w:val="none" w:sz="0" w:space="0" w:color="auto"/>
      </w:divBdr>
    </w:div>
    <w:div w:id="1919553888">
      <w:bodyDiv w:val="1"/>
      <w:marLeft w:val="0"/>
      <w:marRight w:val="0"/>
      <w:marTop w:val="0"/>
      <w:marBottom w:val="0"/>
      <w:divBdr>
        <w:top w:val="none" w:sz="0" w:space="0" w:color="auto"/>
        <w:left w:val="none" w:sz="0" w:space="0" w:color="auto"/>
        <w:bottom w:val="none" w:sz="0" w:space="0" w:color="auto"/>
        <w:right w:val="none" w:sz="0" w:space="0" w:color="auto"/>
      </w:divBdr>
    </w:div>
    <w:div w:id="1922332347">
      <w:bodyDiv w:val="1"/>
      <w:marLeft w:val="0"/>
      <w:marRight w:val="0"/>
      <w:marTop w:val="0"/>
      <w:marBottom w:val="0"/>
      <w:divBdr>
        <w:top w:val="none" w:sz="0" w:space="0" w:color="auto"/>
        <w:left w:val="none" w:sz="0" w:space="0" w:color="auto"/>
        <w:bottom w:val="none" w:sz="0" w:space="0" w:color="auto"/>
        <w:right w:val="none" w:sz="0" w:space="0" w:color="auto"/>
      </w:divBdr>
    </w:div>
    <w:div w:id="1952206912">
      <w:bodyDiv w:val="1"/>
      <w:marLeft w:val="0"/>
      <w:marRight w:val="0"/>
      <w:marTop w:val="0"/>
      <w:marBottom w:val="0"/>
      <w:divBdr>
        <w:top w:val="none" w:sz="0" w:space="0" w:color="auto"/>
        <w:left w:val="none" w:sz="0" w:space="0" w:color="auto"/>
        <w:bottom w:val="none" w:sz="0" w:space="0" w:color="auto"/>
        <w:right w:val="none" w:sz="0" w:space="0" w:color="auto"/>
      </w:divBdr>
    </w:div>
    <w:div w:id="1952935837">
      <w:bodyDiv w:val="1"/>
      <w:marLeft w:val="0"/>
      <w:marRight w:val="0"/>
      <w:marTop w:val="0"/>
      <w:marBottom w:val="0"/>
      <w:divBdr>
        <w:top w:val="none" w:sz="0" w:space="0" w:color="auto"/>
        <w:left w:val="none" w:sz="0" w:space="0" w:color="auto"/>
        <w:bottom w:val="none" w:sz="0" w:space="0" w:color="auto"/>
        <w:right w:val="none" w:sz="0" w:space="0" w:color="auto"/>
      </w:divBdr>
    </w:div>
    <w:div w:id="1956132752">
      <w:bodyDiv w:val="1"/>
      <w:marLeft w:val="0"/>
      <w:marRight w:val="0"/>
      <w:marTop w:val="0"/>
      <w:marBottom w:val="0"/>
      <w:divBdr>
        <w:top w:val="none" w:sz="0" w:space="0" w:color="auto"/>
        <w:left w:val="none" w:sz="0" w:space="0" w:color="auto"/>
        <w:bottom w:val="none" w:sz="0" w:space="0" w:color="auto"/>
        <w:right w:val="none" w:sz="0" w:space="0" w:color="auto"/>
      </w:divBdr>
    </w:div>
    <w:div w:id="2041278860">
      <w:bodyDiv w:val="1"/>
      <w:marLeft w:val="0"/>
      <w:marRight w:val="0"/>
      <w:marTop w:val="0"/>
      <w:marBottom w:val="0"/>
      <w:divBdr>
        <w:top w:val="none" w:sz="0" w:space="0" w:color="auto"/>
        <w:left w:val="none" w:sz="0" w:space="0" w:color="auto"/>
        <w:bottom w:val="none" w:sz="0" w:space="0" w:color="auto"/>
        <w:right w:val="none" w:sz="0" w:space="0" w:color="auto"/>
      </w:divBdr>
    </w:div>
    <w:div w:id="2079285713">
      <w:bodyDiv w:val="1"/>
      <w:marLeft w:val="0"/>
      <w:marRight w:val="0"/>
      <w:marTop w:val="0"/>
      <w:marBottom w:val="0"/>
      <w:divBdr>
        <w:top w:val="none" w:sz="0" w:space="0" w:color="auto"/>
        <w:left w:val="none" w:sz="0" w:space="0" w:color="auto"/>
        <w:bottom w:val="none" w:sz="0" w:space="0" w:color="auto"/>
        <w:right w:val="none" w:sz="0" w:space="0" w:color="auto"/>
      </w:divBdr>
    </w:div>
    <w:div w:id="211296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x.doi.org/10.5888%2Fpcd12.140584" TargetMode="External"/><Relationship Id="rId18" Type="http://schemas.openxmlformats.org/officeDocument/2006/relationships/hyperlink" Target="http://www.cdc.gov/mmwr/preview/mmwrhtml/mm6347a4.htm?s_cid=mm6347a4_e" TargetMode="External"/><Relationship Id="rId26" Type="http://schemas.openxmlformats.org/officeDocument/2006/relationships/hyperlink" Target="https://doi.org/10.1093/ntr/ntw281" TargetMode="External"/><Relationship Id="rId3" Type="http://schemas.openxmlformats.org/officeDocument/2006/relationships/styles" Target="styles.xml"/><Relationship Id="rId21" Type="http://schemas.openxmlformats.org/officeDocument/2006/relationships/hyperlink" Target="http://dx.doi.org/10.15585/mmwr.mm6702a1" TargetMode="External"/><Relationship Id="rId7" Type="http://schemas.openxmlformats.org/officeDocument/2006/relationships/footnotes" Target="footnotes.xml"/><Relationship Id="rId12" Type="http://schemas.openxmlformats.org/officeDocument/2006/relationships/hyperlink" Target="https://doi.org/10.1093/ntr/ntw281" TargetMode="External"/><Relationship Id="rId17" Type="http://schemas.openxmlformats.org/officeDocument/2006/relationships/hyperlink" Target="http://www.cdc.gov/mmwr/preview/mmwrhtml/mm6205a2.htm?s_cid=mm6205a2_w" TargetMode="External"/><Relationship Id="rId25" Type="http://schemas.openxmlformats.org/officeDocument/2006/relationships/hyperlink" Target="http://legacyforhealth.org/content/download/608/7232/file/A_Hidden_Epidemic.pdf" TargetMode="External"/><Relationship Id="rId2" Type="http://schemas.openxmlformats.org/officeDocument/2006/relationships/numbering" Target="numbering.xml"/><Relationship Id="rId16" Type="http://schemas.openxmlformats.org/officeDocument/2006/relationships/hyperlink" Target="http://www.cdc.gov/mmwr/preview/mmwrhtml/mm6205a2.htm?s_cid=mm6205a2_w" TargetMode="External"/><Relationship Id="rId20" Type="http://schemas.openxmlformats.org/officeDocument/2006/relationships/hyperlink" Target="https://www.cdc.gov/mmwr/volumes/67/wr/mm6702a1.htm?s_cid=mm6702a1_w" TargetMode="External"/><Relationship Id="rId29" Type="http://schemas.openxmlformats.org/officeDocument/2006/relationships/hyperlink" Target="http://www.thecommunityguide.org/tobacco/cessation/multicomponentintervention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statesystem" TargetMode="External"/><Relationship Id="rId24" Type="http://schemas.openxmlformats.org/officeDocument/2006/relationships/hyperlink" Target="http://legacyforhealth.org/content/download/608/7232/file/A_Hidden_Epidemic.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dc.gov/mmwr/preview/mmwrhtml/mm6205a2.htm?s_cid=mm6205a2_w" TargetMode="External"/><Relationship Id="rId23" Type="http://schemas.openxmlformats.org/officeDocument/2006/relationships/hyperlink" Target="https://dx.doi.org/10.5888%2Fpcd12.140584" TargetMode="External"/><Relationship Id="rId28" Type="http://schemas.openxmlformats.org/officeDocument/2006/relationships/hyperlink" Target="https://c.ymcdn.com/sites/www.naquitline.org/resource/resmgr/Issue_Papers/IssuePaperTheUseofQuitlinesA.pdf" TargetMode="External"/><Relationship Id="rId10" Type="http://schemas.openxmlformats.org/officeDocument/2006/relationships/hyperlink" Target="http://apps.nccd.cdc.gov/statesystem/Default/Default.aspx" TargetMode="External"/><Relationship Id="rId19" Type="http://schemas.openxmlformats.org/officeDocument/2006/relationships/hyperlink" Target="https://www.cdc.gov/mmwr/pdf/wk/mm6440.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dc.gov/statesystem" TargetMode="External"/><Relationship Id="rId14" Type="http://schemas.openxmlformats.org/officeDocument/2006/relationships/hyperlink" Target="http://www.cdc.gov/mmwr/preview/mmwrhtml/ss6206a1.htm" TargetMode="External"/><Relationship Id="rId22" Type="http://schemas.openxmlformats.org/officeDocument/2006/relationships/hyperlink" Target="https://dx.doi.org/10.2105%2FAJPH.2014.302418" TargetMode="External"/><Relationship Id="rId27" Type="http://schemas.openxmlformats.org/officeDocument/2006/relationships/hyperlink" Target="https://c.ymcdn.com/sites/www.naquitline.org/resource/resmgr/Issue_Papers/IssuePaperTheUseofQuitlinesA.pdf"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819CF-EEAE-4568-BD0B-EE36A082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9202</Words>
  <Characters>52456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OMB SUPPORTING STATEMENT FOR THE</vt:lpstr>
    </vt:vector>
  </TitlesOfParts>
  <Company>Macro International Inc.</Company>
  <LinksUpToDate>false</LinksUpToDate>
  <CharactersWithSpaces>61535</CharactersWithSpaces>
  <SharedDoc>false</SharedDoc>
  <HLinks>
    <vt:vector size="96" baseType="variant">
      <vt:variant>
        <vt:i4>3997806</vt:i4>
      </vt:variant>
      <vt:variant>
        <vt:i4>45</vt:i4>
      </vt:variant>
      <vt:variant>
        <vt:i4>0</vt:i4>
      </vt:variant>
      <vt:variant>
        <vt:i4>5</vt:i4>
      </vt:variant>
      <vt:variant>
        <vt:lpwstr>http://www.thecommunityguide.org/tobacco/cessation/multicomponentinterventions.html</vt:lpwstr>
      </vt:variant>
      <vt:variant>
        <vt:lpwstr/>
      </vt:variant>
      <vt:variant>
        <vt:i4>3538949</vt:i4>
      </vt:variant>
      <vt:variant>
        <vt:i4>42</vt:i4>
      </vt:variant>
      <vt:variant>
        <vt:i4>0</vt:i4>
      </vt:variant>
      <vt:variant>
        <vt:i4>5</vt:i4>
      </vt:variant>
      <vt:variant>
        <vt:lpwstr>https://c.ymcdn.com/sites/www.naquitline.org/resource/resmgr/Issue_Papers/IssuePaperTheUseofQuitlinesA.pdf</vt:lpwstr>
      </vt:variant>
      <vt:variant>
        <vt:lpwstr/>
      </vt:variant>
      <vt:variant>
        <vt:i4>3538949</vt:i4>
      </vt:variant>
      <vt:variant>
        <vt:i4>39</vt:i4>
      </vt:variant>
      <vt:variant>
        <vt:i4>0</vt:i4>
      </vt:variant>
      <vt:variant>
        <vt:i4>5</vt:i4>
      </vt:variant>
      <vt:variant>
        <vt:lpwstr>https://c.ymcdn.com/sites/www.naquitline.org/resource/resmgr/Issue_Papers/IssuePaperTheUseofQuitlinesA.pdf</vt:lpwstr>
      </vt:variant>
      <vt:variant>
        <vt:lpwstr/>
      </vt:variant>
      <vt:variant>
        <vt:i4>8126568</vt:i4>
      </vt:variant>
      <vt:variant>
        <vt:i4>36</vt:i4>
      </vt:variant>
      <vt:variant>
        <vt:i4>0</vt:i4>
      </vt:variant>
      <vt:variant>
        <vt:i4>5</vt:i4>
      </vt:variant>
      <vt:variant>
        <vt:lpwstr>http://www.naquitline.org/?page=survey2010</vt:lpwstr>
      </vt:variant>
      <vt:variant>
        <vt:lpwstr/>
      </vt:variant>
      <vt:variant>
        <vt:i4>6226001</vt:i4>
      </vt:variant>
      <vt:variant>
        <vt:i4>33</vt:i4>
      </vt:variant>
      <vt:variant>
        <vt:i4>0</vt:i4>
      </vt:variant>
      <vt:variant>
        <vt:i4>5</vt:i4>
      </vt:variant>
      <vt:variant>
        <vt:lpwstr>http://legacyforhealth.org/content/download/608/7232/file/A_Hidden_Epidemic.pdf</vt:lpwstr>
      </vt:variant>
      <vt:variant>
        <vt:lpwstr/>
      </vt:variant>
      <vt:variant>
        <vt:i4>6226001</vt:i4>
      </vt:variant>
      <vt:variant>
        <vt:i4>30</vt:i4>
      </vt:variant>
      <vt:variant>
        <vt:i4>0</vt:i4>
      </vt:variant>
      <vt:variant>
        <vt:i4>5</vt:i4>
      </vt:variant>
      <vt:variant>
        <vt:lpwstr>http://legacyforhealth.org/content/download/608/7232/file/A_Hidden_Epidemic.pdf</vt:lpwstr>
      </vt:variant>
      <vt:variant>
        <vt:lpwstr/>
      </vt:variant>
      <vt:variant>
        <vt:i4>851970</vt:i4>
      </vt:variant>
      <vt:variant>
        <vt:i4>27</vt:i4>
      </vt:variant>
      <vt:variant>
        <vt:i4>0</vt:i4>
      </vt:variant>
      <vt:variant>
        <vt:i4>5</vt:i4>
      </vt:variant>
      <vt:variant>
        <vt:lpwstr>http://www.cdc.gov/mmwr/preview/mmwrhtml/mm6205a2.htm?s_cid=mm6205a2_w</vt:lpwstr>
      </vt:variant>
      <vt:variant>
        <vt:lpwstr/>
      </vt:variant>
      <vt:variant>
        <vt:i4>851970</vt:i4>
      </vt:variant>
      <vt:variant>
        <vt:i4>24</vt:i4>
      </vt:variant>
      <vt:variant>
        <vt:i4>0</vt:i4>
      </vt:variant>
      <vt:variant>
        <vt:i4>5</vt:i4>
      </vt:variant>
      <vt:variant>
        <vt:lpwstr>http://www.cdc.gov/mmwr/preview/mmwrhtml/mm6205a2.htm?s_cid=mm6205a2_w</vt:lpwstr>
      </vt:variant>
      <vt:variant>
        <vt:lpwstr/>
      </vt:variant>
      <vt:variant>
        <vt:i4>851970</vt:i4>
      </vt:variant>
      <vt:variant>
        <vt:i4>21</vt:i4>
      </vt:variant>
      <vt:variant>
        <vt:i4>0</vt:i4>
      </vt:variant>
      <vt:variant>
        <vt:i4>5</vt:i4>
      </vt:variant>
      <vt:variant>
        <vt:lpwstr>http://www.cdc.gov/mmwr/preview/mmwrhtml/mm6205a2.htm?s_cid=mm6205a2_w</vt:lpwstr>
      </vt:variant>
      <vt:variant>
        <vt:lpwstr/>
      </vt:variant>
      <vt:variant>
        <vt:i4>655365</vt:i4>
      </vt:variant>
      <vt:variant>
        <vt:i4>18</vt:i4>
      </vt:variant>
      <vt:variant>
        <vt:i4>0</vt:i4>
      </vt:variant>
      <vt:variant>
        <vt:i4>5</vt:i4>
      </vt:variant>
      <vt:variant>
        <vt:lpwstr>http://www.cdc.gov/mmwr/preview/mmwrhtml/mm6208a8.htm?s_cid=mm6208a8_w</vt:lpwstr>
      </vt:variant>
      <vt:variant>
        <vt:lpwstr/>
      </vt:variant>
      <vt:variant>
        <vt:i4>1966083</vt:i4>
      </vt:variant>
      <vt:variant>
        <vt:i4>15</vt:i4>
      </vt:variant>
      <vt:variant>
        <vt:i4>0</vt:i4>
      </vt:variant>
      <vt:variant>
        <vt:i4>5</vt:i4>
      </vt:variant>
      <vt:variant>
        <vt:lpwstr>http://www.cdc.gov/mmwr/preview/mmwrhtml/mm6347a4.htm?s_cid=mm6347a4_e</vt:lpwstr>
      </vt:variant>
      <vt:variant>
        <vt:lpwstr/>
      </vt:variant>
      <vt:variant>
        <vt:i4>524368</vt:i4>
      </vt:variant>
      <vt:variant>
        <vt:i4>12</vt:i4>
      </vt:variant>
      <vt:variant>
        <vt:i4>0</vt:i4>
      </vt:variant>
      <vt:variant>
        <vt:i4>5</vt:i4>
      </vt:variant>
      <vt:variant>
        <vt:lpwstr>http://www.cdc.gov/mmwr/preview/mmwrhtml/ss6206a1.htm</vt:lpwstr>
      </vt:variant>
      <vt:variant>
        <vt:lpwstr/>
      </vt:variant>
      <vt:variant>
        <vt:i4>7602240</vt:i4>
      </vt:variant>
      <vt:variant>
        <vt:i4>9</vt:i4>
      </vt:variant>
      <vt:variant>
        <vt:i4>0</vt:i4>
      </vt:variant>
      <vt:variant>
        <vt:i4>5</vt:i4>
      </vt:variant>
      <vt:variant>
        <vt:lpwstr>mailto:bdzupko@uwaterloo.ca</vt:lpwstr>
      </vt:variant>
      <vt:variant>
        <vt:lpwstr/>
      </vt:variant>
      <vt:variant>
        <vt:i4>6815767</vt:i4>
      </vt:variant>
      <vt:variant>
        <vt:i4>6</vt:i4>
      </vt:variant>
      <vt:variant>
        <vt:i4>0</vt:i4>
      </vt:variant>
      <vt:variant>
        <vt:i4>5</vt:i4>
      </vt:variant>
      <vt:variant>
        <vt:lpwstr>mailto:Lmurphy@cms.hhs.gov</vt:lpwstr>
      </vt:variant>
      <vt:variant>
        <vt:lpwstr/>
      </vt:variant>
      <vt:variant>
        <vt:i4>4063321</vt:i4>
      </vt:variant>
      <vt:variant>
        <vt:i4>3</vt:i4>
      </vt:variant>
      <vt:variant>
        <vt:i4>0</vt:i4>
      </vt:variant>
      <vt:variant>
        <vt:i4>5</vt:i4>
      </vt:variant>
      <vt:variant>
        <vt:lpwstr>mailto:augustse@mail.nih.gov</vt:lpwstr>
      </vt:variant>
      <vt:variant>
        <vt:lpwstr/>
      </vt:variant>
      <vt:variant>
        <vt:i4>983108</vt:i4>
      </vt:variant>
      <vt:variant>
        <vt:i4>0</vt:i4>
      </vt:variant>
      <vt:variant>
        <vt:i4>0</vt:i4>
      </vt:variant>
      <vt:variant>
        <vt:i4>5</vt:i4>
      </vt:variant>
      <vt:variant>
        <vt:lpwstr>http://www.cdc.gov/Features/TobaccoEducationCampaign/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 FOR THE</dc:title>
  <dc:subject/>
  <dc:creator>Katherine.H.Flint</dc:creator>
  <cp:keywords/>
  <dc:description/>
  <cp:lastModifiedBy>SYSTEM</cp:lastModifiedBy>
  <cp:revision>2</cp:revision>
  <cp:lastPrinted>2016-03-14T17:30:00Z</cp:lastPrinted>
  <dcterms:created xsi:type="dcterms:W3CDTF">2019-10-07T14:33:00Z</dcterms:created>
  <dcterms:modified xsi:type="dcterms:W3CDTF">2019-10-07T14:33:00Z</dcterms:modified>
</cp:coreProperties>
</file>