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A2B" w:rsidRDefault="005C4386" w:rsidP="00752842">
      <w:pPr>
        <w:jc w:val="center"/>
        <w:rPr>
          <w:rFonts w:ascii="Times New Roman" w:hAnsi="Times New Roman"/>
          <w:b/>
        </w:rPr>
      </w:pPr>
      <w:bookmarkStart w:id="0" w:name="_GoBack"/>
      <w:bookmarkEnd w:id="0"/>
      <w:r>
        <w:rPr>
          <w:rFonts w:ascii="Times New Roman" w:hAnsi="Times New Roman"/>
          <w:b/>
        </w:rPr>
        <w:t>Justification for Non-Substantive Changes</w:t>
      </w:r>
      <w:r w:rsidR="00855A2B">
        <w:rPr>
          <w:rFonts w:ascii="Times New Roman" w:hAnsi="Times New Roman"/>
          <w:b/>
        </w:rPr>
        <w:t xml:space="preserve"> for </w:t>
      </w:r>
      <w:r w:rsidR="006657E0">
        <w:rPr>
          <w:rFonts w:ascii="Times New Roman" w:hAnsi="Times New Roman"/>
          <w:b/>
        </w:rPr>
        <w:t xml:space="preserve">Form </w:t>
      </w:r>
      <w:r w:rsidR="00AC6973">
        <w:rPr>
          <w:rFonts w:ascii="Times New Roman" w:hAnsi="Times New Roman"/>
          <w:b/>
        </w:rPr>
        <w:t>SSA-1588</w:t>
      </w:r>
    </w:p>
    <w:p w:rsidR="00752842" w:rsidRDefault="00AC6973" w:rsidP="00752842">
      <w:pPr>
        <w:jc w:val="center"/>
        <w:rPr>
          <w:rFonts w:ascii="Times New Roman" w:hAnsi="Times New Roman"/>
          <w:b/>
        </w:rPr>
      </w:pPr>
      <w:r>
        <w:rPr>
          <w:rFonts w:ascii="Times New Roman" w:hAnsi="Times New Roman"/>
          <w:b/>
        </w:rPr>
        <w:t xml:space="preserve">Beneficiary Recontact Report </w:t>
      </w:r>
    </w:p>
    <w:p w:rsidR="00372684" w:rsidRDefault="00855A2B" w:rsidP="006657E0">
      <w:pPr>
        <w:jc w:val="center"/>
        <w:rPr>
          <w:rFonts w:ascii="Times New Roman" w:hAnsi="Times New Roman"/>
        </w:rPr>
      </w:pPr>
      <w:r>
        <w:rPr>
          <w:rFonts w:ascii="Times New Roman" w:hAnsi="Times New Roman"/>
          <w:b/>
        </w:rPr>
        <w:t>OMB No. 0960-</w:t>
      </w:r>
      <w:r w:rsidR="00DF05DC">
        <w:rPr>
          <w:rFonts w:ascii="Times New Roman" w:hAnsi="Times New Roman"/>
          <w:b/>
        </w:rPr>
        <w:t>0502</w:t>
      </w:r>
    </w:p>
    <w:p w:rsidR="00AC6973" w:rsidRDefault="00AC6973" w:rsidP="00AC6973">
      <w:pPr>
        <w:rPr>
          <w:rFonts w:ascii="Times New Roman" w:hAnsi="Times New Roman"/>
          <w:b/>
          <w:snapToGrid w:val="0"/>
          <w:u w:val="single"/>
        </w:rPr>
      </w:pPr>
    </w:p>
    <w:p w:rsidR="00AC6973" w:rsidRPr="001D6668" w:rsidRDefault="001D6668" w:rsidP="00AC6973">
      <w:pPr>
        <w:rPr>
          <w:rFonts w:ascii="Times New Roman" w:hAnsi="Times New Roman"/>
          <w:b/>
          <w:snapToGrid w:val="0"/>
          <w:u w:val="single"/>
        </w:rPr>
      </w:pPr>
      <w:r w:rsidRPr="00E3281E">
        <w:rPr>
          <w:rFonts w:ascii="Times New Roman" w:hAnsi="Times New Roman"/>
          <w:b/>
          <w:snapToGrid w:val="0"/>
          <w:u w:val="single"/>
        </w:rPr>
        <w:t>Background</w:t>
      </w:r>
    </w:p>
    <w:p w:rsidR="00E20852" w:rsidRDefault="00D86652" w:rsidP="00AC6973">
      <w:pPr>
        <w:rPr>
          <w:rFonts w:ascii="Times New Roman" w:hAnsi="Times New Roman"/>
          <w:snapToGrid w:val="0"/>
        </w:rPr>
      </w:pPr>
      <w:r>
        <w:rPr>
          <w:rFonts w:ascii="Times New Roman" w:hAnsi="Times New Roman"/>
          <w:snapToGrid w:val="0"/>
        </w:rPr>
        <w:t>On September 15, 2017</w:t>
      </w:r>
      <w:r w:rsidR="00AC6973">
        <w:rPr>
          <w:rFonts w:ascii="Times New Roman" w:hAnsi="Times New Roman"/>
          <w:snapToGrid w:val="0"/>
        </w:rPr>
        <w:t>, the President signed into law</w:t>
      </w:r>
      <w:r>
        <w:rPr>
          <w:rFonts w:ascii="Times New Roman" w:hAnsi="Times New Roman"/>
          <w:snapToGrid w:val="0"/>
        </w:rPr>
        <w:t xml:space="preserve"> </w:t>
      </w:r>
      <w:r w:rsidRPr="00CF4CBB">
        <w:rPr>
          <w:rFonts w:ascii="Times New Roman" w:hAnsi="Times New Roman"/>
          <w:i/>
          <w:snapToGrid w:val="0"/>
        </w:rPr>
        <w:t>H.R. 624</w:t>
      </w:r>
      <w:r w:rsidR="00CF4CBB">
        <w:rPr>
          <w:rFonts w:ascii="Times New Roman" w:hAnsi="Times New Roman"/>
          <w:snapToGrid w:val="0"/>
        </w:rPr>
        <w:t xml:space="preserve">, the </w:t>
      </w:r>
      <w:r w:rsidRPr="00CF4CBB">
        <w:rPr>
          <w:rFonts w:ascii="Times New Roman" w:hAnsi="Times New Roman"/>
          <w:i/>
          <w:snapToGrid w:val="0"/>
        </w:rPr>
        <w:t>Social Security Fraud Prevention Act of 2017</w:t>
      </w:r>
      <w:r w:rsidR="004E2865">
        <w:rPr>
          <w:rFonts w:ascii="Times New Roman" w:hAnsi="Times New Roman"/>
          <w:snapToGrid w:val="0"/>
        </w:rPr>
        <w:t xml:space="preserve">, which became </w:t>
      </w:r>
      <w:r w:rsidR="004E2865" w:rsidRPr="00CF4CBB">
        <w:rPr>
          <w:rFonts w:ascii="Times New Roman" w:hAnsi="Times New Roman"/>
          <w:i/>
          <w:snapToGrid w:val="0"/>
        </w:rPr>
        <w:t>Section 2</w:t>
      </w:r>
      <w:r w:rsidR="004E2865">
        <w:rPr>
          <w:rFonts w:ascii="Times New Roman" w:hAnsi="Times New Roman"/>
          <w:snapToGrid w:val="0"/>
        </w:rPr>
        <w:t xml:space="preserve"> of </w:t>
      </w:r>
      <w:r w:rsidR="004E2865" w:rsidRPr="00CF4CBB">
        <w:rPr>
          <w:rFonts w:ascii="Times New Roman" w:hAnsi="Times New Roman"/>
          <w:i/>
          <w:snapToGrid w:val="0"/>
        </w:rPr>
        <w:t>P</w:t>
      </w:r>
      <w:r w:rsidR="00CF4CBB">
        <w:rPr>
          <w:rFonts w:ascii="Times New Roman" w:hAnsi="Times New Roman"/>
          <w:i/>
          <w:snapToGrid w:val="0"/>
        </w:rPr>
        <w:t xml:space="preserve">ublic Law No. </w:t>
      </w:r>
      <w:r w:rsidR="004E2865" w:rsidRPr="00CF4CBB">
        <w:rPr>
          <w:rFonts w:ascii="Times New Roman" w:hAnsi="Times New Roman"/>
          <w:i/>
          <w:snapToGrid w:val="0"/>
        </w:rPr>
        <w:t>115-59</w:t>
      </w:r>
      <w:r w:rsidR="004E2865">
        <w:rPr>
          <w:rFonts w:ascii="Times New Roman" w:hAnsi="Times New Roman"/>
          <w:snapToGrid w:val="0"/>
        </w:rPr>
        <w:t>.</w:t>
      </w:r>
      <w:r w:rsidR="00CF4CBB">
        <w:rPr>
          <w:rFonts w:ascii="Times New Roman" w:hAnsi="Times New Roman"/>
          <w:snapToGrid w:val="0"/>
        </w:rPr>
        <w:t xml:space="preserve"> </w:t>
      </w:r>
      <w:r w:rsidR="00E20852">
        <w:rPr>
          <w:rFonts w:ascii="Times New Roman" w:hAnsi="Times New Roman"/>
          <w:snapToGrid w:val="0"/>
        </w:rPr>
        <w:t xml:space="preserve"> This law, among other provisions, restricts th</w:t>
      </w:r>
      <w:r w:rsidR="00ED7AEB">
        <w:rPr>
          <w:rFonts w:ascii="Times New Roman" w:hAnsi="Times New Roman"/>
          <w:snapToGrid w:val="0"/>
        </w:rPr>
        <w:t>e inclusion of Social Security n</w:t>
      </w:r>
      <w:r w:rsidR="00E20852">
        <w:rPr>
          <w:rFonts w:ascii="Times New Roman" w:hAnsi="Times New Roman"/>
          <w:snapToGrid w:val="0"/>
        </w:rPr>
        <w:t xml:space="preserve">umbers (SSNs) on </w:t>
      </w:r>
      <w:r w:rsidR="00ED7AEB">
        <w:rPr>
          <w:rFonts w:ascii="Times New Roman" w:hAnsi="Times New Roman"/>
          <w:snapToGrid w:val="0"/>
        </w:rPr>
        <w:t xml:space="preserve">Federal </w:t>
      </w:r>
      <w:r w:rsidR="00E20852">
        <w:rPr>
          <w:rFonts w:ascii="Times New Roman" w:hAnsi="Times New Roman"/>
          <w:snapToGrid w:val="0"/>
        </w:rPr>
        <w:t xml:space="preserve">documents sent by </w:t>
      </w:r>
      <w:r w:rsidR="00ED7AEB">
        <w:rPr>
          <w:rFonts w:ascii="Times New Roman" w:hAnsi="Times New Roman"/>
          <w:snapToGrid w:val="0"/>
        </w:rPr>
        <w:t>mail</w:t>
      </w:r>
      <w:r w:rsidR="00E20852">
        <w:rPr>
          <w:rFonts w:ascii="Times New Roman" w:hAnsi="Times New Roman"/>
          <w:snapToGrid w:val="0"/>
        </w:rPr>
        <w:t>.</w:t>
      </w:r>
      <w:r w:rsidR="00CF4CBB">
        <w:rPr>
          <w:rFonts w:ascii="Times New Roman" w:hAnsi="Times New Roman"/>
          <w:snapToGrid w:val="0"/>
        </w:rPr>
        <w:t xml:space="preserve"> </w:t>
      </w:r>
      <w:r w:rsidR="00AC6973">
        <w:rPr>
          <w:rFonts w:ascii="Times New Roman" w:hAnsi="Times New Roman"/>
          <w:snapToGrid w:val="0"/>
        </w:rPr>
        <w:t xml:space="preserve"> </w:t>
      </w:r>
      <w:r w:rsidR="007A0DC4">
        <w:rPr>
          <w:rFonts w:ascii="Times New Roman" w:hAnsi="Times New Roman"/>
          <w:snapToGrid w:val="0"/>
        </w:rPr>
        <w:t>The law also requires Federal agencies to report to Congress annually on implementation efforts to remove SSNs from documents sent by mail, with the first report due 30 days after enactment</w:t>
      </w:r>
      <w:r w:rsidR="00CF4CBB">
        <w:rPr>
          <w:rFonts w:ascii="Times New Roman" w:hAnsi="Times New Roman"/>
          <w:snapToGrid w:val="0"/>
        </w:rPr>
        <w:t>,</w:t>
      </w:r>
      <w:r w:rsidR="007A0DC4">
        <w:rPr>
          <w:rFonts w:ascii="Times New Roman" w:hAnsi="Times New Roman"/>
          <w:snapToGrid w:val="0"/>
        </w:rPr>
        <w:t xml:space="preserve"> and annually thereafter for five years.</w:t>
      </w:r>
    </w:p>
    <w:p w:rsidR="00ED7AEB" w:rsidRDefault="00ED7AEB" w:rsidP="00AC6973">
      <w:pPr>
        <w:rPr>
          <w:rFonts w:ascii="Times New Roman" w:hAnsi="Times New Roman"/>
          <w:snapToGrid w:val="0"/>
        </w:rPr>
      </w:pPr>
    </w:p>
    <w:p w:rsidR="001D6668" w:rsidRDefault="00AB6914" w:rsidP="001D6668">
      <w:pPr>
        <w:rPr>
          <w:rFonts w:ascii="Times New Roman" w:hAnsi="Times New Roman"/>
          <w:snapToGrid w:val="0"/>
        </w:rPr>
      </w:pPr>
      <w:r>
        <w:rPr>
          <w:rFonts w:ascii="Times New Roman" w:hAnsi="Times New Roman"/>
          <w:snapToGrid w:val="0"/>
        </w:rPr>
        <w:t xml:space="preserve">Because </w:t>
      </w:r>
      <w:r w:rsidR="00BD4423">
        <w:rPr>
          <w:rFonts w:ascii="Times New Roman" w:hAnsi="Times New Roman"/>
          <w:snapToGrid w:val="0"/>
        </w:rPr>
        <w:t>of this legislation, w</w:t>
      </w:r>
      <w:r w:rsidR="00ED7AEB">
        <w:rPr>
          <w:rFonts w:ascii="Times New Roman" w:hAnsi="Times New Roman"/>
          <w:snapToGrid w:val="0"/>
        </w:rPr>
        <w:t>e will use the Beneficiary Notice Control number (BNC#) as a notice identifier in lieu of display</w:t>
      </w:r>
      <w:r w:rsidR="00BD4423">
        <w:rPr>
          <w:rFonts w:ascii="Times New Roman" w:hAnsi="Times New Roman"/>
          <w:snapToGrid w:val="0"/>
        </w:rPr>
        <w:t>ing the SSN on mailed documents.</w:t>
      </w:r>
      <w:r w:rsidR="00600191">
        <w:rPr>
          <w:rFonts w:ascii="Times New Roman" w:hAnsi="Times New Roman"/>
          <w:snapToGrid w:val="0"/>
        </w:rPr>
        <w:t xml:space="preserve">  To be in accordance with the law, we would like OMB approval as soon as possible to implement these revisions.</w:t>
      </w:r>
    </w:p>
    <w:p w:rsidR="00ED7AEB" w:rsidRPr="00E20852" w:rsidRDefault="00ED7AEB" w:rsidP="00AC6973">
      <w:pPr>
        <w:rPr>
          <w:rFonts w:ascii="Times New Roman" w:hAnsi="Times New Roman"/>
          <w:snapToGrid w:val="0"/>
        </w:rPr>
      </w:pPr>
    </w:p>
    <w:p w:rsidR="001D6668" w:rsidRPr="00E3281E" w:rsidRDefault="001D6668" w:rsidP="001D6668">
      <w:pPr>
        <w:rPr>
          <w:rFonts w:ascii="Times New Roman" w:hAnsi="Times New Roman"/>
          <w:b/>
          <w:snapToGrid w:val="0"/>
          <w:u w:val="single"/>
        </w:rPr>
      </w:pPr>
      <w:r w:rsidRPr="00E3281E">
        <w:rPr>
          <w:rFonts w:ascii="Times New Roman" w:hAnsi="Times New Roman"/>
          <w:b/>
          <w:snapToGrid w:val="0"/>
          <w:u w:val="single"/>
        </w:rPr>
        <w:t>Revisions to the</w:t>
      </w:r>
      <w:r>
        <w:rPr>
          <w:rFonts w:ascii="Times New Roman" w:hAnsi="Times New Roman"/>
          <w:b/>
          <w:snapToGrid w:val="0"/>
          <w:u w:val="single"/>
        </w:rPr>
        <w:t xml:space="preserve"> Collection Instrument</w:t>
      </w:r>
      <w:r w:rsidRPr="00E3281E">
        <w:rPr>
          <w:rFonts w:ascii="Times New Roman" w:hAnsi="Times New Roman"/>
          <w:b/>
          <w:snapToGrid w:val="0"/>
        </w:rPr>
        <w:t>:</w:t>
      </w:r>
    </w:p>
    <w:p w:rsidR="00AC6973" w:rsidRPr="00AC6973" w:rsidRDefault="00AC6973" w:rsidP="00AC6973">
      <w:pPr>
        <w:rPr>
          <w:rFonts w:ascii="Times New Roman" w:hAnsi="Times New Roman"/>
          <w:snapToGrid w:val="0"/>
        </w:rPr>
      </w:pPr>
    </w:p>
    <w:p w:rsidR="00262B15" w:rsidRPr="00CF4CBB" w:rsidRDefault="00262B15" w:rsidP="00CF4CBB">
      <w:pPr>
        <w:pStyle w:val="ListParagraph"/>
        <w:numPr>
          <w:ilvl w:val="0"/>
          <w:numId w:val="2"/>
        </w:numPr>
        <w:ind w:left="360"/>
        <w:rPr>
          <w:rFonts w:ascii="Times New Roman" w:hAnsi="Times New Roman"/>
          <w:snapToGrid w:val="0"/>
        </w:rPr>
      </w:pPr>
      <w:r w:rsidRPr="00CF4CBB">
        <w:rPr>
          <w:rFonts w:ascii="Times New Roman" w:hAnsi="Times New Roman"/>
          <w:b/>
          <w:snapToGrid w:val="0"/>
          <w:u w:val="single"/>
        </w:rPr>
        <w:t>Ch</w:t>
      </w:r>
      <w:r w:rsidR="001D6668" w:rsidRPr="00CF4CBB">
        <w:rPr>
          <w:rFonts w:ascii="Times New Roman" w:hAnsi="Times New Roman"/>
          <w:b/>
          <w:snapToGrid w:val="0"/>
          <w:u w:val="single"/>
        </w:rPr>
        <w:t>ange</w:t>
      </w:r>
      <w:r w:rsidR="00CF4CBB" w:rsidRPr="00CF4CBB">
        <w:rPr>
          <w:rFonts w:ascii="Times New Roman" w:hAnsi="Times New Roman"/>
          <w:b/>
          <w:snapToGrid w:val="0"/>
          <w:u w:val="single"/>
        </w:rPr>
        <w:t xml:space="preserve"> #1</w:t>
      </w:r>
      <w:r w:rsidR="00752842" w:rsidRPr="00CF4CBB">
        <w:rPr>
          <w:rFonts w:ascii="Times New Roman" w:hAnsi="Times New Roman"/>
          <w:snapToGrid w:val="0"/>
        </w:rPr>
        <w:t xml:space="preserve">:  </w:t>
      </w:r>
      <w:r w:rsidR="00AC6973" w:rsidRPr="00CF4CBB">
        <w:rPr>
          <w:rFonts w:ascii="Times New Roman" w:hAnsi="Times New Roman"/>
          <w:snapToGrid w:val="0"/>
        </w:rPr>
        <w:t>In the upper right-hand corner, w</w:t>
      </w:r>
      <w:r w:rsidR="00752842" w:rsidRPr="00CF4CBB">
        <w:rPr>
          <w:rFonts w:ascii="Times New Roman" w:hAnsi="Times New Roman"/>
          <w:snapToGrid w:val="0"/>
        </w:rPr>
        <w:t>e</w:t>
      </w:r>
      <w:r w:rsidR="00AC6973" w:rsidRPr="00CF4CBB">
        <w:rPr>
          <w:rFonts w:ascii="Times New Roman" w:hAnsi="Times New Roman"/>
          <w:snapToGrid w:val="0"/>
        </w:rPr>
        <w:t xml:space="preserve"> changed “Social Security Number” to “BNC#.” </w:t>
      </w:r>
    </w:p>
    <w:p w:rsidR="00262B15" w:rsidRDefault="00262B15" w:rsidP="00262B15">
      <w:pPr>
        <w:ind w:left="360"/>
        <w:rPr>
          <w:rFonts w:ascii="Times New Roman" w:hAnsi="Times New Roman"/>
          <w:snapToGrid w:val="0"/>
        </w:rPr>
      </w:pPr>
    </w:p>
    <w:p w:rsidR="00262B15" w:rsidRDefault="001D6668" w:rsidP="00746B25">
      <w:pPr>
        <w:tabs>
          <w:tab w:val="left" w:pos="7920"/>
        </w:tabs>
        <w:ind w:left="360"/>
        <w:rPr>
          <w:rFonts w:ascii="Times New Roman" w:hAnsi="Times New Roman"/>
          <w:snapToGrid w:val="0"/>
        </w:rPr>
      </w:pPr>
      <w:r w:rsidRPr="00CF4CBB">
        <w:rPr>
          <w:rFonts w:ascii="Times New Roman" w:hAnsi="Times New Roman"/>
          <w:b/>
          <w:snapToGrid w:val="0"/>
          <w:u w:val="single"/>
        </w:rPr>
        <w:t>Justification</w:t>
      </w:r>
      <w:r w:rsidR="00CF4CBB" w:rsidRPr="00CF4CBB">
        <w:rPr>
          <w:rFonts w:ascii="Times New Roman" w:hAnsi="Times New Roman"/>
          <w:b/>
          <w:snapToGrid w:val="0"/>
          <w:u w:val="single"/>
        </w:rPr>
        <w:t xml:space="preserve"> #1</w:t>
      </w:r>
      <w:r w:rsidR="00752842">
        <w:rPr>
          <w:rFonts w:ascii="Times New Roman" w:hAnsi="Times New Roman"/>
          <w:snapToGrid w:val="0"/>
        </w:rPr>
        <w:t xml:space="preserve">:  </w:t>
      </w:r>
      <w:r w:rsidR="00CF4CBB">
        <w:rPr>
          <w:rFonts w:ascii="Times New Roman" w:hAnsi="Times New Roman"/>
          <w:snapToGrid w:val="0"/>
        </w:rPr>
        <w:t>W</w:t>
      </w:r>
      <w:r w:rsidR="00752842">
        <w:rPr>
          <w:rFonts w:ascii="Times New Roman" w:hAnsi="Times New Roman"/>
          <w:snapToGrid w:val="0"/>
        </w:rPr>
        <w:t>e are</w:t>
      </w:r>
      <w:r w:rsidR="00AC6973">
        <w:rPr>
          <w:rFonts w:ascii="Times New Roman" w:hAnsi="Times New Roman"/>
          <w:snapToGrid w:val="0"/>
        </w:rPr>
        <w:t xml:space="preserve"> updating this </w:t>
      </w:r>
      <w:r w:rsidR="00ED7AEB">
        <w:rPr>
          <w:rFonts w:ascii="Times New Roman" w:hAnsi="Times New Roman"/>
          <w:snapToGrid w:val="0"/>
        </w:rPr>
        <w:t>form in accordance wit</w:t>
      </w:r>
      <w:r w:rsidR="004E2865">
        <w:rPr>
          <w:rFonts w:ascii="Times New Roman" w:hAnsi="Times New Roman"/>
          <w:snapToGrid w:val="0"/>
        </w:rPr>
        <w:t>h the law.</w:t>
      </w:r>
      <w:r w:rsidR="00ED7AEB">
        <w:rPr>
          <w:rFonts w:ascii="Times New Roman" w:hAnsi="Times New Roman"/>
          <w:snapToGrid w:val="0"/>
        </w:rPr>
        <w:t xml:space="preserve"> </w:t>
      </w:r>
      <w:r w:rsidR="00746B25">
        <w:rPr>
          <w:rFonts w:ascii="Times New Roman" w:hAnsi="Times New Roman"/>
          <w:snapToGrid w:val="0"/>
        </w:rPr>
        <w:tab/>
      </w:r>
    </w:p>
    <w:p w:rsidR="00746B25" w:rsidRDefault="00746B25" w:rsidP="00746B25">
      <w:pPr>
        <w:tabs>
          <w:tab w:val="left" w:pos="7920"/>
        </w:tabs>
        <w:rPr>
          <w:rFonts w:ascii="Times New Roman" w:hAnsi="Times New Roman"/>
          <w:snapToGrid w:val="0"/>
        </w:rPr>
      </w:pPr>
    </w:p>
    <w:p w:rsidR="00CF4CBB" w:rsidRDefault="00CF4CBB" w:rsidP="00746B25">
      <w:pPr>
        <w:tabs>
          <w:tab w:val="left" w:pos="7920"/>
        </w:tabs>
        <w:rPr>
          <w:rFonts w:ascii="Times New Roman" w:hAnsi="Times New Roman"/>
          <w:snapToGrid w:val="0"/>
        </w:rPr>
      </w:pPr>
    </w:p>
    <w:p w:rsidR="00600191" w:rsidRDefault="00600191" w:rsidP="00600191">
      <w:pPr>
        <w:tabs>
          <w:tab w:val="left" w:pos="7920"/>
        </w:tabs>
        <w:rPr>
          <w:rFonts w:ascii="Times New Roman" w:hAnsi="Times New Roman"/>
          <w:b/>
          <w:snapToGrid w:val="0"/>
          <w:u w:val="single"/>
        </w:rPr>
      </w:pPr>
      <w:r w:rsidRPr="00746B25">
        <w:rPr>
          <w:rFonts w:ascii="Times New Roman" w:hAnsi="Times New Roman"/>
          <w:b/>
          <w:snapToGrid w:val="0"/>
          <w:u w:val="single"/>
        </w:rPr>
        <w:t>Future Changes</w:t>
      </w:r>
    </w:p>
    <w:p w:rsidR="00600191" w:rsidRDefault="00600191" w:rsidP="00600191">
      <w:pPr>
        <w:tabs>
          <w:tab w:val="left" w:pos="7920"/>
        </w:tabs>
        <w:rPr>
          <w:rFonts w:ascii="Times New Roman" w:hAnsi="Times New Roman"/>
          <w:snapToGrid w:val="0"/>
        </w:rPr>
      </w:pPr>
      <w:r>
        <w:rPr>
          <w:rFonts w:ascii="Times New Roman" w:hAnsi="Times New Roman"/>
          <w:snapToGrid w:val="0"/>
        </w:rPr>
        <w:t xml:space="preserve">We are going to complete the scheduled full OMB clearance that will include additional updates for this form. </w:t>
      </w:r>
      <w:r w:rsidR="00DB14E4">
        <w:rPr>
          <w:rFonts w:ascii="Times New Roman" w:hAnsi="Times New Roman"/>
          <w:snapToGrid w:val="0"/>
        </w:rPr>
        <w:t xml:space="preserve"> </w:t>
      </w:r>
      <w:r>
        <w:rPr>
          <w:rFonts w:ascii="Times New Roman" w:hAnsi="Times New Roman"/>
          <w:snapToGrid w:val="0"/>
        </w:rPr>
        <w:t>We could not include this minor change for the BNC# during the full clearance due to the implementation stipulation within the Social Security Fraud Prevention Act of 2017.</w:t>
      </w:r>
    </w:p>
    <w:p w:rsidR="00600191" w:rsidRDefault="00600191" w:rsidP="00746B25">
      <w:pPr>
        <w:tabs>
          <w:tab w:val="left" w:pos="7920"/>
        </w:tabs>
        <w:rPr>
          <w:rFonts w:ascii="Times New Roman" w:hAnsi="Times New Roman"/>
          <w:snapToGrid w:val="0"/>
        </w:rPr>
      </w:pPr>
    </w:p>
    <w:p w:rsidR="00600191" w:rsidRDefault="00600191" w:rsidP="00746B25">
      <w:pPr>
        <w:tabs>
          <w:tab w:val="left" w:pos="7920"/>
        </w:tabs>
        <w:rPr>
          <w:rFonts w:ascii="Times New Roman" w:hAnsi="Times New Roman"/>
          <w:snapToGrid w:val="0"/>
        </w:rPr>
      </w:pPr>
    </w:p>
    <w:p w:rsidR="00CF4CBB" w:rsidRPr="000E72EC" w:rsidRDefault="00CF4CBB" w:rsidP="00CF4CBB">
      <w:pPr>
        <w:rPr>
          <w:rFonts w:ascii="Times New Roman" w:hAnsi="Times New Roman"/>
          <w:snapToGrid w:val="0"/>
        </w:rPr>
      </w:pPr>
      <w:r w:rsidRPr="000E72EC">
        <w:rPr>
          <w:rFonts w:ascii="Times New Roman" w:hAnsi="Times New Roman"/>
          <w:snapToGrid w:val="0"/>
        </w:rPr>
        <w:t>SSA will implement th</w:t>
      </w:r>
      <w:r>
        <w:rPr>
          <w:rFonts w:ascii="Times New Roman" w:hAnsi="Times New Roman"/>
          <w:snapToGrid w:val="0"/>
        </w:rPr>
        <w:t xml:space="preserve">is </w:t>
      </w:r>
      <w:r w:rsidRPr="000E72EC">
        <w:rPr>
          <w:rFonts w:ascii="Times New Roman" w:hAnsi="Times New Roman"/>
          <w:snapToGrid w:val="0"/>
        </w:rPr>
        <w:t xml:space="preserve">change </w:t>
      </w:r>
      <w:r>
        <w:rPr>
          <w:rFonts w:ascii="Times New Roman" w:hAnsi="Times New Roman"/>
          <w:snapToGrid w:val="0"/>
        </w:rPr>
        <w:t xml:space="preserve">to the SSA-1588 </w:t>
      </w:r>
      <w:r w:rsidRPr="000E72EC">
        <w:rPr>
          <w:rFonts w:ascii="Times New Roman" w:hAnsi="Times New Roman"/>
          <w:snapToGrid w:val="0"/>
        </w:rPr>
        <w:t>upon OMB approval.</w:t>
      </w:r>
    </w:p>
    <w:p w:rsidR="00CF4CBB" w:rsidRPr="000E72EC" w:rsidRDefault="00CF4CBB" w:rsidP="00CF4CBB">
      <w:pPr>
        <w:rPr>
          <w:rFonts w:ascii="Times New Roman" w:hAnsi="Times New Roman"/>
          <w:snapToGrid w:val="0"/>
        </w:rPr>
      </w:pPr>
    </w:p>
    <w:p w:rsidR="00CF4CBB" w:rsidRDefault="00CF4CBB" w:rsidP="008365C8">
      <w:pPr>
        <w:rPr>
          <w:rFonts w:ascii="Times New Roman" w:hAnsi="Times New Roman"/>
          <w:snapToGrid w:val="0"/>
        </w:rPr>
      </w:pPr>
      <w:r w:rsidRPr="000E72EC">
        <w:rPr>
          <w:rFonts w:ascii="Times New Roman" w:hAnsi="Times New Roman"/>
          <w:snapToGrid w:val="0"/>
        </w:rPr>
        <w:t>Th</w:t>
      </w:r>
      <w:r>
        <w:rPr>
          <w:rFonts w:ascii="Times New Roman" w:hAnsi="Times New Roman"/>
          <w:snapToGrid w:val="0"/>
        </w:rPr>
        <w:t>is</w:t>
      </w:r>
      <w:r w:rsidRPr="000E72EC">
        <w:rPr>
          <w:rFonts w:ascii="Times New Roman" w:hAnsi="Times New Roman"/>
          <w:snapToGrid w:val="0"/>
        </w:rPr>
        <w:t xml:space="preserve"> action do</w:t>
      </w:r>
      <w:r>
        <w:rPr>
          <w:rFonts w:ascii="Times New Roman" w:hAnsi="Times New Roman"/>
          <w:snapToGrid w:val="0"/>
        </w:rPr>
        <w:t>es</w:t>
      </w:r>
      <w:r w:rsidRPr="000E72EC">
        <w:rPr>
          <w:rFonts w:ascii="Times New Roman" w:hAnsi="Times New Roman"/>
          <w:snapToGrid w:val="0"/>
        </w:rPr>
        <w:t xml:space="preserve"> not affect the public reporting burden</w:t>
      </w:r>
      <w:r>
        <w:rPr>
          <w:rFonts w:ascii="Times New Roman" w:hAnsi="Times New Roman"/>
          <w:snapToGrid w:val="0"/>
        </w:rPr>
        <w:t>.</w:t>
      </w:r>
    </w:p>
    <w:sectPr w:rsidR="00CF4CBB" w:rsidSect="00CF4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C87A07"/>
    <w:multiLevelType w:val="hybridMultilevel"/>
    <w:tmpl w:val="43D6B6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F083298"/>
    <w:multiLevelType w:val="hybridMultilevel"/>
    <w:tmpl w:val="E9F05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3663E"/>
    <w:rsid w:val="0004054E"/>
    <w:rsid w:val="00040672"/>
    <w:rsid w:val="000416A2"/>
    <w:rsid w:val="000438D0"/>
    <w:rsid w:val="00043B34"/>
    <w:rsid w:val="00044538"/>
    <w:rsid w:val="00050491"/>
    <w:rsid w:val="00050608"/>
    <w:rsid w:val="00052363"/>
    <w:rsid w:val="000554F4"/>
    <w:rsid w:val="00055F12"/>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D6668"/>
    <w:rsid w:val="001E0A5B"/>
    <w:rsid w:val="001E35CA"/>
    <w:rsid w:val="001E3D0E"/>
    <w:rsid w:val="001E641A"/>
    <w:rsid w:val="001E690F"/>
    <w:rsid w:val="001E6D83"/>
    <w:rsid w:val="001E7622"/>
    <w:rsid w:val="001F014E"/>
    <w:rsid w:val="001F0E7F"/>
    <w:rsid w:val="001F2ADB"/>
    <w:rsid w:val="001F5CE4"/>
    <w:rsid w:val="001F66C8"/>
    <w:rsid w:val="00200C8C"/>
    <w:rsid w:val="002019F7"/>
    <w:rsid w:val="002023A8"/>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27E41"/>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2684"/>
    <w:rsid w:val="0037379A"/>
    <w:rsid w:val="003815DA"/>
    <w:rsid w:val="00382189"/>
    <w:rsid w:val="00386B03"/>
    <w:rsid w:val="00390B36"/>
    <w:rsid w:val="00392418"/>
    <w:rsid w:val="0039296B"/>
    <w:rsid w:val="003958A1"/>
    <w:rsid w:val="003A704A"/>
    <w:rsid w:val="003A7123"/>
    <w:rsid w:val="003B23DE"/>
    <w:rsid w:val="003B4304"/>
    <w:rsid w:val="003B7D9B"/>
    <w:rsid w:val="003C3BFE"/>
    <w:rsid w:val="003C4D0B"/>
    <w:rsid w:val="003C5E4B"/>
    <w:rsid w:val="003C6050"/>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6449"/>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865"/>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6A6"/>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0191"/>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57E0"/>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46B25"/>
    <w:rsid w:val="00751BEA"/>
    <w:rsid w:val="00752842"/>
    <w:rsid w:val="00753BA5"/>
    <w:rsid w:val="0075748A"/>
    <w:rsid w:val="00763277"/>
    <w:rsid w:val="007649C4"/>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0DC4"/>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365C8"/>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4158"/>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2E39"/>
    <w:rsid w:val="00945621"/>
    <w:rsid w:val="00950C77"/>
    <w:rsid w:val="009545B6"/>
    <w:rsid w:val="00954B07"/>
    <w:rsid w:val="009606C1"/>
    <w:rsid w:val="00962099"/>
    <w:rsid w:val="009701F1"/>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5C8C"/>
    <w:rsid w:val="009E7924"/>
    <w:rsid w:val="009F020E"/>
    <w:rsid w:val="009F0852"/>
    <w:rsid w:val="009F2050"/>
    <w:rsid w:val="009F48B7"/>
    <w:rsid w:val="009F60E4"/>
    <w:rsid w:val="009F678C"/>
    <w:rsid w:val="00A02E8F"/>
    <w:rsid w:val="00A0587D"/>
    <w:rsid w:val="00A10741"/>
    <w:rsid w:val="00A11DE2"/>
    <w:rsid w:val="00A122C9"/>
    <w:rsid w:val="00A14EE3"/>
    <w:rsid w:val="00A15EDB"/>
    <w:rsid w:val="00A168FE"/>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0ECC"/>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B6914"/>
    <w:rsid w:val="00AC01DE"/>
    <w:rsid w:val="00AC2EEB"/>
    <w:rsid w:val="00AC6973"/>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4423"/>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4F8"/>
    <w:rsid w:val="00CF4612"/>
    <w:rsid w:val="00CF4CBB"/>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86652"/>
    <w:rsid w:val="00D90130"/>
    <w:rsid w:val="00D92F06"/>
    <w:rsid w:val="00D94C84"/>
    <w:rsid w:val="00D95814"/>
    <w:rsid w:val="00D96C76"/>
    <w:rsid w:val="00D97DCA"/>
    <w:rsid w:val="00D97E88"/>
    <w:rsid w:val="00DA0824"/>
    <w:rsid w:val="00DA1B56"/>
    <w:rsid w:val="00DA3B8B"/>
    <w:rsid w:val="00DA6E46"/>
    <w:rsid w:val="00DB14E4"/>
    <w:rsid w:val="00DB3C8E"/>
    <w:rsid w:val="00DC44E9"/>
    <w:rsid w:val="00DC44EB"/>
    <w:rsid w:val="00DC53FF"/>
    <w:rsid w:val="00DC5443"/>
    <w:rsid w:val="00DC5766"/>
    <w:rsid w:val="00DC5D45"/>
    <w:rsid w:val="00DD35DB"/>
    <w:rsid w:val="00DD3A3E"/>
    <w:rsid w:val="00DD55EE"/>
    <w:rsid w:val="00DD7945"/>
    <w:rsid w:val="00DE2695"/>
    <w:rsid w:val="00DF05DC"/>
    <w:rsid w:val="00DF21AB"/>
    <w:rsid w:val="00DF4321"/>
    <w:rsid w:val="00E01241"/>
    <w:rsid w:val="00E03CC3"/>
    <w:rsid w:val="00E10A54"/>
    <w:rsid w:val="00E115E9"/>
    <w:rsid w:val="00E15514"/>
    <w:rsid w:val="00E157B0"/>
    <w:rsid w:val="00E20852"/>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30F3"/>
    <w:rsid w:val="00EA6B29"/>
    <w:rsid w:val="00EB0A2E"/>
    <w:rsid w:val="00EB122D"/>
    <w:rsid w:val="00EB1C70"/>
    <w:rsid w:val="00EB321A"/>
    <w:rsid w:val="00EB34AA"/>
    <w:rsid w:val="00EC6A7D"/>
    <w:rsid w:val="00EC6CAF"/>
    <w:rsid w:val="00ED1BF5"/>
    <w:rsid w:val="00ED3F8C"/>
    <w:rsid w:val="00ED7AEB"/>
    <w:rsid w:val="00EE4833"/>
    <w:rsid w:val="00EE7A15"/>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4FEA"/>
    <w:rsid w:val="00FA50CD"/>
    <w:rsid w:val="00FA571A"/>
    <w:rsid w:val="00FA6EF8"/>
    <w:rsid w:val="00FB39FE"/>
    <w:rsid w:val="00FC221A"/>
    <w:rsid w:val="00FC33C2"/>
    <w:rsid w:val="00FC423E"/>
    <w:rsid w:val="00FC4840"/>
    <w:rsid w:val="00FC5B22"/>
    <w:rsid w:val="00FC7754"/>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character" w:styleId="CommentReference">
    <w:name w:val="annotation reference"/>
    <w:rsid w:val="0003663E"/>
    <w:rPr>
      <w:sz w:val="16"/>
      <w:szCs w:val="16"/>
    </w:rPr>
  </w:style>
  <w:style w:type="paragraph" w:styleId="CommentText">
    <w:name w:val="annotation text"/>
    <w:basedOn w:val="Normal"/>
    <w:link w:val="CommentTextChar"/>
    <w:rsid w:val="0003663E"/>
    <w:rPr>
      <w:sz w:val="20"/>
      <w:szCs w:val="20"/>
    </w:rPr>
  </w:style>
  <w:style w:type="character" w:customStyle="1" w:styleId="CommentTextChar">
    <w:name w:val="Comment Text Char"/>
    <w:link w:val="CommentText"/>
    <w:rsid w:val="0003663E"/>
    <w:rPr>
      <w:rFonts w:ascii="Courier" w:hAnsi="Courier"/>
    </w:rPr>
  </w:style>
  <w:style w:type="paragraph" w:styleId="CommentSubject">
    <w:name w:val="annotation subject"/>
    <w:basedOn w:val="CommentText"/>
    <w:next w:val="CommentText"/>
    <w:link w:val="CommentSubjectChar"/>
    <w:rsid w:val="0003663E"/>
    <w:rPr>
      <w:b/>
      <w:bCs/>
    </w:rPr>
  </w:style>
  <w:style w:type="character" w:customStyle="1" w:styleId="CommentSubjectChar">
    <w:name w:val="Comment Subject Char"/>
    <w:link w:val="CommentSubject"/>
    <w:rsid w:val="0003663E"/>
    <w:rPr>
      <w:rFonts w:ascii="Courier" w:hAnsi="Courier"/>
      <w:b/>
      <w:bCs/>
    </w:rPr>
  </w:style>
  <w:style w:type="paragraph" w:styleId="BalloonText">
    <w:name w:val="Balloon Text"/>
    <w:basedOn w:val="Normal"/>
    <w:link w:val="BalloonTextChar"/>
    <w:rsid w:val="0003663E"/>
    <w:rPr>
      <w:rFonts w:ascii="Tahoma" w:hAnsi="Tahoma" w:cs="Tahoma"/>
      <w:sz w:val="16"/>
      <w:szCs w:val="16"/>
    </w:rPr>
  </w:style>
  <w:style w:type="character" w:customStyle="1" w:styleId="BalloonTextChar">
    <w:name w:val="Balloon Text Char"/>
    <w:link w:val="BalloonText"/>
    <w:rsid w:val="000366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character" w:styleId="CommentReference">
    <w:name w:val="annotation reference"/>
    <w:rsid w:val="0003663E"/>
    <w:rPr>
      <w:sz w:val="16"/>
      <w:szCs w:val="16"/>
    </w:rPr>
  </w:style>
  <w:style w:type="paragraph" w:styleId="CommentText">
    <w:name w:val="annotation text"/>
    <w:basedOn w:val="Normal"/>
    <w:link w:val="CommentTextChar"/>
    <w:rsid w:val="0003663E"/>
    <w:rPr>
      <w:sz w:val="20"/>
      <w:szCs w:val="20"/>
    </w:rPr>
  </w:style>
  <w:style w:type="character" w:customStyle="1" w:styleId="CommentTextChar">
    <w:name w:val="Comment Text Char"/>
    <w:link w:val="CommentText"/>
    <w:rsid w:val="0003663E"/>
    <w:rPr>
      <w:rFonts w:ascii="Courier" w:hAnsi="Courier"/>
    </w:rPr>
  </w:style>
  <w:style w:type="paragraph" w:styleId="CommentSubject">
    <w:name w:val="annotation subject"/>
    <w:basedOn w:val="CommentText"/>
    <w:next w:val="CommentText"/>
    <w:link w:val="CommentSubjectChar"/>
    <w:rsid w:val="0003663E"/>
    <w:rPr>
      <w:b/>
      <w:bCs/>
    </w:rPr>
  </w:style>
  <w:style w:type="character" w:customStyle="1" w:styleId="CommentSubjectChar">
    <w:name w:val="Comment Subject Char"/>
    <w:link w:val="CommentSubject"/>
    <w:rsid w:val="0003663E"/>
    <w:rPr>
      <w:rFonts w:ascii="Courier" w:hAnsi="Courier"/>
      <w:b/>
      <w:bCs/>
    </w:rPr>
  </w:style>
  <w:style w:type="paragraph" w:styleId="BalloonText">
    <w:name w:val="Balloon Text"/>
    <w:basedOn w:val="Normal"/>
    <w:link w:val="BalloonTextChar"/>
    <w:rsid w:val="0003663E"/>
    <w:rPr>
      <w:rFonts w:ascii="Tahoma" w:hAnsi="Tahoma" w:cs="Tahoma"/>
      <w:sz w:val="16"/>
      <w:szCs w:val="16"/>
    </w:rPr>
  </w:style>
  <w:style w:type="character" w:customStyle="1" w:styleId="BalloonTextChar">
    <w:name w:val="Balloon Text Char"/>
    <w:link w:val="BalloonText"/>
    <w:rsid w:val="000366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205541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Naomi</dc:creator>
  <cp:keywords/>
  <cp:lastModifiedBy>SYSTEM</cp:lastModifiedBy>
  <cp:revision>2</cp:revision>
  <dcterms:created xsi:type="dcterms:W3CDTF">2019-03-12T10:32:00Z</dcterms:created>
  <dcterms:modified xsi:type="dcterms:W3CDTF">2019-03-12T10:32:00Z</dcterms:modified>
</cp:coreProperties>
</file>