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AE4B8" w14:textId="77777777" w:rsidR="000C1537" w:rsidRPr="002A2EE9" w:rsidRDefault="000C1537" w:rsidP="002A2EE9">
      <w:pPr>
        <w:jc w:val="center"/>
        <w:rPr>
          <w:b/>
        </w:rPr>
      </w:pPr>
      <w:bookmarkStart w:id="0" w:name="_GoBack"/>
      <w:bookmarkEnd w:id="0"/>
      <w:r w:rsidRPr="002A2EE9">
        <w:rPr>
          <w:b/>
        </w:rPr>
        <w:t>Supporting Statement for Paperwork Reduction Act Submissions</w:t>
      </w:r>
    </w:p>
    <w:p w14:paraId="366389A0" w14:textId="3BB6ECAB" w:rsidR="00AE3D13" w:rsidRPr="00235360" w:rsidRDefault="00F52AFE" w:rsidP="0077347B">
      <w:pPr>
        <w:jc w:val="center"/>
        <w:rPr>
          <w:b/>
          <w:noProof w:val="0"/>
          <w:szCs w:val="24"/>
        </w:rPr>
      </w:pPr>
      <w:r w:rsidRPr="00B54823">
        <w:rPr>
          <w:b/>
        </w:rPr>
        <w:t xml:space="preserve">Application for </w:t>
      </w:r>
      <w:r>
        <w:rPr>
          <w:b/>
        </w:rPr>
        <w:t xml:space="preserve">Procurement Quota for </w:t>
      </w:r>
      <w:r w:rsidRPr="00B54823">
        <w:rPr>
          <w:b/>
        </w:rPr>
        <w:t>Controlled Substance and for Ephedrine,</w:t>
      </w:r>
      <w:r>
        <w:rPr>
          <w:b/>
        </w:rPr>
        <w:t xml:space="preserve"> </w:t>
      </w:r>
      <w:r w:rsidRPr="00B54823">
        <w:rPr>
          <w:b/>
        </w:rPr>
        <w:t>Pseudoephedrine, and Phenylpropanolamine</w:t>
      </w:r>
      <w:r>
        <w:rPr>
          <w:b/>
        </w:rPr>
        <w:t xml:space="preserve"> </w:t>
      </w:r>
      <w:r w:rsidRPr="00B54823">
        <w:rPr>
          <w:b/>
        </w:rPr>
        <w:t xml:space="preserve">(DEA Form </w:t>
      </w:r>
      <w:r>
        <w:rPr>
          <w:b/>
        </w:rPr>
        <w:t>250</w:t>
      </w:r>
      <w:r w:rsidRPr="00B54823">
        <w:rPr>
          <w:b/>
        </w:rPr>
        <w:t>)</w:t>
      </w:r>
    </w:p>
    <w:p w14:paraId="23A389AE" w14:textId="56885C4F" w:rsidR="001A64B0" w:rsidRPr="00235360" w:rsidRDefault="001A64B0" w:rsidP="00AE3D13">
      <w:pPr>
        <w:jc w:val="center"/>
        <w:rPr>
          <w:b/>
          <w:noProof w:val="0"/>
          <w:szCs w:val="24"/>
        </w:rPr>
      </w:pPr>
      <w:r w:rsidRPr="00235360">
        <w:rPr>
          <w:b/>
          <w:noProof w:val="0"/>
          <w:szCs w:val="24"/>
        </w:rPr>
        <w:t xml:space="preserve">OMB </w:t>
      </w:r>
      <w:r w:rsidR="004A0B75" w:rsidRPr="00235360">
        <w:rPr>
          <w:b/>
          <w:noProof w:val="0"/>
          <w:szCs w:val="24"/>
        </w:rPr>
        <w:t xml:space="preserve">Approval </w:t>
      </w:r>
      <w:r w:rsidR="003553CE">
        <w:rPr>
          <w:b/>
          <w:noProof w:val="0"/>
          <w:szCs w:val="24"/>
        </w:rPr>
        <w:t>#</w:t>
      </w:r>
      <w:r w:rsidR="00F52AFE">
        <w:rPr>
          <w:b/>
          <w:noProof w:val="0"/>
          <w:szCs w:val="24"/>
        </w:rPr>
        <w:t>1117-0008</w:t>
      </w:r>
    </w:p>
    <w:p w14:paraId="73CA5F41" w14:textId="77777777" w:rsidR="00CE2AFF" w:rsidRPr="00CE2AFF" w:rsidRDefault="00CE2AFF" w:rsidP="00CE2AFF">
      <w:pPr>
        <w:rPr>
          <w:noProof w:val="0"/>
          <w:szCs w:val="24"/>
        </w:rPr>
      </w:pPr>
    </w:p>
    <w:p w14:paraId="2C62A01D" w14:textId="5E634F5E" w:rsidR="00B051D2" w:rsidRDefault="00B051D2" w:rsidP="0077347B">
      <w:pPr>
        <w:jc w:val="both"/>
        <w:rPr>
          <w:noProof w:val="0"/>
          <w:szCs w:val="24"/>
        </w:rPr>
      </w:pPr>
      <w:r w:rsidRPr="00235360">
        <w:rPr>
          <w:noProof w:val="0"/>
          <w:szCs w:val="24"/>
        </w:rPr>
        <w:t>The Drug Enforcement Administration (DEA) seeks</w:t>
      </w:r>
      <w:r w:rsidR="00090C0E" w:rsidRPr="00235360">
        <w:rPr>
          <w:noProof w:val="0"/>
          <w:szCs w:val="24"/>
        </w:rPr>
        <w:t xml:space="preserve"> approval by</w:t>
      </w:r>
      <w:r w:rsidRPr="00235360">
        <w:rPr>
          <w:noProof w:val="0"/>
          <w:szCs w:val="24"/>
        </w:rPr>
        <w:t xml:space="preserve"> </w:t>
      </w:r>
      <w:r w:rsidR="009151B2" w:rsidRPr="00235360">
        <w:rPr>
          <w:noProof w:val="0"/>
          <w:szCs w:val="24"/>
        </w:rPr>
        <w:t xml:space="preserve">the </w:t>
      </w:r>
      <w:r w:rsidRPr="00235360">
        <w:rPr>
          <w:noProof w:val="0"/>
          <w:szCs w:val="24"/>
        </w:rPr>
        <w:t xml:space="preserve">Office of Management and Budget (OMB) </w:t>
      </w:r>
      <w:r w:rsidR="007B0BA3" w:rsidRPr="00235360">
        <w:rPr>
          <w:noProof w:val="0"/>
          <w:szCs w:val="24"/>
        </w:rPr>
        <w:t>for</w:t>
      </w:r>
      <w:r w:rsidRPr="00235360">
        <w:rPr>
          <w:noProof w:val="0"/>
          <w:szCs w:val="24"/>
        </w:rPr>
        <w:t xml:space="preserve"> an existing collection of information that was previously approved by OMB</w:t>
      </w:r>
      <w:r w:rsidR="00FB41E0" w:rsidRPr="00235360">
        <w:rPr>
          <w:noProof w:val="0"/>
          <w:szCs w:val="24"/>
        </w:rPr>
        <w:t xml:space="preserve"> – </w:t>
      </w:r>
      <w:r w:rsidR="00813BD7" w:rsidRPr="00235360">
        <w:rPr>
          <w:noProof w:val="0"/>
          <w:szCs w:val="24"/>
        </w:rPr>
        <w:t xml:space="preserve">OMB </w:t>
      </w:r>
      <w:r w:rsidR="00F52AFE">
        <w:rPr>
          <w:noProof w:val="0"/>
          <w:szCs w:val="24"/>
        </w:rPr>
        <w:t>Approval #1117-0008</w:t>
      </w:r>
      <w:r w:rsidR="007A31AF" w:rsidRPr="00235360">
        <w:rPr>
          <w:noProof w:val="0"/>
          <w:szCs w:val="24"/>
        </w:rPr>
        <w:t xml:space="preserve">, </w:t>
      </w:r>
      <w:r w:rsidR="00F52AFE">
        <w:t xml:space="preserve">Application for </w:t>
      </w:r>
      <w:r w:rsidR="00F52AFE" w:rsidRPr="00486CC2">
        <w:t>Procurement Quota for Controlled Substance and for Ephedrine, Pseudoephedrine, and Phenylpropanolamine</w:t>
      </w:r>
      <w:r w:rsidR="00F52AFE">
        <w:t xml:space="preserve"> (DEA Form 250)</w:t>
      </w:r>
      <w:r w:rsidR="007A31AF" w:rsidRPr="00235360">
        <w:rPr>
          <w:noProof w:val="0"/>
          <w:szCs w:val="24"/>
        </w:rPr>
        <w:t>.</w:t>
      </w:r>
    </w:p>
    <w:p w14:paraId="22E8B93E" w14:textId="77777777" w:rsidR="00F52AFE" w:rsidRPr="00235360" w:rsidRDefault="00F52AFE" w:rsidP="00AE3D13">
      <w:pPr>
        <w:rPr>
          <w:noProof w:val="0"/>
          <w:szCs w:val="24"/>
        </w:rPr>
      </w:pPr>
    </w:p>
    <w:p w14:paraId="05A3F214" w14:textId="19183F87" w:rsidR="000C1537" w:rsidRPr="00FE4D28" w:rsidRDefault="001A64B0" w:rsidP="00CE2AFF">
      <w:pPr>
        <w:pStyle w:val="BodyText"/>
        <w:spacing w:line="240" w:lineRule="auto"/>
        <w:rPr>
          <w:rFonts w:ascii="Times New Roman" w:hAnsi="Times New Roman"/>
          <w:b/>
          <w:sz w:val="24"/>
          <w:szCs w:val="24"/>
        </w:rPr>
      </w:pPr>
      <w:r w:rsidRPr="00FE4D28">
        <w:rPr>
          <w:rFonts w:ascii="Times New Roman" w:hAnsi="Times New Roman"/>
          <w:b/>
          <w:sz w:val="24"/>
          <w:szCs w:val="24"/>
        </w:rPr>
        <w:t xml:space="preserve">Part </w:t>
      </w:r>
      <w:r w:rsidR="000C1537" w:rsidRPr="00FE4D28">
        <w:rPr>
          <w:rFonts w:ascii="Times New Roman" w:hAnsi="Times New Roman"/>
          <w:b/>
          <w:sz w:val="24"/>
          <w:szCs w:val="24"/>
        </w:rPr>
        <w:t>A.</w:t>
      </w:r>
      <w:r w:rsidR="00FE4D28">
        <w:rPr>
          <w:rFonts w:ascii="Times New Roman" w:hAnsi="Times New Roman"/>
          <w:b/>
          <w:sz w:val="24"/>
          <w:szCs w:val="24"/>
        </w:rPr>
        <w:t xml:space="preserve"> </w:t>
      </w:r>
      <w:r w:rsidR="000C1537" w:rsidRPr="00FE4D28">
        <w:rPr>
          <w:rFonts w:ascii="Times New Roman" w:hAnsi="Times New Roman"/>
          <w:b/>
          <w:sz w:val="24"/>
          <w:szCs w:val="24"/>
        </w:rPr>
        <w:t xml:space="preserve"> </w:t>
      </w:r>
      <w:r w:rsidR="00D52432" w:rsidRPr="00FE4D28">
        <w:rPr>
          <w:rFonts w:ascii="Times New Roman" w:hAnsi="Times New Roman"/>
          <w:b/>
          <w:sz w:val="24"/>
          <w:szCs w:val="24"/>
        </w:rPr>
        <w:t>Justification</w:t>
      </w:r>
    </w:p>
    <w:p w14:paraId="7D8AA4C1" w14:textId="77777777" w:rsidR="001A64B0" w:rsidRPr="00235360" w:rsidRDefault="001A64B0" w:rsidP="00AE3D13">
      <w:pPr>
        <w:rPr>
          <w:noProof w:val="0"/>
          <w:szCs w:val="24"/>
        </w:rPr>
      </w:pPr>
    </w:p>
    <w:p w14:paraId="4ADF88DB" w14:textId="77777777" w:rsidR="004202AA" w:rsidRPr="00235360" w:rsidRDefault="000C1537" w:rsidP="00AE3D13">
      <w:pPr>
        <w:rPr>
          <w:noProof w:val="0"/>
          <w:szCs w:val="24"/>
        </w:rPr>
      </w:pPr>
      <w:r w:rsidRPr="00235360">
        <w:rPr>
          <w:noProof w:val="0"/>
          <w:szCs w:val="24"/>
        </w:rPr>
        <w:t xml:space="preserve">1. </w:t>
      </w:r>
      <w:r w:rsidR="00090C0E" w:rsidRPr="00235360">
        <w:rPr>
          <w:noProof w:val="0"/>
          <w:szCs w:val="24"/>
        </w:rPr>
        <w:t xml:space="preserve"> </w:t>
      </w:r>
      <w:r w:rsidR="004202AA" w:rsidRPr="00235360">
        <w:rPr>
          <w:noProof w:val="0"/>
          <w:szCs w:val="24"/>
          <w:u w:val="single"/>
        </w:rPr>
        <w:t>Necessity of Information:</w:t>
      </w:r>
    </w:p>
    <w:p w14:paraId="7C92266D" w14:textId="77777777" w:rsidR="00CE207E" w:rsidRPr="00235360" w:rsidRDefault="00CE207E" w:rsidP="00AE3D13">
      <w:pPr>
        <w:jc w:val="both"/>
        <w:rPr>
          <w:noProof w:val="0"/>
          <w:szCs w:val="24"/>
        </w:rPr>
      </w:pPr>
    </w:p>
    <w:p w14:paraId="0DD920E2" w14:textId="3115062E" w:rsidR="001A64B0" w:rsidRPr="00235360" w:rsidRDefault="00F52AFE" w:rsidP="00F52AFE">
      <w:pPr>
        <w:jc w:val="both"/>
        <w:rPr>
          <w:noProof w:val="0"/>
          <w:szCs w:val="24"/>
        </w:rPr>
      </w:pPr>
      <w:r w:rsidRPr="00F52AFE">
        <w:rPr>
          <w:noProof w:val="0"/>
          <w:szCs w:val="24"/>
        </w:rPr>
        <w:t xml:space="preserve">Any </w:t>
      </w:r>
      <w:r w:rsidR="00F3591B">
        <w:rPr>
          <w:noProof w:val="0"/>
          <w:szCs w:val="24"/>
        </w:rPr>
        <w:t>person</w:t>
      </w:r>
      <w:r w:rsidRPr="00F52AFE">
        <w:rPr>
          <w:noProof w:val="0"/>
          <w:szCs w:val="24"/>
        </w:rPr>
        <w:t xml:space="preserve"> that desire</w:t>
      </w:r>
      <w:r w:rsidR="00F3591B">
        <w:rPr>
          <w:noProof w:val="0"/>
          <w:szCs w:val="24"/>
        </w:rPr>
        <w:t>s</w:t>
      </w:r>
      <w:r w:rsidRPr="00F52AFE">
        <w:rPr>
          <w:noProof w:val="0"/>
          <w:szCs w:val="24"/>
        </w:rPr>
        <w:t xml:space="preserve"> to use any basic class of controlled substances listed in schedule</w:t>
      </w:r>
      <w:r>
        <w:rPr>
          <w:noProof w:val="0"/>
          <w:szCs w:val="24"/>
        </w:rPr>
        <w:t>s</w:t>
      </w:r>
      <w:r w:rsidRPr="00F52AFE">
        <w:rPr>
          <w:noProof w:val="0"/>
          <w:szCs w:val="24"/>
        </w:rPr>
        <w:t xml:space="preserve"> I or II or the List I chemicals ephedrine, pseudoephedrine, or phenylpropanolamine for purposes of manufacturing during the next calendar year shall apply on DEA Form 250 for a procurement quota for such class</w:t>
      </w:r>
      <w:r w:rsidR="00F3591B">
        <w:rPr>
          <w:noProof w:val="0"/>
          <w:szCs w:val="24"/>
        </w:rPr>
        <w:t xml:space="preserve"> or List I chemical</w:t>
      </w:r>
      <w:r w:rsidRPr="00F52AFE">
        <w:rPr>
          <w:noProof w:val="0"/>
          <w:szCs w:val="24"/>
        </w:rPr>
        <w:t>.  21 U.S.C. 826</w:t>
      </w:r>
      <w:r>
        <w:rPr>
          <w:noProof w:val="0"/>
          <w:szCs w:val="24"/>
        </w:rPr>
        <w:t>;</w:t>
      </w:r>
      <w:r w:rsidRPr="00F52AFE">
        <w:rPr>
          <w:noProof w:val="0"/>
          <w:szCs w:val="24"/>
        </w:rPr>
        <w:t xml:space="preserve"> 21 CFR 1303.12(b)</w:t>
      </w:r>
      <w:r>
        <w:rPr>
          <w:noProof w:val="0"/>
          <w:szCs w:val="24"/>
        </w:rPr>
        <w:t xml:space="preserve">, </w:t>
      </w:r>
      <w:r w:rsidRPr="00F52AFE">
        <w:rPr>
          <w:noProof w:val="0"/>
          <w:szCs w:val="24"/>
        </w:rPr>
        <w:t>1315.32.  The DEA is required to limit the production of schedule I and II controlled substances and ephedrine, pseudoephedrine, and phenylpropanolamine to the amounts necessary to meet "the estimated legitimate medical, scientific, research and industrial needs of the United States, for lawful export requirements, and for the establishment and maintenance of r</w:t>
      </w:r>
      <w:r w:rsidR="00C34FF9">
        <w:rPr>
          <w:noProof w:val="0"/>
          <w:szCs w:val="24"/>
        </w:rPr>
        <w:t>eserve stocks."  21 U.S.C. 826(a</w:t>
      </w:r>
      <w:r w:rsidRPr="00F52AFE">
        <w:rPr>
          <w:noProof w:val="0"/>
          <w:szCs w:val="24"/>
        </w:rPr>
        <w:t>).</w:t>
      </w:r>
    </w:p>
    <w:p w14:paraId="5DCF2630" w14:textId="77777777" w:rsidR="00695627" w:rsidRPr="00235360" w:rsidRDefault="00695627" w:rsidP="00AE3D13">
      <w:pPr>
        <w:rPr>
          <w:noProof w:val="0"/>
          <w:szCs w:val="24"/>
        </w:rPr>
      </w:pPr>
    </w:p>
    <w:p w14:paraId="6EF8E018" w14:textId="77777777" w:rsidR="007537B1" w:rsidRPr="00235360" w:rsidRDefault="000C1537" w:rsidP="00AE3D13">
      <w:pPr>
        <w:rPr>
          <w:noProof w:val="0"/>
          <w:szCs w:val="24"/>
          <w:u w:val="single"/>
        </w:rPr>
      </w:pPr>
      <w:r w:rsidRPr="00235360">
        <w:rPr>
          <w:noProof w:val="0"/>
          <w:szCs w:val="24"/>
        </w:rPr>
        <w:t xml:space="preserve">2. </w:t>
      </w:r>
      <w:r w:rsidR="00090C0E" w:rsidRPr="00235360">
        <w:rPr>
          <w:noProof w:val="0"/>
          <w:szCs w:val="24"/>
        </w:rPr>
        <w:t xml:space="preserve"> </w:t>
      </w:r>
      <w:r w:rsidR="004202AA" w:rsidRPr="00235360">
        <w:rPr>
          <w:noProof w:val="0"/>
          <w:szCs w:val="24"/>
          <w:u w:val="single"/>
        </w:rPr>
        <w:t>Needs and Uses:</w:t>
      </w:r>
    </w:p>
    <w:p w14:paraId="5CB9DEB2" w14:textId="77777777" w:rsidR="001A64B0" w:rsidRPr="00235360" w:rsidRDefault="001A64B0" w:rsidP="00AE3D13">
      <w:pPr>
        <w:rPr>
          <w:noProof w:val="0"/>
          <w:szCs w:val="24"/>
        </w:rPr>
      </w:pPr>
    </w:p>
    <w:p w14:paraId="61A134BE" w14:textId="6024AB0B" w:rsidR="007537B1" w:rsidRPr="00235360" w:rsidRDefault="009172C9" w:rsidP="009172C9">
      <w:pPr>
        <w:jc w:val="both"/>
        <w:rPr>
          <w:noProof w:val="0"/>
          <w:szCs w:val="24"/>
        </w:rPr>
      </w:pPr>
      <w:r>
        <w:t xml:space="preserve">The DEA uses DEA </w:t>
      </w:r>
      <w:r w:rsidRPr="00486CC2">
        <w:t xml:space="preserve">Form 250 to determine the estimated legitimate need for </w:t>
      </w:r>
      <w:r>
        <w:t>s</w:t>
      </w:r>
      <w:r w:rsidRPr="00486CC2">
        <w:t>chedule I and II controlled substances and ephedrine, pseudoephedrine, and phenylpropanolamine</w:t>
      </w:r>
      <w:r>
        <w:t>,</w:t>
      </w:r>
      <w:r w:rsidRPr="00486CC2">
        <w:t xml:space="preserve"> and to establish quotas for </w:t>
      </w:r>
      <w:r w:rsidR="00AD061B">
        <w:t xml:space="preserve">persons </w:t>
      </w:r>
      <w:r w:rsidR="003D778D">
        <w:t xml:space="preserve">who use such controlled substances and List I chemicals for purposes of </w:t>
      </w:r>
      <w:r w:rsidRPr="00486CC2">
        <w:t xml:space="preserve">manufacturing.  </w:t>
      </w:r>
      <w:r w:rsidR="00AD061B">
        <w:t xml:space="preserve">Persons </w:t>
      </w:r>
      <w:r w:rsidR="003D778D">
        <w:t xml:space="preserve">who manufacture </w:t>
      </w:r>
      <w:r>
        <w:t>s</w:t>
      </w:r>
      <w:r w:rsidRPr="00486CC2">
        <w:t xml:space="preserve">chedule I and II controlled substance and ephedrine, pseudoephedrine, and phenylpropanolamine </w:t>
      </w:r>
      <w:r w:rsidR="00CE7903" w:rsidRPr="00486CC2">
        <w:t xml:space="preserve">products </w:t>
      </w:r>
      <w:r w:rsidRPr="00486CC2">
        <w:t xml:space="preserve">must apply on DEA Form 250 each year for </w:t>
      </w:r>
      <w:r w:rsidR="003D778D">
        <w:t xml:space="preserve">a procurement </w:t>
      </w:r>
      <w:r w:rsidRPr="00486CC2">
        <w:t>quota</w:t>
      </w:r>
      <w:r w:rsidR="006E0E83">
        <w:t xml:space="preserve"> for such controlled substance or List I chemical</w:t>
      </w:r>
      <w:r w:rsidRPr="00486CC2">
        <w:t>.</w:t>
      </w:r>
      <w:r>
        <w:t xml:space="preserve">  </w:t>
      </w:r>
      <w:r w:rsidR="005F7EEE">
        <w:t>21 U.S.C. 826</w:t>
      </w:r>
      <w:r w:rsidRPr="009172C9">
        <w:t>; 21 CFR 1303.12(b), 1315.32</w:t>
      </w:r>
      <w:r>
        <w:t>.</w:t>
      </w:r>
    </w:p>
    <w:p w14:paraId="00715450" w14:textId="77777777" w:rsidR="007537B1" w:rsidRPr="00235360" w:rsidRDefault="007537B1" w:rsidP="00AE3D13">
      <w:pPr>
        <w:rPr>
          <w:noProof w:val="0"/>
          <w:szCs w:val="24"/>
        </w:rPr>
      </w:pPr>
    </w:p>
    <w:p w14:paraId="16BC3B23" w14:textId="77777777" w:rsidR="004202AA" w:rsidRPr="00235360" w:rsidRDefault="000C1537" w:rsidP="00AE3D13">
      <w:pPr>
        <w:rPr>
          <w:noProof w:val="0"/>
          <w:szCs w:val="24"/>
        </w:rPr>
      </w:pPr>
      <w:r w:rsidRPr="00235360">
        <w:rPr>
          <w:noProof w:val="0"/>
          <w:szCs w:val="24"/>
        </w:rPr>
        <w:t xml:space="preserve">3. </w:t>
      </w:r>
      <w:r w:rsidR="00090C0E" w:rsidRPr="00235360">
        <w:rPr>
          <w:noProof w:val="0"/>
          <w:szCs w:val="24"/>
        </w:rPr>
        <w:t xml:space="preserve"> </w:t>
      </w:r>
      <w:r w:rsidR="00F304A0" w:rsidRPr="00235360">
        <w:rPr>
          <w:noProof w:val="0"/>
          <w:szCs w:val="24"/>
          <w:u w:val="single"/>
        </w:rPr>
        <w:t xml:space="preserve">Use of Information </w:t>
      </w:r>
      <w:r w:rsidR="004202AA" w:rsidRPr="00235360">
        <w:rPr>
          <w:noProof w:val="0"/>
          <w:szCs w:val="24"/>
          <w:u w:val="single"/>
        </w:rPr>
        <w:t>Technology:</w:t>
      </w:r>
    </w:p>
    <w:p w14:paraId="4E35586D" w14:textId="77777777" w:rsidR="00B91C3E" w:rsidRPr="00235360" w:rsidRDefault="00B91C3E" w:rsidP="00AE3D13">
      <w:pPr>
        <w:rPr>
          <w:szCs w:val="24"/>
        </w:rPr>
      </w:pPr>
    </w:p>
    <w:p w14:paraId="3C4275C5" w14:textId="5EF3E8C7" w:rsidR="0077347B" w:rsidRDefault="0077347B" w:rsidP="0077347B">
      <w:pPr>
        <w:jc w:val="both"/>
        <w:rPr>
          <w:szCs w:val="24"/>
        </w:rPr>
      </w:pPr>
      <w:r w:rsidRPr="0077347B">
        <w:rPr>
          <w:szCs w:val="24"/>
        </w:rPr>
        <w:t xml:space="preserve">DEA Form 250 is available to be completed and submitted electronically.  DEA Form 250 is also available on the DEA Diversion Control Web site (http://www.deadiversion.usdoj.gov) as a blank form that may be printed, completed, signed, and </w:t>
      </w:r>
      <w:r>
        <w:rPr>
          <w:szCs w:val="24"/>
        </w:rPr>
        <w:t>mailed</w:t>
      </w:r>
      <w:r w:rsidRPr="0077347B">
        <w:rPr>
          <w:szCs w:val="24"/>
        </w:rPr>
        <w:t xml:space="preserve"> to DE</w:t>
      </w:r>
      <w:r>
        <w:rPr>
          <w:szCs w:val="24"/>
        </w:rPr>
        <w:t>A.  Currently, 100% of DEA Form</w:t>
      </w:r>
      <w:r w:rsidRPr="0077347B">
        <w:rPr>
          <w:szCs w:val="24"/>
        </w:rPr>
        <w:t xml:space="preserve"> 250 </w:t>
      </w:r>
      <w:r>
        <w:rPr>
          <w:szCs w:val="24"/>
        </w:rPr>
        <w:t xml:space="preserve">applications </w:t>
      </w:r>
      <w:r w:rsidRPr="0077347B">
        <w:rPr>
          <w:szCs w:val="24"/>
        </w:rPr>
        <w:t>are submitted electronically.</w:t>
      </w:r>
    </w:p>
    <w:p w14:paraId="0C846B51" w14:textId="77777777" w:rsidR="0077347B" w:rsidRDefault="0077347B" w:rsidP="00AE3D13">
      <w:pPr>
        <w:rPr>
          <w:szCs w:val="24"/>
        </w:rPr>
      </w:pPr>
    </w:p>
    <w:p w14:paraId="15E2AFFD" w14:textId="77777777" w:rsidR="004202AA" w:rsidRPr="00235360" w:rsidRDefault="000C1537" w:rsidP="00AE3D13">
      <w:pPr>
        <w:rPr>
          <w:noProof w:val="0"/>
          <w:szCs w:val="24"/>
        </w:rPr>
      </w:pPr>
      <w:r w:rsidRPr="00235360">
        <w:rPr>
          <w:noProof w:val="0"/>
          <w:szCs w:val="24"/>
        </w:rPr>
        <w:t xml:space="preserve">4. </w:t>
      </w:r>
      <w:r w:rsidR="00090C0E" w:rsidRPr="00235360">
        <w:rPr>
          <w:noProof w:val="0"/>
          <w:szCs w:val="24"/>
        </w:rPr>
        <w:t xml:space="preserve"> </w:t>
      </w:r>
      <w:r w:rsidR="004202AA" w:rsidRPr="00235360">
        <w:rPr>
          <w:noProof w:val="0"/>
          <w:szCs w:val="24"/>
          <w:u w:val="single"/>
        </w:rPr>
        <w:t>Efforts to Identify Duplication:</w:t>
      </w:r>
    </w:p>
    <w:p w14:paraId="34863C9A" w14:textId="77777777" w:rsidR="00CE207E" w:rsidRPr="00235360" w:rsidRDefault="00CE207E" w:rsidP="00AE3D13">
      <w:pPr>
        <w:jc w:val="both"/>
        <w:rPr>
          <w:noProof w:val="0"/>
          <w:szCs w:val="24"/>
        </w:rPr>
      </w:pPr>
    </w:p>
    <w:p w14:paraId="1CCFA28F" w14:textId="2415A6D1" w:rsidR="00CE207E" w:rsidRPr="00235360" w:rsidRDefault="00296D76" w:rsidP="00AE3D13">
      <w:pPr>
        <w:jc w:val="both"/>
        <w:rPr>
          <w:noProof w:val="0"/>
          <w:szCs w:val="24"/>
        </w:rPr>
      </w:pPr>
      <w:r>
        <w:rPr>
          <w:noProof w:val="0"/>
          <w:szCs w:val="24"/>
        </w:rPr>
        <w:t>Controlled substance and listed chemical q</w:t>
      </w:r>
      <w:r w:rsidR="002C3091">
        <w:rPr>
          <w:noProof w:val="0"/>
          <w:szCs w:val="24"/>
        </w:rPr>
        <w:t>uotas are unique to DEA</w:t>
      </w:r>
      <w:r>
        <w:rPr>
          <w:noProof w:val="0"/>
          <w:szCs w:val="24"/>
        </w:rPr>
        <w:t>.  T</w:t>
      </w:r>
      <w:r w:rsidR="002C3091" w:rsidRPr="00235360">
        <w:rPr>
          <w:noProof w:val="0"/>
          <w:szCs w:val="24"/>
        </w:rPr>
        <w:t>herefore</w:t>
      </w:r>
      <w:r>
        <w:rPr>
          <w:noProof w:val="0"/>
          <w:szCs w:val="24"/>
        </w:rPr>
        <w:t>,</w:t>
      </w:r>
      <w:r w:rsidR="002C3091">
        <w:rPr>
          <w:noProof w:val="0"/>
          <w:szCs w:val="24"/>
        </w:rPr>
        <w:t xml:space="preserve"> </w:t>
      </w:r>
      <w:r w:rsidR="002C3091" w:rsidRPr="00235360">
        <w:rPr>
          <w:noProof w:val="0"/>
          <w:szCs w:val="24"/>
        </w:rPr>
        <w:t xml:space="preserve">there is no duplication of information requested as part of </w:t>
      </w:r>
      <w:r w:rsidR="002C3091">
        <w:rPr>
          <w:noProof w:val="0"/>
          <w:szCs w:val="24"/>
        </w:rPr>
        <w:t>this collection</w:t>
      </w:r>
      <w:r w:rsidR="004C2D8D" w:rsidRPr="00235360">
        <w:rPr>
          <w:noProof w:val="0"/>
          <w:szCs w:val="24"/>
        </w:rPr>
        <w:t>.</w:t>
      </w:r>
    </w:p>
    <w:p w14:paraId="649C0DC8" w14:textId="77777777" w:rsidR="00AF2AFA" w:rsidRPr="00235360" w:rsidRDefault="00AF2AFA" w:rsidP="00AE3D13">
      <w:pPr>
        <w:rPr>
          <w:noProof w:val="0"/>
          <w:szCs w:val="24"/>
        </w:rPr>
      </w:pPr>
    </w:p>
    <w:p w14:paraId="51C99695" w14:textId="77777777" w:rsidR="004202AA" w:rsidRPr="00235360" w:rsidRDefault="000C1537" w:rsidP="00AE3D13">
      <w:pPr>
        <w:rPr>
          <w:noProof w:val="0"/>
          <w:szCs w:val="24"/>
        </w:rPr>
      </w:pPr>
      <w:r w:rsidRPr="00235360">
        <w:rPr>
          <w:noProof w:val="0"/>
          <w:szCs w:val="24"/>
        </w:rPr>
        <w:lastRenderedPageBreak/>
        <w:t xml:space="preserve">5. </w:t>
      </w:r>
      <w:r w:rsidR="00090C0E" w:rsidRPr="00235360">
        <w:rPr>
          <w:noProof w:val="0"/>
          <w:szCs w:val="24"/>
        </w:rPr>
        <w:t xml:space="preserve"> </w:t>
      </w:r>
      <w:r w:rsidR="00B051D2" w:rsidRPr="00235360">
        <w:rPr>
          <w:noProof w:val="0"/>
          <w:szCs w:val="24"/>
          <w:u w:val="single"/>
        </w:rPr>
        <w:t>Impact on Small Businesses or Entities</w:t>
      </w:r>
      <w:r w:rsidR="004202AA" w:rsidRPr="00235360">
        <w:rPr>
          <w:noProof w:val="0"/>
          <w:szCs w:val="24"/>
          <w:u w:val="single"/>
        </w:rPr>
        <w:t>:</w:t>
      </w:r>
    </w:p>
    <w:p w14:paraId="3DA2C5AB" w14:textId="77777777" w:rsidR="001A64B0" w:rsidRPr="00235360" w:rsidRDefault="001A64B0" w:rsidP="00AE3D13">
      <w:pPr>
        <w:rPr>
          <w:noProof w:val="0"/>
          <w:szCs w:val="24"/>
        </w:rPr>
      </w:pPr>
    </w:p>
    <w:p w14:paraId="316CFB69" w14:textId="1D050DC6" w:rsidR="00296D76" w:rsidRDefault="00296D76" w:rsidP="00AE3D13">
      <w:pPr>
        <w:jc w:val="both"/>
        <w:rPr>
          <w:noProof w:val="0"/>
          <w:szCs w:val="24"/>
        </w:rPr>
      </w:pPr>
      <w:r>
        <w:t>This is a routine renewal of DEA Form 250.  The 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601–612).</w:t>
      </w:r>
    </w:p>
    <w:p w14:paraId="39E38B17" w14:textId="3259E16C" w:rsidR="00E975C5" w:rsidRPr="00235360" w:rsidRDefault="00E975C5" w:rsidP="00AE3D13">
      <w:pPr>
        <w:rPr>
          <w:noProof w:val="0"/>
          <w:szCs w:val="24"/>
        </w:rPr>
      </w:pPr>
    </w:p>
    <w:p w14:paraId="695BCCFE" w14:textId="77777777" w:rsidR="004202AA" w:rsidRPr="00235360" w:rsidRDefault="000C1537" w:rsidP="00AE3D13">
      <w:pPr>
        <w:rPr>
          <w:noProof w:val="0"/>
          <w:szCs w:val="24"/>
        </w:rPr>
      </w:pPr>
      <w:r w:rsidRPr="00235360">
        <w:rPr>
          <w:noProof w:val="0"/>
          <w:szCs w:val="24"/>
        </w:rPr>
        <w:t xml:space="preserve">6. </w:t>
      </w:r>
      <w:r w:rsidR="00090C0E" w:rsidRPr="00235360">
        <w:rPr>
          <w:noProof w:val="0"/>
          <w:szCs w:val="24"/>
        </w:rPr>
        <w:t xml:space="preserve"> </w:t>
      </w:r>
      <w:r w:rsidR="004202AA" w:rsidRPr="00235360">
        <w:rPr>
          <w:noProof w:val="0"/>
          <w:szCs w:val="24"/>
          <w:u w:val="single"/>
        </w:rPr>
        <w:t>Consequences of Less Frequent Collection:</w:t>
      </w:r>
    </w:p>
    <w:p w14:paraId="01D40BBC" w14:textId="77777777" w:rsidR="001A64B0" w:rsidRPr="00235360" w:rsidRDefault="001A64B0" w:rsidP="00AE3D13">
      <w:pPr>
        <w:rPr>
          <w:noProof w:val="0"/>
          <w:szCs w:val="24"/>
        </w:rPr>
      </w:pPr>
    </w:p>
    <w:p w14:paraId="3ED2EE82" w14:textId="04FEA67E" w:rsidR="001A64B0" w:rsidRPr="00235360" w:rsidRDefault="00B2205F" w:rsidP="00D3430C">
      <w:pPr>
        <w:jc w:val="both"/>
        <w:rPr>
          <w:szCs w:val="24"/>
        </w:rPr>
      </w:pPr>
      <w:r w:rsidRPr="00235360">
        <w:rPr>
          <w:szCs w:val="24"/>
        </w:rPr>
        <w:t xml:space="preserve">If the collection were not conducted or conducted less frequently, </w:t>
      </w:r>
      <w:r w:rsidR="00D3430C">
        <w:rPr>
          <w:szCs w:val="24"/>
        </w:rPr>
        <w:t xml:space="preserve">the </w:t>
      </w:r>
      <w:r w:rsidRPr="00235360">
        <w:rPr>
          <w:szCs w:val="24"/>
        </w:rPr>
        <w:t xml:space="preserve">DEA would not have sufficient data to set </w:t>
      </w:r>
      <w:r w:rsidR="00D3430C">
        <w:rPr>
          <w:szCs w:val="24"/>
        </w:rPr>
        <w:t>procurement</w:t>
      </w:r>
      <w:r w:rsidRPr="00235360">
        <w:rPr>
          <w:szCs w:val="24"/>
        </w:rPr>
        <w:t xml:space="preserve"> quotas and would be unable to determine the amounts necessary to meet medical, scientific, </w:t>
      </w:r>
      <w:r w:rsidR="00D3430C">
        <w:rPr>
          <w:szCs w:val="24"/>
        </w:rPr>
        <w:t>and other legitimate needs.</w:t>
      </w:r>
    </w:p>
    <w:p w14:paraId="3D14C872" w14:textId="77777777" w:rsidR="008964A5" w:rsidRPr="00235360" w:rsidRDefault="008964A5" w:rsidP="00AE3D13">
      <w:pPr>
        <w:rPr>
          <w:noProof w:val="0"/>
          <w:szCs w:val="24"/>
        </w:rPr>
      </w:pPr>
    </w:p>
    <w:p w14:paraId="615A9860" w14:textId="77777777" w:rsidR="004202AA" w:rsidRPr="00235360" w:rsidRDefault="000C1537" w:rsidP="00AE3D13">
      <w:pPr>
        <w:rPr>
          <w:noProof w:val="0"/>
          <w:szCs w:val="24"/>
        </w:rPr>
      </w:pPr>
      <w:r w:rsidRPr="00235360">
        <w:rPr>
          <w:noProof w:val="0"/>
          <w:szCs w:val="24"/>
        </w:rPr>
        <w:t xml:space="preserve">7. </w:t>
      </w:r>
      <w:r w:rsidR="00090C0E" w:rsidRPr="00235360">
        <w:rPr>
          <w:noProof w:val="0"/>
          <w:szCs w:val="24"/>
        </w:rPr>
        <w:t xml:space="preserve"> </w:t>
      </w:r>
      <w:r w:rsidR="004202AA" w:rsidRPr="00235360">
        <w:rPr>
          <w:noProof w:val="0"/>
          <w:szCs w:val="24"/>
          <w:u w:val="single"/>
        </w:rPr>
        <w:t>Special Circumstances Influencing Collection:</w:t>
      </w:r>
    </w:p>
    <w:p w14:paraId="6B948858" w14:textId="77777777" w:rsidR="001A64B0" w:rsidRPr="00235360" w:rsidRDefault="001A64B0" w:rsidP="00AE3D13">
      <w:pPr>
        <w:rPr>
          <w:noProof w:val="0"/>
          <w:szCs w:val="24"/>
        </w:rPr>
      </w:pPr>
    </w:p>
    <w:p w14:paraId="3C3F8045" w14:textId="3EC9DB39" w:rsidR="00CE207E" w:rsidRPr="00235360" w:rsidRDefault="00B2205F" w:rsidP="00AE3D13">
      <w:pPr>
        <w:jc w:val="both"/>
        <w:rPr>
          <w:noProof w:val="0"/>
          <w:szCs w:val="24"/>
        </w:rPr>
      </w:pPr>
      <w:r w:rsidRPr="00235360">
        <w:rPr>
          <w:szCs w:val="24"/>
        </w:rPr>
        <w:t>There are no special circumstances applicable to this information collection.</w:t>
      </w:r>
    </w:p>
    <w:p w14:paraId="7A3264CF" w14:textId="77777777" w:rsidR="00B2205F" w:rsidRPr="00235360" w:rsidRDefault="00B2205F" w:rsidP="00B2205F">
      <w:pPr>
        <w:rPr>
          <w:noProof w:val="0"/>
          <w:szCs w:val="24"/>
        </w:rPr>
      </w:pPr>
    </w:p>
    <w:p w14:paraId="1279A3EE" w14:textId="77777777" w:rsidR="008E7B3E" w:rsidRPr="00235360" w:rsidRDefault="000C1537" w:rsidP="00AE3D13">
      <w:pPr>
        <w:rPr>
          <w:noProof w:val="0"/>
          <w:szCs w:val="24"/>
        </w:rPr>
      </w:pPr>
      <w:r w:rsidRPr="00235360">
        <w:rPr>
          <w:noProof w:val="0"/>
          <w:szCs w:val="24"/>
        </w:rPr>
        <w:t xml:space="preserve">8. </w:t>
      </w:r>
      <w:r w:rsidR="00090C0E" w:rsidRPr="00235360">
        <w:rPr>
          <w:noProof w:val="0"/>
          <w:szCs w:val="24"/>
        </w:rPr>
        <w:t xml:space="preserve"> </w:t>
      </w:r>
      <w:r w:rsidR="00B051D2" w:rsidRPr="00235360">
        <w:rPr>
          <w:noProof w:val="0"/>
          <w:szCs w:val="24"/>
          <w:u w:val="single"/>
        </w:rPr>
        <w:t>Consultation with persons outside the Agency</w:t>
      </w:r>
      <w:r w:rsidR="008E7B3E" w:rsidRPr="00235360">
        <w:rPr>
          <w:noProof w:val="0"/>
          <w:szCs w:val="24"/>
          <w:u w:val="single"/>
        </w:rPr>
        <w:t>:</w:t>
      </w:r>
    </w:p>
    <w:p w14:paraId="5F929FA6" w14:textId="77777777" w:rsidR="001A64B0" w:rsidRPr="00235360" w:rsidRDefault="001A64B0" w:rsidP="00AE3D13">
      <w:pPr>
        <w:rPr>
          <w:noProof w:val="0"/>
          <w:szCs w:val="24"/>
        </w:rPr>
      </w:pPr>
    </w:p>
    <w:p w14:paraId="17039A5E" w14:textId="1C6DFF63" w:rsidR="00072531" w:rsidRPr="00235360" w:rsidRDefault="00A52C58" w:rsidP="00E55E21">
      <w:pPr>
        <w:jc w:val="both"/>
        <w:rPr>
          <w:szCs w:val="24"/>
        </w:rPr>
      </w:pPr>
      <w:r w:rsidRPr="00235360">
        <w:rPr>
          <w:szCs w:val="24"/>
        </w:rPr>
        <w:t>Public comment was solicited in the 60</w:t>
      </w:r>
      <w:r w:rsidR="0080166A" w:rsidRPr="00235360">
        <w:rPr>
          <w:szCs w:val="24"/>
        </w:rPr>
        <w:t>-</w:t>
      </w:r>
      <w:r w:rsidRPr="00235360">
        <w:rPr>
          <w:szCs w:val="24"/>
        </w:rPr>
        <w:t>day Federal Register Notice of Information Collection</w:t>
      </w:r>
      <w:r w:rsidR="009151B2" w:rsidRPr="00235360">
        <w:rPr>
          <w:szCs w:val="24"/>
        </w:rPr>
        <w:t>,</w:t>
      </w:r>
      <w:r w:rsidR="00EE7976">
        <w:rPr>
          <w:szCs w:val="24"/>
        </w:rPr>
        <w:t xml:space="preserve"> 83 FR 64365</w:t>
      </w:r>
      <w:r w:rsidR="009151B2" w:rsidRPr="00235360">
        <w:rPr>
          <w:szCs w:val="24"/>
        </w:rPr>
        <w:t>,</w:t>
      </w:r>
      <w:r w:rsidR="00381749" w:rsidRPr="00235360">
        <w:rPr>
          <w:szCs w:val="24"/>
        </w:rPr>
        <w:t xml:space="preserve"> published on </w:t>
      </w:r>
      <w:r w:rsidR="00EE7976">
        <w:rPr>
          <w:szCs w:val="24"/>
        </w:rPr>
        <w:t>December 14, 2018</w:t>
      </w:r>
      <w:r w:rsidR="00DA2E06" w:rsidRPr="00235360">
        <w:rPr>
          <w:szCs w:val="24"/>
        </w:rPr>
        <w:t>,</w:t>
      </w:r>
      <w:r w:rsidR="00EE7976">
        <w:rPr>
          <w:szCs w:val="24"/>
        </w:rPr>
        <w:t xml:space="preserve"> </w:t>
      </w:r>
      <w:r w:rsidRPr="00235360">
        <w:rPr>
          <w:szCs w:val="24"/>
        </w:rPr>
        <w:t>and the 30</w:t>
      </w:r>
      <w:r w:rsidR="0080166A" w:rsidRPr="00235360">
        <w:rPr>
          <w:szCs w:val="24"/>
        </w:rPr>
        <w:t>-</w:t>
      </w:r>
      <w:r w:rsidRPr="00235360">
        <w:rPr>
          <w:szCs w:val="24"/>
        </w:rPr>
        <w:t>day Federal Register Notice of Information Collection</w:t>
      </w:r>
      <w:r w:rsidR="009151B2" w:rsidRPr="00235360">
        <w:rPr>
          <w:szCs w:val="24"/>
        </w:rPr>
        <w:t>,</w:t>
      </w:r>
      <w:r w:rsidR="00EC1A59">
        <w:rPr>
          <w:szCs w:val="24"/>
        </w:rPr>
        <w:t xml:space="preserve"> 84 FR 5502</w:t>
      </w:r>
      <w:r w:rsidR="00DA2E06" w:rsidRPr="00235360">
        <w:rPr>
          <w:szCs w:val="24"/>
        </w:rPr>
        <w:t>, published on</w:t>
      </w:r>
      <w:r w:rsidR="00EC1A59">
        <w:rPr>
          <w:szCs w:val="24"/>
        </w:rPr>
        <w:t xml:space="preserve"> February 21, 2019</w:t>
      </w:r>
      <w:r w:rsidR="00AF2AFA" w:rsidRPr="00235360">
        <w:rPr>
          <w:szCs w:val="24"/>
        </w:rPr>
        <w:t>.</w:t>
      </w:r>
      <w:r w:rsidRPr="00235360">
        <w:rPr>
          <w:szCs w:val="24"/>
        </w:rPr>
        <w:t xml:space="preserve">  </w:t>
      </w:r>
      <w:r w:rsidRPr="00EC1A59">
        <w:rPr>
          <w:szCs w:val="24"/>
        </w:rPr>
        <w:t>The DEA did not receive any comments concerning this collection.</w:t>
      </w:r>
    </w:p>
    <w:p w14:paraId="0045D3AE" w14:textId="77777777" w:rsidR="009151B2" w:rsidRPr="00235360" w:rsidRDefault="009151B2" w:rsidP="00AE3D13">
      <w:pPr>
        <w:rPr>
          <w:szCs w:val="24"/>
        </w:rPr>
      </w:pPr>
    </w:p>
    <w:p w14:paraId="11D67149" w14:textId="527C88C7" w:rsidR="00695627" w:rsidRPr="00235360" w:rsidRDefault="003D1D81" w:rsidP="003D1D81">
      <w:pPr>
        <w:jc w:val="both"/>
        <w:rPr>
          <w:szCs w:val="24"/>
        </w:rPr>
      </w:pPr>
      <w:r w:rsidRPr="003D1D81">
        <w:rPr>
          <w:szCs w:val="24"/>
        </w:rPr>
        <w:t>The DEA meets regularly with the affected industry to discuss policies, programs, and regulations.  These meetings provide an open forum to discuss matters of mutual concern with representatives of those entities from whom the information is obtained</w:t>
      </w:r>
      <w:r w:rsidR="009151B2" w:rsidRPr="00235360">
        <w:rPr>
          <w:szCs w:val="24"/>
        </w:rPr>
        <w:t>.</w:t>
      </w:r>
    </w:p>
    <w:p w14:paraId="6AC4C467" w14:textId="77777777" w:rsidR="003E411E" w:rsidRPr="00235360" w:rsidRDefault="003E411E" w:rsidP="00AE3D13">
      <w:pPr>
        <w:rPr>
          <w:szCs w:val="24"/>
        </w:rPr>
      </w:pPr>
    </w:p>
    <w:p w14:paraId="19AF852F" w14:textId="77777777" w:rsidR="008E7B3E" w:rsidRPr="00235360" w:rsidRDefault="000C1537" w:rsidP="00AE3D13">
      <w:pPr>
        <w:rPr>
          <w:noProof w:val="0"/>
          <w:szCs w:val="24"/>
        </w:rPr>
      </w:pPr>
      <w:r w:rsidRPr="00235360">
        <w:rPr>
          <w:noProof w:val="0"/>
          <w:szCs w:val="24"/>
        </w:rPr>
        <w:t xml:space="preserve">9. </w:t>
      </w:r>
      <w:r w:rsidR="00090C0E" w:rsidRPr="00235360">
        <w:rPr>
          <w:noProof w:val="0"/>
          <w:szCs w:val="24"/>
        </w:rPr>
        <w:t xml:space="preserve"> </w:t>
      </w:r>
      <w:r w:rsidR="008E7B3E" w:rsidRPr="00235360">
        <w:rPr>
          <w:noProof w:val="0"/>
          <w:szCs w:val="24"/>
          <w:u w:val="single"/>
        </w:rPr>
        <w:t>Payment or Gift to Claimants:</w:t>
      </w:r>
    </w:p>
    <w:p w14:paraId="7D9518FD" w14:textId="77777777" w:rsidR="001A64B0" w:rsidRPr="00235360" w:rsidRDefault="001A64B0" w:rsidP="00AE3D13">
      <w:pPr>
        <w:rPr>
          <w:noProof w:val="0"/>
          <w:szCs w:val="24"/>
        </w:rPr>
      </w:pPr>
    </w:p>
    <w:p w14:paraId="5BEC9599" w14:textId="77777777" w:rsidR="00072531" w:rsidRPr="00235360" w:rsidRDefault="00A52C58" w:rsidP="00E55E21">
      <w:pPr>
        <w:jc w:val="both"/>
        <w:rPr>
          <w:noProof w:val="0"/>
          <w:szCs w:val="24"/>
        </w:rPr>
      </w:pPr>
      <w:r w:rsidRPr="00235360">
        <w:rPr>
          <w:noProof w:val="0"/>
          <w:szCs w:val="24"/>
        </w:rPr>
        <w:t>This collection of information does not propose to provide any payment or gift to respondents.</w:t>
      </w:r>
    </w:p>
    <w:p w14:paraId="1E33F9CF" w14:textId="77777777" w:rsidR="00A52C58" w:rsidRPr="00235360" w:rsidRDefault="00A52C58" w:rsidP="00AE3D13">
      <w:pPr>
        <w:rPr>
          <w:noProof w:val="0"/>
          <w:szCs w:val="24"/>
        </w:rPr>
      </w:pPr>
    </w:p>
    <w:p w14:paraId="4B032AE7" w14:textId="77777777" w:rsidR="008E7B3E" w:rsidRPr="00235360" w:rsidRDefault="000C1537" w:rsidP="00AE3D13">
      <w:pPr>
        <w:rPr>
          <w:noProof w:val="0"/>
          <w:szCs w:val="24"/>
        </w:rPr>
      </w:pPr>
      <w:r w:rsidRPr="00235360">
        <w:rPr>
          <w:noProof w:val="0"/>
          <w:szCs w:val="24"/>
        </w:rPr>
        <w:t xml:space="preserve">10. </w:t>
      </w:r>
      <w:r w:rsidR="00090C0E" w:rsidRPr="00235360">
        <w:rPr>
          <w:noProof w:val="0"/>
          <w:szCs w:val="24"/>
        </w:rPr>
        <w:t xml:space="preserve"> </w:t>
      </w:r>
      <w:r w:rsidR="008E7B3E" w:rsidRPr="00235360">
        <w:rPr>
          <w:noProof w:val="0"/>
          <w:szCs w:val="24"/>
          <w:u w:val="single"/>
        </w:rPr>
        <w:t>Assurance of Confidentiality:</w:t>
      </w:r>
    </w:p>
    <w:p w14:paraId="5391BC4E" w14:textId="77777777" w:rsidR="001A64B0" w:rsidRPr="00235360" w:rsidRDefault="001A64B0" w:rsidP="00AE3D13">
      <w:pPr>
        <w:rPr>
          <w:noProof w:val="0"/>
          <w:szCs w:val="24"/>
        </w:rPr>
      </w:pPr>
    </w:p>
    <w:p w14:paraId="18F1D4C1" w14:textId="4F5B9E00" w:rsidR="001A64B0" w:rsidRPr="00235360" w:rsidRDefault="009151B2" w:rsidP="00E55E21">
      <w:pPr>
        <w:jc w:val="both"/>
        <w:rPr>
          <w:szCs w:val="24"/>
        </w:rPr>
      </w:pPr>
      <w:r w:rsidRPr="00235360">
        <w:rPr>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w:t>
      </w:r>
      <w:r w:rsidR="003D1D81">
        <w:rPr>
          <w:szCs w:val="24"/>
        </w:rPr>
        <w:t xml:space="preserve"> </w:t>
      </w:r>
      <w:r w:rsidRPr="00235360">
        <w:rPr>
          <w:szCs w:val="24"/>
        </w:rPr>
        <w:t>CFR</w:t>
      </w:r>
      <w:r w:rsidR="003D1D81">
        <w:rPr>
          <w:szCs w:val="24"/>
        </w:rPr>
        <w:t xml:space="preserve"> </w:t>
      </w:r>
      <w:r w:rsidRPr="00235360">
        <w:rPr>
          <w:szCs w:val="24"/>
        </w:rPr>
        <w:t>16.8(c) and Exemption 4 of FOIA, the DEA will give written notice to the submitter to allow an opportunity to object within a reasonable time prior to any disclosure by the DEA.</w:t>
      </w:r>
    </w:p>
    <w:p w14:paraId="107BB07B" w14:textId="71B904EC" w:rsidR="009151B2" w:rsidRDefault="009151B2" w:rsidP="00AE3D13">
      <w:pPr>
        <w:rPr>
          <w:noProof w:val="0"/>
          <w:szCs w:val="24"/>
        </w:rPr>
      </w:pPr>
    </w:p>
    <w:p w14:paraId="45874BE2" w14:textId="6F15E6DE" w:rsidR="00547B73" w:rsidRDefault="00547B73" w:rsidP="00AE3D13">
      <w:pPr>
        <w:rPr>
          <w:noProof w:val="0"/>
          <w:szCs w:val="24"/>
        </w:rPr>
      </w:pPr>
    </w:p>
    <w:p w14:paraId="3646C0A5" w14:textId="0452C3D7" w:rsidR="004D7B3A" w:rsidRDefault="004D7B3A" w:rsidP="00AE3D13">
      <w:pPr>
        <w:rPr>
          <w:noProof w:val="0"/>
          <w:szCs w:val="24"/>
        </w:rPr>
      </w:pPr>
    </w:p>
    <w:p w14:paraId="762FB039" w14:textId="77777777" w:rsidR="0014583B" w:rsidRPr="00235360" w:rsidRDefault="0014583B" w:rsidP="00AE3D13">
      <w:pPr>
        <w:rPr>
          <w:noProof w:val="0"/>
          <w:szCs w:val="24"/>
        </w:rPr>
      </w:pPr>
    </w:p>
    <w:p w14:paraId="742E1348" w14:textId="77777777" w:rsidR="008E7B3E" w:rsidRPr="00235360" w:rsidRDefault="000C1537" w:rsidP="00AE3D13">
      <w:pPr>
        <w:rPr>
          <w:noProof w:val="0"/>
          <w:szCs w:val="24"/>
        </w:rPr>
      </w:pPr>
      <w:r w:rsidRPr="00235360">
        <w:rPr>
          <w:noProof w:val="0"/>
          <w:szCs w:val="24"/>
        </w:rPr>
        <w:t xml:space="preserve">11. </w:t>
      </w:r>
      <w:r w:rsidR="00090C0E" w:rsidRPr="00235360">
        <w:rPr>
          <w:noProof w:val="0"/>
          <w:szCs w:val="24"/>
        </w:rPr>
        <w:t xml:space="preserve"> </w:t>
      </w:r>
      <w:r w:rsidR="008E7B3E" w:rsidRPr="00235360">
        <w:rPr>
          <w:noProof w:val="0"/>
          <w:szCs w:val="24"/>
          <w:u w:val="single"/>
        </w:rPr>
        <w:t>Justification for Sensitive Questions:</w:t>
      </w:r>
    </w:p>
    <w:p w14:paraId="26A69EA1" w14:textId="77777777" w:rsidR="001A64B0" w:rsidRPr="00235360" w:rsidRDefault="001A64B0" w:rsidP="00AE3D13">
      <w:pPr>
        <w:rPr>
          <w:noProof w:val="0"/>
          <w:szCs w:val="24"/>
        </w:rPr>
      </w:pPr>
    </w:p>
    <w:p w14:paraId="61204880" w14:textId="77777777" w:rsidR="00072531" w:rsidRPr="00235360" w:rsidRDefault="00B051D2" w:rsidP="00E55E21">
      <w:pPr>
        <w:jc w:val="both"/>
        <w:rPr>
          <w:noProof w:val="0"/>
          <w:szCs w:val="24"/>
        </w:rPr>
      </w:pPr>
      <w:r w:rsidRPr="00235360">
        <w:rPr>
          <w:noProof w:val="0"/>
          <w:szCs w:val="24"/>
        </w:rPr>
        <w:t>This collection of information does not ask any questions of a sensitive nature.</w:t>
      </w:r>
    </w:p>
    <w:p w14:paraId="2E8A3151" w14:textId="77777777" w:rsidR="00B051D2" w:rsidRPr="00235360" w:rsidRDefault="00B051D2" w:rsidP="00AE3D13">
      <w:pPr>
        <w:rPr>
          <w:noProof w:val="0"/>
          <w:szCs w:val="24"/>
        </w:rPr>
      </w:pPr>
    </w:p>
    <w:p w14:paraId="0692A99A" w14:textId="77777777" w:rsidR="008E7B3E" w:rsidRPr="00235360" w:rsidRDefault="000C1537" w:rsidP="00AE3D13">
      <w:pPr>
        <w:pStyle w:val="BodyText2"/>
        <w:spacing w:line="240" w:lineRule="auto"/>
        <w:rPr>
          <w:szCs w:val="24"/>
        </w:rPr>
      </w:pPr>
      <w:r w:rsidRPr="00235360">
        <w:rPr>
          <w:szCs w:val="24"/>
        </w:rPr>
        <w:t>12.</w:t>
      </w:r>
      <w:r w:rsidR="00090C0E" w:rsidRPr="00235360">
        <w:rPr>
          <w:szCs w:val="24"/>
        </w:rPr>
        <w:t xml:space="preserve"> </w:t>
      </w:r>
      <w:r w:rsidRPr="00235360">
        <w:rPr>
          <w:szCs w:val="24"/>
        </w:rPr>
        <w:t xml:space="preserve"> </w:t>
      </w:r>
      <w:r w:rsidR="008E7B3E" w:rsidRPr="00235360">
        <w:rPr>
          <w:szCs w:val="24"/>
          <w:u w:val="single"/>
        </w:rPr>
        <w:t>Estimate of Hour Burden:</w:t>
      </w:r>
    </w:p>
    <w:p w14:paraId="43811CC3" w14:textId="77780C85" w:rsidR="00C42F38" w:rsidRPr="00235360" w:rsidRDefault="00C42F38" w:rsidP="00AE3D13">
      <w:pPr>
        <w:rPr>
          <w:noProof w:val="0"/>
          <w:szCs w:val="24"/>
        </w:rPr>
      </w:pPr>
    </w:p>
    <w:p w14:paraId="3091113C" w14:textId="77777777" w:rsidR="00B229D3" w:rsidRPr="00B229D3" w:rsidRDefault="00B229D3" w:rsidP="00B229D3">
      <w:pPr>
        <w:jc w:val="both"/>
        <w:rPr>
          <w:szCs w:val="24"/>
        </w:rPr>
      </w:pPr>
      <w:r w:rsidRPr="00B229D3">
        <w:rPr>
          <w:szCs w:val="24"/>
        </w:rPr>
        <w:t>Respondents complete DEA Form 250, Application for Procurement Quota for Controlled Substance and for Ephedrine, Pseudoephedrine, and Phenylpropanolamine (including Worksheet A), annually.  A respondent may submit multiple applications.</w:t>
      </w:r>
    </w:p>
    <w:p w14:paraId="484F0095" w14:textId="77777777" w:rsidR="00B229D3" w:rsidRPr="00B229D3" w:rsidRDefault="00B229D3" w:rsidP="00B229D3">
      <w:pPr>
        <w:rPr>
          <w:szCs w:val="24"/>
        </w:rPr>
      </w:pPr>
    </w:p>
    <w:p w14:paraId="19D61DE6" w14:textId="77777777" w:rsidR="00B229D3" w:rsidRPr="00B229D3" w:rsidRDefault="00B229D3" w:rsidP="00B229D3">
      <w:pPr>
        <w:rPr>
          <w:szCs w:val="24"/>
        </w:rPr>
      </w:pPr>
      <w:r w:rsidRPr="00B229D3">
        <w:rPr>
          <w:szCs w:val="24"/>
        </w:rPr>
        <w:t>DEA Form 250:</w:t>
      </w:r>
    </w:p>
    <w:p w14:paraId="625FE2E5" w14:textId="77777777" w:rsidR="00B229D3" w:rsidRPr="00B229D3" w:rsidRDefault="00B229D3" w:rsidP="00B229D3">
      <w:pPr>
        <w:rPr>
          <w:szCs w:val="24"/>
        </w:rPr>
      </w:pPr>
    </w:p>
    <w:p w14:paraId="1390519F" w14:textId="350A8FF9" w:rsidR="00B229D3" w:rsidRPr="00B229D3" w:rsidRDefault="00860A83" w:rsidP="00B229D3">
      <w:pPr>
        <w:rPr>
          <w:szCs w:val="24"/>
        </w:rPr>
      </w:pPr>
      <w:r>
        <w:rPr>
          <w:szCs w:val="24"/>
        </w:rPr>
        <w:t>Total n</w:t>
      </w:r>
      <w:r w:rsidR="00B229D3" w:rsidRPr="00B229D3">
        <w:rPr>
          <w:szCs w:val="24"/>
        </w:rPr>
        <w:t xml:space="preserve">umber of </w:t>
      </w:r>
      <w:r>
        <w:rPr>
          <w:szCs w:val="24"/>
        </w:rPr>
        <w:t>r</w:t>
      </w:r>
      <w:r w:rsidR="00B229D3" w:rsidRPr="00B229D3">
        <w:rPr>
          <w:szCs w:val="24"/>
        </w:rPr>
        <w:t>espondents:</w:t>
      </w:r>
      <w:r w:rsidR="00B229D3" w:rsidRPr="00B229D3">
        <w:rPr>
          <w:szCs w:val="24"/>
        </w:rPr>
        <w:tab/>
      </w:r>
      <w:r w:rsidR="00D646DC">
        <w:rPr>
          <w:szCs w:val="24"/>
        </w:rPr>
        <w:t xml:space="preserve"> </w:t>
      </w:r>
      <w:r w:rsidR="00550654">
        <w:rPr>
          <w:szCs w:val="24"/>
        </w:rPr>
        <w:t>344</w:t>
      </w:r>
    </w:p>
    <w:p w14:paraId="2297FFDA" w14:textId="7F8186FF" w:rsidR="00B229D3" w:rsidRPr="00B229D3" w:rsidRDefault="00860A83" w:rsidP="00B229D3">
      <w:pPr>
        <w:rPr>
          <w:szCs w:val="24"/>
        </w:rPr>
      </w:pPr>
      <w:r>
        <w:rPr>
          <w:szCs w:val="24"/>
        </w:rPr>
        <w:t>Average number of responses per respondant per year</w:t>
      </w:r>
      <w:r w:rsidR="00B229D3" w:rsidRPr="00B229D3">
        <w:rPr>
          <w:szCs w:val="24"/>
        </w:rPr>
        <w:t>:</w:t>
      </w:r>
      <w:r>
        <w:rPr>
          <w:szCs w:val="24"/>
        </w:rPr>
        <w:t xml:space="preserve"> </w:t>
      </w:r>
      <w:r w:rsidR="00D646DC">
        <w:rPr>
          <w:szCs w:val="24"/>
        </w:rPr>
        <w:t xml:space="preserve"> </w:t>
      </w:r>
      <w:r>
        <w:rPr>
          <w:szCs w:val="24"/>
        </w:rPr>
        <w:t>8.9128</w:t>
      </w:r>
      <w:r w:rsidR="00816C02">
        <w:rPr>
          <w:szCs w:val="24"/>
        </w:rPr>
        <w:t xml:space="preserve"> (calculated)</w:t>
      </w:r>
    </w:p>
    <w:p w14:paraId="39447AB6" w14:textId="77777777" w:rsidR="00CF69C0" w:rsidRDefault="00860A83" w:rsidP="00B229D3">
      <w:pPr>
        <w:rPr>
          <w:szCs w:val="24"/>
        </w:rPr>
      </w:pPr>
      <w:r>
        <w:rPr>
          <w:szCs w:val="24"/>
        </w:rPr>
        <w:t>Total a</w:t>
      </w:r>
      <w:r w:rsidR="00B229D3" w:rsidRPr="00B229D3">
        <w:rPr>
          <w:szCs w:val="24"/>
        </w:rPr>
        <w:t>nnual responses:</w:t>
      </w:r>
      <w:r>
        <w:rPr>
          <w:szCs w:val="24"/>
        </w:rPr>
        <w:t xml:space="preserve"> </w:t>
      </w:r>
      <w:r w:rsidR="00D646DC">
        <w:rPr>
          <w:szCs w:val="24"/>
        </w:rPr>
        <w:t xml:space="preserve"> </w:t>
      </w:r>
      <w:r w:rsidR="00550654">
        <w:rPr>
          <w:szCs w:val="24"/>
        </w:rPr>
        <w:t>3,066</w:t>
      </w:r>
    </w:p>
    <w:p w14:paraId="5D9976D2" w14:textId="672CB5B9" w:rsidR="00B229D3" w:rsidRDefault="00B229D3" w:rsidP="00B229D3">
      <w:pPr>
        <w:rPr>
          <w:szCs w:val="24"/>
        </w:rPr>
      </w:pPr>
      <w:r w:rsidRPr="00B229D3">
        <w:rPr>
          <w:szCs w:val="24"/>
        </w:rPr>
        <w:t xml:space="preserve">Average </w:t>
      </w:r>
      <w:r w:rsidR="00860A83">
        <w:rPr>
          <w:szCs w:val="24"/>
        </w:rPr>
        <w:t>burden per response</w:t>
      </w:r>
      <w:r w:rsidRPr="00B229D3">
        <w:rPr>
          <w:szCs w:val="24"/>
        </w:rPr>
        <w:t>:</w:t>
      </w:r>
      <w:r w:rsidR="00D646DC">
        <w:rPr>
          <w:szCs w:val="24"/>
        </w:rPr>
        <w:t xml:space="preserve"> </w:t>
      </w:r>
      <w:r w:rsidR="00860A83">
        <w:rPr>
          <w:szCs w:val="24"/>
        </w:rPr>
        <w:t xml:space="preserve"> </w:t>
      </w:r>
      <w:r w:rsidRPr="00B229D3">
        <w:rPr>
          <w:szCs w:val="24"/>
        </w:rPr>
        <w:t>0.5</w:t>
      </w:r>
      <w:r w:rsidR="002F3DE1">
        <w:rPr>
          <w:szCs w:val="24"/>
        </w:rPr>
        <w:t>0</w:t>
      </w:r>
      <w:r w:rsidRPr="00B229D3">
        <w:rPr>
          <w:szCs w:val="24"/>
        </w:rPr>
        <w:t xml:space="preserve"> hours</w:t>
      </w:r>
    </w:p>
    <w:p w14:paraId="07A2EE48" w14:textId="657DF28D" w:rsidR="00F66B42" w:rsidRDefault="00F66B42" w:rsidP="00B229D3">
      <w:pPr>
        <w:rPr>
          <w:szCs w:val="24"/>
        </w:rPr>
      </w:pPr>
      <w:r>
        <w:rPr>
          <w:szCs w:val="24"/>
        </w:rPr>
        <w:t>Average burden per respondant:</w:t>
      </w:r>
      <w:r w:rsidR="00D646DC">
        <w:rPr>
          <w:szCs w:val="24"/>
        </w:rPr>
        <w:t xml:space="preserve"> </w:t>
      </w:r>
      <w:r>
        <w:rPr>
          <w:szCs w:val="24"/>
        </w:rPr>
        <w:t xml:space="preserve"> 4.46 hours</w:t>
      </w:r>
    </w:p>
    <w:p w14:paraId="04260CD3" w14:textId="71504FB7" w:rsidR="00E922C7" w:rsidRDefault="00E922C7" w:rsidP="00B229D3">
      <w:pPr>
        <w:rPr>
          <w:szCs w:val="24"/>
        </w:rPr>
      </w:pPr>
      <w:r w:rsidRPr="00E922C7">
        <w:rPr>
          <w:szCs w:val="24"/>
        </w:rPr>
        <w:t>Total annual burben hours:  1,533 hours</w:t>
      </w:r>
    </w:p>
    <w:p w14:paraId="38B6C264" w14:textId="77777777" w:rsidR="00860A83" w:rsidRDefault="00860A83" w:rsidP="00205AAC">
      <w:pPr>
        <w:ind w:firstLine="720"/>
        <w:rPr>
          <w:szCs w:val="24"/>
        </w:rPr>
      </w:pPr>
    </w:p>
    <w:p w14:paraId="564C420B" w14:textId="69EF2236" w:rsidR="00860A83" w:rsidRPr="00B229D3" w:rsidRDefault="00860A83" w:rsidP="00B229D3">
      <w:pPr>
        <w:rPr>
          <w:szCs w:val="24"/>
        </w:rPr>
      </w:pPr>
      <w:r w:rsidRPr="00860A83">
        <w:rPr>
          <w:szCs w:val="24"/>
        </w:rPr>
        <w:t>Percent of respo</w:t>
      </w:r>
      <w:r>
        <w:rPr>
          <w:szCs w:val="24"/>
        </w:rPr>
        <w:t>nses received electronically:</w:t>
      </w:r>
      <w:r>
        <w:rPr>
          <w:szCs w:val="24"/>
        </w:rPr>
        <w:tab/>
        <w:t xml:space="preserve"> 10</w:t>
      </w:r>
      <w:r w:rsidRPr="00860A83">
        <w:rPr>
          <w:szCs w:val="24"/>
        </w:rPr>
        <w:t>0%</w:t>
      </w:r>
    </w:p>
    <w:p w14:paraId="44C2E180" w14:textId="77777777" w:rsidR="00B90479" w:rsidRDefault="00B90479" w:rsidP="00B229D3">
      <w:pPr>
        <w:rPr>
          <w:szCs w:val="24"/>
        </w:rPr>
      </w:pPr>
    </w:p>
    <w:p w14:paraId="197783E0" w14:textId="77777777" w:rsidR="00F66B42" w:rsidRPr="00F66B42" w:rsidRDefault="00F66B42" w:rsidP="00F66B42">
      <w:r w:rsidRPr="00F66B42">
        <w:t>Hour burden cost:</w:t>
      </w:r>
    </w:p>
    <w:tbl>
      <w:tblPr>
        <w:tblW w:w="0" w:type="auto"/>
        <w:tblInd w:w="720" w:type="dxa"/>
        <w:tblLook w:val="04A0" w:firstRow="1" w:lastRow="0" w:firstColumn="1" w:lastColumn="0" w:noHBand="0" w:noVBand="1"/>
      </w:tblPr>
      <w:tblGrid>
        <w:gridCol w:w="4428"/>
        <w:gridCol w:w="1116"/>
      </w:tblGrid>
      <w:tr w:rsidR="00F66B42" w:rsidRPr="00F66B42" w14:paraId="216894D1" w14:textId="77777777" w:rsidTr="002F03AB">
        <w:tc>
          <w:tcPr>
            <w:tcW w:w="4428" w:type="dxa"/>
            <w:shd w:val="clear" w:color="auto" w:fill="auto"/>
          </w:tcPr>
          <w:p w14:paraId="190AF34E" w14:textId="77777777" w:rsidR="00F66B42" w:rsidRPr="00F66B42" w:rsidRDefault="00F66B42" w:rsidP="00F66B42">
            <w:pPr>
              <w:rPr>
                <w:rFonts w:eastAsia="SimSun"/>
              </w:rPr>
            </w:pPr>
            <w:r w:rsidRPr="00F66B42">
              <w:rPr>
                <w:rFonts w:eastAsia="SimSun"/>
              </w:rPr>
              <w:t>Estimate hourly wage ($/hour):</w:t>
            </w:r>
            <w:r w:rsidRPr="00F66B42">
              <w:rPr>
                <w:rFonts w:eastAsia="SimSun"/>
                <w:vertAlign w:val="superscript"/>
              </w:rPr>
              <w:footnoteReference w:id="1"/>
            </w:r>
          </w:p>
        </w:tc>
        <w:tc>
          <w:tcPr>
            <w:tcW w:w="1080" w:type="dxa"/>
            <w:shd w:val="clear" w:color="auto" w:fill="auto"/>
          </w:tcPr>
          <w:p w14:paraId="5424C363" w14:textId="022E10E7" w:rsidR="00F66B42" w:rsidRPr="00F66B42" w:rsidRDefault="00F66B42" w:rsidP="00F66B42">
            <w:pPr>
              <w:jc w:val="right"/>
              <w:rPr>
                <w:rFonts w:eastAsia="SimSun"/>
              </w:rPr>
            </w:pPr>
            <w:r w:rsidRPr="00F66B42">
              <w:rPr>
                <w:rFonts w:eastAsia="SimSun"/>
              </w:rPr>
              <w:t>$</w:t>
            </w:r>
            <w:r>
              <w:rPr>
                <w:rFonts w:eastAsia="SimSun"/>
              </w:rPr>
              <w:t>61.94</w:t>
            </w:r>
          </w:p>
        </w:tc>
      </w:tr>
      <w:tr w:rsidR="00F66B42" w:rsidRPr="00F66B42" w14:paraId="5311638A" w14:textId="77777777" w:rsidTr="002F03AB">
        <w:tc>
          <w:tcPr>
            <w:tcW w:w="4428" w:type="dxa"/>
            <w:shd w:val="clear" w:color="auto" w:fill="auto"/>
          </w:tcPr>
          <w:p w14:paraId="4421E653" w14:textId="77777777" w:rsidR="00F66B42" w:rsidRPr="00F66B42" w:rsidRDefault="00F66B42" w:rsidP="00F66B42">
            <w:pPr>
              <w:rPr>
                <w:rFonts w:eastAsia="SimSun"/>
              </w:rPr>
            </w:pPr>
            <w:r w:rsidRPr="00F66B42">
              <w:rPr>
                <w:rFonts w:eastAsia="SimSun"/>
              </w:rPr>
              <w:t>Load for benefits (percent of labor rate):</w:t>
            </w:r>
            <w:r w:rsidRPr="00F66B42">
              <w:rPr>
                <w:rFonts w:eastAsia="SimSun"/>
                <w:vertAlign w:val="superscript"/>
              </w:rPr>
              <w:footnoteReference w:id="2"/>
            </w:r>
          </w:p>
        </w:tc>
        <w:tc>
          <w:tcPr>
            <w:tcW w:w="1080" w:type="dxa"/>
            <w:tcBorders>
              <w:bottom w:val="single" w:sz="4" w:space="0" w:color="auto"/>
            </w:tcBorders>
            <w:shd w:val="clear" w:color="auto" w:fill="auto"/>
          </w:tcPr>
          <w:p w14:paraId="638DD42B" w14:textId="2A528599" w:rsidR="00F66B42" w:rsidRPr="00F66B42" w:rsidRDefault="00F66B42" w:rsidP="00F66B42">
            <w:pPr>
              <w:jc w:val="right"/>
              <w:rPr>
                <w:rFonts w:eastAsia="SimSun"/>
              </w:rPr>
            </w:pPr>
            <w:r w:rsidRPr="00F66B42">
              <w:rPr>
                <w:rFonts w:eastAsia="SimSun"/>
              </w:rPr>
              <w:t>43.</w:t>
            </w:r>
            <w:r>
              <w:rPr>
                <w:rFonts w:eastAsia="SimSun"/>
              </w:rPr>
              <w:t>5</w:t>
            </w:r>
            <w:r w:rsidRPr="00F66B42">
              <w:rPr>
                <w:rFonts w:eastAsia="SimSun"/>
              </w:rPr>
              <w:t>%</w:t>
            </w:r>
          </w:p>
        </w:tc>
      </w:tr>
      <w:tr w:rsidR="00F66B42" w:rsidRPr="00F66B42" w14:paraId="75BDEF3E" w14:textId="77777777" w:rsidTr="002F03AB">
        <w:tc>
          <w:tcPr>
            <w:tcW w:w="4428" w:type="dxa"/>
            <w:shd w:val="clear" w:color="auto" w:fill="auto"/>
          </w:tcPr>
          <w:p w14:paraId="5D2490E1" w14:textId="77777777" w:rsidR="00F66B42" w:rsidRPr="00F66B42" w:rsidRDefault="00F66B42" w:rsidP="00F66B42">
            <w:pPr>
              <w:rPr>
                <w:rFonts w:eastAsia="SimSun"/>
              </w:rPr>
            </w:pPr>
            <w:r w:rsidRPr="00F66B42">
              <w:rPr>
                <w:rFonts w:eastAsia="SimSun"/>
              </w:rPr>
              <w:t>Loaded labor rate ($/hour):</w:t>
            </w:r>
            <w:r w:rsidRPr="00F66B42">
              <w:rPr>
                <w:rFonts w:eastAsia="SimSun"/>
                <w:vertAlign w:val="superscript"/>
              </w:rPr>
              <w:footnoteReference w:id="3"/>
            </w:r>
          </w:p>
        </w:tc>
        <w:tc>
          <w:tcPr>
            <w:tcW w:w="1080" w:type="dxa"/>
            <w:tcBorders>
              <w:top w:val="single" w:sz="4" w:space="0" w:color="auto"/>
            </w:tcBorders>
            <w:shd w:val="clear" w:color="auto" w:fill="auto"/>
          </w:tcPr>
          <w:p w14:paraId="5ED6E938" w14:textId="5A913DFB" w:rsidR="00F66B42" w:rsidRPr="00F66B42" w:rsidRDefault="00F66B42" w:rsidP="00F66B42">
            <w:pPr>
              <w:jc w:val="right"/>
              <w:rPr>
                <w:rFonts w:eastAsia="SimSun"/>
              </w:rPr>
            </w:pPr>
            <w:r w:rsidRPr="00F66B42">
              <w:rPr>
                <w:rFonts w:eastAsia="SimSun"/>
              </w:rPr>
              <w:t>$</w:t>
            </w:r>
            <w:r>
              <w:rPr>
                <w:rFonts w:eastAsia="SimSun"/>
              </w:rPr>
              <w:t>88.88</w:t>
            </w:r>
          </w:p>
        </w:tc>
      </w:tr>
      <w:tr w:rsidR="00F66B42" w:rsidRPr="00F66B42" w14:paraId="031DB40A" w14:textId="77777777" w:rsidTr="002F03AB">
        <w:tc>
          <w:tcPr>
            <w:tcW w:w="4428" w:type="dxa"/>
            <w:shd w:val="clear" w:color="auto" w:fill="auto"/>
          </w:tcPr>
          <w:p w14:paraId="12901EED" w14:textId="77777777" w:rsidR="00F66B42" w:rsidRPr="00F66B42" w:rsidRDefault="00F66B42" w:rsidP="00F66B42">
            <w:pPr>
              <w:rPr>
                <w:rFonts w:eastAsia="SimSun"/>
              </w:rPr>
            </w:pPr>
            <w:r w:rsidRPr="00F66B42">
              <w:rPr>
                <w:rFonts w:eastAsia="SimSun"/>
              </w:rPr>
              <w:t>Average burden per response (hour):</w:t>
            </w:r>
          </w:p>
        </w:tc>
        <w:tc>
          <w:tcPr>
            <w:tcW w:w="1080" w:type="dxa"/>
            <w:tcBorders>
              <w:bottom w:val="single" w:sz="4" w:space="0" w:color="auto"/>
            </w:tcBorders>
            <w:shd w:val="clear" w:color="auto" w:fill="auto"/>
          </w:tcPr>
          <w:p w14:paraId="3DFF3840" w14:textId="31954F3C" w:rsidR="00F66B42" w:rsidRPr="00F66B42" w:rsidRDefault="00F66B42" w:rsidP="00F66B42">
            <w:pPr>
              <w:jc w:val="right"/>
              <w:rPr>
                <w:rFonts w:eastAsia="SimSun"/>
              </w:rPr>
            </w:pPr>
            <w:r>
              <w:rPr>
                <w:rFonts w:eastAsia="SimSun"/>
              </w:rPr>
              <w:t>0.5</w:t>
            </w:r>
          </w:p>
        </w:tc>
      </w:tr>
      <w:tr w:rsidR="00F66B42" w:rsidRPr="00F66B42" w14:paraId="5E0D2F13" w14:textId="77777777" w:rsidTr="002F03AB">
        <w:tc>
          <w:tcPr>
            <w:tcW w:w="4428" w:type="dxa"/>
            <w:shd w:val="clear" w:color="auto" w:fill="auto"/>
          </w:tcPr>
          <w:p w14:paraId="25908D5F" w14:textId="77777777" w:rsidR="00F66B42" w:rsidRPr="00F66B42" w:rsidRDefault="00F66B42" w:rsidP="00F66B42">
            <w:pPr>
              <w:rPr>
                <w:rFonts w:eastAsia="SimSun"/>
              </w:rPr>
            </w:pPr>
            <w:r w:rsidRPr="00F66B42">
              <w:rPr>
                <w:rFonts w:eastAsia="SimSun"/>
              </w:rPr>
              <w:t>Burden cost per response:</w:t>
            </w:r>
          </w:p>
        </w:tc>
        <w:tc>
          <w:tcPr>
            <w:tcW w:w="1080" w:type="dxa"/>
            <w:tcBorders>
              <w:top w:val="single" w:sz="4" w:space="0" w:color="auto"/>
            </w:tcBorders>
            <w:shd w:val="clear" w:color="auto" w:fill="auto"/>
          </w:tcPr>
          <w:p w14:paraId="358C2FA9" w14:textId="2CDBDBB2" w:rsidR="00F66B42" w:rsidRPr="00F66B42" w:rsidRDefault="00F66B42" w:rsidP="00F66B42">
            <w:pPr>
              <w:jc w:val="right"/>
              <w:rPr>
                <w:rFonts w:eastAsia="SimSun"/>
              </w:rPr>
            </w:pPr>
            <w:r w:rsidRPr="00F66B42">
              <w:rPr>
                <w:rFonts w:eastAsia="SimSun"/>
              </w:rPr>
              <w:t>$</w:t>
            </w:r>
            <w:r>
              <w:rPr>
                <w:rFonts w:eastAsia="SimSun"/>
              </w:rPr>
              <w:t>44.44</w:t>
            </w:r>
          </w:p>
        </w:tc>
      </w:tr>
      <w:tr w:rsidR="00F66B42" w:rsidRPr="00F66B42" w14:paraId="54CE9E56" w14:textId="77777777" w:rsidTr="002F03AB">
        <w:tc>
          <w:tcPr>
            <w:tcW w:w="4428" w:type="dxa"/>
            <w:shd w:val="clear" w:color="auto" w:fill="auto"/>
          </w:tcPr>
          <w:p w14:paraId="3AD3CD16" w14:textId="77777777" w:rsidR="00F66B42" w:rsidRPr="00F66B42" w:rsidRDefault="00F66B42" w:rsidP="00F66B42">
            <w:pPr>
              <w:rPr>
                <w:rFonts w:eastAsia="SimSun"/>
              </w:rPr>
            </w:pPr>
            <w:r w:rsidRPr="00F66B42">
              <w:rPr>
                <w:rFonts w:eastAsia="SimSun"/>
              </w:rPr>
              <w:t>Number of annual responses:</w:t>
            </w:r>
          </w:p>
        </w:tc>
        <w:tc>
          <w:tcPr>
            <w:tcW w:w="1080" w:type="dxa"/>
            <w:shd w:val="clear" w:color="auto" w:fill="auto"/>
          </w:tcPr>
          <w:p w14:paraId="6A6F8F05" w14:textId="082B8DE8" w:rsidR="00F66B42" w:rsidRPr="00F66B42" w:rsidRDefault="00F66B42" w:rsidP="00F66B42">
            <w:pPr>
              <w:jc w:val="right"/>
              <w:rPr>
                <w:rFonts w:eastAsia="SimSun"/>
              </w:rPr>
            </w:pPr>
            <w:r>
              <w:rPr>
                <w:rFonts w:eastAsia="SimSun"/>
              </w:rPr>
              <w:t>3,066</w:t>
            </w:r>
          </w:p>
        </w:tc>
      </w:tr>
      <w:tr w:rsidR="00F66B42" w:rsidRPr="00F66B42" w14:paraId="34EB2ABC" w14:textId="77777777" w:rsidTr="002F03AB">
        <w:tc>
          <w:tcPr>
            <w:tcW w:w="4428" w:type="dxa"/>
            <w:shd w:val="clear" w:color="auto" w:fill="auto"/>
          </w:tcPr>
          <w:p w14:paraId="159D3C2F" w14:textId="77777777" w:rsidR="00F66B42" w:rsidRPr="00F66B42" w:rsidRDefault="00F66B42" w:rsidP="00F66B42">
            <w:pPr>
              <w:rPr>
                <w:rFonts w:eastAsia="SimSun"/>
              </w:rPr>
            </w:pPr>
            <w:r w:rsidRPr="00F66B42">
              <w:rPr>
                <w:rFonts w:eastAsia="SimSun"/>
              </w:rPr>
              <w:t>Total annual burden dollar:</w:t>
            </w:r>
          </w:p>
        </w:tc>
        <w:tc>
          <w:tcPr>
            <w:tcW w:w="1080" w:type="dxa"/>
            <w:tcBorders>
              <w:top w:val="single" w:sz="4" w:space="0" w:color="auto"/>
            </w:tcBorders>
            <w:shd w:val="clear" w:color="auto" w:fill="auto"/>
          </w:tcPr>
          <w:p w14:paraId="4C1AA2FA" w14:textId="5D401C10" w:rsidR="00F66B42" w:rsidRPr="00F66B42" w:rsidRDefault="00F66B42" w:rsidP="00F66B42">
            <w:pPr>
              <w:jc w:val="right"/>
              <w:rPr>
                <w:rFonts w:eastAsia="SimSun"/>
              </w:rPr>
            </w:pPr>
            <w:r w:rsidRPr="00F66B42">
              <w:rPr>
                <w:rFonts w:eastAsia="SimSun"/>
              </w:rPr>
              <w:t>$</w:t>
            </w:r>
            <w:r>
              <w:rPr>
                <w:rFonts w:eastAsia="SimSun"/>
              </w:rPr>
              <w:t>136,25</w:t>
            </w:r>
            <w:r w:rsidR="00816C02">
              <w:rPr>
                <w:rFonts w:eastAsia="SimSun"/>
              </w:rPr>
              <w:t>3</w:t>
            </w:r>
          </w:p>
        </w:tc>
      </w:tr>
    </w:tbl>
    <w:p w14:paraId="7E377626" w14:textId="77777777" w:rsidR="00B229D3" w:rsidRDefault="00B229D3" w:rsidP="00B229D3">
      <w:pPr>
        <w:rPr>
          <w:szCs w:val="24"/>
        </w:rPr>
      </w:pPr>
    </w:p>
    <w:p w14:paraId="0B856E9F" w14:textId="77777777" w:rsidR="005A1D74" w:rsidRPr="00235360" w:rsidRDefault="005A1D74" w:rsidP="00AE3D13">
      <w:pPr>
        <w:rPr>
          <w:szCs w:val="24"/>
        </w:rPr>
      </w:pPr>
      <w:r w:rsidRPr="00235360">
        <w:rPr>
          <w:szCs w:val="24"/>
        </w:rPr>
        <w:t xml:space="preserve">13.  </w:t>
      </w:r>
      <w:r w:rsidRPr="00235360">
        <w:rPr>
          <w:szCs w:val="24"/>
          <w:u w:val="single"/>
        </w:rPr>
        <w:t>Estimate of Cost Burden:</w:t>
      </w:r>
    </w:p>
    <w:p w14:paraId="18F17F30" w14:textId="77777777" w:rsidR="005A1D74" w:rsidRPr="00235360" w:rsidRDefault="005A1D74" w:rsidP="00AE3D13">
      <w:pPr>
        <w:rPr>
          <w:szCs w:val="24"/>
        </w:rPr>
      </w:pPr>
    </w:p>
    <w:p w14:paraId="70B7C2F4" w14:textId="2CC4B1B4" w:rsidR="00E75B77" w:rsidRPr="00235360" w:rsidRDefault="00F8036F" w:rsidP="002F3DE1">
      <w:pPr>
        <w:jc w:val="both"/>
        <w:rPr>
          <w:szCs w:val="24"/>
        </w:rPr>
      </w:pPr>
      <w:r w:rsidRPr="00235360">
        <w:rPr>
          <w:szCs w:val="24"/>
        </w:rPr>
        <w:t>The estimated annual cost burden is zero.  Respondents</w:t>
      </w:r>
      <w:r>
        <w:rPr>
          <w:szCs w:val="24"/>
        </w:rPr>
        <w:t xml:space="preserve"> are estimated to not incur any </w:t>
      </w:r>
      <w:r w:rsidRPr="00235360">
        <w:rPr>
          <w:szCs w:val="24"/>
        </w:rPr>
        <w:t>additional start-up co</w:t>
      </w:r>
      <w:r>
        <w:rPr>
          <w:szCs w:val="24"/>
        </w:rPr>
        <w:t xml:space="preserve">sts or capital expenditures, or </w:t>
      </w:r>
      <w:r w:rsidRPr="00235360">
        <w:rPr>
          <w:szCs w:val="24"/>
        </w:rPr>
        <w:t>additional operation and maintenance costs</w:t>
      </w:r>
      <w:r>
        <w:rPr>
          <w:szCs w:val="24"/>
        </w:rPr>
        <w:t>,</w:t>
      </w:r>
      <w:r w:rsidRPr="00235360">
        <w:rPr>
          <w:szCs w:val="24"/>
        </w:rPr>
        <w:t xml:space="preserve"> or </w:t>
      </w:r>
      <w:r>
        <w:rPr>
          <w:szCs w:val="24"/>
        </w:rPr>
        <w:t xml:space="preserve">to </w:t>
      </w:r>
      <w:r w:rsidRPr="00235360">
        <w:rPr>
          <w:szCs w:val="24"/>
        </w:rPr>
        <w:t>purchase services as a result of this information collection</w:t>
      </w:r>
      <w:r w:rsidR="003D1F4A" w:rsidRPr="00235360">
        <w:rPr>
          <w:szCs w:val="24"/>
        </w:rPr>
        <w:t>.</w:t>
      </w:r>
    </w:p>
    <w:p w14:paraId="1BC3B90C" w14:textId="315DB431" w:rsidR="003D1F4A" w:rsidRDefault="003D1F4A" w:rsidP="00AE3D13">
      <w:pPr>
        <w:rPr>
          <w:szCs w:val="24"/>
        </w:rPr>
      </w:pPr>
    </w:p>
    <w:p w14:paraId="72D68AD9" w14:textId="003C459E" w:rsidR="004D7B3A" w:rsidRDefault="004D7B3A" w:rsidP="00AE3D13">
      <w:pPr>
        <w:rPr>
          <w:szCs w:val="24"/>
        </w:rPr>
      </w:pPr>
    </w:p>
    <w:p w14:paraId="6F470CD7" w14:textId="3509EC0C" w:rsidR="0014583B" w:rsidRDefault="0014583B" w:rsidP="00AE3D13">
      <w:pPr>
        <w:rPr>
          <w:szCs w:val="24"/>
        </w:rPr>
      </w:pPr>
    </w:p>
    <w:p w14:paraId="58B1626C" w14:textId="77777777" w:rsidR="0014583B" w:rsidRDefault="0014583B" w:rsidP="00AE3D13">
      <w:pPr>
        <w:rPr>
          <w:szCs w:val="24"/>
        </w:rPr>
      </w:pPr>
    </w:p>
    <w:p w14:paraId="3CB8174F" w14:textId="77777777" w:rsidR="004D7B3A" w:rsidRPr="00235360" w:rsidRDefault="004D7B3A" w:rsidP="00AE3D13">
      <w:pPr>
        <w:rPr>
          <w:szCs w:val="24"/>
        </w:rPr>
      </w:pPr>
    </w:p>
    <w:p w14:paraId="54BEF975" w14:textId="77777777" w:rsidR="005A1D74" w:rsidRPr="00235360" w:rsidRDefault="005A1D74" w:rsidP="00AE3D13">
      <w:pPr>
        <w:rPr>
          <w:szCs w:val="24"/>
        </w:rPr>
      </w:pPr>
      <w:r w:rsidRPr="00235360">
        <w:rPr>
          <w:szCs w:val="24"/>
        </w:rPr>
        <w:t xml:space="preserve">14.  </w:t>
      </w:r>
      <w:r w:rsidRPr="00235360">
        <w:rPr>
          <w:szCs w:val="24"/>
          <w:u w:val="single"/>
        </w:rPr>
        <w:t>Estimated Annualized Cost</w:t>
      </w:r>
      <w:r w:rsidR="00E75B77" w:rsidRPr="00235360">
        <w:rPr>
          <w:szCs w:val="24"/>
          <w:u w:val="single"/>
        </w:rPr>
        <w:t>s</w:t>
      </w:r>
      <w:r w:rsidRPr="00235360">
        <w:rPr>
          <w:szCs w:val="24"/>
          <w:u w:val="single"/>
        </w:rPr>
        <w:t xml:space="preserve"> to Federal Government:</w:t>
      </w:r>
    </w:p>
    <w:p w14:paraId="3D74F038" w14:textId="77777777" w:rsidR="005A1D74" w:rsidRPr="00235360" w:rsidRDefault="005A1D74" w:rsidP="00AE3D13">
      <w:pPr>
        <w:rPr>
          <w:szCs w:val="24"/>
        </w:rPr>
      </w:pPr>
    </w:p>
    <w:p w14:paraId="758E3228" w14:textId="29309D4F" w:rsidR="002F3DE1" w:rsidRDefault="002F3DE1" w:rsidP="002F3DE1">
      <w:pPr>
        <w:rPr>
          <w:color w:val="000000"/>
        </w:rPr>
      </w:pPr>
      <w:r w:rsidRPr="008929A7">
        <w:rPr>
          <w:color w:val="000000"/>
        </w:rPr>
        <w:t>Estimated Annual Labor Cost to Government:</w:t>
      </w:r>
    </w:p>
    <w:p w14:paraId="490FB5B7" w14:textId="77777777" w:rsidR="004D7B3A" w:rsidRDefault="004D7B3A" w:rsidP="002F3DE1">
      <w:pPr>
        <w:rPr>
          <w:color w:val="000000"/>
        </w:rPr>
      </w:pPr>
    </w:p>
    <w:tbl>
      <w:tblPr>
        <w:tblW w:w="9113" w:type="dxa"/>
        <w:tblInd w:w="93" w:type="dxa"/>
        <w:tblLook w:val="04A0" w:firstRow="1" w:lastRow="0" w:firstColumn="1" w:lastColumn="0" w:noHBand="0" w:noVBand="1"/>
      </w:tblPr>
      <w:tblGrid>
        <w:gridCol w:w="5166"/>
        <w:gridCol w:w="1001"/>
        <w:gridCol w:w="1087"/>
        <w:gridCol w:w="1401"/>
        <w:gridCol w:w="122"/>
        <w:gridCol w:w="114"/>
        <w:gridCol w:w="108"/>
        <w:gridCol w:w="114"/>
      </w:tblGrid>
      <w:tr w:rsidR="002F3DE1" w14:paraId="3DAAF9AD" w14:textId="77777777" w:rsidTr="00205AAC">
        <w:trPr>
          <w:gridAfter w:val="4"/>
          <w:wAfter w:w="458" w:type="dxa"/>
          <w:trHeight w:val="300"/>
        </w:trPr>
        <w:tc>
          <w:tcPr>
            <w:tcW w:w="5166" w:type="dxa"/>
            <w:tcBorders>
              <w:top w:val="nil"/>
              <w:left w:val="nil"/>
              <w:bottom w:val="nil"/>
              <w:right w:val="nil"/>
            </w:tcBorders>
            <w:shd w:val="clear" w:color="auto" w:fill="auto"/>
            <w:noWrap/>
            <w:vAlign w:val="bottom"/>
            <w:hideMark/>
          </w:tcPr>
          <w:p w14:paraId="6B272E0D" w14:textId="3D998521" w:rsidR="002F3DE1" w:rsidRDefault="002F3DE1" w:rsidP="005B12F2">
            <w:pPr>
              <w:rPr>
                <w:b/>
                <w:bCs/>
                <w:color w:val="000000"/>
                <w:sz w:val="20"/>
              </w:rPr>
            </w:pPr>
            <w:r>
              <w:rPr>
                <w:b/>
                <w:bCs/>
                <w:color w:val="000000"/>
                <w:sz w:val="20"/>
              </w:rPr>
              <w:t>Labor Category</w:t>
            </w:r>
            <w:r w:rsidR="004A7742" w:rsidRPr="00EA2E2B">
              <w:rPr>
                <w:rStyle w:val="FootnoteReference"/>
                <w:b/>
                <w:bCs/>
                <w:color w:val="000000"/>
                <w:sz w:val="20"/>
                <w:vertAlign w:val="superscript"/>
              </w:rPr>
              <w:footnoteReference w:id="4"/>
            </w:r>
          </w:p>
        </w:tc>
        <w:tc>
          <w:tcPr>
            <w:tcW w:w="1001" w:type="dxa"/>
            <w:tcBorders>
              <w:top w:val="nil"/>
              <w:left w:val="nil"/>
              <w:bottom w:val="nil"/>
              <w:right w:val="nil"/>
            </w:tcBorders>
            <w:shd w:val="clear" w:color="auto" w:fill="auto"/>
            <w:noWrap/>
            <w:vAlign w:val="bottom"/>
            <w:hideMark/>
          </w:tcPr>
          <w:p w14:paraId="591E9CEF" w14:textId="77777777" w:rsidR="002F3DE1" w:rsidRDefault="002F3DE1" w:rsidP="009F5E80">
            <w:pPr>
              <w:rPr>
                <w:b/>
                <w:bCs/>
                <w:color w:val="000000"/>
                <w:sz w:val="20"/>
              </w:rPr>
            </w:pPr>
            <w:r>
              <w:rPr>
                <w:b/>
                <w:bCs/>
                <w:color w:val="000000"/>
                <w:sz w:val="20"/>
              </w:rPr>
              <w:t>Number</w:t>
            </w:r>
          </w:p>
        </w:tc>
        <w:tc>
          <w:tcPr>
            <w:tcW w:w="1087" w:type="dxa"/>
            <w:tcBorders>
              <w:top w:val="nil"/>
              <w:left w:val="nil"/>
              <w:bottom w:val="nil"/>
              <w:right w:val="nil"/>
            </w:tcBorders>
            <w:shd w:val="clear" w:color="auto" w:fill="auto"/>
            <w:noWrap/>
            <w:vAlign w:val="bottom"/>
            <w:hideMark/>
          </w:tcPr>
          <w:p w14:paraId="0677728A" w14:textId="77777777" w:rsidR="002F3DE1" w:rsidRDefault="002F3DE1" w:rsidP="009F5E80">
            <w:pPr>
              <w:rPr>
                <w:b/>
                <w:bCs/>
                <w:color w:val="000000"/>
                <w:sz w:val="20"/>
              </w:rPr>
            </w:pPr>
            <w:r>
              <w:rPr>
                <w:b/>
                <w:bCs/>
                <w:color w:val="000000"/>
                <w:sz w:val="20"/>
              </w:rPr>
              <w:t>% of time</w:t>
            </w:r>
          </w:p>
        </w:tc>
        <w:tc>
          <w:tcPr>
            <w:tcW w:w="1401" w:type="dxa"/>
            <w:tcBorders>
              <w:top w:val="nil"/>
              <w:left w:val="nil"/>
              <w:bottom w:val="nil"/>
              <w:right w:val="nil"/>
            </w:tcBorders>
            <w:shd w:val="clear" w:color="auto" w:fill="auto"/>
            <w:noWrap/>
            <w:vAlign w:val="bottom"/>
            <w:hideMark/>
          </w:tcPr>
          <w:p w14:paraId="2F71D952" w14:textId="56DF1B9D" w:rsidR="002F3DE1" w:rsidRDefault="002F3DE1" w:rsidP="008816FE">
            <w:pPr>
              <w:rPr>
                <w:b/>
                <w:bCs/>
                <w:color w:val="000000"/>
                <w:sz w:val="20"/>
              </w:rPr>
            </w:pPr>
            <w:r>
              <w:rPr>
                <w:b/>
                <w:bCs/>
                <w:color w:val="000000"/>
                <w:sz w:val="20"/>
              </w:rPr>
              <w:t>Cost</w:t>
            </w:r>
            <w:r w:rsidR="004A7742" w:rsidRPr="00205AAC">
              <w:rPr>
                <w:rStyle w:val="FootnoteReference"/>
                <w:b/>
                <w:bCs/>
                <w:color w:val="000000"/>
                <w:sz w:val="20"/>
                <w:vertAlign w:val="superscript"/>
              </w:rPr>
              <w:footnoteReference w:id="5"/>
            </w:r>
          </w:p>
        </w:tc>
      </w:tr>
      <w:tr w:rsidR="002F3DE1" w14:paraId="574006BF" w14:textId="77777777" w:rsidTr="00205AAC">
        <w:trPr>
          <w:gridAfter w:val="4"/>
          <w:wAfter w:w="458" w:type="dxa"/>
          <w:trHeight w:val="300"/>
        </w:trPr>
        <w:tc>
          <w:tcPr>
            <w:tcW w:w="5166" w:type="dxa"/>
            <w:tcBorders>
              <w:top w:val="nil"/>
              <w:left w:val="nil"/>
              <w:bottom w:val="nil"/>
              <w:right w:val="nil"/>
            </w:tcBorders>
            <w:shd w:val="clear" w:color="auto" w:fill="auto"/>
            <w:noWrap/>
            <w:vAlign w:val="bottom"/>
            <w:hideMark/>
          </w:tcPr>
          <w:p w14:paraId="63394859" w14:textId="77777777" w:rsidR="002F3DE1" w:rsidRDefault="002F3DE1" w:rsidP="009F5E80">
            <w:pPr>
              <w:rPr>
                <w:color w:val="000000"/>
                <w:sz w:val="20"/>
              </w:rPr>
            </w:pPr>
            <w:r>
              <w:rPr>
                <w:color w:val="000000"/>
                <w:sz w:val="20"/>
              </w:rPr>
              <w:t>Section Chief/Supervisory Physical Scientist – GS-1301-15</w:t>
            </w:r>
          </w:p>
        </w:tc>
        <w:tc>
          <w:tcPr>
            <w:tcW w:w="1001" w:type="dxa"/>
            <w:tcBorders>
              <w:top w:val="nil"/>
              <w:left w:val="nil"/>
              <w:bottom w:val="nil"/>
              <w:right w:val="nil"/>
            </w:tcBorders>
            <w:shd w:val="clear" w:color="auto" w:fill="auto"/>
            <w:noWrap/>
            <w:vAlign w:val="bottom"/>
            <w:hideMark/>
          </w:tcPr>
          <w:p w14:paraId="27996AC1" w14:textId="77777777" w:rsidR="002F3DE1" w:rsidRDefault="002F3DE1" w:rsidP="009F5E80">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14:paraId="43A14195" w14:textId="77777777" w:rsidR="002F3DE1" w:rsidRDefault="002F3DE1" w:rsidP="009F5E80">
            <w:pPr>
              <w:jc w:val="right"/>
              <w:rPr>
                <w:color w:val="000000"/>
                <w:sz w:val="20"/>
              </w:rPr>
            </w:pPr>
            <w:r>
              <w:rPr>
                <w:color w:val="000000"/>
                <w:sz w:val="20"/>
              </w:rPr>
              <w:t>10%</w:t>
            </w:r>
          </w:p>
        </w:tc>
        <w:tc>
          <w:tcPr>
            <w:tcW w:w="1401" w:type="dxa"/>
            <w:tcBorders>
              <w:top w:val="nil"/>
              <w:left w:val="nil"/>
              <w:bottom w:val="nil"/>
              <w:right w:val="nil"/>
            </w:tcBorders>
            <w:shd w:val="clear" w:color="auto" w:fill="auto"/>
            <w:noWrap/>
            <w:vAlign w:val="bottom"/>
            <w:hideMark/>
          </w:tcPr>
          <w:p w14:paraId="1C5DD84F" w14:textId="79CD50EB" w:rsidR="002F3DE1" w:rsidRDefault="002F3DE1" w:rsidP="009F5E80">
            <w:pPr>
              <w:rPr>
                <w:color w:val="000000"/>
                <w:sz w:val="20"/>
              </w:rPr>
            </w:pPr>
            <w:r>
              <w:rPr>
                <w:color w:val="000000"/>
                <w:sz w:val="20"/>
              </w:rPr>
              <w:t xml:space="preserve"> $     </w:t>
            </w:r>
            <w:r w:rsidR="00E657C9">
              <w:rPr>
                <w:color w:val="000000"/>
                <w:sz w:val="20"/>
              </w:rPr>
              <w:t>24,481</w:t>
            </w:r>
            <w:r>
              <w:rPr>
                <w:color w:val="000000"/>
                <w:sz w:val="20"/>
              </w:rPr>
              <w:t xml:space="preserve"> </w:t>
            </w:r>
          </w:p>
        </w:tc>
      </w:tr>
      <w:tr w:rsidR="002F3DE1" w14:paraId="3C668AD9" w14:textId="77777777" w:rsidTr="00205AAC">
        <w:trPr>
          <w:gridAfter w:val="1"/>
          <w:wAfter w:w="114" w:type="dxa"/>
          <w:trHeight w:val="300"/>
        </w:trPr>
        <w:tc>
          <w:tcPr>
            <w:tcW w:w="8777" w:type="dxa"/>
            <w:gridSpan w:val="5"/>
            <w:tcBorders>
              <w:top w:val="nil"/>
              <w:left w:val="nil"/>
              <w:bottom w:val="nil"/>
              <w:right w:val="nil"/>
            </w:tcBorders>
            <w:shd w:val="clear" w:color="auto" w:fill="auto"/>
            <w:noWrap/>
            <w:vAlign w:val="bottom"/>
            <w:hideMark/>
          </w:tcPr>
          <w:p w14:paraId="4E4FA221" w14:textId="77777777" w:rsidR="002F3DE1" w:rsidRDefault="002F3DE1" w:rsidP="009F5E80">
            <w:pPr>
              <w:rPr>
                <w:color w:val="000000"/>
                <w:sz w:val="20"/>
              </w:rPr>
            </w:pPr>
            <w:r>
              <w:rPr>
                <w:color w:val="000000"/>
                <w:sz w:val="20"/>
              </w:rPr>
              <w:t>Analysis of quota information (Schedule I and II controlled substances):</w:t>
            </w:r>
          </w:p>
        </w:tc>
        <w:tc>
          <w:tcPr>
            <w:tcW w:w="222" w:type="dxa"/>
            <w:gridSpan w:val="2"/>
            <w:tcBorders>
              <w:top w:val="nil"/>
              <w:left w:val="nil"/>
              <w:bottom w:val="nil"/>
              <w:right w:val="nil"/>
            </w:tcBorders>
            <w:shd w:val="clear" w:color="auto" w:fill="auto"/>
            <w:noWrap/>
            <w:vAlign w:val="bottom"/>
            <w:hideMark/>
          </w:tcPr>
          <w:p w14:paraId="600BB689" w14:textId="77777777" w:rsidR="002F3DE1" w:rsidRDefault="002F3DE1" w:rsidP="009F5E80">
            <w:pPr>
              <w:rPr>
                <w:color w:val="000000"/>
                <w:sz w:val="20"/>
              </w:rPr>
            </w:pPr>
          </w:p>
        </w:tc>
      </w:tr>
      <w:tr w:rsidR="002F3DE1" w14:paraId="34E91BAB" w14:textId="77777777" w:rsidTr="00205AAC">
        <w:trPr>
          <w:trHeight w:val="300"/>
        </w:trPr>
        <w:tc>
          <w:tcPr>
            <w:tcW w:w="5166" w:type="dxa"/>
            <w:tcBorders>
              <w:top w:val="nil"/>
              <w:left w:val="nil"/>
              <w:bottom w:val="nil"/>
              <w:right w:val="nil"/>
            </w:tcBorders>
            <w:shd w:val="clear" w:color="auto" w:fill="auto"/>
            <w:noWrap/>
            <w:vAlign w:val="bottom"/>
            <w:hideMark/>
          </w:tcPr>
          <w:p w14:paraId="44E981F2" w14:textId="5D49E621" w:rsidR="002F3DE1" w:rsidRDefault="002F3DE1" w:rsidP="009F5E80">
            <w:pPr>
              <w:ind w:firstLineChars="100" w:firstLine="200"/>
              <w:rPr>
                <w:color w:val="000000"/>
                <w:sz w:val="20"/>
              </w:rPr>
            </w:pPr>
            <w:r>
              <w:rPr>
                <w:color w:val="000000"/>
                <w:sz w:val="20"/>
              </w:rPr>
              <w:t>Drug Science Specialists – GS-601-14</w:t>
            </w:r>
          </w:p>
        </w:tc>
        <w:tc>
          <w:tcPr>
            <w:tcW w:w="1001" w:type="dxa"/>
            <w:tcBorders>
              <w:top w:val="nil"/>
              <w:left w:val="nil"/>
              <w:bottom w:val="nil"/>
              <w:right w:val="nil"/>
            </w:tcBorders>
            <w:shd w:val="clear" w:color="auto" w:fill="auto"/>
            <w:noWrap/>
            <w:vAlign w:val="bottom"/>
            <w:hideMark/>
          </w:tcPr>
          <w:p w14:paraId="4D2AF5F5" w14:textId="77777777" w:rsidR="002F3DE1" w:rsidRDefault="002F3DE1" w:rsidP="009F5E80">
            <w:pPr>
              <w:jc w:val="right"/>
              <w:rPr>
                <w:color w:val="000000"/>
                <w:sz w:val="20"/>
              </w:rPr>
            </w:pPr>
            <w:r>
              <w:rPr>
                <w:color w:val="000000"/>
                <w:sz w:val="20"/>
              </w:rPr>
              <w:t>4</w:t>
            </w:r>
          </w:p>
        </w:tc>
        <w:tc>
          <w:tcPr>
            <w:tcW w:w="1087" w:type="dxa"/>
            <w:tcBorders>
              <w:top w:val="nil"/>
              <w:left w:val="nil"/>
              <w:bottom w:val="nil"/>
              <w:right w:val="nil"/>
            </w:tcBorders>
            <w:shd w:val="clear" w:color="auto" w:fill="auto"/>
            <w:noWrap/>
            <w:vAlign w:val="center"/>
            <w:hideMark/>
          </w:tcPr>
          <w:p w14:paraId="042A9811" w14:textId="77777777" w:rsidR="002F3DE1" w:rsidRDefault="002F3DE1" w:rsidP="009F5E80">
            <w:pPr>
              <w:jc w:val="right"/>
              <w:rPr>
                <w:color w:val="000000"/>
                <w:sz w:val="20"/>
              </w:rPr>
            </w:pPr>
            <w:r>
              <w:rPr>
                <w:color w:val="000000"/>
                <w:sz w:val="20"/>
              </w:rPr>
              <w:t>69%</w:t>
            </w:r>
          </w:p>
        </w:tc>
        <w:tc>
          <w:tcPr>
            <w:tcW w:w="1401" w:type="dxa"/>
            <w:tcBorders>
              <w:top w:val="nil"/>
              <w:left w:val="nil"/>
              <w:bottom w:val="nil"/>
              <w:right w:val="nil"/>
            </w:tcBorders>
            <w:shd w:val="clear" w:color="auto" w:fill="auto"/>
            <w:noWrap/>
            <w:vAlign w:val="bottom"/>
            <w:hideMark/>
          </w:tcPr>
          <w:p w14:paraId="71187267" w14:textId="296E7584" w:rsidR="002F3DE1" w:rsidRDefault="002F3DE1" w:rsidP="00E657C9">
            <w:pPr>
              <w:rPr>
                <w:color w:val="000000"/>
                <w:sz w:val="20"/>
              </w:rPr>
            </w:pPr>
            <w:r>
              <w:rPr>
                <w:color w:val="000000"/>
                <w:sz w:val="20"/>
              </w:rPr>
              <w:t xml:space="preserve"> $   </w:t>
            </w:r>
            <w:r w:rsidR="00E657C9">
              <w:rPr>
                <w:color w:val="000000"/>
                <w:sz w:val="20"/>
              </w:rPr>
              <w:t>574,433</w:t>
            </w:r>
            <w:r>
              <w:rPr>
                <w:color w:val="000000"/>
                <w:sz w:val="20"/>
              </w:rPr>
              <w:t xml:space="preserve"> </w:t>
            </w:r>
          </w:p>
        </w:tc>
        <w:tc>
          <w:tcPr>
            <w:tcW w:w="236" w:type="dxa"/>
            <w:gridSpan w:val="2"/>
            <w:vAlign w:val="center"/>
            <w:hideMark/>
          </w:tcPr>
          <w:p w14:paraId="51E9DC64" w14:textId="77777777" w:rsidR="002F3DE1" w:rsidRDefault="002F3DE1" w:rsidP="009F5E80">
            <w:pPr>
              <w:rPr>
                <w:sz w:val="20"/>
              </w:rPr>
            </w:pPr>
          </w:p>
        </w:tc>
        <w:tc>
          <w:tcPr>
            <w:tcW w:w="222" w:type="dxa"/>
            <w:gridSpan w:val="2"/>
            <w:vAlign w:val="center"/>
            <w:hideMark/>
          </w:tcPr>
          <w:p w14:paraId="13B8D5A7" w14:textId="77777777" w:rsidR="002F3DE1" w:rsidRDefault="002F3DE1" w:rsidP="009F5E80">
            <w:pPr>
              <w:rPr>
                <w:sz w:val="20"/>
              </w:rPr>
            </w:pPr>
          </w:p>
        </w:tc>
      </w:tr>
      <w:tr w:rsidR="002F3DE1" w14:paraId="30A9DD1B" w14:textId="77777777" w:rsidTr="00205AAC">
        <w:trPr>
          <w:trHeight w:val="300"/>
        </w:trPr>
        <w:tc>
          <w:tcPr>
            <w:tcW w:w="5166" w:type="dxa"/>
            <w:tcBorders>
              <w:top w:val="nil"/>
              <w:left w:val="nil"/>
              <w:bottom w:val="nil"/>
              <w:right w:val="nil"/>
            </w:tcBorders>
            <w:shd w:val="clear" w:color="auto" w:fill="auto"/>
            <w:noWrap/>
            <w:vAlign w:val="bottom"/>
            <w:hideMark/>
          </w:tcPr>
          <w:p w14:paraId="6DD74B35" w14:textId="77777777" w:rsidR="002F3DE1" w:rsidRDefault="002F3DE1" w:rsidP="009F5E80">
            <w:pPr>
              <w:ind w:firstLineChars="100" w:firstLine="200"/>
              <w:rPr>
                <w:color w:val="000000"/>
                <w:sz w:val="20"/>
              </w:rPr>
            </w:pPr>
            <w:r>
              <w:rPr>
                <w:color w:val="000000"/>
                <w:sz w:val="20"/>
              </w:rPr>
              <w:t>Supervisory Physical Scientist - GS-1301-14</w:t>
            </w:r>
          </w:p>
        </w:tc>
        <w:tc>
          <w:tcPr>
            <w:tcW w:w="1001" w:type="dxa"/>
            <w:tcBorders>
              <w:top w:val="nil"/>
              <w:left w:val="nil"/>
              <w:bottom w:val="nil"/>
              <w:right w:val="nil"/>
            </w:tcBorders>
            <w:shd w:val="clear" w:color="auto" w:fill="auto"/>
            <w:noWrap/>
            <w:vAlign w:val="bottom"/>
            <w:hideMark/>
          </w:tcPr>
          <w:p w14:paraId="776D1328" w14:textId="77777777" w:rsidR="002F3DE1" w:rsidRDefault="002F3DE1" w:rsidP="009F5E80">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14:paraId="2E84DCBE" w14:textId="77777777" w:rsidR="002F3DE1" w:rsidRDefault="002F3DE1" w:rsidP="009F5E80">
            <w:pPr>
              <w:jc w:val="right"/>
              <w:rPr>
                <w:color w:val="000000"/>
                <w:sz w:val="20"/>
              </w:rPr>
            </w:pPr>
            <w:r>
              <w:rPr>
                <w:color w:val="000000"/>
                <w:sz w:val="20"/>
              </w:rPr>
              <w:t>42%</w:t>
            </w:r>
          </w:p>
        </w:tc>
        <w:tc>
          <w:tcPr>
            <w:tcW w:w="1401" w:type="dxa"/>
            <w:tcBorders>
              <w:top w:val="nil"/>
              <w:left w:val="nil"/>
              <w:bottom w:val="nil"/>
              <w:right w:val="nil"/>
            </w:tcBorders>
            <w:shd w:val="clear" w:color="auto" w:fill="auto"/>
            <w:noWrap/>
            <w:vAlign w:val="bottom"/>
            <w:hideMark/>
          </w:tcPr>
          <w:p w14:paraId="3A153E90" w14:textId="6103B6A7" w:rsidR="002F3DE1" w:rsidRDefault="002F3DE1" w:rsidP="009F5E80">
            <w:pPr>
              <w:rPr>
                <w:color w:val="000000"/>
                <w:sz w:val="20"/>
              </w:rPr>
            </w:pPr>
            <w:r>
              <w:rPr>
                <w:color w:val="000000"/>
                <w:sz w:val="20"/>
              </w:rPr>
              <w:t xml:space="preserve"> $     </w:t>
            </w:r>
            <w:r w:rsidR="00E657C9">
              <w:rPr>
                <w:color w:val="000000"/>
                <w:sz w:val="20"/>
              </w:rPr>
              <w:t>87,413</w:t>
            </w:r>
            <w:r>
              <w:rPr>
                <w:color w:val="000000"/>
                <w:sz w:val="20"/>
              </w:rPr>
              <w:t xml:space="preserve"> </w:t>
            </w:r>
          </w:p>
        </w:tc>
        <w:tc>
          <w:tcPr>
            <w:tcW w:w="236" w:type="dxa"/>
            <w:gridSpan w:val="2"/>
            <w:vAlign w:val="center"/>
            <w:hideMark/>
          </w:tcPr>
          <w:p w14:paraId="5C0DF679" w14:textId="77777777" w:rsidR="002F3DE1" w:rsidRDefault="002F3DE1" w:rsidP="009F5E80">
            <w:pPr>
              <w:rPr>
                <w:sz w:val="20"/>
              </w:rPr>
            </w:pPr>
          </w:p>
        </w:tc>
        <w:tc>
          <w:tcPr>
            <w:tcW w:w="222" w:type="dxa"/>
            <w:gridSpan w:val="2"/>
            <w:vAlign w:val="center"/>
            <w:hideMark/>
          </w:tcPr>
          <w:p w14:paraId="1EB569D5" w14:textId="77777777" w:rsidR="002F3DE1" w:rsidRDefault="002F3DE1" w:rsidP="009F5E80">
            <w:pPr>
              <w:rPr>
                <w:sz w:val="20"/>
              </w:rPr>
            </w:pPr>
          </w:p>
        </w:tc>
      </w:tr>
      <w:tr w:rsidR="002F3DE1" w14:paraId="0A44DF71" w14:textId="77777777" w:rsidTr="00205AAC">
        <w:trPr>
          <w:trHeight w:val="300"/>
        </w:trPr>
        <w:tc>
          <w:tcPr>
            <w:tcW w:w="5166" w:type="dxa"/>
            <w:tcBorders>
              <w:top w:val="nil"/>
              <w:left w:val="nil"/>
              <w:bottom w:val="nil"/>
              <w:right w:val="nil"/>
            </w:tcBorders>
            <w:shd w:val="clear" w:color="auto" w:fill="auto"/>
            <w:noWrap/>
            <w:vAlign w:val="bottom"/>
            <w:hideMark/>
          </w:tcPr>
          <w:p w14:paraId="7F942EA5" w14:textId="77777777" w:rsidR="002F3DE1" w:rsidRDefault="002F3DE1" w:rsidP="009F5E80">
            <w:pPr>
              <w:ind w:firstLineChars="100" w:firstLine="200"/>
              <w:rPr>
                <w:color w:val="000000"/>
                <w:sz w:val="20"/>
              </w:rPr>
            </w:pPr>
            <w:r>
              <w:rPr>
                <w:color w:val="000000"/>
                <w:sz w:val="20"/>
              </w:rPr>
              <w:t>Supervisory Physical Scientist - GS-1301-15</w:t>
            </w:r>
          </w:p>
        </w:tc>
        <w:tc>
          <w:tcPr>
            <w:tcW w:w="1001" w:type="dxa"/>
            <w:tcBorders>
              <w:top w:val="nil"/>
              <w:left w:val="nil"/>
              <w:bottom w:val="nil"/>
              <w:right w:val="nil"/>
            </w:tcBorders>
            <w:shd w:val="clear" w:color="auto" w:fill="auto"/>
            <w:noWrap/>
            <w:vAlign w:val="bottom"/>
            <w:hideMark/>
          </w:tcPr>
          <w:p w14:paraId="72CE67F9" w14:textId="77777777" w:rsidR="002F3DE1" w:rsidRDefault="002F3DE1" w:rsidP="009F5E80">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14:paraId="7377BB5B" w14:textId="77777777" w:rsidR="002F3DE1" w:rsidRDefault="002F3DE1" w:rsidP="009F5E80">
            <w:pPr>
              <w:jc w:val="right"/>
              <w:rPr>
                <w:color w:val="000000"/>
                <w:sz w:val="20"/>
              </w:rPr>
            </w:pPr>
            <w:r>
              <w:rPr>
                <w:color w:val="000000"/>
                <w:sz w:val="20"/>
              </w:rPr>
              <w:t>5%</w:t>
            </w:r>
          </w:p>
        </w:tc>
        <w:tc>
          <w:tcPr>
            <w:tcW w:w="1401" w:type="dxa"/>
            <w:tcBorders>
              <w:top w:val="nil"/>
              <w:left w:val="nil"/>
              <w:bottom w:val="nil"/>
              <w:right w:val="nil"/>
            </w:tcBorders>
            <w:shd w:val="clear" w:color="auto" w:fill="auto"/>
            <w:noWrap/>
            <w:vAlign w:val="bottom"/>
            <w:hideMark/>
          </w:tcPr>
          <w:p w14:paraId="535B94A8" w14:textId="0153B9B1" w:rsidR="002F3DE1" w:rsidRDefault="002F3DE1" w:rsidP="00E657C9">
            <w:pPr>
              <w:rPr>
                <w:color w:val="000000"/>
                <w:sz w:val="20"/>
              </w:rPr>
            </w:pPr>
            <w:r>
              <w:rPr>
                <w:color w:val="000000"/>
                <w:sz w:val="20"/>
              </w:rPr>
              <w:t xml:space="preserve"> $     </w:t>
            </w:r>
            <w:r w:rsidR="00E657C9">
              <w:rPr>
                <w:color w:val="000000"/>
                <w:sz w:val="20"/>
              </w:rPr>
              <w:t>12,241</w:t>
            </w:r>
            <w:r>
              <w:rPr>
                <w:color w:val="000000"/>
                <w:sz w:val="20"/>
              </w:rPr>
              <w:t xml:space="preserve"> </w:t>
            </w:r>
          </w:p>
        </w:tc>
        <w:tc>
          <w:tcPr>
            <w:tcW w:w="236" w:type="dxa"/>
            <w:gridSpan w:val="2"/>
            <w:vAlign w:val="center"/>
            <w:hideMark/>
          </w:tcPr>
          <w:p w14:paraId="7B62E1F2" w14:textId="77777777" w:rsidR="002F3DE1" w:rsidRDefault="002F3DE1" w:rsidP="009F5E80">
            <w:pPr>
              <w:rPr>
                <w:sz w:val="20"/>
              </w:rPr>
            </w:pPr>
          </w:p>
        </w:tc>
        <w:tc>
          <w:tcPr>
            <w:tcW w:w="222" w:type="dxa"/>
            <w:gridSpan w:val="2"/>
            <w:vAlign w:val="center"/>
            <w:hideMark/>
          </w:tcPr>
          <w:p w14:paraId="1B82F6DB" w14:textId="77777777" w:rsidR="002F3DE1" w:rsidRDefault="002F3DE1" w:rsidP="009F5E80">
            <w:pPr>
              <w:rPr>
                <w:sz w:val="20"/>
              </w:rPr>
            </w:pPr>
          </w:p>
        </w:tc>
      </w:tr>
      <w:tr w:rsidR="002F3DE1" w14:paraId="563627E9" w14:textId="77777777" w:rsidTr="00205AAC">
        <w:trPr>
          <w:trHeight w:val="300"/>
        </w:trPr>
        <w:tc>
          <w:tcPr>
            <w:tcW w:w="5166" w:type="dxa"/>
            <w:tcBorders>
              <w:top w:val="nil"/>
              <w:left w:val="nil"/>
              <w:bottom w:val="nil"/>
              <w:right w:val="nil"/>
            </w:tcBorders>
            <w:shd w:val="clear" w:color="auto" w:fill="auto"/>
            <w:noWrap/>
            <w:vAlign w:val="bottom"/>
            <w:hideMark/>
          </w:tcPr>
          <w:p w14:paraId="0F3CA827" w14:textId="77777777" w:rsidR="002F3DE1" w:rsidRDefault="002F3DE1" w:rsidP="009F5E80">
            <w:pPr>
              <w:ind w:firstLineChars="100" w:firstLine="200"/>
              <w:rPr>
                <w:color w:val="000000"/>
                <w:sz w:val="20"/>
              </w:rPr>
            </w:pPr>
            <w:r>
              <w:rPr>
                <w:color w:val="000000"/>
                <w:sz w:val="20"/>
              </w:rPr>
              <w:t>Secretaries - GS-318-7</w:t>
            </w:r>
          </w:p>
        </w:tc>
        <w:tc>
          <w:tcPr>
            <w:tcW w:w="1001" w:type="dxa"/>
            <w:tcBorders>
              <w:top w:val="nil"/>
              <w:left w:val="nil"/>
              <w:bottom w:val="nil"/>
              <w:right w:val="nil"/>
            </w:tcBorders>
            <w:shd w:val="clear" w:color="auto" w:fill="auto"/>
            <w:noWrap/>
            <w:vAlign w:val="bottom"/>
            <w:hideMark/>
          </w:tcPr>
          <w:p w14:paraId="250B9931" w14:textId="77777777" w:rsidR="002F3DE1" w:rsidRDefault="002F3DE1" w:rsidP="009F5E80">
            <w:pPr>
              <w:jc w:val="right"/>
              <w:rPr>
                <w:color w:val="000000"/>
                <w:sz w:val="20"/>
              </w:rPr>
            </w:pPr>
            <w:r>
              <w:rPr>
                <w:color w:val="000000"/>
                <w:sz w:val="20"/>
              </w:rPr>
              <w:t>2</w:t>
            </w:r>
          </w:p>
        </w:tc>
        <w:tc>
          <w:tcPr>
            <w:tcW w:w="1087" w:type="dxa"/>
            <w:tcBorders>
              <w:top w:val="nil"/>
              <w:left w:val="nil"/>
              <w:bottom w:val="nil"/>
              <w:right w:val="nil"/>
            </w:tcBorders>
            <w:shd w:val="clear" w:color="auto" w:fill="auto"/>
            <w:noWrap/>
            <w:vAlign w:val="center"/>
            <w:hideMark/>
          </w:tcPr>
          <w:p w14:paraId="4900A90B" w14:textId="77777777" w:rsidR="002F3DE1" w:rsidRDefault="002F3DE1" w:rsidP="009F5E80">
            <w:pPr>
              <w:jc w:val="right"/>
              <w:rPr>
                <w:color w:val="000000"/>
                <w:sz w:val="20"/>
              </w:rPr>
            </w:pPr>
            <w:r>
              <w:rPr>
                <w:color w:val="000000"/>
                <w:sz w:val="20"/>
              </w:rPr>
              <w:t>55%</w:t>
            </w:r>
          </w:p>
        </w:tc>
        <w:tc>
          <w:tcPr>
            <w:tcW w:w="1401" w:type="dxa"/>
            <w:tcBorders>
              <w:top w:val="nil"/>
              <w:left w:val="nil"/>
              <w:bottom w:val="nil"/>
              <w:right w:val="nil"/>
            </w:tcBorders>
            <w:shd w:val="clear" w:color="auto" w:fill="auto"/>
            <w:noWrap/>
            <w:vAlign w:val="bottom"/>
            <w:hideMark/>
          </w:tcPr>
          <w:p w14:paraId="3961E656" w14:textId="31235070" w:rsidR="002F3DE1" w:rsidRDefault="002F3DE1" w:rsidP="00E657C9">
            <w:pPr>
              <w:rPr>
                <w:color w:val="000000"/>
                <w:sz w:val="20"/>
              </w:rPr>
            </w:pPr>
            <w:r>
              <w:rPr>
                <w:color w:val="000000"/>
                <w:sz w:val="20"/>
              </w:rPr>
              <w:t xml:space="preserve"> $     </w:t>
            </w:r>
            <w:r w:rsidR="00E657C9">
              <w:rPr>
                <w:color w:val="000000"/>
                <w:sz w:val="20"/>
              </w:rPr>
              <w:t>91,847</w:t>
            </w:r>
            <w:r>
              <w:rPr>
                <w:color w:val="000000"/>
                <w:sz w:val="20"/>
              </w:rPr>
              <w:t xml:space="preserve"> </w:t>
            </w:r>
          </w:p>
        </w:tc>
        <w:tc>
          <w:tcPr>
            <w:tcW w:w="236" w:type="dxa"/>
            <w:gridSpan w:val="2"/>
            <w:vAlign w:val="center"/>
            <w:hideMark/>
          </w:tcPr>
          <w:p w14:paraId="7BCE34D3" w14:textId="77777777" w:rsidR="002F3DE1" w:rsidRDefault="002F3DE1" w:rsidP="009F5E80">
            <w:pPr>
              <w:rPr>
                <w:sz w:val="20"/>
              </w:rPr>
            </w:pPr>
          </w:p>
        </w:tc>
        <w:tc>
          <w:tcPr>
            <w:tcW w:w="222" w:type="dxa"/>
            <w:gridSpan w:val="2"/>
            <w:vAlign w:val="center"/>
            <w:hideMark/>
          </w:tcPr>
          <w:p w14:paraId="30CD7CB6" w14:textId="77777777" w:rsidR="002F3DE1" w:rsidRDefault="002F3DE1" w:rsidP="009F5E80">
            <w:pPr>
              <w:rPr>
                <w:sz w:val="20"/>
              </w:rPr>
            </w:pPr>
          </w:p>
        </w:tc>
      </w:tr>
      <w:tr w:rsidR="002F3DE1" w14:paraId="0CC4C107" w14:textId="77777777" w:rsidTr="00205AAC">
        <w:trPr>
          <w:trHeight w:val="300"/>
        </w:trPr>
        <w:tc>
          <w:tcPr>
            <w:tcW w:w="5166" w:type="dxa"/>
            <w:tcBorders>
              <w:top w:val="nil"/>
              <w:left w:val="nil"/>
              <w:bottom w:val="nil"/>
              <w:right w:val="nil"/>
            </w:tcBorders>
            <w:shd w:val="clear" w:color="auto" w:fill="auto"/>
            <w:noWrap/>
            <w:vAlign w:val="bottom"/>
            <w:hideMark/>
          </w:tcPr>
          <w:p w14:paraId="76A5EEA8" w14:textId="77777777" w:rsidR="002F3DE1" w:rsidRDefault="002F3DE1" w:rsidP="009F5E80">
            <w:pPr>
              <w:ind w:firstLineChars="100" w:firstLine="200"/>
              <w:rPr>
                <w:color w:val="000000"/>
                <w:sz w:val="20"/>
              </w:rPr>
            </w:pPr>
            <w:r>
              <w:rPr>
                <w:color w:val="000000"/>
                <w:sz w:val="20"/>
              </w:rPr>
              <w:t>Diversion Investigator/Executive Assistant– GS-1801-15</w:t>
            </w:r>
          </w:p>
        </w:tc>
        <w:tc>
          <w:tcPr>
            <w:tcW w:w="1001" w:type="dxa"/>
            <w:tcBorders>
              <w:top w:val="nil"/>
              <w:left w:val="nil"/>
              <w:bottom w:val="nil"/>
              <w:right w:val="nil"/>
            </w:tcBorders>
            <w:shd w:val="clear" w:color="auto" w:fill="auto"/>
            <w:noWrap/>
            <w:vAlign w:val="bottom"/>
            <w:hideMark/>
          </w:tcPr>
          <w:p w14:paraId="56C19B24" w14:textId="77777777" w:rsidR="002F3DE1" w:rsidRDefault="002F3DE1" w:rsidP="009F5E80">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14:paraId="5C699482" w14:textId="77777777" w:rsidR="002F3DE1" w:rsidRDefault="002F3DE1" w:rsidP="009F5E80">
            <w:pPr>
              <w:jc w:val="right"/>
              <w:rPr>
                <w:color w:val="000000"/>
                <w:sz w:val="20"/>
              </w:rPr>
            </w:pPr>
            <w:r>
              <w:rPr>
                <w:color w:val="000000"/>
                <w:sz w:val="20"/>
              </w:rPr>
              <w:t>5%</w:t>
            </w:r>
          </w:p>
        </w:tc>
        <w:tc>
          <w:tcPr>
            <w:tcW w:w="1401" w:type="dxa"/>
            <w:tcBorders>
              <w:top w:val="nil"/>
              <w:left w:val="nil"/>
              <w:bottom w:val="nil"/>
              <w:right w:val="nil"/>
            </w:tcBorders>
            <w:shd w:val="clear" w:color="auto" w:fill="auto"/>
            <w:noWrap/>
            <w:vAlign w:val="bottom"/>
            <w:hideMark/>
          </w:tcPr>
          <w:p w14:paraId="597336A9" w14:textId="08BDD272" w:rsidR="002F3DE1" w:rsidRDefault="002F3DE1" w:rsidP="00E657C9">
            <w:pPr>
              <w:rPr>
                <w:color w:val="000000"/>
                <w:sz w:val="20"/>
              </w:rPr>
            </w:pPr>
            <w:r>
              <w:rPr>
                <w:color w:val="000000"/>
                <w:sz w:val="20"/>
              </w:rPr>
              <w:t xml:space="preserve"> $     </w:t>
            </w:r>
            <w:r w:rsidR="00E657C9">
              <w:rPr>
                <w:color w:val="000000"/>
                <w:sz w:val="20"/>
              </w:rPr>
              <w:t>12,241</w:t>
            </w:r>
            <w:r>
              <w:rPr>
                <w:color w:val="000000"/>
                <w:sz w:val="20"/>
              </w:rPr>
              <w:t xml:space="preserve"> </w:t>
            </w:r>
          </w:p>
        </w:tc>
        <w:tc>
          <w:tcPr>
            <w:tcW w:w="236" w:type="dxa"/>
            <w:gridSpan w:val="2"/>
            <w:vAlign w:val="center"/>
            <w:hideMark/>
          </w:tcPr>
          <w:p w14:paraId="3404DFC4" w14:textId="77777777" w:rsidR="002F3DE1" w:rsidRDefault="002F3DE1" w:rsidP="009F5E80">
            <w:pPr>
              <w:rPr>
                <w:sz w:val="20"/>
              </w:rPr>
            </w:pPr>
          </w:p>
        </w:tc>
        <w:tc>
          <w:tcPr>
            <w:tcW w:w="222" w:type="dxa"/>
            <w:gridSpan w:val="2"/>
            <w:vAlign w:val="center"/>
            <w:hideMark/>
          </w:tcPr>
          <w:p w14:paraId="3A092B09" w14:textId="77777777" w:rsidR="002F3DE1" w:rsidRDefault="002F3DE1" w:rsidP="009F5E80">
            <w:pPr>
              <w:rPr>
                <w:sz w:val="20"/>
              </w:rPr>
            </w:pPr>
          </w:p>
        </w:tc>
      </w:tr>
      <w:tr w:rsidR="002F3DE1" w14:paraId="43A9E1CA" w14:textId="77777777" w:rsidTr="00205AAC">
        <w:trPr>
          <w:gridAfter w:val="1"/>
          <w:wAfter w:w="114" w:type="dxa"/>
          <w:trHeight w:val="300"/>
        </w:trPr>
        <w:tc>
          <w:tcPr>
            <w:tcW w:w="8999" w:type="dxa"/>
            <w:gridSpan w:val="7"/>
            <w:tcBorders>
              <w:top w:val="nil"/>
              <w:left w:val="nil"/>
              <w:bottom w:val="nil"/>
              <w:right w:val="nil"/>
            </w:tcBorders>
            <w:shd w:val="clear" w:color="auto" w:fill="auto"/>
            <w:noWrap/>
            <w:vAlign w:val="center"/>
            <w:hideMark/>
          </w:tcPr>
          <w:p w14:paraId="732DEB54" w14:textId="77777777" w:rsidR="002F3DE1" w:rsidRDefault="002F3DE1" w:rsidP="009F5E80">
            <w:pPr>
              <w:rPr>
                <w:color w:val="000000"/>
                <w:sz w:val="20"/>
              </w:rPr>
            </w:pPr>
            <w:r>
              <w:rPr>
                <w:color w:val="000000"/>
                <w:sz w:val="20"/>
              </w:rPr>
              <w:t>Analysis of Quota Information (List I chemicals ephedrine, pseudoephedrine, and phenylpropanolamine):</w:t>
            </w:r>
          </w:p>
        </w:tc>
      </w:tr>
      <w:tr w:rsidR="002F3DE1" w14:paraId="2A80301C" w14:textId="77777777" w:rsidTr="00205AAC">
        <w:trPr>
          <w:trHeight w:val="300"/>
        </w:trPr>
        <w:tc>
          <w:tcPr>
            <w:tcW w:w="5166" w:type="dxa"/>
            <w:tcBorders>
              <w:top w:val="nil"/>
              <w:left w:val="nil"/>
              <w:bottom w:val="nil"/>
              <w:right w:val="nil"/>
            </w:tcBorders>
            <w:shd w:val="clear" w:color="auto" w:fill="auto"/>
            <w:noWrap/>
            <w:vAlign w:val="bottom"/>
            <w:hideMark/>
          </w:tcPr>
          <w:p w14:paraId="6747C7FD" w14:textId="625CBC7A" w:rsidR="002F3DE1" w:rsidRDefault="002F3DE1" w:rsidP="009F5E80">
            <w:pPr>
              <w:ind w:firstLineChars="100" w:firstLine="200"/>
              <w:rPr>
                <w:color w:val="000000"/>
                <w:sz w:val="20"/>
              </w:rPr>
            </w:pPr>
            <w:r>
              <w:rPr>
                <w:color w:val="000000"/>
                <w:sz w:val="20"/>
              </w:rPr>
              <w:t xml:space="preserve">Drug Science Specialists – GS-601-14 </w:t>
            </w:r>
          </w:p>
        </w:tc>
        <w:tc>
          <w:tcPr>
            <w:tcW w:w="1001" w:type="dxa"/>
            <w:tcBorders>
              <w:top w:val="nil"/>
              <w:left w:val="nil"/>
              <w:bottom w:val="nil"/>
              <w:right w:val="nil"/>
            </w:tcBorders>
            <w:shd w:val="clear" w:color="auto" w:fill="auto"/>
            <w:noWrap/>
            <w:vAlign w:val="bottom"/>
            <w:hideMark/>
          </w:tcPr>
          <w:p w14:paraId="47D02B4C" w14:textId="77777777" w:rsidR="002F3DE1" w:rsidRDefault="002F3DE1" w:rsidP="009F5E80">
            <w:pPr>
              <w:jc w:val="right"/>
              <w:rPr>
                <w:color w:val="000000"/>
                <w:sz w:val="20"/>
              </w:rPr>
            </w:pPr>
            <w:r>
              <w:rPr>
                <w:color w:val="000000"/>
                <w:sz w:val="20"/>
              </w:rPr>
              <w:t>4</w:t>
            </w:r>
          </w:p>
        </w:tc>
        <w:tc>
          <w:tcPr>
            <w:tcW w:w="1087" w:type="dxa"/>
            <w:tcBorders>
              <w:top w:val="nil"/>
              <w:left w:val="nil"/>
              <w:bottom w:val="nil"/>
              <w:right w:val="nil"/>
            </w:tcBorders>
            <w:shd w:val="clear" w:color="auto" w:fill="auto"/>
            <w:noWrap/>
            <w:vAlign w:val="center"/>
            <w:hideMark/>
          </w:tcPr>
          <w:p w14:paraId="1819DC27" w14:textId="77777777" w:rsidR="002F3DE1" w:rsidRDefault="002F3DE1" w:rsidP="009F5E80">
            <w:pPr>
              <w:jc w:val="right"/>
              <w:rPr>
                <w:color w:val="000000"/>
                <w:sz w:val="20"/>
              </w:rPr>
            </w:pPr>
            <w:r>
              <w:rPr>
                <w:color w:val="000000"/>
                <w:sz w:val="20"/>
              </w:rPr>
              <w:t>10%</w:t>
            </w:r>
          </w:p>
        </w:tc>
        <w:tc>
          <w:tcPr>
            <w:tcW w:w="1401" w:type="dxa"/>
            <w:tcBorders>
              <w:top w:val="nil"/>
              <w:left w:val="nil"/>
              <w:bottom w:val="nil"/>
              <w:right w:val="nil"/>
            </w:tcBorders>
            <w:shd w:val="clear" w:color="auto" w:fill="auto"/>
            <w:noWrap/>
            <w:vAlign w:val="bottom"/>
            <w:hideMark/>
          </w:tcPr>
          <w:p w14:paraId="331F79F8" w14:textId="3B7E5F98" w:rsidR="002F3DE1" w:rsidRDefault="002F3DE1" w:rsidP="00E657C9">
            <w:pPr>
              <w:rPr>
                <w:color w:val="000000"/>
                <w:sz w:val="20"/>
              </w:rPr>
            </w:pPr>
            <w:r>
              <w:rPr>
                <w:color w:val="000000"/>
                <w:sz w:val="20"/>
              </w:rPr>
              <w:t xml:space="preserve"> $     </w:t>
            </w:r>
            <w:r w:rsidR="00E657C9">
              <w:rPr>
                <w:color w:val="000000"/>
                <w:sz w:val="20"/>
              </w:rPr>
              <w:t>83,251</w:t>
            </w:r>
            <w:r>
              <w:rPr>
                <w:color w:val="000000"/>
                <w:sz w:val="20"/>
              </w:rPr>
              <w:t xml:space="preserve"> </w:t>
            </w:r>
          </w:p>
        </w:tc>
        <w:tc>
          <w:tcPr>
            <w:tcW w:w="236" w:type="dxa"/>
            <w:gridSpan w:val="2"/>
            <w:vAlign w:val="center"/>
            <w:hideMark/>
          </w:tcPr>
          <w:p w14:paraId="5996E29A" w14:textId="77777777" w:rsidR="002F3DE1" w:rsidRDefault="002F3DE1" w:rsidP="009F5E80">
            <w:pPr>
              <w:rPr>
                <w:sz w:val="20"/>
              </w:rPr>
            </w:pPr>
          </w:p>
        </w:tc>
        <w:tc>
          <w:tcPr>
            <w:tcW w:w="222" w:type="dxa"/>
            <w:gridSpan w:val="2"/>
            <w:vAlign w:val="center"/>
            <w:hideMark/>
          </w:tcPr>
          <w:p w14:paraId="0C80210A" w14:textId="77777777" w:rsidR="002F3DE1" w:rsidRDefault="002F3DE1" w:rsidP="009F5E80">
            <w:pPr>
              <w:rPr>
                <w:sz w:val="20"/>
              </w:rPr>
            </w:pPr>
          </w:p>
        </w:tc>
      </w:tr>
      <w:tr w:rsidR="002F3DE1" w14:paraId="6F4CC3B3" w14:textId="77777777" w:rsidTr="00205AAC">
        <w:trPr>
          <w:trHeight w:val="300"/>
        </w:trPr>
        <w:tc>
          <w:tcPr>
            <w:tcW w:w="5166" w:type="dxa"/>
            <w:tcBorders>
              <w:top w:val="nil"/>
              <w:left w:val="nil"/>
              <w:bottom w:val="nil"/>
              <w:right w:val="nil"/>
            </w:tcBorders>
            <w:shd w:val="clear" w:color="auto" w:fill="auto"/>
            <w:noWrap/>
            <w:vAlign w:val="bottom"/>
            <w:hideMark/>
          </w:tcPr>
          <w:p w14:paraId="12C273D9" w14:textId="77777777" w:rsidR="002F3DE1" w:rsidRDefault="002F3DE1" w:rsidP="009F5E80">
            <w:pPr>
              <w:ind w:firstLineChars="100" w:firstLine="200"/>
              <w:rPr>
                <w:color w:val="000000"/>
                <w:sz w:val="20"/>
              </w:rPr>
            </w:pPr>
            <w:r>
              <w:rPr>
                <w:color w:val="000000"/>
                <w:sz w:val="20"/>
              </w:rPr>
              <w:t>Supervisory Physical Scientist - GS-1301-14</w:t>
            </w:r>
          </w:p>
        </w:tc>
        <w:tc>
          <w:tcPr>
            <w:tcW w:w="1001" w:type="dxa"/>
            <w:tcBorders>
              <w:top w:val="nil"/>
              <w:left w:val="nil"/>
              <w:bottom w:val="nil"/>
              <w:right w:val="nil"/>
            </w:tcBorders>
            <w:shd w:val="clear" w:color="auto" w:fill="auto"/>
            <w:noWrap/>
            <w:vAlign w:val="bottom"/>
            <w:hideMark/>
          </w:tcPr>
          <w:p w14:paraId="48E2FEDC" w14:textId="77777777" w:rsidR="002F3DE1" w:rsidRDefault="002F3DE1" w:rsidP="009F5E80">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14:paraId="47580C26" w14:textId="77777777" w:rsidR="002F3DE1" w:rsidRDefault="002F3DE1" w:rsidP="009F5E80">
            <w:pPr>
              <w:jc w:val="right"/>
              <w:rPr>
                <w:color w:val="000000"/>
                <w:sz w:val="20"/>
              </w:rPr>
            </w:pPr>
            <w:r>
              <w:rPr>
                <w:color w:val="000000"/>
                <w:sz w:val="20"/>
              </w:rPr>
              <w:t>6%</w:t>
            </w:r>
          </w:p>
        </w:tc>
        <w:tc>
          <w:tcPr>
            <w:tcW w:w="1401" w:type="dxa"/>
            <w:tcBorders>
              <w:top w:val="nil"/>
              <w:left w:val="nil"/>
              <w:bottom w:val="nil"/>
              <w:right w:val="nil"/>
            </w:tcBorders>
            <w:shd w:val="clear" w:color="auto" w:fill="auto"/>
            <w:noWrap/>
            <w:vAlign w:val="bottom"/>
            <w:hideMark/>
          </w:tcPr>
          <w:p w14:paraId="17D6D98F" w14:textId="56BCC4E0" w:rsidR="002F3DE1" w:rsidRDefault="002F3DE1" w:rsidP="00E657C9">
            <w:pPr>
              <w:rPr>
                <w:color w:val="000000"/>
                <w:sz w:val="20"/>
              </w:rPr>
            </w:pPr>
            <w:r>
              <w:rPr>
                <w:color w:val="000000"/>
                <w:sz w:val="20"/>
              </w:rPr>
              <w:t xml:space="preserve"> $     </w:t>
            </w:r>
            <w:r w:rsidR="00E657C9">
              <w:rPr>
                <w:color w:val="000000"/>
                <w:sz w:val="20"/>
              </w:rPr>
              <w:t>12,488</w:t>
            </w:r>
            <w:r>
              <w:rPr>
                <w:color w:val="000000"/>
                <w:sz w:val="20"/>
              </w:rPr>
              <w:t xml:space="preserve"> </w:t>
            </w:r>
          </w:p>
        </w:tc>
        <w:tc>
          <w:tcPr>
            <w:tcW w:w="236" w:type="dxa"/>
            <w:gridSpan w:val="2"/>
            <w:vAlign w:val="center"/>
            <w:hideMark/>
          </w:tcPr>
          <w:p w14:paraId="28650EEE" w14:textId="77777777" w:rsidR="002F3DE1" w:rsidRDefault="002F3DE1" w:rsidP="009F5E80">
            <w:pPr>
              <w:rPr>
                <w:sz w:val="20"/>
              </w:rPr>
            </w:pPr>
          </w:p>
        </w:tc>
        <w:tc>
          <w:tcPr>
            <w:tcW w:w="222" w:type="dxa"/>
            <w:gridSpan w:val="2"/>
            <w:vAlign w:val="center"/>
            <w:hideMark/>
          </w:tcPr>
          <w:p w14:paraId="47FA7AFB" w14:textId="77777777" w:rsidR="002F3DE1" w:rsidRDefault="002F3DE1" w:rsidP="009F5E80">
            <w:pPr>
              <w:rPr>
                <w:sz w:val="20"/>
              </w:rPr>
            </w:pPr>
          </w:p>
        </w:tc>
      </w:tr>
      <w:tr w:rsidR="002F3DE1" w14:paraId="273FF9D6" w14:textId="77777777" w:rsidTr="00205AAC">
        <w:trPr>
          <w:trHeight w:val="300"/>
        </w:trPr>
        <w:tc>
          <w:tcPr>
            <w:tcW w:w="5166" w:type="dxa"/>
            <w:tcBorders>
              <w:top w:val="nil"/>
              <w:left w:val="nil"/>
              <w:bottom w:val="nil"/>
              <w:right w:val="nil"/>
            </w:tcBorders>
            <w:shd w:val="clear" w:color="auto" w:fill="auto"/>
            <w:noWrap/>
            <w:vAlign w:val="bottom"/>
            <w:hideMark/>
          </w:tcPr>
          <w:p w14:paraId="6EFCA608" w14:textId="77777777" w:rsidR="002F3DE1" w:rsidRDefault="002F3DE1" w:rsidP="009F5E80">
            <w:pPr>
              <w:ind w:firstLineChars="100" w:firstLine="200"/>
              <w:rPr>
                <w:color w:val="000000"/>
                <w:sz w:val="20"/>
              </w:rPr>
            </w:pPr>
            <w:r>
              <w:rPr>
                <w:color w:val="000000"/>
                <w:sz w:val="20"/>
              </w:rPr>
              <w:t>Diversion Investigators/Staff Coordinators – GS-1801-14</w:t>
            </w:r>
          </w:p>
        </w:tc>
        <w:tc>
          <w:tcPr>
            <w:tcW w:w="1001" w:type="dxa"/>
            <w:tcBorders>
              <w:top w:val="nil"/>
              <w:left w:val="nil"/>
              <w:bottom w:val="nil"/>
              <w:right w:val="nil"/>
            </w:tcBorders>
            <w:shd w:val="clear" w:color="auto" w:fill="auto"/>
            <w:noWrap/>
            <w:vAlign w:val="bottom"/>
            <w:hideMark/>
          </w:tcPr>
          <w:p w14:paraId="6D7A726C" w14:textId="77777777" w:rsidR="002F3DE1" w:rsidRDefault="002F3DE1" w:rsidP="009F5E80">
            <w:pPr>
              <w:jc w:val="right"/>
              <w:rPr>
                <w:color w:val="000000"/>
                <w:sz w:val="20"/>
              </w:rPr>
            </w:pPr>
            <w:r>
              <w:rPr>
                <w:color w:val="000000"/>
                <w:sz w:val="20"/>
              </w:rPr>
              <w:t>4</w:t>
            </w:r>
          </w:p>
        </w:tc>
        <w:tc>
          <w:tcPr>
            <w:tcW w:w="1087" w:type="dxa"/>
            <w:tcBorders>
              <w:top w:val="nil"/>
              <w:left w:val="nil"/>
              <w:bottom w:val="nil"/>
              <w:right w:val="nil"/>
            </w:tcBorders>
            <w:shd w:val="clear" w:color="auto" w:fill="auto"/>
            <w:noWrap/>
            <w:vAlign w:val="center"/>
            <w:hideMark/>
          </w:tcPr>
          <w:p w14:paraId="0D847A45" w14:textId="77777777" w:rsidR="002F3DE1" w:rsidRDefault="002F3DE1" w:rsidP="009F5E80">
            <w:pPr>
              <w:jc w:val="right"/>
              <w:rPr>
                <w:color w:val="000000"/>
                <w:sz w:val="20"/>
              </w:rPr>
            </w:pPr>
            <w:r>
              <w:rPr>
                <w:color w:val="000000"/>
                <w:sz w:val="20"/>
              </w:rPr>
              <w:t>14%</w:t>
            </w:r>
          </w:p>
        </w:tc>
        <w:tc>
          <w:tcPr>
            <w:tcW w:w="1401" w:type="dxa"/>
            <w:tcBorders>
              <w:top w:val="nil"/>
              <w:left w:val="nil"/>
              <w:bottom w:val="nil"/>
              <w:right w:val="nil"/>
            </w:tcBorders>
            <w:shd w:val="clear" w:color="auto" w:fill="auto"/>
            <w:noWrap/>
            <w:vAlign w:val="bottom"/>
            <w:hideMark/>
          </w:tcPr>
          <w:p w14:paraId="2E53653C" w14:textId="38D7993B" w:rsidR="002F3DE1" w:rsidRDefault="002F3DE1" w:rsidP="00E657C9">
            <w:pPr>
              <w:rPr>
                <w:color w:val="000000"/>
                <w:sz w:val="20"/>
              </w:rPr>
            </w:pPr>
            <w:r>
              <w:rPr>
                <w:color w:val="000000"/>
                <w:sz w:val="20"/>
              </w:rPr>
              <w:t xml:space="preserve"> $   </w:t>
            </w:r>
            <w:r w:rsidR="00E657C9">
              <w:rPr>
                <w:color w:val="000000"/>
                <w:sz w:val="20"/>
              </w:rPr>
              <w:t>116,552</w:t>
            </w:r>
            <w:r>
              <w:rPr>
                <w:color w:val="000000"/>
                <w:sz w:val="20"/>
              </w:rPr>
              <w:t xml:space="preserve"> </w:t>
            </w:r>
          </w:p>
        </w:tc>
        <w:tc>
          <w:tcPr>
            <w:tcW w:w="236" w:type="dxa"/>
            <w:gridSpan w:val="2"/>
            <w:vAlign w:val="center"/>
            <w:hideMark/>
          </w:tcPr>
          <w:p w14:paraId="505F832A" w14:textId="77777777" w:rsidR="002F3DE1" w:rsidRDefault="002F3DE1" w:rsidP="009F5E80">
            <w:pPr>
              <w:rPr>
                <w:sz w:val="20"/>
              </w:rPr>
            </w:pPr>
          </w:p>
        </w:tc>
        <w:tc>
          <w:tcPr>
            <w:tcW w:w="222" w:type="dxa"/>
            <w:gridSpan w:val="2"/>
            <w:vAlign w:val="center"/>
            <w:hideMark/>
          </w:tcPr>
          <w:p w14:paraId="7B37D053" w14:textId="77777777" w:rsidR="002F3DE1" w:rsidRDefault="002F3DE1" w:rsidP="009F5E80">
            <w:pPr>
              <w:rPr>
                <w:sz w:val="20"/>
              </w:rPr>
            </w:pPr>
          </w:p>
        </w:tc>
      </w:tr>
      <w:tr w:rsidR="002F3DE1" w14:paraId="13C4D5D7" w14:textId="77777777" w:rsidTr="00205AAC">
        <w:trPr>
          <w:trHeight w:val="300"/>
        </w:trPr>
        <w:tc>
          <w:tcPr>
            <w:tcW w:w="5166" w:type="dxa"/>
            <w:tcBorders>
              <w:top w:val="nil"/>
              <w:left w:val="nil"/>
              <w:bottom w:val="nil"/>
              <w:right w:val="nil"/>
            </w:tcBorders>
            <w:shd w:val="clear" w:color="auto" w:fill="auto"/>
            <w:noWrap/>
            <w:vAlign w:val="bottom"/>
            <w:hideMark/>
          </w:tcPr>
          <w:p w14:paraId="5C605FFB" w14:textId="77777777" w:rsidR="002F3DE1" w:rsidRDefault="002F3DE1" w:rsidP="009F5E80">
            <w:pPr>
              <w:ind w:firstLineChars="100" w:firstLine="200"/>
              <w:rPr>
                <w:color w:val="000000"/>
                <w:sz w:val="20"/>
              </w:rPr>
            </w:pPr>
            <w:r>
              <w:rPr>
                <w:color w:val="000000"/>
                <w:sz w:val="20"/>
              </w:rPr>
              <w:t>Supervisory Physical Scientist - GS-1301-15</w:t>
            </w:r>
          </w:p>
        </w:tc>
        <w:tc>
          <w:tcPr>
            <w:tcW w:w="1001" w:type="dxa"/>
            <w:tcBorders>
              <w:top w:val="nil"/>
              <w:left w:val="nil"/>
              <w:bottom w:val="nil"/>
              <w:right w:val="nil"/>
            </w:tcBorders>
            <w:shd w:val="clear" w:color="auto" w:fill="auto"/>
            <w:noWrap/>
            <w:vAlign w:val="bottom"/>
            <w:hideMark/>
          </w:tcPr>
          <w:p w14:paraId="784F06D5" w14:textId="77777777" w:rsidR="002F3DE1" w:rsidRDefault="002F3DE1" w:rsidP="009F5E80">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14:paraId="0AC613BE" w14:textId="77777777" w:rsidR="002F3DE1" w:rsidRDefault="002F3DE1" w:rsidP="009F5E80">
            <w:pPr>
              <w:jc w:val="right"/>
              <w:rPr>
                <w:color w:val="000000"/>
                <w:sz w:val="20"/>
              </w:rPr>
            </w:pPr>
            <w:r>
              <w:rPr>
                <w:color w:val="000000"/>
                <w:sz w:val="20"/>
              </w:rPr>
              <w:t>5%</w:t>
            </w:r>
          </w:p>
        </w:tc>
        <w:tc>
          <w:tcPr>
            <w:tcW w:w="1401" w:type="dxa"/>
            <w:tcBorders>
              <w:top w:val="nil"/>
              <w:left w:val="nil"/>
              <w:bottom w:val="nil"/>
              <w:right w:val="nil"/>
            </w:tcBorders>
            <w:shd w:val="clear" w:color="auto" w:fill="auto"/>
            <w:noWrap/>
            <w:vAlign w:val="bottom"/>
            <w:hideMark/>
          </w:tcPr>
          <w:p w14:paraId="6BF004F6" w14:textId="30CC06EB" w:rsidR="002F3DE1" w:rsidRDefault="002F3DE1" w:rsidP="009F5E80">
            <w:pPr>
              <w:rPr>
                <w:color w:val="000000"/>
                <w:sz w:val="20"/>
              </w:rPr>
            </w:pPr>
            <w:r>
              <w:rPr>
                <w:color w:val="000000"/>
                <w:sz w:val="20"/>
              </w:rPr>
              <w:t xml:space="preserve"> $     </w:t>
            </w:r>
            <w:r w:rsidR="00E657C9">
              <w:rPr>
                <w:color w:val="000000"/>
                <w:sz w:val="20"/>
              </w:rPr>
              <w:t>12,241</w:t>
            </w:r>
            <w:r w:rsidR="004D7B3A">
              <w:rPr>
                <w:color w:val="000000"/>
                <w:sz w:val="20"/>
              </w:rPr>
              <w:t xml:space="preserve"> </w:t>
            </w:r>
          </w:p>
        </w:tc>
        <w:tc>
          <w:tcPr>
            <w:tcW w:w="236" w:type="dxa"/>
            <w:gridSpan w:val="2"/>
            <w:vAlign w:val="center"/>
            <w:hideMark/>
          </w:tcPr>
          <w:p w14:paraId="71FB4042" w14:textId="77777777" w:rsidR="002F3DE1" w:rsidRDefault="002F3DE1" w:rsidP="009F5E80">
            <w:pPr>
              <w:rPr>
                <w:sz w:val="20"/>
              </w:rPr>
            </w:pPr>
          </w:p>
        </w:tc>
        <w:tc>
          <w:tcPr>
            <w:tcW w:w="222" w:type="dxa"/>
            <w:gridSpan w:val="2"/>
            <w:vAlign w:val="center"/>
            <w:hideMark/>
          </w:tcPr>
          <w:p w14:paraId="4EDD1D96" w14:textId="77777777" w:rsidR="002F3DE1" w:rsidRDefault="002F3DE1" w:rsidP="009F5E80">
            <w:pPr>
              <w:rPr>
                <w:sz w:val="20"/>
              </w:rPr>
            </w:pPr>
          </w:p>
        </w:tc>
      </w:tr>
      <w:tr w:rsidR="002F3DE1" w14:paraId="275FF33E" w14:textId="77777777" w:rsidTr="00205AAC">
        <w:trPr>
          <w:trHeight w:val="300"/>
        </w:trPr>
        <w:tc>
          <w:tcPr>
            <w:tcW w:w="5166" w:type="dxa"/>
            <w:tcBorders>
              <w:top w:val="nil"/>
              <w:left w:val="nil"/>
              <w:bottom w:val="nil"/>
              <w:right w:val="nil"/>
            </w:tcBorders>
            <w:shd w:val="clear" w:color="auto" w:fill="auto"/>
            <w:noWrap/>
            <w:vAlign w:val="bottom"/>
            <w:hideMark/>
          </w:tcPr>
          <w:p w14:paraId="014C647D" w14:textId="77777777" w:rsidR="002F3DE1" w:rsidRDefault="002F3DE1" w:rsidP="009F5E80">
            <w:pPr>
              <w:ind w:firstLineChars="100" w:firstLine="200"/>
              <w:rPr>
                <w:color w:val="000000"/>
                <w:sz w:val="20"/>
              </w:rPr>
            </w:pPr>
            <w:r>
              <w:rPr>
                <w:color w:val="000000"/>
                <w:sz w:val="20"/>
              </w:rPr>
              <w:t>Secretaries - GS-318-7</w:t>
            </w:r>
          </w:p>
        </w:tc>
        <w:tc>
          <w:tcPr>
            <w:tcW w:w="1001" w:type="dxa"/>
            <w:tcBorders>
              <w:top w:val="nil"/>
              <w:left w:val="nil"/>
              <w:bottom w:val="nil"/>
              <w:right w:val="nil"/>
            </w:tcBorders>
            <w:shd w:val="clear" w:color="auto" w:fill="auto"/>
            <w:noWrap/>
            <w:vAlign w:val="bottom"/>
            <w:hideMark/>
          </w:tcPr>
          <w:p w14:paraId="6AB7B88B" w14:textId="77777777" w:rsidR="002F3DE1" w:rsidRDefault="002F3DE1" w:rsidP="009F5E80">
            <w:pPr>
              <w:jc w:val="right"/>
              <w:rPr>
                <w:color w:val="000000"/>
                <w:sz w:val="20"/>
              </w:rPr>
            </w:pPr>
            <w:r>
              <w:rPr>
                <w:color w:val="000000"/>
                <w:sz w:val="20"/>
              </w:rPr>
              <w:t>2</w:t>
            </w:r>
          </w:p>
        </w:tc>
        <w:tc>
          <w:tcPr>
            <w:tcW w:w="1087" w:type="dxa"/>
            <w:tcBorders>
              <w:top w:val="nil"/>
              <w:left w:val="nil"/>
              <w:bottom w:val="nil"/>
              <w:right w:val="nil"/>
            </w:tcBorders>
            <w:shd w:val="clear" w:color="auto" w:fill="auto"/>
            <w:noWrap/>
            <w:vAlign w:val="center"/>
            <w:hideMark/>
          </w:tcPr>
          <w:p w14:paraId="252FA1FD" w14:textId="77777777" w:rsidR="002F3DE1" w:rsidRDefault="002F3DE1" w:rsidP="009F5E80">
            <w:pPr>
              <w:jc w:val="right"/>
              <w:rPr>
                <w:color w:val="000000"/>
                <w:sz w:val="20"/>
              </w:rPr>
            </w:pPr>
            <w:r>
              <w:rPr>
                <w:color w:val="000000"/>
                <w:sz w:val="20"/>
              </w:rPr>
              <w:t>9%</w:t>
            </w:r>
          </w:p>
        </w:tc>
        <w:tc>
          <w:tcPr>
            <w:tcW w:w="1401" w:type="dxa"/>
            <w:tcBorders>
              <w:top w:val="nil"/>
              <w:left w:val="nil"/>
              <w:bottom w:val="nil"/>
              <w:right w:val="nil"/>
            </w:tcBorders>
            <w:shd w:val="clear" w:color="auto" w:fill="auto"/>
            <w:noWrap/>
            <w:vAlign w:val="bottom"/>
            <w:hideMark/>
          </w:tcPr>
          <w:p w14:paraId="2F661EA8" w14:textId="454CD94B" w:rsidR="002F3DE1" w:rsidRDefault="002F3DE1" w:rsidP="00E657C9">
            <w:pPr>
              <w:rPr>
                <w:color w:val="000000"/>
                <w:sz w:val="20"/>
              </w:rPr>
            </w:pPr>
            <w:r>
              <w:rPr>
                <w:color w:val="000000"/>
                <w:sz w:val="20"/>
              </w:rPr>
              <w:t xml:space="preserve"> $     </w:t>
            </w:r>
            <w:r w:rsidR="00E657C9">
              <w:rPr>
                <w:color w:val="000000"/>
                <w:sz w:val="20"/>
              </w:rPr>
              <w:t>15,029</w:t>
            </w:r>
            <w:r>
              <w:rPr>
                <w:color w:val="000000"/>
                <w:sz w:val="20"/>
              </w:rPr>
              <w:t xml:space="preserve"> </w:t>
            </w:r>
          </w:p>
        </w:tc>
        <w:tc>
          <w:tcPr>
            <w:tcW w:w="236" w:type="dxa"/>
            <w:gridSpan w:val="2"/>
            <w:vAlign w:val="center"/>
            <w:hideMark/>
          </w:tcPr>
          <w:p w14:paraId="7BB2F243" w14:textId="77777777" w:rsidR="002F3DE1" w:rsidRDefault="002F3DE1" w:rsidP="009F5E80">
            <w:pPr>
              <w:rPr>
                <w:sz w:val="20"/>
              </w:rPr>
            </w:pPr>
          </w:p>
        </w:tc>
        <w:tc>
          <w:tcPr>
            <w:tcW w:w="222" w:type="dxa"/>
            <w:gridSpan w:val="2"/>
            <w:vAlign w:val="center"/>
            <w:hideMark/>
          </w:tcPr>
          <w:p w14:paraId="1B04EF60" w14:textId="77777777" w:rsidR="002F3DE1" w:rsidRDefault="002F3DE1" w:rsidP="009F5E80">
            <w:pPr>
              <w:rPr>
                <w:sz w:val="20"/>
              </w:rPr>
            </w:pPr>
          </w:p>
        </w:tc>
      </w:tr>
      <w:tr w:rsidR="002F3DE1" w14:paraId="78E641A3" w14:textId="77777777" w:rsidTr="00205AAC">
        <w:trPr>
          <w:trHeight w:val="300"/>
        </w:trPr>
        <w:tc>
          <w:tcPr>
            <w:tcW w:w="5166" w:type="dxa"/>
            <w:tcBorders>
              <w:top w:val="nil"/>
              <w:left w:val="nil"/>
              <w:bottom w:val="nil"/>
              <w:right w:val="nil"/>
            </w:tcBorders>
            <w:shd w:val="clear" w:color="auto" w:fill="auto"/>
            <w:noWrap/>
            <w:vAlign w:val="bottom"/>
            <w:hideMark/>
          </w:tcPr>
          <w:p w14:paraId="2703624C" w14:textId="77777777" w:rsidR="002F3DE1" w:rsidRDefault="002F3DE1" w:rsidP="009F5E80">
            <w:pPr>
              <w:ind w:firstLineChars="100" w:firstLine="200"/>
              <w:rPr>
                <w:color w:val="000000"/>
                <w:sz w:val="20"/>
              </w:rPr>
            </w:pPr>
            <w:r>
              <w:rPr>
                <w:color w:val="000000"/>
                <w:sz w:val="20"/>
              </w:rPr>
              <w:t>Diversion Investigator/Executive Assistant– GS-1801-15 </w:t>
            </w:r>
          </w:p>
        </w:tc>
        <w:tc>
          <w:tcPr>
            <w:tcW w:w="1001" w:type="dxa"/>
            <w:tcBorders>
              <w:top w:val="nil"/>
              <w:left w:val="nil"/>
              <w:bottom w:val="nil"/>
              <w:right w:val="nil"/>
            </w:tcBorders>
            <w:shd w:val="clear" w:color="auto" w:fill="auto"/>
            <w:noWrap/>
            <w:vAlign w:val="bottom"/>
            <w:hideMark/>
          </w:tcPr>
          <w:p w14:paraId="47DED01B" w14:textId="77777777" w:rsidR="002F3DE1" w:rsidRDefault="002F3DE1" w:rsidP="009F5E80">
            <w:pPr>
              <w:jc w:val="right"/>
              <w:rPr>
                <w:color w:val="000000"/>
                <w:sz w:val="20"/>
              </w:rPr>
            </w:pPr>
            <w:r>
              <w:rPr>
                <w:color w:val="000000"/>
                <w:sz w:val="20"/>
              </w:rPr>
              <w:t>1</w:t>
            </w:r>
          </w:p>
        </w:tc>
        <w:tc>
          <w:tcPr>
            <w:tcW w:w="1087" w:type="dxa"/>
            <w:tcBorders>
              <w:top w:val="nil"/>
              <w:left w:val="nil"/>
              <w:bottom w:val="nil"/>
              <w:right w:val="nil"/>
            </w:tcBorders>
            <w:shd w:val="clear" w:color="auto" w:fill="auto"/>
            <w:noWrap/>
            <w:vAlign w:val="center"/>
            <w:hideMark/>
          </w:tcPr>
          <w:p w14:paraId="49E2751F" w14:textId="77777777" w:rsidR="002F3DE1" w:rsidRDefault="002F3DE1" w:rsidP="009F5E80">
            <w:pPr>
              <w:jc w:val="right"/>
              <w:rPr>
                <w:color w:val="000000"/>
                <w:sz w:val="20"/>
              </w:rPr>
            </w:pPr>
            <w:r>
              <w:rPr>
                <w:color w:val="000000"/>
                <w:sz w:val="20"/>
              </w:rPr>
              <w:t>1%</w:t>
            </w:r>
          </w:p>
        </w:tc>
        <w:tc>
          <w:tcPr>
            <w:tcW w:w="1401" w:type="dxa"/>
            <w:tcBorders>
              <w:top w:val="nil"/>
              <w:left w:val="nil"/>
              <w:bottom w:val="nil"/>
              <w:right w:val="nil"/>
            </w:tcBorders>
            <w:shd w:val="clear" w:color="auto" w:fill="auto"/>
            <w:noWrap/>
            <w:vAlign w:val="bottom"/>
            <w:hideMark/>
          </w:tcPr>
          <w:p w14:paraId="0FB413E3" w14:textId="3A146BD7" w:rsidR="002F3DE1" w:rsidRPr="009C7490" w:rsidRDefault="002F3DE1" w:rsidP="00E657C9">
            <w:pPr>
              <w:rPr>
                <w:color w:val="000000"/>
                <w:sz w:val="20"/>
                <w:u w:val="single"/>
              </w:rPr>
            </w:pPr>
            <w:r w:rsidRPr="009C7490">
              <w:rPr>
                <w:color w:val="000000"/>
                <w:sz w:val="20"/>
                <w:u w:val="single"/>
              </w:rPr>
              <w:t xml:space="preserve"> $     </w:t>
            </w:r>
            <w:r w:rsidR="0014583B">
              <w:rPr>
                <w:color w:val="000000"/>
                <w:sz w:val="20"/>
                <w:u w:val="single"/>
              </w:rPr>
              <w:t xml:space="preserve"> </w:t>
            </w:r>
            <w:r w:rsidRPr="009C7490">
              <w:rPr>
                <w:color w:val="000000"/>
                <w:sz w:val="20"/>
                <w:u w:val="single"/>
              </w:rPr>
              <w:t xml:space="preserve"> </w:t>
            </w:r>
            <w:r w:rsidR="00E657C9">
              <w:rPr>
                <w:color w:val="000000"/>
                <w:sz w:val="20"/>
                <w:u w:val="single"/>
              </w:rPr>
              <w:t>2,448</w:t>
            </w:r>
            <w:r w:rsidRPr="009C7490">
              <w:rPr>
                <w:color w:val="000000"/>
                <w:sz w:val="20"/>
                <w:u w:val="single"/>
              </w:rPr>
              <w:t xml:space="preserve"> </w:t>
            </w:r>
          </w:p>
        </w:tc>
        <w:tc>
          <w:tcPr>
            <w:tcW w:w="236" w:type="dxa"/>
            <w:gridSpan w:val="2"/>
            <w:vAlign w:val="center"/>
            <w:hideMark/>
          </w:tcPr>
          <w:p w14:paraId="0A6B94FB" w14:textId="77777777" w:rsidR="002F3DE1" w:rsidRDefault="002F3DE1" w:rsidP="009F5E80">
            <w:pPr>
              <w:rPr>
                <w:sz w:val="20"/>
              </w:rPr>
            </w:pPr>
          </w:p>
        </w:tc>
        <w:tc>
          <w:tcPr>
            <w:tcW w:w="222" w:type="dxa"/>
            <w:gridSpan w:val="2"/>
            <w:vAlign w:val="center"/>
            <w:hideMark/>
          </w:tcPr>
          <w:p w14:paraId="5C3F066C" w14:textId="77777777" w:rsidR="002F3DE1" w:rsidRDefault="002F3DE1" w:rsidP="009F5E80">
            <w:pPr>
              <w:rPr>
                <w:sz w:val="20"/>
              </w:rPr>
            </w:pPr>
          </w:p>
        </w:tc>
      </w:tr>
      <w:tr w:rsidR="002F3DE1" w14:paraId="0AF2B070" w14:textId="77777777" w:rsidTr="00205AAC">
        <w:trPr>
          <w:trHeight w:val="300"/>
        </w:trPr>
        <w:tc>
          <w:tcPr>
            <w:tcW w:w="5166" w:type="dxa"/>
            <w:tcBorders>
              <w:top w:val="nil"/>
              <w:left w:val="nil"/>
              <w:bottom w:val="nil"/>
              <w:right w:val="nil"/>
            </w:tcBorders>
            <w:shd w:val="clear" w:color="auto" w:fill="auto"/>
            <w:noWrap/>
            <w:vAlign w:val="bottom"/>
            <w:hideMark/>
          </w:tcPr>
          <w:p w14:paraId="3470F357" w14:textId="77777777" w:rsidR="002F3DE1" w:rsidRDefault="002F3DE1" w:rsidP="009F5E80">
            <w:pPr>
              <w:rPr>
                <w:b/>
                <w:bCs/>
                <w:color w:val="000000"/>
                <w:sz w:val="20"/>
              </w:rPr>
            </w:pPr>
            <w:r>
              <w:rPr>
                <w:b/>
                <w:bCs/>
                <w:color w:val="000000"/>
                <w:sz w:val="20"/>
              </w:rPr>
              <w:t>Total</w:t>
            </w:r>
          </w:p>
        </w:tc>
        <w:tc>
          <w:tcPr>
            <w:tcW w:w="1001" w:type="dxa"/>
            <w:tcBorders>
              <w:top w:val="nil"/>
              <w:left w:val="nil"/>
              <w:bottom w:val="nil"/>
              <w:right w:val="nil"/>
            </w:tcBorders>
            <w:shd w:val="clear" w:color="auto" w:fill="auto"/>
            <w:noWrap/>
            <w:vAlign w:val="bottom"/>
            <w:hideMark/>
          </w:tcPr>
          <w:p w14:paraId="6C342473" w14:textId="77777777" w:rsidR="002F3DE1" w:rsidRDefault="002F3DE1" w:rsidP="009F5E80">
            <w:pPr>
              <w:rPr>
                <w:b/>
                <w:bCs/>
                <w:color w:val="000000"/>
                <w:sz w:val="20"/>
              </w:rPr>
            </w:pPr>
          </w:p>
        </w:tc>
        <w:tc>
          <w:tcPr>
            <w:tcW w:w="1087" w:type="dxa"/>
            <w:tcBorders>
              <w:top w:val="nil"/>
              <w:left w:val="nil"/>
              <w:bottom w:val="nil"/>
              <w:right w:val="nil"/>
            </w:tcBorders>
            <w:shd w:val="clear" w:color="auto" w:fill="auto"/>
            <w:noWrap/>
            <w:vAlign w:val="bottom"/>
            <w:hideMark/>
          </w:tcPr>
          <w:p w14:paraId="2767336F" w14:textId="77777777" w:rsidR="002F3DE1" w:rsidRDefault="002F3DE1" w:rsidP="009F5E80">
            <w:pPr>
              <w:rPr>
                <w:b/>
                <w:bCs/>
                <w:color w:val="000000"/>
                <w:sz w:val="20"/>
              </w:rPr>
            </w:pPr>
          </w:p>
        </w:tc>
        <w:tc>
          <w:tcPr>
            <w:tcW w:w="1401" w:type="dxa"/>
            <w:tcBorders>
              <w:top w:val="nil"/>
              <w:left w:val="nil"/>
              <w:bottom w:val="nil"/>
              <w:right w:val="nil"/>
            </w:tcBorders>
            <w:shd w:val="clear" w:color="auto" w:fill="auto"/>
            <w:noWrap/>
            <w:vAlign w:val="bottom"/>
            <w:hideMark/>
          </w:tcPr>
          <w:p w14:paraId="3D2CF347" w14:textId="7DFBF044" w:rsidR="002F3DE1" w:rsidRDefault="002F3DE1" w:rsidP="00E657C9">
            <w:pPr>
              <w:rPr>
                <w:b/>
                <w:bCs/>
                <w:color w:val="000000"/>
                <w:sz w:val="20"/>
              </w:rPr>
            </w:pPr>
            <w:r>
              <w:rPr>
                <w:b/>
                <w:bCs/>
                <w:color w:val="000000"/>
                <w:sz w:val="20"/>
              </w:rPr>
              <w:t xml:space="preserve"> $</w:t>
            </w:r>
            <w:r w:rsidR="00E657C9">
              <w:rPr>
                <w:b/>
                <w:bCs/>
                <w:color w:val="000000"/>
                <w:sz w:val="20"/>
              </w:rPr>
              <w:t>1,044,655</w:t>
            </w:r>
            <w:r>
              <w:rPr>
                <w:b/>
                <w:bCs/>
                <w:color w:val="000000"/>
                <w:sz w:val="20"/>
              </w:rPr>
              <w:t xml:space="preserve"> </w:t>
            </w:r>
          </w:p>
        </w:tc>
        <w:tc>
          <w:tcPr>
            <w:tcW w:w="236" w:type="dxa"/>
            <w:gridSpan w:val="2"/>
            <w:vAlign w:val="center"/>
            <w:hideMark/>
          </w:tcPr>
          <w:p w14:paraId="007DCF5A" w14:textId="77777777" w:rsidR="002F3DE1" w:rsidRDefault="002F3DE1" w:rsidP="009F5E80">
            <w:pPr>
              <w:rPr>
                <w:sz w:val="20"/>
              </w:rPr>
            </w:pPr>
          </w:p>
        </w:tc>
        <w:tc>
          <w:tcPr>
            <w:tcW w:w="222" w:type="dxa"/>
            <w:gridSpan w:val="2"/>
            <w:vAlign w:val="center"/>
            <w:hideMark/>
          </w:tcPr>
          <w:p w14:paraId="75885A07" w14:textId="77777777" w:rsidR="002F3DE1" w:rsidRDefault="002F3DE1" w:rsidP="009F5E80">
            <w:pPr>
              <w:rPr>
                <w:sz w:val="20"/>
              </w:rPr>
            </w:pPr>
          </w:p>
        </w:tc>
      </w:tr>
    </w:tbl>
    <w:p w14:paraId="64887174" w14:textId="77777777" w:rsidR="002F3DE1" w:rsidRPr="00577441" w:rsidRDefault="002F3DE1" w:rsidP="002F3DE1"/>
    <w:p w14:paraId="31283393" w14:textId="77777777" w:rsidR="008816FE" w:rsidRPr="008816FE" w:rsidRDefault="008816FE" w:rsidP="008816FE">
      <w:pPr>
        <w:jc w:val="both"/>
        <w:rPr>
          <w:szCs w:val="24"/>
        </w:rPr>
      </w:pPr>
      <w:r w:rsidRPr="008816FE">
        <w:rPr>
          <w:szCs w:val="24"/>
        </w:rPr>
        <w:t>All costs are recovered from registrants through registration fees, as required by the CSA.  21 U.S.C. 886a.</w:t>
      </w:r>
    </w:p>
    <w:p w14:paraId="2884B847" w14:textId="77777777" w:rsidR="003D1F4A" w:rsidRPr="00235360" w:rsidRDefault="003D1F4A" w:rsidP="006A2E93">
      <w:pPr>
        <w:rPr>
          <w:szCs w:val="24"/>
        </w:rPr>
      </w:pPr>
    </w:p>
    <w:p w14:paraId="61828286" w14:textId="77777777" w:rsidR="00331303" w:rsidRPr="00235360" w:rsidRDefault="000C1537" w:rsidP="00AE3D13">
      <w:pPr>
        <w:jc w:val="both"/>
        <w:rPr>
          <w:noProof w:val="0"/>
          <w:szCs w:val="24"/>
        </w:rPr>
      </w:pPr>
      <w:r w:rsidRPr="00235360">
        <w:rPr>
          <w:noProof w:val="0"/>
          <w:szCs w:val="24"/>
        </w:rPr>
        <w:t>15.</w:t>
      </w:r>
      <w:r w:rsidR="00090C0E" w:rsidRPr="00235360">
        <w:rPr>
          <w:noProof w:val="0"/>
          <w:szCs w:val="24"/>
        </w:rPr>
        <w:t xml:space="preserve"> </w:t>
      </w:r>
      <w:r w:rsidRPr="00235360">
        <w:rPr>
          <w:noProof w:val="0"/>
          <w:szCs w:val="24"/>
        </w:rPr>
        <w:t xml:space="preserve"> </w:t>
      </w:r>
      <w:r w:rsidR="00331303" w:rsidRPr="00235360">
        <w:rPr>
          <w:noProof w:val="0"/>
          <w:szCs w:val="24"/>
          <w:u w:val="single"/>
        </w:rPr>
        <w:t>Reasons for Change in Burden:</w:t>
      </w:r>
    </w:p>
    <w:p w14:paraId="66D64A62" w14:textId="1A46FC3C" w:rsidR="001A64B0" w:rsidRDefault="001A64B0" w:rsidP="00AE3D13">
      <w:pPr>
        <w:rPr>
          <w:noProof w:val="0"/>
          <w:szCs w:val="24"/>
        </w:rPr>
      </w:pPr>
    </w:p>
    <w:p w14:paraId="707EBF1D" w14:textId="55EB1E93" w:rsidR="00401155" w:rsidRPr="00577441" w:rsidRDefault="00401155" w:rsidP="00401155">
      <w:pPr>
        <w:jc w:val="both"/>
      </w:pPr>
      <w:r>
        <w:t xml:space="preserve">The changes in burden for this information collection reflect a small increase in the number of </w:t>
      </w:r>
      <w:r w:rsidR="004A7742">
        <w:t>annual responses</w:t>
      </w:r>
      <w:r>
        <w:t xml:space="preserve">.  </w:t>
      </w:r>
      <w:r w:rsidRPr="00577441">
        <w:t xml:space="preserve">There have been </w:t>
      </w:r>
      <w:r>
        <w:t>no statutory or regulatory</w:t>
      </w:r>
      <w:r w:rsidRPr="00577441">
        <w:t xml:space="preserve"> changes</w:t>
      </w:r>
      <w:r>
        <w:t xml:space="preserve"> affecting this collection</w:t>
      </w:r>
      <w:r w:rsidRPr="00577441">
        <w:t>.  The table below summarizes the changes</w:t>
      </w:r>
      <w:r>
        <w:t xml:space="preserve"> since the last renewal of this </w:t>
      </w:r>
      <w:r w:rsidR="004A7742">
        <w:t xml:space="preserve">information </w:t>
      </w:r>
      <w:r w:rsidRPr="00577441">
        <w:t>collection.</w:t>
      </w:r>
    </w:p>
    <w:p w14:paraId="7A6935FC" w14:textId="77777777" w:rsidR="004A7742" w:rsidRPr="00577441" w:rsidRDefault="004A7742" w:rsidP="00401155"/>
    <w:tbl>
      <w:tblPr>
        <w:tblStyle w:val="TableGrid1"/>
        <w:tblW w:w="0" w:type="auto"/>
        <w:tblInd w:w="108" w:type="dxa"/>
        <w:tblLook w:val="04A0" w:firstRow="1" w:lastRow="0" w:firstColumn="1" w:lastColumn="0" w:noHBand="0" w:noVBand="1"/>
      </w:tblPr>
      <w:tblGrid>
        <w:gridCol w:w="2105"/>
        <w:gridCol w:w="1585"/>
        <w:gridCol w:w="1800"/>
        <w:gridCol w:w="1620"/>
      </w:tblGrid>
      <w:tr w:rsidR="00401155" w:rsidRPr="00650A5F" w14:paraId="2829FB47" w14:textId="77777777" w:rsidTr="009F5E80">
        <w:tc>
          <w:tcPr>
            <w:tcW w:w="2105" w:type="dxa"/>
          </w:tcPr>
          <w:p w14:paraId="69104A5F" w14:textId="77777777" w:rsidR="00401155" w:rsidRPr="00650A5F" w:rsidRDefault="00401155" w:rsidP="009F5E80">
            <w:pPr>
              <w:rPr>
                <w:sz w:val="20"/>
              </w:rPr>
            </w:pPr>
          </w:p>
        </w:tc>
        <w:tc>
          <w:tcPr>
            <w:tcW w:w="1585" w:type="dxa"/>
          </w:tcPr>
          <w:p w14:paraId="3102065D" w14:textId="5382C09A" w:rsidR="00401155" w:rsidRPr="00650A5F" w:rsidRDefault="00401155" w:rsidP="00401155">
            <w:pPr>
              <w:jc w:val="center"/>
              <w:rPr>
                <w:b/>
                <w:sz w:val="20"/>
              </w:rPr>
            </w:pPr>
            <w:r w:rsidRPr="00650A5F">
              <w:rPr>
                <w:b/>
                <w:sz w:val="20"/>
              </w:rPr>
              <w:t>201</w:t>
            </w:r>
            <w:r>
              <w:rPr>
                <w:b/>
                <w:sz w:val="20"/>
              </w:rPr>
              <w:t>6</w:t>
            </w:r>
            <w:r w:rsidRPr="00650A5F">
              <w:rPr>
                <w:b/>
                <w:sz w:val="20"/>
              </w:rPr>
              <w:t xml:space="preserve"> Approved Burden</w:t>
            </w:r>
          </w:p>
        </w:tc>
        <w:tc>
          <w:tcPr>
            <w:tcW w:w="1800" w:type="dxa"/>
          </w:tcPr>
          <w:p w14:paraId="35BAEE2F" w14:textId="4C670845" w:rsidR="00401155" w:rsidRPr="00650A5F" w:rsidRDefault="00401155" w:rsidP="0095360B">
            <w:pPr>
              <w:jc w:val="center"/>
              <w:rPr>
                <w:b/>
                <w:sz w:val="20"/>
              </w:rPr>
            </w:pPr>
            <w:r w:rsidRPr="00650A5F">
              <w:rPr>
                <w:b/>
                <w:sz w:val="20"/>
              </w:rPr>
              <w:t>2</w:t>
            </w:r>
            <w:r>
              <w:rPr>
                <w:b/>
                <w:sz w:val="20"/>
              </w:rPr>
              <w:t>01</w:t>
            </w:r>
            <w:r w:rsidR="0095360B">
              <w:rPr>
                <w:b/>
                <w:sz w:val="20"/>
              </w:rPr>
              <w:t>9</w:t>
            </w:r>
            <w:r w:rsidRPr="00650A5F">
              <w:rPr>
                <w:b/>
                <w:sz w:val="20"/>
              </w:rPr>
              <w:t xml:space="preserve"> Requested Burden</w:t>
            </w:r>
          </w:p>
        </w:tc>
        <w:tc>
          <w:tcPr>
            <w:tcW w:w="1620" w:type="dxa"/>
          </w:tcPr>
          <w:p w14:paraId="5F505717" w14:textId="77777777" w:rsidR="00401155" w:rsidRPr="00650A5F" w:rsidRDefault="00401155" w:rsidP="009F5E80">
            <w:pPr>
              <w:jc w:val="center"/>
              <w:rPr>
                <w:b/>
                <w:sz w:val="20"/>
              </w:rPr>
            </w:pPr>
            <w:r w:rsidRPr="00650A5F">
              <w:rPr>
                <w:b/>
                <w:sz w:val="20"/>
              </w:rPr>
              <w:t>Difference</w:t>
            </w:r>
          </w:p>
        </w:tc>
      </w:tr>
      <w:tr w:rsidR="00401155" w:rsidRPr="00B26881" w14:paraId="61402B1C" w14:textId="77777777" w:rsidTr="009F5E80">
        <w:tc>
          <w:tcPr>
            <w:tcW w:w="2105" w:type="dxa"/>
          </w:tcPr>
          <w:p w14:paraId="6D99982D" w14:textId="77777777" w:rsidR="00401155" w:rsidRPr="00650A5F" w:rsidRDefault="00401155" w:rsidP="009F5E80">
            <w:pPr>
              <w:rPr>
                <w:sz w:val="20"/>
              </w:rPr>
            </w:pPr>
            <w:r w:rsidRPr="00650A5F">
              <w:rPr>
                <w:sz w:val="20"/>
              </w:rPr>
              <w:t>Annual responses</w:t>
            </w:r>
          </w:p>
        </w:tc>
        <w:tc>
          <w:tcPr>
            <w:tcW w:w="1585" w:type="dxa"/>
          </w:tcPr>
          <w:p w14:paraId="386FD7D5" w14:textId="2FA877B7" w:rsidR="00401155" w:rsidRPr="00650A5F" w:rsidRDefault="00401155" w:rsidP="00401155">
            <w:pPr>
              <w:jc w:val="right"/>
              <w:rPr>
                <w:sz w:val="20"/>
              </w:rPr>
            </w:pPr>
            <w:r w:rsidRPr="00650A5F">
              <w:rPr>
                <w:sz w:val="20"/>
              </w:rPr>
              <w:t>2,</w:t>
            </w:r>
            <w:r>
              <w:rPr>
                <w:sz w:val="20"/>
              </w:rPr>
              <w:t>960</w:t>
            </w:r>
          </w:p>
        </w:tc>
        <w:tc>
          <w:tcPr>
            <w:tcW w:w="1800" w:type="dxa"/>
          </w:tcPr>
          <w:p w14:paraId="35B7C5FE" w14:textId="35E80B1E" w:rsidR="00401155" w:rsidRPr="00650A5F" w:rsidRDefault="00FF41E5" w:rsidP="009F5E80">
            <w:pPr>
              <w:jc w:val="right"/>
              <w:rPr>
                <w:sz w:val="20"/>
              </w:rPr>
            </w:pPr>
            <w:r>
              <w:rPr>
                <w:sz w:val="20"/>
              </w:rPr>
              <w:t>3,066</w:t>
            </w:r>
          </w:p>
        </w:tc>
        <w:tc>
          <w:tcPr>
            <w:tcW w:w="1620" w:type="dxa"/>
          </w:tcPr>
          <w:p w14:paraId="66338347" w14:textId="48E9F59E" w:rsidR="00401155" w:rsidRPr="00650A5F" w:rsidRDefault="00FF41E5" w:rsidP="009F5E80">
            <w:pPr>
              <w:jc w:val="right"/>
              <w:rPr>
                <w:sz w:val="20"/>
              </w:rPr>
            </w:pPr>
            <w:r>
              <w:rPr>
                <w:sz w:val="20"/>
              </w:rPr>
              <w:t>106</w:t>
            </w:r>
          </w:p>
        </w:tc>
      </w:tr>
      <w:tr w:rsidR="00401155" w:rsidRPr="00B26881" w14:paraId="630ED8CD" w14:textId="77777777" w:rsidTr="009F5E80">
        <w:tc>
          <w:tcPr>
            <w:tcW w:w="2105" w:type="dxa"/>
          </w:tcPr>
          <w:p w14:paraId="75C2B5B9" w14:textId="77777777" w:rsidR="00401155" w:rsidRPr="00650A5F" w:rsidRDefault="00401155" w:rsidP="009F5E80">
            <w:pPr>
              <w:rPr>
                <w:sz w:val="20"/>
              </w:rPr>
            </w:pPr>
            <w:r w:rsidRPr="00650A5F">
              <w:rPr>
                <w:sz w:val="20"/>
              </w:rPr>
              <w:t>Annual burden hours</w:t>
            </w:r>
          </w:p>
        </w:tc>
        <w:tc>
          <w:tcPr>
            <w:tcW w:w="1585" w:type="dxa"/>
          </w:tcPr>
          <w:p w14:paraId="49C27145" w14:textId="7A7F2663" w:rsidR="00401155" w:rsidRPr="00650A5F" w:rsidRDefault="00401155" w:rsidP="00401155">
            <w:pPr>
              <w:jc w:val="right"/>
              <w:rPr>
                <w:sz w:val="20"/>
              </w:rPr>
            </w:pPr>
            <w:r w:rsidRPr="00650A5F">
              <w:rPr>
                <w:sz w:val="20"/>
              </w:rPr>
              <w:t>1,</w:t>
            </w:r>
            <w:r>
              <w:rPr>
                <w:sz w:val="20"/>
              </w:rPr>
              <w:t>480</w:t>
            </w:r>
          </w:p>
        </w:tc>
        <w:tc>
          <w:tcPr>
            <w:tcW w:w="1800" w:type="dxa"/>
          </w:tcPr>
          <w:p w14:paraId="43802FAB" w14:textId="21FF41EF" w:rsidR="00401155" w:rsidRPr="00650A5F" w:rsidRDefault="00FF41E5" w:rsidP="009F5E80">
            <w:pPr>
              <w:jc w:val="right"/>
              <w:rPr>
                <w:sz w:val="20"/>
              </w:rPr>
            </w:pPr>
            <w:r>
              <w:rPr>
                <w:sz w:val="20"/>
              </w:rPr>
              <w:t>1,533</w:t>
            </w:r>
          </w:p>
        </w:tc>
        <w:tc>
          <w:tcPr>
            <w:tcW w:w="1620" w:type="dxa"/>
          </w:tcPr>
          <w:p w14:paraId="27B19787" w14:textId="528081A5" w:rsidR="00401155" w:rsidRPr="00650A5F" w:rsidRDefault="00FF41E5" w:rsidP="009F5E80">
            <w:pPr>
              <w:jc w:val="right"/>
              <w:rPr>
                <w:sz w:val="20"/>
              </w:rPr>
            </w:pPr>
            <w:r>
              <w:rPr>
                <w:sz w:val="20"/>
              </w:rPr>
              <w:t>53</w:t>
            </w:r>
          </w:p>
        </w:tc>
      </w:tr>
      <w:tr w:rsidR="00401155" w:rsidRPr="00B26881" w14:paraId="5CED820C" w14:textId="77777777" w:rsidTr="009F5E80">
        <w:tc>
          <w:tcPr>
            <w:tcW w:w="2105" w:type="dxa"/>
          </w:tcPr>
          <w:p w14:paraId="4BA02A9B" w14:textId="77777777" w:rsidR="00401155" w:rsidRPr="00650A5F" w:rsidRDefault="00401155" w:rsidP="009F5E80">
            <w:pPr>
              <w:rPr>
                <w:sz w:val="20"/>
              </w:rPr>
            </w:pPr>
            <w:r w:rsidRPr="00650A5F">
              <w:rPr>
                <w:sz w:val="20"/>
              </w:rPr>
              <w:t xml:space="preserve">Annual </w:t>
            </w:r>
            <w:r>
              <w:rPr>
                <w:sz w:val="20"/>
              </w:rPr>
              <w:t>burden dollars</w:t>
            </w:r>
          </w:p>
        </w:tc>
        <w:tc>
          <w:tcPr>
            <w:tcW w:w="1585" w:type="dxa"/>
          </w:tcPr>
          <w:p w14:paraId="5A8F58FE" w14:textId="6FF83F02" w:rsidR="00401155" w:rsidRPr="00650A5F" w:rsidRDefault="00401155" w:rsidP="00401155">
            <w:pPr>
              <w:jc w:val="right"/>
              <w:rPr>
                <w:sz w:val="20"/>
              </w:rPr>
            </w:pPr>
            <w:r w:rsidRPr="00650A5F">
              <w:rPr>
                <w:sz w:val="20"/>
              </w:rPr>
              <w:t>$</w:t>
            </w:r>
            <w:r>
              <w:rPr>
                <w:sz w:val="20"/>
              </w:rPr>
              <w:t>117,912</w:t>
            </w:r>
          </w:p>
        </w:tc>
        <w:tc>
          <w:tcPr>
            <w:tcW w:w="1800" w:type="dxa"/>
          </w:tcPr>
          <w:p w14:paraId="4855FC90" w14:textId="4DEA5829" w:rsidR="00401155" w:rsidRPr="00650A5F" w:rsidRDefault="00FF41E5" w:rsidP="009F5E80">
            <w:pPr>
              <w:jc w:val="right"/>
              <w:rPr>
                <w:sz w:val="20"/>
              </w:rPr>
            </w:pPr>
            <w:r>
              <w:rPr>
                <w:sz w:val="20"/>
              </w:rPr>
              <w:t>$136,25</w:t>
            </w:r>
            <w:r w:rsidR="00816C02">
              <w:rPr>
                <w:sz w:val="20"/>
              </w:rPr>
              <w:t>3</w:t>
            </w:r>
          </w:p>
        </w:tc>
        <w:tc>
          <w:tcPr>
            <w:tcW w:w="1620" w:type="dxa"/>
          </w:tcPr>
          <w:p w14:paraId="25C6F68F" w14:textId="1D46DE9D" w:rsidR="00401155" w:rsidRPr="00650A5F" w:rsidRDefault="00FF41E5" w:rsidP="009F5E80">
            <w:pPr>
              <w:jc w:val="right"/>
              <w:rPr>
                <w:sz w:val="20"/>
              </w:rPr>
            </w:pPr>
            <w:r>
              <w:rPr>
                <w:sz w:val="20"/>
              </w:rPr>
              <w:t>$18,34</w:t>
            </w:r>
            <w:r w:rsidR="00816C02">
              <w:rPr>
                <w:sz w:val="20"/>
              </w:rPr>
              <w:t>1</w:t>
            </w:r>
          </w:p>
        </w:tc>
      </w:tr>
    </w:tbl>
    <w:p w14:paraId="06E4F9A7" w14:textId="77777777" w:rsidR="00B8788B" w:rsidRPr="00235360" w:rsidRDefault="00B8788B" w:rsidP="00AE3D13">
      <w:pPr>
        <w:rPr>
          <w:noProof w:val="0"/>
          <w:szCs w:val="24"/>
        </w:rPr>
      </w:pPr>
    </w:p>
    <w:p w14:paraId="1D182632" w14:textId="77777777" w:rsidR="00331303" w:rsidRPr="00235360" w:rsidRDefault="000C1537" w:rsidP="00AE3D13">
      <w:pPr>
        <w:rPr>
          <w:noProof w:val="0"/>
          <w:szCs w:val="24"/>
        </w:rPr>
      </w:pPr>
      <w:r w:rsidRPr="00235360">
        <w:rPr>
          <w:noProof w:val="0"/>
          <w:szCs w:val="24"/>
        </w:rPr>
        <w:t xml:space="preserve">16. </w:t>
      </w:r>
      <w:r w:rsidR="00090C0E" w:rsidRPr="00235360">
        <w:rPr>
          <w:noProof w:val="0"/>
          <w:szCs w:val="24"/>
        </w:rPr>
        <w:t xml:space="preserve"> </w:t>
      </w:r>
      <w:r w:rsidR="00331303" w:rsidRPr="00235360">
        <w:rPr>
          <w:noProof w:val="0"/>
          <w:szCs w:val="24"/>
          <w:u w:val="single"/>
        </w:rPr>
        <w:t>Plans for Publication:</w:t>
      </w:r>
    </w:p>
    <w:p w14:paraId="427E0795" w14:textId="77777777" w:rsidR="001A64B0" w:rsidRPr="00235360" w:rsidRDefault="001A64B0" w:rsidP="006A2E93">
      <w:pPr>
        <w:jc w:val="both"/>
        <w:rPr>
          <w:noProof w:val="0"/>
          <w:szCs w:val="24"/>
        </w:rPr>
      </w:pPr>
    </w:p>
    <w:p w14:paraId="77F5BA8A" w14:textId="77777777" w:rsidR="000C1537" w:rsidRPr="00235360" w:rsidRDefault="00B051D2" w:rsidP="00E55E21">
      <w:pPr>
        <w:jc w:val="both"/>
        <w:rPr>
          <w:noProof w:val="0"/>
          <w:szCs w:val="24"/>
        </w:rPr>
      </w:pPr>
      <w:r w:rsidRPr="00235360">
        <w:rPr>
          <w:noProof w:val="0"/>
          <w:szCs w:val="24"/>
        </w:rPr>
        <w:t>The DEA will not publish the results of the information collected</w:t>
      </w:r>
      <w:r w:rsidR="000C1537" w:rsidRPr="00235360">
        <w:rPr>
          <w:noProof w:val="0"/>
          <w:szCs w:val="24"/>
        </w:rPr>
        <w:t>.</w:t>
      </w:r>
    </w:p>
    <w:p w14:paraId="54208F5F" w14:textId="77777777" w:rsidR="000C1537" w:rsidRPr="00235360" w:rsidRDefault="000C1537" w:rsidP="00AE3D13">
      <w:pPr>
        <w:jc w:val="both"/>
        <w:rPr>
          <w:noProof w:val="0"/>
          <w:szCs w:val="24"/>
        </w:rPr>
      </w:pPr>
      <w:r w:rsidRPr="00235360">
        <w:rPr>
          <w:noProof w:val="0"/>
          <w:szCs w:val="24"/>
        </w:rPr>
        <w:t xml:space="preserve">17. </w:t>
      </w:r>
      <w:r w:rsidR="00090C0E" w:rsidRPr="00235360">
        <w:rPr>
          <w:noProof w:val="0"/>
          <w:szCs w:val="24"/>
        </w:rPr>
        <w:t xml:space="preserve"> </w:t>
      </w:r>
      <w:r w:rsidRPr="00235360">
        <w:rPr>
          <w:noProof w:val="0"/>
          <w:szCs w:val="24"/>
          <w:u w:val="single"/>
        </w:rPr>
        <w:t>Expiration Date Approval:</w:t>
      </w:r>
    </w:p>
    <w:p w14:paraId="00290C94" w14:textId="77777777" w:rsidR="001A64B0" w:rsidRPr="00235360" w:rsidRDefault="001A64B0" w:rsidP="006A2E93">
      <w:pPr>
        <w:rPr>
          <w:noProof w:val="0"/>
          <w:szCs w:val="24"/>
        </w:rPr>
      </w:pPr>
    </w:p>
    <w:p w14:paraId="41D42DCE" w14:textId="648E0AA3" w:rsidR="000C1537" w:rsidRPr="00235360" w:rsidRDefault="006A2E93" w:rsidP="00E55E21">
      <w:pPr>
        <w:jc w:val="both"/>
        <w:rPr>
          <w:noProof w:val="0"/>
          <w:szCs w:val="24"/>
        </w:rPr>
      </w:pPr>
      <w:r w:rsidRPr="00235360">
        <w:rPr>
          <w:szCs w:val="24"/>
        </w:rPr>
        <w:t>The DEA does not object to OMB displaying the expiration date</w:t>
      </w:r>
      <w:r w:rsidRPr="00235360">
        <w:rPr>
          <w:noProof w:val="0"/>
          <w:szCs w:val="24"/>
        </w:rPr>
        <w:t>.</w:t>
      </w:r>
    </w:p>
    <w:p w14:paraId="03EE1FD8" w14:textId="77777777" w:rsidR="00072531" w:rsidRPr="00235360" w:rsidRDefault="00072531" w:rsidP="00AE3D13">
      <w:pPr>
        <w:rPr>
          <w:noProof w:val="0"/>
          <w:szCs w:val="24"/>
        </w:rPr>
      </w:pPr>
    </w:p>
    <w:p w14:paraId="61484176" w14:textId="77777777" w:rsidR="000C1537" w:rsidRPr="00235360" w:rsidRDefault="000C1537" w:rsidP="00AE3D13">
      <w:pPr>
        <w:jc w:val="both"/>
        <w:rPr>
          <w:noProof w:val="0"/>
          <w:szCs w:val="24"/>
        </w:rPr>
      </w:pPr>
      <w:r w:rsidRPr="00235360">
        <w:rPr>
          <w:noProof w:val="0"/>
          <w:szCs w:val="24"/>
        </w:rPr>
        <w:t xml:space="preserve">18. </w:t>
      </w:r>
      <w:r w:rsidR="00090C0E" w:rsidRPr="00235360">
        <w:rPr>
          <w:noProof w:val="0"/>
          <w:szCs w:val="24"/>
        </w:rPr>
        <w:t xml:space="preserve"> </w:t>
      </w:r>
      <w:r w:rsidRPr="00235360">
        <w:rPr>
          <w:noProof w:val="0"/>
          <w:szCs w:val="24"/>
          <w:u w:val="single"/>
        </w:rPr>
        <w:t>Exceptions to the Certification Statement:</w:t>
      </w:r>
    </w:p>
    <w:p w14:paraId="2C043B36" w14:textId="77777777" w:rsidR="001A64B0" w:rsidRPr="00235360" w:rsidRDefault="001A64B0" w:rsidP="006A2E93">
      <w:pPr>
        <w:rPr>
          <w:noProof w:val="0"/>
          <w:szCs w:val="24"/>
        </w:rPr>
      </w:pPr>
    </w:p>
    <w:p w14:paraId="40E87F9C" w14:textId="3A89BCAE" w:rsidR="00CE3759" w:rsidRPr="00235360" w:rsidRDefault="00B051D2" w:rsidP="00E55E21">
      <w:pPr>
        <w:jc w:val="both"/>
        <w:rPr>
          <w:noProof w:val="0"/>
          <w:szCs w:val="24"/>
        </w:rPr>
      </w:pPr>
      <w:r w:rsidRPr="00235360">
        <w:rPr>
          <w:noProof w:val="0"/>
          <w:szCs w:val="24"/>
        </w:rPr>
        <w:t>The DEA is not seeking an exception to the certification statement “Certification for Paperwork Reduction Act Submissions” for t</w:t>
      </w:r>
      <w:r w:rsidR="006A2E93" w:rsidRPr="00235360">
        <w:rPr>
          <w:noProof w:val="0"/>
          <w:szCs w:val="24"/>
        </w:rPr>
        <w:t>his collection of information.</w:t>
      </w:r>
    </w:p>
    <w:p w14:paraId="511826FE" w14:textId="77777777" w:rsidR="006A2E93" w:rsidRPr="00235360" w:rsidRDefault="006A2E93" w:rsidP="00AE3D13">
      <w:pPr>
        <w:rPr>
          <w:noProof w:val="0"/>
          <w:szCs w:val="24"/>
        </w:rPr>
      </w:pPr>
    </w:p>
    <w:p w14:paraId="32744A55" w14:textId="082F58F6" w:rsidR="000C1537" w:rsidRPr="00235360" w:rsidRDefault="000C1537" w:rsidP="00AE3D13">
      <w:pPr>
        <w:rPr>
          <w:b/>
          <w:szCs w:val="24"/>
        </w:rPr>
      </w:pPr>
      <w:r w:rsidRPr="00235360">
        <w:rPr>
          <w:b/>
          <w:szCs w:val="24"/>
        </w:rPr>
        <w:t xml:space="preserve">Part B. </w:t>
      </w:r>
      <w:r w:rsidR="006A2E93" w:rsidRPr="00235360">
        <w:rPr>
          <w:b/>
          <w:szCs w:val="24"/>
        </w:rPr>
        <w:t xml:space="preserve"> </w:t>
      </w:r>
      <w:r w:rsidRPr="00235360">
        <w:rPr>
          <w:b/>
          <w:szCs w:val="24"/>
        </w:rPr>
        <w:t>Statistical Methods</w:t>
      </w:r>
    </w:p>
    <w:p w14:paraId="32545D5F" w14:textId="77777777" w:rsidR="001A64B0" w:rsidRPr="00235360" w:rsidRDefault="001A64B0" w:rsidP="00AE3D13">
      <w:pPr>
        <w:rPr>
          <w:szCs w:val="24"/>
        </w:rPr>
      </w:pPr>
    </w:p>
    <w:p w14:paraId="698ECBB8" w14:textId="48F885A5" w:rsidR="000C1537" w:rsidRPr="00235360" w:rsidRDefault="006A2E93" w:rsidP="00E55E21">
      <w:pPr>
        <w:jc w:val="both"/>
        <w:rPr>
          <w:szCs w:val="24"/>
        </w:rPr>
      </w:pPr>
      <w:r w:rsidRPr="00235360">
        <w:rPr>
          <w:szCs w:val="24"/>
        </w:rPr>
        <w:t>The DEA does not employ statistical methods in this information collection</w:t>
      </w:r>
      <w:r w:rsidR="000C1537" w:rsidRPr="00235360">
        <w:rPr>
          <w:szCs w:val="24"/>
        </w:rPr>
        <w:t>.</w:t>
      </w:r>
    </w:p>
    <w:sectPr w:rsidR="000C1537" w:rsidRPr="00235360" w:rsidSect="001576A9">
      <w:headerReference w:type="default" r:id="rId9"/>
      <w:footerReference w:type="default" r:id="rId10"/>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58130" w14:textId="77777777" w:rsidR="00205C06" w:rsidRDefault="00205C06">
      <w:r>
        <w:separator/>
      </w:r>
    </w:p>
  </w:endnote>
  <w:endnote w:type="continuationSeparator" w:id="0">
    <w:p w14:paraId="3C88BC4A" w14:textId="77777777" w:rsidR="00205C06" w:rsidRDefault="0020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142312181"/>
      <w:docPartObj>
        <w:docPartGallery w:val="Page Numbers (Bottom of Page)"/>
        <w:docPartUnique/>
      </w:docPartObj>
    </w:sdtPr>
    <w:sdtEndPr>
      <w:rPr>
        <w:noProof/>
      </w:rPr>
    </w:sdtEndPr>
    <w:sdtContent>
      <w:p w14:paraId="36656E58" w14:textId="675633F4" w:rsidR="00572EEB" w:rsidRDefault="00572EEB">
        <w:pPr>
          <w:pStyle w:val="Footer"/>
          <w:jc w:val="center"/>
        </w:pPr>
        <w:r>
          <w:rPr>
            <w:noProof w:val="0"/>
          </w:rPr>
          <w:fldChar w:fldCharType="begin"/>
        </w:r>
        <w:r>
          <w:instrText xml:space="preserve"> PAGE   \* MERGEFORMAT </w:instrText>
        </w:r>
        <w:r>
          <w:rPr>
            <w:noProof w:val="0"/>
          </w:rPr>
          <w:fldChar w:fldCharType="separate"/>
        </w:r>
        <w:r w:rsidR="00A474E4">
          <w:t>1</w:t>
        </w:r>
        <w:r>
          <w:fldChar w:fldCharType="end"/>
        </w:r>
      </w:p>
    </w:sdtContent>
  </w:sdt>
  <w:p w14:paraId="6C46F77D" w14:textId="77777777" w:rsidR="00572EEB" w:rsidRDefault="00572E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B7F1C" w14:textId="77777777" w:rsidR="00205C06" w:rsidRDefault="00205C06">
      <w:r>
        <w:separator/>
      </w:r>
    </w:p>
  </w:footnote>
  <w:footnote w:type="continuationSeparator" w:id="0">
    <w:p w14:paraId="2BE89C1B" w14:textId="77777777" w:rsidR="00205C06" w:rsidRDefault="00205C06">
      <w:r>
        <w:continuationSeparator/>
      </w:r>
    </w:p>
  </w:footnote>
  <w:footnote w:id="1">
    <w:p w14:paraId="3CD346F0" w14:textId="27206F60" w:rsidR="00F66B42" w:rsidRPr="0014583B" w:rsidRDefault="00F66B42" w:rsidP="00F66B42">
      <w:pPr>
        <w:pStyle w:val="FootnoteText"/>
        <w:rPr>
          <w:rFonts w:ascii="Times New Roman" w:hAnsi="Times New Roman"/>
          <w:sz w:val="20"/>
        </w:rPr>
      </w:pPr>
      <w:r w:rsidRPr="0014583B">
        <w:rPr>
          <w:rStyle w:val="FootnoteReference"/>
          <w:rFonts w:ascii="Times New Roman" w:hAnsi="Times New Roman"/>
          <w:sz w:val="20"/>
          <w:vertAlign w:val="superscript"/>
        </w:rPr>
        <w:footnoteRef/>
      </w:r>
      <w:r w:rsidRPr="0014583B">
        <w:rPr>
          <w:rFonts w:ascii="Times New Roman" w:hAnsi="Times New Roman"/>
          <w:sz w:val="20"/>
        </w:rPr>
        <w:t xml:space="preserve"> </w:t>
      </w:r>
      <w:r w:rsidR="006F7D4A" w:rsidRPr="006F7D4A">
        <w:rPr>
          <w:rFonts w:ascii="Times New Roman" w:hAnsi="Times New Roman"/>
          <w:sz w:val="20"/>
        </w:rPr>
        <w:t xml:space="preserve">Hourly median wage, 11-3061 Purchasing Managers for North American Industry Classification System code 325400 – Pharmaceutical and Medicine Manufacturing.  Bureau of Labor Statistics, </w:t>
      </w:r>
      <w:r w:rsidR="006F7D4A" w:rsidRPr="006F7D4A">
        <w:rPr>
          <w:rFonts w:ascii="Times New Roman" w:hAnsi="Times New Roman"/>
          <w:i/>
          <w:sz w:val="20"/>
        </w:rPr>
        <w:t>Occupational and Employment and Wages, May 2017</w:t>
      </w:r>
      <w:r w:rsidR="006F7D4A" w:rsidRPr="006F7D4A">
        <w:rPr>
          <w:rFonts w:ascii="Times New Roman" w:hAnsi="Times New Roman"/>
          <w:sz w:val="20"/>
        </w:rPr>
        <w:t>, https://www.bls.gov/oes/2017/may/naics4_325400.htm</w:t>
      </w:r>
      <w:r w:rsidRPr="0014583B">
        <w:rPr>
          <w:rFonts w:ascii="Times New Roman" w:hAnsi="Times New Roman"/>
          <w:sz w:val="20"/>
        </w:rPr>
        <w:t>.</w:t>
      </w:r>
    </w:p>
  </w:footnote>
  <w:footnote w:id="2">
    <w:p w14:paraId="10553A76" w14:textId="702B8C6F" w:rsidR="00F66B42" w:rsidRPr="0014583B" w:rsidRDefault="00F66B42" w:rsidP="00F66B42">
      <w:pPr>
        <w:pStyle w:val="FootnoteText"/>
        <w:rPr>
          <w:rFonts w:ascii="Times New Roman" w:hAnsi="Times New Roman"/>
          <w:sz w:val="20"/>
        </w:rPr>
      </w:pPr>
      <w:r w:rsidRPr="0014583B">
        <w:rPr>
          <w:rStyle w:val="FootnoteReference"/>
          <w:rFonts w:ascii="Times New Roman" w:hAnsi="Times New Roman"/>
          <w:sz w:val="20"/>
          <w:vertAlign w:val="superscript"/>
        </w:rPr>
        <w:footnoteRef/>
      </w:r>
      <w:r w:rsidRPr="0014583B">
        <w:rPr>
          <w:rFonts w:ascii="Times New Roman" w:hAnsi="Times New Roman"/>
          <w:sz w:val="20"/>
        </w:rPr>
        <w:t xml:space="preserve"> </w:t>
      </w:r>
      <w:r w:rsidR="006F7D4A" w:rsidRPr="006F7D4A">
        <w:rPr>
          <w:rFonts w:ascii="Times New Roman" w:hAnsi="Times New Roman"/>
          <w:sz w:val="20"/>
        </w:rPr>
        <w:t xml:space="preserve">Average benefits for private industry are 30.3% of total compensation.  Bureau of Labor Statistics, </w:t>
      </w:r>
      <w:r w:rsidR="006F7D4A" w:rsidRPr="006F7D4A">
        <w:rPr>
          <w:rFonts w:ascii="Times New Roman" w:hAnsi="Times New Roman"/>
          <w:i/>
          <w:sz w:val="20"/>
        </w:rPr>
        <w:t>Employer Costs for Employee Compensation – September 2018</w:t>
      </w:r>
      <w:r w:rsidR="006F7D4A" w:rsidRPr="006F7D4A">
        <w:rPr>
          <w:rFonts w:ascii="Times New Roman" w:hAnsi="Times New Roman"/>
          <w:sz w:val="20"/>
        </w:rPr>
        <w:t xml:space="preserve"> (ECEC), https://www.bls.gov/news.release/archives/ecec_12142018.pdf.  The </w:t>
      </w:r>
      <w:r w:rsidRPr="0014583B">
        <w:rPr>
          <w:rFonts w:ascii="Times New Roman" w:hAnsi="Times New Roman"/>
          <w:sz w:val="20"/>
        </w:rPr>
        <w:t>30.3% of total compensation equates to 43.5% (30.3% / 69.7%) load on wages and salaries.</w:t>
      </w:r>
    </w:p>
  </w:footnote>
  <w:footnote w:id="3">
    <w:p w14:paraId="30B0691B" w14:textId="51D50536" w:rsidR="00F66B42" w:rsidRPr="0014583B" w:rsidRDefault="00F66B42" w:rsidP="00F66B42">
      <w:pPr>
        <w:pStyle w:val="FootnoteText"/>
        <w:rPr>
          <w:rFonts w:ascii="Times New Roman" w:hAnsi="Times New Roman"/>
        </w:rPr>
      </w:pPr>
      <w:r w:rsidRPr="0014583B">
        <w:rPr>
          <w:rStyle w:val="FootnoteReference"/>
          <w:rFonts w:ascii="Times New Roman" w:hAnsi="Times New Roman"/>
          <w:sz w:val="20"/>
          <w:vertAlign w:val="superscript"/>
        </w:rPr>
        <w:footnoteRef/>
      </w:r>
      <w:r w:rsidRPr="0014583B">
        <w:rPr>
          <w:rFonts w:ascii="Times New Roman" w:hAnsi="Times New Roman"/>
          <w:sz w:val="20"/>
        </w:rPr>
        <w:t xml:space="preserve"> $61.94 x (1 + 0.435) = $88.88.</w:t>
      </w:r>
    </w:p>
  </w:footnote>
  <w:footnote w:id="4">
    <w:p w14:paraId="3C1133C9" w14:textId="0DE5381A" w:rsidR="004A7742" w:rsidRPr="0014583B" w:rsidRDefault="004A7742">
      <w:pPr>
        <w:pStyle w:val="FootnoteText"/>
        <w:rPr>
          <w:rFonts w:ascii="Times New Roman" w:hAnsi="Times New Roman"/>
          <w:sz w:val="20"/>
        </w:rPr>
      </w:pPr>
      <w:r w:rsidRPr="0014583B">
        <w:rPr>
          <w:rStyle w:val="FootnoteReference"/>
          <w:rFonts w:ascii="Times New Roman" w:hAnsi="Times New Roman"/>
          <w:sz w:val="20"/>
          <w:vertAlign w:val="superscript"/>
        </w:rPr>
        <w:footnoteRef/>
      </w:r>
      <w:r w:rsidRPr="0014583B">
        <w:rPr>
          <w:rFonts w:ascii="Times New Roman" w:hAnsi="Times New Roman"/>
          <w:sz w:val="20"/>
        </w:rPr>
        <w:t xml:space="preserve"> </w:t>
      </w:r>
      <w:r w:rsidR="0030441A">
        <w:rPr>
          <w:rFonts w:ascii="Times New Roman" w:hAnsi="Times New Roman"/>
          <w:sz w:val="20"/>
        </w:rPr>
        <w:t>All g</w:t>
      </w:r>
      <w:r w:rsidRPr="0014583B">
        <w:rPr>
          <w:rFonts w:ascii="Times New Roman" w:hAnsi="Times New Roman"/>
          <w:sz w:val="20"/>
        </w:rPr>
        <w:t xml:space="preserve">overnment labor costs are rounded to the nearest dollar.  </w:t>
      </w:r>
      <w:r w:rsidR="00892AE9" w:rsidRPr="00892AE9">
        <w:rPr>
          <w:rFonts w:ascii="Times New Roman" w:hAnsi="Times New Roman"/>
          <w:sz w:val="20"/>
        </w:rPr>
        <w:t>Costs are based on the Office of Personnel Management’s 2018 general schedule locality pay tables for the Washington-Baltimore-Arlington area (https://www.opm.gov/policy-data-oversight/pay-leave/salaries-wages/salary-tables/pdf/2018/DCB.pdf) for the grade listed, step 5</w:t>
      </w:r>
      <w:r w:rsidRPr="0014583B">
        <w:rPr>
          <w:rFonts w:ascii="Times New Roman" w:hAnsi="Times New Roman"/>
          <w:sz w:val="20"/>
        </w:rPr>
        <w:t>.</w:t>
      </w:r>
    </w:p>
  </w:footnote>
  <w:footnote w:id="5">
    <w:p w14:paraId="48333C16" w14:textId="0759A194" w:rsidR="004A7742" w:rsidRPr="0014583B" w:rsidRDefault="004A7742">
      <w:pPr>
        <w:pStyle w:val="FootnoteText"/>
        <w:rPr>
          <w:rFonts w:ascii="Times New Roman" w:hAnsi="Times New Roman"/>
        </w:rPr>
      </w:pPr>
      <w:r w:rsidRPr="0014583B">
        <w:rPr>
          <w:rStyle w:val="FootnoteReference"/>
          <w:rFonts w:ascii="Times New Roman" w:hAnsi="Times New Roman"/>
          <w:sz w:val="20"/>
          <w:vertAlign w:val="superscript"/>
        </w:rPr>
        <w:footnoteRef/>
      </w:r>
      <w:r w:rsidRPr="0030441A">
        <w:rPr>
          <w:rFonts w:ascii="Times New Roman" w:hAnsi="Times New Roman"/>
          <w:sz w:val="20"/>
        </w:rPr>
        <w:t xml:space="preserve"> Fi</w:t>
      </w:r>
      <w:r w:rsidRPr="0014583B">
        <w:rPr>
          <w:rFonts w:ascii="Times New Roman" w:hAnsi="Times New Roman"/>
          <w:sz w:val="20"/>
        </w:rPr>
        <w:t xml:space="preserve">gures are rounded.  Government salary figures include 60.26% load for </w:t>
      </w:r>
      <w:r w:rsidR="00422009">
        <w:rPr>
          <w:rFonts w:ascii="Times New Roman" w:hAnsi="Times New Roman"/>
          <w:sz w:val="20"/>
        </w:rPr>
        <w:t xml:space="preserve">benefits based on the ECEC for </w:t>
      </w:r>
      <w:r w:rsidRPr="0014583B">
        <w:rPr>
          <w:rFonts w:ascii="Times New Roman" w:hAnsi="Times New Roman"/>
          <w:sz w:val="20"/>
        </w:rPr>
        <w:t>State and local government.</w:t>
      </w:r>
      <w:r w:rsidR="00422009">
        <w:rPr>
          <w:rFonts w:ascii="Times New Roman" w:hAnsi="Times New Roman"/>
          <w:sz w:val="20"/>
        </w:rPr>
        <w:t xml:space="preserve">  </w:t>
      </w:r>
      <w:r w:rsidRPr="0014583B">
        <w:rPr>
          <w:rFonts w:ascii="Times New Roman" w:hAnsi="Times New Roman"/>
          <w:sz w:val="20"/>
        </w:rPr>
        <w:t xml:space="preserve">The ECEC does not include figures for the Federal </w:t>
      </w:r>
      <w:r w:rsidR="0030441A">
        <w:rPr>
          <w:rFonts w:ascii="Times New Roman" w:hAnsi="Times New Roman"/>
          <w:sz w:val="20"/>
        </w:rPr>
        <w:t>g</w:t>
      </w:r>
      <w:r w:rsidRPr="0014583B">
        <w:rPr>
          <w:rFonts w:ascii="Times New Roman" w:hAnsi="Times New Roman"/>
          <w:sz w:val="20"/>
        </w:rPr>
        <w:t>overnment.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1820B" w14:textId="77777777" w:rsidR="00572EEB" w:rsidRDefault="00572EEB">
    <w:pPr>
      <w:rPr>
        <w:sz w:val="22"/>
      </w:rPr>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BD6"/>
    <w:multiLevelType w:val="hybridMultilevel"/>
    <w:tmpl w:val="1576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7">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8">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EB64842"/>
    <w:multiLevelType w:val="hybridMultilevel"/>
    <w:tmpl w:val="896C9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2">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D8A1B6F"/>
    <w:multiLevelType w:val="hybridMultilevel"/>
    <w:tmpl w:val="4DA6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21">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0"/>
  </w:num>
  <w:num w:numId="4">
    <w:abstractNumId w:val="7"/>
  </w:num>
  <w:num w:numId="5">
    <w:abstractNumId w:val="18"/>
  </w:num>
  <w:num w:numId="6">
    <w:abstractNumId w:val="6"/>
  </w:num>
  <w:num w:numId="7">
    <w:abstractNumId w:val="1"/>
  </w:num>
  <w:num w:numId="8">
    <w:abstractNumId w:val="19"/>
  </w:num>
  <w:num w:numId="9">
    <w:abstractNumId w:val="21"/>
  </w:num>
  <w:num w:numId="10">
    <w:abstractNumId w:val="4"/>
  </w:num>
  <w:num w:numId="11">
    <w:abstractNumId w:val="16"/>
  </w:num>
  <w:num w:numId="12">
    <w:abstractNumId w:val="8"/>
  </w:num>
  <w:num w:numId="13">
    <w:abstractNumId w:val="17"/>
  </w:num>
  <w:num w:numId="14">
    <w:abstractNumId w:val="13"/>
  </w:num>
  <w:num w:numId="15">
    <w:abstractNumId w:val="5"/>
  </w:num>
  <w:num w:numId="16">
    <w:abstractNumId w:val="12"/>
  </w:num>
  <w:num w:numId="17">
    <w:abstractNumId w:val="2"/>
  </w:num>
  <w:num w:numId="18">
    <w:abstractNumId w:val="3"/>
  </w:num>
  <w:num w:numId="19">
    <w:abstractNumId w:val="10"/>
  </w:num>
  <w:num w:numId="20">
    <w:abstractNumId w:val="9"/>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AA"/>
    <w:rsid w:val="00003CA9"/>
    <w:rsid w:val="0001166E"/>
    <w:rsid w:val="00014C4D"/>
    <w:rsid w:val="00024E2B"/>
    <w:rsid w:val="000307CF"/>
    <w:rsid w:val="00040C64"/>
    <w:rsid w:val="00047F50"/>
    <w:rsid w:val="00072531"/>
    <w:rsid w:val="00072975"/>
    <w:rsid w:val="000729D4"/>
    <w:rsid w:val="00073D7B"/>
    <w:rsid w:val="00090C0E"/>
    <w:rsid w:val="00090EEB"/>
    <w:rsid w:val="000936D4"/>
    <w:rsid w:val="0009395B"/>
    <w:rsid w:val="000B05CC"/>
    <w:rsid w:val="000B0778"/>
    <w:rsid w:val="000B2518"/>
    <w:rsid w:val="000B30D6"/>
    <w:rsid w:val="000B5A26"/>
    <w:rsid w:val="000C1537"/>
    <w:rsid w:val="000C233D"/>
    <w:rsid w:val="000C46D6"/>
    <w:rsid w:val="000C697C"/>
    <w:rsid w:val="000E2FDE"/>
    <w:rsid w:val="000E4A77"/>
    <w:rsid w:val="000E728F"/>
    <w:rsid w:val="000F1E16"/>
    <w:rsid w:val="0010264F"/>
    <w:rsid w:val="00103A27"/>
    <w:rsid w:val="00106AAC"/>
    <w:rsid w:val="00115747"/>
    <w:rsid w:val="001200DB"/>
    <w:rsid w:val="001275B6"/>
    <w:rsid w:val="00132072"/>
    <w:rsid w:val="0013751E"/>
    <w:rsid w:val="0014583B"/>
    <w:rsid w:val="00146805"/>
    <w:rsid w:val="001576A9"/>
    <w:rsid w:val="00160BA0"/>
    <w:rsid w:val="001610B9"/>
    <w:rsid w:val="00187730"/>
    <w:rsid w:val="001945E3"/>
    <w:rsid w:val="001948C7"/>
    <w:rsid w:val="001A64B0"/>
    <w:rsid w:val="001A6B52"/>
    <w:rsid w:val="001A7C2B"/>
    <w:rsid w:val="001B3C46"/>
    <w:rsid w:val="001B509D"/>
    <w:rsid w:val="001B6D6B"/>
    <w:rsid w:val="001C0567"/>
    <w:rsid w:val="001C1292"/>
    <w:rsid w:val="001C3738"/>
    <w:rsid w:val="001D70F6"/>
    <w:rsid w:val="001E1407"/>
    <w:rsid w:val="001E3A04"/>
    <w:rsid w:val="001E6B15"/>
    <w:rsid w:val="001E72F7"/>
    <w:rsid w:val="001F24F2"/>
    <w:rsid w:val="001F31A3"/>
    <w:rsid w:val="001F328F"/>
    <w:rsid w:val="0020105A"/>
    <w:rsid w:val="00202FD8"/>
    <w:rsid w:val="002039F4"/>
    <w:rsid w:val="00204598"/>
    <w:rsid w:val="00204F60"/>
    <w:rsid w:val="00205AAC"/>
    <w:rsid w:val="00205C06"/>
    <w:rsid w:val="002061BE"/>
    <w:rsid w:val="00213992"/>
    <w:rsid w:val="00216DF8"/>
    <w:rsid w:val="00221401"/>
    <w:rsid w:val="00234D75"/>
    <w:rsid w:val="00235360"/>
    <w:rsid w:val="002364CB"/>
    <w:rsid w:val="0023781B"/>
    <w:rsid w:val="00253917"/>
    <w:rsid w:val="00254B07"/>
    <w:rsid w:val="00256291"/>
    <w:rsid w:val="00264BA6"/>
    <w:rsid w:val="00266EDA"/>
    <w:rsid w:val="00267D10"/>
    <w:rsid w:val="0027229C"/>
    <w:rsid w:val="002727CA"/>
    <w:rsid w:val="00285D94"/>
    <w:rsid w:val="0028737B"/>
    <w:rsid w:val="00287834"/>
    <w:rsid w:val="002905B9"/>
    <w:rsid w:val="002939D5"/>
    <w:rsid w:val="00296D76"/>
    <w:rsid w:val="00296FD9"/>
    <w:rsid w:val="002A2EE9"/>
    <w:rsid w:val="002A785B"/>
    <w:rsid w:val="002C3091"/>
    <w:rsid w:val="002C5672"/>
    <w:rsid w:val="002D03DF"/>
    <w:rsid w:val="002D2CA4"/>
    <w:rsid w:val="002D7617"/>
    <w:rsid w:val="002E364E"/>
    <w:rsid w:val="002E3BAD"/>
    <w:rsid w:val="002E4B64"/>
    <w:rsid w:val="002F0759"/>
    <w:rsid w:val="002F3DE1"/>
    <w:rsid w:val="0030441A"/>
    <w:rsid w:val="003045D7"/>
    <w:rsid w:val="00310BF5"/>
    <w:rsid w:val="00317FEB"/>
    <w:rsid w:val="003238E0"/>
    <w:rsid w:val="00330B2A"/>
    <w:rsid w:val="00331303"/>
    <w:rsid w:val="003323BE"/>
    <w:rsid w:val="00335B7D"/>
    <w:rsid w:val="00340835"/>
    <w:rsid w:val="003415E1"/>
    <w:rsid w:val="00347A3F"/>
    <w:rsid w:val="003553CE"/>
    <w:rsid w:val="00355983"/>
    <w:rsid w:val="0035613D"/>
    <w:rsid w:val="00356C68"/>
    <w:rsid w:val="003632C4"/>
    <w:rsid w:val="003744B7"/>
    <w:rsid w:val="00381749"/>
    <w:rsid w:val="003853E3"/>
    <w:rsid w:val="003865AE"/>
    <w:rsid w:val="003917CC"/>
    <w:rsid w:val="00393556"/>
    <w:rsid w:val="00397627"/>
    <w:rsid w:val="003A0729"/>
    <w:rsid w:val="003A2653"/>
    <w:rsid w:val="003A47A0"/>
    <w:rsid w:val="003A75B2"/>
    <w:rsid w:val="003B1894"/>
    <w:rsid w:val="003B462C"/>
    <w:rsid w:val="003B51FF"/>
    <w:rsid w:val="003B565A"/>
    <w:rsid w:val="003B5B37"/>
    <w:rsid w:val="003C6B62"/>
    <w:rsid w:val="003C7787"/>
    <w:rsid w:val="003D1D81"/>
    <w:rsid w:val="003D1F4A"/>
    <w:rsid w:val="003D62DF"/>
    <w:rsid w:val="003D778D"/>
    <w:rsid w:val="003E19B7"/>
    <w:rsid w:val="003E411E"/>
    <w:rsid w:val="003E485E"/>
    <w:rsid w:val="003E759F"/>
    <w:rsid w:val="00401155"/>
    <w:rsid w:val="00403678"/>
    <w:rsid w:val="00406E88"/>
    <w:rsid w:val="00417CC2"/>
    <w:rsid w:val="004202AA"/>
    <w:rsid w:val="00422009"/>
    <w:rsid w:val="00436B13"/>
    <w:rsid w:val="004374B0"/>
    <w:rsid w:val="00441C24"/>
    <w:rsid w:val="004457EC"/>
    <w:rsid w:val="00447D09"/>
    <w:rsid w:val="00451D6C"/>
    <w:rsid w:val="004523E4"/>
    <w:rsid w:val="004547B8"/>
    <w:rsid w:val="00460751"/>
    <w:rsid w:val="00467313"/>
    <w:rsid w:val="004679E7"/>
    <w:rsid w:val="00473372"/>
    <w:rsid w:val="00480BEE"/>
    <w:rsid w:val="00484015"/>
    <w:rsid w:val="00485B3F"/>
    <w:rsid w:val="004878FE"/>
    <w:rsid w:val="004965E6"/>
    <w:rsid w:val="004A0B75"/>
    <w:rsid w:val="004A1D5E"/>
    <w:rsid w:val="004A4F6D"/>
    <w:rsid w:val="004A6D84"/>
    <w:rsid w:val="004A7742"/>
    <w:rsid w:val="004B6259"/>
    <w:rsid w:val="004B7524"/>
    <w:rsid w:val="004C299E"/>
    <w:rsid w:val="004C2D8D"/>
    <w:rsid w:val="004C31A0"/>
    <w:rsid w:val="004C501D"/>
    <w:rsid w:val="004C57AA"/>
    <w:rsid w:val="004D68DA"/>
    <w:rsid w:val="004D7B3A"/>
    <w:rsid w:val="004E2903"/>
    <w:rsid w:val="004E5AD0"/>
    <w:rsid w:val="004E7783"/>
    <w:rsid w:val="004F2230"/>
    <w:rsid w:val="004F5024"/>
    <w:rsid w:val="00503848"/>
    <w:rsid w:val="00516270"/>
    <w:rsid w:val="00520B1C"/>
    <w:rsid w:val="005322C9"/>
    <w:rsid w:val="0053425E"/>
    <w:rsid w:val="00547B73"/>
    <w:rsid w:val="00550654"/>
    <w:rsid w:val="00552357"/>
    <w:rsid w:val="00562D6D"/>
    <w:rsid w:val="00563B33"/>
    <w:rsid w:val="00564F07"/>
    <w:rsid w:val="00572EEB"/>
    <w:rsid w:val="005825C6"/>
    <w:rsid w:val="00583984"/>
    <w:rsid w:val="00584F45"/>
    <w:rsid w:val="0059407C"/>
    <w:rsid w:val="005A0509"/>
    <w:rsid w:val="005A1D74"/>
    <w:rsid w:val="005A4781"/>
    <w:rsid w:val="005B12F2"/>
    <w:rsid w:val="005C6149"/>
    <w:rsid w:val="005D5AAF"/>
    <w:rsid w:val="005D7A95"/>
    <w:rsid w:val="005E1C3C"/>
    <w:rsid w:val="005E70FF"/>
    <w:rsid w:val="005F45D8"/>
    <w:rsid w:val="005F7EEE"/>
    <w:rsid w:val="00603426"/>
    <w:rsid w:val="00606C77"/>
    <w:rsid w:val="00630832"/>
    <w:rsid w:val="00630964"/>
    <w:rsid w:val="006365D8"/>
    <w:rsid w:val="00637052"/>
    <w:rsid w:val="00640CC3"/>
    <w:rsid w:val="00640EAE"/>
    <w:rsid w:val="00645EBD"/>
    <w:rsid w:val="0065322F"/>
    <w:rsid w:val="00653760"/>
    <w:rsid w:val="00653D0F"/>
    <w:rsid w:val="00655AD9"/>
    <w:rsid w:val="00660C66"/>
    <w:rsid w:val="00662A09"/>
    <w:rsid w:val="00665335"/>
    <w:rsid w:val="00674684"/>
    <w:rsid w:val="00695627"/>
    <w:rsid w:val="0069717E"/>
    <w:rsid w:val="00697A45"/>
    <w:rsid w:val="00697EC4"/>
    <w:rsid w:val="006A278B"/>
    <w:rsid w:val="006A2E93"/>
    <w:rsid w:val="006A44AB"/>
    <w:rsid w:val="006A5FAE"/>
    <w:rsid w:val="006A7E04"/>
    <w:rsid w:val="006B1E12"/>
    <w:rsid w:val="006B1E52"/>
    <w:rsid w:val="006B63F1"/>
    <w:rsid w:val="006D3114"/>
    <w:rsid w:val="006D6E52"/>
    <w:rsid w:val="006D7F5D"/>
    <w:rsid w:val="006E0755"/>
    <w:rsid w:val="006E0E83"/>
    <w:rsid w:val="006F5F73"/>
    <w:rsid w:val="006F7D4A"/>
    <w:rsid w:val="0070093C"/>
    <w:rsid w:val="00707072"/>
    <w:rsid w:val="00711DA2"/>
    <w:rsid w:val="00713B1A"/>
    <w:rsid w:val="007164CA"/>
    <w:rsid w:val="0072448E"/>
    <w:rsid w:val="007257A3"/>
    <w:rsid w:val="00727DE4"/>
    <w:rsid w:val="00733CBE"/>
    <w:rsid w:val="007341E2"/>
    <w:rsid w:val="007403FB"/>
    <w:rsid w:val="00743F18"/>
    <w:rsid w:val="0074466F"/>
    <w:rsid w:val="00746BDF"/>
    <w:rsid w:val="007537B1"/>
    <w:rsid w:val="00753F1E"/>
    <w:rsid w:val="00760231"/>
    <w:rsid w:val="00762166"/>
    <w:rsid w:val="007706D5"/>
    <w:rsid w:val="0077347B"/>
    <w:rsid w:val="00776F7B"/>
    <w:rsid w:val="0078590F"/>
    <w:rsid w:val="0079012C"/>
    <w:rsid w:val="007A0905"/>
    <w:rsid w:val="007A31AF"/>
    <w:rsid w:val="007A6E5F"/>
    <w:rsid w:val="007B06D5"/>
    <w:rsid w:val="007B0BA3"/>
    <w:rsid w:val="007B20CA"/>
    <w:rsid w:val="007C1A51"/>
    <w:rsid w:val="007C1FFE"/>
    <w:rsid w:val="007C787E"/>
    <w:rsid w:val="007D58E1"/>
    <w:rsid w:val="007D6549"/>
    <w:rsid w:val="007E493D"/>
    <w:rsid w:val="007E4956"/>
    <w:rsid w:val="007F111E"/>
    <w:rsid w:val="007F1BC8"/>
    <w:rsid w:val="007F1D5F"/>
    <w:rsid w:val="0080166A"/>
    <w:rsid w:val="00802AF9"/>
    <w:rsid w:val="00803E02"/>
    <w:rsid w:val="00805055"/>
    <w:rsid w:val="0080720C"/>
    <w:rsid w:val="008118F0"/>
    <w:rsid w:val="00813BD7"/>
    <w:rsid w:val="00816C02"/>
    <w:rsid w:val="00822772"/>
    <w:rsid w:val="00823529"/>
    <w:rsid w:val="008248A2"/>
    <w:rsid w:val="0082680D"/>
    <w:rsid w:val="00827400"/>
    <w:rsid w:val="00827435"/>
    <w:rsid w:val="008333E1"/>
    <w:rsid w:val="00833B1E"/>
    <w:rsid w:val="00837798"/>
    <w:rsid w:val="0084494A"/>
    <w:rsid w:val="008458D9"/>
    <w:rsid w:val="008535D1"/>
    <w:rsid w:val="00860A83"/>
    <w:rsid w:val="00860ED2"/>
    <w:rsid w:val="0086467C"/>
    <w:rsid w:val="00867199"/>
    <w:rsid w:val="00875C53"/>
    <w:rsid w:val="00875FE9"/>
    <w:rsid w:val="008816FE"/>
    <w:rsid w:val="00881B7E"/>
    <w:rsid w:val="00882D9D"/>
    <w:rsid w:val="00885594"/>
    <w:rsid w:val="00892AE9"/>
    <w:rsid w:val="008964A5"/>
    <w:rsid w:val="008970AF"/>
    <w:rsid w:val="008A3424"/>
    <w:rsid w:val="008A4F54"/>
    <w:rsid w:val="008B12B1"/>
    <w:rsid w:val="008B5B93"/>
    <w:rsid w:val="008B6C8E"/>
    <w:rsid w:val="008B7B24"/>
    <w:rsid w:val="008C00BD"/>
    <w:rsid w:val="008C26E1"/>
    <w:rsid w:val="008C5125"/>
    <w:rsid w:val="008D2D46"/>
    <w:rsid w:val="008E0063"/>
    <w:rsid w:val="008E1FB0"/>
    <w:rsid w:val="008E7B3E"/>
    <w:rsid w:val="008F7D40"/>
    <w:rsid w:val="00904E80"/>
    <w:rsid w:val="00905192"/>
    <w:rsid w:val="009105A3"/>
    <w:rsid w:val="00912BEB"/>
    <w:rsid w:val="009151B2"/>
    <w:rsid w:val="00916866"/>
    <w:rsid w:val="009172C9"/>
    <w:rsid w:val="009173BD"/>
    <w:rsid w:val="00921795"/>
    <w:rsid w:val="00922573"/>
    <w:rsid w:val="00926D4E"/>
    <w:rsid w:val="009356AB"/>
    <w:rsid w:val="00936A27"/>
    <w:rsid w:val="00942B59"/>
    <w:rsid w:val="009523DE"/>
    <w:rsid w:val="0095360B"/>
    <w:rsid w:val="00956DC2"/>
    <w:rsid w:val="00970E8B"/>
    <w:rsid w:val="00975749"/>
    <w:rsid w:val="009822CD"/>
    <w:rsid w:val="00982C2B"/>
    <w:rsid w:val="00984D1A"/>
    <w:rsid w:val="00985D10"/>
    <w:rsid w:val="009910FC"/>
    <w:rsid w:val="0099333D"/>
    <w:rsid w:val="009B3EBD"/>
    <w:rsid w:val="009B71F1"/>
    <w:rsid w:val="009C5ECB"/>
    <w:rsid w:val="009C7698"/>
    <w:rsid w:val="009D37E6"/>
    <w:rsid w:val="009D6B26"/>
    <w:rsid w:val="009E10CB"/>
    <w:rsid w:val="009E27BB"/>
    <w:rsid w:val="009E4BFA"/>
    <w:rsid w:val="009E5DAC"/>
    <w:rsid w:val="009F38A1"/>
    <w:rsid w:val="00A00BBC"/>
    <w:rsid w:val="00A03B7A"/>
    <w:rsid w:val="00A07710"/>
    <w:rsid w:val="00A13A11"/>
    <w:rsid w:val="00A2179A"/>
    <w:rsid w:val="00A32B3D"/>
    <w:rsid w:val="00A338B6"/>
    <w:rsid w:val="00A4256B"/>
    <w:rsid w:val="00A42A92"/>
    <w:rsid w:val="00A474E4"/>
    <w:rsid w:val="00A5110C"/>
    <w:rsid w:val="00A52C58"/>
    <w:rsid w:val="00A52E4C"/>
    <w:rsid w:val="00A65D73"/>
    <w:rsid w:val="00A65E30"/>
    <w:rsid w:val="00A71AA6"/>
    <w:rsid w:val="00A808A3"/>
    <w:rsid w:val="00A80C70"/>
    <w:rsid w:val="00A83187"/>
    <w:rsid w:val="00A903BA"/>
    <w:rsid w:val="00AA6AD4"/>
    <w:rsid w:val="00AB4176"/>
    <w:rsid w:val="00AB4B8C"/>
    <w:rsid w:val="00AD005D"/>
    <w:rsid w:val="00AD0446"/>
    <w:rsid w:val="00AD061B"/>
    <w:rsid w:val="00AD6472"/>
    <w:rsid w:val="00AE3D13"/>
    <w:rsid w:val="00AE52E1"/>
    <w:rsid w:val="00AF2AFA"/>
    <w:rsid w:val="00B02534"/>
    <w:rsid w:val="00B051D2"/>
    <w:rsid w:val="00B17FFB"/>
    <w:rsid w:val="00B200CE"/>
    <w:rsid w:val="00B2205F"/>
    <w:rsid w:val="00B229D3"/>
    <w:rsid w:val="00B251B2"/>
    <w:rsid w:val="00B346F1"/>
    <w:rsid w:val="00B35B59"/>
    <w:rsid w:val="00B37310"/>
    <w:rsid w:val="00B40956"/>
    <w:rsid w:val="00B50163"/>
    <w:rsid w:val="00B51820"/>
    <w:rsid w:val="00B544E3"/>
    <w:rsid w:val="00B558D9"/>
    <w:rsid w:val="00B55AE0"/>
    <w:rsid w:val="00B561F4"/>
    <w:rsid w:val="00B577EF"/>
    <w:rsid w:val="00B6707D"/>
    <w:rsid w:val="00B71445"/>
    <w:rsid w:val="00B8788B"/>
    <w:rsid w:val="00B90479"/>
    <w:rsid w:val="00B91C3E"/>
    <w:rsid w:val="00B96EE6"/>
    <w:rsid w:val="00BA2667"/>
    <w:rsid w:val="00BA6FC2"/>
    <w:rsid w:val="00BB1DBD"/>
    <w:rsid w:val="00BB3A79"/>
    <w:rsid w:val="00BC7AA4"/>
    <w:rsid w:val="00BD4078"/>
    <w:rsid w:val="00BD5FE2"/>
    <w:rsid w:val="00BE16A2"/>
    <w:rsid w:val="00BF25A0"/>
    <w:rsid w:val="00BF2C0B"/>
    <w:rsid w:val="00C002A3"/>
    <w:rsid w:val="00C052D7"/>
    <w:rsid w:val="00C11AD3"/>
    <w:rsid w:val="00C20074"/>
    <w:rsid w:val="00C209E3"/>
    <w:rsid w:val="00C21AF9"/>
    <w:rsid w:val="00C2303D"/>
    <w:rsid w:val="00C23E21"/>
    <w:rsid w:val="00C31749"/>
    <w:rsid w:val="00C34FF9"/>
    <w:rsid w:val="00C3623C"/>
    <w:rsid w:val="00C409B9"/>
    <w:rsid w:val="00C41304"/>
    <w:rsid w:val="00C42F38"/>
    <w:rsid w:val="00C44FE6"/>
    <w:rsid w:val="00C462E8"/>
    <w:rsid w:val="00C46DA6"/>
    <w:rsid w:val="00C5178D"/>
    <w:rsid w:val="00C55291"/>
    <w:rsid w:val="00C55954"/>
    <w:rsid w:val="00C61884"/>
    <w:rsid w:val="00C74CAA"/>
    <w:rsid w:val="00C76348"/>
    <w:rsid w:val="00C774F4"/>
    <w:rsid w:val="00C777C7"/>
    <w:rsid w:val="00C84076"/>
    <w:rsid w:val="00C84F6F"/>
    <w:rsid w:val="00C87399"/>
    <w:rsid w:val="00C87B94"/>
    <w:rsid w:val="00C90095"/>
    <w:rsid w:val="00C927C6"/>
    <w:rsid w:val="00C96846"/>
    <w:rsid w:val="00CA0464"/>
    <w:rsid w:val="00CA3BC6"/>
    <w:rsid w:val="00CB0C55"/>
    <w:rsid w:val="00CB1429"/>
    <w:rsid w:val="00CB24B8"/>
    <w:rsid w:val="00CB38EE"/>
    <w:rsid w:val="00CB7F7B"/>
    <w:rsid w:val="00CC40DC"/>
    <w:rsid w:val="00CD6F66"/>
    <w:rsid w:val="00CE1499"/>
    <w:rsid w:val="00CE207E"/>
    <w:rsid w:val="00CE2AFF"/>
    <w:rsid w:val="00CE36A7"/>
    <w:rsid w:val="00CE3759"/>
    <w:rsid w:val="00CE4844"/>
    <w:rsid w:val="00CE7903"/>
    <w:rsid w:val="00CE7CB0"/>
    <w:rsid w:val="00CF69C0"/>
    <w:rsid w:val="00D03E0F"/>
    <w:rsid w:val="00D075B5"/>
    <w:rsid w:val="00D11975"/>
    <w:rsid w:val="00D167D9"/>
    <w:rsid w:val="00D22ADC"/>
    <w:rsid w:val="00D274B8"/>
    <w:rsid w:val="00D3430C"/>
    <w:rsid w:val="00D3631A"/>
    <w:rsid w:val="00D401C9"/>
    <w:rsid w:val="00D41931"/>
    <w:rsid w:val="00D511DB"/>
    <w:rsid w:val="00D52432"/>
    <w:rsid w:val="00D646DC"/>
    <w:rsid w:val="00D66333"/>
    <w:rsid w:val="00D673B5"/>
    <w:rsid w:val="00D81D93"/>
    <w:rsid w:val="00D84EDF"/>
    <w:rsid w:val="00D90F04"/>
    <w:rsid w:val="00DA0FF4"/>
    <w:rsid w:val="00DA2E06"/>
    <w:rsid w:val="00DB1B0A"/>
    <w:rsid w:val="00DB58BB"/>
    <w:rsid w:val="00DB7313"/>
    <w:rsid w:val="00DC2025"/>
    <w:rsid w:val="00DC5A96"/>
    <w:rsid w:val="00DD1915"/>
    <w:rsid w:val="00DD1F7C"/>
    <w:rsid w:val="00DD603C"/>
    <w:rsid w:val="00DD7DA6"/>
    <w:rsid w:val="00DE1F57"/>
    <w:rsid w:val="00DF1722"/>
    <w:rsid w:val="00DF3ECA"/>
    <w:rsid w:val="00DF4F33"/>
    <w:rsid w:val="00DF505F"/>
    <w:rsid w:val="00E018CC"/>
    <w:rsid w:val="00E16393"/>
    <w:rsid w:val="00E23899"/>
    <w:rsid w:val="00E27D78"/>
    <w:rsid w:val="00E32DD0"/>
    <w:rsid w:val="00E357DE"/>
    <w:rsid w:val="00E36926"/>
    <w:rsid w:val="00E41DE5"/>
    <w:rsid w:val="00E42A97"/>
    <w:rsid w:val="00E4718E"/>
    <w:rsid w:val="00E55C83"/>
    <w:rsid w:val="00E55E21"/>
    <w:rsid w:val="00E564E0"/>
    <w:rsid w:val="00E657C9"/>
    <w:rsid w:val="00E71B9A"/>
    <w:rsid w:val="00E72B76"/>
    <w:rsid w:val="00E75B77"/>
    <w:rsid w:val="00E820A7"/>
    <w:rsid w:val="00E85EDF"/>
    <w:rsid w:val="00E8666E"/>
    <w:rsid w:val="00E900C8"/>
    <w:rsid w:val="00E9198D"/>
    <w:rsid w:val="00E922C7"/>
    <w:rsid w:val="00E92365"/>
    <w:rsid w:val="00E9376C"/>
    <w:rsid w:val="00E971AE"/>
    <w:rsid w:val="00E975C5"/>
    <w:rsid w:val="00EA2E2B"/>
    <w:rsid w:val="00EA5A7C"/>
    <w:rsid w:val="00EA62D1"/>
    <w:rsid w:val="00EB48F5"/>
    <w:rsid w:val="00EC1A59"/>
    <w:rsid w:val="00ED0C58"/>
    <w:rsid w:val="00ED317F"/>
    <w:rsid w:val="00ED4815"/>
    <w:rsid w:val="00ED55A6"/>
    <w:rsid w:val="00ED7611"/>
    <w:rsid w:val="00EE1041"/>
    <w:rsid w:val="00EE7976"/>
    <w:rsid w:val="00EE7FA9"/>
    <w:rsid w:val="00EF0E84"/>
    <w:rsid w:val="00EF4675"/>
    <w:rsid w:val="00F03133"/>
    <w:rsid w:val="00F11648"/>
    <w:rsid w:val="00F13405"/>
    <w:rsid w:val="00F16738"/>
    <w:rsid w:val="00F174BE"/>
    <w:rsid w:val="00F178A6"/>
    <w:rsid w:val="00F208C8"/>
    <w:rsid w:val="00F23297"/>
    <w:rsid w:val="00F27151"/>
    <w:rsid w:val="00F304A0"/>
    <w:rsid w:val="00F316B4"/>
    <w:rsid w:val="00F3591B"/>
    <w:rsid w:val="00F359E9"/>
    <w:rsid w:val="00F36B34"/>
    <w:rsid w:val="00F374E1"/>
    <w:rsid w:val="00F37A40"/>
    <w:rsid w:val="00F41ED7"/>
    <w:rsid w:val="00F43BDC"/>
    <w:rsid w:val="00F52AFE"/>
    <w:rsid w:val="00F64EA5"/>
    <w:rsid w:val="00F653E9"/>
    <w:rsid w:val="00F66B42"/>
    <w:rsid w:val="00F750AE"/>
    <w:rsid w:val="00F8036F"/>
    <w:rsid w:val="00F804CC"/>
    <w:rsid w:val="00F80965"/>
    <w:rsid w:val="00F80B6A"/>
    <w:rsid w:val="00F83073"/>
    <w:rsid w:val="00F91DB5"/>
    <w:rsid w:val="00FB41E0"/>
    <w:rsid w:val="00FB4835"/>
    <w:rsid w:val="00FB7BDC"/>
    <w:rsid w:val="00FC3989"/>
    <w:rsid w:val="00FD41F2"/>
    <w:rsid w:val="00FE4D28"/>
    <w:rsid w:val="00FE5729"/>
    <w:rsid w:val="00FE5CBD"/>
    <w:rsid w:val="00FE5CED"/>
    <w:rsid w:val="00FF41E5"/>
    <w:rsid w:val="00FF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CD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7B1"/>
    <w:rPr>
      <w:rFonts w:ascii="Times New Roman" w:hAnsi="Times New Roman"/>
      <w:noProof/>
      <w:sz w:val="24"/>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noProof w:val="0"/>
    </w:rPr>
  </w:style>
  <w:style w:type="paragraph" w:styleId="BodyText3">
    <w:name w:val="Body Text 3"/>
    <w:basedOn w:val="Normal"/>
    <w:rsid w:val="00213992"/>
    <w:pPr>
      <w:tabs>
        <w:tab w:val="left" w:pos="0"/>
        <w:tab w:val="left" w:pos="0"/>
      </w:tabs>
      <w:spacing w:line="480" w:lineRule="auto"/>
      <w:ind w:right="-444"/>
    </w:pPr>
    <w:rPr>
      <w:noProof w:val="0"/>
    </w:rPr>
  </w:style>
  <w:style w:type="paragraph" w:styleId="BodyTextIndent2">
    <w:name w:val="Body Text Indent 2"/>
    <w:basedOn w:val="Normal"/>
    <w:rsid w:val="00213992"/>
    <w:pPr>
      <w:tabs>
        <w:tab w:val="left" w:pos="540"/>
      </w:tabs>
      <w:spacing w:line="480" w:lineRule="auto"/>
      <w:ind w:left="540" w:hanging="630"/>
    </w:pPr>
    <w:rPr>
      <w:noProof w:val="0"/>
    </w:rPr>
  </w:style>
  <w:style w:type="paragraph" w:styleId="BodyTextIndent3">
    <w:name w:val="Body Text Indent 3"/>
    <w:basedOn w:val="Normal"/>
    <w:rsid w:val="00213992"/>
    <w:pPr>
      <w:spacing w:line="480" w:lineRule="auto"/>
      <w:ind w:right="-354" w:firstLine="540"/>
    </w:pPr>
    <w:rPr>
      <w:noProof w:val="0"/>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040C64"/>
    <w:rPr>
      <w:rFonts w:ascii="Cambria" w:hAnsi="Cambria"/>
      <w:noProof w:val="0"/>
    </w:rPr>
  </w:style>
  <w:style w:type="character" w:customStyle="1" w:styleId="FootnoteTextChar">
    <w:name w:val="Footnote Text Char"/>
    <w:basedOn w:val="DefaultParagraphFont"/>
    <w:link w:val="FootnoteText"/>
    <w:uiPriority w:val="99"/>
    <w:semiHidden/>
    <w:rsid w:val="00040C64"/>
    <w:rPr>
      <w:rFonts w:ascii="Cambria" w:hAnsi="Cambria"/>
    </w:rPr>
  </w:style>
  <w:style w:type="character" w:styleId="FootnoteReference">
    <w:name w:val="footnote reference"/>
    <w:basedOn w:val="DefaultParagraphFont"/>
    <w:uiPriority w:val="99"/>
    <w:semiHidden/>
    <w:unhideWhenUsed/>
    <w:rsid w:val="00040C64"/>
    <w:rPr>
      <w:rFonts w:cs="Times New Roman"/>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 w:type="table" w:customStyle="1" w:styleId="TableGrid1">
    <w:name w:val="Table Grid1"/>
    <w:basedOn w:val="TableNormal"/>
    <w:next w:val="TableGrid"/>
    <w:uiPriority w:val="59"/>
    <w:rsid w:val="00926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7B1"/>
    <w:rPr>
      <w:rFonts w:ascii="Times New Roman" w:hAnsi="Times New Roman"/>
      <w:noProof/>
      <w:sz w:val="24"/>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noProof w:val="0"/>
    </w:rPr>
  </w:style>
  <w:style w:type="paragraph" w:styleId="BodyText3">
    <w:name w:val="Body Text 3"/>
    <w:basedOn w:val="Normal"/>
    <w:rsid w:val="00213992"/>
    <w:pPr>
      <w:tabs>
        <w:tab w:val="left" w:pos="0"/>
        <w:tab w:val="left" w:pos="0"/>
      </w:tabs>
      <w:spacing w:line="480" w:lineRule="auto"/>
      <w:ind w:right="-444"/>
    </w:pPr>
    <w:rPr>
      <w:noProof w:val="0"/>
    </w:rPr>
  </w:style>
  <w:style w:type="paragraph" w:styleId="BodyTextIndent2">
    <w:name w:val="Body Text Indent 2"/>
    <w:basedOn w:val="Normal"/>
    <w:rsid w:val="00213992"/>
    <w:pPr>
      <w:tabs>
        <w:tab w:val="left" w:pos="540"/>
      </w:tabs>
      <w:spacing w:line="480" w:lineRule="auto"/>
      <w:ind w:left="540" w:hanging="630"/>
    </w:pPr>
    <w:rPr>
      <w:noProof w:val="0"/>
    </w:rPr>
  </w:style>
  <w:style w:type="paragraph" w:styleId="BodyTextIndent3">
    <w:name w:val="Body Text Indent 3"/>
    <w:basedOn w:val="Normal"/>
    <w:rsid w:val="00213992"/>
    <w:pPr>
      <w:spacing w:line="480" w:lineRule="auto"/>
      <w:ind w:right="-354" w:firstLine="540"/>
    </w:pPr>
    <w:rPr>
      <w:noProof w:val="0"/>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040C64"/>
    <w:rPr>
      <w:rFonts w:ascii="Cambria" w:hAnsi="Cambria"/>
      <w:noProof w:val="0"/>
    </w:rPr>
  </w:style>
  <w:style w:type="character" w:customStyle="1" w:styleId="FootnoteTextChar">
    <w:name w:val="Footnote Text Char"/>
    <w:basedOn w:val="DefaultParagraphFont"/>
    <w:link w:val="FootnoteText"/>
    <w:uiPriority w:val="99"/>
    <w:semiHidden/>
    <w:rsid w:val="00040C64"/>
    <w:rPr>
      <w:rFonts w:ascii="Cambria" w:hAnsi="Cambria"/>
    </w:rPr>
  </w:style>
  <w:style w:type="character" w:styleId="FootnoteReference">
    <w:name w:val="footnote reference"/>
    <w:basedOn w:val="DefaultParagraphFont"/>
    <w:uiPriority w:val="99"/>
    <w:semiHidden/>
    <w:unhideWhenUsed/>
    <w:rsid w:val="00040C64"/>
    <w:rPr>
      <w:rFonts w:cs="Times New Roman"/>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 w:type="table" w:customStyle="1" w:styleId="TableGrid1">
    <w:name w:val="Table Grid1"/>
    <w:basedOn w:val="TableNormal"/>
    <w:next w:val="TableGrid"/>
    <w:uiPriority w:val="59"/>
    <w:rsid w:val="00926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440883532">
      <w:bodyDiv w:val="1"/>
      <w:marLeft w:val="0"/>
      <w:marRight w:val="0"/>
      <w:marTop w:val="0"/>
      <w:marBottom w:val="0"/>
      <w:divBdr>
        <w:top w:val="none" w:sz="0" w:space="0" w:color="auto"/>
        <w:left w:val="none" w:sz="0" w:space="0" w:color="auto"/>
        <w:bottom w:val="none" w:sz="0" w:space="0" w:color="auto"/>
        <w:right w:val="none" w:sz="0" w:space="0" w:color="auto"/>
      </w:divBdr>
    </w:div>
    <w:div w:id="596331438">
      <w:bodyDiv w:val="1"/>
      <w:marLeft w:val="0"/>
      <w:marRight w:val="0"/>
      <w:marTop w:val="0"/>
      <w:marBottom w:val="0"/>
      <w:divBdr>
        <w:top w:val="none" w:sz="0" w:space="0" w:color="auto"/>
        <w:left w:val="none" w:sz="0" w:space="0" w:color="auto"/>
        <w:bottom w:val="none" w:sz="0" w:space="0" w:color="auto"/>
        <w:right w:val="none" w:sz="0" w:space="0" w:color="auto"/>
      </w:divBdr>
    </w:div>
    <w:div w:id="644631064">
      <w:bodyDiv w:val="1"/>
      <w:marLeft w:val="0"/>
      <w:marRight w:val="0"/>
      <w:marTop w:val="0"/>
      <w:marBottom w:val="0"/>
      <w:divBdr>
        <w:top w:val="none" w:sz="0" w:space="0" w:color="auto"/>
        <w:left w:val="none" w:sz="0" w:space="0" w:color="auto"/>
        <w:bottom w:val="none" w:sz="0" w:space="0" w:color="auto"/>
        <w:right w:val="none" w:sz="0" w:space="0" w:color="auto"/>
      </w:divBdr>
    </w:div>
    <w:div w:id="721371872">
      <w:bodyDiv w:val="1"/>
      <w:marLeft w:val="0"/>
      <w:marRight w:val="0"/>
      <w:marTop w:val="0"/>
      <w:marBottom w:val="0"/>
      <w:divBdr>
        <w:top w:val="none" w:sz="0" w:space="0" w:color="auto"/>
        <w:left w:val="none" w:sz="0" w:space="0" w:color="auto"/>
        <w:bottom w:val="none" w:sz="0" w:space="0" w:color="auto"/>
        <w:right w:val="none" w:sz="0" w:space="0" w:color="auto"/>
      </w:divBdr>
    </w:div>
    <w:div w:id="812479788">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 w:id="1180118014">
      <w:bodyDiv w:val="1"/>
      <w:marLeft w:val="0"/>
      <w:marRight w:val="0"/>
      <w:marTop w:val="0"/>
      <w:marBottom w:val="0"/>
      <w:divBdr>
        <w:top w:val="none" w:sz="0" w:space="0" w:color="auto"/>
        <w:left w:val="none" w:sz="0" w:space="0" w:color="auto"/>
        <w:bottom w:val="none" w:sz="0" w:space="0" w:color="auto"/>
        <w:right w:val="none" w:sz="0" w:space="0" w:color="auto"/>
      </w:divBdr>
    </w:div>
    <w:div w:id="1552116172">
      <w:bodyDiv w:val="1"/>
      <w:marLeft w:val="0"/>
      <w:marRight w:val="0"/>
      <w:marTop w:val="0"/>
      <w:marBottom w:val="0"/>
      <w:divBdr>
        <w:top w:val="none" w:sz="0" w:space="0" w:color="auto"/>
        <w:left w:val="none" w:sz="0" w:space="0" w:color="auto"/>
        <w:bottom w:val="none" w:sz="0" w:space="0" w:color="auto"/>
        <w:right w:val="none" w:sz="0" w:space="0" w:color="auto"/>
      </w:divBdr>
    </w:div>
    <w:div w:id="1959221399">
      <w:bodyDiv w:val="1"/>
      <w:marLeft w:val="0"/>
      <w:marRight w:val="0"/>
      <w:marTop w:val="0"/>
      <w:marBottom w:val="0"/>
      <w:divBdr>
        <w:top w:val="none" w:sz="0" w:space="0" w:color="auto"/>
        <w:left w:val="none" w:sz="0" w:space="0" w:color="auto"/>
        <w:bottom w:val="none" w:sz="0" w:space="0" w:color="auto"/>
        <w:right w:val="none" w:sz="0" w:space="0" w:color="auto"/>
      </w:divBdr>
    </w:div>
    <w:div w:id="211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B224D-6472-4300-96F4-B55DE5F8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SYSTEM</cp:lastModifiedBy>
  <cp:revision>2</cp:revision>
  <cp:lastPrinted>2016-06-22T12:45:00Z</cp:lastPrinted>
  <dcterms:created xsi:type="dcterms:W3CDTF">2019-03-25T15:02:00Z</dcterms:created>
  <dcterms:modified xsi:type="dcterms:W3CDTF">2019-03-25T15:02:00Z</dcterms:modified>
</cp:coreProperties>
</file>