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74A2A" w14:textId="101B904B" w:rsidR="00D26834" w:rsidRPr="00D26834" w:rsidRDefault="006030ED" w:rsidP="006030ED">
      <w:pPr>
        <w:tabs>
          <w:tab w:val="left" w:pos="720"/>
          <w:tab w:val="left" w:pos="1440"/>
          <w:tab w:val="left" w:pos="2160"/>
          <w:tab w:val="left" w:pos="2880"/>
          <w:tab w:val="left" w:pos="3600"/>
          <w:tab w:val="left" w:pos="4320"/>
          <w:tab w:val="left" w:pos="5040"/>
          <w:tab w:val="left" w:pos="5760"/>
          <w:tab w:val="left" w:pos="6480"/>
          <w:tab w:val="left" w:pos="6975"/>
        </w:tabs>
        <w:rPr>
          <w:b/>
          <w:bCs/>
        </w:rPr>
      </w:pPr>
      <w:bookmarkStart w:id="0" w:name="_GoBack"/>
      <w:bookmarkEnd w:id="0"/>
      <w:r>
        <w:rPr>
          <w:b/>
          <w:bCs/>
        </w:rPr>
        <w:t>B.</w:t>
      </w:r>
      <w:r>
        <w:rPr>
          <w:b/>
          <w:bCs/>
        </w:rPr>
        <w:tab/>
        <w:t>Collection of Information Employing Statistical Methods</w:t>
      </w:r>
      <w:r>
        <w:rPr>
          <w:b/>
          <w:bCs/>
        </w:rPr>
        <w:tab/>
      </w:r>
    </w:p>
    <w:p w14:paraId="12450CF2" w14:textId="77777777" w:rsidR="00D26834" w:rsidRDefault="00D26834" w:rsidP="00D26834"/>
    <w:p w14:paraId="7E0E51AA" w14:textId="77777777" w:rsidR="00D26834" w:rsidRPr="00113E3D" w:rsidRDefault="00D26834" w:rsidP="00D26834">
      <w:bookmarkStart w:id="1" w:name="_Hlk531072673"/>
      <w:r>
        <w:t xml:space="preserve">1. </w:t>
      </w:r>
      <w:r>
        <w:tab/>
      </w:r>
      <w:r>
        <w:rPr>
          <w:u w:val="single"/>
        </w:rPr>
        <w:t>Correctional Facility Universe and Respondent Selection</w:t>
      </w:r>
      <w:r w:rsidRPr="00113E3D">
        <w:t xml:space="preserve"> </w:t>
      </w:r>
    </w:p>
    <w:p w14:paraId="065FD7FA" w14:textId="77777777" w:rsidR="00D26834" w:rsidRDefault="00D26834" w:rsidP="00D26834"/>
    <w:p w14:paraId="25ED56FB" w14:textId="561EF6B0" w:rsidR="00D26834" w:rsidRDefault="00D26834" w:rsidP="00D26834">
      <w:r>
        <w:t>The Census of State and Federal Adult Correctional Facilities (</w:t>
      </w:r>
      <w:r w:rsidR="00417902">
        <w:t xml:space="preserve">CSFACF, hereafter referred to as the </w:t>
      </w:r>
      <w:r>
        <w:t>CCF) data collection is a complete enumeration of adult correctional facilities operated</w:t>
      </w:r>
      <w:r w:rsidRPr="006B55B5">
        <w:t xml:space="preserve"> by state</w:t>
      </w:r>
      <w:r>
        <w:t xml:space="preserve"> governments</w:t>
      </w:r>
      <w:r w:rsidRPr="006B55B5">
        <w:t xml:space="preserve"> or </w:t>
      </w:r>
      <w:r>
        <w:t xml:space="preserve">the </w:t>
      </w:r>
      <w:r w:rsidRPr="006B55B5">
        <w:t xml:space="preserve">federal </w:t>
      </w:r>
      <w:r>
        <w:t>Bureau of Prisons (BOP). Facilities operated under contract for state and BOP authorities are included</w:t>
      </w:r>
      <w:bookmarkEnd w:id="1"/>
      <w:r>
        <w:t>. Military and territorial prisons are excluded.</w:t>
      </w:r>
    </w:p>
    <w:p w14:paraId="1D2EA7C3" w14:textId="77777777" w:rsidR="00D26834" w:rsidRDefault="00D26834" w:rsidP="00D26834"/>
    <w:p w14:paraId="21E6AFBF" w14:textId="77777777" w:rsidR="000A70AA" w:rsidRDefault="00D26834" w:rsidP="000A70AA">
      <w:pPr>
        <w:pStyle w:val="FootnoteText"/>
        <w:rPr>
          <w:sz w:val="24"/>
          <w:szCs w:val="24"/>
        </w:rPr>
      </w:pPr>
      <w:r w:rsidRPr="00B128B7">
        <w:rPr>
          <w:sz w:val="24"/>
          <w:szCs w:val="24"/>
        </w:rPr>
        <w:t xml:space="preserve">The 2019 CCF frame </w:t>
      </w:r>
      <w:r w:rsidR="00E24DF4">
        <w:rPr>
          <w:sz w:val="24"/>
          <w:szCs w:val="24"/>
        </w:rPr>
        <w:t>was</w:t>
      </w:r>
      <w:r w:rsidRPr="00B128B7">
        <w:rPr>
          <w:sz w:val="24"/>
          <w:szCs w:val="24"/>
        </w:rPr>
        <w:t xml:space="preserve"> developed from outreach to the 50 state Department</w:t>
      </w:r>
      <w:r w:rsidR="00134E03" w:rsidRPr="00B128B7">
        <w:rPr>
          <w:sz w:val="24"/>
          <w:szCs w:val="24"/>
        </w:rPr>
        <w:t>s</w:t>
      </w:r>
      <w:r w:rsidRPr="00B128B7">
        <w:rPr>
          <w:sz w:val="24"/>
          <w:szCs w:val="24"/>
        </w:rPr>
        <w:t xml:space="preserve"> of Corrections (DOCs) and </w:t>
      </w:r>
      <w:r w:rsidR="008564A0" w:rsidRPr="00B128B7">
        <w:rPr>
          <w:sz w:val="24"/>
          <w:szCs w:val="24"/>
        </w:rPr>
        <w:t xml:space="preserve">the </w:t>
      </w:r>
      <w:r w:rsidRPr="00B128B7">
        <w:rPr>
          <w:sz w:val="24"/>
          <w:szCs w:val="24"/>
        </w:rPr>
        <w:t xml:space="preserve">BOP. Prior to this outreach, BJS compiled a roster of facilities likely to be in scope for </w:t>
      </w:r>
      <w:r w:rsidR="00EC6F0C" w:rsidRPr="00B128B7">
        <w:rPr>
          <w:sz w:val="24"/>
          <w:szCs w:val="24"/>
        </w:rPr>
        <w:t xml:space="preserve">the </w:t>
      </w:r>
      <w:r w:rsidRPr="00B128B7">
        <w:rPr>
          <w:sz w:val="24"/>
          <w:szCs w:val="24"/>
        </w:rPr>
        <w:t>CCF. This was done by examining rosters of adult confinement and community-based correctional facilities</w:t>
      </w:r>
      <w:r w:rsidR="00282490">
        <w:rPr>
          <w:sz w:val="24"/>
          <w:szCs w:val="24"/>
        </w:rPr>
        <w:t xml:space="preserve"> (CBCF)</w:t>
      </w:r>
      <w:r w:rsidRPr="00B128B7">
        <w:rPr>
          <w:sz w:val="24"/>
          <w:szCs w:val="24"/>
        </w:rPr>
        <w:t xml:space="preserve"> used for BJS’s </w:t>
      </w:r>
      <w:r w:rsidR="00E24DF4">
        <w:rPr>
          <w:sz w:val="24"/>
          <w:szCs w:val="24"/>
        </w:rPr>
        <w:t xml:space="preserve">2016 </w:t>
      </w:r>
      <w:r w:rsidRPr="00B128B7">
        <w:rPr>
          <w:sz w:val="24"/>
          <w:szCs w:val="24"/>
        </w:rPr>
        <w:t xml:space="preserve">Survey of Prison Inmates (SPI; OMB No. 1121- 0152) and </w:t>
      </w:r>
      <w:r w:rsidR="00E24DF4">
        <w:rPr>
          <w:sz w:val="24"/>
          <w:szCs w:val="24"/>
        </w:rPr>
        <w:t xml:space="preserve">2011-12 </w:t>
      </w:r>
      <w:r w:rsidRPr="00B128B7">
        <w:rPr>
          <w:sz w:val="24"/>
          <w:szCs w:val="24"/>
        </w:rPr>
        <w:t xml:space="preserve">National Inmate Survey (NIS; OMB No. 1121-0311) collections, as well as searches of DOC websites. Additional preparatory work was completed by reviewing websites of the </w:t>
      </w:r>
      <w:r w:rsidR="00AB36D4" w:rsidRPr="00B128B7">
        <w:rPr>
          <w:sz w:val="24"/>
          <w:szCs w:val="24"/>
        </w:rPr>
        <w:t xml:space="preserve">largest operators of private correctional facilities </w:t>
      </w:r>
      <w:r w:rsidRPr="00B128B7">
        <w:rPr>
          <w:sz w:val="24"/>
          <w:szCs w:val="24"/>
        </w:rPr>
        <w:t>to identify any gaps in coverage</w:t>
      </w:r>
      <w:r w:rsidR="00AB36D4" w:rsidRPr="00B128B7">
        <w:rPr>
          <w:sz w:val="24"/>
          <w:szCs w:val="24"/>
        </w:rPr>
        <w:t xml:space="preserve"> from the DOC-reported information</w:t>
      </w:r>
      <w:r w:rsidRPr="00B128B7">
        <w:rPr>
          <w:sz w:val="24"/>
          <w:szCs w:val="24"/>
        </w:rPr>
        <w:t xml:space="preserve">. </w:t>
      </w:r>
    </w:p>
    <w:p w14:paraId="29F0E5F0" w14:textId="77777777" w:rsidR="000A70AA" w:rsidRDefault="000A70AA" w:rsidP="000A70AA">
      <w:pPr>
        <w:pStyle w:val="FootnoteText"/>
        <w:rPr>
          <w:sz w:val="24"/>
          <w:szCs w:val="24"/>
        </w:rPr>
      </w:pPr>
    </w:p>
    <w:p w14:paraId="19B200D5" w14:textId="7FBE2AD1" w:rsidR="00D26834" w:rsidRPr="000A70AA" w:rsidRDefault="00C66ECE" w:rsidP="000A70AA">
      <w:pPr>
        <w:pStyle w:val="FootnoteText"/>
        <w:rPr>
          <w:sz w:val="24"/>
          <w:szCs w:val="24"/>
        </w:rPr>
      </w:pPr>
      <w:r w:rsidRPr="00E53CC7">
        <w:rPr>
          <w:sz w:val="24"/>
          <w:szCs w:val="24"/>
        </w:rPr>
        <w:t>Using the compiled state-specific rosters, two lists were made – one for CBCFs and one for confinement facilities.</w:t>
      </w:r>
      <w:r>
        <w:rPr>
          <w:sz w:val="24"/>
          <w:szCs w:val="24"/>
        </w:rPr>
        <w:t xml:space="preserve"> </w:t>
      </w:r>
      <w:r w:rsidR="00282490">
        <w:rPr>
          <w:sz w:val="24"/>
          <w:szCs w:val="24"/>
        </w:rPr>
        <w:t xml:space="preserve">At the same time roster development work was taking place for the CCF, the NIS was set to begin verification of a roster of confinement facilities that would be used as the universe for drawing a sample of </w:t>
      </w:r>
      <w:r w:rsidR="00E24DF4">
        <w:rPr>
          <w:sz w:val="24"/>
          <w:szCs w:val="24"/>
        </w:rPr>
        <w:t xml:space="preserve">facilities </w:t>
      </w:r>
      <w:r w:rsidR="00282490">
        <w:rPr>
          <w:sz w:val="24"/>
          <w:szCs w:val="24"/>
        </w:rPr>
        <w:t xml:space="preserve">for </w:t>
      </w:r>
      <w:r w:rsidR="00282490" w:rsidRPr="005260C5">
        <w:rPr>
          <w:sz w:val="24"/>
          <w:szCs w:val="24"/>
        </w:rPr>
        <w:t xml:space="preserve">the </w:t>
      </w:r>
      <w:r w:rsidR="00E24DF4" w:rsidRPr="005260C5">
        <w:rPr>
          <w:sz w:val="24"/>
          <w:szCs w:val="24"/>
        </w:rPr>
        <w:t>20</w:t>
      </w:r>
      <w:r w:rsidR="005260C5" w:rsidRPr="005260C5">
        <w:rPr>
          <w:sz w:val="24"/>
          <w:szCs w:val="24"/>
        </w:rPr>
        <w:t>19/2020</w:t>
      </w:r>
      <w:r w:rsidR="00E24DF4">
        <w:rPr>
          <w:sz w:val="24"/>
          <w:szCs w:val="24"/>
        </w:rPr>
        <w:t xml:space="preserve"> </w:t>
      </w:r>
      <w:r w:rsidR="00282490">
        <w:rPr>
          <w:sz w:val="24"/>
          <w:szCs w:val="24"/>
        </w:rPr>
        <w:t xml:space="preserve">collection cycle. In an effort to minimize burden on respondents, the two efforts ran simultaneously, with the CCF focusing on the community-based correctional facilities and the NIS on confinement facilities. </w:t>
      </w:r>
      <w:r w:rsidR="00E24DF4">
        <w:rPr>
          <w:sz w:val="24"/>
          <w:szCs w:val="24"/>
        </w:rPr>
        <w:t xml:space="preserve">Because NIS does not sample community-based correctional facilities, it would have been inappropriate for </w:t>
      </w:r>
      <w:r w:rsidR="00690389">
        <w:rPr>
          <w:sz w:val="24"/>
          <w:szCs w:val="24"/>
        </w:rPr>
        <w:t>BJS</w:t>
      </w:r>
      <w:r w:rsidR="00E24DF4">
        <w:rPr>
          <w:sz w:val="24"/>
          <w:szCs w:val="24"/>
        </w:rPr>
        <w:t xml:space="preserve"> to do outreach confirming these facilities in that outreach effort. </w:t>
      </w:r>
      <w:r w:rsidR="00D26834" w:rsidRPr="00B128B7">
        <w:rPr>
          <w:sz w:val="24"/>
          <w:szCs w:val="24"/>
        </w:rPr>
        <w:t xml:space="preserve">For each state DOC, the two </w:t>
      </w:r>
      <w:r w:rsidR="00E24DF4">
        <w:rPr>
          <w:sz w:val="24"/>
          <w:szCs w:val="24"/>
        </w:rPr>
        <w:t xml:space="preserve">prepopulated </w:t>
      </w:r>
      <w:r w:rsidR="00D26834" w:rsidRPr="00B128B7">
        <w:rPr>
          <w:sz w:val="24"/>
          <w:szCs w:val="24"/>
        </w:rPr>
        <w:t xml:space="preserve">lists of known facilities were sent separately. </w:t>
      </w:r>
      <w:r w:rsidR="000A70AA" w:rsidRPr="00B128B7">
        <w:rPr>
          <w:sz w:val="24"/>
          <w:szCs w:val="24"/>
        </w:rPr>
        <w:t xml:space="preserve">BOP </w:t>
      </w:r>
      <w:r w:rsidR="00C2638B">
        <w:rPr>
          <w:sz w:val="24"/>
          <w:szCs w:val="24"/>
        </w:rPr>
        <w:t>was</w:t>
      </w:r>
      <w:r w:rsidR="000A70AA" w:rsidRPr="00B128B7">
        <w:rPr>
          <w:sz w:val="24"/>
          <w:szCs w:val="24"/>
        </w:rPr>
        <w:t xml:space="preserve"> contacted through the NIS project and asked to confirm or update its list of confinement facilities.</w:t>
      </w:r>
      <w:r w:rsidR="000A70AA">
        <w:rPr>
          <w:sz w:val="24"/>
          <w:szCs w:val="24"/>
        </w:rPr>
        <w:t xml:space="preserve"> </w:t>
      </w:r>
      <w:r w:rsidR="000A70AA" w:rsidRPr="000A70AA">
        <w:rPr>
          <w:sz w:val="24"/>
          <w:szCs w:val="24"/>
        </w:rPr>
        <w:t>Work for both projects was conducted under an OMB generic clearance No. 1121-0339.</w:t>
      </w:r>
      <w:r w:rsidR="000A70AA">
        <w:rPr>
          <w:sz w:val="24"/>
          <w:szCs w:val="24"/>
        </w:rPr>
        <w:t xml:space="preserve"> </w:t>
      </w:r>
      <w:r w:rsidR="00D26834" w:rsidRPr="000A70AA">
        <w:rPr>
          <w:sz w:val="24"/>
          <w:szCs w:val="24"/>
        </w:rPr>
        <w:t>Respondents were asked to confirm and edit, as needed, facility-specific information for their facilities. They were also asked to add any in-scope facility which did not appear on the prepopulated lists</w:t>
      </w:r>
      <w:r w:rsidR="00AB36D4" w:rsidRPr="000A70AA">
        <w:rPr>
          <w:sz w:val="24"/>
          <w:szCs w:val="24"/>
        </w:rPr>
        <w:t xml:space="preserve"> and</w:t>
      </w:r>
      <w:r w:rsidR="00D26834" w:rsidRPr="000A70AA">
        <w:rPr>
          <w:sz w:val="24"/>
          <w:szCs w:val="24"/>
        </w:rPr>
        <w:t xml:space="preserve"> respond to a subset of questions posed for the listed facilities. Requesting and including these </w:t>
      </w:r>
      <w:r w:rsidR="00BD77B1" w:rsidRPr="000A70AA">
        <w:rPr>
          <w:sz w:val="24"/>
          <w:szCs w:val="24"/>
        </w:rPr>
        <w:t xml:space="preserve">facilities added by the </w:t>
      </w:r>
      <w:r w:rsidR="00D26834" w:rsidRPr="000A70AA">
        <w:rPr>
          <w:sz w:val="24"/>
          <w:szCs w:val="24"/>
        </w:rPr>
        <w:t>DOC</w:t>
      </w:r>
      <w:r w:rsidR="00BD77B1" w:rsidRPr="000A70AA">
        <w:rPr>
          <w:sz w:val="24"/>
          <w:szCs w:val="24"/>
        </w:rPr>
        <w:t>s</w:t>
      </w:r>
      <w:r w:rsidR="00D26834" w:rsidRPr="000A70AA">
        <w:rPr>
          <w:sz w:val="24"/>
          <w:szCs w:val="24"/>
        </w:rPr>
        <w:t xml:space="preserve"> is of particular </w:t>
      </w:r>
      <w:r w:rsidR="00AB36D4" w:rsidRPr="000A70AA">
        <w:rPr>
          <w:sz w:val="24"/>
          <w:szCs w:val="24"/>
        </w:rPr>
        <w:t>importance</w:t>
      </w:r>
      <w:r w:rsidR="00C2638B">
        <w:rPr>
          <w:sz w:val="24"/>
          <w:szCs w:val="24"/>
        </w:rPr>
        <w:t xml:space="preserve"> to ensure complete coverage</w:t>
      </w:r>
      <w:r w:rsidR="00D26834" w:rsidRPr="000A70AA">
        <w:rPr>
          <w:sz w:val="24"/>
          <w:szCs w:val="24"/>
        </w:rPr>
        <w:t xml:space="preserve">. </w:t>
      </w:r>
    </w:p>
    <w:p w14:paraId="5CD69A48" w14:textId="77777777" w:rsidR="00D26834" w:rsidRPr="000A70AA" w:rsidRDefault="00D26834" w:rsidP="00D26834">
      <w:pPr>
        <w:ind w:left="1440"/>
      </w:pPr>
    </w:p>
    <w:p w14:paraId="2FE9B11F" w14:textId="77777777" w:rsidR="00D26834" w:rsidRDefault="00D26834" w:rsidP="00D26834">
      <w:r w:rsidRPr="00C06188">
        <w:t>The result</w:t>
      </w:r>
      <w:r w:rsidR="000A70AA">
        <w:t>ing</w:t>
      </w:r>
      <w:r w:rsidRPr="00C06188">
        <w:t xml:space="preserve"> 201</w:t>
      </w:r>
      <w:r>
        <w:t>9</w:t>
      </w:r>
      <w:r w:rsidRPr="00C06188">
        <w:t xml:space="preserve"> </w:t>
      </w:r>
      <w:r>
        <w:t>CCF</w:t>
      </w:r>
      <w:r w:rsidRPr="00C06188">
        <w:t xml:space="preserve"> frame file will be a current and complete universe list of </w:t>
      </w:r>
      <w:r>
        <w:t xml:space="preserve">confinement and community-based adult correctional facilities whose primary use is to house </w:t>
      </w:r>
      <w:r w:rsidR="00BD77B1">
        <w:t>prisoners</w:t>
      </w:r>
      <w:r>
        <w:t xml:space="preserve"> for </w:t>
      </w:r>
      <w:r w:rsidRPr="005260C5">
        <w:t xml:space="preserve">state </w:t>
      </w:r>
      <w:r w:rsidR="00E24DF4" w:rsidRPr="005260C5">
        <w:t>or federal correctional</w:t>
      </w:r>
      <w:r w:rsidRPr="005260C5">
        <w:t xml:space="preserve"> authorities</w:t>
      </w:r>
      <w:r w:rsidRPr="00C06188">
        <w:t xml:space="preserve">. Any duplicates will be identified and removed by examining the file for identical or nearly identical addresses, phone numbers, or names of </w:t>
      </w:r>
      <w:r>
        <w:t>facilities</w:t>
      </w:r>
      <w:r w:rsidRPr="00C06188">
        <w:t>.</w:t>
      </w:r>
    </w:p>
    <w:p w14:paraId="333CBA7E" w14:textId="77777777" w:rsidR="00D26834" w:rsidRDefault="00D26834" w:rsidP="00D26834">
      <w:pPr>
        <w:ind w:left="1440"/>
      </w:pPr>
    </w:p>
    <w:p w14:paraId="3BCB5182" w14:textId="486C8FDA" w:rsidR="00D26834" w:rsidRDefault="00D26834" w:rsidP="00D26834">
      <w:r w:rsidRPr="000D33E1">
        <w:t xml:space="preserve">While the </w:t>
      </w:r>
      <w:r>
        <w:t>CCF</w:t>
      </w:r>
      <w:r w:rsidRPr="000D33E1">
        <w:t xml:space="preserve"> is a facility-based </w:t>
      </w:r>
      <w:r w:rsidR="008207B9">
        <w:t>data collection</w:t>
      </w:r>
      <w:r w:rsidRPr="000D33E1">
        <w:t xml:space="preserve">, </w:t>
      </w:r>
      <w:r w:rsidR="000A70AA">
        <w:t xml:space="preserve">based on prior experience fielding this census, </w:t>
      </w:r>
      <w:r w:rsidRPr="000D33E1">
        <w:t xml:space="preserve">BJS anticipates that most state DOCs and the BOP will designate a </w:t>
      </w:r>
      <w:r w:rsidR="008564A0">
        <w:t xml:space="preserve">single </w:t>
      </w:r>
      <w:r w:rsidRPr="000D33E1">
        <w:t>person as a respondent responsible for providing the data for all state</w:t>
      </w:r>
      <w:r w:rsidR="00690389">
        <w:t xml:space="preserve"> DOC</w:t>
      </w:r>
      <w:r w:rsidR="005F6F0A">
        <w:t>-</w:t>
      </w:r>
      <w:r w:rsidR="000C2C08">
        <w:t xml:space="preserve"> </w:t>
      </w:r>
      <w:r w:rsidR="005F6F0A">
        <w:t>or BOP</w:t>
      </w:r>
      <w:r w:rsidRPr="000D33E1">
        <w:t>-</w:t>
      </w:r>
      <w:r>
        <w:t>operated</w:t>
      </w:r>
      <w:r w:rsidRPr="000D33E1">
        <w:t xml:space="preserve"> facilities holding </w:t>
      </w:r>
      <w:r w:rsidR="008564A0">
        <w:t>prisoners</w:t>
      </w:r>
      <w:r w:rsidRPr="000D33E1">
        <w:t xml:space="preserve"> under their </w:t>
      </w:r>
      <w:r w:rsidR="005F6F0A">
        <w:t>authority</w:t>
      </w:r>
      <w:r w:rsidRPr="000D33E1">
        <w:t>. However</w:t>
      </w:r>
      <w:r w:rsidR="008564A0">
        <w:t>,</w:t>
      </w:r>
      <w:r w:rsidRPr="000D33E1">
        <w:t xml:space="preserve"> state respondent</w:t>
      </w:r>
      <w:r w:rsidR="00EE65B1">
        <w:t>s may</w:t>
      </w:r>
      <w:r w:rsidRPr="000D33E1">
        <w:t xml:space="preserve"> not be able to provide data on facilities </w:t>
      </w:r>
      <w:r>
        <w:t xml:space="preserve">operated </w:t>
      </w:r>
      <w:r w:rsidR="008564A0">
        <w:t>under contract</w:t>
      </w:r>
      <w:r w:rsidR="00AF2461">
        <w:t>.</w:t>
      </w:r>
      <w:r w:rsidRPr="000D33E1">
        <w:t xml:space="preserve"> For private</w:t>
      </w:r>
      <w:r w:rsidR="00AF2461">
        <w:t>ly-contracted</w:t>
      </w:r>
      <w:r w:rsidRPr="000D33E1">
        <w:t xml:space="preserve"> facilities</w:t>
      </w:r>
      <w:r w:rsidR="000A70AA">
        <w:t>,</w:t>
      </w:r>
      <w:r w:rsidRPr="000D33E1">
        <w:t xml:space="preserve"> there may be a single respondent at the corporate level (e.g., CoreCivic</w:t>
      </w:r>
      <w:r w:rsidR="00C2638B">
        <w:t>, Geo Group, Management and Training Corporation,</w:t>
      </w:r>
      <w:r w:rsidRPr="000D33E1">
        <w:t xml:space="preserve"> or </w:t>
      </w:r>
      <w:r w:rsidRPr="000D33E1">
        <w:lastRenderedPageBreak/>
        <w:t xml:space="preserve">Dismas Charities) </w:t>
      </w:r>
      <w:r w:rsidR="00E24DF4">
        <w:t>who</w:t>
      </w:r>
      <w:r w:rsidR="00E24DF4" w:rsidRPr="000D33E1">
        <w:t xml:space="preserve"> </w:t>
      </w:r>
      <w:r w:rsidRPr="000D33E1">
        <w:t xml:space="preserve">can provide data for multiple facilities. In other cases, the </w:t>
      </w:r>
      <w:r w:rsidR="00E24DF4">
        <w:t xml:space="preserve">BJS </w:t>
      </w:r>
      <w:r>
        <w:t>CCF</w:t>
      </w:r>
      <w:r w:rsidRPr="000D33E1">
        <w:t xml:space="preserve"> </w:t>
      </w:r>
      <w:r w:rsidR="000A70AA">
        <w:t xml:space="preserve">data collection </w:t>
      </w:r>
      <w:r w:rsidR="009B62EF">
        <w:t xml:space="preserve">agent </w:t>
      </w:r>
      <w:r w:rsidRPr="000D33E1">
        <w:t xml:space="preserve">will need to </w:t>
      </w:r>
      <w:r w:rsidR="00C2638B">
        <w:t>contact</w:t>
      </w:r>
      <w:r w:rsidRPr="000D33E1">
        <w:t xml:space="preserve"> the individual </w:t>
      </w:r>
      <w:r w:rsidR="00EE65B1">
        <w:t>contracted</w:t>
      </w:r>
      <w:r w:rsidRPr="000D33E1">
        <w:t xml:space="preserve"> facilities to obtain data.</w:t>
      </w:r>
      <w:r w:rsidR="008564A0">
        <w:t xml:space="preserve"> </w:t>
      </w:r>
      <w:r w:rsidRPr="000D33E1">
        <w:t xml:space="preserve">BJS estimates that there will be approximately 50 state DOC respondents, one BOP respondent, and an additional 400 respondents for </w:t>
      </w:r>
      <w:r>
        <w:t xml:space="preserve">contracted facilities (e.g., </w:t>
      </w:r>
      <w:r w:rsidR="005F6F0A">
        <w:t>re</w:t>
      </w:r>
      <w:r w:rsidR="00372773">
        <w:t>s</w:t>
      </w:r>
      <w:r w:rsidR="005F6F0A">
        <w:t xml:space="preserve">pondents </w:t>
      </w:r>
      <w:r w:rsidRPr="000D33E1">
        <w:t>at the corporation or facility level</w:t>
      </w:r>
      <w:r>
        <w:t>)</w:t>
      </w:r>
      <w:r w:rsidRPr="000D33E1">
        <w:t>.</w:t>
      </w:r>
      <w:r w:rsidR="00E24DF4">
        <w:t xml:space="preserve"> Respondents will be asked to provide </w:t>
      </w:r>
      <w:r w:rsidR="00E24DF4" w:rsidRPr="00D42883">
        <w:t>3</w:t>
      </w:r>
      <w:r w:rsidR="00E24DF4">
        <w:t>4 data elements for each confinement facility and 13 data elements for each community-based correctional facility for which they are reporting.</w:t>
      </w:r>
    </w:p>
    <w:p w14:paraId="0202CAFC" w14:textId="77777777" w:rsidR="00D26834" w:rsidRDefault="00D26834" w:rsidP="00D26834">
      <w:pPr>
        <w:ind w:left="1440"/>
      </w:pPr>
    </w:p>
    <w:p w14:paraId="4031E875" w14:textId="77777777" w:rsidR="00D26834" w:rsidRDefault="00D26834" w:rsidP="00D26834">
      <w:r>
        <w:t>BJS anticipates three possible response models</w:t>
      </w:r>
      <w:r w:rsidR="00DF3342">
        <w:t xml:space="preserve"> for the 2019 CCF</w:t>
      </w:r>
      <w:r>
        <w:t xml:space="preserve">: (1) a single respondent is identified </w:t>
      </w:r>
      <w:r w:rsidR="00DF3342">
        <w:t xml:space="preserve">at the DOC, BOP, or private organization </w:t>
      </w:r>
      <w:r>
        <w:t>and that person provides data for each of the facility forms; (2) a point of contact</w:t>
      </w:r>
      <w:r w:rsidR="00DF3342">
        <w:t xml:space="preserve"> (POC) </w:t>
      </w:r>
      <w:r>
        <w:t>is identified</w:t>
      </w:r>
      <w:r w:rsidR="00DF3342">
        <w:t xml:space="preserve"> at the DOC, BOP, or private organization</w:t>
      </w:r>
      <w:r>
        <w:t xml:space="preserve"> and that person sends out the forms to individuals at </w:t>
      </w:r>
      <w:r w:rsidR="00DF3342">
        <w:t xml:space="preserve">each </w:t>
      </w:r>
      <w:r>
        <w:t>facilit</w:t>
      </w:r>
      <w:r w:rsidR="00DF3342">
        <w:t>y</w:t>
      </w:r>
      <w:r>
        <w:t xml:space="preserve"> to fill out, but </w:t>
      </w:r>
      <w:r w:rsidR="00DF3342">
        <w:t xml:space="preserve">the DOC, BOP, or private organization POC </w:t>
      </w:r>
      <w:r>
        <w:t>is ultimately responsible for submitting</w:t>
      </w:r>
      <w:r w:rsidR="00DF3342">
        <w:t xml:space="preserve"> all of</w:t>
      </w:r>
      <w:r>
        <w:t xml:space="preserve"> the data; </w:t>
      </w:r>
      <w:r w:rsidR="00E24DF4">
        <w:t xml:space="preserve">and </w:t>
      </w:r>
      <w:r>
        <w:t xml:space="preserve">(3) respondents are identified </w:t>
      </w:r>
      <w:r w:rsidR="00DF3342">
        <w:t xml:space="preserve">by the DOC, BOP, or private organization </w:t>
      </w:r>
      <w:r w:rsidR="00264A4A">
        <w:t>for</w:t>
      </w:r>
      <w:r>
        <w:t xml:space="preserve"> each facility</w:t>
      </w:r>
      <w:r w:rsidR="00DF3342">
        <w:t>,</w:t>
      </w:r>
      <w:r>
        <w:t xml:space="preserve"> and the data collection agent must contact and obtain data from each individual. In response models (1) and (2), the respondents are known as central reporters. </w:t>
      </w:r>
    </w:p>
    <w:p w14:paraId="55AFB236" w14:textId="77777777" w:rsidR="000A70AA" w:rsidRDefault="000A70AA" w:rsidP="00D26834"/>
    <w:p w14:paraId="5054AD10" w14:textId="77777777" w:rsidR="00D26834" w:rsidRPr="00C06188" w:rsidRDefault="00D26834" w:rsidP="00D26834">
      <w:r w:rsidRPr="00C06188">
        <w:t>As in previous administrations, the 201</w:t>
      </w:r>
      <w:r>
        <w:t>9</w:t>
      </w:r>
      <w:r w:rsidRPr="00C06188">
        <w:t xml:space="preserve"> </w:t>
      </w:r>
      <w:r>
        <w:t>CCF</w:t>
      </w:r>
      <w:r w:rsidRPr="00C06188">
        <w:t xml:space="preserve"> </w:t>
      </w:r>
      <w:r w:rsidR="00DF3342">
        <w:t>will</w:t>
      </w:r>
      <w:r w:rsidRPr="00C06188">
        <w:t xml:space="preserve"> be a census rather than a sample survey. The reasons for </w:t>
      </w:r>
      <w:r>
        <w:t>conducting a census</w:t>
      </w:r>
      <w:r w:rsidRPr="00C06188">
        <w:t xml:space="preserve"> include:</w:t>
      </w:r>
    </w:p>
    <w:p w14:paraId="5B802AC8" w14:textId="77777777" w:rsidR="00D26834" w:rsidRPr="00C06188" w:rsidRDefault="00D26834" w:rsidP="00D26834">
      <w:pPr>
        <w:ind w:left="1440"/>
      </w:pPr>
    </w:p>
    <w:p w14:paraId="5EF6310B" w14:textId="06AA7276" w:rsidR="00D26834" w:rsidRDefault="00D26834" w:rsidP="00D26834">
      <w:pPr>
        <w:pStyle w:val="ListParagraph"/>
        <w:numPr>
          <w:ilvl w:val="0"/>
          <w:numId w:val="8"/>
        </w:numPr>
      </w:pPr>
      <w:r w:rsidRPr="00C06188">
        <w:t xml:space="preserve">The </w:t>
      </w:r>
      <w:r>
        <w:t xml:space="preserve">CCF </w:t>
      </w:r>
      <w:r w:rsidR="00AB36D4">
        <w:t>will</w:t>
      </w:r>
      <w:r>
        <w:t xml:space="preserve"> be used as a sampling frame for other studies such</w:t>
      </w:r>
      <w:r w:rsidR="00EE65B1">
        <w:t xml:space="preserve"> as </w:t>
      </w:r>
      <w:r w:rsidR="00DF3342">
        <w:t>NIS</w:t>
      </w:r>
      <w:r w:rsidR="00EE65B1">
        <w:t xml:space="preserve"> and </w:t>
      </w:r>
      <w:r w:rsidR="00DF3342">
        <w:t>SPI</w:t>
      </w:r>
      <w:r>
        <w:t>.</w:t>
      </w:r>
    </w:p>
    <w:p w14:paraId="25C44C8A" w14:textId="77777777" w:rsidR="00D26834" w:rsidRDefault="00D26834" w:rsidP="00D26834">
      <w:pPr>
        <w:pStyle w:val="ListParagraph"/>
      </w:pPr>
    </w:p>
    <w:p w14:paraId="76B8FFEE" w14:textId="77777777" w:rsidR="00D26834" w:rsidRDefault="00D26834" w:rsidP="00D26834">
      <w:pPr>
        <w:pStyle w:val="ListParagraph"/>
        <w:numPr>
          <w:ilvl w:val="0"/>
          <w:numId w:val="8"/>
        </w:numPr>
      </w:pPr>
      <w:r>
        <w:t xml:space="preserve">The CCF has not been </w:t>
      </w:r>
      <w:r w:rsidR="00DF3342">
        <w:t xml:space="preserve">collected </w:t>
      </w:r>
      <w:r>
        <w:t>in its entirety since 2005</w:t>
      </w:r>
      <w:r w:rsidR="00DF3342">
        <w:t>,</w:t>
      </w:r>
      <w:r>
        <w:t xml:space="preserve"> and many changes to the universe have been made; therefore, a census, rather than a survey, gives a more complete picture of the changes.</w:t>
      </w:r>
    </w:p>
    <w:p w14:paraId="323F3756" w14:textId="77777777" w:rsidR="00D26834" w:rsidRDefault="00D26834" w:rsidP="00D26834">
      <w:pPr>
        <w:pStyle w:val="ListParagraph"/>
      </w:pPr>
    </w:p>
    <w:p w14:paraId="3E3AAB0B" w14:textId="77777777" w:rsidR="00D26834" w:rsidRDefault="00D26834" w:rsidP="00D26834">
      <w:pPr>
        <w:pStyle w:val="ListParagraph"/>
        <w:numPr>
          <w:ilvl w:val="0"/>
          <w:numId w:val="8"/>
        </w:numPr>
      </w:pPr>
      <w:r>
        <w:t>T</w:t>
      </w:r>
      <w:r w:rsidRPr="009561F8">
        <w:t xml:space="preserve">he small increase in effort to conduct a census over a sample </w:t>
      </w:r>
      <w:r>
        <w:t>will</w:t>
      </w:r>
      <w:r w:rsidRPr="009561F8">
        <w:t xml:space="preserve"> </w:t>
      </w:r>
      <w:r w:rsidRPr="00372210">
        <w:t xml:space="preserve">allow BJS to report on </w:t>
      </w:r>
      <w:r w:rsidR="00AB36D4">
        <w:t xml:space="preserve">all </w:t>
      </w:r>
      <w:r>
        <w:t xml:space="preserve">adult </w:t>
      </w:r>
      <w:r w:rsidR="00AB36D4">
        <w:t xml:space="preserve">state and federal </w:t>
      </w:r>
      <w:r>
        <w:t>correctional facilities</w:t>
      </w:r>
      <w:r w:rsidRPr="00372210">
        <w:t xml:space="preserve"> </w:t>
      </w:r>
      <w:r w:rsidR="00AB36D4">
        <w:t>across the</w:t>
      </w:r>
      <w:r w:rsidRPr="00372210">
        <w:t xml:space="preserve"> 50 states</w:t>
      </w:r>
      <w:r w:rsidR="00E24DF4">
        <w:t>, instead of being limited to national-level estimates for facility characteristics</w:t>
      </w:r>
      <w:r w:rsidRPr="004A43EC">
        <w:t xml:space="preserve">. </w:t>
      </w:r>
    </w:p>
    <w:p w14:paraId="6BC0A5CD" w14:textId="77777777" w:rsidR="009F7455" w:rsidRPr="009561F8" w:rsidRDefault="009F7455" w:rsidP="009F7455"/>
    <w:p w14:paraId="58A59D63" w14:textId="77777777" w:rsidR="005F6F0A" w:rsidRPr="005F6F0A" w:rsidRDefault="005F6F0A" w:rsidP="005F6F0A">
      <w:pPr>
        <w:widowControl/>
        <w:autoSpaceDE/>
        <w:autoSpaceDN/>
        <w:adjustRightInd/>
        <w:rPr>
          <w:b/>
          <w:u w:val="single"/>
        </w:rPr>
      </w:pPr>
      <w:r w:rsidRPr="005F6F0A">
        <w:t>2.</w:t>
      </w:r>
      <w:r w:rsidRPr="005F6F0A">
        <w:rPr>
          <w:b/>
        </w:rPr>
        <w:tab/>
      </w:r>
      <w:r w:rsidRPr="005F6F0A">
        <w:rPr>
          <w:u w:val="single"/>
        </w:rPr>
        <w:t>Procedures for Collecting Information</w:t>
      </w:r>
    </w:p>
    <w:p w14:paraId="6493B8CD" w14:textId="77777777" w:rsidR="005F6F0A" w:rsidRPr="009561F8" w:rsidRDefault="005F6F0A" w:rsidP="005F6F0A">
      <w:pPr>
        <w:rPr>
          <w:i/>
        </w:rPr>
      </w:pPr>
    </w:p>
    <w:p w14:paraId="12258883" w14:textId="77777777" w:rsidR="005F6F0A" w:rsidRPr="000D5DD6" w:rsidRDefault="005F6F0A" w:rsidP="008564A0">
      <w:pPr>
        <w:rPr>
          <w:b/>
          <w:sz w:val="22"/>
          <w:szCs w:val="22"/>
        </w:rPr>
      </w:pPr>
      <w:r>
        <w:t>The CCF is designed as a multi-</w:t>
      </w:r>
      <w:r w:rsidR="00DF3342">
        <w:t xml:space="preserve">modal </w:t>
      </w:r>
      <w:r>
        <w:t xml:space="preserve">data collection, with </w:t>
      </w:r>
      <w:r w:rsidR="00DF3342">
        <w:t xml:space="preserve">the online data tool </w:t>
      </w:r>
      <w:r>
        <w:t>serving as the primary mode</w:t>
      </w:r>
      <w:r w:rsidR="00DF3342">
        <w:t>,</w:t>
      </w:r>
      <w:r>
        <w:t xml:space="preserve"> and hardcopy form</w:t>
      </w:r>
      <w:r w:rsidR="00AB36D4">
        <w:t xml:space="preserve"> or data submission </w:t>
      </w:r>
      <w:r w:rsidR="00AB36D4" w:rsidRPr="00AB36D4">
        <w:t>using various formats (e.g., ASCII, Excel, SAS, or SPSS)</w:t>
      </w:r>
      <w:r>
        <w:t xml:space="preserve"> </w:t>
      </w:r>
      <w:r w:rsidR="00AB36D4">
        <w:t>offered as</w:t>
      </w:r>
      <w:r>
        <w:t xml:space="preserve"> alternative</w:t>
      </w:r>
      <w:r w:rsidR="00AB36D4">
        <w:t>s</w:t>
      </w:r>
      <w:r>
        <w:t>.</w:t>
      </w:r>
      <w:r w:rsidR="00AB36D4">
        <w:t xml:space="preserve"> </w:t>
      </w:r>
      <w:r>
        <w:t>Initial contact for data collection will be with POCs at each state’s DOC</w:t>
      </w:r>
      <w:r w:rsidR="00E24DF4">
        <w:t xml:space="preserve">. </w:t>
      </w:r>
      <w:r w:rsidR="0077134E">
        <w:t xml:space="preserve">These POCs were identified during the facility roster phase of the CCF/NIS under the OMB generic clearance. </w:t>
      </w:r>
      <w:r>
        <w:t xml:space="preserve">This initial outreach will occur before data collection begins </w:t>
      </w:r>
      <w:r w:rsidRPr="00CA1325">
        <w:t xml:space="preserve">to </w:t>
      </w:r>
      <w:r w:rsidR="0077134E">
        <w:t xml:space="preserve">notify our DOC POCs of the upcoming data collection. The national implementation of the CCF will </w:t>
      </w:r>
      <w:r>
        <w:t>commence</w:t>
      </w:r>
      <w:r w:rsidR="002B69BF">
        <w:t xml:space="preserve"> in</w:t>
      </w:r>
      <w:r w:rsidR="0077134E">
        <w:t xml:space="preserve"> </w:t>
      </w:r>
      <w:r w:rsidR="002B69BF">
        <w:t>June 2019</w:t>
      </w:r>
      <w:r w:rsidR="0077134E">
        <w:t>.</w:t>
      </w:r>
      <w:r>
        <w:t xml:space="preserve"> </w:t>
      </w:r>
      <w:r w:rsidR="0077134E">
        <w:t>D</w:t>
      </w:r>
      <w:r>
        <w:t>ata</w:t>
      </w:r>
      <w:r w:rsidR="008564A0">
        <w:t xml:space="preserve"> collection, nonresponse follow-</w:t>
      </w:r>
      <w:r>
        <w:t>up, and data quality follow</w:t>
      </w:r>
      <w:r w:rsidR="008564A0">
        <w:t>-</w:t>
      </w:r>
      <w:r>
        <w:t>up will last approximately seven months and will</w:t>
      </w:r>
      <w:r w:rsidR="008564A0">
        <w:t xml:space="preserve"> include a variety of mailings</w:t>
      </w:r>
      <w:r>
        <w:t xml:space="preserve"> and telephone contacts. A brief description of all steps in the data collection protocol are provided below. </w:t>
      </w:r>
    </w:p>
    <w:p w14:paraId="44F2BC9E" w14:textId="77777777" w:rsidR="005F6F0A" w:rsidRDefault="005F6F0A" w:rsidP="005F6F0A">
      <w:pPr>
        <w:ind w:left="43" w:right="58" w:firstLine="720"/>
        <w:rPr>
          <w:b/>
        </w:rPr>
      </w:pPr>
    </w:p>
    <w:p w14:paraId="2F3AC7A0" w14:textId="70C7A8E2" w:rsidR="005F6F0A" w:rsidRDefault="00AF2461" w:rsidP="005F6F0A">
      <w:pPr>
        <w:pStyle w:val="ListParagraph"/>
        <w:numPr>
          <w:ilvl w:val="0"/>
          <w:numId w:val="13"/>
        </w:numPr>
        <w:ind w:right="58"/>
      </w:pPr>
      <w:r>
        <w:rPr>
          <w:b/>
        </w:rPr>
        <w:t>Agency Head POC designation</w:t>
      </w:r>
      <w:r w:rsidR="005F6F0A" w:rsidRPr="005F6F0A">
        <w:rPr>
          <w:b/>
        </w:rPr>
        <w:t xml:space="preserve"> letter. </w:t>
      </w:r>
      <w:r w:rsidR="0089295D">
        <w:t>In early June</w:t>
      </w:r>
      <w:r w:rsidR="00C71016">
        <w:t xml:space="preserve"> </w:t>
      </w:r>
      <w:r w:rsidR="00535CD3">
        <w:t>2019</w:t>
      </w:r>
      <w:r w:rsidR="00BA485E">
        <w:t xml:space="preserve">, </w:t>
      </w:r>
      <w:r w:rsidR="00EA2658">
        <w:t xml:space="preserve">the </w:t>
      </w:r>
      <w:r>
        <w:t>Agency Head POC designation</w:t>
      </w:r>
      <w:r w:rsidR="00EA2658">
        <w:t xml:space="preserve"> letter</w:t>
      </w:r>
      <w:r>
        <w:t xml:space="preserve"> </w:t>
      </w:r>
      <w:r w:rsidR="00B6380C">
        <w:t xml:space="preserve">(Attachment 9) </w:t>
      </w:r>
      <w:r>
        <w:t>and POC designation form</w:t>
      </w:r>
      <w:r w:rsidR="00EA2658">
        <w:t xml:space="preserve"> </w:t>
      </w:r>
      <w:r w:rsidR="005F6F0A">
        <w:t>(</w:t>
      </w:r>
      <w:r w:rsidR="005F6F0A" w:rsidRPr="00264A4A">
        <w:t>Attachment</w:t>
      </w:r>
      <w:r w:rsidR="00B6380C">
        <w:t xml:space="preserve"> </w:t>
      </w:r>
      <w:r w:rsidR="003C56DA">
        <w:t>10</w:t>
      </w:r>
      <w:r w:rsidR="005F6F0A" w:rsidRPr="00264A4A">
        <w:t>)</w:t>
      </w:r>
      <w:r w:rsidR="005F6F0A" w:rsidRPr="003E0C16">
        <w:t xml:space="preserve"> </w:t>
      </w:r>
      <w:r w:rsidR="005F6F0A">
        <w:t xml:space="preserve">will be </w:t>
      </w:r>
      <w:r w:rsidR="005F6F0A">
        <w:lastRenderedPageBreak/>
        <w:t>sent</w:t>
      </w:r>
      <w:r w:rsidR="005F6F0A">
        <w:rPr>
          <w:rStyle w:val="FootnoteReference"/>
        </w:rPr>
        <w:footnoteReference w:id="1"/>
      </w:r>
      <w:r w:rsidR="005F6F0A">
        <w:t xml:space="preserve"> to </w:t>
      </w:r>
      <w:r>
        <w:t>the Agency Heads at the DOCs</w:t>
      </w:r>
      <w:r w:rsidR="00535CD3">
        <w:t>.</w:t>
      </w:r>
      <w:r w:rsidR="005F6F0A">
        <w:t xml:space="preserve"> This lette</w:t>
      </w:r>
      <w:r w:rsidR="00356EFB">
        <w:t>r will introduce the collection</w:t>
      </w:r>
      <w:r w:rsidR="00DA7D37">
        <w:t xml:space="preserve">, </w:t>
      </w:r>
      <w:r w:rsidR="00535CD3">
        <w:t xml:space="preserve">provide a state-specific list of facilities identified during roster development, and </w:t>
      </w:r>
      <w:r w:rsidR="00DA7D37">
        <w:t>provid</w:t>
      </w:r>
      <w:r w:rsidR="00535CD3">
        <w:t>e</w:t>
      </w:r>
      <w:r w:rsidR="00DA7D37">
        <w:t xml:space="preserve"> a link to the CCF website that includes </w:t>
      </w:r>
      <w:r w:rsidR="0032324A">
        <w:t xml:space="preserve">reference versions of the </w:t>
      </w:r>
      <w:r w:rsidR="00DA7D37">
        <w:t xml:space="preserve">CCF questionnaires. The letter </w:t>
      </w:r>
      <w:r>
        <w:t xml:space="preserve">requests </w:t>
      </w:r>
      <w:r w:rsidR="00121DDB">
        <w:t xml:space="preserve">the designation of </w:t>
      </w:r>
      <w:r>
        <w:t xml:space="preserve">an agency </w:t>
      </w:r>
      <w:r w:rsidR="00356EFB">
        <w:t>POC</w:t>
      </w:r>
      <w:r>
        <w:t xml:space="preserve"> </w:t>
      </w:r>
      <w:r w:rsidR="00121DDB">
        <w:t xml:space="preserve">who can </w:t>
      </w:r>
      <w:r w:rsidR="0023598B">
        <w:t>provide</w:t>
      </w:r>
      <w:r w:rsidR="00356EFB">
        <w:t xml:space="preserve"> facility-level data </w:t>
      </w:r>
      <w:r w:rsidR="0023598B">
        <w:t>for each of</w:t>
      </w:r>
      <w:r w:rsidR="00356EFB">
        <w:t xml:space="preserve"> the</w:t>
      </w:r>
      <w:r w:rsidR="0023598B">
        <w:t>ir</w:t>
      </w:r>
      <w:r w:rsidR="00356EFB">
        <w:t xml:space="preserve"> DOC-operated facilities</w:t>
      </w:r>
      <w:r w:rsidR="00121DDB">
        <w:t>.</w:t>
      </w:r>
      <w:r w:rsidR="000636EE">
        <w:t xml:space="preserve"> </w:t>
      </w:r>
      <w:r w:rsidR="00121DDB">
        <w:t xml:space="preserve">The Agency Head </w:t>
      </w:r>
      <w:r w:rsidR="00356EFB">
        <w:t xml:space="preserve">will be informed that BJS will collect data directly </w:t>
      </w:r>
      <w:r w:rsidR="00837B5E">
        <w:t xml:space="preserve">from correctional facilities contracted to hold inmates for their state. </w:t>
      </w:r>
      <w:r w:rsidR="001B36E2">
        <w:t>Ad</w:t>
      </w:r>
      <w:r w:rsidR="005F6F0A">
        <w:t xml:space="preserve"> hoc communications will occur with private organization</w:t>
      </w:r>
      <w:r w:rsidR="00C00C79">
        <w:t>s</w:t>
      </w:r>
      <w:r w:rsidR="001B36E2">
        <w:t>, as</w:t>
      </w:r>
      <w:r w:rsidR="005F6F0A">
        <w:t xml:space="preserve"> it may be necessary to coordinate with a private organization POC on which facilities he or she can report on behalf of, versus which facilities may need a facility-level POC.</w:t>
      </w:r>
    </w:p>
    <w:p w14:paraId="36A6E302" w14:textId="77777777" w:rsidR="000636EE" w:rsidRDefault="000636EE" w:rsidP="000636EE">
      <w:pPr>
        <w:pStyle w:val="ListParagraph"/>
        <w:ind w:left="763" w:right="58"/>
      </w:pPr>
    </w:p>
    <w:p w14:paraId="29D99E9F" w14:textId="6E3B16DE" w:rsidR="003C56DA" w:rsidRDefault="003C56DA" w:rsidP="002B69BF">
      <w:pPr>
        <w:pStyle w:val="ListParagraph"/>
        <w:numPr>
          <w:ilvl w:val="0"/>
          <w:numId w:val="12"/>
        </w:numPr>
        <w:ind w:right="58"/>
      </w:pPr>
      <w:r w:rsidRPr="009746FB">
        <w:rPr>
          <w:b/>
        </w:rPr>
        <w:t>Pre</w:t>
      </w:r>
      <w:r>
        <w:rPr>
          <w:b/>
        </w:rPr>
        <w:t>-</w:t>
      </w:r>
      <w:r w:rsidRPr="009746FB">
        <w:rPr>
          <w:b/>
        </w:rPr>
        <w:t>notification letter.</w:t>
      </w:r>
      <w:r>
        <w:t xml:space="preserve"> </w:t>
      </w:r>
      <w:r w:rsidR="0089295D">
        <w:t>In early June</w:t>
      </w:r>
      <w:r w:rsidR="007E7B08">
        <w:t xml:space="preserve"> 2019</w:t>
      </w:r>
      <w:r>
        <w:t xml:space="preserve">, </w:t>
      </w:r>
      <w:r w:rsidR="007E7B08">
        <w:t>a</w:t>
      </w:r>
      <w:r>
        <w:t xml:space="preserve"> pre-notification letter will be </w:t>
      </w:r>
      <w:r w:rsidR="00B6380C">
        <w:t>mailed</w:t>
      </w:r>
      <w:r>
        <w:t xml:space="preserve"> to individual and central respondents for contracted facilities </w:t>
      </w:r>
      <w:r w:rsidR="00371BC8">
        <w:t xml:space="preserve">announcing the upcoming data collection </w:t>
      </w:r>
      <w:r>
        <w:t xml:space="preserve">(Attachment 11). Letters will include the </w:t>
      </w:r>
      <w:r w:rsidR="00371BC8">
        <w:t xml:space="preserve">facility or </w:t>
      </w:r>
      <w:r>
        <w:t xml:space="preserve">list of facilities for which </w:t>
      </w:r>
      <w:r w:rsidR="00371BC8">
        <w:t xml:space="preserve">the respondent will be </w:t>
      </w:r>
      <w:r>
        <w:t>asked to provide data.</w:t>
      </w:r>
    </w:p>
    <w:p w14:paraId="53B0FD73" w14:textId="1CA6FEA0" w:rsidR="003C56DA" w:rsidRPr="009746FB" w:rsidRDefault="003C56DA" w:rsidP="009746FB">
      <w:pPr>
        <w:pStyle w:val="ListParagraph"/>
        <w:ind w:left="763" w:right="58"/>
      </w:pPr>
      <w:r>
        <w:t xml:space="preserve"> </w:t>
      </w:r>
    </w:p>
    <w:p w14:paraId="5FD953B7" w14:textId="739D67F4" w:rsidR="005F6F0A" w:rsidRDefault="005F6F0A" w:rsidP="002B69BF">
      <w:pPr>
        <w:pStyle w:val="ListParagraph"/>
        <w:numPr>
          <w:ilvl w:val="0"/>
          <w:numId w:val="12"/>
        </w:numPr>
        <w:ind w:right="58"/>
      </w:pPr>
      <w:r w:rsidRPr="005F6F0A">
        <w:rPr>
          <w:b/>
        </w:rPr>
        <w:t>Invitation letter.</w:t>
      </w:r>
      <w:r w:rsidRPr="00AF7385">
        <w:t xml:space="preserve"> </w:t>
      </w:r>
      <w:r w:rsidR="003C56DA">
        <w:t xml:space="preserve">In July, </w:t>
      </w:r>
      <w:r>
        <w:t xml:space="preserve">RTI </w:t>
      </w:r>
      <w:r w:rsidRPr="00AF7385">
        <w:t xml:space="preserve">will </w:t>
      </w:r>
      <w:r w:rsidR="00B6380C">
        <w:t xml:space="preserve">email </w:t>
      </w:r>
      <w:r w:rsidR="00D029D3">
        <w:t xml:space="preserve">one of two </w:t>
      </w:r>
      <w:r w:rsidRPr="00AF7385">
        <w:t>invitation letter</w:t>
      </w:r>
      <w:r w:rsidR="00D029D3">
        <w:t>s</w:t>
      </w:r>
      <w:r w:rsidRPr="00AF7385">
        <w:t xml:space="preserve"> (</w:t>
      </w:r>
      <w:r w:rsidRPr="00264A4A">
        <w:t>Attachment</w:t>
      </w:r>
      <w:r w:rsidR="00D029D3" w:rsidRPr="00264A4A">
        <w:t>s</w:t>
      </w:r>
      <w:r w:rsidRPr="00264A4A">
        <w:rPr>
          <w:rFonts w:eastAsiaTheme="minorHAnsi"/>
          <w:spacing w:val="-6"/>
        </w:rPr>
        <w:t xml:space="preserve"> </w:t>
      </w:r>
      <w:r w:rsidR="003C56DA" w:rsidRPr="00264A4A">
        <w:rPr>
          <w:rFonts w:eastAsiaTheme="minorHAnsi"/>
          <w:spacing w:val="-6"/>
        </w:rPr>
        <w:t>1</w:t>
      </w:r>
      <w:r w:rsidR="00371BC8">
        <w:rPr>
          <w:rFonts w:eastAsiaTheme="minorHAnsi"/>
          <w:spacing w:val="-6"/>
        </w:rPr>
        <w:t>2</w:t>
      </w:r>
      <w:r w:rsidR="003C56DA" w:rsidRPr="00264A4A">
        <w:rPr>
          <w:rFonts w:eastAsiaTheme="minorHAnsi"/>
          <w:spacing w:val="-6"/>
        </w:rPr>
        <w:t xml:space="preserve"> </w:t>
      </w:r>
      <w:r w:rsidR="00D029D3" w:rsidRPr="00264A4A">
        <w:rPr>
          <w:rFonts w:eastAsiaTheme="minorHAnsi"/>
          <w:spacing w:val="-6"/>
        </w:rPr>
        <w:t>and 1</w:t>
      </w:r>
      <w:r w:rsidR="00371BC8">
        <w:rPr>
          <w:rFonts w:eastAsiaTheme="minorHAnsi"/>
          <w:spacing w:val="-6"/>
        </w:rPr>
        <w:t>3</w:t>
      </w:r>
      <w:r w:rsidRPr="005F6F0A">
        <w:rPr>
          <w:rFonts w:eastAsiaTheme="minorHAnsi"/>
          <w:spacing w:val="-6"/>
        </w:rPr>
        <w:t xml:space="preserve">) to each designated respondent across the 50 states and the BOP. </w:t>
      </w:r>
      <w:r w:rsidR="00D029D3">
        <w:rPr>
          <w:rFonts w:eastAsiaTheme="minorHAnsi"/>
          <w:spacing w:val="-6"/>
        </w:rPr>
        <w:t xml:space="preserve">Letters will be tailored to the type of respondent (central or individual). </w:t>
      </w:r>
      <w:r w:rsidRPr="005F6F0A">
        <w:rPr>
          <w:rFonts w:eastAsiaTheme="minorHAnsi"/>
          <w:spacing w:val="-6"/>
        </w:rPr>
        <w:t xml:space="preserve">The e-mail will stress the purpose and importance of </w:t>
      </w:r>
      <w:r w:rsidR="00EC6F0C">
        <w:rPr>
          <w:rFonts w:eastAsiaTheme="minorHAnsi"/>
          <w:spacing w:val="-6"/>
        </w:rPr>
        <w:t xml:space="preserve">the </w:t>
      </w:r>
      <w:r w:rsidRPr="005F6F0A">
        <w:rPr>
          <w:rFonts w:eastAsiaTheme="minorHAnsi"/>
          <w:spacing w:val="-6"/>
        </w:rPr>
        <w:t xml:space="preserve">CCF and the need for </w:t>
      </w:r>
      <w:r w:rsidR="001B36E2">
        <w:rPr>
          <w:rFonts w:eastAsiaTheme="minorHAnsi"/>
          <w:spacing w:val="-6"/>
        </w:rPr>
        <w:t>participation</w:t>
      </w:r>
      <w:r w:rsidRPr="005F6F0A">
        <w:rPr>
          <w:rFonts w:eastAsiaTheme="minorHAnsi"/>
          <w:spacing w:val="-6"/>
        </w:rPr>
        <w:t xml:space="preserve">. It </w:t>
      </w:r>
      <w:r w:rsidR="00264A4A">
        <w:rPr>
          <w:rFonts w:eastAsiaTheme="minorHAnsi"/>
          <w:spacing w:val="-6"/>
        </w:rPr>
        <w:t>will also notify</w:t>
      </w:r>
      <w:r w:rsidRPr="005F6F0A">
        <w:rPr>
          <w:rFonts w:eastAsiaTheme="minorHAnsi"/>
          <w:spacing w:val="-6"/>
        </w:rPr>
        <w:t xml:space="preserve"> the re</w:t>
      </w:r>
      <w:r w:rsidR="00E67E95">
        <w:rPr>
          <w:rFonts w:eastAsiaTheme="minorHAnsi"/>
          <w:spacing w:val="-6"/>
        </w:rPr>
        <w:t>spondent</w:t>
      </w:r>
      <w:r w:rsidRPr="005F6F0A">
        <w:rPr>
          <w:rFonts w:eastAsiaTheme="minorHAnsi"/>
          <w:spacing w:val="-6"/>
        </w:rPr>
        <w:t xml:space="preserve"> of the collection due date, provide instructions (including the web address and the login credentials) for submitting the form</w:t>
      </w:r>
      <w:r w:rsidR="001B36E2">
        <w:rPr>
          <w:rFonts w:eastAsiaTheme="minorHAnsi"/>
          <w:spacing w:val="-6"/>
        </w:rPr>
        <w:t>(s)</w:t>
      </w:r>
      <w:r w:rsidRPr="005F6F0A">
        <w:rPr>
          <w:rFonts w:eastAsiaTheme="minorHAnsi"/>
          <w:spacing w:val="-6"/>
        </w:rPr>
        <w:t xml:space="preserve"> online, and provide an RTI contact if </w:t>
      </w:r>
      <w:r w:rsidR="00193F9E">
        <w:rPr>
          <w:rFonts w:eastAsiaTheme="minorHAnsi"/>
          <w:spacing w:val="-6"/>
        </w:rPr>
        <w:t>the respondent has</w:t>
      </w:r>
      <w:r w:rsidRPr="005F6F0A">
        <w:rPr>
          <w:rFonts w:eastAsiaTheme="minorHAnsi"/>
          <w:spacing w:val="-6"/>
        </w:rPr>
        <w:t xml:space="preserve"> any questions or comments.</w:t>
      </w:r>
    </w:p>
    <w:p w14:paraId="2F6D7484" w14:textId="77777777" w:rsidR="005F6F0A" w:rsidRPr="009561F8" w:rsidRDefault="005F6F0A" w:rsidP="005F6F0A">
      <w:pPr>
        <w:ind w:left="43" w:right="58" w:firstLine="720"/>
        <w:rPr>
          <w:rFonts w:eastAsiaTheme="minorHAnsi"/>
          <w:spacing w:val="-6"/>
        </w:rPr>
      </w:pPr>
      <w:r>
        <w:t xml:space="preserve"> </w:t>
      </w:r>
      <w:r w:rsidRPr="009561F8">
        <w:rPr>
          <w:rFonts w:eastAsiaTheme="minorHAnsi"/>
          <w:spacing w:val="-6"/>
        </w:rPr>
        <w:t xml:space="preserve"> </w:t>
      </w:r>
    </w:p>
    <w:p w14:paraId="151BA80C" w14:textId="26CF23CE" w:rsidR="005F6F0A" w:rsidRPr="005F6F0A" w:rsidRDefault="005F6F0A" w:rsidP="005F6F0A">
      <w:pPr>
        <w:pStyle w:val="ListParagraph"/>
        <w:numPr>
          <w:ilvl w:val="0"/>
          <w:numId w:val="12"/>
        </w:numPr>
        <w:spacing w:before="31"/>
        <w:ind w:right="59"/>
        <w:rPr>
          <w:rFonts w:eastAsiaTheme="minorHAnsi"/>
        </w:rPr>
      </w:pPr>
      <w:r w:rsidRPr="005F6F0A">
        <w:rPr>
          <w:rFonts w:eastAsiaTheme="minorHAnsi"/>
          <w:b/>
          <w:bCs/>
        </w:rPr>
        <w:t xml:space="preserve">Nonresponse reminder letters and telephone contact. </w:t>
      </w:r>
      <w:r w:rsidRPr="005F6F0A">
        <w:rPr>
          <w:rFonts w:eastAsiaTheme="minorHAnsi"/>
          <w:bCs/>
        </w:rPr>
        <w:t>One week prior to the collection due date</w:t>
      </w:r>
      <w:r w:rsidR="00792B54">
        <w:rPr>
          <w:rFonts w:eastAsiaTheme="minorHAnsi"/>
          <w:bCs/>
        </w:rPr>
        <w:t xml:space="preserve"> (</w:t>
      </w:r>
      <w:r w:rsidR="00121DDB">
        <w:rPr>
          <w:rFonts w:eastAsiaTheme="minorHAnsi"/>
          <w:bCs/>
        </w:rPr>
        <w:t>mid-</w:t>
      </w:r>
      <w:r w:rsidR="00792B54">
        <w:rPr>
          <w:rFonts w:eastAsiaTheme="minorHAnsi"/>
          <w:bCs/>
        </w:rPr>
        <w:t>September 2019)</w:t>
      </w:r>
      <w:r w:rsidRPr="005F6F0A">
        <w:rPr>
          <w:rFonts w:eastAsiaTheme="minorHAnsi"/>
          <w:bCs/>
        </w:rPr>
        <w:t>, RTI will e-mail the first reminder (</w:t>
      </w:r>
      <w:r w:rsidR="009C0D5C" w:rsidRPr="00264A4A">
        <w:rPr>
          <w:rFonts w:eastAsiaTheme="minorHAnsi"/>
          <w:bCs/>
        </w:rPr>
        <w:t>Attachment 1</w:t>
      </w:r>
      <w:r w:rsidR="00D215FE">
        <w:rPr>
          <w:rFonts w:eastAsiaTheme="minorHAnsi"/>
          <w:bCs/>
        </w:rPr>
        <w:t>4</w:t>
      </w:r>
      <w:r w:rsidRPr="005F6F0A">
        <w:rPr>
          <w:rFonts w:eastAsiaTheme="minorHAnsi"/>
          <w:bCs/>
        </w:rPr>
        <w:t>) to designated respondents who have not yet submitted their form(s) as notification of the impending due date. Immediately following the collection due date, telephone calls will be made to non</w:t>
      </w:r>
      <w:r w:rsidR="00264A4A">
        <w:rPr>
          <w:rFonts w:eastAsiaTheme="minorHAnsi"/>
          <w:bCs/>
        </w:rPr>
        <w:t>-</w:t>
      </w:r>
      <w:r w:rsidRPr="005F6F0A">
        <w:rPr>
          <w:rFonts w:eastAsiaTheme="minorHAnsi"/>
          <w:bCs/>
        </w:rPr>
        <w:t xml:space="preserve">respondents to remind them of the collection due date (see </w:t>
      </w:r>
      <w:r w:rsidR="009C0D5C" w:rsidRPr="00264A4A">
        <w:rPr>
          <w:rFonts w:eastAsiaTheme="minorHAnsi"/>
          <w:bCs/>
        </w:rPr>
        <w:t>Attachment 1</w:t>
      </w:r>
      <w:r w:rsidR="00D215FE">
        <w:rPr>
          <w:rFonts w:eastAsiaTheme="minorHAnsi"/>
          <w:bCs/>
        </w:rPr>
        <w:t>5</w:t>
      </w:r>
      <w:r w:rsidRPr="005F6F0A">
        <w:rPr>
          <w:rFonts w:eastAsiaTheme="minorHAnsi"/>
          <w:b/>
          <w:bCs/>
        </w:rPr>
        <w:t xml:space="preserve"> </w:t>
      </w:r>
      <w:r w:rsidRPr="005F6F0A">
        <w:rPr>
          <w:rFonts w:eastAsiaTheme="minorHAnsi"/>
          <w:bCs/>
        </w:rPr>
        <w:t>for a sample script for these contacts). Two weeks after the collection due date, another reminder (</w:t>
      </w:r>
      <w:r w:rsidRPr="00264A4A">
        <w:rPr>
          <w:rFonts w:eastAsiaTheme="minorHAnsi"/>
          <w:bCs/>
        </w:rPr>
        <w:t>Attachment 1</w:t>
      </w:r>
      <w:r w:rsidR="00D215FE">
        <w:rPr>
          <w:rFonts w:eastAsiaTheme="minorHAnsi"/>
          <w:bCs/>
        </w:rPr>
        <w:t>6</w:t>
      </w:r>
      <w:r w:rsidRPr="005F6F0A">
        <w:rPr>
          <w:rFonts w:eastAsiaTheme="minorHAnsi"/>
          <w:bCs/>
        </w:rPr>
        <w:t xml:space="preserve">) will be sent via USPS Priority Mail and e-mail. All reminders </w:t>
      </w:r>
      <w:r w:rsidR="0072440A">
        <w:rPr>
          <w:rFonts w:eastAsiaTheme="minorHAnsi"/>
          <w:bCs/>
        </w:rPr>
        <w:t xml:space="preserve">will </w:t>
      </w:r>
      <w:r w:rsidRPr="005F6F0A">
        <w:rPr>
          <w:rFonts w:eastAsiaTheme="minorHAnsi"/>
          <w:bCs/>
        </w:rPr>
        <w:t xml:space="preserve">contain information for completing the web instrument. </w:t>
      </w:r>
    </w:p>
    <w:p w14:paraId="610AA1C2" w14:textId="77777777" w:rsidR="005F6F0A" w:rsidRPr="009561F8" w:rsidRDefault="005F6F0A" w:rsidP="005F6F0A">
      <w:pPr>
        <w:spacing w:before="31"/>
        <w:ind w:right="59"/>
        <w:rPr>
          <w:rFonts w:eastAsiaTheme="minorHAnsi"/>
        </w:rPr>
      </w:pPr>
    </w:p>
    <w:p w14:paraId="6FEC81AA" w14:textId="09355711" w:rsidR="005F6F0A" w:rsidRPr="005F6F0A" w:rsidRDefault="005F6F0A" w:rsidP="005F6F0A">
      <w:pPr>
        <w:pStyle w:val="ListParagraph"/>
        <w:numPr>
          <w:ilvl w:val="0"/>
          <w:numId w:val="12"/>
        </w:numPr>
        <w:spacing w:before="75"/>
        <w:ind w:right="58"/>
        <w:rPr>
          <w:rFonts w:eastAsiaTheme="minorHAnsi"/>
        </w:rPr>
      </w:pPr>
      <w:r w:rsidRPr="005F6F0A">
        <w:rPr>
          <w:rFonts w:eastAsiaTheme="minorHAnsi"/>
          <w:b/>
        </w:rPr>
        <w:t>Collection closeout letter/final reminder.</w:t>
      </w:r>
      <w:r w:rsidRPr="005F6F0A">
        <w:rPr>
          <w:rFonts w:eastAsiaTheme="minorHAnsi"/>
        </w:rPr>
        <w:t xml:space="preserve"> </w:t>
      </w:r>
      <w:r w:rsidR="00792B54">
        <w:rPr>
          <w:rFonts w:eastAsiaTheme="minorHAnsi"/>
        </w:rPr>
        <w:t>In November 2019, t</w:t>
      </w:r>
      <w:r w:rsidR="00792B54" w:rsidRPr="005F6F0A">
        <w:rPr>
          <w:rFonts w:eastAsiaTheme="minorHAnsi"/>
        </w:rPr>
        <w:t xml:space="preserve">wo </w:t>
      </w:r>
      <w:r w:rsidRPr="005F6F0A">
        <w:rPr>
          <w:rFonts w:eastAsiaTheme="minorHAnsi"/>
        </w:rPr>
        <w:t>distinct closeout letters will be sent to notify individual and central non</w:t>
      </w:r>
      <w:r w:rsidR="00264A4A">
        <w:rPr>
          <w:rFonts w:eastAsiaTheme="minorHAnsi"/>
        </w:rPr>
        <w:t>-</w:t>
      </w:r>
      <w:r w:rsidRPr="005F6F0A">
        <w:rPr>
          <w:rFonts w:eastAsiaTheme="minorHAnsi"/>
        </w:rPr>
        <w:t>respondents</w:t>
      </w:r>
      <w:r w:rsidRPr="005F6F0A" w:rsidDel="00503540">
        <w:rPr>
          <w:rFonts w:eastAsiaTheme="minorHAnsi"/>
        </w:rPr>
        <w:t xml:space="preserve"> </w:t>
      </w:r>
      <w:r w:rsidRPr="005F6F0A">
        <w:rPr>
          <w:rFonts w:eastAsiaTheme="minorHAnsi"/>
        </w:rPr>
        <w:t>(</w:t>
      </w:r>
      <w:r w:rsidRPr="00264A4A">
        <w:rPr>
          <w:rFonts w:eastAsiaTheme="minorHAnsi"/>
        </w:rPr>
        <w:t>Attachments 1</w:t>
      </w:r>
      <w:r w:rsidR="00D215FE">
        <w:rPr>
          <w:rFonts w:eastAsiaTheme="minorHAnsi"/>
        </w:rPr>
        <w:t>7</w:t>
      </w:r>
      <w:r w:rsidRPr="00264A4A">
        <w:rPr>
          <w:rFonts w:eastAsiaTheme="minorHAnsi"/>
        </w:rPr>
        <w:t xml:space="preserve"> and </w:t>
      </w:r>
      <w:r w:rsidR="00D215FE">
        <w:rPr>
          <w:rFonts w:eastAsiaTheme="minorHAnsi"/>
        </w:rPr>
        <w:t>18</w:t>
      </w:r>
      <w:r w:rsidRPr="005F6F0A">
        <w:rPr>
          <w:rFonts w:eastAsiaTheme="minorHAnsi"/>
        </w:rPr>
        <w:t>) that the collection is coming to an end and that their response is needed within two weeks. Data collection will continue for approximately three more weeks to allow for receipt of any remaining questionnaires.</w:t>
      </w:r>
    </w:p>
    <w:p w14:paraId="5F375011" w14:textId="77777777" w:rsidR="005F6F0A" w:rsidRDefault="005F6F0A" w:rsidP="005F6F0A">
      <w:pPr>
        <w:spacing w:before="31"/>
        <w:ind w:left="120" w:right="59" w:firstLine="720"/>
        <w:rPr>
          <w:rFonts w:eastAsiaTheme="minorHAnsi"/>
          <w:b/>
        </w:rPr>
      </w:pPr>
    </w:p>
    <w:p w14:paraId="68077903" w14:textId="045DF0CA" w:rsidR="005F6F0A" w:rsidRPr="005F6F0A" w:rsidRDefault="005F6F0A" w:rsidP="005F6F0A">
      <w:pPr>
        <w:pStyle w:val="ListParagraph"/>
        <w:numPr>
          <w:ilvl w:val="0"/>
          <w:numId w:val="12"/>
        </w:numPr>
        <w:spacing w:before="31"/>
        <w:ind w:right="59"/>
        <w:rPr>
          <w:rFonts w:eastAsiaTheme="minorHAnsi"/>
        </w:rPr>
      </w:pPr>
      <w:r w:rsidRPr="005F6F0A">
        <w:rPr>
          <w:rFonts w:eastAsiaTheme="minorHAnsi"/>
          <w:b/>
        </w:rPr>
        <w:t xml:space="preserve">Telephone and e-mail data quality follow-up. </w:t>
      </w:r>
      <w:r w:rsidRPr="005F6F0A">
        <w:rPr>
          <w:rFonts w:eastAsiaTheme="minorHAnsi"/>
        </w:rPr>
        <w:t>Within two weeks of receiving a completed form, data review will begin. During review, if data discrepancies or missing dat</w:t>
      </w:r>
      <w:r w:rsidR="00264A4A">
        <w:rPr>
          <w:rFonts w:eastAsiaTheme="minorHAnsi"/>
        </w:rPr>
        <w:t xml:space="preserve">a values are discovered, </w:t>
      </w:r>
      <w:r w:rsidR="00792B54">
        <w:rPr>
          <w:rFonts w:eastAsiaTheme="minorHAnsi"/>
        </w:rPr>
        <w:t xml:space="preserve">BJS’s data collection agent will </w:t>
      </w:r>
      <w:r w:rsidR="00264A4A">
        <w:rPr>
          <w:rFonts w:eastAsiaTheme="minorHAnsi"/>
        </w:rPr>
        <w:t xml:space="preserve">follow </w:t>
      </w:r>
      <w:r w:rsidRPr="005F6F0A">
        <w:rPr>
          <w:rFonts w:eastAsiaTheme="minorHAnsi"/>
        </w:rPr>
        <w:t xml:space="preserve">up with respondents via telephone or e-mail to clarify responses or obtain missing information </w:t>
      </w:r>
      <w:r w:rsidRPr="005F6F0A">
        <w:rPr>
          <w:rFonts w:eastAsiaTheme="minorHAnsi"/>
          <w:bCs/>
        </w:rPr>
        <w:t xml:space="preserve">(see </w:t>
      </w:r>
      <w:r w:rsidRPr="00264A4A">
        <w:rPr>
          <w:rFonts w:eastAsiaTheme="minorHAnsi"/>
          <w:bCs/>
        </w:rPr>
        <w:t>Attac</w:t>
      </w:r>
      <w:r w:rsidR="00D215FE">
        <w:rPr>
          <w:rFonts w:eastAsiaTheme="minorHAnsi"/>
          <w:bCs/>
        </w:rPr>
        <w:t>hment</w:t>
      </w:r>
      <w:r w:rsidR="00F527E4">
        <w:rPr>
          <w:rFonts w:eastAsiaTheme="minorHAnsi"/>
          <w:bCs/>
        </w:rPr>
        <w:t xml:space="preserve"> </w:t>
      </w:r>
      <w:r w:rsidR="00D215FE">
        <w:rPr>
          <w:rFonts w:eastAsiaTheme="minorHAnsi"/>
          <w:bCs/>
        </w:rPr>
        <w:t>19</w:t>
      </w:r>
      <w:r w:rsidRPr="005F6F0A">
        <w:rPr>
          <w:rFonts w:eastAsiaTheme="minorHAnsi"/>
          <w:b/>
          <w:bCs/>
        </w:rPr>
        <w:t xml:space="preserve"> </w:t>
      </w:r>
      <w:r w:rsidRPr="005F6F0A">
        <w:rPr>
          <w:rFonts w:eastAsiaTheme="minorHAnsi"/>
          <w:bCs/>
        </w:rPr>
        <w:t>for a sample script for these contacts)</w:t>
      </w:r>
      <w:r w:rsidRPr="005F6F0A">
        <w:rPr>
          <w:rFonts w:eastAsiaTheme="minorHAnsi"/>
        </w:rPr>
        <w:t xml:space="preserve">. </w:t>
      </w:r>
    </w:p>
    <w:p w14:paraId="01BA43F5" w14:textId="77777777" w:rsidR="005F6F0A" w:rsidRDefault="005F6F0A" w:rsidP="005F6F0A">
      <w:pPr>
        <w:spacing w:before="3"/>
        <w:ind w:left="120" w:right="58" w:firstLine="720"/>
        <w:rPr>
          <w:rFonts w:eastAsiaTheme="minorHAnsi"/>
          <w:bCs/>
        </w:rPr>
      </w:pPr>
    </w:p>
    <w:p w14:paraId="61CDB5A4" w14:textId="244301E0" w:rsidR="005F6F0A" w:rsidRPr="005F6F0A" w:rsidRDefault="005F6F0A" w:rsidP="005F6F0A">
      <w:pPr>
        <w:pStyle w:val="ListParagraph"/>
        <w:numPr>
          <w:ilvl w:val="0"/>
          <w:numId w:val="12"/>
        </w:numPr>
        <w:spacing w:before="3"/>
        <w:ind w:right="58"/>
        <w:rPr>
          <w:rFonts w:eastAsiaTheme="minorHAnsi"/>
          <w:bCs/>
        </w:rPr>
      </w:pPr>
      <w:r w:rsidRPr="005F6F0A">
        <w:rPr>
          <w:rFonts w:eastAsiaTheme="minorHAnsi"/>
          <w:b/>
          <w:bCs/>
        </w:rPr>
        <w:t xml:space="preserve">Thank you letter. </w:t>
      </w:r>
      <w:r w:rsidRPr="005F6F0A">
        <w:rPr>
          <w:rFonts w:eastAsiaTheme="minorHAnsi"/>
          <w:bCs/>
        </w:rPr>
        <w:t>Within two weeks of the completion of data quality follow-up, a thank you letter (</w:t>
      </w:r>
      <w:r w:rsidRPr="00264A4A">
        <w:rPr>
          <w:rFonts w:eastAsiaTheme="minorHAnsi"/>
          <w:bCs/>
        </w:rPr>
        <w:t xml:space="preserve">Attachment </w:t>
      </w:r>
      <w:r w:rsidR="00371BC8">
        <w:rPr>
          <w:rFonts w:eastAsiaTheme="minorHAnsi"/>
          <w:bCs/>
        </w:rPr>
        <w:t>2</w:t>
      </w:r>
      <w:r w:rsidR="00D215FE">
        <w:rPr>
          <w:rFonts w:eastAsiaTheme="minorHAnsi"/>
          <w:bCs/>
        </w:rPr>
        <w:t>0</w:t>
      </w:r>
      <w:r w:rsidRPr="005F6F0A">
        <w:rPr>
          <w:rFonts w:eastAsiaTheme="minorHAnsi"/>
          <w:bCs/>
        </w:rPr>
        <w:t xml:space="preserve">) will be mailed to respondents. </w:t>
      </w:r>
      <w:r w:rsidRPr="005F6F0A">
        <w:rPr>
          <w:rFonts w:eastAsiaTheme="minorHAnsi"/>
          <w:b/>
          <w:bCs/>
        </w:rPr>
        <w:t xml:space="preserve"> </w:t>
      </w:r>
    </w:p>
    <w:p w14:paraId="6601D4FD" w14:textId="77777777" w:rsidR="00F82B68" w:rsidRDefault="00F82B68" w:rsidP="005F6F0A">
      <w:pPr>
        <w:spacing w:before="75"/>
        <w:ind w:left="43" w:right="58"/>
        <w:rPr>
          <w:rFonts w:eastAsiaTheme="minorHAnsi"/>
        </w:rPr>
      </w:pPr>
    </w:p>
    <w:p w14:paraId="3A8901BA" w14:textId="77777777" w:rsidR="005F6F0A" w:rsidRDefault="005F6F0A" w:rsidP="005F6F0A">
      <w:pPr>
        <w:spacing w:before="75"/>
        <w:ind w:left="43" w:right="58"/>
        <w:rPr>
          <w:rFonts w:eastAsiaTheme="minorHAnsi"/>
        </w:rPr>
      </w:pPr>
      <w:r w:rsidRPr="00446AE1">
        <w:rPr>
          <w:rFonts w:eastAsiaTheme="minorHAnsi"/>
        </w:rPr>
        <w:t>The table below</w:t>
      </w:r>
      <w:r>
        <w:rPr>
          <w:rFonts w:eastAsiaTheme="minorHAnsi"/>
        </w:rPr>
        <w:t xml:space="preserve"> provides an overview of data collection contacts with their corresponding attachment.</w:t>
      </w:r>
    </w:p>
    <w:p w14:paraId="35141343" w14:textId="77777777" w:rsidR="005F6F0A" w:rsidRDefault="005F6F0A" w:rsidP="005F6F0A">
      <w:pPr>
        <w:spacing w:before="75"/>
        <w:ind w:left="43" w:right="58" w:firstLine="720"/>
        <w:rPr>
          <w:rFonts w:eastAsiaTheme="minorHAnsi"/>
        </w:rPr>
      </w:pPr>
    </w:p>
    <w:p w14:paraId="04EF4AE9" w14:textId="4B75170B" w:rsidR="005F6F0A" w:rsidRPr="00AF7385" w:rsidRDefault="005F6F0A" w:rsidP="00F82B68">
      <w:pPr>
        <w:spacing w:before="75"/>
        <w:ind w:right="58"/>
        <w:rPr>
          <w:rFonts w:eastAsiaTheme="minorHAnsi"/>
          <w:bCs/>
        </w:rPr>
      </w:pPr>
      <w:r w:rsidRPr="003E0C16">
        <w:rPr>
          <w:rFonts w:eastAsiaTheme="minorHAnsi"/>
          <w:b/>
        </w:rPr>
        <w:t>2019 CCF Contact</w:t>
      </w:r>
      <w:r>
        <w:rPr>
          <w:rFonts w:eastAsiaTheme="minorHAnsi"/>
          <w:b/>
        </w:rPr>
        <w:t>s</w:t>
      </w:r>
    </w:p>
    <w:tbl>
      <w:tblPr>
        <w:tblW w:w="9350" w:type="dxa"/>
        <w:tblInd w:w="5" w:type="dxa"/>
        <w:tblLook w:val="04A0" w:firstRow="1" w:lastRow="0" w:firstColumn="1" w:lastColumn="0" w:noHBand="0" w:noVBand="1"/>
      </w:tblPr>
      <w:tblGrid>
        <w:gridCol w:w="5760"/>
        <w:gridCol w:w="1195"/>
        <w:gridCol w:w="2395"/>
      </w:tblGrid>
      <w:tr w:rsidR="005F6F0A" w14:paraId="4C26E1E2" w14:textId="77777777" w:rsidTr="005F6F0A">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8B22" w14:textId="77777777" w:rsidR="005F6F0A" w:rsidRPr="007D43B8" w:rsidRDefault="005F6F0A" w:rsidP="005F6F0A">
            <w:pPr>
              <w:rPr>
                <w:b/>
                <w:bCs/>
                <w:color w:val="000000"/>
                <w:sz w:val="22"/>
                <w:szCs w:val="22"/>
              </w:rPr>
            </w:pPr>
            <w:r w:rsidRPr="007D43B8">
              <w:rPr>
                <w:b/>
                <w:bCs/>
                <w:color w:val="000000"/>
                <w:sz w:val="22"/>
                <w:szCs w:val="22"/>
              </w:rPr>
              <w:t>Contact description</w:t>
            </w:r>
          </w:p>
        </w:tc>
        <w:tc>
          <w:tcPr>
            <w:tcW w:w="1195" w:type="dxa"/>
            <w:tcBorders>
              <w:top w:val="single" w:sz="4" w:space="0" w:color="auto"/>
              <w:left w:val="nil"/>
              <w:bottom w:val="single" w:sz="4" w:space="0" w:color="auto"/>
              <w:right w:val="nil"/>
            </w:tcBorders>
          </w:tcPr>
          <w:p w14:paraId="4DFB83EC" w14:textId="77777777" w:rsidR="005F6F0A" w:rsidRPr="007D43B8" w:rsidRDefault="005F6F0A" w:rsidP="005F6F0A">
            <w:pPr>
              <w:jc w:val="center"/>
              <w:rPr>
                <w:b/>
                <w:bCs/>
                <w:color w:val="000000"/>
                <w:sz w:val="22"/>
                <w:szCs w:val="22"/>
              </w:rPr>
            </w:pPr>
          </w:p>
        </w:tc>
        <w:tc>
          <w:tcPr>
            <w:tcW w:w="2395" w:type="dxa"/>
            <w:tcBorders>
              <w:top w:val="single" w:sz="4" w:space="0" w:color="auto"/>
              <w:left w:val="nil"/>
              <w:bottom w:val="single" w:sz="4" w:space="0" w:color="auto"/>
              <w:right w:val="single" w:sz="4" w:space="0" w:color="auto"/>
            </w:tcBorders>
            <w:shd w:val="clear" w:color="auto" w:fill="auto"/>
            <w:noWrap/>
            <w:vAlign w:val="bottom"/>
            <w:hideMark/>
          </w:tcPr>
          <w:p w14:paraId="4500D637" w14:textId="77777777" w:rsidR="005F6F0A" w:rsidRPr="007D43B8" w:rsidRDefault="005F6F0A" w:rsidP="005F6F0A">
            <w:pPr>
              <w:jc w:val="center"/>
              <w:rPr>
                <w:b/>
                <w:bCs/>
                <w:color w:val="000000"/>
                <w:sz w:val="22"/>
                <w:szCs w:val="22"/>
              </w:rPr>
            </w:pPr>
            <w:r w:rsidRPr="007D43B8">
              <w:rPr>
                <w:b/>
                <w:bCs/>
                <w:color w:val="000000"/>
                <w:sz w:val="22"/>
                <w:szCs w:val="22"/>
              </w:rPr>
              <w:t>Attachment</w:t>
            </w:r>
          </w:p>
        </w:tc>
      </w:tr>
      <w:tr w:rsidR="005F6F0A" w14:paraId="6A77CF8D" w14:textId="77777777" w:rsidTr="005F6F0A">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14:paraId="0AB47625" w14:textId="3FB14A94" w:rsidR="005F6F0A" w:rsidRPr="007D43B8" w:rsidRDefault="00C71016" w:rsidP="005F6F0A">
            <w:pPr>
              <w:rPr>
                <w:bCs/>
                <w:color w:val="000000"/>
                <w:sz w:val="22"/>
                <w:szCs w:val="22"/>
              </w:rPr>
            </w:pPr>
            <w:r>
              <w:rPr>
                <w:bCs/>
                <w:color w:val="000000"/>
                <w:sz w:val="22"/>
                <w:szCs w:val="22"/>
              </w:rPr>
              <w:t>Agency Head POC designation letter</w:t>
            </w:r>
          </w:p>
        </w:tc>
        <w:tc>
          <w:tcPr>
            <w:tcW w:w="1195" w:type="dxa"/>
            <w:tcBorders>
              <w:top w:val="nil"/>
              <w:left w:val="nil"/>
              <w:bottom w:val="single" w:sz="4" w:space="0" w:color="auto"/>
              <w:right w:val="nil"/>
            </w:tcBorders>
          </w:tcPr>
          <w:p w14:paraId="48251127" w14:textId="77777777" w:rsidR="005F6F0A" w:rsidRDefault="005F6F0A" w:rsidP="005F6F0A">
            <w:pPr>
              <w:jc w:val="center"/>
              <w:rPr>
                <w:bCs/>
                <w:color w:val="000000"/>
                <w:sz w:val="22"/>
                <w:szCs w:val="22"/>
              </w:rPr>
            </w:pPr>
          </w:p>
        </w:tc>
        <w:tc>
          <w:tcPr>
            <w:tcW w:w="2395" w:type="dxa"/>
            <w:tcBorders>
              <w:top w:val="nil"/>
              <w:left w:val="nil"/>
              <w:bottom w:val="single" w:sz="4" w:space="0" w:color="auto"/>
              <w:right w:val="single" w:sz="4" w:space="0" w:color="auto"/>
            </w:tcBorders>
            <w:shd w:val="clear" w:color="auto" w:fill="auto"/>
            <w:noWrap/>
            <w:vAlign w:val="bottom"/>
          </w:tcPr>
          <w:p w14:paraId="510FE959" w14:textId="3E14899C" w:rsidR="005F6F0A" w:rsidRPr="007D43B8" w:rsidRDefault="00C71016" w:rsidP="005F6F0A">
            <w:pPr>
              <w:jc w:val="center"/>
              <w:rPr>
                <w:bCs/>
                <w:color w:val="000000"/>
                <w:sz w:val="22"/>
                <w:szCs w:val="22"/>
              </w:rPr>
            </w:pPr>
            <w:r>
              <w:rPr>
                <w:bCs/>
                <w:color w:val="000000"/>
                <w:sz w:val="22"/>
                <w:szCs w:val="22"/>
              </w:rPr>
              <w:t>9</w:t>
            </w:r>
          </w:p>
        </w:tc>
      </w:tr>
      <w:tr w:rsidR="00C71016" w14:paraId="0257761D" w14:textId="77777777" w:rsidTr="005F6F0A">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tcPr>
          <w:p w14:paraId="3B5EAEA0" w14:textId="0F86F645" w:rsidR="00C71016" w:rsidRDefault="00C71016" w:rsidP="005F6F0A">
            <w:pPr>
              <w:rPr>
                <w:bCs/>
                <w:color w:val="000000"/>
                <w:sz w:val="22"/>
                <w:szCs w:val="22"/>
              </w:rPr>
            </w:pPr>
            <w:r>
              <w:rPr>
                <w:bCs/>
                <w:color w:val="000000"/>
                <w:sz w:val="22"/>
                <w:szCs w:val="22"/>
              </w:rPr>
              <w:t>Pre-notification letter</w:t>
            </w:r>
          </w:p>
        </w:tc>
        <w:tc>
          <w:tcPr>
            <w:tcW w:w="1195" w:type="dxa"/>
            <w:tcBorders>
              <w:top w:val="nil"/>
              <w:left w:val="nil"/>
              <w:bottom w:val="single" w:sz="4" w:space="0" w:color="auto"/>
              <w:right w:val="nil"/>
            </w:tcBorders>
          </w:tcPr>
          <w:p w14:paraId="3A5E16C7" w14:textId="77777777" w:rsidR="00C71016" w:rsidRDefault="00C71016" w:rsidP="005F6F0A">
            <w:pPr>
              <w:jc w:val="center"/>
              <w:rPr>
                <w:bCs/>
                <w:color w:val="000000"/>
                <w:sz w:val="22"/>
                <w:szCs w:val="22"/>
              </w:rPr>
            </w:pPr>
          </w:p>
        </w:tc>
        <w:tc>
          <w:tcPr>
            <w:tcW w:w="2395" w:type="dxa"/>
            <w:tcBorders>
              <w:top w:val="nil"/>
              <w:left w:val="nil"/>
              <w:bottom w:val="single" w:sz="4" w:space="0" w:color="auto"/>
              <w:right w:val="single" w:sz="4" w:space="0" w:color="auto"/>
            </w:tcBorders>
            <w:shd w:val="clear" w:color="auto" w:fill="auto"/>
            <w:noWrap/>
            <w:vAlign w:val="bottom"/>
          </w:tcPr>
          <w:p w14:paraId="469CA44A" w14:textId="0672D5E6" w:rsidR="00C71016" w:rsidRDefault="00C71016" w:rsidP="005F6F0A">
            <w:pPr>
              <w:jc w:val="center"/>
              <w:rPr>
                <w:bCs/>
                <w:color w:val="000000"/>
                <w:sz w:val="22"/>
                <w:szCs w:val="22"/>
              </w:rPr>
            </w:pPr>
            <w:r>
              <w:rPr>
                <w:bCs/>
                <w:color w:val="000000"/>
                <w:sz w:val="22"/>
                <w:szCs w:val="22"/>
              </w:rPr>
              <w:t>11</w:t>
            </w:r>
          </w:p>
        </w:tc>
      </w:tr>
      <w:tr w:rsidR="00C71016" w14:paraId="4CE69151" w14:textId="77777777" w:rsidTr="005F6F0A">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tcPr>
          <w:p w14:paraId="60E25E14" w14:textId="7E849099" w:rsidR="00C71016" w:rsidRDefault="00C71016" w:rsidP="005F6F0A">
            <w:pPr>
              <w:rPr>
                <w:bCs/>
                <w:color w:val="000000"/>
                <w:sz w:val="22"/>
                <w:szCs w:val="22"/>
              </w:rPr>
            </w:pPr>
            <w:r>
              <w:rPr>
                <w:bCs/>
                <w:color w:val="000000"/>
                <w:sz w:val="22"/>
                <w:szCs w:val="22"/>
              </w:rPr>
              <w:t>Invitation letter</w:t>
            </w:r>
          </w:p>
        </w:tc>
        <w:tc>
          <w:tcPr>
            <w:tcW w:w="1195" w:type="dxa"/>
            <w:tcBorders>
              <w:top w:val="nil"/>
              <w:left w:val="nil"/>
              <w:bottom w:val="single" w:sz="4" w:space="0" w:color="auto"/>
              <w:right w:val="nil"/>
            </w:tcBorders>
          </w:tcPr>
          <w:p w14:paraId="674012CF" w14:textId="77777777" w:rsidR="00C71016" w:rsidRDefault="00C71016" w:rsidP="005F6F0A">
            <w:pPr>
              <w:jc w:val="center"/>
              <w:rPr>
                <w:bCs/>
                <w:color w:val="000000"/>
                <w:sz w:val="22"/>
                <w:szCs w:val="22"/>
              </w:rPr>
            </w:pPr>
          </w:p>
        </w:tc>
        <w:tc>
          <w:tcPr>
            <w:tcW w:w="2395" w:type="dxa"/>
            <w:tcBorders>
              <w:top w:val="nil"/>
              <w:left w:val="nil"/>
              <w:bottom w:val="single" w:sz="4" w:space="0" w:color="auto"/>
              <w:right w:val="single" w:sz="4" w:space="0" w:color="auto"/>
            </w:tcBorders>
            <w:shd w:val="clear" w:color="auto" w:fill="auto"/>
            <w:noWrap/>
            <w:vAlign w:val="bottom"/>
          </w:tcPr>
          <w:p w14:paraId="201E7E78" w14:textId="3EAC38B1" w:rsidR="00C71016" w:rsidRDefault="00C71016" w:rsidP="005F6F0A">
            <w:pPr>
              <w:jc w:val="center"/>
              <w:rPr>
                <w:bCs/>
                <w:color w:val="000000"/>
                <w:sz w:val="22"/>
                <w:szCs w:val="22"/>
              </w:rPr>
            </w:pPr>
            <w:r>
              <w:rPr>
                <w:bCs/>
                <w:color w:val="000000"/>
                <w:sz w:val="22"/>
                <w:szCs w:val="22"/>
              </w:rPr>
              <w:t>12, 13</w:t>
            </w:r>
          </w:p>
        </w:tc>
      </w:tr>
      <w:tr w:rsidR="005F6F0A" w14:paraId="15F39C6E" w14:textId="77777777" w:rsidTr="005F6F0A">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14:paraId="58FCCB41" w14:textId="77777777" w:rsidR="005F6F0A" w:rsidRPr="007D43B8" w:rsidRDefault="005F6F0A" w:rsidP="005F6F0A">
            <w:pPr>
              <w:rPr>
                <w:bCs/>
                <w:color w:val="000000"/>
                <w:sz w:val="22"/>
                <w:szCs w:val="22"/>
              </w:rPr>
            </w:pPr>
            <w:r>
              <w:rPr>
                <w:bCs/>
                <w:color w:val="000000"/>
                <w:sz w:val="22"/>
                <w:szCs w:val="22"/>
              </w:rPr>
              <w:t>1</w:t>
            </w:r>
            <w:r w:rsidRPr="007D43B8">
              <w:rPr>
                <w:bCs/>
                <w:color w:val="000000"/>
                <w:sz w:val="22"/>
                <w:szCs w:val="22"/>
              </w:rPr>
              <w:t>st reminder</w:t>
            </w:r>
            <w:r>
              <w:rPr>
                <w:bCs/>
                <w:color w:val="000000"/>
                <w:sz w:val="22"/>
                <w:szCs w:val="22"/>
              </w:rPr>
              <w:t xml:space="preserve"> e-mail</w:t>
            </w:r>
          </w:p>
        </w:tc>
        <w:tc>
          <w:tcPr>
            <w:tcW w:w="1195" w:type="dxa"/>
            <w:tcBorders>
              <w:top w:val="nil"/>
              <w:left w:val="nil"/>
              <w:bottom w:val="single" w:sz="4" w:space="0" w:color="auto"/>
              <w:right w:val="nil"/>
            </w:tcBorders>
          </w:tcPr>
          <w:p w14:paraId="750E6C1B" w14:textId="77777777" w:rsidR="005F6F0A" w:rsidRDefault="005F6F0A" w:rsidP="005F6F0A">
            <w:pPr>
              <w:jc w:val="center"/>
              <w:rPr>
                <w:bCs/>
                <w:color w:val="000000"/>
                <w:sz w:val="22"/>
                <w:szCs w:val="22"/>
              </w:rPr>
            </w:pPr>
          </w:p>
        </w:tc>
        <w:tc>
          <w:tcPr>
            <w:tcW w:w="2395" w:type="dxa"/>
            <w:tcBorders>
              <w:top w:val="nil"/>
              <w:left w:val="nil"/>
              <w:bottom w:val="single" w:sz="4" w:space="0" w:color="auto"/>
              <w:right w:val="single" w:sz="4" w:space="0" w:color="auto"/>
            </w:tcBorders>
            <w:shd w:val="clear" w:color="auto" w:fill="auto"/>
            <w:noWrap/>
            <w:vAlign w:val="bottom"/>
          </w:tcPr>
          <w:p w14:paraId="45562C70" w14:textId="2CA25A0B" w:rsidR="005F6F0A" w:rsidRPr="007D43B8" w:rsidRDefault="00066FF3" w:rsidP="00066FF3">
            <w:pPr>
              <w:jc w:val="center"/>
              <w:rPr>
                <w:bCs/>
                <w:color w:val="000000"/>
                <w:sz w:val="22"/>
                <w:szCs w:val="22"/>
              </w:rPr>
            </w:pPr>
            <w:r>
              <w:rPr>
                <w:bCs/>
                <w:color w:val="000000"/>
                <w:sz w:val="22"/>
                <w:szCs w:val="22"/>
              </w:rPr>
              <w:t>14</w:t>
            </w:r>
          </w:p>
        </w:tc>
      </w:tr>
      <w:tr w:rsidR="005F6F0A" w14:paraId="13C97D95" w14:textId="77777777" w:rsidTr="005F6F0A">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tcPr>
          <w:p w14:paraId="3DC4F656" w14:textId="77777777" w:rsidR="005F6F0A" w:rsidRPr="007D43B8" w:rsidDel="00EF6C37" w:rsidRDefault="005F6F0A" w:rsidP="005F6F0A">
            <w:pPr>
              <w:rPr>
                <w:bCs/>
                <w:color w:val="000000"/>
                <w:sz w:val="22"/>
                <w:szCs w:val="22"/>
              </w:rPr>
            </w:pPr>
            <w:r>
              <w:rPr>
                <w:bCs/>
                <w:color w:val="000000"/>
                <w:sz w:val="22"/>
                <w:szCs w:val="22"/>
              </w:rPr>
              <w:t>Start telephone nonresponse follow-up</w:t>
            </w:r>
          </w:p>
        </w:tc>
        <w:tc>
          <w:tcPr>
            <w:tcW w:w="1195" w:type="dxa"/>
            <w:tcBorders>
              <w:top w:val="nil"/>
              <w:left w:val="nil"/>
              <w:bottom w:val="single" w:sz="4" w:space="0" w:color="auto"/>
              <w:right w:val="nil"/>
            </w:tcBorders>
          </w:tcPr>
          <w:p w14:paraId="482B1AEE" w14:textId="77777777" w:rsidR="005F6F0A" w:rsidRDefault="005F6F0A" w:rsidP="005F6F0A">
            <w:pPr>
              <w:jc w:val="center"/>
              <w:rPr>
                <w:bCs/>
                <w:color w:val="000000"/>
                <w:sz w:val="22"/>
                <w:szCs w:val="22"/>
              </w:rPr>
            </w:pPr>
          </w:p>
        </w:tc>
        <w:tc>
          <w:tcPr>
            <w:tcW w:w="2395" w:type="dxa"/>
            <w:tcBorders>
              <w:top w:val="nil"/>
              <w:left w:val="nil"/>
              <w:bottom w:val="single" w:sz="4" w:space="0" w:color="auto"/>
              <w:right w:val="single" w:sz="4" w:space="0" w:color="auto"/>
            </w:tcBorders>
            <w:shd w:val="clear" w:color="auto" w:fill="auto"/>
            <w:noWrap/>
            <w:vAlign w:val="bottom"/>
          </w:tcPr>
          <w:p w14:paraId="38B5068F" w14:textId="237DB8B1" w:rsidR="005F6F0A" w:rsidRDefault="00066FF3" w:rsidP="00066FF3">
            <w:pPr>
              <w:jc w:val="center"/>
              <w:rPr>
                <w:bCs/>
                <w:color w:val="000000"/>
                <w:sz w:val="22"/>
                <w:szCs w:val="22"/>
              </w:rPr>
            </w:pPr>
            <w:r>
              <w:rPr>
                <w:bCs/>
                <w:color w:val="000000"/>
                <w:sz w:val="22"/>
                <w:szCs w:val="22"/>
              </w:rPr>
              <w:t>15</w:t>
            </w:r>
          </w:p>
        </w:tc>
      </w:tr>
      <w:tr w:rsidR="005F6F0A" w14:paraId="15C93CFE" w14:textId="77777777" w:rsidTr="005F6F0A">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14:paraId="33E38A9B" w14:textId="77777777" w:rsidR="005F6F0A" w:rsidRPr="007D43B8" w:rsidRDefault="005F6F0A" w:rsidP="005F6F0A">
            <w:pPr>
              <w:rPr>
                <w:bCs/>
                <w:color w:val="000000"/>
                <w:sz w:val="22"/>
                <w:szCs w:val="22"/>
              </w:rPr>
            </w:pPr>
            <w:r>
              <w:rPr>
                <w:bCs/>
                <w:color w:val="000000"/>
                <w:sz w:val="22"/>
                <w:szCs w:val="22"/>
              </w:rPr>
              <w:t>2</w:t>
            </w:r>
            <w:r w:rsidRPr="00714DD5">
              <w:rPr>
                <w:bCs/>
                <w:color w:val="000000"/>
                <w:sz w:val="22"/>
                <w:szCs w:val="22"/>
              </w:rPr>
              <w:t>nd</w:t>
            </w:r>
            <w:r>
              <w:rPr>
                <w:bCs/>
                <w:color w:val="000000"/>
                <w:sz w:val="22"/>
                <w:szCs w:val="22"/>
              </w:rPr>
              <w:t xml:space="preserve"> reminder letter and e-mail</w:t>
            </w:r>
          </w:p>
        </w:tc>
        <w:tc>
          <w:tcPr>
            <w:tcW w:w="1195" w:type="dxa"/>
            <w:tcBorders>
              <w:top w:val="nil"/>
              <w:left w:val="nil"/>
              <w:bottom w:val="single" w:sz="4" w:space="0" w:color="auto"/>
              <w:right w:val="nil"/>
            </w:tcBorders>
          </w:tcPr>
          <w:p w14:paraId="3B492F1B" w14:textId="77777777" w:rsidR="005F6F0A" w:rsidRDefault="005F6F0A" w:rsidP="005F6F0A">
            <w:pPr>
              <w:jc w:val="center"/>
              <w:rPr>
                <w:bCs/>
                <w:color w:val="000000"/>
                <w:sz w:val="22"/>
                <w:szCs w:val="22"/>
              </w:rPr>
            </w:pPr>
          </w:p>
        </w:tc>
        <w:tc>
          <w:tcPr>
            <w:tcW w:w="2395" w:type="dxa"/>
            <w:tcBorders>
              <w:top w:val="nil"/>
              <w:left w:val="nil"/>
              <w:bottom w:val="single" w:sz="4" w:space="0" w:color="auto"/>
              <w:right w:val="single" w:sz="4" w:space="0" w:color="auto"/>
            </w:tcBorders>
            <w:shd w:val="clear" w:color="auto" w:fill="auto"/>
            <w:noWrap/>
            <w:vAlign w:val="bottom"/>
          </w:tcPr>
          <w:p w14:paraId="01A0EDA3" w14:textId="466A178B" w:rsidR="005F6F0A" w:rsidRPr="007D43B8" w:rsidRDefault="00066FF3" w:rsidP="00066FF3">
            <w:pPr>
              <w:jc w:val="center"/>
              <w:rPr>
                <w:bCs/>
                <w:color w:val="000000"/>
                <w:sz w:val="22"/>
                <w:szCs w:val="22"/>
              </w:rPr>
            </w:pPr>
            <w:r>
              <w:rPr>
                <w:bCs/>
                <w:color w:val="000000"/>
                <w:sz w:val="22"/>
                <w:szCs w:val="22"/>
              </w:rPr>
              <w:t>16</w:t>
            </w:r>
          </w:p>
        </w:tc>
      </w:tr>
      <w:tr w:rsidR="005F6F0A" w14:paraId="49519197" w14:textId="77777777" w:rsidTr="005F6F0A">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8748" w14:textId="77777777" w:rsidR="005F6F0A" w:rsidRPr="007D43B8" w:rsidRDefault="005F6F0A" w:rsidP="005F6F0A">
            <w:pPr>
              <w:rPr>
                <w:bCs/>
                <w:color w:val="000000"/>
                <w:sz w:val="22"/>
                <w:szCs w:val="22"/>
              </w:rPr>
            </w:pPr>
            <w:r>
              <w:rPr>
                <w:bCs/>
                <w:color w:val="000000"/>
                <w:sz w:val="22"/>
                <w:szCs w:val="22"/>
              </w:rPr>
              <w:t>Closeout/final reminder letter</w:t>
            </w:r>
            <w:r w:rsidR="00D029D3">
              <w:rPr>
                <w:bCs/>
                <w:color w:val="000000"/>
                <w:sz w:val="22"/>
                <w:szCs w:val="22"/>
              </w:rPr>
              <w:t>s</w:t>
            </w:r>
            <w:r>
              <w:rPr>
                <w:bCs/>
                <w:color w:val="000000"/>
                <w:sz w:val="22"/>
                <w:szCs w:val="22"/>
              </w:rPr>
              <w:t xml:space="preserve"> to individual and central respondents</w:t>
            </w:r>
          </w:p>
        </w:tc>
        <w:tc>
          <w:tcPr>
            <w:tcW w:w="1195" w:type="dxa"/>
            <w:tcBorders>
              <w:top w:val="single" w:sz="4" w:space="0" w:color="auto"/>
              <w:left w:val="nil"/>
              <w:bottom w:val="single" w:sz="4" w:space="0" w:color="auto"/>
              <w:right w:val="nil"/>
            </w:tcBorders>
          </w:tcPr>
          <w:p w14:paraId="7493C489" w14:textId="77777777" w:rsidR="005F6F0A" w:rsidRDefault="005F6F0A" w:rsidP="005F6F0A">
            <w:pPr>
              <w:jc w:val="center"/>
              <w:rPr>
                <w:bCs/>
                <w:color w:val="000000"/>
                <w:sz w:val="22"/>
                <w:szCs w:val="22"/>
              </w:rPr>
            </w:pPr>
          </w:p>
        </w:tc>
        <w:tc>
          <w:tcPr>
            <w:tcW w:w="2395" w:type="dxa"/>
            <w:tcBorders>
              <w:top w:val="single" w:sz="4" w:space="0" w:color="auto"/>
              <w:left w:val="nil"/>
              <w:bottom w:val="single" w:sz="4" w:space="0" w:color="auto"/>
              <w:right w:val="single" w:sz="4" w:space="0" w:color="auto"/>
            </w:tcBorders>
            <w:shd w:val="clear" w:color="auto" w:fill="auto"/>
            <w:noWrap/>
            <w:vAlign w:val="bottom"/>
          </w:tcPr>
          <w:p w14:paraId="63E7A92A" w14:textId="15726B00" w:rsidR="005F6F0A" w:rsidRPr="007D43B8" w:rsidRDefault="005F6F0A" w:rsidP="00D029D3">
            <w:pPr>
              <w:jc w:val="center"/>
              <w:rPr>
                <w:bCs/>
                <w:color w:val="000000"/>
                <w:sz w:val="22"/>
                <w:szCs w:val="22"/>
              </w:rPr>
            </w:pPr>
            <w:r>
              <w:rPr>
                <w:bCs/>
                <w:color w:val="000000"/>
                <w:sz w:val="22"/>
                <w:szCs w:val="22"/>
              </w:rPr>
              <w:t>1</w:t>
            </w:r>
            <w:r w:rsidR="00D029D3">
              <w:rPr>
                <w:bCs/>
                <w:color w:val="000000"/>
                <w:sz w:val="22"/>
                <w:szCs w:val="22"/>
              </w:rPr>
              <w:t>7</w:t>
            </w:r>
            <w:r w:rsidR="00066FF3">
              <w:rPr>
                <w:bCs/>
                <w:color w:val="000000"/>
                <w:sz w:val="22"/>
                <w:szCs w:val="22"/>
              </w:rPr>
              <w:t>, 18</w:t>
            </w:r>
          </w:p>
        </w:tc>
      </w:tr>
      <w:tr w:rsidR="005F6F0A" w14:paraId="08EA3D03" w14:textId="77777777" w:rsidTr="005F6F0A">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B25D2" w14:textId="77777777" w:rsidR="005F6F0A" w:rsidDel="001B142A" w:rsidRDefault="005F6F0A" w:rsidP="005F6F0A">
            <w:pPr>
              <w:rPr>
                <w:bCs/>
                <w:color w:val="000000"/>
                <w:sz w:val="22"/>
                <w:szCs w:val="22"/>
              </w:rPr>
            </w:pPr>
            <w:r>
              <w:rPr>
                <w:bCs/>
                <w:color w:val="000000"/>
                <w:sz w:val="22"/>
                <w:szCs w:val="22"/>
              </w:rPr>
              <w:t>Telephone and e-mail data quality follow-up</w:t>
            </w:r>
          </w:p>
        </w:tc>
        <w:tc>
          <w:tcPr>
            <w:tcW w:w="1195" w:type="dxa"/>
            <w:tcBorders>
              <w:top w:val="single" w:sz="4" w:space="0" w:color="auto"/>
              <w:left w:val="nil"/>
              <w:bottom w:val="single" w:sz="4" w:space="0" w:color="auto"/>
              <w:right w:val="nil"/>
            </w:tcBorders>
          </w:tcPr>
          <w:p w14:paraId="32F6CC92" w14:textId="77777777" w:rsidR="005F6F0A" w:rsidRDefault="005F6F0A" w:rsidP="005F6F0A">
            <w:pPr>
              <w:jc w:val="center"/>
              <w:rPr>
                <w:bCs/>
                <w:color w:val="000000"/>
                <w:sz w:val="22"/>
                <w:szCs w:val="22"/>
              </w:rPr>
            </w:pPr>
          </w:p>
        </w:tc>
        <w:tc>
          <w:tcPr>
            <w:tcW w:w="2395" w:type="dxa"/>
            <w:tcBorders>
              <w:top w:val="single" w:sz="4" w:space="0" w:color="auto"/>
              <w:left w:val="nil"/>
              <w:bottom w:val="single" w:sz="4" w:space="0" w:color="auto"/>
              <w:right w:val="single" w:sz="4" w:space="0" w:color="auto"/>
            </w:tcBorders>
            <w:shd w:val="clear" w:color="auto" w:fill="auto"/>
            <w:noWrap/>
            <w:vAlign w:val="bottom"/>
          </w:tcPr>
          <w:p w14:paraId="4112CA5E" w14:textId="7711B941" w:rsidR="005F6F0A" w:rsidRDefault="00066FF3" w:rsidP="009C0D5C">
            <w:pPr>
              <w:jc w:val="center"/>
              <w:rPr>
                <w:bCs/>
                <w:color w:val="000000"/>
                <w:sz w:val="22"/>
                <w:szCs w:val="22"/>
              </w:rPr>
            </w:pPr>
            <w:r>
              <w:rPr>
                <w:bCs/>
                <w:color w:val="000000"/>
                <w:sz w:val="22"/>
                <w:szCs w:val="22"/>
              </w:rPr>
              <w:t>19</w:t>
            </w:r>
          </w:p>
        </w:tc>
      </w:tr>
      <w:tr w:rsidR="005F6F0A" w14:paraId="64D279EE" w14:textId="77777777" w:rsidTr="005F6F0A">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34CCC" w14:textId="77777777" w:rsidR="005F6F0A" w:rsidRDefault="005F6F0A" w:rsidP="005F6F0A">
            <w:pPr>
              <w:rPr>
                <w:bCs/>
                <w:color w:val="000000"/>
                <w:sz w:val="22"/>
                <w:szCs w:val="22"/>
              </w:rPr>
            </w:pPr>
            <w:r>
              <w:rPr>
                <w:bCs/>
                <w:color w:val="000000"/>
                <w:sz w:val="22"/>
                <w:szCs w:val="22"/>
              </w:rPr>
              <w:t>Thank you letter</w:t>
            </w:r>
          </w:p>
        </w:tc>
        <w:tc>
          <w:tcPr>
            <w:tcW w:w="1195" w:type="dxa"/>
            <w:tcBorders>
              <w:top w:val="single" w:sz="4" w:space="0" w:color="auto"/>
              <w:left w:val="nil"/>
              <w:bottom w:val="single" w:sz="4" w:space="0" w:color="auto"/>
              <w:right w:val="nil"/>
            </w:tcBorders>
          </w:tcPr>
          <w:p w14:paraId="5415E422" w14:textId="77777777" w:rsidR="005F6F0A" w:rsidRDefault="005F6F0A" w:rsidP="005F6F0A">
            <w:pPr>
              <w:jc w:val="center"/>
              <w:rPr>
                <w:bCs/>
                <w:color w:val="000000"/>
                <w:sz w:val="22"/>
                <w:szCs w:val="22"/>
              </w:rPr>
            </w:pPr>
          </w:p>
        </w:tc>
        <w:tc>
          <w:tcPr>
            <w:tcW w:w="2395" w:type="dxa"/>
            <w:tcBorders>
              <w:top w:val="single" w:sz="4" w:space="0" w:color="auto"/>
              <w:left w:val="nil"/>
              <w:bottom w:val="single" w:sz="4" w:space="0" w:color="auto"/>
              <w:right w:val="single" w:sz="4" w:space="0" w:color="auto"/>
            </w:tcBorders>
            <w:shd w:val="clear" w:color="auto" w:fill="auto"/>
            <w:noWrap/>
            <w:vAlign w:val="bottom"/>
          </w:tcPr>
          <w:p w14:paraId="66DDC4C4" w14:textId="7DFCF596" w:rsidR="005F6F0A" w:rsidRDefault="00066FF3" w:rsidP="005F6F0A">
            <w:pPr>
              <w:jc w:val="center"/>
              <w:rPr>
                <w:bCs/>
                <w:color w:val="000000"/>
                <w:sz w:val="22"/>
                <w:szCs w:val="22"/>
              </w:rPr>
            </w:pPr>
            <w:r>
              <w:rPr>
                <w:bCs/>
                <w:color w:val="000000"/>
                <w:sz w:val="22"/>
                <w:szCs w:val="22"/>
              </w:rPr>
              <w:t>20</w:t>
            </w:r>
          </w:p>
        </w:tc>
      </w:tr>
    </w:tbl>
    <w:p w14:paraId="799C7A6C" w14:textId="77777777" w:rsidR="005F6F0A" w:rsidRDefault="005F6F0A" w:rsidP="005F6F0A">
      <w:pPr>
        <w:spacing w:before="75"/>
        <w:ind w:left="43" w:right="58" w:firstLine="720"/>
        <w:rPr>
          <w:rFonts w:eastAsiaTheme="minorHAnsi"/>
        </w:rPr>
      </w:pPr>
    </w:p>
    <w:p w14:paraId="03116EB5" w14:textId="77777777" w:rsidR="00517C35" w:rsidRDefault="00517C35" w:rsidP="00517C35">
      <w:pPr>
        <w:pStyle w:val="ListParagraph"/>
        <w:keepNext/>
        <w:keepLines/>
        <w:ind w:left="0"/>
      </w:pPr>
      <w:r w:rsidRPr="005F6F0A">
        <w:rPr>
          <w:i/>
        </w:rPr>
        <w:t>Data Entry</w:t>
      </w:r>
      <w:r w:rsidR="0046323C">
        <w:rPr>
          <w:i/>
        </w:rPr>
        <w:t xml:space="preserve"> </w:t>
      </w:r>
    </w:p>
    <w:p w14:paraId="4ED0D7C4" w14:textId="77777777" w:rsidR="00517C35" w:rsidRDefault="00517C35" w:rsidP="00517C35">
      <w:pPr>
        <w:pStyle w:val="ListParagraph"/>
        <w:keepNext/>
        <w:keepLines/>
        <w:ind w:left="0"/>
      </w:pPr>
    </w:p>
    <w:p w14:paraId="3CF25505" w14:textId="77777777" w:rsidR="00792B54" w:rsidRDefault="00517C35" w:rsidP="00517C35">
      <w:pPr>
        <w:pStyle w:val="ListParagraph"/>
        <w:keepNext/>
        <w:keepLines/>
        <w:ind w:left="0"/>
      </w:pPr>
      <w:r w:rsidRPr="0075165F">
        <w:t xml:space="preserve">Respondents completing the web instrument will enter their responses directly into the online instrument. For those respondents returning </w:t>
      </w:r>
      <w:r>
        <w:t xml:space="preserve">a </w:t>
      </w:r>
      <w:r w:rsidRPr="0075165F">
        <w:t xml:space="preserve">hardcopy </w:t>
      </w:r>
      <w:r>
        <w:t xml:space="preserve">form </w:t>
      </w:r>
      <w:r w:rsidR="00AC7B3D">
        <w:t xml:space="preserve">via </w:t>
      </w:r>
      <w:r w:rsidRPr="0075165F">
        <w:t xml:space="preserve">mail or fax, </w:t>
      </w:r>
      <w:r>
        <w:t>RTI staff will enter the data elements into the web instrument form</w:t>
      </w:r>
      <w:r w:rsidRPr="0075165F">
        <w:t xml:space="preserve">. </w:t>
      </w:r>
      <w:r w:rsidRPr="002A55FF">
        <w:t xml:space="preserve">To confirm that editing rules are being followed </w:t>
      </w:r>
      <w:r>
        <w:t xml:space="preserve">and that data elements are being keyed accurately, </w:t>
      </w:r>
      <w:r w:rsidRPr="002A55FF">
        <w:t xml:space="preserve">RTI will review frequencies for the entered data after the first 10 percent of cases are received. Any </w:t>
      </w:r>
      <w:r>
        <w:t>anomalies, inconsistencies, or unexpected values</w:t>
      </w:r>
      <w:r w:rsidRPr="002A55FF">
        <w:t xml:space="preserve"> will be investigated and resolved. </w:t>
      </w:r>
    </w:p>
    <w:p w14:paraId="37B470FE" w14:textId="77777777" w:rsidR="00792B54" w:rsidRDefault="00792B54" w:rsidP="00517C35">
      <w:pPr>
        <w:pStyle w:val="ListParagraph"/>
        <w:keepNext/>
        <w:keepLines/>
        <w:ind w:left="0"/>
      </w:pPr>
    </w:p>
    <w:p w14:paraId="205F8163" w14:textId="77777777" w:rsidR="00517C35" w:rsidRPr="002A55FF" w:rsidRDefault="00517C35" w:rsidP="00517C35">
      <w:pPr>
        <w:pStyle w:val="ListParagraph"/>
        <w:keepNext/>
        <w:keepLines/>
        <w:ind w:left="0"/>
      </w:pPr>
      <w:r w:rsidRPr="002A55FF">
        <w:t xml:space="preserve">Throughout the remainder of the data collection period, RTI </w:t>
      </w:r>
      <w:r>
        <w:t xml:space="preserve">and BJS </w:t>
      </w:r>
      <w:r w:rsidRPr="002A55FF">
        <w:t xml:space="preserve">will conduct regular data frequency reviews to evaluate the quality and completeness of data captured in both the web and </w:t>
      </w:r>
      <w:r>
        <w:t>hardcopy</w:t>
      </w:r>
      <w:r w:rsidRPr="002A55FF">
        <w:t xml:space="preserve"> modes.</w:t>
      </w:r>
      <w:r w:rsidRPr="00F046E0">
        <w:t xml:space="preserve"> </w:t>
      </w:r>
      <w:r w:rsidR="00792B54">
        <w:t xml:space="preserve">Interim data </w:t>
      </w:r>
      <w:r>
        <w:t xml:space="preserve">files </w:t>
      </w:r>
      <w:r w:rsidRPr="0075165F">
        <w:t>will be made available to BJS via an SFTP site</w:t>
      </w:r>
      <w:r>
        <w:t xml:space="preserve"> when response rates reach 50%, 75%, and 90%</w:t>
      </w:r>
      <w:r w:rsidRPr="0075165F">
        <w:t>.</w:t>
      </w:r>
    </w:p>
    <w:p w14:paraId="0AF386E3" w14:textId="77777777" w:rsidR="00517C35" w:rsidRDefault="00517C35" w:rsidP="00517C35"/>
    <w:p w14:paraId="49F98341" w14:textId="3960A3B5" w:rsidR="005F6F0A" w:rsidRDefault="00AC7B3D" w:rsidP="005F6F0A">
      <w:pPr>
        <w:pStyle w:val="ListParagraph"/>
        <w:ind w:left="0"/>
        <w:rPr>
          <w:i/>
        </w:rPr>
      </w:pPr>
      <w:r>
        <w:rPr>
          <w:i/>
        </w:rPr>
        <w:t xml:space="preserve"> </w:t>
      </w:r>
      <w:r w:rsidR="005F6F0A" w:rsidRPr="005F6F0A">
        <w:rPr>
          <w:i/>
        </w:rPr>
        <w:t>Data Editing</w:t>
      </w:r>
    </w:p>
    <w:p w14:paraId="042D2B9C" w14:textId="77777777" w:rsidR="005F6F0A" w:rsidRDefault="005F6F0A" w:rsidP="005F6F0A">
      <w:pPr>
        <w:pStyle w:val="ListParagraph"/>
        <w:ind w:left="0"/>
      </w:pPr>
    </w:p>
    <w:p w14:paraId="53EEAEBA" w14:textId="77777777" w:rsidR="005F6F0A" w:rsidRPr="002A55FF" w:rsidRDefault="005F6F0A" w:rsidP="005F6F0A">
      <w:pPr>
        <w:pStyle w:val="ListParagraph"/>
        <w:ind w:left="0"/>
      </w:pPr>
      <w:r w:rsidRPr="002A55FF">
        <w:t xml:space="preserve">RTI will attempt to reconcile missing or erroneous data through automated and manual edits of each </w:t>
      </w:r>
      <w:r w:rsidR="001B36E2">
        <w:t xml:space="preserve">form </w:t>
      </w:r>
      <w:r>
        <w:t>within two weeks of completion</w:t>
      </w:r>
      <w:r w:rsidRPr="002A55FF">
        <w:t xml:space="preserve">. In collaboration with BJS, RTI will develop a </w:t>
      </w:r>
      <w:r>
        <w:t>set</w:t>
      </w:r>
      <w:r w:rsidRPr="002A55FF">
        <w:t xml:space="preserve"> of edits that </w:t>
      </w:r>
      <w:r>
        <w:t>will use</w:t>
      </w:r>
      <w:r w:rsidRPr="002A55FF">
        <w:t xml:space="preserve"> other data provided by the respondent </w:t>
      </w:r>
      <w:r w:rsidRPr="00F570F1">
        <w:t xml:space="preserve">on the </w:t>
      </w:r>
      <w:r w:rsidR="001B36E2">
        <w:t>questionnaire</w:t>
      </w:r>
      <w:r>
        <w:t xml:space="preserve"> to confirm acceptable responses or identify possible errors due to missing or inconsistent data elements</w:t>
      </w:r>
      <w:r w:rsidRPr="002A55FF">
        <w:t xml:space="preserve">. </w:t>
      </w:r>
      <w:r w:rsidRPr="007476A7">
        <w:t>For example, if a</w:t>
      </w:r>
      <w:r w:rsidR="0072440A">
        <w:t>n</w:t>
      </w:r>
      <w:r w:rsidRPr="007476A7">
        <w:t xml:space="preserve"> </w:t>
      </w:r>
      <w:r w:rsidR="0072440A">
        <w:t xml:space="preserve">initial </w:t>
      </w:r>
      <w:r w:rsidRPr="007476A7">
        <w:t xml:space="preserve">screening question was left blank, but the follow-up questions were completed, a manual edit </w:t>
      </w:r>
      <w:r>
        <w:t>w</w:t>
      </w:r>
      <w:r w:rsidRPr="007476A7">
        <w:t>ould be made to indicate the intended positive response to the screening question.</w:t>
      </w:r>
      <w:r>
        <w:t xml:space="preserve"> </w:t>
      </w:r>
      <w:r w:rsidRPr="002A55FF">
        <w:t xml:space="preserve">Through this process, RTI can quickly identify which </w:t>
      </w:r>
      <w:r>
        <w:t>hardcopy</w:t>
      </w:r>
      <w:r w:rsidRPr="002A55FF">
        <w:t xml:space="preserve"> </w:t>
      </w:r>
      <w:r>
        <w:t xml:space="preserve">questionnaires </w:t>
      </w:r>
      <w:r w:rsidRPr="002A55FF">
        <w:t>require follow-up and indicate the items that need clarification or retrieval from the respondent.</w:t>
      </w:r>
    </w:p>
    <w:p w14:paraId="06B1F21C" w14:textId="77777777" w:rsidR="005F6F0A" w:rsidRDefault="005F6F0A" w:rsidP="005F6F0A">
      <w:pPr>
        <w:pStyle w:val="ListParagraph"/>
        <w:keepNext/>
        <w:keepLines/>
        <w:ind w:left="0"/>
      </w:pPr>
    </w:p>
    <w:p w14:paraId="73A1DC28" w14:textId="77777777" w:rsidR="005F6F0A" w:rsidRDefault="005F6F0A" w:rsidP="005F6F0A">
      <w:pPr>
        <w:pStyle w:val="ListParagraph"/>
        <w:keepNext/>
        <w:keepLines/>
        <w:ind w:left="0"/>
        <w:rPr>
          <w:i/>
        </w:rPr>
      </w:pPr>
      <w:r w:rsidRPr="005F6F0A">
        <w:rPr>
          <w:i/>
        </w:rPr>
        <w:t>Data Retrieval</w:t>
      </w:r>
    </w:p>
    <w:p w14:paraId="2387EF62" w14:textId="77777777" w:rsidR="005F6F0A" w:rsidRDefault="005F6F0A" w:rsidP="005F6F0A">
      <w:pPr>
        <w:pStyle w:val="ListParagraph"/>
        <w:keepNext/>
        <w:keepLines/>
        <w:ind w:left="0"/>
      </w:pPr>
    </w:p>
    <w:p w14:paraId="30F73807" w14:textId="77777777" w:rsidR="005F6F0A" w:rsidRPr="002A55FF" w:rsidRDefault="0046323C" w:rsidP="005F6F0A">
      <w:pPr>
        <w:pStyle w:val="ListParagraph"/>
        <w:keepNext/>
        <w:keepLines/>
        <w:ind w:left="0"/>
      </w:pPr>
      <w:r>
        <w:t>An RTI project liaison will attempt to verify or collect correct information with respondents w</w:t>
      </w:r>
      <w:r w:rsidR="005F6F0A">
        <w:t>hen errors found due to missing or inconsistent data elements</w:t>
      </w:r>
      <w:r w:rsidR="005F6F0A" w:rsidRPr="00F570F1">
        <w:t xml:space="preserve"> </w:t>
      </w:r>
      <w:r>
        <w:t>cannot be resolved through</w:t>
      </w:r>
      <w:r w:rsidR="00AC7B3D">
        <w:t xml:space="preserve"> data</w:t>
      </w:r>
      <w:r w:rsidR="005F6F0A">
        <w:t xml:space="preserve"> editing. </w:t>
      </w:r>
      <w:r w:rsidR="005F6F0A" w:rsidRPr="002A55FF">
        <w:t>Throughout the data retrieval process, RTI will document the questions needing retrieval (e.g.</w:t>
      </w:r>
      <w:r w:rsidR="00134E03">
        <w:t>,</w:t>
      </w:r>
      <w:r w:rsidR="005F6F0A" w:rsidRPr="002A55FF">
        <w:t xml:space="preserve"> missing or inconsistent data elements)</w:t>
      </w:r>
      <w:r w:rsidR="005F6F0A">
        <w:t xml:space="preserve"> then</w:t>
      </w:r>
      <w:r w:rsidR="005F6F0A" w:rsidRPr="002A55FF">
        <w:t xml:space="preserve"> request clarification on the provided information, obtain values for missing data elements, and </w:t>
      </w:r>
      <w:r w:rsidR="005F6F0A">
        <w:t>discuss</w:t>
      </w:r>
      <w:r w:rsidR="005F6F0A" w:rsidRPr="002A55FF">
        <w:t xml:space="preserve"> any other issues related to the respondent’s submission. </w:t>
      </w:r>
    </w:p>
    <w:p w14:paraId="3AED87BC" w14:textId="77777777" w:rsidR="005F6F0A" w:rsidRDefault="005F6F0A" w:rsidP="009F7455"/>
    <w:p w14:paraId="457D0F43" w14:textId="77777777" w:rsidR="009F7455" w:rsidRPr="00113E3D" w:rsidRDefault="009F7455" w:rsidP="009F7455">
      <w:r>
        <w:t xml:space="preserve">3. </w:t>
      </w:r>
      <w:r>
        <w:tab/>
      </w:r>
      <w:r>
        <w:rPr>
          <w:u w:val="single"/>
        </w:rPr>
        <w:t>Methods to Maximize Response Rates</w:t>
      </w:r>
      <w:r w:rsidRPr="00113E3D">
        <w:t xml:space="preserve"> </w:t>
      </w:r>
    </w:p>
    <w:p w14:paraId="69BF609E" w14:textId="77777777" w:rsidR="009F7455" w:rsidRDefault="009F7455" w:rsidP="009F7455">
      <w:pPr>
        <w:rPr>
          <w:i/>
        </w:rPr>
      </w:pPr>
    </w:p>
    <w:p w14:paraId="6DEA8116" w14:textId="77777777" w:rsidR="00BA485E" w:rsidRPr="009561F8" w:rsidRDefault="00BA485E" w:rsidP="00BA485E">
      <w:r w:rsidRPr="009561F8">
        <w:t xml:space="preserve">BJS and RTI will undertake various activities to ensure that high response rates are achieved for the </w:t>
      </w:r>
      <w:r>
        <w:t>2019</w:t>
      </w:r>
      <w:r w:rsidRPr="009561F8">
        <w:t xml:space="preserve"> </w:t>
      </w:r>
      <w:r>
        <w:t>CCF</w:t>
      </w:r>
      <w:r w:rsidRPr="009561F8">
        <w:t xml:space="preserve">. </w:t>
      </w:r>
      <w:r w:rsidR="00792B54">
        <w:t xml:space="preserve">Based on previous iterations of the CCF, </w:t>
      </w:r>
      <w:r w:rsidR="00CA57D5">
        <w:t>BJS anticipates a 100% unit response rate for state</w:t>
      </w:r>
      <w:r w:rsidR="00690389">
        <w:t xml:space="preserve"> DOC</w:t>
      </w:r>
      <w:r w:rsidR="00CA57D5">
        <w:t>- and BOP-operated facilities and an 80% response rate from contracted facilities.</w:t>
      </w:r>
    </w:p>
    <w:p w14:paraId="58671437" w14:textId="77777777" w:rsidR="00BA485E" w:rsidRPr="00BA485E" w:rsidRDefault="00BA485E" w:rsidP="009F7455"/>
    <w:p w14:paraId="057F5920" w14:textId="77777777" w:rsidR="009F7455" w:rsidRDefault="009F7455" w:rsidP="009F7455">
      <w:pPr>
        <w:rPr>
          <w:i/>
        </w:rPr>
      </w:pPr>
      <w:r w:rsidRPr="00D927B0">
        <w:rPr>
          <w:i/>
        </w:rPr>
        <w:t>Q</w:t>
      </w:r>
      <w:r w:rsidRPr="00A95F82">
        <w:rPr>
          <w:i/>
        </w:rPr>
        <w:t>uestionnaire development</w:t>
      </w:r>
    </w:p>
    <w:p w14:paraId="018ADD9F" w14:textId="77777777" w:rsidR="009F7455" w:rsidRPr="00A95F82" w:rsidRDefault="009F7455" w:rsidP="009F7455">
      <w:pPr>
        <w:rPr>
          <w:i/>
        </w:rPr>
      </w:pPr>
    </w:p>
    <w:p w14:paraId="4764CAB1" w14:textId="77777777" w:rsidR="0011338B" w:rsidRDefault="009F7455" w:rsidP="009F7455">
      <w:r w:rsidRPr="009561F8">
        <w:t xml:space="preserve">The </w:t>
      </w:r>
      <w:r>
        <w:t>2005 CCF questionnaire</w:t>
      </w:r>
      <w:r w:rsidRPr="009561F8">
        <w:t xml:space="preserve"> was reviewed to ensure the collection of the most pertinent information</w:t>
      </w:r>
      <w:r w:rsidR="00792B54">
        <w:t xml:space="preserve"> and</w:t>
      </w:r>
      <w:r w:rsidR="00792B54" w:rsidRPr="009561F8">
        <w:t xml:space="preserve"> </w:t>
      </w:r>
      <w:r w:rsidRPr="009561F8">
        <w:t>remov</w:t>
      </w:r>
      <w:r w:rsidR="00792B54">
        <w:t>e</w:t>
      </w:r>
      <w:r w:rsidRPr="009561F8">
        <w:t xml:space="preserve"> any questions</w:t>
      </w:r>
      <w:r w:rsidR="00792B54">
        <w:t xml:space="preserve"> that had high non</w:t>
      </w:r>
      <w:r w:rsidR="00690389">
        <w:t>-</w:t>
      </w:r>
      <w:r w:rsidR="00792B54">
        <w:t>response rates</w:t>
      </w:r>
      <w:r w:rsidRPr="009561F8">
        <w:t xml:space="preserve"> to reduce burden.</w:t>
      </w:r>
      <w:r>
        <w:t xml:space="preserve"> RTI reviewed item non-response and data quality from </w:t>
      </w:r>
      <w:r w:rsidR="001B36E2">
        <w:t>the 2005</w:t>
      </w:r>
      <w:r>
        <w:t xml:space="preserve"> CCF</w:t>
      </w:r>
      <w:r w:rsidR="006346A7">
        <w:t xml:space="preserve">. </w:t>
      </w:r>
      <w:r>
        <w:t xml:space="preserve">RTI also conducted </w:t>
      </w:r>
      <w:r w:rsidR="0072440A">
        <w:t xml:space="preserve">a </w:t>
      </w:r>
      <w:r>
        <w:t xml:space="preserve">cognitive </w:t>
      </w:r>
      <w:r w:rsidR="0072440A">
        <w:t xml:space="preserve">test with </w:t>
      </w:r>
      <w:r w:rsidR="00193F9E">
        <w:t xml:space="preserve">nine </w:t>
      </w:r>
      <w:r w:rsidR="0072440A">
        <w:t xml:space="preserve">respondents </w:t>
      </w:r>
      <w:r>
        <w:t>of an initially</w:t>
      </w:r>
      <w:r w:rsidR="0011338B">
        <w:t>-</w:t>
      </w:r>
      <w:r>
        <w:t xml:space="preserve">revised version of the </w:t>
      </w:r>
      <w:r w:rsidR="00CA57D5">
        <w:t>CCF</w:t>
      </w:r>
      <w:r w:rsidR="006346A7">
        <w:t>.</w:t>
      </w:r>
      <w:r>
        <w:t xml:space="preserve"> The instrument was refined based upon the </w:t>
      </w:r>
      <w:r w:rsidR="0072440A">
        <w:t xml:space="preserve">findings from the </w:t>
      </w:r>
      <w:r>
        <w:t xml:space="preserve">cognitive </w:t>
      </w:r>
      <w:r w:rsidR="0072440A">
        <w:t xml:space="preserve">test </w:t>
      </w:r>
      <w:r>
        <w:t>and BJS’s subject matter expertise. BJS also conducted scoping interviews</w:t>
      </w:r>
      <w:r w:rsidR="0011338B">
        <w:t xml:space="preserve"> between Se</w:t>
      </w:r>
      <w:r w:rsidR="001561DB">
        <w:t>p</w:t>
      </w:r>
      <w:r w:rsidR="0011338B">
        <w:t>tember 2014</w:t>
      </w:r>
      <w:r w:rsidR="001561DB">
        <w:t xml:space="preserve"> and May </w:t>
      </w:r>
      <w:r w:rsidR="0011338B">
        <w:t>2015</w:t>
      </w:r>
      <w:r>
        <w:t xml:space="preserve"> </w:t>
      </w:r>
      <w:r w:rsidR="0072440A" w:rsidRPr="00CE205A">
        <w:t>(OMB generic clearance No. 0607-0725)</w:t>
      </w:r>
      <w:r w:rsidR="0072440A">
        <w:t xml:space="preserve"> </w:t>
      </w:r>
      <w:r>
        <w:t>prior to RTI’s preparations. Finally, modifications to the instrument were made to include items addressing</w:t>
      </w:r>
      <w:r w:rsidR="0011338B">
        <w:t xml:space="preserve"> </w:t>
      </w:r>
      <w:r w:rsidR="005260C5">
        <w:t xml:space="preserve">important </w:t>
      </w:r>
      <w:r>
        <w:t>issues</w:t>
      </w:r>
      <w:r w:rsidR="0011338B">
        <w:t>, like veteran housing and inmate-to-security staff ratios,</w:t>
      </w:r>
      <w:r>
        <w:t xml:space="preserve"> in the corrections </w:t>
      </w:r>
      <w:r w:rsidR="006346A7">
        <w:t>field</w:t>
      </w:r>
      <w:r w:rsidR="0011338B">
        <w:t>.</w:t>
      </w:r>
      <w:r w:rsidR="009D152B">
        <w:t xml:space="preserve"> </w:t>
      </w:r>
    </w:p>
    <w:p w14:paraId="00C0CF68" w14:textId="77777777" w:rsidR="0011338B" w:rsidRDefault="0011338B" w:rsidP="009F7455"/>
    <w:p w14:paraId="7FE18552" w14:textId="2FCFCE01" w:rsidR="009F7455" w:rsidRDefault="009D152B" w:rsidP="009F7455">
      <w:r>
        <w:t xml:space="preserve">Because of the differences in operations and population served in confinement and community-based correctional facilities, the 2019 census </w:t>
      </w:r>
      <w:r w:rsidR="006E6154">
        <w:t>is made up of</w:t>
      </w:r>
      <w:r>
        <w:t xml:space="preserve"> </w:t>
      </w:r>
      <w:r w:rsidR="006E6154">
        <w:t xml:space="preserve">two </w:t>
      </w:r>
      <w:r w:rsidR="006B1A99">
        <w:t>instruments. The</w:t>
      </w:r>
      <w:r>
        <w:t xml:space="preserve"> community-based correctional facilities form is a subset of </w:t>
      </w:r>
      <w:r w:rsidR="00792B54">
        <w:t xml:space="preserve">13 </w:t>
      </w:r>
      <w:r>
        <w:t xml:space="preserve">questions from the confinement facility form. </w:t>
      </w:r>
      <w:r w:rsidR="00CA57D5">
        <w:t>T</w:t>
      </w:r>
      <w:r w:rsidR="00CA57D5" w:rsidRPr="009561F8">
        <w:t xml:space="preserve">he </w:t>
      </w:r>
      <w:r w:rsidR="00CA57D5">
        <w:t xml:space="preserve">revised </w:t>
      </w:r>
      <w:r w:rsidR="00CA57D5" w:rsidRPr="009561F8">
        <w:t>questionnaire</w:t>
      </w:r>
      <w:r>
        <w:t>s</w:t>
      </w:r>
      <w:r w:rsidR="00CA57D5" w:rsidRPr="009561F8">
        <w:t xml:space="preserve"> </w:t>
      </w:r>
      <w:r w:rsidR="00A63A81" w:rsidRPr="009561F8">
        <w:t>w</w:t>
      </w:r>
      <w:r w:rsidR="00A63A81">
        <w:t>ere</w:t>
      </w:r>
      <w:r w:rsidR="00CA57D5" w:rsidRPr="009561F8">
        <w:t xml:space="preserve"> reviewed</w:t>
      </w:r>
      <w:r w:rsidR="00CA57D5">
        <w:t xml:space="preserve"> on several occasions by BJS and RTI </w:t>
      </w:r>
      <w:r w:rsidR="00CA57D5" w:rsidRPr="009561F8">
        <w:t>for ease of use, flow, and additional survey methodology best practices to ensure ease in administration.</w:t>
      </w:r>
    </w:p>
    <w:p w14:paraId="09C49201" w14:textId="77777777" w:rsidR="003F3C46" w:rsidRDefault="003F3C46" w:rsidP="009F7455"/>
    <w:p w14:paraId="5521EF14" w14:textId="77777777" w:rsidR="009F7455" w:rsidRPr="00A95F82" w:rsidRDefault="009F7455" w:rsidP="009F7455">
      <w:pPr>
        <w:rPr>
          <w:i/>
        </w:rPr>
      </w:pPr>
      <w:r w:rsidRPr="00A95F82">
        <w:rPr>
          <w:i/>
        </w:rPr>
        <w:t>Respondent identification and data collection support</w:t>
      </w:r>
    </w:p>
    <w:p w14:paraId="11DDAD62" w14:textId="77777777" w:rsidR="009F7455" w:rsidRPr="00A95F82" w:rsidRDefault="009F7455" w:rsidP="009F7455">
      <w:pPr>
        <w:rPr>
          <w:i/>
        </w:rPr>
      </w:pPr>
    </w:p>
    <w:p w14:paraId="00513749" w14:textId="77777777" w:rsidR="009F7455" w:rsidRDefault="009F7455" w:rsidP="009F7455">
      <w:r>
        <w:t xml:space="preserve">In an effort to ensure maximum respondent participation, BJS and RTI will (1) conduct outreach to </w:t>
      </w:r>
      <w:r w:rsidR="00690389">
        <w:t>notify DOC POCs of the upcoming</w:t>
      </w:r>
      <w:r>
        <w:t xml:space="preserve"> CCF and make contact as needed throughout the data collection period, (2) send </w:t>
      </w:r>
      <w:r w:rsidR="00BD77B1">
        <w:t>data collection</w:t>
      </w:r>
      <w:r>
        <w:t xml:space="preserve"> invitations which include login instructions for the web </w:t>
      </w:r>
      <w:r w:rsidR="00BD77B1">
        <w:t xml:space="preserve">version of the </w:t>
      </w:r>
      <w:r w:rsidR="00CA57D5">
        <w:t xml:space="preserve">CCF </w:t>
      </w:r>
      <w:r>
        <w:t>in both hardcopy through the US</w:t>
      </w:r>
      <w:r w:rsidR="00264A4A">
        <w:t>PS and in electronic format,</w:t>
      </w:r>
      <w:r>
        <w:t xml:space="preserve"> (3) </w:t>
      </w:r>
      <w:r w:rsidR="00264A4A">
        <w:t>offer a response mode other than web</w:t>
      </w:r>
      <w:r w:rsidR="006346A7">
        <w:t xml:space="preserve"> or hardcopy forms</w:t>
      </w:r>
      <w:r w:rsidR="00264A4A">
        <w:t xml:space="preserve"> if requested, and (4) </w:t>
      </w:r>
      <w:r>
        <w:t xml:space="preserve">provide technical support and other help with the </w:t>
      </w:r>
      <w:r w:rsidR="00CA57D5">
        <w:t xml:space="preserve">CCF </w:t>
      </w:r>
      <w:r>
        <w:t>as needed</w:t>
      </w:r>
      <w:r w:rsidR="00264A4A">
        <w:t>.</w:t>
      </w:r>
      <w:r>
        <w:t xml:space="preserve"> </w:t>
      </w:r>
    </w:p>
    <w:p w14:paraId="46C2A537" w14:textId="77777777" w:rsidR="009F7455" w:rsidRPr="009561F8" w:rsidRDefault="009F7455" w:rsidP="009F7455"/>
    <w:p w14:paraId="34490394" w14:textId="77777777" w:rsidR="009F7455" w:rsidRPr="00A95F82" w:rsidRDefault="009F7455" w:rsidP="009F7455">
      <w:pPr>
        <w:rPr>
          <w:i/>
        </w:rPr>
      </w:pPr>
      <w:r w:rsidRPr="00A95F82">
        <w:rPr>
          <w:i/>
        </w:rPr>
        <w:t>Data collection monitoring</w:t>
      </w:r>
    </w:p>
    <w:p w14:paraId="701B0966" w14:textId="77777777" w:rsidR="009F7455" w:rsidRDefault="009F7455" w:rsidP="009F7455"/>
    <w:p w14:paraId="58447694" w14:textId="77777777" w:rsidR="009F7455" w:rsidRDefault="009F7455" w:rsidP="009F7455">
      <w:r>
        <w:t>The p</w:t>
      </w:r>
      <w:r w:rsidR="006346A7">
        <w:t>rocedures outlined in Section B.</w:t>
      </w:r>
      <w:r>
        <w:t>2 will ensure a thorough, multi</w:t>
      </w:r>
      <w:r w:rsidR="00CA57D5">
        <w:t>-</w:t>
      </w:r>
      <w:r>
        <w:t>pronged approach to invite jurisdictions and facility operators to participate in the 2019 CCF. The RTI data collection manager will monitor unit response rates on a weekly basis and ensure each pending response is receiving the intended reminder communications. Additionally, agencies responsible for an especially large number of facilities will receive particular monitoring, since their lack of response could great</w:t>
      </w:r>
      <w:r w:rsidR="0011338B">
        <w:t>ly</w:t>
      </w:r>
      <w:r>
        <w:t xml:space="preserve"> impact </w:t>
      </w:r>
      <w:r w:rsidR="0011338B">
        <w:t>national-level estimates</w:t>
      </w:r>
      <w:r>
        <w:t>. These states may receive ad hoc communicatio</w:t>
      </w:r>
      <w:r w:rsidR="00134E03">
        <w:t>ns beyond the standard protocol</w:t>
      </w:r>
      <w:r>
        <w:t xml:space="preserve"> in an effort to see if there are burden concerns or questions about reporting.</w:t>
      </w:r>
    </w:p>
    <w:p w14:paraId="5585F497" w14:textId="77777777" w:rsidR="009F7455" w:rsidRDefault="009F7455" w:rsidP="009F7455"/>
    <w:p w14:paraId="0F05231E" w14:textId="77777777" w:rsidR="009F7455" w:rsidRDefault="009F7455" w:rsidP="009F7455">
      <w:r w:rsidRPr="009561F8">
        <w:t xml:space="preserve">To promote 100% item completion by respondents, RTI will monitor item response rates as </w:t>
      </w:r>
      <w:r w:rsidR="008207B9">
        <w:t>forms</w:t>
      </w:r>
      <w:r w:rsidRPr="009561F8">
        <w:t xml:space="preserve"> are submitted. </w:t>
      </w:r>
      <w:r>
        <w:t xml:space="preserve">Also, the web instrument will utilize prompts when a respondent overlooks an applicable question or provides a response inconsistent with other, related responses. </w:t>
      </w:r>
      <w:r w:rsidRPr="009561F8">
        <w:t xml:space="preserve">RTI </w:t>
      </w:r>
      <w:r w:rsidR="00264A4A">
        <w:t>will use</w:t>
      </w:r>
      <w:r w:rsidRPr="009561F8">
        <w:t xml:space="preserve"> a survey management system linked to the web</w:t>
      </w:r>
      <w:r w:rsidR="00B03F8C">
        <w:t xml:space="preserve"> instrument</w:t>
      </w:r>
      <w:r w:rsidRPr="009561F8">
        <w:t xml:space="preserve"> </w:t>
      </w:r>
      <w:r w:rsidR="0011338B">
        <w:t>to</w:t>
      </w:r>
      <w:r w:rsidR="0011338B" w:rsidRPr="009561F8">
        <w:t xml:space="preserve"> </w:t>
      </w:r>
      <w:r w:rsidRPr="009561F8">
        <w:t xml:space="preserve">flag missing items and invalid responses. RTI </w:t>
      </w:r>
      <w:r w:rsidR="00BD77B1">
        <w:t xml:space="preserve">will </w:t>
      </w:r>
      <w:r w:rsidRPr="009561F8">
        <w:t xml:space="preserve">also flag missing items on hard copy submissions. The </w:t>
      </w:r>
      <w:r w:rsidR="00FB5DC4">
        <w:t xml:space="preserve">RTI </w:t>
      </w:r>
      <w:r w:rsidRPr="009561F8">
        <w:t xml:space="preserve">data collection manager </w:t>
      </w:r>
      <w:r w:rsidR="00BD77B1">
        <w:t xml:space="preserve">will </w:t>
      </w:r>
      <w:r w:rsidRPr="009561F8">
        <w:t>oversee phone and e</w:t>
      </w:r>
      <w:r>
        <w:t>-</w:t>
      </w:r>
      <w:r w:rsidRPr="009561F8">
        <w:t xml:space="preserve">mail outreach to respondents to clarify missing or invalid responses and to take corrective action. </w:t>
      </w:r>
      <w:r>
        <w:t>Any c</w:t>
      </w:r>
      <w:r w:rsidRPr="009561F8">
        <w:t>hanges to responses obtained through this follow-up effort will be tracked</w:t>
      </w:r>
      <w:r>
        <w:t xml:space="preserve"> and entered in the data collection database.</w:t>
      </w:r>
    </w:p>
    <w:p w14:paraId="5320FCB4" w14:textId="77777777" w:rsidR="009F7455" w:rsidRDefault="009F7455" w:rsidP="009F7455"/>
    <w:p w14:paraId="088E610B" w14:textId="77777777" w:rsidR="00B63136" w:rsidRDefault="00B63136" w:rsidP="00B63136">
      <w:pPr>
        <w:pStyle w:val="Quick1"/>
        <w:tabs>
          <w:tab w:val="left" w:pos="-1080"/>
          <w:tab w:val="left" w:pos="-720"/>
          <w:tab w:val="left" w:pos="0"/>
          <w:tab w:val="left" w:pos="45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tab/>
      </w:r>
      <w:r>
        <w:rPr>
          <w:u w:val="single"/>
        </w:rPr>
        <w:t>Testing of Procedures</w:t>
      </w:r>
      <w:r>
        <w:t xml:space="preserve"> </w:t>
      </w:r>
    </w:p>
    <w:p w14:paraId="592D9ECA" w14:textId="77777777" w:rsidR="00B63136" w:rsidRDefault="00B63136" w:rsidP="00B63136">
      <w:pPr>
        <w:tabs>
          <w:tab w:val="left" w:pos="-1080"/>
          <w:tab w:val="left" w:pos="-720"/>
          <w:tab w:val="left" w:pos="0"/>
          <w:tab w:val="left" w:pos="45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14:paraId="46318346" w14:textId="77777777" w:rsidR="00B63136" w:rsidRDefault="00B63136" w:rsidP="00B63136">
      <w:r w:rsidRPr="009561F8">
        <w:t xml:space="preserve">The questions in the </w:t>
      </w:r>
      <w:r w:rsidRPr="00C01EA1">
        <w:t xml:space="preserve">2019 CCF </w:t>
      </w:r>
      <w:r w:rsidR="00A63A81" w:rsidRPr="00C01EA1">
        <w:t>instrument</w:t>
      </w:r>
      <w:r w:rsidR="00A63A81">
        <w:t xml:space="preserve"> were</w:t>
      </w:r>
      <w:r>
        <w:t xml:space="preserve"> </w:t>
      </w:r>
      <w:r w:rsidR="00FB5DC4">
        <w:t xml:space="preserve">predominately </w:t>
      </w:r>
      <w:r>
        <w:t xml:space="preserve">revised </w:t>
      </w:r>
      <w:r w:rsidR="00FB5DC4">
        <w:t xml:space="preserve">versions of </w:t>
      </w:r>
      <w:r>
        <w:t>the 2005 CCF</w:t>
      </w:r>
      <w:r w:rsidR="00FB5DC4">
        <w:t xml:space="preserve"> questions</w:t>
      </w:r>
      <w:r>
        <w:t>. Based on scoping interviews</w:t>
      </w:r>
      <w:r w:rsidR="0011338B">
        <w:t xml:space="preserve"> </w:t>
      </w:r>
      <w:r w:rsidR="008A08C6">
        <w:t xml:space="preserve">conducted </w:t>
      </w:r>
      <w:r w:rsidR="0011338B">
        <w:t>in 2014-2015</w:t>
      </w:r>
      <w:r>
        <w:t>, a review of the Association of State Correctional Administrators’ Performance Based Measurement System</w:t>
      </w:r>
      <w:r w:rsidR="008207B9">
        <w:t>,</w:t>
      </w:r>
      <w:r>
        <w:t xml:space="preserve"> and a data quality assessment of the 2005 CCF, r</w:t>
      </w:r>
      <w:r w:rsidRPr="009561F8">
        <w:t xml:space="preserve">evisions </w:t>
      </w:r>
      <w:r>
        <w:t xml:space="preserve">to the </w:t>
      </w:r>
      <w:r w:rsidR="002E5685">
        <w:t xml:space="preserve">2005 </w:t>
      </w:r>
      <w:r>
        <w:t xml:space="preserve">CJ-43 form were made by BJS, </w:t>
      </w:r>
      <w:r w:rsidRPr="009561F8">
        <w:t xml:space="preserve">reviewed </w:t>
      </w:r>
      <w:r>
        <w:t xml:space="preserve">and revised by RTI, further refined </w:t>
      </w:r>
      <w:r w:rsidRPr="009561F8">
        <w:t>by BJS</w:t>
      </w:r>
      <w:r>
        <w:t>,</w:t>
      </w:r>
      <w:r w:rsidRPr="009561F8">
        <w:t xml:space="preserve"> and </w:t>
      </w:r>
      <w:r>
        <w:t xml:space="preserve">then </w:t>
      </w:r>
      <w:r w:rsidRPr="009561F8">
        <w:t>cognitively tested</w:t>
      </w:r>
      <w:r w:rsidR="0011338B">
        <w:t xml:space="preserve"> in late 201</w:t>
      </w:r>
      <w:r w:rsidR="001561DB">
        <w:t>8</w:t>
      </w:r>
      <w:r>
        <w:t xml:space="preserve">. </w:t>
      </w:r>
    </w:p>
    <w:p w14:paraId="7485F0BD" w14:textId="77777777" w:rsidR="00B63136" w:rsidRPr="0012062D" w:rsidRDefault="00B63136" w:rsidP="00B63136"/>
    <w:p w14:paraId="51717A78" w14:textId="77777777" w:rsidR="00B63136" w:rsidRDefault="00C70EEF" w:rsidP="00B63136">
      <w:r>
        <w:t>S</w:t>
      </w:r>
      <w:r w:rsidR="00B63136" w:rsidRPr="0012062D">
        <w:t xml:space="preserve">coping interviews </w:t>
      </w:r>
      <w:r w:rsidR="00B63136">
        <w:t>were conducted primarily with planning and research staff from 18 state DOCs from September 2014 to May 2015, by trained interviewers at the U.S. Census Bureau</w:t>
      </w:r>
      <w:r w:rsidR="001561DB">
        <w:t xml:space="preserve"> under an OMB generic clearance</w:t>
      </w:r>
      <w:r w:rsidR="00B63136">
        <w:t xml:space="preserve">. The interviews were designed to explore respondents’ understanding of the topics, determine data availability, understand the vocabulary used by respondents, and explore </w:t>
      </w:r>
      <w:r w:rsidR="008207B9">
        <w:t>questionnaire</w:t>
      </w:r>
      <w:r w:rsidR="00B63136">
        <w:t xml:space="preserve"> process issues. Interviewees</w:t>
      </w:r>
      <w:r w:rsidR="00B63136" w:rsidRPr="0012062D">
        <w:t xml:space="preserve"> </w:t>
      </w:r>
      <w:r w:rsidR="00B63136">
        <w:t xml:space="preserve">gave feedback </w:t>
      </w:r>
      <w:r w:rsidR="00B63136" w:rsidRPr="0012062D">
        <w:t xml:space="preserve">on </w:t>
      </w:r>
      <w:r w:rsidR="00B63136">
        <w:t xml:space="preserve">the 2005 </w:t>
      </w:r>
      <w:r w:rsidR="00B63136" w:rsidRPr="0012062D">
        <w:t>CJ-43 form and on the estimated burden associated with providing information for a single facility.</w:t>
      </w:r>
      <w:r w:rsidR="00B63136">
        <w:t xml:space="preserve"> </w:t>
      </w:r>
    </w:p>
    <w:p w14:paraId="09743885" w14:textId="77777777" w:rsidR="00B63136" w:rsidRDefault="00B63136" w:rsidP="00B63136"/>
    <w:p w14:paraId="4AA90182" w14:textId="0488F1AC" w:rsidR="00B63136" w:rsidRDefault="001561DB" w:rsidP="00B63136">
      <w:r>
        <w:t xml:space="preserve">RTI also conducted a </w:t>
      </w:r>
      <w:r w:rsidR="00B63136">
        <w:t xml:space="preserve">thorough data </w:t>
      </w:r>
      <w:r w:rsidR="00B63136" w:rsidRPr="0012062D">
        <w:t>quality assessment</w:t>
      </w:r>
      <w:r w:rsidR="00B63136">
        <w:t xml:space="preserve"> of the 2005 CCF</w:t>
      </w:r>
      <w:r>
        <w:t>.</w:t>
      </w:r>
      <w:r w:rsidR="00CA1325">
        <w:t xml:space="preserve"> </w:t>
      </w:r>
      <w:r w:rsidR="00B63136">
        <w:t>The goal of this effort was to examine the extent of item nonresponse and reporting inconsistencies that arose due to (1) data processing errors;</w:t>
      </w:r>
      <w:r w:rsidR="00B63136" w:rsidRPr="007A5FE1">
        <w:t xml:space="preserve"> </w:t>
      </w:r>
      <w:r w:rsidR="00B63136">
        <w:t xml:space="preserve">(2) </w:t>
      </w:r>
      <w:r w:rsidR="00B63136" w:rsidRPr="007A5FE1">
        <w:t xml:space="preserve">ambiguity </w:t>
      </w:r>
      <w:r w:rsidR="00B63136">
        <w:t>of</w:t>
      </w:r>
      <w:r w:rsidR="00B63136" w:rsidRPr="007A5FE1">
        <w:t xml:space="preserve"> instructions, question wording, or response options</w:t>
      </w:r>
      <w:r w:rsidR="00B63136">
        <w:t>; and (3) other issues related to the response task</w:t>
      </w:r>
      <w:r w:rsidR="00B63136" w:rsidRPr="0012062D">
        <w:t xml:space="preserve"> items </w:t>
      </w:r>
      <w:r w:rsidR="00B63136">
        <w:t>(e.g., respondent reporting behavior/reactions to question formats such as “mark all that apply” versus “select only one option”).</w:t>
      </w:r>
      <w:r w:rsidR="00B63136" w:rsidRPr="007A5FE1">
        <w:t xml:space="preserve"> </w:t>
      </w:r>
      <w:r w:rsidR="00B63136">
        <w:t xml:space="preserve">Items </w:t>
      </w:r>
      <w:r w:rsidR="00B63136" w:rsidRPr="0012062D">
        <w:t xml:space="preserve">with high nonresponse rates were flagged and </w:t>
      </w:r>
      <w:r w:rsidR="00B63136">
        <w:t>considered for deletion</w:t>
      </w:r>
      <w:r w:rsidR="00B63136" w:rsidRPr="0012062D">
        <w:t xml:space="preserve">. </w:t>
      </w:r>
      <w:r w:rsidR="00B63136">
        <w:t>In May of 2018, RTI provided BJS the Data Quality Report of the 2005 CCF (</w:t>
      </w:r>
      <w:r w:rsidR="00C70EEF" w:rsidRPr="00B128B7">
        <w:t xml:space="preserve">Attachment </w:t>
      </w:r>
      <w:r w:rsidR="007512DB" w:rsidRPr="00B128B7">
        <w:t>2</w:t>
      </w:r>
      <w:r w:rsidR="00D215FE">
        <w:t>1</w:t>
      </w:r>
      <w:r w:rsidR="00B63136" w:rsidRPr="00B128B7">
        <w:t>).</w:t>
      </w:r>
    </w:p>
    <w:p w14:paraId="50ABC519" w14:textId="77777777" w:rsidR="00B63136" w:rsidRDefault="00B63136" w:rsidP="00B63136"/>
    <w:p w14:paraId="68B526FF" w14:textId="0AE83D4A" w:rsidR="00B63136" w:rsidRDefault="00C70EEF" w:rsidP="00B63136">
      <w:pPr>
        <w:numPr>
          <w:ilvl w:val="12"/>
          <w:numId w:val="0"/>
        </w:numPr>
      </w:pPr>
      <w:r>
        <w:t>The cognitive tests</w:t>
      </w:r>
      <w:r w:rsidR="00B63136">
        <w:t xml:space="preserve"> included </w:t>
      </w:r>
      <w:r w:rsidR="00B63136" w:rsidRPr="00191B00">
        <w:t>nine</w:t>
      </w:r>
      <w:r w:rsidR="00B63136">
        <w:t xml:space="preserve"> participants and were conducted in October-December 2018 by three trained interviewers from </w:t>
      </w:r>
      <w:r w:rsidR="00B63136" w:rsidRPr="00E67E95">
        <w:t xml:space="preserve">RTI. </w:t>
      </w:r>
      <w:r w:rsidRPr="00E67E95">
        <w:t xml:space="preserve">Participants included planning and research staff from </w:t>
      </w:r>
      <w:r w:rsidR="00E67E95" w:rsidRPr="00E67E95">
        <w:t>seven</w:t>
      </w:r>
      <w:r w:rsidRPr="00E67E95">
        <w:t xml:space="preserve"> DOCs, and facility staff from one</w:t>
      </w:r>
      <w:r w:rsidR="00134E03">
        <w:t xml:space="preserve"> state-</w:t>
      </w:r>
      <w:r w:rsidRPr="00E67E95">
        <w:t>operated confinement facility and one privately</w:t>
      </w:r>
      <w:r w:rsidR="00134E03">
        <w:t>-</w:t>
      </w:r>
      <w:r w:rsidRPr="00E67E95">
        <w:t xml:space="preserve">operated facility. </w:t>
      </w:r>
      <w:r w:rsidR="00A60286" w:rsidRPr="00E67E95">
        <w:t>Facilities</w:t>
      </w:r>
      <w:r w:rsidRPr="00E67E95">
        <w:t xml:space="preserve"> for which participants</w:t>
      </w:r>
      <w:r>
        <w:t xml:space="preserve"> pro</w:t>
      </w:r>
      <w:r w:rsidR="00A60286">
        <w:t>vided data and feedback were a mix of community-based and confinement facilities</w:t>
      </w:r>
      <w:r w:rsidR="00FB5DC4">
        <w:t>,</w:t>
      </w:r>
      <w:r w:rsidR="00A60286">
        <w:t xml:space="preserve"> operated by </w:t>
      </w:r>
      <w:r w:rsidR="00FB5DC4">
        <w:t xml:space="preserve">either </w:t>
      </w:r>
      <w:r w:rsidR="001561DB">
        <w:t xml:space="preserve">a </w:t>
      </w:r>
      <w:r w:rsidR="00A60286">
        <w:t xml:space="preserve">DOC or </w:t>
      </w:r>
      <w:r w:rsidR="0029101F">
        <w:t>private organizations</w:t>
      </w:r>
      <w:r w:rsidR="00A60286">
        <w:t xml:space="preserve"> contract</w:t>
      </w:r>
      <w:r w:rsidR="00FB5DC4">
        <w:t>ed</w:t>
      </w:r>
      <w:r w:rsidR="00A60286">
        <w:t xml:space="preserve"> by </w:t>
      </w:r>
      <w:r w:rsidR="001561DB">
        <w:t xml:space="preserve">a </w:t>
      </w:r>
      <w:r w:rsidR="00A60286">
        <w:t xml:space="preserve">DOC. </w:t>
      </w:r>
      <w:r w:rsidR="00B63136">
        <w:t xml:space="preserve">The cognitive </w:t>
      </w:r>
      <w:r w:rsidR="00637BFD">
        <w:t xml:space="preserve">test </w:t>
      </w:r>
      <w:r w:rsidR="00B63136">
        <w:t xml:space="preserve">focused on (1) the clarity of the instructions and question wording; (2) respondents’ ability and willingness to apply the </w:t>
      </w:r>
      <w:r w:rsidR="00134E03">
        <w:t>term</w:t>
      </w:r>
      <w:r w:rsidR="00B63136">
        <w:t xml:space="preserve"> definitions</w:t>
      </w:r>
      <w:r w:rsidR="00134E03">
        <w:t xml:space="preserve"> provided on the instrument</w:t>
      </w:r>
      <w:r w:rsidR="00B63136">
        <w:t xml:space="preserve"> when answering the questions; (3) the availability of data needed to provide accurate responses; and (4) the estimated burden associated with participation. In November of 2018, RTI provided BJS the Cognitive Testing Findings and Recommendations report </w:t>
      </w:r>
      <w:r w:rsidR="00B63136" w:rsidRPr="00B128B7">
        <w:t xml:space="preserve">(Attachment </w:t>
      </w:r>
      <w:r w:rsidRPr="00B128B7">
        <w:t>2</w:t>
      </w:r>
      <w:r w:rsidR="00D215FE">
        <w:t>2</w:t>
      </w:r>
      <w:r w:rsidR="00B63136" w:rsidRPr="00B128B7">
        <w:t>).</w:t>
      </w:r>
    </w:p>
    <w:p w14:paraId="08A5F974" w14:textId="77777777" w:rsidR="00B63136" w:rsidRDefault="00B63136" w:rsidP="00B63136">
      <w:pPr>
        <w:numPr>
          <w:ilvl w:val="12"/>
          <w:numId w:val="0"/>
        </w:numPr>
      </w:pPr>
    </w:p>
    <w:p w14:paraId="625F916F" w14:textId="77777777" w:rsidR="00B63136" w:rsidRDefault="00B63136" w:rsidP="00B63136">
      <w:r>
        <w:t>Prior to the national implementation of the 2019 CCF</w:t>
      </w:r>
      <w:r w:rsidRPr="009561F8">
        <w:t xml:space="preserve">, </w:t>
      </w:r>
      <w:r>
        <w:t xml:space="preserve">BJS and </w:t>
      </w:r>
      <w:r w:rsidRPr="009561F8">
        <w:t xml:space="preserve">RTI </w:t>
      </w:r>
      <w:r w:rsidR="00BD77B1">
        <w:t>will</w:t>
      </w:r>
      <w:r>
        <w:t xml:space="preserve"> conduct </w:t>
      </w:r>
      <w:r w:rsidRPr="009561F8">
        <w:t xml:space="preserve">thorough testing of the web-based </w:t>
      </w:r>
      <w:r w:rsidR="008207B9">
        <w:t>data collection</w:t>
      </w:r>
      <w:r w:rsidRPr="009561F8">
        <w:t xml:space="preserve"> administration system through systematic user testing, including testing skip patterns, </w:t>
      </w:r>
      <w:r>
        <w:t>ensuring seamless reporting of data</w:t>
      </w:r>
      <w:r w:rsidRPr="009561F8">
        <w:t xml:space="preserve">, and </w:t>
      </w:r>
      <w:r w:rsidR="00FB5DC4">
        <w:t xml:space="preserve">testing </w:t>
      </w:r>
      <w:r w:rsidRPr="009561F8">
        <w:t>back-end data checks on entered responses</w:t>
      </w:r>
      <w:r w:rsidR="00BD77B1">
        <w:t>. BJS and RTI will also use</w:t>
      </w:r>
      <w:r w:rsidRPr="00BA1A91">
        <w:t xml:space="preserve"> respondent recruitment and support procedures </w:t>
      </w:r>
      <w:r>
        <w:t>similar to other successful BJS agency collections</w:t>
      </w:r>
      <w:r w:rsidR="00FB5DC4">
        <w:t xml:space="preserve">, such as </w:t>
      </w:r>
      <w:r w:rsidR="00CC7919">
        <w:t>MCI</w:t>
      </w:r>
      <w:r w:rsidR="00FB5DC4">
        <w:t xml:space="preserve"> (OMB No. 1121-</w:t>
      </w:r>
      <w:r w:rsidR="005D6017">
        <w:t>0094</w:t>
      </w:r>
      <w:r w:rsidR="00FB5DC4">
        <w:t>)</w:t>
      </w:r>
      <w:r>
        <w:t>,</w:t>
      </w:r>
      <w:r w:rsidR="005D6017">
        <w:t xml:space="preserve"> and </w:t>
      </w:r>
      <w:r>
        <w:t>Annual Survey of Jails</w:t>
      </w:r>
      <w:r w:rsidR="00FB5DC4">
        <w:t xml:space="preserve"> (OMB No. 1121-0094</w:t>
      </w:r>
      <w:r>
        <w:t>)</w:t>
      </w:r>
      <w:r w:rsidR="00134E03">
        <w:t>, which have been field-</w:t>
      </w:r>
      <w:r w:rsidRPr="00BA1A91">
        <w:t>tested and successfully employed.</w:t>
      </w:r>
      <w:r>
        <w:t xml:space="preserve"> </w:t>
      </w:r>
      <w:r w:rsidRPr="009561F8">
        <w:t xml:space="preserve">  </w:t>
      </w:r>
    </w:p>
    <w:p w14:paraId="075B354E" w14:textId="77777777" w:rsidR="00B63136" w:rsidRDefault="00B63136" w:rsidP="00B63136"/>
    <w:p w14:paraId="5118ACFA" w14:textId="77777777" w:rsidR="00B63136" w:rsidRDefault="00B63136" w:rsidP="00B63136">
      <w:r>
        <w:t xml:space="preserve">Additionally, </w:t>
      </w:r>
      <w:r w:rsidRPr="00056D98">
        <w:t xml:space="preserve">RTI has </w:t>
      </w:r>
      <w:r>
        <w:t xml:space="preserve">developed and </w:t>
      </w:r>
      <w:r w:rsidRPr="00056D98">
        <w:t xml:space="preserve">utilized web-based instruments that are substantially similar to the format </w:t>
      </w:r>
      <w:r>
        <w:t>and</w:t>
      </w:r>
      <w:r w:rsidRPr="00056D98">
        <w:t xml:space="preserve"> design for the 201</w:t>
      </w:r>
      <w:r>
        <w:t>9</w:t>
      </w:r>
      <w:r w:rsidRPr="00056D98">
        <w:t xml:space="preserve"> </w:t>
      </w:r>
      <w:r>
        <w:t>CCF</w:t>
      </w:r>
      <w:r w:rsidRPr="00056D98">
        <w:t xml:space="preserve">. The web-based administration procedures successfully employed </w:t>
      </w:r>
      <w:r>
        <w:t xml:space="preserve">in similar BJS collections, such as the Law Enforcement Management and Statistics Survey </w:t>
      </w:r>
      <w:r w:rsidR="00FB5DC4">
        <w:t xml:space="preserve">(OMB No. </w:t>
      </w:r>
      <w:r w:rsidR="005D6017">
        <w:t>1121-0240</w:t>
      </w:r>
      <w:r w:rsidR="00FB5DC4">
        <w:t xml:space="preserve">) </w:t>
      </w:r>
      <w:r>
        <w:t xml:space="preserve">and Annual </w:t>
      </w:r>
      <w:r w:rsidR="008207B9">
        <w:t>Surveys of Probation and Parole</w:t>
      </w:r>
      <w:r w:rsidR="00FB5DC4">
        <w:t xml:space="preserve"> (OMB No.1121-0064)</w:t>
      </w:r>
      <w:r>
        <w:t xml:space="preserve">, will be </w:t>
      </w:r>
      <w:r w:rsidRPr="00056D98">
        <w:t>followed to ensure the successful administration of the 201</w:t>
      </w:r>
      <w:r>
        <w:t>9</w:t>
      </w:r>
      <w:r w:rsidRPr="00056D98">
        <w:t xml:space="preserve"> </w:t>
      </w:r>
      <w:r>
        <w:t>CCF.</w:t>
      </w:r>
    </w:p>
    <w:p w14:paraId="3AB0E323" w14:textId="77777777" w:rsidR="00D42883" w:rsidRPr="009561F8" w:rsidRDefault="00D42883" w:rsidP="00B63136"/>
    <w:p w14:paraId="2B5919C4" w14:textId="77777777" w:rsidR="00B63136" w:rsidRDefault="00B63136" w:rsidP="00B63136">
      <w:pPr>
        <w:rPr>
          <w:u w:val="single"/>
        </w:rPr>
      </w:pPr>
      <w:r>
        <w:t xml:space="preserve">5. </w:t>
      </w:r>
      <w:r>
        <w:tab/>
      </w:r>
      <w:r w:rsidRPr="00B63136">
        <w:rPr>
          <w:u w:val="single"/>
        </w:rPr>
        <w:t>Contacts for Statistical Aspects of the Data Collection</w:t>
      </w:r>
    </w:p>
    <w:p w14:paraId="143E3FBC" w14:textId="77777777" w:rsidR="00B63136" w:rsidRPr="004D0AF6" w:rsidRDefault="00B63136" w:rsidP="00B63136"/>
    <w:p w14:paraId="331FC65F" w14:textId="521EB921" w:rsidR="00B63136" w:rsidRPr="004D0AF6" w:rsidRDefault="00B63136" w:rsidP="00B63136">
      <w:r w:rsidRPr="004D0AF6">
        <w:t xml:space="preserve">The Corrections Statistics Unit at BJS takes responsibility for the overall design and management of the </w:t>
      </w:r>
      <w:r w:rsidR="00CA57D5">
        <w:t>CCF</w:t>
      </w:r>
      <w:r w:rsidRPr="004D0AF6">
        <w:t xml:space="preserve">, including the development of the questionnaires, and the analysis and publication of the data. </w:t>
      </w:r>
      <w:r>
        <w:t xml:space="preserve">The </w:t>
      </w:r>
      <w:r w:rsidRPr="004D0AF6">
        <w:t xml:space="preserve">BJS contact </w:t>
      </w:r>
      <w:r>
        <w:t xml:space="preserve">for </w:t>
      </w:r>
      <w:r w:rsidR="000F099D">
        <w:t xml:space="preserve">the </w:t>
      </w:r>
      <w:r>
        <w:t xml:space="preserve">CCF is </w:t>
      </w:r>
      <w:r w:rsidR="00C2638B" w:rsidRPr="000800CD">
        <w:t>–</w:t>
      </w:r>
    </w:p>
    <w:p w14:paraId="6509F164" w14:textId="77777777" w:rsidR="00B63136" w:rsidRPr="004D0AF6" w:rsidRDefault="00B63136" w:rsidP="00B63136"/>
    <w:p w14:paraId="497E8316" w14:textId="77777777" w:rsidR="00B63136" w:rsidRPr="004D0AF6" w:rsidRDefault="00B63136" w:rsidP="00B63136">
      <w:pPr>
        <w:ind w:firstLine="720"/>
      </w:pPr>
      <w:r>
        <w:t>Laura Maruschak</w:t>
      </w:r>
      <w:r w:rsidRPr="004D0AF6">
        <w:t>, Statistician</w:t>
      </w:r>
    </w:p>
    <w:p w14:paraId="1577C334" w14:textId="77777777" w:rsidR="00B63136" w:rsidRPr="004D0AF6" w:rsidRDefault="00B63136" w:rsidP="00B63136">
      <w:pPr>
        <w:ind w:firstLine="720"/>
      </w:pPr>
      <w:r w:rsidRPr="004D0AF6">
        <w:t>Corrections Unit</w:t>
      </w:r>
    </w:p>
    <w:p w14:paraId="2E885E0F" w14:textId="77777777" w:rsidR="00B63136" w:rsidRPr="004D0AF6" w:rsidRDefault="00B63136" w:rsidP="00B63136">
      <w:pPr>
        <w:ind w:firstLine="720"/>
      </w:pPr>
      <w:r w:rsidRPr="004D0AF6">
        <w:t>Bureau of Justice Statistics</w:t>
      </w:r>
    </w:p>
    <w:p w14:paraId="408D39D2" w14:textId="77777777" w:rsidR="00B63136" w:rsidRPr="004D0AF6" w:rsidRDefault="00B63136" w:rsidP="00B63136">
      <w:pPr>
        <w:ind w:firstLine="720"/>
      </w:pPr>
      <w:r w:rsidRPr="004D0AF6">
        <w:t>810 7</w:t>
      </w:r>
      <w:r w:rsidRPr="004D0AF6">
        <w:rPr>
          <w:vertAlign w:val="superscript"/>
        </w:rPr>
        <w:t>th</w:t>
      </w:r>
      <w:r w:rsidRPr="004D0AF6">
        <w:t xml:space="preserve"> Street, NW</w:t>
      </w:r>
    </w:p>
    <w:p w14:paraId="04EFF500" w14:textId="77777777" w:rsidR="00B63136" w:rsidRPr="004D0AF6" w:rsidRDefault="00B63136" w:rsidP="00B63136">
      <w:pPr>
        <w:ind w:firstLine="720"/>
      </w:pPr>
      <w:r w:rsidRPr="004D0AF6">
        <w:t>Washington, D.C. 20531</w:t>
      </w:r>
    </w:p>
    <w:p w14:paraId="0496ADF6" w14:textId="77777777" w:rsidR="00B63136" w:rsidRPr="00B63136" w:rsidRDefault="00B63136" w:rsidP="00B63136">
      <w:pPr>
        <w:ind w:firstLine="720"/>
      </w:pPr>
      <w:r w:rsidRPr="004D0AF6">
        <w:t>(</w:t>
      </w:r>
      <w:r w:rsidRPr="00B63136">
        <w:t>202) 307-5986</w:t>
      </w:r>
    </w:p>
    <w:p w14:paraId="239C693F" w14:textId="77777777" w:rsidR="00B63136" w:rsidRPr="00B63136" w:rsidRDefault="003647CA" w:rsidP="00B63136">
      <w:pPr>
        <w:widowControl/>
        <w:ind w:firstLine="720"/>
        <w:rPr>
          <w:color w:val="000000"/>
        </w:rPr>
      </w:pPr>
      <w:hyperlink r:id="rId9" w:history="1">
        <w:r w:rsidR="00B63136" w:rsidRPr="00B63136">
          <w:rPr>
            <w:rStyle w:val="Hyperlink"/>
          </w:rPr>
          <w:t>Laura.Maruschak@ojp.usdoj.gov</w:t>
        </w:r>
      </w:hyperlink>
    </w:p>
    <w:p w14:paraId="427E562D" w14:textId="77777777" w:rsidR="00B63136" w:rsidRPr="004D0AF6" w:rsidRDefault="00B63136" w:rsidP="00B63136">
      <w:pPr>
        <w:ind w:firstLine="2160"/>
      </w:pPr>
    </w:p>
    <w:p w14:paraId="03BCD059" w14:textId="77777777" w:rsidR="00B63136" w:rsidRPr="004D0AF6" w:rsidRDefault="00B63136" w:rsidP="00B63136">
      <w:pPr>
        <w:ind w:firstLine="2160"/>
      </w:pPr>
    </w:p>
    <w:p w14:paraId="7D918B31" w14:textId="7FB10CBD" w:rsidR="00B63136" w:rsidRPr="003A0052" w:rsidRDefault="00B63136" w:rsidP="00B63136">
      <w:r w:rsidRPr="003A0052">
        <w:t>The current data collection agent for</w:t>
      </w:r>
      <w:r w:rsidR="000F099D">
        <w:t xml:space="preserve"> the</w:t>
      </w:r>
      <w:r w:rsidRPr="003A0052">
        <w:t xml:space="preserve"> </w:t>
      </w:r>
      <w:r>
        <w:t>CCF</w:t>
      </w:r>
      <w:r w:rsidRPr="003A0052">
        <w:t xml:space="preserve"> is </w:t>
      </w:r>
      <w:r>
        <w:t>RTI</w:t>
      </w:r>
      <w:r w:rsidRPr="003A0052">
        <w:t xml:space="preserve">. The contact information for the </w:t>
      </w:r>
      <w:r>
        <w:t>CCF</w:t>
      </w:r>
      <w:r w:rsidRPr="003A0052">
        <w:t xml:space="preserve"> </w:t>
      </w:r>
      <w:r>
        <w:t>project director</w:t>
      </w:r>
      <w:r w:rsidRPr="003A0052">
        <w:t xml:space="preserve"> at </w:t>
      </w:r>
      <w:r>
        <w:t>RTI</w:t>
      </w:r>
      <w:r w:rsidRPr="003A0052">
        <w:t xml:space="preserve"> is </w:t>
      </w:r>
      <w:r w:rsidR="00C2638B" w:rsidRPr="000800CD">
        <w:t>–</w:t>
      </w:r>
    </w:p>
    <w:p w14:paraId="5395E517" w14:textId="77777777" w:rsidR="00B63136" w:rsidRPr="004D0AF6" w:rsidRDefault="00B63136" w:rsidP="00B63136"/>
    <w:p w14:paraId="38827ACC" w14:textId="77777777" w:rsidR="00B63136" w:rsidRDefault="00B63136" w:rsidP="00B63136">
      <w:pPr>
        <w:ind w:firstLine="720"/>
      </w:pPr>
      <w:r>
        <w:t>Chris Ellis, Senior Survey Director</w:t>
      </w:r>
    </w:p>
    <w:p w14:paraId="00ADBCFB" w14:textId="77777777" w:rsidR="00B63136" w:rsidRDefault="00B63136" w:rsidP="00B63136">
      <w:pPr>
        <w:ind w:firstLine="720"/>
      </w:pPr>
      <w:r>
        <w:t>RTI International</w:t>
      </w:r>
    </w:p>
    <w:p w14:paraId="243786A2" w14:textId="77777777" w:rsidR="00B63136" w:rsidRDefault="00B63136" w:rsidP="00B63136">
      <w:pPr>
        <w:ind w:firstLine="720"/>
      </w:pPr>
      <w:r>
        <w:t>3040 E. Cornwallis Road</w:t>
      </w:r>
    </w:p>
    <w:p w14:paraId="0134B718" w14:textId="77777777" w:rsidR="00B63136" w:rsidRDefault="00B63136" w:rsidP="00B63136">
      <w:pPr>
        <w:ind w:firstLine="720"/>
      </w:pPr>
      <w:r>
        <w:t>Research Triangle Park, NC 27709</w:t>
      </w:r>
    </w:p>
    <w:p w14:paraId="5E60C236" w14:textId="77777777" w:rsidR="00B63136" w:rsidRPr="004D0AF6" w:rsidRDefault="00B63136" w:rsidP="00B63136">
      <w:pPr>
        <w:ind w:firstLine="720"/>
      </w:pPr>
      <w:r>
        <w:t>(919) 541-6480</w:t>
      </w:r>
    </w:p>
    <w:p w14:paraId="41077370" w14:textId="77777777" w:rsidR="00B63136" w:rsidRDefault="003647CA" w:rsidP="00B63136">
      <w:pPr>
        <w:ind w:firstLine="720"/>
      </w:pPr>
      <w:hyperlink r:id="rId10" w:history="1">
        <w:r w:rsidR="00B63136" w:rsidRPr="001D59FF">
          <w:rPr>
            <w:rStyle w:val="Hyperlink"/>
          </w:rPr>
          <w:t>ellis@rti.org</w:t>
        </w:r>
      </w:hyperlink>
    </w:p>
    <w:p w14:paraId="55E466E7" w14:textId="77777777" w:rsidR="00B63136" w:rsidRDefault="00B63136" w:rsidP="00B63136"/>
    <w:p w14:paraId="364C963E" w14:textId="77777777" w:rsidR="00B63136" w:rsidRDefault="00B63136"/>
    <w:sectPr w:rsidR="00B63136" w:rsidSect="00603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E0EF5" w14:textId="77777777" w:rsidR="00C71016" w:rsidRDefault="00C71016" w:rsidP="00D26834">
      <w:r>
        <w:separator/>
      </w:r>
    </w:p>
  </w:endnote>
  <w:endnote w:type="continuationSeparator" w:id="0">
    <w:p w14:paraId="100596F9" w14:textId="77777777" w:rsidR="00C71016" w:rsidRDefault="00C71016" w:rsidP="00D2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7A543" w14:textId="77777777" w:rsidR="00C71016" w:rsidRDefault="00C71016" w:rsidP="00D26834">
      <w:r>
        <w:separator/>
      </w:r>
    </w:p>
  </w:footnote>
  <w:footnote w:type="continuationSeparator" w:id="0">
    <w:p w14:paraId="0198DA2D" w14:textId="77777777" w:rsidR="00C71016" w:rsidRDefault="00C71016" w:rsidP="00D26834">
      <w:r>
        <w:continuationSeparator/>
      </w:r>
    </w:p>
  </w:footnote>
  <w:footnote w:id="1">
    <w:p w14:paraId="48FBE632" w14:textId="77777777" w:rsidR="00C71016" w:rsidRDefault="00C71016" w:rsidP="005F6F0A">
      <w:pPr>
        <w:pStyle w:val="FootnoteText"/>
      </w:pPr>
      <w:r>
        <w:rPr>
          <w:rStyle w:val="FootnoteReference"/>
        </w:rPr>
        <w:footnoteRef/>
      </w:r>
      <w:r>
        <w:t xml:space="preserve"> Unless otherwise noted, all mailings will be sent via USPS 1</w:t>
      </w:r>
      <w:r w:rsidRPr="00602FFD">
        <w:rPr>
          <w:vertAlign w:val="superscript"/>
        </w:rPr>
        <w:t>st</w:t>
      </w:r>
      <w:r>
        <w:t xml:space="preserve"> Class Mail.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0B7"/>
    <w:multiLevelType w:val="hybridMultilevel"/>
    <w:tmpl w:val="D7C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650AC"/>
    <w:multiLevelType w:val="hybridMultilevel"/>
    <w:tmpl w:val="F0D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57BBF"/>
    <w:multiLevelType w:val="hybridMultilevel"/>
    <w:tmpl w:val="1E5CFAD0"/>
    <w:lvl w:ilvl="0" w:tplc="CCCA1E4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C1234"/>
    <w:multiLevelType w:val="hybridMultilevel"/>
    <w:tmpl w:val="5FEC599A"/>
    <w:lvl w:ilvl="0" w:tplc="CDE8DD40">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510A0"/>
    <w:multiLevelType w:val="hybridMultilevel"/>
    <w:tmpl w:val="8BBE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85360"/>
    <w:multiLevelType w:val="hybridMultilevel"/>
    <w:tmpl w:val="AA842440"/>
    <w:lvl w:ilvl="0" w:tplc="60D44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F19B4"/>
    <w:multiLevelType w:val="hybridMultilevel"/>
    <w:tmpl w:val="9CB2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23869"/>
    <w:multiLevelType w:val="hybridMultilevel"/>
    <w:tmpl w:val="A5D694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36367051"/>
    <w:multiLevelType w:val="hybridMultilevel"/>
    <w:tmpl w:val="B7D4DD9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nsid w:val="3D2F7231"/>
    <w:multiLevelType w:val="hybridMultilevel"/>
    <w:tmpl w:val="7682FA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nsid w:val="4ABC6196"/>
    <w:multiLevelType w:val="hybridMultilevel"/>
    <w:tmpl w:val="F7900102"/>
    <w:lvl w:ilvl="0" w:tplc="024ED5FE">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2607"/>
    <w:multiLevelType w:val="hybridMultilevel"/>
    <w:tmpl w:val="3D069B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E1298"/>
    <w:multiLevelType w:val="hybridMultilevel"/>
    <w:tmpl w:val="2912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
  </w:num>
  <w:num w:numId="6">
    <w:abstractNumId w:val="4"/>
  </w:num>
  <w:num w:numId="7">
    <w:abstractNumId w:val="0"/>
  </w:num>
  <w:num w:numId="8">
    <w:abstractNumId w:val="6"/>
  </w:num>
  <w:num w:numId="9">
    <w:abstractNumId w:val="12"/>
  </w:num>
  <w:num w:numId="10">
    <w:abstractNumId w:val="10"/>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34"/>
    <w:rsid w:val="000636EE"/>
    <w:rsid w:val="00066FF3"/>
    <w:rsid w:val="000A70AA"/>
    <w:rsid w:val="000C2C08"/>
    <w:rsid w:val="000F099D"/>
    <w:rsid w:val="000F4C17"/>
    <w:rsid w:val="0011338B"/>
    <w:rsid w:val="00121DDB"/>
    <w:rsid w:val="00134E03"/>
    <w:rsid w:val="001561DB"/>
    <w:rsid w:val="00185F74"/>
    <w:rsid w:val="00193F9E"/>
    <w:rsid w:val="001A13C9"/>
    <w:rsid w:val="001A39BD"/>
    <w:rsid w:val="001B36E2"/>
    <w:rsid w:val="002053D3"/>
    <w:rsid w:val="00207AD8"/>
    <w:rsid w:val="0023598B"/>
    <w:rsid w:val="00251604"/>
    <w:rsid w:val="00264A4A"/>
    <w:rsid w:val="00272645"/>
    <w:rsid w:val="00282490"/>
    <w:rsid w:val="0029101F"/>
    <w:rsid w:val="002B69BF"/>
    <w:rsid w:val="002C05A6"/>
    <w:rsid w:val="002C3AE2"/>
    <w:rsid w:val="002E5685"/>
    <w:rsid w:val="003030D4"/>
    <w:rsid w:val="0032324A"/>
    <w:rsid w:val="00355A71"/>
    <w:rsid w:val="00356EFB"/>
    <w:rsid w:val="003647CA"/>
    <w:rsid w:val="00371BC8"/>
    <w:rsid w:val="00372773"/>
    <w:rsid w:val="00381549"/>
    <w:rsid w:val="003C56DA"/>
    <w:rsid w:val="003F2574"/>
    <w:rsid w:val="003F3C46"/>
    <w:rsid w:val="00417902"/>
    <w:rsid w:val="004448AA"/>
    <w:rsid w:val="0046323C"/>
    <w:rsid w:val="00517C35"/>
    <w:rsid w:val="005260C5"/>
    <w:rsid w:val="00530C04"/>
    <w:rsid w:val="00535CD3"/>
    <w:rsid w:val="00580402"/>
    <w:rsid w:val="005D6017"/>
    <w:rsid w:val="005F6F0A"/>
    <w:rsid w:val="006030ED"/>
    <w:rsid w:val="00630F4E"/>
    <w:rsid w:val="006346A7"/>
    <w:rsid w:val="00635E94"/>
    <w:rsid w:val="00637BFD"/>
    <w:rsid w:val="00650CAB"/>
    <w:rsid w:val="00690389"/>
    <w:rsid w:val="006B1A99"/>
    <w:rsid w:val="006D0EF6"/>
    <w:rsid w:val="006E6154"/>
    <w:rsid w:val="006F32FF"/>
    <w:rsid w:val="006F37D8"/>
    <w:rsid w:val="0072440A"/>
    <w:rsid w:val="007512DB"/>
    <w:rsid w:val="0077134E"/>
    <w:rsid w:val="00792B54"/>
    <w:rsid w:val="007B65DB"/>
    <w:rsid w:val="007E7B08"/>
    <w:rsid w:val="008207B9"/>
    <w:rsid w:val="00837B5E"/>
    <w:rsid w:val="00847CCA"/>
    <w:rsid w:val="008564A0"/>
    <w:rsid w:val="0089295D"/>
    <w:rsid w:val="008A08C6"/>
    <w:rsid w:val="008E0184"/>
    <w:rsid w:val="00913E3C"/>
    <w:rsid w:val="009746FB"/>
    <w:rsid w:val="00983F9B"/>
    <w:rsid w:val="009B62EF"/>
    <w:rsid w:val="009C0B9A"/>
    <w:rsid w:val="009C0D5C"/>
    <w:rsid w:val="009D152B"/>
    <w:rsid w:val="009F7455"/>
    <w:rsid w:val="00A40033"/>
    <w:rsid w:val="00A43AA5"/>
    <w:rsid w:val="00A60286"/>
    <w:rsid w:val="00A63A81"/>
    <w:rsid w:val="00AB36D4"/>
    <w:rsid w:val="00AC7B3D"/>
    <w:rsid w:val="00AE05AE"/>
    <w:rsid w:val="00AF2461"/>
    <w:rsid w:val="00B03F8C"/>
    <w:rsid w:val="00B128B7"/>
    <w:rsid w:val="00B63136"/>
    <w:rsid w:val="00B6380C"/>
    <w:rsid w:val="00B7371B"/>
    <w:rsid w:val="00BA485E"/>
    <w:rsid w:val="00BD29C4"/>
    <w:rsid w:val="00BD77B1"/>
    <w:rsid w:val="00C00C79"/>
    <w:rsid w:val="00C2638B"/>
    <w:rsid w:val="00C66ECE"/>
    <w:rsid w:val="00C70EEF"/>
    <w:rsid w:val="00C71016"/>
    <w:rsid w:val="00C733E1"/>
    <w:rsid w:val="00CA1325"/>
    <w:rsid w:val="00CA57D5"/>
    <w:rsid w:val="00CC7919"/>
    <w:rsid w:val="00D029D3"/>
    <w:rsid w:val="00D215FE"/>
    <w:rsid w:val="00D26834"/>
    <w:rsid w:val="00D42883"/>
    <w:rsid w:val="00D87D46"/>
    <w:rsid w:val="00DA7D37"/>
    <w:rsid w:val="00DE6E83"/>
    <w:rsid w:val="00DF3342"/>
    <w:rsid w:val="00E24DF4"/>
    <w:rsid w:val="00E67E95"/>
    <w:rsid w:val="00E82DFD"/>
    <w:rsid w:val="00EA2658"/>
    <w:rsid w:val="00EC6F0C"/>
    <w:rsid w:val="00EE65B1"/>
    <w:rsid w:val="00F0076C"/>
    <w:rsid w:val="00F14877"/>
    <w:rsid w:val="00F43768"/>
    <w:rsid w:val="00F527E4"/>
    <w:rsid w:val="00F77B3E"/>
    <w:rsid w:val="00F82B68"/>
    <w:rsid w:val="00FB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34"/>
    <w:pPr>
      <w:ind w:left="720"/>
      <w:contextualSpacing/>
    </w:pPr>
  </w:style>
  <w:style w:type="paragraph" w:styleId="FootnoteText">
    <w:name w:val="footnote text"/>
    <w:basedOn w:val="Normal"/>
    <w:link w:val="FootnoteTextChar"/>
    <w:uiPriority w:val="99"/>
    <w:unhideWhenUsed/>
    <w:rsid w:val="00D26834"/>
    <w:rPr>
      <w:sz w:val="20"/>
      <w:szCs w:val="20"/>
    </w:rPr>
  </w:style>
  <w:style w:type="character" w:customStyle="1" w:styleId="FootnoteTextChar">
    <w:name w:val="Footnote Text Char"/>
    <w:basedOn w:val="DefaultParagraphFont"/>
    <w:link w:val="FootnoteText"/>
    <w:uiPriority w:val="99"/>
    <w:rsid w:val="00D268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834"/>
    <w:rPr>
      <w:vertAlign w:val="superscript"/>
    </w:rPr>
  </w:style>
  <w:style w:type="paragraph" w:customStyle="1" w:styleId="Quick1">
    <w:name w:val="Quick 1."/>
    <w:basedOn w:val="Normal"/>
    <w:rsid w:val="00B63136"/>
    <w:pPr>
      <w:autoSpaceDE/>
      <w:autoSpaceDN/>
      <w:adjustRightInd/>
    </w:pPr>
    <w:rPr>
      <w:szCs w:val="20"/>
    </w:rPr>
  </w:style>
  <w:style w:type="character" w:styleId="Hyperlink">
    <w:name w:val="Hyperlink"/>
    <w:unhideWhenUsed/>
    <w:rsid w:val="00B63136"/>
    <w:rPr>
      <w:color w:val="0000FF"/>
      <w:u w:val="single"/>
    </w:rPr>
  </w:style>
  <w:style w:type="character" w:styleId="CommentReference">
    <w:name w:val="annotation reference"/>
    <w:basedOn w:val="DefaultParagraphFont"/>
    <w:uiPriority w:val="99"/>
    <w:semiHidden/>
    <w:unhideWhenUsed/>
    <w:rsid w:val="005F6F0A"/>
    <w:rPr>
      <w:sz w:val="16"/>
      <w:szCs w:val="16"/>
    </w:rPr>
  </w:style>
  <w:style w:type="paragraph" w:styleId="CommentText">
    <w:name w:val="annotation text"/>
    <w:basedOn w:val="Normal"/>
    <w:link w:val="CommentTextChar"/>
    <w:uiPriority w:val="99"/>
    <w:semiHidden/>
    <w:unhideWhenUsed/>
    <w:rsid w:val="005F6F0A"/>
    <w:rPr>
      <w:sz w:val="20"/>
      <w:szCs w:val="20"/>
    </w:rPr>
  </w:style>
  <w:style w:type="character" w:customStyle="1" w:styleId="CommentTextChar">
    <w:name w:val="Comment Text Char"/>
    <w:basedOn w:val="DefaultParagraphFont"/>
    <w:link w:val="CommentText"/>
    <w:uiPriority w:val="99"/>
    <w:semiHidden/>
    <w:rsid w:val="005F6F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F0A"/>
    <w:rPr>
      <w:b/>
      <w:bCs/>
    </w:rPr>
  </w:style>
  <w:style w:type="character" w:customStyle="1" w:styleId="CommentSubjectChar">
    <w:name w:val="Comment Subject Char"/>
    <w:basedOn w:val="CommentTextChar"/>
    <w:link w:val="CommentSubject"/>
    <w:uiPriority w:val="99"/>
    <w:semiHidden/>
    <w:rsid w:val="005F6F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0A"/>
    <w:rPr>
      <w:rFonts w:ascii="Segoe UI" w:eastAsia="Times New Roman" w:hAnsi="Segoe UI" w:cs="Segoe UI"/>
      <w:sz w:val="18"/>
      <w:szCs w:val="18"/>
    </w:rPr>
  </w:style>
  <w:style w:type="table" w:styleId="TableGrid">
    <w:name w:val="Table Grid"/>
    <w:basedOn w:val="TableNormal"/>
    <w:uiPriority w:val="39"/>
    <w:rsid w:val="00AE05A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34"/>
    <w:pPr>
      <w:ind w:left="720"/>
      <w:contextualSpacing/>
    </w:pPr>
  </w:style>
  <w:style w:type="paragraph" w:styleId="FootnoteText">
    <w:name w:val="footnote text"/>
    <w:basedOn w:val="Normal"/>
    <w:link w:val="FootnoteTextChar"/>
    <w:uiPriority w:val="99"/>
    <w:unhideWhenUsed/>
    <w:rsid w:val="00D26834"/>
    <w:rPr>
      <w:sz w:val="20"/>
      <w:szCs w:val="20"/>
    </w:rPr>
  </w:style>
  <w:style w:type="character" w:customStyle="1" w:styleId="FootnoteTextChar">
    <w:name w:val="Footnote Text Char"/>
    <w:basedOn w:val="DefaultParagraphFont"/>
    <w:link w:val="FootnoteText"/>
    <w:uiPriority w:val="99"/>
    <w:rsid w:val="00D268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834"/>
    <w:rPr>
      <w:vertAlign w:val="superscript"/>
    </w:rPr>
  </w:style>
  <w:style w:type="paragraph" w:customStyle="1" w:styleId="Quick1">
    <w:name w:val="Quick 1."/>
    <w:basedOn w:val="Normal"/>
    <w:rsid w:val="00B63136"/>
    <w:pPr>
      <w:autoSpaceDE/>
      <w:autoSpaceDN/>
      <w:adjustRightInd/>
    </w:pPr>
    <w:rPr>
      <w:szCs w:val="20"/>
    </w:rPr>
  </w:style>
  <w:style w:type="character" w:styleId="Hyperlink">
    <w:name w:val="Hyperlink"/>
    <w:unhideWhenUsed/>
    <w:rsid w:val="00B63136"/>
    <w:rPr>
      <w:color w:val="0000FF"/>
      <w:u w:val="single"/>
    </w:rPr>
  </w:style>
  <w:style w:type="character" w:styleId="CommentReference">
    <w:name w:val="annotation reference"/>
    <w:basedOn w:val="DefaultParagraphFont"/>
    <w:uiPriority w:val="99"/>
    <w:semiHidden/>
    <w:unhideWhenUsed/>
    <w:rsid w:val="005F6F0A"/>
    <w:rPr>
      <w:sz w:val="16"/>
      <w:szCs w:val="16"/>
    </w:rPr>
  </w:style>
  <w:style w:type="paragraph" w:styleId="CommentText">
    <w:name w:val="annotation text"/>
    <w:basedOn w:val="Normal"/>
    <w:link w:val="CommentTextChar"/>
    <w:uiPriority w:val="99"/>
    <w:semiHidden/>
    <w:unhideWhenUsed/>
    <w:rsid w:val="005F6F0A"/>
    <w:rPr>
      <w:sz w:val="20"/>
      <w:szCs w:val="20"/>
    </w:rPr>
  </w:style>
  <w:style w:type="character" w:customStyle="1" w:styleId="CommentTextChar">
    <w:name w:val="Comment Text Char"/>
    <w:basedOn w:val="DefaultParagraphFont"/>
    <w:link w:val="CommentText"/>
    <w:uiPriority w:val="99"/>
    <w:semiHidden/>
    <w:rsid w:val="005F6F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F0A"/>
    <w:rPr>
      <w:b/>
      <w:bCs/>
    </w:rPr>
  </w:style>
  <w:style w:type="character" w:customStyle="1" w:styleId="CommentSubjectChar">
    <w:name w:val="Comment Subject Char"/>
    <w:basedOn w:val="CommentTextChar"/>
    <w:link w:val="CommentSubject"/>
    <w:uiPriority w:val="99"/>
    <w:semiHidden/>
    <w:rsid w:val="005F6F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0A"/>
    <w:rPr>
      <w:rFonts w:ascii="Segoe UI" w:eastAsia="Times New Roman" w:hAnsi="Segoe UI" w:cs="Segoe UI"/>
      <w:sz w:val="18"/>
      <w:szCs w:val="18"/>
    </w:rPr>
  </w:style>
  <w:style w:type="table" w:styleId="TableGrid">
    <w:name w:val="Table Grid"/>
    <w:basedOn w:val="TableNormal"/>
    <w:uiPriority w:val="39"/>
    <w:rsid w:val="00AE05A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llis@rti.org" TargetMode="External"/><Relationship Id="rId4" Type="http://schemas.microsoft.com/office/2007/relationships/stylesWithEffects" Target="stylesWithEffects.xml"/><Relationship Id="rId9" Type="http://schemas.openxmlformats.org/officeDocument/2006/relationships/hyperlink" Target="mailto:Laura.Maruschak@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E393-FEDE-4E5A-B796-EBCA93E3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Maruschak, Laura</dc:creator>
  <cp:keywords/>
  <dc:description/>
  <cp:lastModifiedBy>SYSTEM</cp:lastModifiedBy>
  <cp:revision>2</cp:revision>
  <cp:lastPrinted>2019-03-27T15:41:00Z</cp:lastPrinted>
  <dcterms:created xsi:type="dcterms:W3CDTF">2019-04-09T19:47:00Z</dcterms:created>
  <dcterms:modified xsi:type="dcterms:W3CDTF">2019-04-09T19:47:00Z</dcterms:modified>
</cp:coreProperties>
</file>