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27D0C" w14:textId="727842FD" w:rsidR="009D5BDF" w:rsidRDefault="00893E21" w:rsidP="0078231C">
      <w:pPr>
        <w:jc w:val="center"/>
        <w:rPr>
          <w:b/>
        </w:rPr>
      </w:pPr>
      <w:bookmarkStart w:id="0" w:name="_GoBack"/>
      <w:bookmarkEnd w:id="0"/>
      <w:r>
        <w:rPr>
          <w:b/>
        </w:rPr>
        <w:t>ATTACHMENT</w:t>
      </w:r>
      <w:r w:rsidR="00964CBE">
        <w:rPr>
          <w:b/>
        </w:rPr>
        <w:t xml:space="preserve"> </w:t>
      </w:r>
      <w:r w:rsidR="00C51EB5">
        <w:rPr>
          <w:b/>
        </w:rPr>
        <w:t>A</w:t>
      </w:r>
      <w:r w:rsidR="00964CBE">
        <w:rPr>
          <w:b/>
        </w:rPr>
        <w:t xml:space="preserve">: </w:t>
      </w:r>
      <w:r w:rsidR="00E25DF9">
        <w:rPr>
          <w:b/>
        </w:rPr>
        <w:t xml:space="preserve">GEMINI CE </w:t>
      </w:r>
      <w:r w:rsidR="009D5BDF">
        <w:rPr>
          <w:b/>
        </w:rPr>
        <w:t>LARGE SCALE FEASIBILITY TEST OF ONLINE DIARIES</w:t>
      </w:r>
    </w:p>
    <w:p w14:paraId="44343E1B" w14:textId="77777777" w:rsidR="009D5BDF" w:rsidRDefault="009D5BDF" w:rsidP="00D87CD4">
      <w:pPr>
        <w:rPr>
          <w:b/>
        </w:rPr>
      </w:pPr>
    </w:p>
    <w:p w14:paraId="233F5851" w14:textId="77777777" w:rsidR="009D5BDF" w:rsidRDefault="009D5BDF" w:rsidP="009D5BDF">
      <w:pPr>
        <w:rPr>
          <w:b/>
        </w:rPr>
      </w:pPr>
    </w:p>
    <w:p w14:paraId="502BF258" w14:textId="77777777" w:rsidR="00E25DF9" w:rsidRPr="0011141A" w:rsidRDefault="009D5BDF" w:rsidP="009D5BDF">
      <w:pPr>
        <w:pStyle w:val="ListParagraph"/>
        <w:numPr>
          <w:ilvl w:val="0"/>
          <w:numId w:val="11"/>
        </w:numPr>
        <w:rPr>
          <w:b/>
          <w:caps/>
        </w:rPr>
      </w:pPr>
      <w:r w:rsidRPr="0011141A">
        <w:rPr>
          <w:b/>
          <w:caps/>
        </w:rPr>
        <w:t>STUDY OVERVIEW</w:t>
      </w:r>
    </w:p>
    <w:p w14:paraId="40FCE86B" w14:textId="77777777" w:rsidR="009D5BDF" w:rsidRPr="0011141A" w:rsidRDefault="009D5BDF" w:rsidP="009D5BDF">
      <w:pPr>
        <w:pStyle w:val="ListParagraph"/>
        <w:ind w:left="1080"/>
        <w:rPr>
          <w:b/>
          <w:caps/>
        </w:rPr>
      </w:pPr>
    </w:p>
    <w:p w14:paraId="416D3187" w14:textId="77777777" w:rsidR="00E25DF9" w:rsidRPr="0011141A" w:rsidRDefault="0078231C" w:rsidP="0078231C">
      <w:pPr>
        <w:pStyle w:val="ListParagraph"/>
        <w:numPr>
          <w:ilvl w:val="0"/>
          <w:numId w:val="6"/>
        </w:numPr>
        <w:spacing w:line="360" w:lineRule="auto"/>
      </w:pPr>
      <w:r w:rsidRPr="0011141A">
        <w:t>BACKGROUND</w:t>
      </w:r>
    </w:p>
    <w:p w14:paraId="1511EE06" w14:textId="77777777" w:rsidR="00152C4D" w:rsidRPr="0011141A" w:rsidRDefault="00152C4D" w:rsidP="00152C4D">
      <w:pPr>
        <w:pStyle w:val="ListParagraph"/>
        <w:spacing w:line="360" w:lineRule="auto"/>
      </w:pPr>
    </w:p>
    <w:p w14:paraId="6BE517D2" w14:textId="77777777" w:rsidR="00E25DF9" w:rsidRPr="0011141A" w:rsidRDefault="00E25DF9" w:rsidP="009D5BDF">
      <w:pPr>
        <w:spacing w:line="360" w:lineRule="auto"/>
        <w:ind w:left="360"/>
        <w:rPr>
          <w:rFonts w:eastAsia="Calibri"/>
        </w:rPr>
      </w:pPr>
      <w:r w:rsidRPr="0011141A">
        <w:t xml:space="preserve">In 2009, the Bureau of Labor Statistics (BLS) Consumer Expenditure Survey (CE) initiated the multi-year Gemini Project for the purpose of researching, developing, and implementing an improved survey design.  The objective of the redesign is to </w:t>
      </w:r>
      <w:r w:rsidRPr="0011141A">
        <w:rPr>
          <w:rFonts w:eastAsia="Calibri"/>
        </w:rPr>
        <w:t xml:space="preserve">improve the quality of the survey estimates through a verifiable reduction in measurement error.  </w:t>
      </w:r>
    </w:p>
    <w:p w14:paraId="4ECFC39B" w14:textId="77777777" w:rsidR="00834A43" w:rsidRPr="0011141A" w:rsidRDefault="00834A43" w:rsidP="009D5BDF">
      <w:pPr>
        <w:spacing w:line="360" w:lineRule="auto"/>
        <w:ind w:left="360"/>
        <w:rPr>
          <w:rFonts w:eastAsia="Calibri"/>
        </w:rPr>
      </w:pPr>
    </w:p>
    <w:p w14:paraId="138FF5F1" w14:textId="77777777" w:rsidR="00834A43" w:rsidRPr="0011141A" w:rsidRDefault="00834A43" w:rsidP="009D5BDF">
      <w:pPr>
        <w:spacing w:line="360" w:lineRule="auto"/>
        <w:ind w:left="360"/>
        <w:rPr>
          <w:rFonts w:eastAsia="Calibri"/>
        </w:rPr>
      </w:pPr>
      <w:r w:rsidRPr="0011141A">
        <w:t xml:space="preserve">The current Consumer Expenditure Diary Survey (CED) at the Bureau of Labor Statistics (BLS) uses a pencil-and-paper instrument (PAPI) to collect expenditure information from respondents. PAPI diary data collection has a number of inherent drawbacks, which limit the ability of respondents to contemporaneously enter expenditure data.  </w:t>
      </w:r>
      <w:r w:rsidR="00152C4D" w:rsidRPr="0011141A">
        <w:t xml:space="preserve">The Gemini redesign involves the introduction of an online diary which can be accessed on a computer or mobile device which can provide easy access to the diary for data entry on the go. </w:t>
      </w:r>
      <w:r w:rsidR="00B33CC1" w:rsidRPr="0011141A">
        <w:t>Previous versions of online diaries have been te</w:t>
      </w:r>
      <w:r w:rsidR="00120426" w:rsidRPr="0011141A">
        <w:t>sted</w:t>
      </w:r>
      <w:r w:rsidR="00B33CC1" w:rsidRPr="0011141A">
        <w:t xml:space="preserve"> in </w:t>
      </w:r>
      <w:r w:rsidR="00120426" w:rsidRPr="0011141A">
        <w:t xml:space="preserve">the Individual Diary Feasibility Test and </w:t>
      </w:r>
      <w:r w:rsidR="00B33CC1" w:rsidRPr="0011141A">
        <w:t>Proo</w:t>
      </w:r>
      <w:r w:rsidR="00120426" w:rsidRPr="0011141A">
        <w:t>f of Concept T</w:t>
      </w:r>
      <w:r w:rsidR="00B33CC1" w:rsidRPr="0011141A">
        <w:t>est.</w:t>
      </w:r>
    </w:p>
    <w:p w14:paraId="14DACFDB" w14:textId="77777777" w:rsidR="00E25DF9" w:rsidRPr="0011141A" w:rsidRDefault="00E25DF9" w:rsidP="00E25DF9">
      <w:pPr>
        <w:spacing w:line="360" w:lineRule="auto"/>
      </w:pPr>
    </w:p>
    <w:p w14:paraId="2964CBF8" w14:textId="77777777" w:rsidR="00E25DF9" w:rsidRPr="0011141A" w:rsidRDefault="00E25DF9" w:rsidP="009D5BDF">
      <w:pPr>
        <w:spacing w:line="360" w:lineRule="auto"/>
        <w:ind w:left="360"/>
      </w:pPr>
      <w:r w:rsidRPr="0011141A">
        <w:t xml:space="preserve">BLS </w:t>
      </w:r>
      <w:r w:rsidR="0011141A">
        <w:t xml:space="preserve">will be </w:t>
      </w:r>
      <w:r w:rsidRPr="0011141A">
        <w:t>realizing the CE survey redesign</w:t>
      </w:r>
      <w:r w:rsidR="0011141A">
        <w:t xml:space="preserve"> through a phased implementation of key design elements</w:t>
      </w:r>
      <w:r w:rsidRPr="0011141A">
        <w:t xml:space="preserve">. This involves implementing an online household-level diary into CED production in January 2022 (pending testing) and implementing a streamlined questionnaire and redesigned interviewing instrument into CEQ production April 2023. </w:t>
      </w:r>
    </w:p>
    <w:p w14:paraId="1AF1A08B" w14:textId="77777777" w:rsidR="00E25DF9" w:rsidRPr="0011141A" w:rsidRDefault="00E25DF9" w:rsidP="00E25DF9">
      <w:pPr>
        <w:spacing w:line="360" w:lineRule="auto"/>
        <w:rPr>
          <w:rFonts w:eastAsia="Calibri"/>
        </w:rPr>
      </w:pPr>
    </w:p>
    <w:p w14:paraId="42A8B7DB" w14:textId="77777777" w:rsidR="00E25DF9" w:rsidRPr="0011141A" w:rsidRDefault="00E25DF9" w:rsidP="009D5BDF">
      <w:pPr>
        <w:ind w:firstLine="360"/>
        <w:rPr>
          <w:b/>
          <w:caps/>
        </w:rPr>
      </w:pPr>
      <w:r w:rsidRPr="00FF25E0">
        <w:rPr>
          <w:caps/>
        </w:rPr>
        <w:t>2.</w:t>
      </w:r>
      <w:r w:rsidRPr="0011141A">
        <w:rPr>
          <w:b/>
          <w:caps/>
        </w:rPr>
        <w:t xml:space="preserve"> </w:t>
      </w:r>
      <w:r w:rsidR="0078231C" w:rsidRPr="0011141A">
        <w:rPr>
          <w:caps/>
        </w:rPr>
        <w:t>OBJECTIVES</w:t>
      </w:r>
    </w:p>
    <w:p w14:paraId="5DA231B6" w14:textId="77777777" w:rsidR="00E25DF9" w:rsidRPr="0011141A" w:rsidRDefault="00E25DF9" w:rsidP="00E25DF9">
      <w:pPr>
        <w:pStyle w:val="ListParagraph"/>
        <w:ind w:left="1080"/>
        <w:rPr>
          <w:b/>
          <w:caps/>
        </w:rPr>
      </w:pPr>
    </w:p>
    <w:p w14:paraId="3259F533" w14:textId="77777777" w:rsidR="00E25DF9" w:rsidRPr="0011141A" w:rsidRDefault="00E25DF9" w:rsidP="009D5BDF">
      <w:pPr>
        <w:spacing w:line="360" w:lineRule="auto"/>
        <w:ind w:left="360"/>
      </w:pPr>
      <w:r w:rsidRPr="0011141A">
        <w:t xml:space="preserve">In order to confidently implement an online diary, the CE program must first successfully complete a large-scale </w:t>
      </w:r>
      <w:r w:rsidR="00627FE1" w:rsidRPr="0011141A">
        <w:t>feasibility test of online diaries</w:t>
      </w:r>
      <w:r w:rsidRPr="0011141A">
        <w:t>.</w:t>
      </w:r>
      <w:r w:rsidR="00621882">
        <w:t xml:space="preserve"> This test will build on information learned from prior tests and additionally will have sufficient sample to make statistical inferences.</w:t>
      </w:r>
      <w:r w:rsidRPr="0011141A">
        <w:t xml:space="preserve">  The objective of this work is to develop an online diary and field a test from October 2019 to </w:t>
      </w:r>
      <w:r w:rsidR="007416C1">
        <w:t xml:space="preserve">April 2020. </w:t>
      </w:r>
      <w:r w:rsidRPr="0011141A">
        <w:t>The target number of completed interviews for the large-scale diary test is 1,200</w:t>
      </w:r>
      <w:r w:rsidR="00621882">
        <w:t xml:space="preserve">, assuming </w:t>
      </w:r>
      <w:r w:rsidRPr="0011141A">
        <w:t xml:space="preserve">a response rate similar to current production at the time of </w:t>
      </w:r>
      <w:r w:rsidR="007416C1">
        <w:t xml:space="preserve">planning for </w:t>
      </w:r>
      <w:r w:rsidRPr="0011141A">
        <w:t xml:space="preserve">the test. </w:t>
      </w:r>
      <w:r w:rsidR="00120426" w:rsidRPr="0011141A">
        <w:t xml:space="preserve">This will require a </w:t>
      </w:r>
      <w:r w:rsidRPr="0011141A">
        <w:t>starting sample size of 2,500 needed cases to obtain the desired 1,200 complete cases.</w:t>
      </w:r>
    </w:p>
    <w:p w14:paraId="40207673" w14:textId="77777777" w:rsidR="00E25DF9" w:rsidRPr="0011141A" w:rsidRDefault="00E25DF9" w:rsidP="00E25DF9">
      <w:pPr>
        <w:spacing w:line="360" w:lineRule="auto"/>
      </w:pPr>
    </w:p>
    <w:p w14:paraId="386CFA36" w14:textId="77777777" w:rsidR="00E25DF9" w:rsidRPr="0011141A" w:rsidRDefault="009D5BDF" w:rsidP="00E25DF9">
      <w:pPr>
        <w:pStyle w:val="ListParagraph"/>
        <w:spacing w:line="360" w:lineRule="auto"/>
        <w:ind w:left="0"/>
      </w:pPr>
      <w:r w:rsidRPr="0011141A">
        <w:rPr>
          <w:i/>
        </w:rPr>
        <w:t xml:space="preserve">      </w:t>
      </w:r>
      <w:r w:rsidR="00E25DF9" w:rsidRPr="0011141A">
        <w:rPr>
          <w:i/>
        </w:rPr>
        <w:t>Objectives for Large-scale Online Diary Test</w:t>
      </w:r>
      <w:r w:rsidR="00E25DF9" w:rsidRPr="0011141A">
        <w:t>:</w:t>
      </w:r>
    </w:p>
    <w:p w14:paraId="47C7BAB0" w14:textId="77777777" w:rsidR="00834A43" w:rsidRPr="0011141A" w:rsidRDefault="00903723" w:rsidP="00834A43">
      <w:pPr>
        <w:pStyle w:val="ListParagraph"/>
        <w:numPr>
          <w:ilvl w:val="0"/>
          <w:numId w:val="2"/>
        </w:numPr>
        <w:spacing w:line="360" w:lineRule="auto"/>
        <w:rPr>
          <w:rStyle w:val="CommentReference"/>
          <w:sz w:val="24"/>
          <w:szCs w:val="24"/>
        </w:rPr>
      </w:pPr>
      <w:r w:rsidRPr="0011141A">
        <w:t>Develop an online diary instrument which can be accessed on a computer and mobile device</w:t>
      </w:r>
      <w:r w:rsidR="00120426" w:rsidRPr="0011141A">
        <w:t>. Integrate the online and paper diaries</w:t>
      </w:r>
      <w:r w:rsidR="00791B4B" w:rsidRPr="0011141A">
        <w:t xml:space="preserve"> with a case management system </w:t>
      </w:r>
      <w:r w:rsidRPr="0011141A">
        <w:t xml:space="preserve">to capture and integrate data. </w:t>
      </w:r>
      <w:r w:rsidRPr="0011141A">
        <w:rPr>
          <w:rStyle w:val="CommentReference"/>
          <w:sz w:val="24"/>
          <w:szCs w:val="24"/>
        </w:rPr>
        <w:t>The case management sy</w:t>
      </w:r>
      <w:r w:rsidR="0074302C" w:rsidRPr="0011141A">
        <w:rPr>
          <w:rStyle w:val="CommentReference"/>
          <w:sz w:val="24"/>
          <w:szCs w:val="24"/>
        </w:rPr>
        <w:t>stem will</w:t>
      </w:r>
      <w:r w:rsidRPr="0011141A">
        <w:rPr>
          <w:rStyle w:val="CommentReference"/>
          <w:sz w:val="24"/>
          <w:szCs w:val="24"/>
        </w:rPr>
        <w:t xml:space="preserve"> have the additional capa</w:t>
      </w:r>
      <w:r w:rsidR="007416C1">
        <w:rPr>
          <w:rStyle w:val="CommentReference"/>
          <w:sz w:val="24"/>
          <w:szCs w:val="24"/>
        </w:rPr>
        <w:t>bilities of managing the sample and</w:t>
      </w:r>
      <w:r w:rsidRPr="0011141A">
        <w:rPr>
          <w:rStyle w:val="CommentReference"/>
          <w:sz w:val="24"/>
          <w:szCs w:val="24"/>
        </w:rPr>
        <w:t xml:space="preserve"> tracking response status</w:t>
      </w:r>
      <w:r w:rsidR="007416C1">
        <w:rPr>
          <w:rStyle w:val="CommentReference"/>
          <w:sz w:val="24"/>
          <w:szCs w:val="24"/>
        </w:rPr>
        <w:t>.</w:t>
      </w:r>
    </w:p>
    <w:p w14:paraId="5451E04E" w14:textId="7F2C41A7" w:rsidR="00120426" w:rsidRPr="0011141A" w:rsidRDefault="00B72C9D" w:rsidP="00AA60C7">
      <w:pPr>
        <w:pStyle w:val="ListParagraph"/>
        <w:numPr>
          <w:ilvl w:val="0"/>
          <w:numId w:val="2"/>
        </w:numPr>
        <w:spacing w:line="360" w:lineRule="auto"/>
      </w:pPr>
      <w:r>
        <w:t xml:space="preserve">Develop systems, field procedures and training materials for the LSF. </w:t>
      </w:r>
      <w:r w:rsidR="00905523">
        <w:t xml:space="preserve">The test will involve </w:t>
      </w:r>
      <w:r w:rsidR="0078231C" w:rsidRPr="0011141A">
        <w:t xml:space="preserve">a small pilot test of </w:t>
      </w:r>
      <w:r w:rsidR="00E25DF9" w:rsidRPr="0011141A">
        <w:t>9 interviews, followed by a six-month field test with a starting s</w:t>
      </w:r>
      <w:r w:rsidR="00905523">
        <w:t>ample of 2,500 cases.  I</w:t>
      </w:r>
      <w:r w:rsidR="00E25DF9" w:rsidRPr="0011141A">
        <w:t xml:space="preserve">nterviewer debriefing after data collection </w:t>
      </w:r>
      <w:r w:rsidR="00905523">
        <w:t xml:space="preserve">will be conducted </w:t>
      </w:r>
      <w:r w:rsidR="00E25DF9" w:rsidRPr="0011141A">
        <w:t>to get feedback on procedures, instruments, and materials.</w:t>
      </w:r>
      <w:r w:rsidR="00905523">
        <w:t xml:space="preserve"> R</w:t>
      </w:r>
      <w:r w:rsidR="00903723" w:rsidRPr="0011141A">
        <w:t xml:space="preserve">espondent feedback on the online diary </w:t>
      </w:r>
      <w:r w:rsidR="00A7069D" w:rsidRPr="0011141A">
        <w:t xml:space="preserve">procedures, instrument, materials and overall experience </w:t>
      </w:r>
      <w:r w:rsidR="00905523">
        <w:t xml:space="preserve">will be obtained </w:t>
      </w:r>
      <w:r w:rsidR="00903723" w:rsidRPr="0011141A">
        <w:t>through a self-administered respondent debriefing.</w:t>
      </w:r>
      <w:r w:rsidR="00E25DF9" w:rsidRPr="0011141A">
        <w:t xml:space="preserve"> </w:t>
      </w:r>
    </w:p>
    <w:p w14:paraId="38F713F9" w14:textId="77777777" w:rsidR="007A4B9F" w:rsidRDefault="00903723" w:rsidP="00120426">
      <w:pPr>
        <w:pStyle w:val="ListParagraph"/>
        <w:numPr>
          <w:ilvl w:val="0"/>
          <w:numId w:val="2"/>
        </w:numPr>
        <w:spacing w:line="360" w:lineRule="auto"/>
      </w:pPr>
      <w:r w:rsidRPr="0011141A">
        <w:t xml:space="preserve"> Analyze the data and</w:t>
      </w:r>
      <w:r w:rsidR="00590FF5" w:rsidRPr="0011141A">
        <w:t xml:space="preserve"> paradata from the </w:t>
      </w:r>
      <w:r w:rsidRPr="0011141A">
        <w:t xml:space="preserve">feasibility test to </w:t>
      </w:r>
      <w:r w:rsidR="00590FF5" w:rsidRPr="0011141A">
        <w:t xml:space="preserve">make decisions </w:t>
      </w:r>
      <w:r w:rsidRPr="0011141A">
        <w:t xml:space="preserve">on </w:t>
      </w:r>
      <w:r w:rsidR="00590FF5" w:rsidRPr="0011141A">
        <w:t xml:space="preserve">the implementation of </w:t>
      </w:r>
      <w:r w:rsidRPr="0011141A">
        <w:t>online diaries in the CED in 2022.</w:t>
      </w:r>
      <w:r w:rsidR="00152C4D" w:rsidRPr="0011141A">
        <w:t xml:space="preserve"> Research questions include</w:t>
      </w:r>
      <w:r w:rsidR="007A4B9F">
        <w:t>:</w:t>
      </w:r>
    </w:p>
    <w:p w14:paraId="0BFEE014" w14:textId="5FDFA96A" w:rsidR="007A4B9F" w:rsidRDefault="007A4B9F" w:rsidP="007A4B9F">
      <w:pPr>
        <w:pStyle w:val="ListParagraph"/>
        <w:numPr>
          <w:ilvl w:val="0"/>
          <w:numId w:val="19"/>
        </w:numPr>
        <w:spacing w:line="360" w:lineRule="auto"/>
      </w:pPr>
      <w:r>
        <w:t xml:space="preserve">Are there </w:t>
      </w:r>
      <w:r w:rsidR="00905523">
        <w:t xml:space="preserve">any </w:t>
      </w:r>
      <w:r>
        <w:t>operational issues with implementing online diaries?</w:t>
      </w:r>
    </w:p>
    <w:p w14:paraId="4AFC466F" w14:textId="77777777" w:rsidR="007A4B9F" w:rsidRDefault="007A4B9F" w:rsidP="007A4B9F">
      <w:pPr>
        <w:pStyle w:val="ListParagraph"/>
        <w:numPr>
          <w:ilvl w:val="0"/>
          <w:numId w:val="19"/>
        </w:numPr>
        <w:spacing w:line="360" w:lineRule="auto"/>
      </w:pPr>
      <w:r>
        <w:t>How do token incentives impact response rates and number of contact attempts?</w:t>
      </w:r>
    </w:p>
    <w:p w14:paraId="2D2BF35D" w14:textId="22026244" w:rsidR="007A4B9F" w:rsidRDefault="00905523" w:rsidP="007A4B9F">
      <w:pPr>
        <w:pStyle w:val="ListParagraph"/>
        <w:numPr>
          <w:ilvl w:val="0"/>
          <w:numId w:val="19"/>
        </w:numPr>
        <w:spacing w:line="360" w:lineRule="auto"/>
      </w:pPr>
      <w:r>
        <w:t xml:space="preserve">What </w:t>
      </w:r>
      <w:r w:rsidR="007A4B9F">
        <w:t xml:space="preserve">technical issues </w:t>
      </w:r>
      <w:r>
        <w:t xml:space="preserve">do respondents have </w:t>
      </w:r>
      <w:r w:rsidR="007A4B9F">
        <w:t>with using online diaries?</w:t>
      </w:r>
    </w:p>
    <w:p w14:paraId="564B74AF" w14:textId="6595FD13" w:rsidR="007A4B9F" w:rsidRDefault="00905523" w:rsidP="007A4B9F">
      <w:pPr>
        <w:pStyle w:val="ListParagraph"/>
        <w:numPr>
          <w:ilvl w:val="0"/>
          <w:numId w:val="19"/>
        </w:numPr>
        <w:spacing w:line="360" w:lineRule="auto"/>
      </w:pPr>
      <w:r>
        <w:t xml:space="preserve">Does receiving the pre-notification </w:t>
      </w:r>
      <w:r w:rsidR="007A4B9F">
        <w:t xml:space="preserve">postcard and </w:t>
      </w:r>
      <w:r>
        <w:t xml:space="preserve">advance </w:t>
      </w:r>
      <w:r w:rsidR="007A4B9F">
        <w:t>letter</w:t>
      </w:r>
      <w:r>
        <w:t xml:space="preserve"> affect response</w:t>
      </w:r>
      <w:r w:rsidR="007A4B9F">
        <w:t>?</w:t>
      </w:r>
    </w:p>
    <w:p w14:paraId="49E56DF1" w14:textId="6C87F8B5" w:rsidR="007A4B9F" w:rsidRDefault="007A4B9F" w:rsidP="007A4B9F">
      <w:pPr>
        <w:pStyle w:val="ListParagraph"/>
        <w:numPr>
          <w:ilvl w:val="0"/>
          <w:numId w:val="19"/>
        </w:numPr>
        <w:spacing w:line="360" w:lineRule="auto"/>
      </w:pPr>
      <w:r>
        <w:t>How useful are respondent materials like the user guide and online tutorials?</w:t>
      </w:r>
    </w:p>
    <w:p w14:paraId="7C5BA4C7" w14:textId="0C587947" w:rsidR="007A4B9F" w:rsidRDefault="007A4B9F" w:rsidP="007A4B9F">
      <w:pPr>
        <w:pStyle w:val="ListParagraph"/>
        <w:numPr>
          <w:ilvl w:val="0"/>
          <w:numId w:val="19"/>
        </w:numPr>
        <w:spacing w:line="360" w:lineRule="auto"/>
      </w:pPr>
      <w:r>
        <w:t>How effective are the diary placement and pickup procedures?</w:t>
      </w:r>
    </w:p>
    <w:p w14:paraId="68A9FE52" w14:textId="1EA9D1E4" w:rsidR="007A4B9F" w:rsidRDefault="007A4B9F" w:rsidP="007A4B9F">
      <w:pPr>
        <w:pStyle w:val="ListParagraph"/>
        <w:numPr>
          <w:ilvl w:val="0"/>
          <w:numId w:val="19"/>
        </w:numPr>
        <w:spacing w:line="360" w:lineRule="auto"/>
      </w:pPr>
      <w:r>
        <w:t>Are there differences in data quality between online and production (paper) diaries? Data quality can be measured as number of items reported, expenditure amounts, item nonresponse, and extent of rounding of expenditures.</w:t>
      </w:r>
    </w:p>
    <w:p w14:paraId="1B0D0C1E" w14:textId="265C35E1" w:rsidR="00905523" w:rsidRPr="00905523" w:rsidRDefault="00905523" w:rsidP="00905523">
      <w:pPr>
        <w:pStyle w:val="CommentText"/>
        <w:numPr>
          <w:ilvl w:val="0"/>
          <w:numId w:val="19"/>
        </w:numPr>
        <w:spacing w:line="360" w:lineRule="auto"/>
        <w:rPr>
          <w:sz w:val="24"/>
          <w:szCs w:val="24"/>
        </w:rPr>
      </w:pPr>
      <w:r w:rsidRPr="00905523">
        <w:rPr>
          <w:sz w:val="24"/>
          <w:szCs w:val="24"/>
        </w:rPr>
        <w:t>Does using an online diary affect the incidence or amount of data entered at the diary pickup visit by recall?</w:t>
      </w:r>
    </w:p>
    <w:p w14:paraId="3A8BB834" w14:textId="4B682F10" w:rsidR="00905523" w:rsidRPr="00905523" w:rsidRDefault="00905523" w:rsidP="00905523">
      <w:pPr>
        <w:pStyle w:val="CommentText"/>
        <w:numPr>
          <w:ilvl w:val="0"/>
          <w:numId w:val="19"/>
        </w:numPr>
        <w:spacing w:line="360" w:lineRule="auto"/>
        <w:rPr>
          <w:sz w:val="24"/>
          <w:szCs w:val="24"/>
        </w:rPr>
      </w:pPr>
      <w:r w:rsidRPr="00905523">
        <w:rPr>
          <w:sz w:val="24"/>
          <w:szCs w:val="24"/>
        </w:rPr>
        <w:t>Are there differences in week 1 and week</w:t>
      </w:r>
      <w:r>
        <w:rPr>
          <w:sz w:val="24"/>
          <w:szCs w:val="24"/>
        </w:rPr>
        <w:t xml:space="preserve"> </w:t>
      </w:r>
      <w:r w:rsidRPr="00905523">
        <w:rPr>
          <w:sz w:val="24"/>
          <w:szCs w:val="24"/>
        </w:rPr>
        <w:t>2 completion rates for online diaries compared to paper diaries?</w:t>
      </w:r>
    </w:p>
    <w:p w14:paraId="64081CA6" w14:textId="2E433DFA" w:rsidR="00905523" w:rsidRDefault="00905523" w:rsidP="00905523">
      <w:pPr>
        <w:pStyle w:val="CommentText"/>
        <w:numPr>
          <w:ilvl w:val="0"/>
          <w:numId w:val="19"/>
        </w:numPr>
        <w:spacing w:line="360" w:lineRule="auto"/>
        <w:rPr>
          <w:sz w:val="24"/>
          <w:szCs w:val="24"/>
        </w:rPr>
      </w:pPr>
      <w:r w:rsidRPr="00905523">
        <w:rPr>
          <w:sz w:val="24"/>
          <w:szCs w:val="24"/>
        </w:rPr>
        <w:t>Are ther</w:t>
      </w:r>
      <w:r>
        <w:rPr>
          <w:sz w:val="24"/>
          <w:szCs w:val="24"/>
        </w:rPr>
        <w:t xml:space="preserve">e differences in data entry patterns </w:t>
      </w:r>
      <w:r w:rsidRPr="00905523">
        <w:rPr>
          <w:sz w:val="24"/>
          <w:szCs w:val="24"/>
        </w:rPr>
        <w:t>for online diaries compared to paper diaries?</w:t>
      </w:r>
    </w:p>
    <w:p w14:paraId="64AD5FF5" w14:textId="07316A0D" w:rsidR="00905523" w:rsidRPr="00905523" w:rsidRDefault="00905523" w:rsidP="00905523">
      <w:pPr>
        <w:pStyle w:val="CommentText"/>
        <w:numPr>
          <w:ilvl w:val="0"/>
          <w:numId w:val="19"/>
        </w:numPr>
        <w:spacing w:line="360" w:lineRule="auto"/>
        <w:rPr>
          <w:sz w:val="24"/>
          <w:szCs w:val="24"/>
        </w:rPr>
      </w:pPr>
      <w:r>
        <w:rPr>
          <w:sz w:val="24"/>
          <w:szCs w:val="24"/>
        </w:rPr>
        <w:t>Are there demographic differences between online diary users and those who are online-eligible but chose to complete the paper diary?</w:t>
      </w:r>
    </w:p>
    <w:p w14:paraId="6155CD29" w14:textId="77777777" w:rsidR="00E25DF9" w:rsidRPr="0011141A" w:rsidRDefault="00E25DF9" w:rsidP="00E25DF9">
      <w:pPr>
        <w:spacing w:line="360" w:lineRule="auto"/>
      </w:pPr>
    </w:p>
    <w:p w14:paraId="33AC860C" w14:textId="77777777" w:rsidR="00E25DF9" w:rsidRPr="0011141A" w:rsidRDefault="00E25DF9" w:rsidP="009D5BDF">
      <w:pPr>
        <w:pStyle w:val="ListParagraph"/>
        <w:numPr>
          <w:ilvl w:val="0"/>
          <w:numId w:val="11"/>
        </w:numPr>
        <w:spacing w:line="360" w:lineRule="auto"/>
        <w:rPr>
          <w:b/>
        </w:rPr>
      </w:pPr>
      <w:r w:rsidRPr="0011141A">
        <w:rPr>
          <w:b/>
        </w:rPr>
        <w:t>STUDY DESIGN</w:t>
      </w:r>
    </w:p>
    <w:p w14:paraId="7C9F4044" w14:textId="77777777" w:rsidR="00E25DF9" w:rsidRPr="0011141A" w:rsidRDefault="00E25DF9" w:rsidP="00EF2BDC">
      <w:pPr>
        <w:pStyle w:val="ListParagraph"/>
        <w:numPr>
          <w:ilvl w:val="0"/>
          <w:numId w:val="5"/>
        </w:numPr>
        <w:spacing w:line="360" w:lineRule="auto"/>
      </w:pPr>
      <w:r w:rsidRPr="0011141A">
        <w:t>FIELDING PERIOD</w:t>
      </w:r>
    </w:p>
    <w:p w14:paraId="04715C9B" w14:textId="77777777" w:rsidR="00EF2BDC" w:rsidRPr="0011141A" w:rsidRDefault="00EF2BDC" w:rsidP="00EF2BDC">
      <w:pPr>
        <w:spacing w:line="360" w:lineRule="auto"/>
        <w:ind w:left="360"/>
      </w:pPr>
      <w:r w:rsidRPr="0011141A">
        <w:t>The large scale feasibility test of online diaries will be fielded from October 2019 to March 2020 (April 2020 closeout). The target number of completed interviews for the large-scale diary test is 1,200 with a response rate similar to current production at the time of the test. BLS estimates a starting sample size of 2,500 needed cases to obtain the desired 1,200 complete cases.</w:t>
      </w:r>
    </w:p>
    <w:p w14:paraId="0BFA4901" w14:textId="77777777" w:rsidR="00EF2BDC" w:rsidRPr="0011141A" w:rsidRDefault="00EF2BDC" w:rsidP="00EF2BDC">
      <w:pPr>
        <w:pStyle w:val="ListParagraph"/>
        <w:spacing w:line="360" w:lineRule="auto"/>
      </w:pPr>
    </w:p>
    <w:p w14:paraId="1BCF62AA" w14:textId="77777777" w:rsidR="00E25DF9" w:rsidRPr="0011141A" w:rsidRDefault="00E25DF9" w:rsidP="00EF2BDC">
      <w:pPr>
        <w:pStyle w:val="ListParagraph"/>
        <w:numPr>
          <w:ilvl w:val="0"/>
          <w:numId w:val="5"/>
        </w:numPr>
        <w:spacing w:line="360" w:lineRule="auto"/>
      </w:pPr>
      <w:r w:rsidRPr="0011141A">
        <w:t>RESPONDENTS</w:t>
      </w:r>
    </w:p>
    <w:p w14:paraId="58916927" w14:textId="77777777" w:rsidR="00C73500" w:rsidRPr="0011141A" w:rsidRDefault="00152C4D" w:rsidP="00C73500">
      <w:pPr>
        <w:spacing w:line="360" w:lineRule="auto"/>
        <w:ind w:left="225"/>
      </w:pPr>
      <w:r w:rsidRPr="0011141A">
        <w:t xml:space="preserve">The study sample will serve as the </w:t>
      </w:r>
      <w:r w:rsidR="00C73500">
        <w:t xml:space="preserve">main </w:t>
      </w:r>
      <w:r w:rsidRPr="0011141A">
        <w:t>test group. The control group will come from the production sample for the quarter</w:t>
      </w:r>
      <w:r w:rsidR="00616153">
        <w:t>s</w:t>
      </w:r>
      <w:r w:rsidRPr="0011141A">
        <w:t xml:space="preserve"> used for fielding. </w:t>
      </w:r>
      <w:r w:rsidR="00A97952" w:rsidRPr="0011141A">
        <w:t xml:space="preserve"> </w:t>
      </w:r>
      <w:r w:rsidRPr="0011141A">
        <w:t>In the test group, o</w:t>
      </w:r>
      <w:r w:rsidR="00903723" w:rsidRPr="0011141A">
        <w:t xml:space="preserve">ne respondent </w:t>
      </w:r>
      <w:r w:rsidR="00834A43" w:rsidRPr="0011141A">
        <w:t>in each Consumer Unit (</w:t>
      </w:r>
      <w:r w:rsidR="00C6024A" w:rsidRPr="0011141A">
        <w:t>CU)</w:t>
      </w:r>
      <w:r w:rsidR="00903723" w:rsidRPr="0011141A">
        <w:t xml:space="preserve"> will complete a t</w:t>
      </w:r>
      <w:r w:rsidR="00834A43" w:rsidRPr="0011141A">
        <w:t>wo week online diary or two one-</w:t>
      </w:r>
      <w:r w:rsidR="00903723" w:rsidRPr="0011141A">
        <w:t xml:space="preserve">week paper diaries. </w:t>
      </w:r>
      <w:r w:rsidR="00A97952" w:rsidRPr="0011141A">
        <w:t xml:space="preserve">Respondents will be provided an online diary if they qualify based on responses to screening questions.  If they do not qualify based on the screening questions or are otherwise unwilling or unable to use the online diary, then they will be provided with </w:t>
      </w:r>
      <w:r w:rsidR="00C73500">
        <w:t xml:space="preserve">two one-week </w:t>
      </w:r>
      <w:r w:rsidR="00A97952" w:rsidRPr="0011141A">
        <w:t>paper diar</w:t>
      </w:r>
      <w:r w:rsidR="00C6024A" w:rsidRPr="0011141A">
        <w:t>ies</w:t>
      </w:r>
      <w:r w:rsidR="00A97952" w:rsidRPr="0011141A">
        <w:t xml:space="preserve">. </w:t>
      </w:r>
      <w:r w:rsidRPr="0011141A">
        <w:t>The control group from the production sample will be completing two one-week paper diaries.</w:t>
      </w:r>
      <w:r w:rsidR="00C73500">
        <w:t xml:space="preserve"> The paper diaries in the test group and control will be identical.</w:t>
      </w:r>
    </w:p>
    <w:p w14:paraId="7E08C92E" w14:textId="40034596" w:rsidR="00A97952" w:rsidRPr="0011141A" w:rsidRDefault="00A97952" w:rsidP="00A97952">
      <w:pPr>
        <w:spacing w:line="360" w:lineRule="auto"/>
        <w:ind w:left="225"/>
      </w:pPr>
    </w:p>
    <w:p w14:paraId="321AD71B" w14:textId="77777777" w:rsidR="00EF2BDC" w:rsidRPr="0011141A" w:rsidRDefault="00EF2BDC" w:rsidP="00EF2BDC">
      <w:pPr>
        <w:pStyle w:val="ListParagraph"/>
        <w:spacing w:line="360" w:lineRule="auto"/>
      </w:pPr>
    </w:p>
    <w:p w14:paraId="4ABB0824" w14:textId="77777777" w:rsidR="00E25DF9" w:rsidRPr="0011141A" w:rsidRDefault="00E25DF9" w:rsidP="009D5BDF">
      <w:pPr>
        <w:spacing w:line="360" w:lineRule="auto"/>
        <w:ind w:firstLine="360"/>
      </w:pPr>
      <w:r w:rsidRPr="0011141A">
        <w:t>3. METHODOLOGY</w:t>
      </w:r>
    </w:p>
    <w:p w14:paraId="0434250C" w14:textId="77777777" w:rsidR="00917CB2" w:rsidRPr="0011141A" w:rsidRDefault="00FF25E0" w:rsidP="00152C4D">
      <w:pPr>
        <w:spacing w:line="360" w:lineRule="auto"/>
      </w:pPr>
      <w:r>
        <w:rPr>
          <w:b/>
        </w:rPr>
        <w:t xml:space="preserve">    </w:t>
      </w:r>
      <w:r w:rsidR="00917CB2" w:rsidRPr="0011141A">
        <w:rPr>
          <w:b/>
        </w:rPr>
        <w:t>Recruitment and incentives</w:t>
      </w:r>
      <w:r w:rsidR="00917CB2" w:rsidRPr="0011141A">
        <w:t>:</w:t>
      </w:r>
    </w:p>
    <w:p w14:paraId="5F7DFA46" w14:textId="77777777" w:rsidR="00394F6E" w:rsidRPr="0011141A" w:rsidRDefault="00394F6E" w:rsidP="00FF25E0">
      <w:pPr>
        <w:spacing w:before="120" w:line="360" w:lineRule="auto"/>
        <w:ind w:left="180" w:right="-540"/>
      </w:pPr>
      <w:r w:rsidRPr="0011141A">
        <w:t>The selected initial sample will receive a pre</w:t>
      </w:r>
      <w:r w:rsidR="00917CB2" w:rsidRPr="0011141A">
        <w:t>-</w:t>
      </w:r>
      <w:r w:rsidRPr="0011141A">
        <w:t>notification postcard by U</w:t>
      </w:r>
      <w:r w:rsidR="00917CB2" w:rsidRPr="0011141A">
        <w:t>.</w:t>
      </w:r>
      <w:r w:rsidRPr="0011141A">
        <w:t>S</w:t>
      </w:r>
      <w:r w:rsidR="00917CB2" w:rsidRPr="0011141A">
        <w:t>. m</w:t>
      </w:r>
      <w:r w:rsidRPr="0011141A">
        <w:t>ail followed by an advance letter via priority mail. The advance letter will provide information that is currently included in the CE diary survey (CED) advance letter, modified to streamline the language and include an FAQ of the LSF test and diary structure.</w:t>
      </w:r>
    </w:p>
    <w:p w14:paraId="7EF7431E" w14:textId="77777777" w:rsidR="00834A43" w:rsidRPr="0011141A" w:rsidRDefault="00834A43" w:rsidP="00834A43">
      <w:pPr>
        <w:spacing w:line="360" w:lineRule="auto"/>
      </w:pPr>
    </w:p>
    <w:p w14:paraId="6ED6C11E" w14:textId="77777777" w:rsidR="00394F6E" w:rsidRPr="0011141A" w:rsidRDefault="00394F6E" w:rsidP="00152C4D">
      <w:pPr>
        <w:spacing w:line="360" w:lineRule="auto"/>
        <w:ind w:left="180"/>
      </w:pPr>
      <w:r w:rsidRPr="0011141A">
        <w:t>For the large-scale online diary test, the overall study sample will be divided between two, equally distributed test groups:</w:t>
      </w:r>
    </w:p>
    <w:p w14:paraId="3FBB9967" w14:textId="77777777" w:rsidR="00394F6E" w:rsidRPr="0011141A" w:rsidRDefault="00394F6E" w:rsidP="00394F6E">
      <w:pPr>
        <w:pStyle w:val="ListParagraph"/>
        <w:numPr>
          <w:ilvl w:val="0"/>
          <w:numId w:val="4"/>
        </w:numPr>
        <w:spacing w:line="360" w:lineRule="auto"/>
      </w:pPr>
      <w:r w:rsidRPr="0011141A">
        <w:rPr>
          <w:b/>
        </w:rPr>
        <w:t>Group 1</w:t>
      </w:r>
      <w:r w:rsidRPr="0011141A">
        <w:t xml:space="preserve"> respondents will receive a $5 bill, an unconditional token incentive with their advance letter via U.S. Priority Mail.</w:t>
      </w:r>
    </w:p>
    <w:p w14:paraId="1AF8E7DA" w14:textId="77777777" w:rsidR="00394F6E" w:rsidRPr="0011141A" w:rsidRDefault="00394F6E" w:rsidP="00394F6E">
      <w:pPr>
        <w:pStyle w:val="ListParagraph"/>
        <w:numPr>
          <w:ilvl w:val="0"/>
          <w:numId w:val="4"/>
        </w:numPr>
        <w:spacing w:line="360" w:lineRule="auto"/>
      </w:pPr>
      <w:r w:rsidRPr="0011141A">
        <w:rPr>
          <w:b/>
        </w:rPr>
        <w:t>Group 2</w:t>
      </w:r>
      <w:r w:rsidRPr="0011141A">
        <w:t xml:space="preserve"> respondents will receive no incentive.</w:t>
      </w:r>
    </w:p>
    <w:p w14:paraId="59E34B18" w14:textId="77777777" w:rsidR="00917CB2" w:rsidRPr="0011141A" w:rsidRDefault="00FF25E0" w:rsidP="00834A43">
      <w:pPr>
        <w:spacing w:before="120" w:line="360" w:lineRule="auto"/>
        <w:ind w:right="-540"/>
        <w:rPr>
          <w:b/>
        </w:rPr>
      </w:pPr>
      <w:r>
        <w:rPr>
          <w:b/>
        </w:rPr>
        <w:t xml:space="preserve">   </w:t>
      </w:r>
      <w:r w:rsidR="00917CB2" w:rsidRPr="0011141A">
        <w:rPr>
          <w:b/>
        </w:rPr>
        <w:t>Diary placement procedures</w:t>
      </w:r>
    </w:p>
    <w:p w14:paraId="7FC4BAB2" w14:textId="0DF823FD" w:rsidR="001C71AF" w:rsidRPr="0011141A" w:rsidRDefault="00394F6E" w:rsidP="001C71AF">
      <w:pPr>
        <w:spacing w:before="120" w:line="360" w:lineRule="auto"/>
        <w:ind w:left="360" w:right="-540"/>
      </w:pPr>
      <w:r w:rsidRPr="0011141A">
        <w:t xml:space="preserve">The diary placement visit protocol will be similar to current CED placement procedures, except that every household respondent will be screened to see if they have in-home internet access and access the internet at least a few times a week (by self-report).  Respondents will be provided an online diary if they qualify based on responses to screening questions.  If they do not qualify based on the screening questions or are otherwise unwilling or unable to use the online diary, then they will be provided with a paper diary which will be identical to the paper diary used in the CED. Members that keep </w:t>
      </w:r>
      <w:r w:rsidR="001C71AF" w:rsidRPr="0011141A">
        <w:t>an online d</w:t>
      </w:r>
      <w:r w:rsidRPr="0011141A">
        <w:t xml:space="preserve">iary will be provided with login-credentials and instructive materials for the </w:t>
      </w:r>
      <w:r w:rsidR="00304197">
        <w:t xml:space="preserve">online </w:t>
      </w:r>
      <w:r w:rsidRPr="0011141A">
        <w:t xml:space="preserve">diary. The </w:t>
      </w:r>
      <w:r w:rsidR="005406AF">
        <w:t>Census field representative (</w:t>
      </w:r>
      <w:r w:rsidRPr="0011141A">
        <w:t>FR</w:t>
      </w:r>
      <w:r w:rsidR="005406AF">
        <w:t>)</w:t>
      </w:r>
      <w:r w:rsidRPr="0011141A">
        <w:t xml:space="preserve"> will review the diary</w:t>
      </w:r>
      <w:r w:rsidR="00C73500">
        <w:t>-keeping procedures for the online or</w:t>
      </w:r>
      <w:r w:rsidRPr="0011141A">
        <w:t xml:space="preserve"> paper version (if applicable) with </w:t>
      </w:r>
      <w:r w:rsidR="00304197">
        <w:t>the respondent</w:t>
      </w:r>
      <w:r w:rsidRPr="0011141A">
        <w:t xml:space="preserve"> and provide materials and information that</w:t>
      </w:r>
      <w:r w:rsidR="00304197">
        <w:t xml:space="preserve"> he or she</w:t>
      </w:r>
      <w:r w:rsidRPr="0011141A">
        <w:t xml:space="preserve"> will need during the diary-keeping weeks. </w:t>
      </w:r>
      <w:r w:rsidR="007416C1">
        <w:t xml:space="preserve">The FR will ask the respondent to login during the diary pickup visit, if possible. </w:t>
      </w:r>
      <w:r w:rsidRPr="0011141A">
        <w:t>T</w:t>
      </w:r>
      <w:r w:rsidR="001C71AF" w:rsidRPr="0011141A">
        <w:t xml:space="preserve">he FR will ask for the </w:t>
      </w:r>
      <w:r w:rsidRPr="0011141A">
        <w:t xml:space="preserve">diary keeper’s email address and phone number for contacting </w:t>
      </w:r>
      <w:r w:rsidR="00304197">
        <w:t>the respondent</w:t>
      </w:r>
      <w:r w:rsidRPr="0011141A">
        <w:t xml:space="preserve"> mid-week</w:t>
      </w:r>
      <w:r w:rsidR="001C71AF" w:rsidRPr="0011141A">
        <w:t xml:space="preserve">.  </w:t>
      </w:r>
      <w:r w:rsidR="00AA60C7" w:rsidRPr="0011141A">
        <w:t>Online diary respondents who</w:t>
      </w:r>
      <w:r w:rsidR="001C71AF" w:rsidRPr="0011141A">
        <w:t xml:space="preserve"> provide</w:t>
      </w:r>
      <w:r w:rsidR="00AA60C7" w:rsidRPr="0011141A">
        <w:t>d</w:t>
      </w:r>
      <w:r w:rsidR="001C71AF" w:rsidRPr="0011141A">
        <w:t xml:space="preserve"> an email</w:t>
      </w:r>
      <w:r w:rsidR="00AA60C7" w:rsidRPr="0011141A">
        <w:t xml:space="preserve"> address</w:t>
      </w:r>
      <w:r w:rsidR="001C71AF" w:rsidRPr="0011141A">
        <w:t>, will receive a welcome</w:t>
      </w:r>
      <w:r w:rsidRPr="0011141A">
        <w:t xml:space="preserve"> email with links to the diary, the us</w:t>
      </w:r>
      <w:r w:rsidR="001C71AF" w:rsidRPr="0011141A">
        <w:t>er guide, and video tutorials</w:t>
      </w:r>
      <w:r w:rsidR="007416C1">
        <w:t>.</w:t>
      </w:r>
      <w:r w:rsidR="003E0498">
        <w:t xml:space="preserve"> </w:t>
      </w:r>
    </w:p>
    <w:p w14:paraId="393B3CD8" w14:textId="77777777" w:rsidR="00917CB2" w:rsidRPr="0011141A" w:rsidRDefault="00917CB2" w:rsidP="00834A43">
      <w:pPr>
        <w:spacing w:before="120" w:line="360" w:lineRule="auto"/>
        <w:ind w:right="-540"/>
        <w:rPr>
          <w:b/>
        </w:rPr>
      </w:pPr>
      <w:r w:rsidRPr="0011141A">
        <w:rPr>
          <w:b/>
        </w:rPr>
        <w:t>Diary keeping procedures</w:t>
      </w:r>
    </w:p>
    <w:p w14:paraId="3099FFD0" w14:textId="77777777" w:rsidR="00394F6E" w:rsidRPr="0011141A" w:rsidRDefault="003E0498" w:rsidP="001C71AF">
      <w:pPr>
        <w:spacing w:before="120" w:line="360" w:lineRule="auto"/>
        <w:ind w:left="360" w:right="-540"/>
      </w:pPr>
      <w:r>
        <w:t>The</w:t>
      </w:r>
      <w:r w:rsidR="001C71AF" w:rsidRPr="0011141A">
        <w:t xml:space="preserve"> respondent will keep the diary </w:t>
      </w:r>
      <w:r>
        <w:t xml:space="preserve">recording expenditures for all household members </w:t>
      </w:r>
      <w:r w:rsidR="001C71AF" w:rsidRPr="0011141A">
        <w:t xml:space="preserve">beginning the day following the diary placement interview.  During the diary-keeping week, paradata will be collected on the logins for the </w:t>
      </w:r>
      <w:r>
        <w:t>online</w:t>
      </w:r>
      <w:r w:rsidR="001C71AF" w:rsidRPr="0011141A">
        <w:t xml:space="preserve"> diary.  A report will be generated for FRs that will identify the number of successful and unsuccessful logins by respondents and summary information of expenditures entered in the diary.  FRs will use this information to </w:t>
      </w:r>
      <w:r w:rsidRPr="0011141A">
        <w:t>email</w:t>
      </w:r>
      <w:r>
        <w:t xml:space="preserve"> or call </w:t>
      </w:r>
      <w:r w:rsidR="001C71AF" w:rsidRPr="0011141A">
        <w:t xml:space="preserve">the diarist and encourage him/her to record their expenditures or to solve any technical issues.  Regardless of logins, the FR will call the respondent mid-week to further encourage the diary keeping task.    </w:t>
      </w:r>
    </w:p>
    <w:p w14:paraId="1EF7A422" w14:textId="77777777" w:rsidR="00AA60C7" w:rsidRPr="0011141A" w:rsidRDefault="00AA60C7" w:rsidP="001C71AF">
      <w:pPr>
        <w:pStyle w:val="ListParagraph"/>
        <w:spacing w:line="360" w:lineRule="auto"/>
        <w:ind w:left="225"/>
      </w:pPr>
    </w:p>
    <w:p w14:paraId="1D607077" w14:textId="77777777" w:rsidR="001C71AF" w:rsidRPr="0011141A" w:rsidRDefault="001C71AF" w:rsidP="00AA60C7">
      <w:pPr>
        <w:pStyle w:val="ListParagraph"/>
        <w:spacing w:line="360" w:lineRule="auto"/>
        <w:ind w:left="285"/>
      </w:pPr>
      <w:r w:rsidRPr="0011141A">
        <w:t xml:space="preserve">A help desk will be required to assist respondents using online diaries with technical issues during data collection. Respondents will be able to contact the help desk by phone or email during extended business hours and on the weekend. The help desk will keep a record of respondent contact and reasons for contact. </w:t>
      </w:r>
    </w:p>
    <w:p w14:paraId="17C73CFB" w14:textId="77777777" w:rsidR="00834A43" w:rsidRPr="0011141A" w:rsidRDefault="00834A43" w:rsidP="00E25DF9">
      <w:pPr>
        <w:spacing w:line="360" w:lineRule="auto"/>
      </w:pPr>
    </w:p>
    <w:p w14:paraId="517B220E" w14:textId="77777777" w:rsidR="00E25DF9" w:rsidRPr="0011141A" w:rsidRDefault="00917CB2" w:rsidP="00E25DF9">
      <w:pPr>
        <w:spacing w:line="360" w:lineRule="auto"/>
        <w:rPr>
          <w:b/>
        </w:rPr>
      </w:pPr>
      <w:r w:rsidRPr="0011141A">
        <w:rPr>
          <w:b/>
        </w:rPr>
        <w:t>Diary pickup procedures</w:t>
      </w:r>
    </w:p>
    <w:p w14:paraId="7BD647C0" w14:textId="77777777" w:rsidR="00AA60C7" w:rsidRPr="0011141A" w:rsidRDefault="00AA60C7" w:rsidP="00E25DF9">
      <w:pPr>
        <w:spacing w:line="360" w:lineRule="auto"/>
        <w:rPr>
          <w:b/>
        </w:rPr>
      </w:pPr>
    </w:p>
    <w:p w14:paraId="668B9AB1" w14:textId="22B7E8D8" w:rsidR="00EF2BDC" w:rsidRPr="0011141A" w:rsidRDefault="001C71AF" w:rsidP="00834A43">
      <w:pPr>
        <w:spacing w:line="360" w:lineRule="auto"/>
        <w:ind w:left="180"/>
      </w:pPr>
      <w:r w:rsidRPr="0011141A">
        <w:t xml:space="preserve">The diary pickup visit will begin with a review of the diary expenditures </w:t>
      </w:r>
      <w:r w:rsidR="007416C1">
        <w:t xml:space="preserve">if the respondent is willing to log in with the FR. </w:t>
      </w:r>
      <w:r w:rsidRPr="0011141A">
        <w:t>The FR will have guidelines for picking up the diaries, similar to current production. The FR will also collect any additional expenditures that may have been missed during the diary-keeping week through a recall process similar to production CED.</w:t>
      </w:r>
      <w:r w:rsidR="00AA60C7" w:rsidRPr="0011141A">
        <w:t xml:space="preserve"> Additional expenditures will be entered into the recall tab of the CAPI instrument.</w:t>
      </w:r>
      <w:r w:rsidR="00991500">
        <w:t xml:space="preserve"> The diary pickup visit also includes the administration of the income section of the CAPI instrument.</w:t>
      </w:r>
      <w:r w:rsidR="00EC3B0E">
        <w:t xml:space="preserve"> In the LSF, we will allow the second visit to be conducted over the phone if necessary, as in production.</w:t>
      </w:r>
    </w:p>
    <w:p w14:paraId="14BA6194" w14:textId="77777777" w:rsidR="001C71AF" w:rsidRPr="0011141A" w:rsidRDefault="001C71AF" w:rsidP="00E25DF9">
      <w:pPr>
        <w:spacing w:line="360" w:lineRule="auto"/>
      </w:pPr>
    </w:p>
    <w:p w14:paraId="4D3E261C" w14:textId="77777777" w:rsidR="00834A43" w:rsidRPr="0011141A" w:rsidRDefault="00E25DF9" w:rsidP="00834A43">
      <w:pPr>
        <w:spacing w:line="360" w:lineRule="auto"/>
        <w:ind w:left="180"/>
      </w:pPr>
      <w:r w:rsidRPr="0011141A">
        <w:t xml:space="preserve">The diary completion requirement is one household diary per week (which includes at least one </w:t>
      </w:r>
      <w:r w:rsidR="009D5BDF" w:rsidRPr="0011141A">
        <w:t xml:space="preserve">   </w:t>
      </w:r>
      <w:r w:rsidRPr="0011141A">
        <w:t xml:space="preserve">expenditure or indication of a week without expenditures) from the Consumer Unit.  </w:t>
      </w:r>
      <w:r w:rsidR="007416C1">
        <w:t>Since each week is treated independently</w:t>
      </w:r>
      <w:r w:rsidR="00991500">
        <w:t xml:space="preserve">, if a respondent completes </w:t>
      </w:r>
      <w:r w:rsidR="007416C1">
        <w:t xml:space="preserve">one </w:t>
      </w:r>
      <w:r w:rsidR="00991500">
        <w:t xml:space="preserve">week’s </w:t>
      </w:r>
      <w:r w:rsidR="007416C1">
        <w:t xml:space="preserve">diary </w:t>
      </w:r>
      <w:r w:rsidR="00991500">
        <w:t>and does not complete the second week’s diary, it will count as one completed diary and one Type A non- completed diary.</w:t>
      </w:r>
      <w:r w:rsidR="007416C1">
        <w:t xml:space="preserve"> </w:t>
      </w:r>
      <w:r w:rsidRPr="0011141A">
        <w:t xml:space="preserve">Total recall diaries (i.e. expenditures for the diary week entered by the interviewer </w:t>
      </w:r>
      <w:r w:rsidR="00C6024A" w:rsidRPr="0011141A">
        <w:t>into the CAPI instrument</w:t>
      </w:r>
      <w:r w:rsidR="00917CB2" w:rsidRPr="0011141A">
        <w:t xml:space="preserve"> recall tab</w:t>
      </w:r>
      <w:r w:rsidR="0011141A" w:rsidRPr="0011141A">
        <w:t xml:space="preserve"> </w:t>
      </w:r>
      <w:r w:rsidRPr="0011141A">
        <w:t xml:space="preserve">based on information given by the respondent at the time of diary pickup and not entered in the online or paper diary) will satisfy the diary completion requirement if the majority of expenses are provided through receipts. Total recall diaries </w:t>
      </w:r>
      <w:r w:rsidRPr="0011141A">
        <w:rPr>
          <w:i/>
          <w:iCs/>
        </w:rPr>
        <w:t>without</w:t>
      </w:r>
      <w:r w:rsidRPr="0011141A">
        <w:t xml:space="preserve"> the majority of expenses provided through receipts (i.e., diaries are being completed by memory at pickup) only satisfy the diary completion requirement under certain conditions depending on the day of pickup. </w:t>
      </w:r>
    </w:p>
    <w:p w14:paraId="6448D49D" w14:textId="77777777" w:rsidR="00AA60C7" w:rsidRPr="0011141A" w:rsidRDefault="00AA60C7" w:rsidP="00834A43">
      <w:pPr>
        <w:spacing w:line="360" w:lineRule="auto"/>
        <w:ind w:left="180"/>
      </w:pPr>
    </w:p>
    <w:p w14:paraId="59118012" w14:textId="77777777" w:rsidR="00917CB2" w:rsidRPr="0011141A" w:rsidRDefault="00917CB2" w:rsidP="00834A43">
      <w:pPr>
        <w:spacing w:line="360" w:lineRule="auto"/>
      </w:pPr>
      <w:r w:rsidRPr="0011141A">
        <w:rPr>
          <w:b/>
        </w:rPr>
        <w:t>Respondent debriefing</w:t>
      </w:r>
    </w:p>
    <w:p w14:paraId="0F6B281B" w14:textId="77777777" w:rsidR="00917CB2" w:rsidRPr="0011141A" w:rsidRDefault="00917CB2" w:rsidP="00834A43">
      <w:pPr>
        <w:spacing w:before="120" w:line="360" w:lineRule="auto"/>
        <w:ind w:left="180" w:right="-540"/>
      </w:pPr>
      <w:r w:rsidRPr="0011141A">
        <w:t>After the diary pickup is completed, the respondent will be asked a series of debriefing questions.  The debriefing questions will be self-administered by turning the FR’s laptop over to the respondent to complete. FRs will provide instructions and go through a simple example with the respondent on how to respond to the questions on the laptop. If respondents are unwilling</w:t>
      </w:r>
      <w:r w:rsidR="008555F8">
        <w:t xml:space="preserve"> or unable</w:t>
      </w:r>
      <w:r w:rsidRPr="0011141A">
        <w:t xml:space="preserve"> to self-administer the questions, the FR can administer the respondent debriefi</w:t>
      </w:r>
      <w:r w:rsidR="00AA60C7" w:rsidRPr="0011141A">
        <w:t>ng. The questions will cover various</w:t>
      </w:r>
      <w:r w:rsidRPr="0011141A">
        <w:t xml:space="preserve"> topics including: </w:t>
      </w:r>
    </w:p>
    <w:p w14:paraId="1CEE4710" w14:textId="77777777" w:rsidR="00FF25E0" w:rsidRDefault="00FF25E0" w:rsidP="00FF25E0">
      <w:pPr>
        <w:pStyle w:val="ListParagraph"/>
        <w:numPr>
          <w:ilvl w:val="0"/>
          <w:numId w:val="17"/>
        </w:numPr>
        <w:spacing w:before="120" w:line="360" w:lineRule="auto"/>
        <w:ind w:right="-540"/>
      </w:pPr>
      <w:r>
        <w:t>perceptions of burden</w:t>
      </w:r>
    </w:p>
    <w:p w14:paraId="7C28ED93" w14:textId="77777777" w:rsidR="00FF25E0" w:rsidRDefault="00917CB2" w:rsidP="00FF25E0">
      <w:pPr>
        <w:pStyle w:val="ListParagraph"/>
        <w:numPr>
          <w:ilvl w:val="0"/>
          <w:numId w:val="17"/>
        </w:numPr>
        <w:spacing w:before="120" w:line="360" w:lineRule="auto"/>
        <w:ind w:right="-540"/>
      </w:pPr>
      <w:r w:rsidRPr="0011141A">
        <w:t>helpfulness of the instructions and materials</w:t>
      </w:r>
    </w:p>
    <w:p w14:paraId="492F2C85" w14:textId="77777777" w:rsidR="00FF25E0" w:rsidRDefault="00917CB2" w:rsidP="00FF25E0">
      <w:pPr>
        <w:pStyle w:val="ListParagraph"/>
        <w:numPr>
          <w:ilvl w:val="0"/>
          <w:numId w:val="17"/>
        </w:numPr>
        <w:spacing w:before="120" w:line="360" w:lineRule="auto"/>
        <w:ind w:right="-540"/>
      </w:pPr>
      <w:r w:rsidRPr="0011141A">
        <w:t>reactions to advance letter (including token incentive</w:t>
      </w:r>
      <w:r w:rsidR="00AA60C7" w:rsidRPr="0011141A">
        <w:t xml:space="preserve"> for the incentive group</w:t>
      </w:r>
      <w:r w:rsidR="00FF25E0">
        <w:t>)</w:t>
      </w:r>
    </w:p>
    <w:p w14:paraId="31CBB792" w14:textId="77777777" w:rsidR="00FF25E0" w:rsidRDefault="00917CB2" w:rsidP="00FF25E0">
      <w:pPr>
        <w:pStyle w:val="ListParagraph"/>
        <w:numPr>
          <w:ilvl w:val="0"/>
          <w:numId w:val="17"/>
        </w:numPr>
        <w:spacing w:before="120" w:line="360" w:lineRule="auto"/>
        <w:ind w:right="-540"/>
      </w:pPr>
      <w:r w:rsidRPr="0011141A">
        <w:t xml:space="preserve">perceived </w:t>
      </w:r>
      <w:r w:rsidR="00FF25E0">
        <w:t>task difficulty</w:t>
      </w:r>
    </w:p>
    <w:p w14:paraId="6F4E19ED" w14:textId="77777777" w:rsidR="00FF25E0" w:rsidRDefault="00AA60C7" w:rsidP="00FF25E0">
      <w:pPr>
        <w:pStyle w:val="ListParagraph"/>
        <w:numPr>
          <w:ilvl w:val="0"/>
          <w:numId w:val="17"/>
        </w:numPr>
        <w:spacing w:before="120" w:line="360" w:lineRule="auto"/>
        <w:ind w:right="-540"/>
      </w:pPr>
      <w:r w:rsidRPr="0011141A">
        <w:t>frequency of shopping trips and reasons for any d</w:t>
      </w:r>
      <w:r w:rsidR="00FF25E0">
        <w:t xml:space="preserve">eviations from normal </w:t>
      </w:r>
      <w:r w:rsidR="008C3A1D">
        <w:t xml:space="preserve">shopping </w:t>
      </w:r>
      <w:r w:rsidR="00FF25E0">
        <w:t>frequency</w:t>
      </w:r>
      <w:r w:rsidR="008C3A1D">
        <w:t xml:space="preserve"> in the diary keeping period</w:t>
      </w:r>
    </w:p>
    <w:p w14:paraId="22459AA7" w14:textId="77777777" w:rsidR="00917CB2" w:rsidRPr="0011141A" w:rsidRDefault="00AA60C7" w:rsidP="00FF25E0">
      <w:pPr>
        <w:pStyle w:val="ListParagraph"/>
        <w:numPr>
          <w:ilvl w:val="0"/>
          <w:numId w:val="17"/>
        </w:numPr>
        <w:spacing w:before="120" w:line="360" w:lineRule="auto"/>
        <w:ind w:right="-540"/>
      </w:pPr>
      <w:r w:rsidRPr="0011141A">
        <w:t xml:space="preserve">preferences for online vs. other methods of data collection such as using an app, collecting </w:t>
      </w:r>
      <w:r w:rsidR="008C3A1D">
        <w:t xml:space="preserve">receipts, </w:t>
      </w:r>
      <w:r w:rsidRPr="0011141A">
        <w:t xml:space="preserve">or photographing </w:t>
      </w:r>
      <w:r w:rsidR="00FF25E0">
        <w:t>and emailing receipts</w:t>
      </w:r>
      <w:r w:rsidR="00917CB2" w:rsidRPr="0011141A">
        <w:t xml:space="preserve"> </w:t>
      </w:r>
    </w:p>
    <w:p w14:paraId="634AAE64" w14:textId="77777777" w:rsidR="00E25DF9" w:rsidRPr="0011141A" w:rsidRDefault="00E25DF9" w:rsidP="00E25DF9">
      <w:pPr>
        <w:pStyle w:val="ListParagraph"/>
        <w:spacing w:line="360" w:lineRule="auto"/>
        <w:ind w:left="0"/>
      </w:pPr>
    </w:p>
    <w:p w14:paraId="4311153C" w14:textId="77777777" w:rsidR="00E25DF9" w:rsidRPr="0011141A" w:rsidRDefault="00E25DF9" w:rsidP="00E25DF9">
      <w:pPr>
        <w:pStyle w:val="ListParagraph"/>
        <w:spacing w:line="360" w:lineRule="auto"/>
        <w:ind w:left="0"/>
      </w:pPr>
    </w:p>
    <w:p w14:paraId="01686FA6" w14:textId="77777777" w:rsidR="00E25DF9" w:rsidRPr="0011141A" w:rsidRDefault="00E25DF9" w:rsidP="00EF2BDC">
      <w:pPr>
        <w:pStyle w:val="ListParagraph"/>
        <w:numPr>
          <w:ilvl w:val="0"/>
          <w:numId w:val="5"/>
        </w:numPr>
        <w:spacing w:line="360" w:lineRule="auto"/>
      </w:pPr>
      <w:r w:rsidRPr="0011141A">
        <w:t>CAPI INSTRUMENT CHANGES</w:t>
      </w:r>
    </w:p>
    <w:p w14:paraId="1E8FE668" w14:textId="77777777" w:rsidR="00152C4D" w:rsidRPr="0011141A" w:rsidRDefault="00152C4D" w:rsidP="00FF25E0">
      <w:pPr>
        <w:spacing w:line="360" w:lineRule="auto"/>
        <w:ind w:left="360" w:firstLine="360"/>
      </w:pPr>
      <w:r w:rsidRPr="0011141A">
        <w:t>Census will modify the CED CAPI instrument to include:</w:t>
      </w:r>
    </w:p>
    <w:p w14:paraId="1186F8FB" w14:textId="77777777" w:rsidR="00791B4B" w:rsidRPr="0011141A" w:rsidRDefault="00FF25E0" w:rsidP="00FF25E0">
      <w:pPr>
        <w:spacing w:line="360" w:lineRule="auto"/>
        <w:ind w:left="720"/>
      </w:pPr>
      <w:r w:rsidRPr="00FF25E0">
        <w:t>1.</w:t>
      </w:r>
      <w:r>
        <w:rPr>
          <w:b/>
        </w:rPr>
        <w:t xml:space="preserve"> </w:t>
      </w:r>
      <w:r w:rsidR="00791B4B" w:rsidRPr="00FF25E0">
        <w:t>Screening questions</w:t>
      </w:r>
      <w:r w:rsidR="0011141A" w:rsidRPr="00FF25E0">
        <w:t>:</w:t>
      </w:r>
      <w:r w:rsidR="0011141A" w:rsidRPr="0011141A">
        <w:t xml:space="preserve"> Two questions have been added to the CAPI instrument to screen respondents for </w:t>
      </w:r>
      <w:r w:rsidR="005406AF">
        <w:t>the online diary. The first question is</w:t>
      </w:r>
      <w:r w:rsidR="0011141A" w:rsidRPr="0011141A">
        <w:t xml:space="preserve"> about internet access and the second asks about frequency of internet use. If the respondent has in-home internet access and accesses the internet at least a few times a week, they qualify for the online </w:t>
      </w:r>
      <w:r w:rsidR="005406AF">
        <w:t xml:space="preserve">household </w:t>
      </w:r>
      <w:r w:rsidR="0011141A" w:rsidRPr="0011141A">
        <w:t>diary.</w:t>
      </w:r>
    </w:p>
    <w:p w14:paraId="020A61F5" w14:textId="77777777" w:rsidR="00EF2BDC" w:rsidRPr="0011141A" w:rsidRDefault="00FF25E0" w:rsidP="00EF2BDC">
      <w:pPr>
        <w:pStyle w:val="ListParagraph"/>
        <w:spacing w:line="360" w:lineRule="auto"/>
      </w:pPr>
      <w:r w:rsidRPr="00FF25E0">
        <w:t xml:space="preserve">2. </w:t>
      </w:r>
      <w:r w:rsidR="00EF2BDC" w:rsidRPr="00FF25E0">
        <w:t>Respondent debriefing</w:t>
      </w:r>
      <w:r w:rsidRPr="00FF25E0">
        <w:t xml:space="preserve"> questions</w:t>
      </w:r>
      <w:r w:rsidR="00903723" w:rsidRPr="00FF25E0">
        <w:t xml:space="preserve">: </w:t>
      </w:r>
      <w:r w:rsidR="0011141A" w:rsidRPr="0011141A">
        <w:t>At the end of the survey, respondents will be asked to complete a self-administered module of questions as described in the section on respondent debriefing.</w:t>
      </w:r>
    </w:p>
    <w:p w14:paraId="635CA8A4" w14:textId="77777777" w:rsidR="0078231C" w:rsidRPr="0011141A" w:rsidRDefault="00FF25E0" w:rsidP="00EF2BDC">
      <w:pPr>
        <w:pStyle w:val="ListParagraph"/>
        <w:spacing w:line="360" w:lineRule="auto"/>
      </w:pPr>
      <w:r w:rsidRPr="00FF25E0">
        <w:t xml:space="preserve">3. </w:t>
      </w:r>
      <w:r w:rsidR="0078231C" w:rsidRPr="00FF25E0">
        <w:t>C</w:t>
      </w:r>
      <w:r>
        <w:t>API expense entry</w:t>
      </w:r>
      <w:r w:rsidRPr="00FF25E0">
        <w:t xml:space="preserve"> by FR</w:t>
      </w:r>
      <w:r>
        <w:t>s</w:t>
      </w:r>
      <w:r w:rsidR="00903723" w:rsidRPr="0011141A">
        <w:t>:</w:t>
      </w:r>
      <w:r w:rsidR="0011141A" w:rsidRPr="0011141A">
        <w:t xml:space="preserve"> A recall tab is added to the CED CAPI instrument for FRs to enter expenses based on information given by the respondent </w:t>
      </w:r>
      <w:r w:rsidR="005406AF">
        <w:t>at the time of diary pickup which have not been</w:t>
      </w:r>
      <w:r w:rsidR="0011141A" w:rsidRPr="0011141A">
        <w:t xml:space="preserve"> entered in the online or paper diary</w:t>
      </w:r>
    </w:p>
    <w:p w14:paraId="74BE795A" w14:textId="77777777" w:rsidR="0011141A" w:rsidRPr="0011141A" w:rsidRDefault="00FF25E0" w:rsidP="0011141A">
      <w:pPr>
        <w:pStyle w:val="ListParagraph"/>
        <w:spacing w:line="360" w:lineRule="auto"/>
      </w:pPr>
      <w:r w:rsidRPr="00FF25E0">
        <w:t xml:space="preserve">4. </w:t>
      </w:r>
      <w:r w:rsidR="0011141A" w:rsidRPr="00FF25E0">
        <w:t>FR debriefing questions</w:t>
      </w:r>
      <w:r w:rsidR="0011141A" w:rsidRPr="0011141A">
        <w:t>: Questions have been added to the CAPI instrument to ask FRs about their experience with the online diary and get feedback on online diary procedures, instruments, and materials.</w:t>
      </w:r>
    </w:p>
    <w:p w14:paraId="4A425BB8" w14:textId="77777777" w:rsidR="0011141A" w:rsidRPr="0011141A" w:rsidRDefault="0011141A" w:rsidP="00EF2BDC">
      <w:pPr>
        <w:pStyle w:val="ListParagraph"/>
        <w:spacing w:line="360" w:lineRule="auto"/>
      </w:pPr>
    </w:p>
    <w:p w14:paraId="6EC57C94" w14:textId="77777777" w:rsidR="0078231C" w:rsidRPr="0011141A" w:rsidRDefault="0078231C" w:rsidP="00EF2BDC">
      <w:pPr>
        <w:pStyle w:val="ListParagraph"/>
        <w:spacing w:line="360" w:lineRule="auto"/>
      </w:pPr>
    </w:p>
    <w:p w14:paraId="294938B2" w14:textId="77777777" w:rsidR="00E25DF9" w:rsidRPr="0011141A" w:rsidRDefault="00E25DF9" w:rsidP="00EF2BDC">
      <w:pPr>
        <w:pStyle w:val="ListParagraph"/>
        <w:numPr>
          <w:ilvl w:val="0"/>
          <w:numId w:val="5"/>
        </w:numPr>
        <w:spacing w:line="360" w:lineRule="auto"/>
      </w:pPr>
      <w:r w:rsidRPr="0011141A">
        <w:t>SAMPLING AND SAMPLE SIZE</w:t>
      </w:r>
    </w:p>
    <w:p w14:paraId="6348A496" w14:textId="6B253C1A" w:rsidR="00AE50B0" w:rsidRPr="00893E21" w:rsidRDefault="00893E21" w:rsidP="00905523">
      <w:pPr>
        <w:tabs>
          <w:tab w:val="left" w:pos="720"/>
          <w:tab w:val="left" w:pos="1440"/>
          <w:tab w:val="left" w:pos="2160"/>
          <w:tab w:val="left" w:pos="2880"/>
        </w:tabs>
        <w:spacing w:line="360" w:lineRule="auto"/>
        <w:ind w:left="720"/>
        <w:rPr>
          <w:bCs/>
        </w:rPr>
      </w:pPr>
      <w:r w:rsidRPr="00893E21">
        <w:rPr>
          <w:bCs/>
        </w:rPr>
        <w:t>The sample for the LSF will be drawn from the CED reserve sample. The sample will not include Alas</w:t>
      </w:r>
      <w:r w:rsidR="00B020C6">
        <w:rPr>
          <w:bCs/>
        </w:rPr>
        <w:t>ka and Hawaii. T</w:t>
      </w:r>
      <w:r w:rsidR="00AE50B0" w:rsidRPr="00893E21">
        <w:rPr>
          <w:bCs/>
        </w:rPr>
        <w:t xml:space="preserve">he final sample </w:t>
      </w:r>
      <w:r w:rsidRPr="00893E21">
        <w:rPr>
          <w:bCs/>
        </w:rPr>
        <w:t xml:space="preserve">will include respondents living in group quarters. </w:t>
      </w:r>
      <w:r w:rsidR="00AE50B0" w:rsidRPr="00893E21">
        <w:rPr>
          <w:bCs/>
        </w:rPr>
        <w:t>The projected t</w:t>
      </w:r>
      <w:r w:rsidRPr="00893E21">
        <w:rPr>
          <w:bCs/>
        </w:rPr>
        <w:t xml:space="preserve">otal size of the final sample is </w:t>
      </w:r>
      <w:r w:rsidR="00AE50B0" w:rsidRPr="00893E21">
        <w:rPr>
          <w:bCs/>
        </w:rPr>
        <w:t xml:space="preserve">2,502 units, consisting of 2,478 unit frame sample units and 22 group quarters frame </w:t>
      </w:r>
      <w:r w:rsidRPr="00893E21">
        <w:rPr>
          <w:bCs/>
        </w:rPr>
        <w:t>units.</w:t>
      </w:r>
      <w:r w:rsidR="00AE50B0" w:rsidRPr="00893E21">
        <w:rPr>
          <w:bCs/>
        </w:rPr>
        <w:t xml:space="preserve">  Half of all sample units will </w:t>
      </w:r>
      <w:r>
        <w:rPr>
          <w:bCs/>
        </w:rPr>
        <w:t xml:space="preserve">be randomly selected to receive a </w:t>
      </w:r>
      <w:r w:rsidR="00AE50B0" w:rsidRPr="00893E21">
        <w:rPr>
          <w:bCs/>
        </w:rPr>
        <w:t>$5</w:t>
      </w:r>
      <w:r>
        <w:rPr>
          <w:bCs/>
        </w:rPr>
        <w:t xml:space="preserve"> token incentive</w:t>
      </w:r>
      <w:r w:rsidR="00AE50B0" w:rsidRPr="00893E21">
        <w:rPr>
          <w:bCs/>
        </w:rPr>
        <w:t>, regardless of whether they actually participate in the test.  The other half of the sample units are to receive no compensation</w:t>
      </w:r>
      <w:r w:rsidRPr="00893E21">
        <w:rPr>
          <w:bCs/>
        </w:rPr>
        <w:t>.</w:t>
      </w:r>
      <w:r w:rsidR="00AE50B0" w:rsidRPr="00893E21">
        <w:rPr>
          <w:bCs/>
        </w:rPr>
        <w:t xml:space="preserve"> </w:t>
      </w:r>
    </w:p>
    <w:p w14:paraId="157FE032" w14:textId="77777777" w:rsidR="00EF2BDC" w:rsidRPr="00893E21" w:rsidRDefault="00EF2BDC" w:rsidP="0078231C">
      <w:pPr>
        <w:spacing w:line="360" w:lineRule="auto"/>
      </w:pPr>
    </w:p>
    <w:p w14:paraId="65C89DED" w14:textId="77777777" w:rsidR="00EF2BDC" w:rsidRPr="0011141A" w:rsidRDefault="00EF2BDC" w:rsidP="00EF2BDC">
      <w:pPr>
        <w:pStyle w:val="ListParagraph"/>
        <w:spacing w:line="360" w:lineRule="auto"/>
      </w:pPr>
    </w:p>
    <w:p w14:paraId="5C5F7D0A" w14:textId="77777777" w:rsidR="00E25DF9" w:rsidRPr="0011141A" w:rsidRDefault="00E25DF9" w:rsidP="00E25DF9">
      <w:pPr>
        <w:pStyle w:val="ListParagraph"/>
        <w:spacing w:line="360" w:lineRule="auto"/>
        <w:ind w:left="0"/>
      </w:pPr>
      <w:r w:rsidRPr="0011141A">
        <w:t>6. RESPONDENT MATERIALS</w:t>
      </w:r>
    </w:p>
    <w:p w14:paraId="564CD0B5" w14:textId="77777777" w:rsidR="00E25DF9" w:rsidRPr="00FE3213" w:rsidRDefault="00E25DF9" w:rsidP="00E25DF9">
      <w:pPr>
        <w:pStyle w:val="ListParagraph"/>
        <w:spacing w:line="360" w:lineRule="auto"/>
        <w:ind w:left="0"/>
      </w:pPr>
      <w:r w:rsidRPr="0011141A">
        <w:tab/>
        <w:t xml:space="preserve">1. </w:t>
      </w:r>
      <w:r w:rsidRPr="00FE3213">
        <w:t>Pre</w:t>
      </w:r>
      <w:r w:rsidR="00EF2BDC" w:rsidRPr="00FE3213">
        <w:t>-</w:t>
      </w:r>
      <w:r w:rsidRPr="00FE3213">
        <w:t>notification postcard</w:t>
      </w:r>
      <w:r w:rsidR="00EF2BDC" w:rsidRPr="00FE3213">
        <w:t>s</w:t>
      </w:r>
      <w:r w:rsidR="00703E40" w:rsidRPr="00FE3213">
        <w:t xml:space="preserve"> (Attachment 1)</w:t>
      </w:r>
    </w:p>
    <w:p w14:paraId="5BEF950E" w14:textId="77777777" w:rsidR="00E25DF9" w:rsidRPr="00FE3213" w:rsidRDefault="00E25DF9" w:rsidP="00E25DF9">
      <w:pPr>
        <w:pStyle w:val="ListParagraph"/>
        <w:spacing w:line="360" w:lineRule="auto"/>
        <w:ind w:left="0"/>
      </w:pPr>
      <w:r w:rsidRPr="00FE3213">
        <w:tab/>
        <w:t>2. Advance letter</w:t>
      </w:r>
      <w:r w:rsidR="00EF2BDC" w:rsidRPr="00FE3213">
        <w:t>s</w:t>
      </w:r>
      <w:r w:rsidR="00703E40" w:rsidRPr="00FE3213">
        <w:t xml:space="preserve"> (Attachment 2)</w:t>
      </w:r>
    </w:p>
    <w:p w14:paraId="11362A1B" w14:textId="77777777" w:rsidR="00E25DF9" w:rsidRPr="0011141A" w:rsidRDefault="00E25DF9" w:rsidP="00E25DF9">
      <w:pPr>
        <w:pStyle w:val="ListParagraph"/>
        <w:spacing w:line="360" w:lineRule="auto"/>
        <w:ind w:left="0"/>
      </w:pPr>
      <w:r w:rsidRPr="00FE3213">
        <w:tab/>
        <w:t>3. Respondent emails</w:t>
      </w:r>
      <w:r w:rsidR="00703E40" w:rsidRPr="00FE3213">
        <w:t xml:space="preserve"> (Attachment 3)</w:t>
      </w:r>
    </w:p>
    <w:p w14:paraId="65FA167D" w14:textId="77777777" w:rsidR="00E25DF9" w:rsidRPr="0011141A" w:rsidRDefault="00E25DF9" w:rsidP="00E25DF9">
      <w:pPr>
        <w:pStyle w:val="ListParagraph"/>
        <w:spacing w:line="360" w:lineRule="auto"/>
        <w:ind w:left="0"/>
      </w:pPr>
      <w:r w:rsidRPr="0011141A">
        <w:tab/>
        <w:t>4. Online diary user guide</w:t>
      </w:r>
      <w:r w:rsidR="00703E40">
        <w:t xml:space="preserve"> </w:t>
      </w:r>
      <w:r w:rsidR="00703E40" w:rsidRPr="00703E40">
        <w:t>(Attachment 4)</w:t>
      </w:r>
    </w:p>
    <w:p w14:paraId="463D9A98" w14:textId="77777777" w:rsidR="00E25DF9" w:rsidRPr="0011141A" w:rsidRDefault="00E25DF9" w:rsidP="00E25DF9">
      <w:pPr>
        <w:pStyle w:val="ListParagraph"/>
        <w:spacing w:line="360" w:lineRule="auto"/>
        <w:ind w:left="0"/>
      </w:pPr>
      <w:r w:rsidRPr="0011141A">
        <w:tab/>
        <w:t>5. Online diary tutorial script</w:t>
      </w:r>
      <w:r w:rsidR="00703E40">
        <w:t xml:space="preserve"> </w:t>
      </w:r>
      <w:r w:rsidR="00703E40" w:rsidRPr="00703E40">
        <w:t>(Attachment 5)</w:t>
      </w:r>
    </w:p>
    <w:p w14:paraId="4460833F" w14:textId="77777777" w:rsidR="00E25DF9" w:rsidRPr="0011141A" w:rsidRDefault="00E25DF9" w:rsidP="00E25DF9">
      <w:pPr>
        <w:pStyle w:val="ListParagraph"/>
        <w:spacing w:line="360" w:lineRule="auto"/>
        <w:ind w:left="0"/>
      </w:pPr>
      <w:r w:rsidRPr="0011141A">
        <w:tab/>
        <w:t>6. Online diary screenshots</w:t>
      </w:r>
      <w:r w:rsidR="00703E40">
        <w:t xml:space="preserve"> </w:t>
      </w:r>
      <w:r w:rsidR="00703E40" w:rsidRPr="00703E40">
        <w:t>(Attachment 6)</w:t>
      </w:r>
    </w:p>
    <w:p w14:paraId="4597F369" w14:textId="77777777" w:rsidR="00EF2BDC" w:rsidRPr="00FE3213" w:rsidRDefault="00EF2BDC" w:rsidP="00EF2BDC">
      <w:pPr>
        <w:pStyle w:val="ListParagraph"/>
        <w:spacing w:line="360" w:lineRule="auto"/>
        <w:ind w:left="0" w:firstLine="720"/>
      </w:pPr>
      <w:r w:rsidRPr="0011141A">
        <w:t xml:space="preserve">7. </w:t>
      </w:r>
      <w:r w:rsidRPr="00FE3213">
        <w:t>CED 2019 Paper Diary</w:t>
      </w:r>
      <w:r w:rsidR="00703E40" w:rsidRPr="00FE3213">
        <w:t xml:space="preserve"> (Attachment 7)</w:t>
      </w:r>
    </w:p>
    <w:p w14:paraId="7161CFB8" w14:textId="238B478A" w:rsidR="00E25DF9" w:rsidRPr="0011141A" w:rsidRDefault="00917CB2" w:rsidP="0011141A">
      <w:pPr>
        <w:pStyle w:val="ListParagraph"/>
        <w:spacing w:line="360" w:lineRule="auto"/>
        <w:ind w:left="0" w:firstLine="720"/>
      </w:pPr>
      <w:r w:rsidRPr="00FE3213">
        <w:t>8.</w:t>
      </w:r>
      <w:r w:rsidR="0011141A" w:rsidRPr="00FE3213">
        <w:t xml:space="preserve"> CAPI in</w:t>
      </w:r>
      <w:r w:rsidR="00703E40" w:rsidRPr="00FE3213">
        <w:t>strument specifications (Attachment 8)</w:t>
      </w:r>
    </w:p>
    <w:p w14:paraId="506AB81C" w14:textId="77777777" w:rsidR="00E25DF9" w:rsidRPr="0011141A" w:rsidRDefault="00E25DF9" w:rsidP="00E25DF9">
      <w:pPr>
        <w:pStyle w:val="ListParagraph"/>
        <w:spacing w:line="360" w:lineRule="auto"/>
        <w:ind w:left="0"/>
      </w:pPr>
    </w:p>
    <w:p w14:paraId="2925E42A" w14:textId="77777777" w:rsidR="00E25DF9" w:rsidRPr="0011141A" w:rsidRDefault="00E25DF9" w:rsidP="00E25DF9">
      <w:pPr>
        <w:pStyle w:val="ListParagraph"/>
        <w:spacing w:line="360" w:lineRule="auto"/>
        <w:ind w:left="0"/>
        <w:rPr>
          <w:b/>
        </w:rPr>
      </w:pPr>
      <w:r w:rsidRPr="0011141A">
        <w:rPr>
          <w:b/>
        </w:rPr>
        <w:t>III. BURDEN HOURS BY CALENDAR YEAR</w:t>
      </w:r>
    </w:p>
    <w:p w14:paraId="2DAED881" w14:textId="77777777" w:rsidR="00E25DF9" w:rsidRPr="0011141A" w:rsidRDefault="00964CBE" w:rsidP="00E25DF9">
      <w:pPr>
        <w:pStyle w:val="ListParagraph"/>
        <w:spacing w:line="360" w:lineRule="auto"/>
        <w:ind w:left="0"/>
      </w:pPr>
      <w:r>
        <w:t>Burden estimates for Calendar years 2019 and 2020 are shown in Tables 1 and 2 below.</w:t>
      </w:r>
    </w:p>
    <w:p w14:paraId="27B49E03" w14:textId="77777777" w:rsidR="00627FE1" w:rsidRPr="0011141A" w:rsidRDefault="00627FE1" w:rsidP="0078231C">
      <w:pPr>
        <w:ind w:left="480"/>
        <w:rPr>
          <w:highlight w:val="yellow"/>
        </w:rPr>
      </w:pPr>
    </w:p>
    <w:p w14:paraId="571EA810" w14:textId="77777777" w:rsidR="0078231C" w:rsidRPr="00964CBE" w:rsidRDefault="00964CBE" w:rsidP="0078231C">
      <w:pPr>
        <w:ind w:left="480"/>
        <w:rPr>
          <w:b/>
        </w:rPr>
      </w:pPr>
      <w:r w:rsidRPr="00964CBE">
        <w:rPr>
          <w:b/>
        </w:rPr>
        <w:t xml:space="preserve">Table 1:  Burden estimates for Calendar Year </w:t>
      </w:r>
      <w:r w:rsidR="00D13C69" w:rsidRPr="00964CBE">
        <w:rPr>
          <w:b/>
        </w:rPr>
        <w:t>2019</w:t>
      </w:r>
      <w:r>
        <w:rPr>
          <w:b/>
        </w:rPr>
        <w:t xml:space="preserve"> (October-December 2019)</w:t>
      </w:r>
    </w:p>
    <w:p w14:paraId="4E2258E2" w14:textId="77777777" w:rsidR="00964CBE" w:rsidRPr="0011141A" w:rsidRDefault="00964CBE" w:rsidP="0078231C">
      <w:pPr>
        <w:ind w:left="480"/>
        <w:rPr>
          <w:highlight w:val="yellow"/>
        </w:rPr>
      </w:pPr>
    </w:p>
    <w:tbl>
      <w:tblPr>
        <w:tblW w:w="9183" w:type="dxa"/>
        <w:tblInd w:w="156" w:type="dxa"/>
        <w:tblLayout w:type="fixed"/>
        <w:tblCellMar>
          <w:left w:w="0" w:type="dxa"/>
          <w:right w:w="0" w:type="dxa"/>
        </w:tblCellMar>
        <w:tblLook w:val="04A0" w:firstRow="1" w:lastRow="0" w:firstColumn="1" w:lastColumn="0" w:noHBand="0" w:noVBand="1"/>
      </w:tblPr>
      <w:tblGrid>
        <w:gridCol w:w="2350"/>
        <w:gridCol w:w="1530"/>
        <w:gridCol w:w="1260"/>
        <w:gridCol w:w="1500"/>
        <w:gridCol w:w="1164"/>
        <w:gridCol w:w="1379"/>
      </w:tblGrid>
      <w:tr w:rsidR="0078231C" w:rsidRPr="0011141A" w14:paraId="49813CD9" w14:textId="77777777" w:rsidTr="004961EE">
        <w:tc>
          <w:tcPr>
            <w:tcW w:w="9183" w:type="dxa"/>
            <w:gridSpan w:val="6"/>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hideMark/>
          </w:tcPr>
          <w:p w14:paraId="16B8C599" w14:textId="42E1C7B1" w:rsidR="0078231C" w:rsidRPr="0011141A" w:rsidRDefault="00222EFF">
            <w:pPr>
              <w:jc w:val="center"/>
            </w:pPr>
            <w:r w:rsidRPr="0011141A">
              <w:t xml:space="preserve">Response Burden for the </w:t>
            </w:r>
            <w:r>
              <w:t xml:space="preserve">LSF Online </w:t>
            </w:r>
            <w:r w:rsidRPr="0011141A">
              <w:t xml:space="preserve">Diary </w:t>
            </w:r>
            <w:r>
              <w:t>Test</w:t>
            </w:r>
          </w:p>
        </w:tc>
      </w:tr>
      <w:tr w:rsidR="0078231C" w:rsidRPr="0011141A" w14:paraId="5F666DA6" w14:textId="77777777" w:rsidTr="004961EE">
        <w:tc>
          <w:tcPr>
            <w:tcW w:w="2350" w:type="dxa"/>
            <w:tcBorders>
              <w:top w:val="nil"/>
              <w:left w:val="single" w:sz="8" w:space="0" w:color="auto"/>
              <w:bottom w:val="single" w:sz="8" w:space="0" w:color="auto"/>
              <w:right w:val="single" w:sz="8" w:space="0" w:color="auto"/>
            </w:tcBorders>
            <w:tcMar>
              <w:top w:w="0" w:type="dxa"/>
              <w:left w:w="120" w:type="dxa"/>
              <w:bottom w:w="0" w:type="dxa"/>
              <w:right w:w="120" w:type="dxa"/>
            </w:tcMar>
          </w:tcPr>
          <w:p w14:paraId="7E08287F" w14:textId="77777777" w:rsidR="0078231C" w:rsidRPr="0011141A" w:rsidRDefault="0078231C">
            <w:pPr>
              <w:jc w:val="center"/>
            </w:pPr>
          </w:p>
          <w:p w14:paraId="1A067DE9" w14:textId="77777777" w:rsidR="0078231C" w:rsidRPr="0011141A" w:rsidRDefault="0078231C">
            <w:pPr>
              <w:jc w:val="center"/>
            </w:pPr>
            <w:r w:rsidRPr="0011141A">
              <w:t>Form</w:t>
            </w:r>
          </w:p>
        </w:tc>
        <w:tc>
          <w:tcPr>
            <w:tcW w:w="1530" w:type="dxa"/>
            <w:tcBorders>
              <w:top w:val="nil"/>
              <w:left w:val="nil"/>
              <w:bottom w:val="single" w:sz="8" w:space="0" w:color="auto"/>
              <w:right w:val="single" w:sz="8" w:space="0" w:color="auto"/>
            </w:tcBorders>
            <w:tcMar>
              <w:top w:w="0" w:type="dxa"/>
              <w:left w:w="120" w:type="dxa"/>
              <w:bottom w:w="0" w:type="dxa"/>
              <w:right w:w="120" w:type="dxa"/>
            </w:tcMar>
            <w:hideMark/>
          </w:tcPr>
          <w:p w14:paraId="06190B2C" w14:textId="77777777" w:rsidR="0078231C" w:rsidRPr="0011141A" w:rsidRDefault="0078231C">
            <w:pPr>
              <w:jc w:val="center"/>
            </w:pPr>
            <w:r w:rsidRPr="0011141A">
              <w:t>Total Respondents</w:t>
            </w:r>
          </w:p>
        </w:tc>
        <w:tc>
          <w:tcPr>
            <w:tcW w:w="1260" w:type="dxa"/>
            <w:tcBorders>
              <w:top w:val="nil"/>
              <w:left w:val="nil"/>
              <w:bottom w:val="single" w:sz="8" w:space="0" w:color="auto"/>
              <w:right w:val="single" w:sz="8" w:space="0" w:color="auto"/>
            </w:tcBorders>
            <w:tcMar>
              <w:top w:w="0" w:type="dxa"/>
              <w:left w:w="120" w:type="dxa"/>
              <w:bottom w:w="0" w:type="dxa"/>
              <w:right w:w="120" w:type="dxa"/>
            </w:tcMar>
            <w:hideMark/>
          </w:tcPr>
          <w:p w14:paraId="09CE3AF4" w14:textId="77777777" w:rsidR="0078231C" w:rsidRPr="0011141A" w:rsidRDefault="0078231C">
            <w:pPr>
              <w:jc w:val="center"/>
            </w:pPr>
            <w:r w:rsidRPr="0011141A">
              <w:t>Frequency</w:t>
            </w:r>
          </w:p>
        </w:tc>
        <w:tc>
          <w:tcPr>
            <w:tcW w:w="1500" w:type="dxa"/>
            <w:tcBorders>
              <w:top w:val="nil"/>
              <w:left w:val="nil"/>
              <w:bottom w:val="single" w:sz="8" w:space="0" w:color="auto"/>
              <w:right w:val="single" w:sz="8" w:space="0" w:color="auto"/>
            </w:tcBorders>
            <w:tcMar>
              <w:top w:w="0" w:type="dxa"/>
              <w:left w:w="120" w:type="dxa"/>
              <w:bottom w:w="0" w:type="dxa"/>
              <w:right w:w="120" w:type="dxa"/>
            </w:tcMar>
            <w:hideMark/>
          </w:tcPr>
          <w:p w14:paraId="47B85D4F" w14:textId="77777777" w:rsidR="0078231C" w:rsidRPr="0011141A" w:rsidRDefault="0078231C">
            <w:pPr>
              <w:jc w:val="center"/>
            </w:pPr>
            <w:r w:rsidRPr="0011141A">
              <w:t>Total Responses</w:t>
            </w:r>
          </w:p>
        </w:tc>
        <w:tc>
          <w:tcPr>
            <w:tcW w:w="1164" w:type="dxa"/>
            <w:tcBorders>
              <w:top w:val="nil"/>
              <w:left w:val="nil"/>
              <w:bottom w:val="single" w:sz="8" w:space="0" w:color="auto"/>
              <w:right w:val="single" w:sz="8" w:space="0" w:color="auto"/>
            </w:tcBorders>
            <w:tcMar>
              <w:top w:w="0" w:type="dxa"/>
              <w:left w:w="120" w:type="dxa"/>
              <w:bottom w:w="0" w:type="dxa"/>
              <w:right w:w="120" w:type="dxa"/>
            </w:tcMar>
            <w:hideMark/>
          </w:tcPr>
          <w:p w14:paraId="06E08229" w14:textId="77777777" w:rsidR="0078231C" w:rsidRPr="0011141A" w:rsidRDefault="0078231C">
            <w:pPr>
              <w:jc w:val="center"/>
            </w:pPr>
            <w:r w:rsidRPr="0011141A">
              <w:t xml:space="preserve">Average </w:t>
            </w:r>
            <w:r w:rsidRPr="0011141A">
              <w:br/>
              <w:t>Time per Response</w:t>
            </w:r>
          </w:p>
        </w:tc>
        <w:tc>
          <w:tcPr>
            <w:tcW w:w="1379" w:type="dxa"/>
            <w:tcBorders>
              <w:top w:val="nil"/>
              <w:left w:val="nil"/>
              <w:bottom w:val="single" w:sz="8" w:space="0" w:color="auto"/>
              <w:right w:val="single" w:sz="8" w:space="0" w:color="auto"/>
            </w:tcBorders>
            <w:tcMar>
              <w:top w:w="0" w:type="dxa"/>
              <w:left w:w="120" w:type="dxa"/>
              <w:bottom w:w="0" w:type="dxa"/>
              <w:right w:w="120" w:type="dxa"/>
            </w:tcMar>
            <w:hideMark/>
          </w:tcPr>
          <w:p w14:paraId="6DEE05EE" w14:textId="77777777" w:rsidR="0078231C" w:rsidRPr="0011141A" w:rsidRDefault="0078231C">
            <w:pPr>
              <w:jc w:val="center"/>
            </w:pPr>
            <w:r w:rsidRPr="0011141A">
              <w:t>Estimated</w:t>
            </w:r>
            <w:r w:rsidRPr="0011141A">
              <w:br/>
              <w:t>Total</w:t>
            </w:r>
            <w:r w:rsidRPr="0011141A">
              <w:br/>
              <w:t>Burden</w:t>
            </w:r>
            <w:r w:rsidR="005406AF">
              <w:t xml:space="preserve"> Hours</w:t>
            </w:r>
          </w:p>
        </w:tc>
      </w:tr>
      <w:tr w:rsidR="004961EE" w:rsidRPr="0011141A" w14:paraId="03ABD9A0" w14:textId="77777777" w:rsidTr="004961EE">
        <w:tblPrEx>
          <w:tblCellMar>
            <w:left w:w="120" w:type="dxa"/>
            <w:right w:w="120" w:type="dxa"/>
          </w:tblCellMar>
          <w:tblLook w:val="0000" w:firstRow="0" w:lastRow="0" w:firstColumn="0" w:lastColumn="0" w:noHBand="0" w:noVBand="0"/>
        </w:tblPrEx>
        <w:tc>
          <w:tcPr>
            <w:tcW w:w="2350" w:type="dxa"/>
            <w:tcBorders>
              <w:top w:val="single" w:sz="4" w:space="0" w:color="auto"/>
              <w:left w:val="single" w:sz="4" w:space="0" w:color="auto"/>
              <w:bottom w:val="single" w:sz="4" w:space="0" w:color="auto"/>
              <w:right w:val="single" w:sz="4" w:space="0" w:color="auto"/>
            </w:tcBorders>
          </w:tcPr>
          <w:p w14:paraId="43891F32" w14:textId="77777777" w:rsidR="004961EE" w:rsidRPr="0011141A" w:rsidRDefault="004961EE" w:rsidP="008563F6">
            <w:pPr>
              <w:jc w:val="center"/>
            </w:pPr>
            <w:r>
              <w:t xml:space="preserve">LSF Online Diary </w:t>
            </w:r>
            <w:r w:rsidRPr="0011141A">
              <w:t>Record-keeping</w:t>
            </w:r>
          </w:p>
        </w:tc>
        <w:tc>
          <w:tcPr>
            <w:tcW w:w="1530" w:type="dxa"/>
            <w:tcBorders>
              <w:top w:val="single" w:sz="4" w:space="0" w:color="auto"/>
              <w:left w:val="single" w:sz="4" w:space="0" w:color="auto"/>
              <w:bottom w:val="single" w:sz="4" w:space="0" w:color="auto"/>
              <w:right w:val="single" w:sz="4" w:space="0" w:color="auto"/>
            </w:tcBorders>
          </w:tcPr>
          <w:p w14:paraId="7E7E9C0C" w14:textId="77777777" w:rsidR="004961EE" w:rsidRPr="0011141A" w:rsidRDefault="004961EE" w:rsidP="008563F6">
            <w:pPr>
              <w:jc w:val="center"/>
            </w:pPr>
            <w:r w:rsidRPr="0011141A">
              <w:t>600</w:t>
            </w:r>
          </w:p>
        </w:tc>
        <w:tc>
          <w:tcPr>
            <w:tcW w:w="1260" w:type="dxa"/>
            <w:tcBorders>
              <w:top w:val="single" w:sz="4" w:space="0" w:color="auto"/>
              <w:left w:val="single" w:sz="4" w:space="0" w:color="auto"/>
              <w:bottom w:val="single" w:sz="4" w:space="0" w:color="auto"/>
              <w:right w:val="single" w:sz="4" w:space="0" w:color="auto"/>
            </w:tcBorders>
          </w:tcPr>
          <w:p w14:paraId="5A358539" w14:textId="77777777" w:rsidR="004961EE" w:rsidRPr="0011141A" w:rsidRDefault="004961EE" w:rsidP="008563F6">
            <w:pPr>
              <w:jc w:val="center"/>
            </w:pPr>
            <w:r>
              <w:t>2</w:t>
            </w:r>
          </w:p>
        </w:tc>
        <w:tc>
          <w:tcPr>
            <w:tcW w:w="1500" w:type="dxa"/>
            <w:tcBorders>
              <w:top w:val="single" w:sz="4" w:space="0" w:color="auto"/>
              <w:left w:val="single" w:sz="4" w:space="0" w:color="auto"/>
              <w:bottom w:val="single" w:sz="4" w:space="0" w:color="auto"/>
              <w:right w:val="single" w:sz="4" w:space="0" w:color="auto"/>
            </w:tcBorders>
          </w:tcPr>
          <w:p w14:paraId="5244C821" w14:textId="77777777" w:rsidR="004961EE" w:rsidRPr="0011141A" w:rsidRDefault="004961EE" w:rsidP="008563F6">
            <w:pPr>
              <w:jc w:val="center"/>
            </w:pPr>
            <w:r>
              <w:t>1200</w:t>
            </w:r>
          </w:p>
        </w:tc>
        <w:tc>
          <w:tcPr>
            <w:tcW w:w="1164" w:type="dxa"/>
            <w:tcBorders>
              <w:top w:val="single" w:sz="4" w:space="0" w:color="auto"/>
              <w:left w:val="single" w:sz="4" w:space="0" w:color="auto"/>
              <w:bottom w:val="single" w:sz="4" w:space="0" w:color="auto"/>
              <w:right w:val="single" w:sz="4" w:space="0" w:color="auto"/>
            </w:tcBorders>
          </w:tcPr>
          <w:p w14:paraId="33BE6D76" w14:textId="77777777" w:rsidR="004961EE" w:rsidRPr="0011141A" w:rsidRDefault="004961EE" w:rsidP="008563F6">
            <w:pPr>
              <w:jc w:val="center"/>
            </w:pPr>
            <w:r>
              <w:t>70</w:t>
            </w:r>
          </w:p>
        </w:tc>
        <w:tc>
          <w:tcPr>
            <w:tcW w:w="1379" w:type="dxa"/>
            <w:tcBorders>
              <w:top w:val="single" w:sz="4" w:space="0" w:color="auto"/>
              <w:left w:val="single" w:sz="4" w:space="0" w:color="auto"/>
              <w:bottom w:val="single" w:sz="4" w:space="0" w:color="auto"/>
              <w:right w:val="single" w:sz="4" w:space="0" w:color="auto"/>
            </w:tcBorders>
          </w:tcPr>
          <w:p w14:paraId="2B7A08AF" w14:textId="77777777" w:rsidR="004961EE" w:rsidRPr="0011141A" w:rsidRDefault="004961EE" w:rsidP="008563F6">
            <w:pPr>
              <w:jc w:val="center"/>
            </w:pPr>
            <w:r>
              <w:t>140</w:t>
            </w:r>
            <w:r w:rsidRPr="0011141A">
              <w:t>0</w:t>
            </w:r>
          </w:p>
        </w:tc>
      </w:tr>
      <w:tr w:rsidR="004961EE" w:rsidRPr="0011141A" w14:paraId="39458D85" w14:textId="77777777" w:rsidTr="004961EE">
        <w:tblPrEx>
          <w:tblCellMar>
            <w:left w:w="120" w:type="dxa"/>
            <w:right w:w="120" w:type="dxa"/>
          </w:tblCellMar>
          <w:tblLook w:val="0000" w:firstRow="0" w:lastRow="0" w:firstColumn="0" w:lastColumn="0" w:noHBand="0" w:noVBand="0"/>
        </w:tblPrEx>
        <w:tc>
          <w:tcPr>
            <w:tcW w:w="2350" w:type="dxa"/>
            <w:tcBorders>
              <w:top w:val="single" w:sz="4" w:space="0" w:color="auto"/>
              <w:left w:val="single" w:sz="4" w:space="0" w:color="auto"/>
              <w:bottom w:val="single" w:sz="4" w:space="0" w:color="auto"/>
              <w:right w:val="single" w:sz="4" w:space="0" w:color="auto"/>
            </w:tcBorders>
          </w:tcPr>
          <w:p w14:paraId="72C87D81" w14:textId="77777777" w:rsidR="004961EE" w:rsidRPr="0011141A" w:rsidRDefault="004961EE" w:rsidP="008563F6">
            <w:pPr>
              <w:jc w:val="center"/>
            </w:pPr>
            <w:r>
              <w:t xml:space="preserve">LSF Online Diary </w:t>
            </w:r>
            <w:r w:rsidRPr="0011141A">
              <w:t>Interview</w:t>
            </w:r>
            <w:r>
              <w:t xml:space="preserve"> including Respondent Debriefing</w:t>
            </w:r>
          </w:p>
        </w:tc>
        <w:tc>
          <w:tcPr>
            <w:tcW w:w="1530" w:type="dxa"/>
            <w:tcBorders>
              <w:top w:val="single" w:sz="4" w:space="0" w:color="auto"/>
              <w:left w:val="single" w:sz="4" w:space="0" w:color="auto"/>
              <w:bottom w:val="single" w:sz="4" w:space="0" w:color="auto"/>
              <w:right w:val="single" w:sz="4" w:space="0" w:color="auto"/>
            </w:tcBorders>
          </w:tcPr>
          <w:p w14:paraId="1083A86A" w14:textId="77777777" w:rsidR="004961EE" w:rsidRPr="0011141A" w:rsidRDefault="004961EE" w:rsidP="008563F6">
            <w:pPr>
              <w:jc w:val="center"/>
            </w:pPr>
            <w:r w:rsidRPr="0011141A">
              <w:t>600</w:t>
            </w:r>
          </w:p>
        </w:tc>
        <w:tc>
          <w:tcPr>
            <w:tcW w:w="1260" w:type="dxa"/>
            <w:tcBorders>
              <w:top w:val="single" w:sz="4" w:space="0" w:color="auto"/>
              <w:left w:val="single" w:sz="4" w:space="0" w:color="auto"/>
              <w:bottom w:val="single" w:sz="4" w:space="0" w:color="auto"/>
              <w:right w:val="single" w:sz="4" w:space="0" w:color="auto"/>
            </w:tcBorders>
          </w:tcPr>
          <w:p w14:paraId="25E0A960" w14:textId="77777777" w:rsidR="004961EE" w:rsidRPr="0011141A" w:rsidRDefault="004961EE" w:rsidP="008563F6">
            <w:pPr>
              <w:jc w:val="center"/>
            </w:pPr>
            <w:r w:rsidRPr="0011141A">
              <w:t>2</w:t>
            </w:r>
          </w:p>
        </w:tc>
        <w:tc>
          <w:tcPr>
            <w:tcW w:w="1500" w:type="dxa"/>
            <w:tcBorders>
              <w:top w:val="single" w:sz="4" w:space="0" w:color="auto"/>
              <w:left w:val="single" w:sz="4" w:space="0" w:color="auto"/>
              <w:bottom w:val="single" w:sz="4" w:space="0" w:color="auto"/>
              <w:right w:val="single" w:sz="4" w:space="0" w:color="auto"/>
            </w:tcBorders>
          </w:tcPr>
          <w:p w14:paraId="36CE8A90" w14:textId="77777777" w:rsidR="004961EE" w:rsidRPr="0011141A" w:rsidRDefault="004961EE" w:rsidP="008563F6">
            <w:pPr>
              <w:jc w:val="center"/>
            </w:pPr>
            <w:r w:rsidRPr="0011141A">
              <w:t>1200</w:t>
            </w:r>
          </w:p>
        </w:tc>
        <w:tc>
          <w:tcPr>
            <w:tcW w:w="1164" w:type="dxa"/>
            <w:tcBorders>
              <w:top w:val="single" w:sz="4" w:space="0" w:color="auto"/>
              <w:left w:val="single" w:sz="4" w:space="0" w:color="auto"/>
              <w:bottom w:val="single" w:sz="4" w:space="0" w:color="auto"/>
              <w:right w:val="single" w:sz="4" w:space="0" w:color="auto"/>
            </w:tcBorders>
          </w:tcPr>
          <w:p w14:paraId="2CA6831E" w14:textId="77777777" w:rsidR="004961EE" w:rsidRPr="0011141A" w:rsidRDefault="004961EE" w:rsidP="008563F6">
            <w:pPr>
              <w:jc w:val="center"/>
            </w:pPr>
            <w:r>
              <w:t>25</w:t>
            </w:r>
          </w:p>
        </w:tc>
        <w:tc>
          <w:tcPr>
            <w:tcW w:w="1379" w:type="dxa"/>
            <w:tcBorders>
              <w:top w:val="single" w:sz="4" w:space="0" w:color="auto"/>
              <w:left w:val="single" w:sz="4" w:space="0" w:color="auto"/>
              <w:bottom w:val="single" w:sz="4" w:space="0" w:color="auto"/>
              <w:right w:val="single" w:sz="4" w:space="0" w:color="auto"/>
            </w:tcBorders>
          </w:tcPr>
          <w:p w14:paraId="0B00D059" w14:textId="77777777" w:rsidR="004961EE" w:rsidRPr="0011141A" w:rsidRDefault="004961EE" w:rsidP="008563F6">
            <w:pPr>
              <w:jc w:val="center"/>
            </w:pPr>
            <w:r>
              <w:t>5</w:t>
            </w:r>
            <w:r w:rsidRPr="0011141A">
              <w:t>00</w:t>
            </w:r>
          </w:p>
        </w:tc>
      </w:tr>
      <w:tr w:rsidR="0078231C" w:rsidRPr="0011141A" w14:paraId="27E9FE24" w14:textId="77777777" w:rsidTr="004961EE">
        <w:tc>
          <w:tcPr>
            <w:tcW w:w="2350" w:type="dxa"/>
            <w:tcBorders>
              <w:top w:val="nil"/>
              <w:left w:val="single" w:sz="8" w:space="0" w:color="auto"/>
              <w:bottom w:val="single" w:sz="8" w:space="0" w:color="auto"/>
              <w:right w:val="single" w:sz="8" w:space="0" w:color="auto"/>
            </w:tcBorders>
            <w:tcMar>
              <w:top w:w="0" w:type="dxa"/>
              <w:left w:w="120" w:type="dxa"/>
              <w:bottom w:w="0" w:type="dxa"/>
              <w:right w:w="120" w:type="dxa"/>
            </w:tcMar>
            <w:hideMark/>
          </w:tcPr>
          <w:p w14:paraId="02EB629A" w14:textId="77777777" w:rsidR="0078231C" w:rsidRPr="0011141A" w:rsidRDefault="0078231C">
            <w:pPr>
              <w:jc w:val="center"/>
            </w:pPr>
            <w:r w:rsidRPr="0011141A">
              <w:t>TOTALS</w:t>
            </w:r>
          </w:p>
        </w:tc>
        <w:tc>
          <w:tcPr>
            <w:tcW w:w="1530" w:type="dxa"/>
            <w:tcBorders>
              <w:top w:val="nil"/>
              <w:left w:val="nil"/>
              <w:bottom w:val="single" w:sz="8" w:space="0" w:color="auto"/>
              <w:right w:val="single" w:sz="8" w:space="0" w:color="auto"/>
            </w:tcBorders>
            <w:tcMar>
              <w:top w:w="0" w:type="dxa"/>
              <w:left w:w="120" w:type="dxa"/>
              <w:bottom w:w="0" w:type="dxa"/>
              <w:right w:w="120" w:type="dxa"/>
            </w:tcMar>
          </w:tcPr>
          <w:p w14:paraId="1B325416" w14:textId="77777777" w:rsidR="0078231C" w:rsidRPr="0011141A" w:rsidRDefault="00B33CC1">
            <w:pPr>
              <w:jc w:val="center"/>
            </w:pPr>
            <w:r w:rsidRPr="0011141A">
              <w:t>600</w:t>
            </w:r>
          </w:p>
        </w:tc>
        <w:tc>
          <w:tcPr>
            <w:tcW w:w="1260" w:type="dxa"/>
            <w:tcBorders>
              <w:top w:val="nil"/>
              <w:left w:val="nil"/>
              <w:bottom w:val="single" w:sz="8" w:space="0" w:color="auto"/>
              <w:right w:val="single" w:sz="8" w:space="0" w:color="auto"/>
            </w:tcBorders>
            <w:tcMar>
              <w:top w:w="0" w:type="dxa"/>
              <w:left w:w="120" w:type="dxa"/>
              <w:bottom w:w="0" w:type="dxa"/>
              <w:right w:w="120" w:type="dxa"/>
            </w:tcMar>
            <w:hideMark/>
          </w:tcPr>
          <w:p w14:paraId="74D094ED" w14:textId="77777777" w:rsidR="0078231C" w:rsidRPr="0011141A" w:rsidRDefault="0078231C">
            <w:pPr>
              <w:jc w:val="center"/>
            </w:pPr>
            <w:r w:rsidRPr="0011141A">
              <w:t>/////////</w:t>
            </w:r>
          </w:p>
        </w:tc>
        <w:tc>
          <w:tcPr>
            <w:tcW w:w="1500" w:type="dxa"/>
            <w:tcBorders>
              <w:top w:val="nil"/>
              <w:left w:val="nil"/>
              <w:bottom w:val="single" w:sz="8" w:space="0" w:color="auto"/>
              <w:right w:val="single" w:sz="8" w:space="0" w:color="auto"/>
            </w:tcBorders>
            <w:tcMar>
              <w:top w:w="0" w:type="dxa"/>
              <w:left w:w="120" w:type="dxa"/>
              <w:bottom w:w="0" w:type="dxa"/>
              <w:right w:w="120" w:type="dxa"/>
            </w:tcMar>
            <w:hideMark/>
          </w:tcPr>
          <w:p w14:paraId="00EE3D24" w14:textId="77777777" w:rsidR="0078231C" w:rsidRPr="0011141A" w:rsidRDefault="008C3A1D">
            <w:pPr>
              <w:jc w:val="center"/>
            </w:pPr>
            <w:r>
              <w:t>24</w:t>
            </w:r>
            <w:r w:rsidR="00B33CC1" w:rsidRPr="0011141A">
              <w:t>00</w:t>
            </w:r>
          </w:p>
        </w:tc>
        <w:tc>
          <w:tcPr>
            <w:tcW w:w="1164" w:type="dxa"/>
            <w:tcBorders>
              <w:top w:val="nil"/>
              <w:left w:val="nil"/>
              <w:bottom w:val="single" w:sz="8" w:space="0" w:color="auto"/>
              <w:right w:val="single" w:sz="8" w:space="0" w:color="auto"/>
            </w:tcBorders>
            <w:tcMar>
              <w:top w:w="0" w:type="dxa"/>
              <w:left w:w="120" w:type="dxa"/>
              <w:bottom w:w="0" w:type="dxa"/>
              <w:right w:w="120" w:type="dxa"/>
            </w:tcMar>
            <w:hideMark/>
          </w:tcPr>
          <w:p w14:paraId="4EAC3710" w14:textId="77777777" w:rsidR="0078231C" w:rsidRPr="0011141A" w:rsidRDefault="0078231C">
            <w:pPr>
              <w:jc w:val="center"/>
            </w:pPr>
            <w:r w:rsidRPr="0011141A">
              <w:t>////////</w:t>
            </w:r>
          </w:p>
        </w:tc>
        <w:tc>
          <w:tcPr>
            <w:tcW w:w="1379" w:type="dxa"/>
            <w:tcBorders>
              <w:top w:val="nil"/>
              <w:left w:val="nil"/>
              <w:bottom w:val="single" w:sz="8" w:space="0" w:color="auto"/>
              <w:right w:val="single" w:sz="8" w:space="0" w:color="auto"/>
            </w:tcBorders>
            <w:tcMar>
              <w:top w:w="0" w:type="dxa"/>
              <w:left w:w="120" w:type="dxa"/>
              <w:bottom w:w="0" w:type="dxa"/>
              <w:right w:w="120" w:type="dxa"/>
            </w:tcMar>
            <w:hideMark/>
          </w:tcPr>
          <w:p w14:paraId="3FC9485D" w14:textId="7071CD06" w:rsidR="0078231C" w:rsidRPr="0011141A" w:rsidRDefault="004961EE">
            <w:pPr>
              <w:jc w:val="center"/>
            </w:pPr>
            <w:r>
              <w:t>19</w:t>
            </w:r>
            <w:r w:rsidR="00B33CC1" w:rsidRPr="0011141A">
              <w:t>00</w:t>
            </w:r>
          </w:p>
        </w:tc>
      </w:tr>
      <w:tr w:rsidR="0078231C" w:rsidRPr="0011141A" w14:paraId="302C4597" w14:textId="77777777" w:rsidTr="004961EE">
        <w:tc>
          <w:tcPr>
            <w:tcW w:w="9183"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76333" w14:textId="77777777" w:rsidR="0078231C" w:rsidRPr="0011141A" w:rsidRDefault="0078231C">
            <w:r w:rsidRPr="0011141A">
              <w:br/>
              <w:t xml:space="preserve">(1) The total number of respondents for the </w:t>
            </w:r>
            <w:r w:rsidR="00D13C69" w:rsidRPr="0011141A">
              <w:t xml:space="preserve">LSF </w:t>
            </w:r>
            <w:r w:rsidRPr="0011141A">
              <w:t>is</w:t>
            </w:r>
            <w:r w:rsidR="00991500">
              <w:t xml:space="preserve"> </w:t>
            </w:r>
            <w:r w:rsidR="007B6839">
              <w:t>1200</w:t>
            </w:r>
            <w:r w:rsidRPr="0011141A">
              <w:t xml:space="preserve">.  The respondents who do the record-keeping </w:t>
            </w:r>
            <w:r w:rsidR="005406AF">
              <w:t xml:space="preserve">(entering expenses in diaries) </w:t>
            </w:r>
            <w:r w:rsidRPr="0011141A">
              <w:t>are the same people who participate in the interviews</w:t>
            </w:r>
            <w:r w:rsidR="005406AF">
              <w:t xml:space="preserve"> (diary placement and pickup)</w:t>
            </w:r>
            <w:r w:rsidRPr="0011141A">
              <w:t>.</w:t>
            </w:r>
          </w:p>
          <w:p w14:paraId="3A35773E" w14:textId="77777777" w:rsidR="0078231C" w:rsidRPr="0011141A" w:rsidRDefault="0078231C" w:rsidP="00D13C69">
            <w:r w:rsidRPr="0011141A">
              <w:t>(2)</w:t>
            </w:r>
            <w:r w:rsidR="00D13C69" w:rsidRPr="0011141A">
              <w:t xml:space="preserve">Respondent debriefing is an additional </w:t>
            </w:r>
            <w:r w:rsidR="00791B4B" w:rsidRPr="0011141A">
              <w:t xml:space="preserve">self-administered </w:t>
            </w:r>
            <w:r w:rsidR="00D13C69" w:rsidRPr="0011141A">
              <w:t>module added to the CAPI instrument</w:t>
            </w:r>
            <w:r w:rsidR="007B6839">
              <w:t xml:space="preserve"> to take place at the diary pickup.</w:t>
            </w:r>
          </w:p>
        </w:tc>
      </w:tr>
    </w:tbl>
    <w:p w14:paraId="2D7670F2" w14:textId="77777777" w:rsidR="0078231C" w:rsidRPr="0011141A" w:rsidRDefault="0078231C" w:rsidP="0078231C">
      <w:pPr>
        <w:rPr>
          <w:rFonts w:eastAsiaTheme="minorHAnsi"/>
          <w:color w:val="1F497D"/>
        </w:rPr>
      </w:pPr>
    </w:p>
    <w:p w14:paraId="33D7CB82" w14:textId="77777777" w:rsidR="00964CBE" w:rsidRPr="00964CBE" w:rsidRDefault="00964CBE" w:rsidP="00964CBE">
      <w:pPr>
        <w:ind w:left="480"/>
        <w:rPr>
          <w:b/>
        </w:rPr>
      </w:pPr>
      <w:r>
        <w:rPr>
          <w:b/>
        </w:rPr>
        <w:t>Table 2</w:t>
      </w:r>
      <w:r w:rsidRPr="00964CBE">
        <w:rPr>
          <w:b/>
        </w:rPr>
        <w:t xml:space="preserve">:  Burden estimates for Calendar Year </w:t>
      </w:r>
      <w:r>
        <w:rPr>
          <w:b/>
        </w:rPr>
        <w:t>2020 (January-March</w:t>
      </w:r>
      <w:r w:rsidR="00FF25E0">
        <w:rPr>
          <w:b/>
        </w:rPr>
        <w:t>/April</w:t>
      </w:r>
      <w:r>
        <w:rPr>
          <w:b/>
        </w:rPr>
        <w:t xml:space="preserve"> 2020)</w:t>
      </w:r>
    </w:p>
    <w:p w14:paraId="78A6FAA9" w14:textId="77777777" w:rsidR="00D13C69" w:rsidRPr="0011141A" w:rsidRDefault="00D13C69" w:rsidP="0078231C">
      <w:pPr>
        <w:rPr>
          <w:rFonts w:eastAsiaTheme="minorHAnsi"/>
          <w:color w:val="1F497D"/>
        </w:rPr>
      </w:pPr>
    </w:p>
    <w:p w14:paraId="38EB2DB1" w14:textId="77777777" w:rsidR="00D13C69" w:rsidRPr="0011141A" w:rsidRDefault="00D13C69" w:rsidP="0078231C">
      <w:pPr>
        <w:rPr>
          <w:rFonts w:eastAsiaTheme="minorHAnsi"/>
          <w:color w:val="1F497D"/>
        </w:rPr>
      </w:pPr>
    </w:p>
    <w:tbl>
      <w:tblPr>
        <w:tblW w:w="9184" w:type="dxa"/>
        <w:tblInd w:w="156" w:type="dxa"/>
        <w:tblCellMar>
          <w:left w:w="0" w:type="dxa"/>
          <w:right w:w="0" w:type="dxa"/>
        </w:tblCellMar>
        <w:tblLook w:val="04A0" w:firstRow="1" w:lastRow="0" w:firstColumn="1" w:lastColumn="0" w:noHBand="0" w:noVBand="1"/>
      </w:tblPr>
      <w:tblGrid>
        <w:gridCol w:w="2349"/>
        <w:gridCol w:w="1530"/>
        <w:gridCol w:w="1260"/>
        <w:gridCol w:w="1502"/>
        <w:gridCol w:w="1164"/>
        <w:gridCol w:w="1379"/>
      </w:tblGrid>
      <w:tr w:rsidR="00D13C69" w:rsidRPr="0011141A" w14:paraId="31159311" w14:textId="77777777" w:rsidTr="004961EE">
        <w:tc>
          <w:tcPr>
            <w:tcW w:w="9184" w:type="dxa"/>
            <w:gridSpan w:val="6"/>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hideMark/>
          </w:tcPr>
          <w:p w14:paraId="3144A25D" w14:textId="43B034F1" w:rsidR="00D13C69" w:rsidRPr="0011141A" w:rsidRDefault="00D13C69" w:rsidP="00222EFF">
            <w:pPr>
              <w:jc w:val="center"/>
            </w:pPr>
            <w:r w:rsidRPr="0011141A">
              <w:t xml:space="preserve">Response Burden for the </w:t>
            </w:r>
            <w:r w:rsidR="00222EFF">
              <w:t xml:space="preserve">LSF Online </w:t>
            </w:r>
            <w:r w:rsidRPr="0011141A">
              <w:t xml:space="preserve">Diary </w:t>
            </w:r>
            <w:r w:rsidR="00222EFF">
              <w:t>Test</w:t>
            </w:r>
          </w:p>
        </w:tc>
      </w:tr>
      <w:tr w:rsidR="00D13C69" w:rsidRPr="0011141A" w14:paraId="3769B49F" w14:textId="77777777" w:rsidTr="004961EE">
        <w:tc>
          <w:tcPr>
            <w:tcW w:w="2349" w:type="dxa"/>
            <w:tcBorders>
              <w:top w:val="nil"/>
              <w:left w:val="single" w:sz="8" w:space="0" w:color="auto"/>
              <w:bottom w:val="single" w:sz="8" w:space="0" w:color="auto"/>
              <w:right w:val="single" w:sz="8" w:space="0" w:color="auto"/>
            </w:tcBorders>
            <w:tcMar>
              <w:top w:w="0" w:type="dxa"/>
              <w:left w:w="120" w:type="dxa"/>
              <w:bottom w:w="0" w:type="dxa"/>
              <w:right w:w="120" w:type="dxa"/>
            </w:tcMar>
          </w:tcPr>
          <w:p w14:paraId="23B7BF61" w14:textId="77777777" w:rsidR="00D13C69" w:rsidRPr="0011141A" w:rsidRDefault="00D13C69" w:rsidP="00C73500">
            <w:pPr>
              <w:jc w:val="center"/>
            </w:pPr>
          </w:p>
          <w:p w14:paraId="5B35BBA9" w14:textId="77777777" w:rsidR="00D13C69" w:rsidRPr="0011141A" w:rsidRDefault="00D13C69" w:rsidP="00C73500">
            <w:pPr>
              <w:jc w:val="center"/>
            </w:pPr>
            <w:r w:rsidRPr="0011141A">
              <w:t>Form</w:t>
            </w:r>
          </w:p>
        </w:tc>
        <w:tc>
          <w:tcPr>
            <w:tcW w:w="1530" w:type="dxa"/>
            <w:tcBorders>
              <w:top w:val="nil"/>
              <w:left w:val="nil"/>
              <w:bottom w:val="single" w:sz="8" w:space="0" w:color="auto"/>
              <w:right w:val="single" w:sz="8" w:space="0" w:color="auto"/>
            </w:tcBorders>
            <w:tcMar>
              <w:top w:w="0" w:type="dxa"/>
              <w:left w:w="120" w:type="dxa"/>
              <w:bottom w:w="0" w:type="dxa"/>
              <w:right w:w="120" w:type="dxa"/>
            </w:tcMar>
            <w:hideMark/>
          </w:tcPr>
          <w:p w14:paraId="376D30EA" w14:textId="77777777" w:rsidR="00D13C69" w:rsidRPr="0011141A" w:rsidRDefault="00D13C69" w:rsidP="00C73500">
            <w:pPr>
              <w:jc w:val="center"/>
            </w:pPr>
            <w:r w:rsidRPr="0011141A">
              <w:t>Total Respondents</w:t>
            </w:r>
          </w:p>
        </w:tc>
        <w:tc>
          <w:tcPr>
            <w:tcW w:w="1260" w:type="dxa"/>
            <w:tcBorders>
              <w:top w:val="nil"/>
              <w:left w:val="nil"/>
              <w:bottom w:val="single" w:sz="8" w:space="0" w:color="auto"/>
              <w:right w:val="single" w:sz="8" w:space="0" w:color="auto"/>
            </w:tcBorders>
            <w:tcMar>
              <w:top w:w="0" w:type="dxa"/>
              <w:left w:w="120" w:type="dxa"/>
              <w:bottom w:w="0" w:type="dxa"/>
              <w:right w:w="120" w:type="dxa"/>
            </w:tcMar>
            <w:hideMark/>
          </w:tcPr>
          <w:p w14:paraId="72FA57C6" w14:textId="77777777" w:rsidR="00D13C69" w:rsidRPr="0011141A" w:rsidRDefault="00D13C69" w:rsidP="00C73500">
            <w:pPr>
              <w:jc w:val="center"/>
            </w:pPr>
            <w:r w:rsidRPr="0011141A">
              <w:t>Frequency</w:t>
            </w:r>
          </w:p>
        </w:tc>
        <w:tc>
          <w:tcPr>
            <w:tcW w:w="1502" w:type="dxa"/>
            <w:tcBorders>
              <w:top w:val="nil"/>
              <w:left w:val="nil"/>
              <w:bottom w:val="single" w:sz="8" w:space="0" w:color="auto"/>
              <w:right w:val="single" w:sz="8" w:space="0" w:color="auto"/>
            </w:tcBorders>
            <w:tcMar>
              <w:top w:w="0" w:type="dxa"/>
              <w:left w:w="120" w:type="dxa"/>
              <w:bottom w:w="0" w:type="dxa"/>
              <w:right w:w="120" w:type="dxa"/>
            </w:tcMar>
            <w:hideMark/>
          </w:tcPr>
          <w:p w14:paraId="09062DCF" w14:textId="77777777" w:rsidR="00D13C69" w:rsidRPr="0011141A" w:rsidRDefault="00D13C69" w:rsidP="00C73500">
            <w:pPr>
              <w:jc w:val="center"/>
            </w:pPr>
            <w:r w:rsidRPr="0011141A">
              <w:t>Total Responses</w:t>
            </w:r>
          </w:p>
        </w:tc>
        <w:tc>
          <w:tcPr>
            <w:tcW w:w="1164" w:type="dxa"/>
            <w:tcBorders>
              <w:top w:val="nil"/>
              <w:left w:val="nil"/>
              <w:bottom w:val="single" w:sz="8" w:space="0" w:color="auto"/>
              <w:right w:val="single" w:sz="8" w:space="0" w:color="auto"/>
            </w:tcBorders>
            <w:tcMar>
              <w:top w:w="0" w:type="dxa"/>
              <w:left w:w="120" w:type="dxa"/>
              <w:bottom w:w="0" w:type="dxa"/>
              <w:right w:w="120" w:type="dxa"/>
            </w:tcMar>
            <w:hideMark/>
          </w:tcPr>
          <w:p w14:paraId="4D1820CF" w14:textId="77777777" w:rsidR="00D13C69" w:rsidRPr="0011141A" w:rsidRDefault="00D13C69" w:rsidP="00C73500">
            <w:pPr>
              <w:jc w:val="center"/>
            </w:pPr>
            <w:r w:rsidRPr="0011141A">
              <w:t xml:space="preserve">Average </w:t>
            </w:r>
            <w:r w:rsidRPr="0011141A">
              <w:br/>
              <w:t>Time per Response</w:t>
            </w:r>
          </w:p>
        </w:tc>
        <w:tc>
          <w:tcPr>
            <w:tcW w:w="1379" w:type="dxa"/>
            <w:tcBorders>
              <w:top w:val="nil"/>
              <w:left w:val="nil"/>
              <w:bottom w:val="single" w:sz="8" w:space="0" w:color="auto"/>
              <w:right w:val="single" w:sz="8" w:space="0" w:color="auto"/>
            </w:tcBorders>
            <w:tcMar>
              <w:top w:w="0" w:type="dxa"/>
              <w:left w:w="120" w:type="dxa"/>
              <w:bottom w:w="0" w:type="dxa"/>
              <w:right w:w="120" w:type="dxa"/>
            </w:tcMar>
            <w:hideMark/>
          </w:tcPr>
          <w:p w14:paraId="31AF9166" w14:textId="77777777" w:rsidR="00D13C69" w:rsidRPr="0011141A" w:rsidRDefault="00D13C69" w:rsidP="00C73500">
            <w:pPr>
              <w:jc w:val="center"/>
            </w:pPr>
            <w:r w:rsidRPr="0011141A">
              <w:t>Estimated</w:t>
            </w:r>
            <w:r w:rsidRPr="0011141A">
              <w:br/>
              <w:t>Total</w:t>
            </w:r>
            <w:r w:rsidRPr="0011141A">
              <w:br/>
              <w:t>Burden</w:t>
            </w:r>
          </w:p>
        </w:tc>
      </w:tr>
      <w:tr w:rsidR="004961EE" w:rsidRPr="0011141A" w14:paraId="5C277B34" w14:textId="77777777" w:rsidTr="004961EE">
        <w:tblPrEx>
          <w:tblCellMar>
            <w:left w:w="120" w:type="dxa"/>
            <w:right w:w="120" w:type="dxa"/>
          </w:tblCellMar>
          <w:tblLook w:val="0000" w:firstRow="0" w:lastRow="0" w:firstColumn="0" w:lastColumn="0" w:noHBand="0" w:noVBand="0"/>
        </w:tblPrEx>
        <w:tc>
          <w:tcPr>
            <w:tcW w:w="2349" w:type="dxa"/>
            <w:tcBorders>
              <w:top w:val="single" w:sz="4" w:space="0" w:color="auto"/>
              <w:left w:val="single" w:sz="4" w:space="0" w:color="auto"/>
              <w:bottom w:val="single" w:sz="4" w:space="0" w:color="auto"/>
              <w:right w:val="single" w:sz="4" w:space="0" w:color="auto"/>
            </w:tcBorders>
          </w:tcPr>
          <w:p w14:paraId="545C67AE" w14:textId="77777777" w:rsidR="004961EE" w:rsidRPr="0011141A" w:rsidRDefault="004961EE" w:rsidP="008563F6">
            <w:pPr>
              <w:jc w:val="center"/>
            </w:pPr>
            <w:r>
              <w:t xml:space="preserve">LSF Online Diary </w:t>
            </w:r>
            <w:r w:rsidRPr="0011141A">
              <w:t>Record-keeping</w:t>
            </w:r>
          </w:p>
        </w:tc>
        <w:tc>
          <w:tcPr>
            <w:tcW w:w="1530" w:type="dxa"/>
            <w:tcBorders>
              <w:top w:val="single" w:sz="4" w:space="0" w:color="auto"/>
              <w:left w:val="single" w:sz="4" w:space="0" w:color="auto"/>
              <w:bottom w:val="single" w:sz="4" w:space="0" w:color="auto"/>
              <w:right w:val="single" w:sz="4" w:space="0" w:color="auto"/>
            </w:tcBorders>
          </w:tcPr>
          <w:p w14:paraId="78025413" w14:textId="77777777" w:rsidR="004961EE" w:rsidRPr="0011141A" w:rsidRDefault="004961EE" w:rsidP="008563F6">
            <w:pPr>
              <w:jc w:val="center"/>
            </w:pPr>
            <w:r w:rsidRPr="0011141A">
              <w:t>600</w:t>
            </w:r>
          </w:p>
        </w:tc>
        <w:tc>
          <w:tcPr>
            <w:tcW w:w="1260" w:type="dxa"/>
            <w:tcBorders>
              <w:top w:val="single" w:sz="4" w:space="0" w:color="auto"/>
              <w:left w:val="single" w:sz="4" w:space="0" w:color="auto"/>
              <w:bottom w:val="single" w:sz="4" w:space="0" w:color="auto"/>
              <w:right w:val="single" w:sz="4" w:space="0" w:color="auto"/>
            </w:tcBorders>
          </w:tcPr>
          <w:p w14:paraId="0C606341" w14:textId="77777777" w:rsidR="004961EE" w:rsidRPr="0011141A" w:rsidRDefault="004961EE" w:rsidP="008563F6">
            <w:pPr>
              <w:jc w:val="center"/>
            </w:pPr>
            <w:r>
              <w:t>2</w:t>
            </w:r>
          </w:p>
        </w:tc>
        <w:tc>
          <w:tcPr>
            <w:tcW w:w="1502" w:type="dxa"/>
            <w:tcBorders>
              <w:top w:val="single" w:sz="4" w:space="0" w:color="auto"/>
              <w:left w:val="single" w:sz="4" w:space="0" w:color="auto"/>
              <w:bottom w:val="single" w:sz="4" w:space="0" w:color="auto"/>
              <w:right w:val="single" w:sz="4" w:space="0" w:color="auto"/>
            </w:tcBorders>
          </w:tcPr>
          <w:p w14:paraId="68CC5BF3" w14:textId="77777777" w:rsidR="004961EE" w:rsidRPr="0011141A" w:rsidRDefault="004961EE" w:rsidP="008563F6">
            <w:pPr>
              <w:jc w:val="center"/>
            </w:pPr>
            <w:r>
              <w:t>1200</w:t>
            </w:r>
          </w:p>
        </w:tc>
        <w:tc>
          <w:tcPr>
            <w:tcW w:w="1164" w:type="dxa"/>
            <w:tcBorders>
              <w:top w:val="single" w:sz="4" w:space="0" w:color="auto"/>
              <w:left w:val="single" w:sz="4" w:space="0" w:color="auto"/>
              <w:bottom w:val="single" w:sz="4" w:space="0" w:color="auto"/>
              <w:right w:val="single" w:sz="4" w:space="0" w:color="auto"/>
            </w:tcBorders>
          </w:tcPr>
          <w:p w14:paraId="02F060FB" w14:textId="77777777" w:rsidR="004961EE" w:rsidRPr="0011141A" w:rsidRDefault="004961EE" w:rsidP="008563F6">
            <w:pPr>
              <w:jc w:val="center"/>
            </w:pPr>
            <w:r>
              <w:t>70</w:t>
            </w:r>
          </w:p>
        </w:tc>
        <w:tc>
          <w:tcPr>
            <w:tcW w:w="1379" w:type="dxa"/>
            <w:tcBorders>
              <w:top w:val="single" w:sz="4" w:space="0" w:color="auto"/>
              <w:left w:val="single" w:sz="4" w:space="0" w:color="auto"/>
              <w:bottom w:val="single" w:sz="4" w:space="0" w:color="auto"/>
              <w:right w:val="single" w:sz="4" w:space="0" w:color="auto"/>
            </w:tcBorders>
          </w:tcPr>
          <w:p w14:paraId="5AC53FA5" w14:textId="77777777" w:rsidR="004961EE" w:rsidRPr="0011141A" w:rsidRDefault="004961EE" w:rsidP="008563F6">
            <w:pPr>
              <w:jc w:val="center"/>
            </w:pPr>
            <w:r>
              <w:t>140</w:t>
            </w:r>
            <w:r w:rsidRPr="0011141A">
              <w:t>0</w:t>
            </w:r>
          </w:p>
        </w:tc>
      </w:tr>
      <w:tr w:rsidR="004961EE" w:rsidRPr="0011141A" w14:paraId="6FF4C50F" w14:textId="77777777" w:rsidTr="004961EE">
        <w:tblPrEx>
          <w:tblCellMar>
            <w:left w:w="120" w:type="dxa"/>
            <w:right w:w="120" w:type="dxa"/>
          </w:tblCellMar>
          <w:tblLook w:val="0000" w:firstRow="0" w:lastRow="0" w:firstColumn="0" w:lastColumn="0" w:noHBand="0" w:noVBand="0"/>
        </w:tblPrEx>
        <w:tc>
          <w:tcPr>
            <w:tcW w:w="2349" w:type="dxa"/>
            <w:tcBorders>
              <w:top w:val="single" w:sz="4" w:space="0" w:color="auto"/>
              <w:left w:val="single" w:sz="4" w:space="0" w:color="auto"/>
              <w:bottom w:val="single" w:sz="4" w:space="0" w:color="auto"/>
              <w:right w:val="single" w:sz="4" w:space="0" w:color="auto"/>
            </w:tcBorders>
          </w:tcPr>
          <w:p w14:paraId="71AE57B3" w14:textId="77777777" w:rsidR="004961EE" w:rsidRPr="0011141A" w:rsidRDefault="004961EE" w:rsidP="008563F6">
            <w:pPr>
              <w:jc w:val="center"/>
            </w:pPr>
            <w:r>
              <w:t xml:space="preserve">LSF Online Diary </w:t>
            </w:r>
            <w:r w:rsidRPr="0011141A">
              <w:t>Interview</w:t>
            </w:r>
            <w:r>
              <w:t xml:space="preserve"> including Respondent Debriefing</w:t>
            </w:r>
          </w:p>
        </w:tc>
        <w:tc>
          <w:tcPr>
            <w:tcW w:w="1530" w:type="dxa"/>
            <w:tcBorders>
              <w:top w:val="single" w:sz="4" w:space="0" w:color="auto"/>
              <w:left w:val="single" w:sz="4" w:space="0" w:color="auto"/>
              <w:bottom w:val="single" w:sz="4" w:space="0" w:color="auto"/>
              <w:right w:val="single" w:sz="4" w:space="0" w:color="auto"/>
            </w:tcBorders>
          </w:tcPr>
          <w:p w14:paraId="486757C0" w14:textId="77777777" w:rsidR="004961EE" w:rsidRPr="0011141A" w:rsidRDefault="004961EE" w:rsidP="008563F6">
            <w:pPr>
              <w:jc w:val="center"/>
            </w:pPr>
            <w:r w:rsidRPr="0011141A">
              <w:t>600</w:t>
            </w:r>
          </w:p>
        </w:tc>
        <w:tc>
          <w:tcPr>
            <w:tcW w:w="1260" w:type="dxa"/>
            <w:tcBorders>
              <w:top w:val="single" w:sz="4" w:space="0" w:color="auto"/>
              <w:left w:val="single" w:sz="4" w:space="0" w:color="auto"/>
              <w:bottom w:val="single" w:sz="4" w:space="0" w:color="auto"/>
              <w:right w:val="single" w:sz="4" w:space="0" w:color="auto"/>
            </w:tcBorders>
          </w:tcPr>
          <w:p w14:paraId="3F9E45FA" w14:textId="77777777" w:rsidR="004961EE" w:rsidRPr="0011141A" w:rsidRDefault="004961EE" w:rsidP="008563F6">
            <w:pPr>
              <w:jc w:val="center"/>
            </w:pPr>
            <w:r w:rsidRPr="0011141A">
              <w:t>2</w:t>
            </w:r>
          </w:p>
        </w:tc>
        <w:tc>
          <w:tcPr>
            <w:tcW w:w="1502" w:type="dxa"/>
            <w:tcBorders>
              <w:top w:val="single" w:sz="4" w:space="0" w:color="auto"/>
              <w:left w:val="single" w:sz="4" w:space="0" w:color="auto"/>
              <w:bottom w:val="single" w:sz="4" w:space="0" w:color="auto"/>
              <w:right w:val="single" w:sz="4" w:space="0" w:color="auto"/>
            </w:tcBorders>
          </w:tcPr>
          <w:p w14:paraId="35EF70DF" w14:textId="77777777" w:rsidR="004961EE" w:rsidRPr="0011141A" w:rsidRDefault="004961EE" w:rsidP="008563F6">
            <w:pPr>
              <w:jc w:val="center"/>
            </w:pPr>
            <w:r w:rsidRPr="0011141A">
              <w:t>1200</w:t>
            </w:r>
          </w:p>
        </w:tc>
        <w:tc>
          <w:tcPr>
            <w:tcW w:w="1164" w:type="dxa"/>
            <w:tcBorders>
              <w:top w:val="single" w:sz="4" w:space="0" w:color="auto"/>
              <w:left w:val="single" w:sz="4" w:space="0" w:color="auto"/>
              <w:bottom w:val="single" w:sz="4" w:space="0" w:color="auto"/>
              <w:right w:val="single" w:sz="4" w:space="0" w:color="auto"/>
            </w:tcBorders>
          </w:tcPr>
          <w:p w14:paraId="3DC9E7D0" w14:textId="77777777" w:rsidR="004961EE" w:rsidRPr="0011141A" w:rsidRDefault="004961EE" w:rsidP="008563F6">
            <w:pPr>
              <w:jc w:val="center"/>
            </w:pPr>
            <w:r>
              <w:t>25</w:t>
            </w:r>
          </w:p>
        </w:tc>
        <w:tc>
          <w:tcPr>
            <w:tcW w:w="1379" w:type="dxa"/>
            <w:tcBorders>
              <w:top w:val="single" w:sz="4" w:space="0" w:color="auto"/>
              <w:left w:val="single" w:sz="4" w:space="0" w:color="auto"/>
              <w:bottom w:val="single" w:sz="4" w:space="0" w:color="auto"/>
              <w:right w:val="single" w:sz="4" w:space="0" w:color="auto"/>
            </w:tcBorders>
          </w:tcPr>
          <w:p w14:paraId="05CEF760" w14:textId="77777777" w:rsidR="004961EE" w:rsidRPr="0011141A" w:rsidRDefault="004961EE" w:rsidP="008563F6">
            <w:pPr>
              <w:jc w:val="center"/>
            </w:pPr>
            <w:r>
              <w:t>5</w:t>
            </w:r>
            <w:r w:rsidRPr="0011141A">
              <w:t>00</w:t>
            </w:r>
          </w:p>
        </w:tc>
      </w:tr>
      <w:tr w:rsidR="004961EE" w:rsidRPr="0011141A" w14:paraId="15AB27FA" w14:textId="77777777" w:rsidTr="004961EE">
        <w:tc>
          <w:tcPr>
            <w:tcW w:w="2349" w:type="dxa"/>
            <w:tcBorders>
              <w:top w:val="nil"/>
              <w:left w:val="single" w:sz="8" w:space="0" w:color="auto"/>
              <w:bottom w:val="single" w:sz="8" w:space="0" w:color="auto"/>
              <w:right w:val="single" w:sz="8" w:space="0" w:color="auto"/>
            </w:tcBorders>
            <w:tcMar>
              <w:top w:w="0" w:type="dxa"/>
              <w:left w:w="120" w:type="dxa"/>
              <w:bottom w:w="0" w:type="dxa"/>
              <w:right w:w="120" w:type="dxa"/>
            </w:tcMar>
            <w:hideMark/>
          </w:tcPr>
          <w:p w14:paraId="1C38D094" w14:textId="77777777" w:rsidR="004961EE" w:rsidRPr="0011141A" w:rsidRDefault="004961EE" w:rsidP="008563F6">
            <w:pPr>
              <w:jc w:val="center"/>
            </w:pPr>
            <w:r w:rsidRPr="0011141A">
              <w:t>TOTALS</w:t>
            </w:r>
          </w:p>
        </w:tc>
        <w:tc>
          <w:tcPr>
            <w:tcW w:w="1530" w:type="dxa"/>
            <w:tcBorders>
              <w:top w:val="nil"/>
              <w:left w:val="nil"/>
              <w:bottom w:val="single" w:sz="8" w:space="0" w:color="auto"/>
              <w:right w:val="single" w:sz="8" w:space="0" w:color="auto"/>
            </w:tcBorders>
            <w:tcMar>
              <w:top w:w="0" w:type="dxa"/>
              <w:left w:w="120" w:type="dxa"/>
              <w:bottom w:w="0" w:type="dxa"/>
              <w:right w:w="120" w:type="dxa"/>
            </w:tcMar>
          </w:tcPr>
          <w:p w14:paraId="4AA6889E" w14:textId="77777777" w:rsidR="004961EE" w:rsidRPr="0011141A" w:rsidRDefault="004961EE" w:rsidP="008563F6">
            <w:pPr>
              <w:jc w:val="center"/>
            </w:pPr>
            <w:r w:rsidRPr="0011141A">
              <w:t>600</w:t>
            </w:r>
          </w:p>
        </w:tc>
        <w:tc>
          <w:tcPr>
            <w:tcW w:w="1260" w:type="dxa"/>
            <w:tcBorders>
              <w:top w:val="nil"/>
              <w:left w:val="nil"/>
              <w:bottom w:val="single" w:sz="8" w:space="0" w:color="auto"/>
              <w:right w:val="single" w:sz="8" w:space="0" w:color="auto"/>
            </w:tcBorders>
            <w:tcMar>
              <w:top w:w="0" w:type="dxa"/>
              <w:left w:w="120" w:type="dxa"/>
              <w:bottom w:w="0" w:type="dxa"/>
              <w:right w:w="120" w:type="dxa"/>
            </w:tcMar>
            <w:hideMark/>
          </w:tcPr>
          <w:p w14:paraId="71D400D8" w14:textId="77777777" w:rsidR="004961EE" w:rsidRPr="0011141A" w:rsidRDefault="004961EE" w:rsidP="008563F6">
            <w:pPr>
              <w:jc w:val="center"/>
            </w:pPr>
            <w:r w:rsidRPr="0011141A">
              <w:t>/////////</w:t>
            </w:r>
          </w:p>
        </w:tc>
        <w:tc>
          <w:tcPr>
            <w:tcW w:w="1502" w:type="dxa"/>
            <w:tcBorders>
              <w:top w:val="nil"/>
              <w:left w:val="nil"/>
              <w:bottom w:val="single" w:sz="8" w:space="0" w:color="auto"/>
              <w:right w:val="single" w:sz="8" w:space="0" w:color="auto"/>
            </w:tcBorders>
            <w:tcMar>
              <w:top w:w="0" w:type="dxa"/>
              <w:left w:w="120" w:type="dxa"/>
              <w:bottom w:w="0" w:type="dxa"/>
              <w:right w:w="120" w:type="dxa"/>
            </w:tcMar>
            <w:hideMark/>
          </w:tcPr>
          <w:p w14:paraId="6D314A70" w14:textId="77777777" w:rsidR="004961EE" w:rsidRPr="0011141A" w:rsidRDefault="004961EE" w:rsidP="008563F6">
            <w:pPr>
              <w:jc w:val="center"/>
            </w:pPr>
            <w:r>
              <w:t>24</w:t>
            </w:r>
            <w:r w:rsidRPr="0011141A">
              <w:t>00</w:t>
            </w:r>
          </w:p>
        </w:tc>
        <w:tc>
          <w:tcPr>
            <w:tcW w:w="1164" w:type="dxa"/>
            <w:tcBorders>
              <w:top w:val="nil"/>
              <w:left w:val="nil"/>
              <w:bottom w:val="single" w:sz="8" w:space="0" w:color="auto"/>
              <w:right w:val="single" w:sz="8" w:space="0" w:color="auto"/>
            </w:tcBorders>
            <w:tcMar>
              <w:top w:w="0" w:type="dxa"/>
              <w:left w:w="120" w:type="dxa"/>
              <w:bottom w:w="0" w:type="dxa"/>
              <w:right w:w="120" w:type="dxa"/>
            </w:tcMar>
            <w:hideMark/>
          </w:tcPr>
          <w:p w14:paraId="1701A127" w14:textId="77777777" w:rsidR="004961EE" w:rsidRPr="0011141A" w:rsidRDefault="004961EE" w:rsidP="008563F6">
            <w:pPr>
              <w:jc w:val="center"/>
            </w:pPr>
            <w:r w:rsidRPr="0011141A">
              <w:t>////////</w:t>
            </w:r>
          </w:p>
        </w:tc>
        <w:tc>
          <w:tcPr>
            <w:tcW w:w="1379" w:type="dxa"/>
            <w:tcBorders>
              <w:top w:val="nil"/>
              <w:left w:val="nil"/>
              <w:bottom w:val="single" w:sz="8" w:space="0" w:color="auto"/>
              <w:right w:val="single" w:sz="8" w:space="0" w:color="auto"/>
            </w:tcBorders>
            <w:tcMar>
              <w:top w:w="0" w:type="dxa"/>
              <w:left w:w="120" w:type="dxa"/>
              <w:bottom w:w="0" w:type="dxa"/>
              <w:right w:w="120" w:type="dxa"/>
            </w:tcMar>
            <w:hideMark/>
          </w:tcPr>
          <w:p w14:paraId="34900F63" w14:textId="77777777" w:rsidR="004961EE" w:rsidRPr="0011141A" w:rsidRDefault="004961EE" w:rsidP="008563F6">
            <w:pPr>
              <w:jc w:val="center"/>
            </w:pPr>
            <w:r>
              <w:t>19</w:t>
            </w:r>
            <w:r w:rsidRPr="0011141A">
              <w:t>00</w:t>
            </w:r>
          </w:p>
        </w:tc>
      </w:tr>
      <w:tr w:rsidR="00D13C69" w:rsidRPr="0011141A" w14:paraId="65852C17" w14:textId="77777777" w:rsidTr="004961EE">
        <w:tc>
          <w:tcPr>
            <w:tcW w:w="9184"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33397" w14:textId="77777777" w:rsidR="00D13C69" w:rsidRPr="0011141A" w:rsidRDefault="00D13C69" w:rsidP="00C73500">
            <w:r w:rsidRPr="0011141A">
              <w:br/>
              <w:t>(1) The total number of respond</w:t>
            </w:r>
            <w:r w:rsidR="00991500">
              <w:t>ents for the LSF is 1200</w:t>
            </w:r>
            <w:r w:rsidRPr="0011141A">
              <w:t xml:space="preserve">.  The respondents who do the record-keeping </w:t>
            </w:r>
            <w:r w:rsidR="00964CBE">
              <w:t xml:space="preserve">(entering expenses in diaries) </w:t>
            </w:r>
            <w:r w:rsidRPr="0011141A">
              <w:t>are the same people who participate in the interviews</w:t>
            </w:r>
            <w:r w:rsidR="00964CBE">
              <w:t xml:space="preserve"> (diary placement and pickup)</w:t>
            </w:r>
            <w:r w:rsidRPr="0011141A">
              <w:t>.</w:t>
            </w:r>
          </w:p>
          <w:p w14:paraId="5B0EE572" w14:textId="77777777" w:rsidR="00D13C69" w:rsidRPr="0011141A" w:rsidRDefault="00D13C69" w:rsidP="00D13C69">
            <w:r w:rsidRPr="0011141A">
              <w:t xml:space="preserve">(2) Respondent debriefing is an additional </w:t>
            </w:r>
            <w:r w:rsidR="00791B4B" w:rsidRPr="0011141A">
              <w:t xml:space="preserve">self-administered </w:t>
            </w:r>
            <w:r w:rsidRPr="0011141A">
              <w:t>module added to the CAPI instrument</w:t>
            </w:r>
            <w:r w:rsidR="006A6A0E">
              <w:t xml:space="preserve"> to take place at the diary pickup.</w:t>
            </w:r>
          </w:p>
        </w:tc>
      </w:tr>
    </w:tbl>
    <w:p w14:paraId="40F95ADA" w14:textId="77777777" w:rsidR="0078231C" w:rsidRPr="0011141A" w:rsidRDefault="0078231C"/>
    <w:sectPr w:rsidR="0078231C" w:rsidRPr="001114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55DF0"/>
    <w:multiLevelType w:val="hybridMultilevel"/>
    <w:tmpl w:val="F74E2926"/>
    <w:lvl w:ilvl="0" w:tplc="C096C9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D7285C"/>
    <w:multiLevelType w:val="hybridMultilevel"/>
    <w:tmpl w:val="F486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A442B"/>
    <w:multiLevelType w:val="hybridMultilevel"/>
    <w:tmpl w:val="9BEE6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F1357"/>
    <w:multiLevelType w:val="hybridMultilevel"/>
    <w:tmpl w:val="63427344"/>
    <w:lvl w:ilvl="0" w:tplc="99C46F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493438"/>
    <w:multiLevelType w:val="hybridMultilevel"/>
    <w:tmpl w:val="C5366308"/>
    <w:lvl w:ilvl="0" w:tplc="C36EC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205F55"/>
    <w:multiLevelType w:val="hybridMultilevel"/>
    <w:tmpl w:val="AC0AA7C2"/>
    <w:lvl w:ilvl="0" w:tplc="55004D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400C8D"/>
    <w:multiLevelType w:val="hybridMultilevel"/>
    <w:tmpl w:val="7136A6AC"/>
    <w:lvl w:ilvl="0" w:tplc="819CA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1D3D07"/>
    <w:multiLevelType w:val="hybridMultilevel"/>
    <w:tmpl w:val="8E829220"/>
    <w:lvl w:ilvl="0" w:tplc="B9B4E374">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383167A4"/>
    <w:multiLevelType w:val="hybridMultilevel"/>
    <w:tmpl w:val="926CD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037C0E"/>
    <w:multiLevelType w:val="hybridMultilevel"/>
    <w:tmpl w:val="889C3412"/>
    <w:lvl w:ilvl="0" w:tplc="F64A36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69327C"/>
    <w:multiLevelType w:val="hybridMultilevel"/>
    <w:tmpl w:val="E500DE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DAC3C2E"/>
    <w:multiLevelType w:val="hybridMultilevel"/>
    <w:tmpl w:val="CF6A8E1A"/>
    <w:lvl w:ilvl="0" w:tplc="C7D01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392183"/>
    <w:multiLevelType w:val="hybridMultilevel"/>
    <w:tmpl w:val="B1A8FFE4"/>
    <w:lvl w:ilvl="0" w:tplc="12C2F2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9F5EE1"/>
    <w:multiLevelType w:val="hybridMultilevel"/>
    <w:tmpl w:val="147C2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D02741"/>
    <w:multiLevelType w:val="hybridMultilevel"/>
    <w:tmpl w:val="6108DDAA"/>
    <w:lvl w:ilvl="0" w:tplc="879AC28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865467"/>
    <w:multiLevelType w:val="hybridMultilevel"/>
    <w:tmpl w:val="4260B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EE2DA5"/>
    <w:multiLevelType w:val="hybridMultilevel"/>
    <w:tmpl w:val="A37C6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7F5522A"/>
    <w:multiLevelType w:val="hybridMultilevel"/>
    <w:tmpl w:val="B302F91A"/>
    <w:lvl w:ilvl="0" w:tplc="B9B4E374">
      <w:start w:val="2"/>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E42846"/>
    <w:multiLevelType w:val="hybridMultilevel"/>
    <w:tmpl w:val="A172F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14"/>
  </w:num>
  <w:num w:numId="4">
    <w:abstractNumId w:val="18"/>
  </w:num>
  <w:num w:numId="5">
    <w:abstractNumId w:val="15"/>
  </w:num>
  <w:num w:numId="6">
    <w:abstractNumId w:val="13"/>
  </w:num>
  <w:num w:numId="7">
    <w:abstractNumId w:val="11"/>
  </w:num>
  <w:num w:numId="8">
    <w:abstractNumId w:val="6"/>
  </w:num>
  <w:num w:numId="9">
    <w:abstractNumId w:val="12"/>
  </w:num>
  <w:num w:numId="10">
    <w:abstractNumId w:val="5"/>
  </w:num>
  <w:num w:numId="11">
    <w:abstractNumId w:val="9"/>
  </w:num>
  <w:num w:numId="12">
    <w:abstractNumId w:val="0"/>
  </w:num>
  <w:num w:numId="13">
    <w:abstractNumId w:val="7"/>
  </w:num>
  <w:num w:numId="14">
    <w:abstractNumId w:val="3"/>
  </w:num>
  <w:num w:numId="15">
    <w:abstractNumId w:val="16"/>
  </w:num>
  <w:num w:numId="16">
    <w:abstractNumId w:val="1"/>
  </w:num>
  <w:num w:numId="17">
    <w:abstractNumId w:val="8"/>
  </w:num>
  <w:num w:numId="18">
    <w:abstractNumId w:val="1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DF9"/>
    <w:rsid w:val="000555E8"/>
    <w:rsid w:val="00066710"/>
    <w:rsid w:val="00087C73"/>
    <w:rsid w:val="00096397"/>
    <w:rsid w:val="000B67C2"/>
    <w:rsid w:val="0011141A"/>
    <w:rsid w:val="00120426"/>
    <w:rsid w:val="00152C4D"/>
    <w:rsid w:val="0016542A"/>
    <w:rsid w:val="001C61E2"/>
    <w:rsid w:val="001C71AF"/>
    <w:rsid w:val="00222EFF"/>
    <w:rsid w:val="00304197"/>
    <w:rsid w:val="00340104"/>
    <w:rsid w:val="003711FC"/>
    <w:rsid w:val="00394F6E"/>
    <w:rsid w:val="003D5729"/>
    <w:rsid w:val="003E0498"/>
    <w:rsid w:val="00434783"/>
    <w:rsid w:val="004961EE"/>
    <w:rsid w:val="004A5C8E"/>
    <w:rsid w:val="005406AF"/>
    <w:rsid w:val="00590FF5"/>
    <w:rsid w:val="006073CC"/>
    <w:rsid w:val="00616153"/>
    <w:rsid w:val="00621882"/>
    <w:rsid w:val="00627FE1"/>
    <w:rsid w:val="00637103"/>
    <w:rsid w:val="006A6A0E"/>
    <w:rsid w:val="00703E40"/>
    <w:rsid w:val="00715108"/>
    <w:rsid w:val="007416C1"/>
    <w:rsid w:val="0074302C"/>
    <w:rsid w:val="0078231C"/>
    <w:rsid w:val="00791B4B"/>
    <w:rsid w:val="007A4B9F"/>
    <w:rsid w:val="007B6839"/>
    <w:rsid w:val="00834A43"/>
    <w:rsid w:val="00842B17"/>
    <w:rsid w:val="008555F8"/>
    <w:rsid w:val="00893E21"/>
    <w:rsid w:val="008C3A1D"/>
    <w:rsid w:val="00903723"/>
    <w:rsid w:val="00905523"/>
    <w:rsid w:val="00917CB2"/>
    <w:rsid w:val="00957DC4"/>
    <w:rsid w:val="00964CBE"/>
    <w:rsid w:val="00991500"/>
    <w:rsid w:val="009D5BDF"/>
    <w:rsid w:val="00A7069D"/>
    <w:rsid w:val="00A97952"/>
    <w:rsid w:val="00AA60C7"/>
    <w:rsid w:val="00AE50B0"/>
    <w:rsid w:val="00B020C6"/>
    <w:rsid w:val="00B231E2"/>
    <w:rsid w:val="00B33CC1"/>
    <w:rsid w:val="00B72C9D"/>
    <w:rsid w:val="00BE1E33"/>
    <w:rsid w:val="00C15853"/>
    <w:rsid w:val="00C51EB5"/>
    <w:rsid w:val="00C5253F"/>
    <w:rsid w:val="00C6024A"/>
    <w:rsid w:val="00C73500"/>
    <w:rsid w:val="00D03BDB"/>
    <w:rsid w:val="00D13C69"/>
    <w:rsid w:val="00D87CD4"/>
    <w:rsid w:val="00E25DF9"/>
    <w:rsid w:val="00EC3B0E"/>
    <w:rsid w:val="00EE514E"/>
    <w:rsid w:val="00EF2BDC"/>
    <w:rsid w:val="00FC33B6"/>
    <w:rsid w:val="00FE3213"/>
    <w:rsid w:val="00FF2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7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D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E25DF9"/>
    <w:rPr>
      <w:rFonts w:cs="Times New Roman"/>
      <w:sz w:val="16"/>
      <w:szCs w:val="16"/>
    </w:rPr>
  </w:style>
  <w:style w:type="paragraph" w:styleId="ListParagraph">
    <w:name w:val="List Paragraph"/>
    <w:basedOn w:val="Normal"/>
    <w:uiPriority w:val="34"/>
    <w:qFormat/>
    <w:rsid w:val="00E25DF9"/>
    <w:pPr>
      <w:ind w:left="720"/>
      <w:contextualSpacing/>
    </w:pPr>
  </w:style>
  <w:style w:type="paragraph" w:styleId="NormalWeb">
    <w:name w:val="Normal (Web)"/>
    <w:basedOn w:val="Normal"/>
    <w:uiPriority w:val="99"/>
    <w:semiHidden/>
    <w:unhideWhenUsed/>
    <w:rsid w:val="00EF2BDC"/>
    <w:rPr>
      <w:rFonts w:eastAsiaTheme="minorHAnsi"/>
    </w:rPr>
  </w:style>
  <w:style w:type="paragraph" w:styleId="BalloonText">
    <w:name w:val="Balloon Text"/>
    <w:basedOn w:val="Normal"/>
    <w:link w:val="BalloonTextChar"/>
    <w:uiPriority w:val="99"/>
    <w:semiHidden/>
    <w:unhideWhenUsed/>
    <w:rsid w:val="007823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31C"/>
    <w:rPr>
      <w:rFonts w:ascii="Segoe UI" w:eastAsia="Times New Roman" w:hAnsi="Segoe UI" w:cs="Segoe UI"/>
      <w:sz w:val="18"/>
      <w:szCs w:val="18"/>
    </w:rPr>
  </w:style>
  <w:style w:type="paragraph" w:styleId="CommentText">
    <w:name w:val="annotation text"/>
    <w:basedOn w:val="Normal"/>
    <w:link w:val="CommentTextChar"/>
    <w:uiPriority w:val="99"/>
    <w:semiHidden/>
    <w:unhideWhenUsed/>
    <w:rsid w:val="00627FE1"/>
    <w:rPr>
      <w:sz w:val="20"/>
      <w:szCs w:val="20"/>
    </w:rPr>
  </w:style>
  <w:style w:type="character" w:customStyle="1" w:styleId="CommentTextChar">
    <w:name w:val="Comment Text Char"/>
    <w:basedOn w:val="DefaultParagraphFont"/>
    <w:link w:val="CommentText"/>
    <w:uiPriority w:val="99"/>
    <w:semiHidden/>
    <w:rsid w:val="00627F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7FE1"/>
    <w:rPr>
      <w:b/>
      <w:bCs/>
    </w:rPr>
  </w:style>
  <w:style w:type="character" w:customStyle="1" w:styleId="CommentSubjectChar">
    <w:name w:val="Comment Subject Char"/>
    <w:basedOn w:val="CommentTextChar"/>
    <w:link w:val="CommentSubject"/>
    <w:uiPriority w:val="99"/>
    <w:semiHidden/>
    <w:rsid w:val="00627FE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D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E25DF9"/>
    <w:rPr>
      <w:rFonts w:cs="Times New Roman"/>
      <w:sz w:val="16"/>
      <w:szCs w:val="16"/>
    </w:rPr>
  </w:style>
  <w:style w:type="paragraph" w:styleId="ListParagraph">
    <w:name w:val="List Paragraph"/>
    <w:basedOn w:val="Normal"/>
    <w:uiPriority w:val="34"/>
    <w:qFormat/>
    <w:rsid w:val="00E25DF9"/>
    <w:pPr>
      <w:ind w:left="720"/>
      <w:contextualSpacing/>
    </w:pPr>
  </w:style>
  <w:style w:type="paragraph" w:styleId="NormalWeb">
    <w:name w:val="Normal (Web)"/>
    <w:basedOn w:val="Normal"/>
    <w:uiPriority w:val="99"/>
    <w:semiHidden/>
    <w:unhideWhenUsed/>
    <w:rsid w:val="00EF2BDC"/>
    <w:rPr>
      <w:rFonts w:eastAsiaTheme="minorHAnsi"/>
    </w:rPr>
  </w:style>
  <w:style w:type="paragraph" w:styleId="BalloonText">
    <w:name w:val="Balloon Text"/>
    <w:basedOn w:val="Normal"/>
    <w:link w:val="BalloonTextChar"/>
    <w:uiPriority w:val="99"/>
    <w:semiHidden/>
    <w:unhideWhenUsed/>
    <w:rsid w:val="007823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31C"/>
    <w:rPr>
      <w:rFonts w:ascii="Segoe UI" w:eastAsia="Times New Roman" w:hAnsi="Segoe UI" w:cs="Segoe UI"/>
      <w:sz w:val="18"/>
      <w:szCs w:val="18"/>
    </w:rPr>
  </w:style>
  <w:style w:type="paragraph" w:styleId="CommentText">
    <w:name w:val="annotation text"/>
    <w:basedOn w:val="Normal"/>
    <w:link w:val="CommentTextChar"/>
    <w:uiPriority w:val="99"/>
    <w:semiHidden/>
    <w:unhideWhenUsed/>
    <w:rsid w:val="00627FE1"/>
    <w:rPr>
      <w:sz w:val="20"/>
      <w:szCs w:val="20"/>
    </w:rPr>
  </w:style>
  <w:style w:type="character" w:customStyle="1" w:styleId="CommentTextChar">
    <w:name w:val="Comment Text Char"/>
    <w:basedOn w:val="DefaultParagraphFont"/>
    <w:link w:val="CommentText"/>
    <w:uiPriority w:val="99"/>
    <w:semiHidden/>
    <w:rsid w:val="00627F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7FE1"/>
    <w:rPr>
      <w:b/>
      <w:bCs/>
    </w:rPr>
  </w:style>
  <w:style w:type="character" w:customStyle="1" w:styleId="CommentSubjectChar">
    <w:name w:val="Comment Subject Char"/>
    <w:basedOn w:val="CommentTextChar"/>
    <w:link w:val="CommentSubject"/>
    <w:uiPriority w:val="99"/>
    <w:semiHidden/>
    <w:rsid w:val="00627FE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03520">
      <w:bodyDiv w:val="1"/>
      <w:marLeft w:val="0"/>
      <w:marRight w:val="0"/>
      <w:marTop w:val="0"/>
      <w:marBottom w:val="0"/>
      <w:divBdr>
        <w:top w:val="none" w:sz="0" w:space="0" w:color="auto"/>
        <w:left w:val="none" w:sz="0" w:space="0" w:color="auto"/>
        <w:bottom w:val="none" w:sz="0" w:space="0" w:color="auto"/>
        <w:right w:val="none" w:sz="0" w:space="0" w:color="auto"/>
      </w:divBdr>
    </w:div>
    <w:div w:id="660475307">
      <w:bodyDiv w:val="1"/>
      <w:marLeft w:val="0"/>
      <w:marRight w:val="0"/>
      <w:marTop w:val="0"/>
      <w:marBottom w:val="0"/>
      <w:divBdr>
        <w:top w:val="none" w:sz="0" w:space="0" w:color="auto"/>
        <w:left w:val="none" w:sz="0" w:space="0" w:color="auto"/>
        <w:bottom w:val="none" w:sz="0" w:space="0" w:color="auto"/>
        <w:right w:val="none" w:sz="0" w:space="0" w:color="auto"/>
      </w:divBdr>
    </w:div>
    <w:div w:id="817575374">
      <w:bodyDiv w:val="1"/>
      <w:marLeft w:val="0"/>
      <w:marRight w:val="0"/>
      <w:marTop w:val="0"/>
      <w:marBottom w:val="0"/>
      <w:divBdr>
        <w:top w:val="none" w:sz="0" w:space="0" w:color="auto"/>
        <w:left w:val="none" w:sz="0" w:space="0" w:color="auto"/>
        <w:bottom w:val="none" w:sz="0" w:space="0" w:color="auto"/>
        <w:right w:val="none" w:sz="0" w:space="0" w:color="auto"/>
      </w:divBdr>
    </w:div>
    <w:div w:id="913778416">
      <w:bodyDiv w:val="1"/>
      <w:marLeft w:val="0"/>
      <w:marRight w:val="0"/>
      <w:marTop w:val="0"/>
      <w:marBottom w:val="0"/>
      <w:divBdr>
        <w:top w:val="none" w:sz="0" w:space="0" w:color="auto"/>
        <w:left w:val="none" w:sz="0" w:space="0" w:color="auto"/>
        <w:bottom w:val="none" w:sz="0" w:space="0" w:color="auto"/>
        <w:right w:val="none" w:sz="0" w:space="0" w:color="auto"/>
      </w:divBdr>
    </w:div>
    <w:div w:id="1205558573">
      <w:bodyDiv w:val="1"/>
      <w:marLeft w:val="0"/>
      <w:marRight w:val="0"/>
      <w:marTop w:val="0"/>
      <w:marBottom w:val="0"/>
      <w:divBdr>
        <w:top w:val="none" w:sz="0" w:space="0" w:color="auto"/>
        <w:left w:val="none" w:sz="0" w:space="0" w:color="auto"/>
        <w:bottom w:val="none" w:sz="0" w:space="0" w:color="auto"/>
        <w:right w:val="none" w:sz="0" w:space="0" w:color="auto"/>
      </w:divBdr>
    </w:div>
    <w:div w:id="190737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47A79-5E59-46DF-BDB6-D728FF881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2190</Words>
  <Characters>12486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Krishnamurty, Parvati - BLS</dc:creator>
  <cp:keywords/>
  <dc:description/>
  <cp:lastModifiedBy>SYSTEM</cp:lastModifiedBy>
  <cp:revision>2</cp:revision>
  <cp:lastPrinted>2019-02-21T19:22:00Z</cp:lastPrinted>
  <dcterms:created xsi:type="dcterms:W3CDTF">2019-05-02T14:04:00Z</dcterms:created>
  <dcterms:modified xsi:type="dcterms:W3CDTF">2019-05-02T14:04:00Z</dcterms:modified>
</cp:coreProperties>
</file>