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69B89" w14:textId="459DFA7C" w:rsidR="00F80DC3" w:rsidRDefault="00F80DC3" w:rsidP="00A96D53">
      <w:pPr>
        <w:pStyle w:val="Title"/>
        <w:jc w:val="left"/>
      </w:pPr>
      <w:bookmarkStart w:id="0" w:name="_GoBack"/>
      <w:bookmarkEnd w:id="0"/>
    </w:p>
    <w:p w14:paraId="27C9B0FC" w14:textId="77777777" w:rsidR="00673B1B" w:rsidRDefault="00673B1B" w:rsidP="00673B1B">
      <w:pPr>
        <w:pStyle w:val="Title"/>
      </w:pPr>
      <w:r>
        <w:t>Supporting Statement</w:t>
      </w:r>
    </w:p>
    <w:p w14:paraId="7F9781B2" w14:textId="77777777" w:rsidR="00673B1B" w:rsidRDefault="00673B1B" w:rsidP="00673B1B">
      <w:pPr>
        <w:tabs>
          <w:tab w:val="left" w:pos="1176"/>
          <w:tab w:val="left" w:pos="1656"/>
          <w:tab w:val="left" w:pos="6696"/>
          <w:tab w:val="left" w:pos="8256"/>
        </w:tabs>
      </w:pPr>
    </w:p>
    <w:p w14:paraId="23FECADB" w14:textId="27305536" w:rsidR="0060704D" w:rsidRDefault="00673B1B" w:rsidP="00673B1B">
      <w:pPr>
        <w:pStyle w:val="Subtitle"/>
      </w:pPr>
      <w:r>
        <w:t>A.  Justification</w:t>
      </w:r>
    </w:p>
    <w:p w14:paraId="00B8EC0F" w14:textId="77777777" w:rsidR="0060704D" w:rsidRDefault="0060704D" w:rsidP="00673B1B">
      <w:pPr>
        <w:pStyle w:val="Subtitle"/>
      </w:pPr>
    </w:p>
    <w:p w14:paraId="5144AD47" w14:textId="6B14311B" w:rsidR="0060704D" w:rsidRDefault="005043DC" w:rsidP="00D17A87">
      <w:pPr>
        <w:pStyle w:val="Subtitle"/>
      </w:pPr>
      <w:r w:rsidRPr="005043DC">
        <w:t>1.</w:t>
      </w:r>
      <w:r w:rsidR="0060704D">
        <w:t xml:space="preserve">     </w:t>
      </w:r>
      <w:r w:rsidR="00732CAB" w:rsidRPr="00FC378F">
        <w:rPr>
          <w:b/>
        </w:rPr>
        <w:t>Necessity of the Consumer Expenditure Surveys</w:t>
      </w:r>
    </w:p>
    <w:p w14:paraId="03ACCFD4" w14:textId="77777777" w:rsidR="0060704D" w:rsidRDefault="0060704D" w:rsidP="00D17A87">
      <w:pPr>
        <w:pStyle w:val="Subtitle"/>
        <w:rPr>
          <w:b/>
        </w:rPr>
      </w:pPr>
    </w:p>
    <w:p w14:paraId="03FD527B" w14:textId="33BCA38F" w:rsidR="00A20DB2" w:rsidRDefault="00673B1B" w:rsidP="00B8012C">
      <w:pPr>
        <w:tabs>
          <w:tab w:val="left" w:pos="1176"/>
          <w:tab w:val="left" w:pos="1656"/>
          <w:tab w:val="left" w:pos="6696"/>
          <w:tab w:val="left" w:pos="8256"/>
        </w:tabs>
        <w:ind w:left="480"/>
      </w:pPr>
      <w:r>
        <w:t>The purpose of this request is to obtain clearance for the two Consumer Expenditure (CE)</w:t>
      </w:r>
      <w:r w:rsidR="0060704D">
        <w:t xml:space="preserve"> </w:t>
      </w:r>
      <w:r>
        <w:t>Surveys: the</w:t>
      </w:r>
      <w:r w:rsidR="0060704D">
        <w:t xml:space="preserve"> </w:t>
      </w:r>
      <w:r>
        <w:t>Quarterly Intervie</w:t>
      </w:r>
      <w:r w:rsidR="002C0D7B">
        <w:t xml:space="preserve">w Survey </w:t>
      </w:r>
      <w:r w:rsidR="00004351">
        <w:t xml:space="preserve">(CEQ) </w:t>
      </w:r>
      <w:r w:rsidR="002C0D7B">
        <w:t>and the Diary Survey</w:t>
      </w:r>
      <w:r w:rsidR="00004351">
        <w:t xml:space="preserve"> (CED)</w:t>
      </w:r>
      <w:r w:rsidR="001B4633">
        <w:t>.</w:t>
      </w:r>
      <w:r w:rsidR="000A2CD0">
        <w:t xml:space="preserve">  </w:t>
      </w:r>
      <w:r w:rsidR="00841DF9">
        <w:t>Additionally, a</w:t>
      </w:r>
      <w:r w:rsidR="00CF5155">
        <w:t>s part of an ongoing</w:t>
      </w:r>
      <w:r w:rsidR="0060704D">
        <w:t xml:space="preserve"> </w:t>
      </w:r>
      <w:r w:rsidR="00CF5155">
        <w:t xml:space="preserve">effort to improve </w:t>
      </w:r>
      <w:r w:rsidR="00CF5155" w:rsidRPr="006C5093">
        <w:t>data quality</w:t>
      </w:r>
      <w:r w:rsidR="00CF5155">
        <w:t>, maintain or increase response rates, a</w:t>
      </w:r>
      <w:r w:rsidR="00841DF9">
        <w:t xml:space="preserve">nd reduce data collection costs, </w:t>
      </w:r>
      <w:r w:rsidR="000137E3">
        <w:t>CE</w:t>
      </w:r>
      <w:r w:rsidR="0060704D">
        <w:t xml:space="preserve"> </w:t>
      </w:r>
      <w:r w:rsidR="000C2F78">
        <w:t xml:space="preserve">is </w:t>
      </w:r>
      <w:r w:rsidR="00AB0DA0">
        <w:t xml:space="preserve">seeking clearance </w:t>
      </w:r>
      <w:r w:rsidR="00A95284">
        <w:t xml:space="preserve">for the Large Scale Feasibility </w:t>
      </w:r>
      <w:r w:rsidR="00A40AC7">
        <w:t xml:space="preserve">(LSF) </w:t>
      </w:r>
      <w:r w:rsidR="00A95284">
        <w:t>Test of Online Diaries.</w:t>
      </w:r>
      <w:r w:rsidR="009064E4">
        <w:t xml:space="preserve"> </w:t>
      </w:r>
      <w:r w:rsidR="00A95284">
        <w:t xml:space="preserve"> Finally, CE is requesting clearance for an increase in the sample sizes of both the CEQ and CED surveys to support </w:t>
      </w:r>
      <w:r w:rsidR="00A40AC7">
        <w:t>Consumer Price Index (</w:t>
      </w:r>
      <w:r w:rsidR="00A95284">
        <w:t>CPI</w:t>
      </w:r>
      <w:r w:rsidR="00A40AC7">
        <w:t>)</w:t>
      </w:r>
      <w:r w:rsidR="00A95284">
        <w:t>.</w:t>
      </w:r>
      <w:r w:rsidR="00A95284">
        <w:br/>
      </w:r>
    </w:p>
    <w:p w14:paraId="357CFBA5" w14:textId="66DB71D3" w:rsidR="00485008" w:rsidRDefault="00E54FF7" w:rsidP="00CE642F">
      <w:pPr>
        <w:tabs>
          <w:tab w:val="left" w:pos="1176"/>
          <w:tab w:val="left" w:pos="1656"/>
          <w:tab w:val="left" w:pos="6696"/>
          <w:tab w:val="left" w:pos="8256"/>
        </w:tabs>
        <w:ind w:left="480"/>
      </w:pPr>
      <w:r>
        <w:t>A production sample of 2,500 cases will be used in the LSF</w:t>
      </w:r>
      <w:r w:rsidR="00237C5D">
        <w:t xml:space="preserve"> Online Diary</w:t>
      </w:r>
      <w:r>
        <w:t xml:space="preserve"> test.  </w:t>
      </w:r>
      <w:r w:rsidR="00516F5D">
        <w:t>In order to accommodate</w:t>
      </w:r>
      <w:r w:rsidR="00902776">
        <w:t xml:space="preserve"> the</w:t>
      </w:r>
      <w:r w:rsidR="00516F5D">
        <w:t xml:space="preserve"> </w:t>
      </w:r>
      <w:r w:rsidR="00237C5D">
        <w:t xml:space="preserve">LSF Online Diary </w:t>
      </w:r>
      <w:r w:rsidR="00516F5D">
        <w:t xml:space="preserve">test, </w:t>
      </w:r>
      <w:r>
        <w:t xml:space="preserve">several modifications will be made to production </w:t>
      </w:r>
      <w:r w:rsidR="00AF2542">
        <w:t xml:space="preserve">and collection </w:t>
      </w:r>
      <w:r>
        <w:t>procedures including the addition of two question</w:t>
      </w:r>
      <w:r w:rsidR="00A40AC7">
        <w:t>s</w:t>
      </w:r>
      <w:r>
        <w:t xml:space="preserve"> relating to internet access, implementation of an online Diary, and the addition of debriefing questions.  The study will be fielded from October 2019 to March 2020 with an expected 1,200 completed cases.  The large sa</w:t>
      </w:r>
      <w:r w:rsidR="00237C5D">
        <w:t>mple size is needed in order to perform statistically significant analysis of any differences in data quality between the online diaries and production (paper) diaries prior to full production implementation</w:t>
      </w:r>
      <w:r>
        <w:t>.</w:t>
      </w:r>
      <w:r w:rsidR="003227ED">
        <w:t xml:space="preserve"> </w:t>
      </w:r>
      <w:r w:rsidR="009064E4">
        <w:t xml:space="preserve"> </w:t>
      </w:r>
      <w:r w:rsidR="00237C5D">
        <w:t xml:space="preserve">The study sample will be further divided into two groups, with one group receiving a $5 incentive.  </w:t>
      </w:r>
      <w:r w:rsidR="0025288C">
        <w:t>(</w:t>
      </w:r>
      <w:r w:rsidR="00237C5D">
        <w:t xml:space="preserve">For additional details on the LSF Online Diary test, please see </w:t>
      </w:r>
      <w:r w:rsidR="004A65AD">
        <w:t>A</w:t>
      </w:r>
      <w:r w:rsidR="00237C5D">
        <w:t xml:space="preserve">ttachment </w:t>
      </w:r>
      <w:r w:rsidR="00CE642F">
        <w:t>A</w:t>
      </w:r>
      <w:r w:rsidR="00237C5D">
        <w:t>.</w:t>
      </w:r>
      <w:r w:rsidR="0025288C">
        <w:t>)</w:t>
      </w:r>
    </w:p>
    <w:p w14:paraId="309769DA" w14:textId="77777777" w:rsidR="00513899" w:rsidRDefault="00513899" w:rsidP="00B36E47">
      <w:pPr>
        <w:tabs>
          <w:tab w:val="left" w:pos="1176"/>
          <w:tab w:val="left" w:pos="1656"/>
          <w:tab w:val="left" w:pos="6696"/>
          <w:tab w:val="left" w:pos="8256"/>
        </w:tabs>
        <w:ind w:left="960"/>
      </w:pPr>
    </w:p>
    <w:p w14:paraId="17CBA3F1" w14:textId="0813C460" w:rsidR="000172AB" w:rsidRDefault="000172AB" w:rsidP="000172AB">
      <w:pPr>
        <w:tabs>
          <w:tab w:val="left" w:pos="1176"/>
          <w:tab w:val="left" w:pos="1656"/>
          <w:tab w:val="left" w:pos="6696"/>
          <w:tab w:val="left" w:pos="8256"/>
        </w:tabs>
        <w:ind w:left="480"/>
      </w:pPr>
      <w:r>
        <w:t>The CPI program is changing its source of outlet frame information from the Telephone Point of Purchase Survey (TPOPS) to the CEQ and CED surveys.  As a result, the sample size for the CE su</w:t>
      </w:r>
      <w:r w:rsidR="006C06E0">
        <w:t>r</w:t>
      </w:r>
      <w:r>
        <w:t xml:space="preserve">veys will increase </w:t>
      </w:r>
      <w:r w:rsidR="00665955">
        <w:t xml:space="preserve">in order </w:t>
      </w:r>
      <w:r>
        <w:t xml:space="preserve">to provide adequate sample area coverage for </w:t>
      </w:r>
      <w:r w:rsidR="00665955">
        <w:t xml:space="preserve">the outlet frame information for </w:t>
      </w:r>
      <w:r>
        <w:t>CPI.  (See Supporting Statement Part B for additional information.)</w:t>
      </w:r>
    </w:p>
    <w:p w14:paraId="3F921FCF" w14:textId="77777777" w:rsidR="00CE642F" w:rsidRDefault="00CE642F" w:rsidP="00CE642F">
      <w:pPr>
        <w:tabs>
          <w:tab w:val="left" w:pos="1176"/>
          <w:tab w:val="left" w:pos="1656"/>
          <w:tab w:val="left" w:pos="6696"/>
          <w:tab w:val="left" w:pos="8256"/>
        </w:tabs>
        <w:ind w:left="480"/>
      </w:pPr>
    </w:p>
    <w:p w14:paraId="61F97AB9" w14:textId="723EFDF3" w:rsidR="00CE642F" w:rsidRPr="0064258D" w:rsidRDefault="00CE642F" w:rsidP="00CE642F">
      <w:pPr>
        <w:tabs>
          <w:tab w:val="left" w:pos="1176"/>
          <w:tab w:val="left" w:pos="1656"/>
          <w:tab w:val="left" w:pos="6696"/>
          <w:tab w:val="left" w:pos="8256"/>
        </w:tabs>
        <w:ind w:left="480"/>
      </w:pPr>
      <w:r>
        <w:t xml:space="preserve">Other than the </w:t>
      </w:r>
      <w:r w:rsidR="000172AB">
        <w:t xml:space="preserve">LSF test and the </w:t>
      </w:r>
      <w:r>
        <w:t xml:space="preserve">sample size increase, no other changes will be made in the Interview (CEQ) or Diary (CED) surveys.  </w:t>
      </w:r>
      <w:r w:rsidRPr="0064258D">
        <w:t>For a full list of all questions in the 20</w:t>
      </w:r>
      <w:r>
        <w:t xml:space="preserve">20 </w:t>
      </w:r>
      <w:r w:rsidRPr="0064258D">
        <w:t>CEQ Interview Instrument, please see the Interview Instrument Specifications – Attachment B.  For a full list of all questions in the 20</w:t>
      </w:r>
      <w:r>
        <w:t>20</w:t>
      </w:r>
      <w:r w:rsidRPr="0064258D">
        <w:t xml:space="preserve"> CED Interview Instrument, please see the Diary Instrument Specifications – Attachment </w:t>
      </w:r>
      <w:r>
        <w:t>C</w:t>
      </w:r>
      <w:r w:rsidRPr="0064258D">
        <w:t xml:space="preserve">.  For </w:t>
      </w:r>
      <w:r w:rsidR="007B6094">
        <w:t>the current</w:t>
      </w:r>
      <w:r w:rsidRPr="0064258D">
        <w:t xml:space="preserve"> Diary Survey form, please see Diary Form - Attachment D.</w:t>
      </w:r>
    </w:p>
    <w:p w14:paraId="1C08B0AA" w14:textId="77777777" w:rsidR="00CE642F" w:rsidRDefault="00CE642F" w:rsidP="002A6280">
      <w:pPr>
        <w:tabs>
          <w:tab w:val="left" w:pos="1176"/>
          <w:tab w:val="left" w:pos="1656"/>
          <w:tab w:val="left" w:pos="6696"/>
          <w:tab w:val="left" w:pos="8256"/>
        </w:tabs>
        <w:ind w:left="480"/>
      </w:pPr>
    </w:p>
    <w:p w14:paraId="67AC8A6B" w14:textId="79614434" w:rsidR="002A6280" w:rsidRDefault="00321E79" w:rsidP="002A6280">
      <w:pPr>
        <w:tabs>
          <w:tab w:val="left" w:pos="1176"/>
          <w:tab w:val="left" w:pos="1656"/>
          <w:tab w:val="left" w:pos="6696"/>
          <w:tab w:val="left" w:pos="8256"/>
        </w:tabs>
        <w:ind w:left="480"/>
      </w:pPr>
      <w:r>
        <w:t xml:space="preserve">The </w:t>
      </w:r>
      <w:r w:rsidR="00035F53">
        <w:t>CED</w:t>
      </w:r>
      <w:r>
        <w:t xml:space="preserve"> requires each selected sample unit to keep two one</w:t>
      </w:r>
      <w:r w:rsidR="00821F4F">
        <w:t>-</w:t>
      </w:r>
      <w:r>
        <w:t xml:space="preserve">week diaries of expenditures over two consecutive weeks.  The </w:t>
      </w:r>
      <w:r w:rsidR="00035F53">
        <w:t>CED</w:t>
      </w:r>
      <w:r>
        <w:t xml:space="preserve"> collects information on small, relatively inexpensive items that respondents may not be able to recall in a retrospective interview.  Given the nature of the type of data collected, a longer reference period </w:t>
      </w:r>
      <w:r w:rsidRPr="00C32C22">
        <w:t xml:space="preserve">would cause a reduction in accuracy of reporting for the CE Surveys.  </w:t>
      </w:r>
      <w:r w:rsidR="00AE0BAD" w:rsidRPr="0064258D">
        <w:t xml:space="preserve">The </w:t>
      </w:r>
      <w:r w:rsidR="00035F53" w:rsidRPr="0064258D">
        <w:t>CED</w:t>
      </w:r>
      <w:r w:rsidR="00AE0BAD" w:rsidRPr="0064258D">
        <w:t xml:space="preserve"> uses both a CAPI instrument (see Attachment </w:t>
      </w:r>
      <w:r w:rsidR="001E7B52">
        <w:t>C</w:t>
      </w:r>
      <w:r w:rsidR="00AE0BAD" w:rsidRPr="0064258D">
        <w:t xml:space="preserve"> </w:t>
      </w:r>
      <w:r w:rsidR="00A96D53" w:rsidRPr="0064258D">
        <w:t xml:space="preserve">for </w:t>
      </w:r>
      <w:r w:rsidR="00431338" w:rsidRPr="0064258D">
        <w:t>the</w:t>
      </w:r>
      <w:r w:rsidR="00A96D53" w:rsidRPr="0064258D">
        <w:t xml:space="preserve"> </w:t>
      </w:r>
      <w:r w:rsidR="00CE642F" w:rsidRPr="0064258D">
        <w:t>20</w:t>
      </w:r>
      <w:r w:rsidR="00CE642F">
        <w:t>20</w:t>
      </w:r>
      <w:r w:rsidR="00CE642F" w:rsidRPr="0064258D">
        <w:t xml:space="preserve"> </w:t>
      </w:r>
      <w:r w:rsidR="00A96D53" w:rsidRPr="0064258D">
        <w:t xml:space="preserve">Diary Instrument </w:t>
      </w:r>
      <w:r w:rsidR="000F2B87" w:rsidRPr="0064258D">
        <w:t>specification</w:t>
      </w:r>
      <w:r w:rsidR="00A96D53" w:rsidRPr="0064258D">
        <w:t>s</w:t>
      </w:r>
      <w:r w:rsidR="00AE0BAD" w:rsidRPr="0064258D">
        <w:t xml:space="preserve">), and the paper CE-801, Record of Your Daily Expenses (Attachment </w:t>
      </w:r>
      <w:r w:rsidR="00A96D53" w:rsidRPr="0064258D">
        <w:t>D</w:t>
      </w:r>
      <w:r w:rsidR="00AE0BAD" w:rsidRPr="0064258D">
        <w:t xml:space="preserve">).  The Diary CAPI instrument collects information about household and </w:t>
      </w:r>
      <w:r w:rsidR="00D33CF2">
        <w:t>consumer unit</w:t>
      </w:r>
      <w:r w:rsidR="00AE0BAD" w:rsidRPr="0064258D">
        <w:t xml:space="preserve"> characteristics and provides checks for reporting certain types of expenditures.</w:t>
      </w:r>
      <w:r w:rsidR="00AE0BAD" w:rsidRPr="00496C3B">
        <w:t xml:space="preserve">  </w:t>
      </w:r>
    </w:p>
    <w:p w14:paraId="61471F75" w14:textId="77777777" w:rsidR="002A6280" w:rsidRDefault="002A6280" w:rsidP="002A6280">
      <w:pPr>
        <w:tabs>
          <w:tab w:val="left" w:pos="1176"/>
          <w:tab w:val="left" w:pos="1656"/>
          <w:tab w:val="left" w:pos="6696"/>
          <w:tab w:val="left" w:pos="8256"/>
        </w:tabs>
        <w:ind w:left="480"/>
      </w:pPr>
    </w:p>
    <w:p w14:paraId="008EBDA0" w14:textId="49A4C080" w:rsidR="0097569B" w:rsidRDefault="00AE0BAD" w:rsidP="0097569B">
      <w:pPr>
        <w:tabs>
          <w:tab w:val="left" w:pos="1176"/>
          <w:tab w:val="left" w:pos="1656"/>
          <w:tab w:val="left" w:pos="6696"/>
          <w:tab w:val="left" w:pos="8256"/>
        </w:tabs>
        <w:ind w:left="480"/>
      </w:pPr>
      <w:r w:rsidRPr="00A8191E">
        <w:lastRenderedPageBreak/>
        <w:t xml:space="preserve">A subsample of approximately </w:t>
      </w:r>
      <w:r>
        <w:t>1</w:t>
      </w:r>
      <w:r w:rsidR="005054E4">
        <w:t>2</w:t>
      </w:r>
      <w:r w:rsidRPr="00A8191E">
        <w:t xml:space="preserve"> percent of households in the Quarterly Interview Survey</w:t>
      </w:r>
      <w:r>
        <w:t xml:space="preserve"> </w:t>
      </w:r>
      <w:r w:rsidRPr="00A8191E">
        <w:t xml:space="preserve">and </w:t>
      </w:r>
      <w:r w:rsidR="005054E4">
        <w:t>10</w:t>
      </w:r>
      <w:r>
        <w:t xml:space="preserve"> percent in the Diary Survey will participate in an additional </w:t>
      </w:r>
      <w:r w:rsidR="0097569B">
        <w:t xml:space="preserve">CAPI </w:t>
      </w:r>
      <w:r>
        <w:t xml:space="preserve">interview, referred to as </w:t>
      </w:r>
      <w:r w:rsidRPr="00D36270">
        <w:t xml:space="preserve">reinterview, for the purpose of instituting quality control over the performance of the interviewing staff.  </w:t>
      </w:r>
      <w:r w:rsidR="0097569B" w:rsidRPr="00D36270">
        <w:t>T</w:t>
      </w:r>
      <w:r w:rsidRPr="00D36270">
        <w:t>he</w:t>
      </w:r>
      <w:r w:rsidR="00C94327">
        <w:t>re are no changes to the</w:t>
      </w:r>
      <w:r w:rsidRPr="00D36270">
        <w:t xml:space="preserve"> </w:t>
      </w:r>
      <w:r w:rsidR="00CE642F" w:rsidRPr="00D36270">
        <w:t>20</w:t>
      </w:r>
      <w:r w:rsidR="00CE642F">
        <w:t>20</w:t>
      </w:r>
      <w:r w:rsidR="00CE642F" w:rsidRPr="00D36270">
        <w:t xml:space="preserve"> </w:t>
      </w:r>
      <w:r w:rsidRPr="00D36270">
        <w:t>Interview CAPI Reinterview</w:t>
      </w:r>
      <w:r w:rsidR="0097569B" w:rsidRPr="00D36270">
        <w:t xml:space="preserve"> instrument (See Attachment </w:t>
      </w:r>
      <w:r w:rsidR="00FD48B0" w:rsidRPr="00D36270">
        <w:t>E</w:t>
      </w:r>
      <w:r w:rsidR="00C32C22" w:rsidRPr="00D36270">
        <w:t xml:space="preserve"> -</w:t>
      </w:r>
      <w:r w:rsidR="00AE3967">
        <w:t xml:space="preserve"> </w:t>
      </w:r>
      <w:r w:rsidR="0097569B" w:rsidRPr="00D36270">
        <w:t>Final CEQ RI Instrument Specs and Attachments)</w:t>
      </w:r>
      <w:r w:rsidR="00821F4F">
        <w:t>.</w:t>
      </w:r>
      <w:r w:rsidR="0097569B" w:rsidRPr="00D36270">
        <w:t xml:space="preserve"> </w:t>
      </w:r>
      <w:r w:rsidR="00411F2A">
        <w:t xml:space="preserve"> </w:t>
      </w:r>
      <w:r w:rsidR="0097569B" w:rsidRPr="00D36270">
        <w:t>T</w:t>
      </w:r>
      <w:r w:rsidRPr="00D36270">
        <w:t>he Diary Reinterview Instrument for 20</w:t>
      </w:r>
      <w:r w:rsidR="00CE642F">
        <w:t xml:space="preserve">20 </w:t>
      </w:r>
      <w:r w:rsidR="0097569B" w:rsidRPr="00D36270">
        <w:t>will not change</w:t>
      </w:r>
      <w:r w:rsidR="00321E79" w:rsidRPr="00D36270">
        <w:t>, n</w:t>
      </w:r>
      <w:r w:rsidR="0097569B" w:rsidRPr="00D36270">
        <w:t>or have changes been mad</w:t>
      </w:r>
      <w:r w:rsidR="00FD48B0" w:rsidRPr="00D36270">
        <w:t>e since 2004.  (See Attachment F</w:t>
      </w:r>
      <w:r w:rsidR="00C32C22" w:rsidRPr="00D36270">
        <w:t xml:space="preserve"> -</w:t>
      </w:r>
      <w:r w:rsidR="0097569B" w:rsidRPr="00D36270">
        <w:t xml:space="preserve"> CED RI Instrument Specs and Attachments).</w:t>
      </w:r>
      <w:r w:rsidR="0097569B">
        <w:t xml:space="preserve">  </w:t>
      </w:r>
    </w:p>
    <w:p w14:paraId="42B67237" w14:textId="77777777" w:rsidR="00474884" w:rsidRDefault="00474884" w:rsidP="00673B1B">
      <w:pPr>
        <w:tabs>
          <w:tab w:val="left" w:pos="1176"/>
          <w:tab w:val="left" w:pos="1656"/>
          <w:tab w:val="left" w:pos="6696"/>
          <w:tab w:val="left" w:pos="8256"/>
        </w:tabs>
        <w:ind w:left="480"/>
      </w:pPr>
    </w:p>
    <w:p w14:paraId="65B281CE" w14:textId="5FB47480" w:rsidR="00AE3967" w:rsidRDefault="00673B1B" w:rsidP="00AE3967">
      <w:pPr>
        <w:tabs>
          <w:tab w:val="left" w:pos="1176"/>
          <w:tab w:val="left" w:pos="1656"/>
          <w:tab w:val="left" w:pos="6696"/>
          <w:tab w:val="left" w:pos="8256"/>
        </w:tabs>
        <w:ind w:left="480"/>
      </w:pPr>
      <w:r w:rsidRPr="005E378C">
        <w:t xml:space="preserve">A separate Information Booklet is used for each survey.  </w:t>
      </w:r>
      <w:r w:rsidR="00D125E0">
        <w:t>No</w:t>
      </w:r>
      <w:r w:rsidR="00D125E0" w:rsidRPr="005E378C">
        <w:t xml:space="preserve"> </w:t>
      </w:r>
      <w:r w:rsidR="00DC4557" w:rsidRPr="005E378C">
        <w:t>c</w:t>
      </w:r>
      <w:r w:rsidR="00AE3967" w:rsidRPr="005E378C">
        <w:t xml:space="preserve">hanges have been made to the </w:t>
      </w:r>
      <w:r w:rsidR="00930FE6" w:rsidRPr="005E378C">
        <w:t>Quarterly Interview Survey Information Booklet CE</w:t>
      </w:r>
      <w:r w:rsidR="00930FE6" w:rsidRPr="005E378C">
        <w:noBreakHyphen/>
        <w:t>305 (</w:t>
      </w:r>
      <w:r w:rsidR="00B07981" w:rsidRPr="005E378C">
        <w:t>A</w:t>
      </w:r>
      <w:r w:rsidR="00930FE6" w:rsidRPr="005E378C">
        <w:t xml:space="preserve">ttachment </w:t>
      </w:r>
      <w:r w:rsidR="00FD48B0" w:rsidRPr="005E378C">
        <w:t>G</w:t>
      </w:r>
      <w:r w:rsidR="00930FE6" w:rsidRPr="005E378C">
        <w:t>)</w:t>
      </w:r>
      <w:r w:rsidR="00321E79" w:rsidRPr="005E378C">
        <w:t xml:space="preserve"> </w:t>
      </w:r>
      <w:r w:rsidR="00D125E0">
        <w:t xml:space="preserve">nor to </w:t>
      </w:r>
      <w:r w:rsidR="00AE3967" w:rsidRPr="005E378C">
        <w:t>t</w:t>
      </w:r>
      <w:r w:rsidR="00035F53" w:rsidRPr="005E378C">
        <w:t xml:space="preserve">he </w:t>
      </w:r>
      <w:r w:rsidR="00321E79" w:rsidRPr="005E378C">
        <w:t>Diary Intervie</w:t>
      </w:r>
      <w:r w:rsidR="00AE3967" w:rsidRPr="005E378C">
        <w:t>w Survey Information Booklet CE-805 (</w:t>
      </w:r>
      <w:r w:rsidR="00FD48B0" w:rsidRPr="005E378C">
        <w:t>Attachment H</w:t>
      </w:r>
      <w:r w:rsidR="00CE642F">
        <w:t>)</w:t>
      </w:r>
      <w:r w:rsidR="00AE3967" w:rsidRPr="005E378C">
        <w:t>.</w:t>
      </w:r>
    </w:p>
    <w:p w14:paraId="5DD8C4AD" w14:textId="77777777" w:rsidR="00AE3967" w:rsidRDefault="00AE3967" w:rsidP="00AE3967">
      <w:pPr>
        <w:tabs>
          <w:tab w:val="left" w:pos="1176"/>
          <w:tab w:val="left" w:pos="1656"/>
          <w:tab w:val="left" w:pos="6696"/>
          <w:tab w:val="left" w:pos="8256"/>
        </w:tabs>
        <w:ind w:left="480"/>
      </w:pPr>
    </w:p>
    <w:p w14:paraId="0D9A0152" w14:textId="28E64EBC" w:rsidR="00930A65" w:rsidRDefault="00673B1B" w:rsidP="00930A65">
      <w:pPr>
        <w:tabs>
          <w:tab w:val="left" w:pos="1176"/>
          <w:tab w:val="left" w:pos="1656"/>
          <w:tab w:val="left" w:pos="6696"/>
          <w:tab w:val="left" w:pos="8256"/>
        </w:tabs>
        <w:ind w:left="480"/>
      </w:pPr>
      <w:r w:rsidRPr="001E7B52">
        <w:t>Before the interviewer</w:t>
      </w:r>
      <w:r w:rsidR="000556E5" w:rsidRPr="001E7B52">
        <w:t>’</w:t>
      </w:r>
      <w:r w:rsidRPr="001E7B52">
        <w:t xml:space="preserve">s visit, each </w:t>
      </w:r>
      <w:r w:rsidR="00035F53" w:rsidRPr="001E7B52">
        <w:t>CEQ</w:t>
      </w:r>
      <w:r w:rsidRPr="001E7B52">
        <w:t xml:space="preserve"> and </w:t>
      </w:r>
      <w:r w:rsidR="00035F53" w:rsidRPr="001E7B52">
        <w:t>CED</w:t>
      </w:r>
      <w:r w:rsidRPr="001E7B52">
        <w:t xml:space="preserve"> sample household receives an Advance Letter, the CE</w:t>
      </w:r>
      <w:r w:rsidR="00811B8A" w:rsidRPr="001E7B52">
        <w:noBreakHyphen/>
        <w:t>303L1, 2</w:t>
      </w:r>
      <w:r w:rsidR="00513899">
        <w:t>,</w:t>
      </w:r>
      <w:r w:rsidR="00811B8A" w:rsidRPr="001E7B52">
        <w:t xml:space="preserve"> </w:t>
      </w:r>
      <w:r w:rsidR="009729D9" w:rsidRPr="001E7B52">
        <w:t>3, or 4</w:t>
      </w:r>
      <w:r w:rsidR="00F7557A" w:rsidRPr="001E7B52">
        <w:t xml:space="preserve"> </w:t>
      </w:r>
      <w:r w:rsidR="006850AC" w:rsidRPr="001E7B52">
        <w:t>(Attachment I(a</w:t>
      </w:r>
      <w:r w:rsidR="009729D9" w:rsidRPr="001E7B52">
        <w:t>-d)</w:t>
      </w:r>
      <w:r w:rsidR="00821F4F">
        <w:t xml:space="preserve"> </w:t>
      </w:r>
      <w:r w:rsidR="00F7557A" w:rsidRPr="001E7B52">
        <w:t>or CE-803(L</w:t>
      </w:r>
      <w:r w:rsidR="00837917" w:rsidRPr="001E7B52">
        <w:t>) (</w:t>
      </w:r>
      <w:r w:rsidR="00F7557A" w:rsidRPr="001E7B52">
        <w:t>A</w:t>
      </w:r>
      <w:r w:rsidR="00811B8A" w:rsidRPr="001E7B52">
        <w:t xml:space="preserve">ttachment </w:t>
      </w:r>
      <w:r w:rsidR="007A62B8" w:rsidRPr="001E7B52">
        <w:t>I</w:t>
      </w:r>
      <w:r w:rsidR="006850AC" w:rsidRPr="001E7B52">
        <w:t>(</w:t>
      </w:r>
      <w:r w:rsidR="009729D9" w:rsidRPr="001E7B52">
        <w:t>e</w:t>
      </w:r>
      <w:r w:rsidR="006850AC" w:rsidRPr="001E7B52">
        <w:t>)</w:t>
      </w:r>
      <w:r w:rsidR="00F7557A" w:rsidRPr="001E7B52">
        <w:t>)</w:t>
      </w:r>
      <w:r w:rsidRPr="001E7B52">
        <w:t xml:space="preserve">.  These letters explain the nature of the information the BLS wants to collect and the uses of the </w:t>
      </w:r>
      <w:r w:rsidR="00035F53" w:rsidRPr="001E7B52">
        <w:t xml:space="preserve">CEQ </w:t>
      </w:r>
      <w:r w:rsidRPr="001E7B52">
        <w:t xml:space="preserve">or the </w:t>
      </w:r>
      <w:r w:rsidR="00035F53" w:rsidRPr="001E7B52">
        <w:t>CED</w:t>
      </w:r>
      <w:r w:rsidRPr="001E7B52">
        <w:t xml:space="preserve"> data, as appropriate; informs the respondents of the confidential treatment of all identif</w:t>
      </w:r>
      <w:r w:rsidR="00903D14" w:rsidRPr="001E7B52">
        <w:t xml:space="preserve">ying </w:t>
      </w:r>
      <w:r w:rsidRPr="001E7B52">
        <w:t>information they provide; requests the respondents</w:t>
      </w:r>
      <w:r w:rsidR="000556E5" w:rsidRPr="001E7B52">
        <w:t>’</w:t>
      </w:r>
      <w:r w:rsidRPr="001E7B52">
        <w:t xml:space="preserve"> participation in the survey; describes the survey</w:t>
      </w:r>
      <w:r w:rsidR="000556E5" w:rsidRPr="001E7B52">
        <w:t>’</w:t>
      </w:r>
      <w:r w:rsidRPr="001E7B52">
        <w:t>s compliance with the relevant provisions of the Privacy Act and the Office of Management and Budget (OMB) disclosure requirements</w:t>
      </w:r>
      <w:r w:rsidR="00286174" w:rsidRPr="001E7B52">
        <w:t>; and provide</w:t>
      </w:r>
      <w:r w:rsidR="00637F3E">
        <w:t>s</w:t>
      </w:r>
      <w:r w:rsidR="00286174" w:rsidRPr="001E7B52">
        <w:t xml:space="preserve"> a link to the address of the informational webpage</w:t>
      </w:r>
      <w:r w:rsidR="006C1A9C">
        <w:t xml:space="preserve"> for respondents</w:t>
      </w:r>
      <w:r w:rsidRPr="001E7B52">
        <w:t xml:space="preserve">.  </w:t>
      </w:r>
      <w:r w:rsidR="001E7B52" w:rsidRPr="001E7B52">
        <w:t xml:space="preserve">Both the advance letters for the CEQ and CED surveys have been updated to relect changes in the estimated time to complete the interview.  </w:t>
      </w:r>
      <w:r w:rsidR="00930A65" w:rsidRPr="001E7B52">
        <w:t>Each of the advance letters and several of the brochures in the portfolio are available in the following languages: Arabic, Chinese, Korean, Spanish, Russian, Vietnamese, and Polish.</w:t>
      </w:r>
      <w:r w:rsidR="00930A65">
        <w:t xml:space="preserve"> </w:t>
      </w:r>
    </w:p>
    <w:p w14:paraId="1D43D9F3" w14:textId="6831680D" w:rsidR="00930A65" w:rsidRDefault="00930A65" w:rsidP="00930A65">
      <w:pPr>
        <w:tabs>
          <w:tab w:val="left" w:pos="1176"/>
          <w:tab w:val="left" w:pos="1656"/>
          <w:tab w:val="left" w:pos="6696"/>
          <w:tab w:val="left" w:pos="8256"/>
        </w:tabs>
        <w:ind w:left="480"/>
      </w:pPr>
      <w:r>
        <w:t xml:space="preserve"> </w:t>
      </w:r>
    </w:p>
    <w:p w14:paraId="609EC3A7" w14:textId="60D7A918" w:rsidR="001A1BBB" w:rsidRDefault="00673B1B" w:rsidP="00AE3967">
      <w:pPr>
        <w:tabs>
          <w:tab w:val="left" w:pos="1176"/>
          <w:tab w:val="left" w:pos="1656"/>
          <w:tab w:val="left" w:pos="6696"/>
          <w:tab w:val="left" w:pos="8256"/>
        </w:tabs>
        <w:ind w:left="480"/>
      </w:pPr>
      <w:r w:rsidRPr="000E1156">
        <w:t xml:space="preserve">At the first interview for both the </w:t>
      </w:r>
      <w:r w:rsidR="00035F53">
        <w:t>CEQ</w:t>
      </w:r>
      <w:r w:rsidRPr="000E1156">
        <w:t xml:space="preserve"> and the </w:t>
      </w:r>
      <w:r w:rsidR="00035F53">
        <w:t>CED</w:t>
      </w:r>
      <w:r w:rsidRPr="000E1156">
        <w:t>, the field representative gives the respondent a portfolio</w:t>
      </w:r>
      <w:r w:rsidR="00F7557A">
        <w:t xml:space="preserve"> filled with information on CE, CPI and the Census Bureau</w:t>
      </w:r>
      <w:r w:rsidRPr="000E1156">
        <w:t xml:space="preserve"> (</w:t>
      </w:r>
      <w:r w:rsidR="00B07981">
        <w:t>A</w:t>
      </w:r>
      <w:r w:rsidR="00811B8A" w:rsidRPr="000E1156">
        <w:t xml:space="preserve">ttachment </w:t>
      </w:r>
      <w:r w:rsidR="00FD48B0">
        <w:t>J</w:t>
      </w:r>
      <w:r w:rsidR="007A662F" w:rsidRPr="000E1156">
        <w:t xml:space="preserve">).  </w:t>
      </w:r>
      <w:r w:rsidR="004E1442">
        <w:t xml:space="preserve">Also available to respondents is </w:t>
      </w:r>
      <w:r w:rsidR="00DF159B">
        <w:t>the</w:t>
      </w:r>
      <w:r w:rsidR="004E1442">
        <w:t xml:space="preserve"> respondent </w:t>
      </w:r>
      <w:r w:rsidR="00C75B78">
        <w:t>w</w:t>
      </w:r>
      <w:r w:rsidR="004E1442">
        <w:t>ebpage</w:t>
      </w:r>
      <w:r w:rsidR="00A3372C">
        <w:t xml:space="preserve">, various respondent handouts (Attachment </w:t>
      </w:r>
      <w:r w:rsidR="00CE642F">
        <w:t>M</w:t>
      </w:r>
      <w:r w:rsidR="00A3372C">
        <w:t>), and an endorsement from the Federal Reserve Board of Governors (Attachment X)</w:t>
      </w:r>
      <w:r w:rsidR="004E1442">
        <w:t xml:space="preserve">.  </w:t>
      </w:r>
      <w:r w:rsidR="00A3372C">
        <w:t>The respondent web</w:t>
      </w:r>
      <w:r w:rsidR="004E1442">
        <w:t xml:space="preserve">page contains information about the CE </w:t>
      </w:r>
      <w:r w:rsidR="00C75B78">
        <w:t>S</w:t>
      </w:r>
      <w:r w:rsidR="004E1442">
        <w:t>urveys, frequently asked questions, and links to the most recent CE data</w:t>
      </w:r>
      <w:r w:rsidR="00436B9C">
        <w:t xml:space="preserve">. </w:t>
      </w:r>
      <w:r w:rsidR="004E1442">
        <w:t xml:space="preserve"> </w:t>
      </w:r>
      <w:r w:rsidR="00A3372C">
        <w:t xml:space="preserve">The respondent handouts contain spending summaries for various demographic characteristics and expenditures on pets.  </w:t>
      </w:r>
      <w:r w:rsidR="00237C5D">
        <w:t xml:space="preserve">Additional respondent handouts containing spending summaries may be made available.  A nonsubstantive change request will be </w:t>
      </w:r>
      <w:r w:rsidR="00BC2117">
        <w:t>submitted</w:t>
      </w:r>
      <w:r w:rsidR="00665955">
        <w:t xml:space="preserve"> </w:t>
      </w:r>
      <w:r w:rsidR="00BC2117">
        <w:t>to OMB</w:t>
      </w:r>
      <w:r w:rsidR="00237C5D">
        <w:t xml:space="preserve"> if this occurs.  </w:t>
      </w:r>
      <w:r w:rsidR="001A1BBB">
        <w:t xml:space="preserve">Respondents who participate in the Interview Survey are also provided with a </w:t>
      </w:r>
      <w:r w:rsidR="001A1BBB" w:rsidRPr="00E3685C">
        <w:t>“</w:t>
      </w:r>
      <w:r w:rsidR="001A1BBB">
        <w:t xml:space="preserve">Home File” in which to save their bills and receipts for use at the next </w:t>
      </w:r>
      <w:r w:rsidR="00705047">
        <w:t xml:space="preserve">CEQ </w:t>
      </w:r>
      <w:r w:rsidR="00B94036">
        <w:t>interview.</w:t>
      </w:r>
    </w:p>
    <w:p w14:paraId="45C4C2D2" w14:textId="77777777" w:rsidR="001A1BBB" w:rsidRDefault="001A1BBB" w:rsidP="00673B1B">
      <w:pPr>
        <w:tabs>
          <w:tab w:val="left" w:pos="1176"/>
          <w:tab w:val="left" w:pos="1656"/>
          <w:tab w:val="left" w:pos="6696"/>
          <w:tab w:val="left" w:pos="8256"/>
        </w:tabs>
        <w:ind w:left="480"/>
      </w:pPr>
    </w:p>
    <w:p w14:paraId="2E1A0173" w14:textId="3878F929" w:rsidR="00E1165B" w:rsidRDefault="00673B1B" w:rsidP="00673B1B">
      <w:pPr>
        <w:tabs>
          <w:tab w:val="left" w:pos="1176"/>
          <w:tab w:val="left" w:pos="1656"/>
          <w:tab w:val="left" w:pos="6696"/>
          <w:tab w:val="left" w:pos="8256"/>
        </w:tabs>
        <w:ind w:left="480"/>
        <w:rPr>
          <w:highlight w:val="yellow"/>
        </w:rPr>
      </w:pPr>
      <w:r w:rsidRPr="00E32F8A">
        <w:t xml:space="preserve">After each interview for the </w:t>
      </w:r>
      <w:r w:rsidR="00035F53" w:rsidRPr="00E32F8A">
        <w:t>CEQ</w:t>
      </w:r>
      <w:r w:rsidR="008D1E4F" w:rsidRPr="00E32F8A">
        <w:t xml:space="preserve"> or after completion of the week 2 Diary</w:t>
      </w:r>
      <w:r w:rsidRPr="00E32F8A">
        <w:t xml:space="preserve">, each participating household receives a Thank You </w:t>
      </w:r>
      <w:r w:rsidR="00AE36B8" w:rsidRPr="00E32F8A">
        <w:t>letter, CE</w:t>
      </w:r>
      <w:r w:rsidR="00AE36B8" w:rsidRPr="00E32F8A">
        <w:noBreakHyphen/>
        <w:t>303(L)6</w:t>
      </w:r>
      <w:r w:rsidR="008D1E4F" w:rsidRPr="00E32F8A">
        <w:t xml:space="preserve"> or CE-803(L)6</w:t>
      </w:r>
      <w:r w:rsidR="00AE36B8" w:rsidRPr="00E32F8A">
        <w:t xml:space="preserve"> (</w:t>
      </w:r>
      <w:r w:rsidR="00B07981" w:rsidRPr="00E32F8A">
        <w:t>A</w:t>
      </w:r>
      <w:r w:rsidR="00AE36B8" w:rsidRPr="00E32F8A">
        <w:t xml:space="preserve">ttachment </w:t>
      </w:r>
      <w:r w:rsidR="00FD48B0" w:rsidRPr="00E32F8A">
        <w:t>K</w:t>
      </w:r>
      <w:r w:rsidR="009729D9">
        <w:t>(a-b)</w:t>
      </w:r>
      <w:r w:rsidR="00AE36B8" w:rsidRPr="00E32F8A">
        <w:t>) as well as a certificate</w:t>
      </w:r>
      <w:r w:rsidR="00811B8A" w:rsidRPr="00E32F8A">
        <w:t xml:space="preserve"> of appreciation</w:t>
      </w:r>
      <w:r w:rsidR="003E2CF1" w:rsidRPr="00E32F8A">
        <w:t>, CE-900</w:t>
      </w:r>
      <w:r w:rsidR="00811B8A" w:rsidRPr="00E32F8A">
        <w:t xml:space="preserve"> (</w:t>
      </w:r>
      <w:r w:rsidR="00B07981" w:rsidRPr="00E32F8A">
        <w:t>A</w:t>
      </w:r>
      <w:r w:rsidR="00811B8A" w:rsidRPr="00E32F8A">
        <w:t xml:space="preserve">ttachment </w:t>
      </w:r>
      <w:r w:rsidR="00FD48B0" w:rsidRPr="00E32F8A">
        <w:t>L</w:t>
      </w:r>
      <w:r w:rsidRPr="00E32F8A">
        <w:t>).</w:t>
      </w:r>
      <w:r w:rsidR="00F7557A" w:rsidRPr="00E32F8A">
        <w:t xml:space="preserve">  </w:t>
      </w:r>
    </w:p>
    <w:p w14:paraId="0DC8868F" w14:textId="77777777" w:rsidR="00E1165B" w:rsidRDefault="00E1165B" w:rsidP="00673B1B">
      <w:pPr>
        <w:tabs>
          <w:tab w:val="left" w:pos="1176"/>
          <w:tab w:val="left" w:pos="1656"/>
          <w:tab w:val="left" w:pos="6696"/>
          <w:tab w:val="left" w:pos="8256"/>
        </w:tabs>
        <w:ind w:left="480"/>
        <w:rPr>
          <w:highlight w:val="yellow"/>
        </w:rPr>
      </w:pPr>
    </w:p>
    <w:p w14:paraId="2872D45F" w14:textId="4C7EDBC1" w:rsidR="001930A9" w:rsidRDefault="003E2CF1" w:rsidP="00673B1B">
      <w:pPr>
        <w:tabs>
          <w:tab w:val="left" w:pos="1176"/>
          <w:tab w:val="left" w:pos="1656"/>
          <w:tab w:val="left" w:pos="6696"/>
          <w:tab w:val="left" w:pos="8256"/>
        </w:tabs>
        <w:ind w:left="480"/>
      </w:pPr>
      <w:r w:rsidRPr="00E32F8A">
        <w:t xml:space="preserve">As appropriate, Census </w:t>
      </w:r>
      <w:r w:rsidR="00551C80">
        <w:t>f</w:t>
      </w:r>
      <w:r w:rsidR="00551C80" w:rsidRPr="00E32F8A">
        <w:t xml:space="preserve">ield </w:t>
      </w:r>
      <w:r w:rsidRPr="00E32F8A">
        <w:t>representatives may also provide supplemental flyers on the Quarterly Interview or the Diary Survey (Attachments</w:t>
      </w:r>
      <w:r w:rsidR="00CE642F">
        <w:t xml:space="preserve"> N</w:t>
      </w:r>
      <w:r w:rsidR="007A62B8" w:rsidRPr="00E32F8A">
        <w:t xml:space="preserve"> </w:t>
      </w:r>
      <w:r w:rsidRPr="00E32F8A">
        <w:t xml:space="preserve">and </w:t>
      </w:r>
      <w:r w:rsidR="00CE642F">
        <w:t>O</w:t>
      </w:r>
      <w:r w:rsidRPr="00E32F8A">
        <w:t>).</w:t>
      </w:r>
    </w:p>
    <w:p w14:paraId="58E9EB43" w14:textId="77777777" w:rsidR="00474884" w:rsidRDefault="00474884" w:rsidP="00474884">
      <w:pPr>
        <w:tabs>
          <w:tab w:val="left" w:pos="1176"/>
          <w:tab w:val="left" w:pos="1656"/>
          <w:tab w:val="left" w:pos="6696"/>
          <w:tab w:val="left" w:pos="8256"/>
        </w:tabs>
        <w:ind w:left="480"/>
      </w:pPr>
    </w:p>
    <w:p w14:paraId="20F35876" w14:textId="77777777" w:rsidR="00673B1B" w:rsidRDefault="00673B1B" w:rsidP="00673B1B">
      <w:pPr>
        <w:tabs>
          <w:tab w:val="left" w:pos="1176"/>
          <w:tab w:val="left" w:pos="1656"/>
          <w:tab w:val="left" w:pos="6696"/>
          <w:tab w:val="left" w:pos="8256"/>
        </w:tabs>
        <w:ind w:left="480"/>
      </w:pPr>
      <w:r>
        <w:t xml:space="preserve">The BLS conducts the CE Surveys under the authority of Title 29, Section 2 of the United States Code.  The Census Bureau collects information in the CE Surveys under the authority of Title 13, </w:t>
      </w:r>
      <w:r>
        <w:lastRenderedPageBreak/>
        <w:t>United States Code, Section 8b, that allows the Census Bureau to undertake surveys for other agencies.</w:t>
      </w:r>
    </w:p>
    <w:p w14:paraId="2C9D2805" w14:textId="77777777" w:rsidR="00673B1B" w:rsidRDefault="00673B1B" w:rsidP="00673B1B">
      <w:pPr>
        <w:tabs>
          <w:tab w:val="left" w:pos="1176"/>
          <w:tab w:val="left" w:pos="1656"/>
          <w:tab w:val="left" w:pos="6696"/>
          <w:tab w:val="left" w:pos="8256"/>
        </w:tabs>
      </w:pPr>
    </w:p>
    <w:p w14:paraId="2415239B" w14:textId="48A88907" w:rsidR="00ED38BB" w:rsidRPr="006A6F11" w:rsidRDefault="00673B1B" w:rsidP="00ED38BB">
      <w:pPr>
        <w:tabs>
          <w:tab w:val="left" w:pos="540"/>
          <w:tab w:val="left" w:pos="1656"/>
          <w:tab w:val="left" w:pos="6696"/>
          <w:tab w:val="left" w:pos="8256"/>
        </w:tabs>
        <w:ind w:left="432" w:hanging="576"/>
      </w:pPr>
      <w:r>
        <w:t>2.</w:t>
      </w:r>
      <w:r w:rsidR="00ED38BB">
        <w:tab/>
      </w:r>
      <w:r w:rsidR="00732CAB" w:rsidRPr="00732CAB">
        <w:rPr>
          <w:b/>
        </w:rPr>
        <w:t>Uses of the Data</w:t>
      </w:r>
      <w:r w:rsidR="00732CAB" w:rsidRPr="00732CAB">
        <w:rPr>
          <w:b/>
        </w:rPr>
        <w:br/>
      </w:r>
      <w:r w:rsidR="00732CAB">
        <w:br/>
      </w:r>
      <w:r w:rsidR="00ED38BB" w:rsidRPr="004A5140">
        <w:t xml:space="preserve">The Census </w:t>
      </w:r>
      <w:r w:rsidR="00411F2A" w:rsidRPr="004A5140">
        <w:t xml:space="preserve">Bureau </w:t>
      </w:r>
      <w:r w:rsidR="00ED38BB" w:rsidRPr="004A5140">
        <w:t xml:space="preserve">conducts the CE Surveys for the Bureau of Labor Statistics (BLS) </w:t>
      </w:r>
      <w:r w:rsidR="005241DA" w:rsidRPr="004A5140">
        <w:t>in</w:t>
      </w:r>
      <w:r w:rsidR="0093617F" w:rsidRPr="006A6F11">
        <w:t xml:space="preserve"> support</w:t>
      </w:r>
      <w:r w:rsidR="00ED38BB" w:rsidRPr="006A6F11">
        <w:t xml:space="preserve"> of the CPI program.  The continuing CE Surveys provide a constant measurement of changes in consumer expenditure patterns for economic analysis, and obtain data for future CPI revisions.</w:t>
      </w:r>
      <w:r w:rsidR="00ED38BB" w:rsidRPr="006A6F11">
        <w:br/>
      </w:r>
    </w:p>
    <w:p w14:paraId="5A03B857" w14:textId="0D8CEE46" w:rsidR="00673B1B" w:rsidRDefault="00673B1B" w:rsidP="00ED38BB">
      <w:pPr>
        <w:tabs>
          <w:tab w:val="left" w:pos="1176"/>
          <w:tab w:val="left" w:pos="1656"/>
          <w:tab w:val="left" w:pos="6696"/>
          <w:tab w:val="left" w:pos="8256"/>
        </w:tabs>
        <w:ind w:left="480"/>
      </w:pPr>
      <w:r w:rsidRPr="006A6F11">
        <w:t xml:space="preserve">The BLS will use data collected in the CE Surveys to 1) provide data required for </w:t>
      </w:r>
      <w:r w:rsidR="004253BD" w:rsidRPr="006A6F11">
        <w:t xml:space="preserve">updating cost-weights </w:t>
      </w:r>
      <w:r w:rsidR="003D4BAA">
        <w:t xml:space="preserve">and outlet frames </w:t>
      </w:r>
      <w:r w:rsidR="004253BD" w:rsidRPr="006A6F11">
        <w:t>used to calculate the CPI</w:t>
      </w:r>
      <w:r w:rsidRPr="006A6F11">
        <w:t>; 2) provide a continuous flow of data on income and expenditure patterns for use in economic analysis and policy formulation; and 3) provide a flexible consumer survey vehicle that is available for use by other Federal Government agencies.  Public and private users of price statistics, including Congress and the economic policymaking agencies of the executive branch, rely on data collected in the CPI in their day</w:t>
      </w:r>
      <w:r w:rsidRPr="006A6F11">
        <w:noBreakHyphen/>
        <w:t>to</w:t>
      </w:r>
      <w:r w:rsidRPr="006A6F11">
        <w:noBreakHyphen/>
        <w:t xml:space="preserve">day activities.  </w:t>
      </w:r>
      <w:r w:rsidR="004253BD" w:rsidRPr="006A6F11">
        <w:t>Data</w:t>
      </w:r>
      <w:r w:rsidRPr="006A6F11">
        <w:t xml:space="preserve"> users and policymakers widely accept the need to </w:t>
      </w:r>
      <w:r w:rsidR="004253BD" w:rsidRPr="006A6F11">
        <w:t>regularly update the weights used in the CPI</w:t>
      </w:r>
      <w:r w:rsidRPr="006A6F11">
        <w:t>.</w:t>
      </w:r>
    </w:p>
    <w:p w14:paraId="5BC3C2F0" w14:textId="77777777" w:rsidR="00673B1B" w:rsidRDefault="00673B1B" w:rsidP="00673B1B">
      <w:pPr>
        <w:tabs>
          <w:tab w:val="left" w:pos="1176"/>
          <w:tab w:val="left" w:pos="1656"/>
          <w:tab w:val="left" w:pos="6696"/>
          <w:tab w:val="left" w:pos="8256"/>
        </w:tabs>
      </w:pPr>
    </w:p>
    <w:p w14:paraId="001A4928" w14:textId="312BF01C" w:rsidR="00673B1B" w:rsidRPr="00C32C22" w:rsidRDefault="00732CAB" w:rsidP="00673B1B">
      <w:pPr>
        <w:numPr>
          <w:ilvl w:val="0"/>
          <w:numId w:val="11"/>
        </w:numPr>
        <w:tabs>
          <w:tab w:val="clear" w:pos="360"/>
          <w:tab w:val="num" w:pos="450"/>
        </w:tabs>
        <w:ind w:left="450"/>
      </w:pPr>
      <w:r w:rsidRPr="00732CAB">
        <w:rPr>
          <w:b/>
        </w:rPr>
        <w:t>Collection Methods</w:t>
      </w:r>
      <w:r w:rsidRPr="00732CAB">
        <w:rPr>
          <w:b/>
        </w:rPr>
        <w:br/>
      </w:r>
      <w:r>
        <w:br/>
      </w:r>
      <w:r w:rsidR="001930A9" w:rsidRPr="00C32C22">
        <w:t xml:space="preserve">Since </w:t>
      </w:r>
      <w:r w:rsidR="00673B1B" w:rsidRPr="00C32C22">
        <w:t xml:space="preserve">April 2003, the </w:t>
      </w:r>
      <w:r w:rsidR="003D2701">
        <w:t>CEQ</w:t>
      </w:r>
      <w:r w:rsidR="00673B1B" w:rsidRPr="00C32C22">
        <w:t xml:space="preserve"> </w:t>
      </w:r>
      <w:r w:rsidR="001930A9" w:rsidRPr="00C32C22">
        <w:t>is</w:t>
      </w:r>
      <w:r w:rsidR="00673B1B" w:rsidRPr="00C32C22">
        <w:t xml:space="preserve"> collected using CAPI.  The CAPI laptop instrument has streamlined the interviewing process and improved accuracy by eliminating the need for interviewers to make difficult decisions about correct branching and skip patterns during the interview.  Where appropriate, screening questions in the instrument are used to determine eligibility for </w:t>
      </w:r>
      <w:r w:rsidR="00903D14" w:rsidRPr="00C32C22">
        <w:t>the administration of more detailed questions to each respondent</w:t>
      </w:r>
      <w:r w:rsidR="00673B1B" w:rsidRPr="00C32C22">
        <w:t>.  CAPI implementation for the Diary Household Characteristics Survey occurred in January 2004.</w:t>
      </w:r>
      <w:r w:rsidR="00AB1521" w:rsidRPr="00C32C22">
        <w:t xml:space="preserve">  Edit checks alert the </w:t>
      </w:r>
      <w:r w:rsidR="00551C80">
        <w:t>f</w:t>
      </w:r>
      <w:r w:rsidR="00551C80" w:rsidRPr="00C32C22">
        <w:t xml:space="preserve">ield </w:t>
      </w:r>
      <w:r w:rsidR="00551C80">
        <w:t>r</w:t>
      </w:r>
      <w:r w:rsidR="00551C80" w:rsidRPr="00C32C22">
        <w:t xml:space="preserve">epresentative </w:t>
      </w:r>
      <w:r w:rsidR="00AB1521" w:rsidRPr="00C32C22">
        <w:t>to irreconcilable data during the interview so that the correct data can be obtained</w:t>
      </w:r>
      <w:r w:rsidR="00F721B6" w:rsidRPr="00C32C22">
        <w:t xml:space="preserve"> </w:t>
      </w:r>
      <w:r w:rsidR="00593419" w:rsidRPr="00C32C22">
        <w:t xml:space="preserve">and verified by </w:t>
      </w:r>
      <w:r w:rsidR="00F721B6" w:rsidRPr="00C32C22">
        <w:t>the respondent</w:t>
      </w:r>
      <w:r w:rsidR="00AB1521" w:rsidRPr="00C32C22">
        <w:t>.</w:t>
      </w:r>
    </w:p>
    <w:p w14:paraId="0B754074" w14:textId="77777777" w:rsidR="00673B1B" w:rsidRDefault="00673B1B" w:rsidP="00673B1B"/>
    <w:p w14:paraId="2C36491B" w14:textId="77777777" w:rsidR="00673B1B" w:rsidRDefault="00673B1B" w:rsidP="00673B1B">
      <w:pPr>
        <w:tabs>
          <w:tab w:val="left" w:pos="1176"/>
          <w:tab w:val="left" w:pos="1656"/>
          <w:tab w:val="left" w:pos="6696"/>
          <w:tab w:val="left" w:pos="8256"/>
        </w:tabs>
        <w:ind w:left="480" w:hanging="480"/>
      </w:pPr>
      <w:r>
        <w:t>4.</w:t>
      </w:r>
      <w:r>
        <w:tab/>
      </w:r>
      <w:r w:rsidR="00732CAB" w:rsidRPr="00732CAB">
        <w:rPr>
          <w:b/>
        </w:rPr>
        <w:t>Efforts to Identify Duplication</w:t>
      </w:r>
      <w:r w:rsidR="00732CAB">
        <w:br/>
      </w:r>
      <w:r w:rsidR="00732CAB">
        <w:br/>
      </w:r>
      <w:r>
        <w:t>To our knowledge, no other Federal agency is collecting this information.</w:t>
      </w:r>
    </w:p>
    <w:p w14:paraId="399F640C" w14:textId="77777777" w:rsidR="00673B1B" w:rsidRDefault="00673B1B" w:rsidP="00673B1B">
      <w:pPr>
        <w:tabs>
          <w:tab w:val="left" w:pos="1176"/>
          <w:tab w:val="left" w:pos="1656"/>
          <w:tab w:val="left" w:pos="6696"/>
          <w:tab w:val="left" w:pos="8256"/>
        </w:tabs>
      </w:pPr>
    </w:p>
    <w:p w14:paraId="32CDE362" w14:textId="77777777" w:rsidR="00673B1B" w:rsidRDefault="00673B1B" w:rsidP="00673B1B">
      <w:pPr>
        <w:tabs>
          <w:tab w:val="left" w:pos="1176"/>
          <w:tab w:val="left" w:pos="1656"/>
          <w:tab w:val="left" w:pos="6696"/>
          <w:tab w:val="left" w:pos="8256"/>
        </w:tabs>
        <w:ind w:left="480"/>
      </w:pPr>
      <w:r>
        <w:t>Similar information with or without modifications does not exist.  The CPI requires consumer expenditure data in order to produce item cost</w:t>
      </w:r>
      <w:r>
        <w:noBreakHyphen/>
        <w:t xml:space="preserve">weights estimates for the </w:t>
      </w:r>
      <w:smartTag w:uri="urn:schemas-microsoft-com:office:smarttags" w:element="place">
        <w:smartTag w:uri="urn:schemas-microsoft-com:office:smarttags" w:element="country-region">
          <w:r>
            <w:t>U.S.</w:t>
          </w:r>
        </w:smartTag>
      </w:smartTag>
      <w:r>
        <w:t xml:space="preserve"> urban population, and for several major metropolitan areas.  Additionally, to estimate cost weights for the population covered by the </w:t>
      </w:r>
      <w:r w:rsidR="000556E5" w:rsidRPr="00E3685C">
        <w:t>“</w:t>
      </w:r>
      <w:r>
        <w:t>CPI for Urban Wage Earners and Clerical Workers</w:t>
      </w:r>
      <w:r w:rsidRPr="00E3685C">
        <w:t>,</w:t>
      </w:r>
      <w:r w:rsidR="000556E5" w:rsidRPr="00E3685C">
        <w:t>”</w:t>
      </w:r>
      <w:r>
        <w:t xml:space="preserve"> the BLS needs occupation and income from respondents to determine if we should use their expenditures in this index.</w:t>
      </w:r>
    </w:p>
    <w:p w14:paraId="1F98FF9E" w14:textId="77777777" w:rsidR="00673B1B" w:rsidRDefault="00673B1B" w:rsidP="00673B1B">
      <w:pPr>
        <w:tabs>
          <w:tab w:val="left" w:pos="1176"/>
          <w:tab w:val="left" w:pos="1656"/>
          <w:tab w:val="left" w:pos="6696"/>
          <w:tab w:val="left" w:pos="8256"/>
        </w:tabs>
      </w:pPr>
    </w:p>
    <w:p w14:paraId="4B932225" w14:textId="59183906" w:rsidR="00673B1B" w:rsidRDefault="00673B1B" w:rsidP="00673B1B">
      <w:pPr>
        <w:tabs>
          <w:tab w:val="left" w:pos="1176"/>
          <w:tab w:val="left" w:pos="1656"/>
          <w:tab w:val="left" w:pos="6696"/>
          <w:tab w:val="left" w:pos="8256"/>
        </w:tabs>
        <w:ind w:left="480"/>
      </w:pPr>
      <w:r>
        <w:t>The only data source that approaches the CPI needs is the Personal Consumption Expenditures (PCE) published by the Bureau of Economic Analysis.  However, these data do not allow the BLS to tabulate by the demographic characteristics and geograph</w:t>
      </w:r>
      <w:r w:rsidR="002A0B99">
        <w:t>ic areas</w:t>
      </w:r>
      <w:r>
        <w:t xml:space="preserve"> necessary for producing estimates of cost weights for indexes published by the BLS</w:t>
      </w:r>
      <w:r w:rsidR="004253BD">
        <w:t xml:space="preserve"> as well as for many other analytical uses of the data</w:t>
      </w:r>
      <w:r>
        <w:t>.  The PCE estimates, in addition to being too aggregated and lacking the statistical qualities</w:t>
      </w:r>
      <w:r w:rsidR="00222B10">
        <w:t xml:space="preserve"> of the CE</w:t>
      </w:r>
      <w:r>
        <w:t>, also cover the institutional population that is out</w:t>
      </w:r>
      <w:r>
        <w:noBreakHyphen/>
        <w:t>of</w:t>
      </w:r>
      <w:r>
        <w:noBreakHyphen/>
        <w:t>scope for the CPI.</w:t>
      </w:r>
    </w:p>
    <w:p w14:paraId="6691C5CC" w14:textId="77777777" w:rsidR="00673B1B" w:rsidRDefault="00673B1B" w:rsidP="00673B1B">
      <w:pPr>
        <w:tabs>
          <w:tab w:val="left" w:pos="1176"/>
          <w:tab w:val="left" w:pos="1656"/>
          <w:tab w:val="left" w:pos="6696"/>
          <w:tab w:val="left" w:pos="8256"/>
        </w:tabs>
      </w:pPr>
    </w:p>
    <w:p w14:paraId="015E1395" w14:textId="115083DC" w:rsidR="00673B1B" w:rsidRDefault="00673B1B" w:rsidP="00673B1B">
      <w:pPr>
        <w:tabs>
          <w:tab w:val="left" w:pos="1176"/>
          <w:tab w:val="left" w:pos="1656"/>
          <w:tab w:val="left" w:pos="6696"/>
          <w:tab w:val="left" w:pos="8256"/>
        </w:tabs>
        <w:ind w:left="480" w:hanging="480"/>
      </w:pPr>
      <w:r>
        <w:t>5.</w:t>
      </w:r>
      <w:r>
        <w:tab/>
      </w:r>
      <w:r w:rsidR="00732CAB" w:rsidRPr="00732CAB">
        <w:rPr>
          <w:b/>
        </w:rPr>
        <w:t>Impact on Small Businesses</w:t>
      </w:r>
      <w:r w:rsidR="00732CAB">
        <w:br/>
      </w:r>
      <w:r w:rsidR="00732CAB">
        <w:br/>
      </w:r>
      <w:r>
        <w:t xml:space="preserve">Not applicable: </w:t>
      </w:r>
      <w:r w:rsidR="00222B10">
        <w:t>t</w:t>
      </w:r>
      <w:r>
        <w:t>he collection of information on the CE questionnaires involves individuals or households, not small businesses.</w:t>
      </w:r>
    </w:p>
    <w:p w14:paraId="1121E0E5" w14:textId="77777777" w:rsidR="00673B1B" w:rsidRDefault="00673B1B" w:rsidP="00673B1B">
      <w:pPr>
        <w:tabs>
          <w:tab w:val="left" w:pos="1176"/>
          <w:tab w:val="left" w:pos="1656"/>
          <w:tab w:val="left" w:pos="6696"/>
          <w:tab w:val="left" w:pos="8256"/>
        </w:tabs>
      </w:pPr>
    </w:p>
    <w:p w14:paraId="5BBD79A6" w14:textId="7DA72B26" w:rsidR="00673B1B" w:rsidRDefault="00673B1B" w:rsidP="00673B1B">
      <w:pPr>
        <w:tabs>
          <w:tab w:val="left" w:pos="1176"/>
          <w:tab w:val="left" w:pos="1656"/>
          <w:tab w:val="left" w:pos="6696"/>
          <w:tab w:val="left" w:pos="8256"/>
        </w:tabs>
        <w:ind w:left="480" w:hanging="480"/>
      </w:pPr>
      <w:r>
        <w:t>6.</w:t>
      </w:r>
      <w:r>
        <w:tab/>
      </w:r>
      <w:r w:rsidR="00732CAB" w:rsidRPr="00732CAB">
        <w:rPr>
          <w:b/>
        </w:rPr>
        <w:t>Consequences of not collecting the data</w:t>
      </w:r>
      <w:r w:rsidR="00732CAB">
        <w:br/>
      </w:r>
      <w:r w:rsidR="00732CAB">
        <w:br/>
      </w:r>
      <w:r>
        <w:t>Before 1979, the BLS collected consumer income and expenditure data every 10 to 15 years as a major component of large</w:t>
      </w:r>
      <w:r>
        <w:noBreakHyphen/>
        <w:t>scale periodic projects to update and revise the CPI.  By conducting the consumer expenditure surveys continuously, the BLS is able to provide more frequent, up to date data</w:t>
      </w:r>
      <w:r w:rsidR="00F1508C">
        <w:t>,</w:t>
      </w:r>
      <w:r>
        <w:t xml:space="preserve"> thereby increasing the overall quality and efficiency of the CPI revisions.  If the BLS does not conduct the CE Surveys on a continuing basis, current information necessary for timely </w:t>
      </w:r>
      <w:r w:rsidR="00366AA6">
        <w:t>and</w:t>
      </w:r>
      <w:r>
        <w:t xml:space="preserve"> accurate updating of the CPI would not be available.  In addition, the BLS would not be able to respond to the continuing demand</w:t>
      </w:r>
      <w:r>
        <w:noBreakHyphen/>
        <w:t>from the public and private sectors</w:t>
      </w:r>
      <w:r>
        <w:noBreakHyphen/>
        <w:t>for current information on consumer spending and income.</w:t>
      </w:r>
    </w:p>
    <w:p w14:paraId="0EF0AD16" w14:textId="77777777" w:rsidR="00673B1B" w:rsidRDefault="00673B1B" w:rsidP="00673B1B">
      <w:pPr>
        <w:tabs>
          <w:tab w:val="left" w:pos="1176"/>
          <w:tab w:val="left" w:pos="1656"/>
          <w:tab w:val="left" w:pos="6696"/>
          <w:tab w:val="left" w:pos="8256"/>
        </w:tabs>
        <w:ind w:left="480"/>
      </w:pPr>
    </w:p>
    <w:p w14:paraId="422CE3A2" w14:textId="77777777" w:rsidR="00673B1B" w:rsidRDefault="00673B1B" w:rsidP="00673B1B">
      <w:pPr>
        <w:tabs>
          <w:tab w:val="left" w:pos="1176"/>
          <w:tab w:val="left" w:pos="1656"/>
          <w:tab w:val="left" w:pos="6696"/>
          <w:tab w:val="left" w:pos="8256"/>
        </w:tabs>
        <w:ind w:left="480"/>
      </w:pPr>
      <w:r>
        <w:t>Data from the CE are the basis for determining the market basket of the CPI.  The CPI market basket is updated approximately every two years and the updated market</w:t>
      </w:r>
      <w:r w:rsidR="0093617F">
        <w:t xml:space="preserve"> basket</w:t>
      </w:r>
      <w:r>
        <w:t xml:space="preserve"> is two years old at the time of introduction.</w:t>
      </w:r>
    </w:p>
    <w:p w14:paraId="4F2591FF" w14:textId="77777777" w:rsidR="00673B1B" w:rsidRDefault="00673B1B" w:rsidP="00673B1B">
      <w:pPr>
        <w:tabs>
          <w:tab w:val="left" w:pos="1176"/>
          <w:tab w:val="left" w:pos="1656"/>
          <w:tab w:val="left" w:pos="6696"/>
          <w:tab w:val="left" w:pos="8256"/>
        </w:tabs>
        <w:ind w:left="480"/>
      </w:pPr>
    </w:p>
    <w:p w14:paraId="6F5EBCCC" w14:textId="77777777" w:rsidR="00673B1B" w:rsidRDefault="003537F4" w:rsidP="00673B1B">
      <w:pPr>
        <w:tabs>
          <w:tab w:val="left" w:pos="1176"/>
          <w:tab w:val="left" w:pos="1656"/>
          <w:tab w:val="left" w:pos="6696"/>
          <w:tab w:val="left" w:pos="8256"/>
        </w:tabs>
        <w:ind w:left="480"/>
      </w:pPr>
      <w:r>
        <w:t>In addition, t</w:t>
      </w:r>
      <w:r w:rsidR="00673B1B">
        <w:t xml:space="preserve">he current sample sizes for the CE and </w:t>
      </w:r>
      <w:r>
        <w:t>rapid</w:t>
      </w:r>
      <w:r w:rsidR="00673B1B">
        <w:t xml:space="preserve"> data processing </w:t>
      </w:r>
      <w:r w:rsidR="002502B2">
        <w:t>allow the BLS to produce superlative</w:t>
      </w:r>
      <w:r w:rsidR="00673B1B">
        <w:t xml:space="preserve"> measures of consumer price trends of an acceptable degree of reliability and on a basis much closer to real time than would be possible in the absence of a large sample.  Su</w:t>
      </w:r>
      <w:r w:rsidR="002502B2">
        <w:t>ch indexes</w:t>
      </w:r>
      <w:r w:rsidR="00673B1B">
        <w:t xml:space="preserve"> are widely regarded as closer approximations to a cost-of-living index than the current CPI.</w:t>
      </w:r>
    </w:p>
    <w:p w14:paraId="207DE429" w14:textId="77777777" w:rsidR="006F4286" w:rsidRDefault="006F4286" w:rsidP="00F721B6">
      <w:pPr>
        <w:tabs>
          <w:tab w:val="left" w:pos="1176"/>
          <w:tab w:val="left" w:pos="1656"/>
          <w:tab w:val="left" w:pos="6696"/>
          <w:tab w:val="left" w:pos="8256"/>
        </w:tabs>
      </w:pPr>
    </w:p>
    <w:p w14:paraId="18A6AAB9" w14:textId="112F4DDD" w:rsidR="00673B1B" w:rsidRPr="00D76BA4" w:rsidRDefault="00E80008" w:rsidP="00F721B6">
      <w:pPr>
        <w:tabs>
          <w:tab w:val="left" w:pos="1176"/>
          <w:tab w:val="left" w:pos="1656"/>
          <w:tab w:val="left" w:pos="6696"/>
          <w:tab w:val="left" w:pos="8256"/>
        </w:tabs>
        <w:ind w:left="432" w:hanging="432"/>
      </w:pPr>
      <w:r>
        <w:t>7.</w:t>
      </w:r>
      <w:r>
        <w:tab/>
      </w:r>
      <w:r w:rsidR="00732CAB" w:rsidRPr="00732CAB">
        <w:rPr>
          <w:b/>
        </w:rPr>
        <w:t>Special Circumstances</w:t>
      </w:r>
      <w:r w:rsidR="00732CAB">
        <w:br/>
      </w:r>
      <w:r w:rsidR="00732CAB">
        <w:br/>
      </w:r>
      <w:r w:rsidR="00673B1B">
        <w:t xml:space="preserve">The </w:t>
      </w:r>
      <w:r w:rsidR="003D2701">
        <w:t>CED</w:t>
      </w:r>
      <w:r w:rsidR="00673B1B">
        <w:t xml:space="preserve"> requests that each selected sample unit keep two one-week diaries of expenditures over two consecutive weeks.  The </w:t>
      </w:r>
      <w:r w:rsidR="003D2701">
        <w:t>CED</w:t>
      </w:r>
      <w:r w:rsidR="00673B1B">
        <w:t xml:space="preserve"> collects information on small, relatively inexpensive items that respondents may not be able to recall in a retrospective survey.  Given the type of data collected, the </w:t>
      </w:r>
      <w:r w:rsidR="00B77DE4">
        <w:t>BLS</w:t>
      </w:r>
      <w:r w:rsidR="00673B1B">
        <w:t xml:space="preserve"> requests</w:t>
      </w:r>
      <w:r w:rsidR="00B77DE4">
        <w:t xml:space="preserve"> Diary Survey</w:t>
      </w:r>
      <w:r w:rsidR="00673B1B">
        <w:t xml:space="preserve"> respondents to record responses in fewer than 30 days after receipt of </w:t>
      </w:r>
      <w:r w:rsidR="00A41CB8">
        <w:t>the survey</w:t>
      </w:r>
      <w:r w:rsidR="00673B1B">
        <w:t>.</w:t>
      </w:r>
    </w:p>
    <w:p w14:paraId="39C7ECDF" w14:textId="77777777" w:rsidR="00E83CE9" w:rsidRDefault="00E83CE9" w:rsidP="00E83CE9">
      <w:pPr>
        <w:tabs>
          <w:tab w:val="left" w:pos="1176"/>
          <w:tab w:val="left" w:pos="1656"/>
          <w:tab w:val="left" w:pos="6696"/>
          <w:tab w:val="left" w:pos="8256"/>
        </w:tabs>
        <w:ind w:left="2253"/>
      </w:pPr>
    </w:p>
    <w:p w14:paraId="24D75339" w14:textId="1A9F5F17" w:rsidR="002305EC" w:rsidRDefault="00E83CE9" w:rsidP="002305EC">
      <w:pPr>
        <w:autoSpaceDE w:val="0"/>
        <w:autoSpaceDN w:val="0"/>
        <w:adjustRightInd w:val="0"/>
        <w:ind w:left="450" w:hanging="450"/>
      </w:pPr>
      <w:r>
        <w:t>8.</w:t>
      </w:r>
      <w:r w:rsidR="00222B10">
        <w:tab/>
      </w:r>
      <w:r w:rsidRPr="001C0822">
        <w:rPr>
          <w:b/>
          <w:color w:val="000000"/>
        </w:rPr>
        <w:t>Consultations</w:t>
      </w:r>
    </w:p>
    <w:p w14:paraId="01CA7D0D" w14:textId="2B7B3AA3" w:rsidR="00B401D0" w:rsidRDefault="002305EC" w:rsidP="002305EC">
      <w:pPr>
        <w:autoSpaceDE w:val="0"/>
        <w:autoSpaceDN w:val="0"/>
        <w:adjustRightInd w:val="0"/>
        <w:ind w:left="450"/>
      </w:pPr>
      <w:r w:rsidRPr="00C4675D">
        <w:t xml:space="preserve">One comment </w:t>
      </w:r>
      <w:r w:rsidRPr="009751DE">
        <w:t xml:space="preserve">was received on the Federal Register Notice published in </w:t>
      </w:r>
      <w:r w:rsidR="005D1C6B" w:rsidRPr="009751DE">
        <w:t>84</w:t>
      </w:r>
      <w:r w:rsidRPr="009751DE">
        <w:t xml:space="preserve"> FR </w:t>
      </w:r>
      <w:r w:rsidR="005D1C6B" w:rsidRPr="009751DE">
        <w:t xml:space="preserve">9383 </w:t>
      </w:r>
      <w:r w:rsidRPr="009751DE">
        <w:t xml:space="preserve">on </w:t>
      </w:r>
      <w:r w:rsidR="00B401D0" w:rsidRPr="009751DE">
        <w:t>Ma</w:t>
      </w:r>
      <w:r w:rsidR="000172AB" w:rsidRPr="009751DE">
        <w:t>rch</w:t>
      </w:r>
      <w:r w:rsidR="00B401D0" w:rsidRPr="009751DE">
        <w:t xml:space="preserve"> </w:t>
      </w:r>
      <w:r w:rsidR="005D1C6B" w:rsidRPr="009751DE">
        <w:t>14</w:t>
      </w:r>
      <w:r w:rsidR="00B401D0" w:rsidRPr="009751DE">
        <w:t>, 201</w:t>
      </w:r>
      <w:r w:rsidR="000172AB" w:rsidRPr="009751DE">
        <w:t>9</w:t>
      </w:r>
      <w:r w:rsidR="00B401D0" w:rsidRPr="009751DE">
        <w:t>.</w:t>
      </w:r>
      <w:r w:rsidR="006767CF" w:rsidRPr="009751DE">
        <w:t xml:space="preserve">  The comment, which was emailed to BLS on March 14, 2019, expressed the opionion that the survey is collected too frequently.</w:t>
      </w:r>
      <w:r w:rsidR="006767CF">
        <w:t xml:space="preserve">  </w:t>
      </w:r>
    </w:p>
    <w:p w14:paraId="69B99C96" w14:textId="77777777" w:rsidR="009751DE" w:rsidRDefault="009751DE" w:rsidP="002305EC">
      <w:pPr>
        <w:autoSpaceDE w:val="0"/>
        <w:autoSpaceDN w:val="0"/>
        <w:adjustRightInd w:val="0"/>
        <w:ind w:left="450"/>
      </w:pPr>
    </w:p>
    <w:p w14:paraId="1A81C29D" w14:textId="4B17A860" w:rsidR="009751DE" w:rsidRPr="009751DE" w:rsidRDefault="009751DE" w:rsidP="00C4675D">
      <w:pPr>
        <w:autoSpaceDE w:val="0"/>
        <w:autoSpaceDN w:val="0"/>
        <w:adjustRightInd w:val="0"/>
        <w:ind w:left="450"/>
        <w:rPr>
          <w:sz w:val="22"/>
          <w:szCs w:val="22"/>
        </w:rPr>
      </w:pPr>
      <w:r>
        <w:t xml:space="preserve">The Consumer Expenditure Interview Survey is designed as a rotating panel consisting of 4 interviews of a given household at 3 month intervals.  There are several advantages to the panel nature of the survey including the ability to measure year to year changes in income, assets, and </w:t>
      </w:r>
      <w:r w:rsidRPr="00C4675D">
        <w:t xml:space="preserve">liabilities; the measurement of changes to expenditure behavior over time; measurement of infrequently purchased items; as an aid in recall; and to eliminate reported expenditures that are out of scope.  </w:t>
      </w:r>
      <w:r>
        <w:t>Measurements of changes in income, assets, and liabilities require recollection of these items at a 12 month interval.  Though the interview is repeated every three months, respondent burden is minimized as income, assets, and liabilities are only collected at the first and final interviews.  Likewise, measurements of changes to expenditure behavior over time requires repeated measurement of the same household in order to correlate changes in a given household’s spending over time.  Additionally, purchases of durable goods may be missed by surveying only at a particular moment in time as compared to a panel survey.  Furthermore, misreports of expenditure data can be corrected in subsequent interviews</w:t>
      </w:r>
      <w:r w:rsidRPr="009751DE">
        <w:t xml:space="preserve">.  </w:t>
      </w:r>
      <w:r w:rsidRPr="00C4675D">
        <w:t>Errors in recollection as to the exact timing of expenditures can lead to reporting of expenditures outside of the reference period.  By using a panel survey, these out of scope expenditures can be eliminated.</w:t>
      </w:r>
      <w:r w:rsidRPr="009751DE">
        <w:t xml:space="preserve">  Other benefits include the familiarity that respondents gain with collection and instructions provided on collecting records, enabling respondents to prepare for subsequent interview.  </w:t>
      </w:r>
    </w:p>
    <w:p w14:paraId="7F13B329" w14:textId="77777777" w:rsidR="009751DE" w:rsidRPr="009751DE" w:rsidRDefault="009751DE" w:rsidP="009751DE"/>
    <w:p w14:paraId="31CD1997" w14:textId="77777777" w:rsidR="009751DE" w:rsidRDefault="009751DE" w:rsidP="00C4675D">
      <w:pPr>
        <w:ind w:left="450"/>
      </w:pPr>
      <w:r w:rsidRPr="009751DE">
        <w:t xml:space="preserve">CE carefully weighed the impact of longer recall periods and collection of infrequently purchased items to arrive at the current 3 month recall period over four interviews. CE continues to investigate methods to reduce respondent burden </w:t>
      </w:r>
      <w:r w:rsidRPr="00C4675D">
        <w:t xml:space="preserve">and costs, including an analysis of CE survey </w:t>
      </w:r>
      <w:r w:rsidRPr="009751DE">
        <w:t>methods.  As a result, CE recently eliminated the first bounding interview resulting in a decre</w:t>
      </w:r>
      <w:r>
        <w:t>ase of the number of interviews required from five to four.</w:t>
      </w:r>
    </w:p>
    <w:p w14:paraId="45D6ECFF" w14:textId="58DF38E1" w:rsidR="00AF6676" w:rsidRDefault="00AF6676" w:rsidP="00222B10">
      <w:pPr>
        <w:autoSpaceDE w:val="0"/>
        <w:autoSpaceDN w:val="0"/>
        <w:adjustRightInd w:val="0"/>
        <w:ind w:left="450" w:hanging="450"/>
      </w:pPr>
    </w:p>
    <w:p w14:paraId="2DB98A20" w14:textId="2847BB31" w:rsidR="00673B1B" w:rsidRDefault="003708C7" w:rsidP="00A52EC2">
      <w:pPr>
        <w:autoSpaceDE w:val="0"/>
        <w:autoSpaceDN w:val="0"/>
        <w:adjustRightInd w:val="0"/>
        <w:ind w:left="450" w:hanging="450"/>
      </w:pPr>
      <w:r>
        <w:tab/>
      </w:r>
      <w:r w:rsidR="00673B1B">
        <w:t>In the past year, the BLS has consulted with the following persons by correspondence and telephone conversations:</w:t>
      </w:r>
    </w:p>
    <w:p w14:paraId="41F4C5E4" w14:textId="77777777" w:rsidR="00673B1B" w:rsidRDefault="00673B1B" w:rsidP="00673B1B">
      <w:pPr>
        <w:tabs>
          <w:tab w:val="left" w:pos="1176"/>
          <w:tab w:val="left" w:pos="1656"/>
          <w:tab w:val="left" w:pos="6696"/>
          <w:tab w:val="left" w:pos="8256"/>
        </w:tabs>
      </w:pPr>
    </w:p>
    <w:p w14:paraId="2E7BDB48" w14:textId="77777777" w:rsidR="00B44EF2" w:rsidRPr="00B44EF2" w:rsidRDefault="00B44EF2" w:rsidP="00B44EF2">
      <w:pPr>
        <w:shd w:val="clear" w:color="auto" w:fill="FFFFFF"/>
        <w:ind w:left="720"/>
        <w:rPr>
          <w:rFonts w:eastAsia="Calibri"/>
        </w:rPr>
      </w:pPr>
      <w:r w:rsidRPr="00B44EF2">
        <w:rPr>
          <w:rFonts w:eastAsia="Calibri"/>
        </w:rPr>
        <w:t>Jennifer Epps</w:t>
      </w:r>
    </w:p>
    <w:p w14:paraId="6098310C" w14:textId="77777777" w:rsidR="00B44EF2" w:rsidRPr="00B44EF2" w:rsidRDefault="00B44EF2" w:rsidP="00B44EF2">
      <w:pPr>
        <w:shd w:val="clear" w:color="auto" w:fill="FFFFFF"/>
        <w:ind w:left="720"/>
        <w:rPr>
          <w:rFonts w:eastAsia="Calibri"/>
        </w:rPr>
      </w:pPr>
      <w:r w:rsidRPr="00B44EF2">
        <w:rPr>
          <w:rFonts w:eastAsia="Calibri"/>
        </w:rPr>
        <w:t>Associate Director for Demographic Programs – Survey Operations</w:t>
      </w:r>
    </w:p>
    <w:p w14:paraId="499E75AC" w14:textId="38A09EF0" w:rsidR="00B44EF2" w:rsidRPr="00B44EF2" w:rsidRDefault="00411F2A" w:rsidP="00B44EF2">
      <w:pPr>
        <w:shd w:val="clear" w:color="auto" w:fill="FFFFFF"/>
        <w:ind w:left="720"/>
        <w:rPr>
          <w:rFonts w:eastAsia="Calibri"/>
        </w:rPr>
      </w:pPr>
      <w:r>
        <w:rPr>
          <w:rFonts w:eastAsia="Calibri"/>
        </w:rPr>
        <w:t>Census Bureau</w:t>
      </w:r>
    </w:p>
    <w:p w14:paraId="5F1518EE" w14:textId="77777777" w:rsidR="00B44EF2" w:rsidRPr="00B44EF2" w:rsidRDefault="00B44EF2" w:rsidP="00B44EF2">
      <w:pPr>
        <w:shd w:val="clear" w:color="auto" w:fill="FFFFFF"/>
        <w:ind w:left="720"/>
        <w:rPr>
          <w:rFonts w:eastAsia="Calibri"/>
        </w:rPr>
      </w:pPr>
    </w:p>
    <w:p w14:paraId="476A4D4F" w14:textId="77777777" w:rsidR="00B44EF2" w:rsidRPr="00B44EF2" w:rsidRDefault="00B44EF2" w:rsidP="00B44EF2">
      <w:pPr>
        <w:shd w:val="clear" w:color="auto" w:fill="FFFFFF"/>
        <w:ind w:left="720"/>
        <w:rPr>
          <w:rFonts w:eastAsia="Calibri"/>
        </w:rPr>
      </w:pPr>
      <w:r w:rsidRPr="00B44EF2">
        <w:rPr>
          <w:rFonts w:eastAsia="Calibri"/>
        </w:rPr>
        <w:t>John Gloster</w:t>
      </w:r>
    </w:p>
    <w:p w14:paraId="5424AA49" w14:textId="77777777" w:rsidR="00B44EF2" w:rsidRPr="00B44EF2" w:rsidRDefault="00B44EF2" w:rsidP="00B44EF2">
      <w:pPr>
        <w:shd w:val="clear" w:color="auto" w:fill="FFFFFF"/>
        <w:ind w:left="720"/>
        <w:rPr>
          <w:rFonts w:eastAsia="Calibri"/>
        </w:rPr>
      </w:pPr>
      <w:r w:rsidRPr="00B44EF2">
        <w:rPr>
          <w:rFonts w:eastAsia="Calibri"/>
        </w:rPr>
        <w:t>Associate Director for Demographic Programs – Survey Operations</w:t>
      </w:r>
    </w:p>
    <w:p w14:paraId="669868E6" w14:textId="77777777" w:rsidR="00411F2A" w:rsidRPr="00B44EF2" w:rsidRDefault="00411F2A" w:rsidP="00411F2A">
      <w:pPr>
        <w:shd w:val="clear" w:color="auto" w:fill="FFFFFF"/>
        <w:ind w:left="720"/>
        <w:rPr>
          <w:rFonts w:eastAsia="Calibri"/>
        </w:rPr>
      </w:pPr>
      <w:r>
        <w:rPr>
          <w:rFonts w:eastAsia="Calibri"/>
        </w:rPr>
        <w:t>Census Bureau</w:t>
      </w:r>
    </w:p>
    <w:p w14:paraId="767EAF21" w14:textId="77777777" w:rsidR="00B44EF2" w:rsidRPr="00B44EF2" w:rsidRDefault="00B44EF2" w:rsidP="00B44EF2">
      <w:pPr>
        <w:shd w:val="clear" w:color="auto" w:fill="FFFFFF"/>
        <w:ind w:left="720"/>
        <w:rPr>
          <w:rFonts w:eastAsia="Calibri"/>
        </w:rPr>
      </w:pPr>
    </w:p>
    <w:p w14:paraId="75117D52" w14:textId="77777777" w:rsidR="00B44EF2" w:rsidRPr="00B44EF2" w:rsidRDefault="00B44EF2" w:rsidP="00B44EF2">
      <w:pPr>
        <w:shd w:val="clear" w:color="auto" w:fill="FFFFFF"/>
        <w:ind w:left="720"/>
        <w:rPr>
          <w:rFonts w:eastAsia="Calibri"/>
        </w:rPr>
      </w:pPr>
      <w:r w:rsidRPr="00B44EF2">
        <w:rPr>
          <w:rFonts w:eastAsia="Calibri"/>
        </w:rPr>
        <w:t>Richard Schwartz</w:t>
      </w:r>
    </w:p>
    <w:p w14:paraId="3B01A834" w14:textId="77777777" w:rsidR="00B44EF2" w:rsidRPr="00B44EF2" w:rsidRDefault="00B44EF2" w:rsidP="00B44EF2">
      <w:pPr>
        <w:shd w:val="clear" w:color="auto" w:fill="FFFFFF"/>
        <w:ind w:left="720"/>
        <w:rPr>
          <w:rFonts w:eastAsia="Calibri"/>
        </w:rPr>
      </w:pPr>
      <w:r w:rsidRPr="00B44EF2">
        <w:rPr>
          <w:rFonts w:eastAsia="Calibri"/>
        </w:rPr>
        <w:t>Associate Director for Demographic Programs – Survey Operations</w:t>
      </w:r>
    </w:p>
    <w:p w14:paraId="27BA1069" w14:textId="77777777" w:rsidR="00411F2A" w:rsidRPr="00B44EF2" w:rsidRDefault="00411F2A" w:rsidP="00411F2A">
      <w:pPr>
        <w:shd w:val="clear" w:color="auto" w:fill="FFFFFF"/>
        <w:ind w:left="720"/>
        <w:rPr>
          <w:rFonts w:eastAsia="Calibri"/>
        </w:rPr>
      </w:pPr>
      <w:r>
        <w:rPr>
          <w:rFonts w:eastAsia="Calibri"/>
        </w:rPr>
        <w:t>Census Bureau</w:t>
      </w:r>
    </w:p>
    <w:p w14:paraId="6538EBEB" w14:textId="77777777" w:rsidR="00B44EF2" w:rsidRPr="00B44EF2" w:rsidRDefault="00B44EF2" w:rsidP="00B44EF2">
      <w:pPr>
        <w:shd w:val="clear" w:color="auto" w:fill="FFFFFF"/>
        <w:ind w:left="720"/>
        <w:rPr>
          <w:rFonts w:eastAsia="Calibri"/>
        </w:rPr>
      </w:pPr>
    </w:p>
    <w:p w14:paraId="53BF7741" w14:textId="77777777" w:rsidR="00B44EF2" w:rsidRPr="00B44EF2" w:rsidRDefault="00B44EF2" w:rsidP="00B44EF2">
      <w:pPr>
        <w:shd w:val="clear" w:color="auto" w:fill="FFFFFF"/>
        <w:ind w:left="720"/>
        <w:rPr>
          <w:rFonts w:eastAsia="Calibri"/>
        </w:rPr>
      </w:pPr>
      <w:r w:rsidRPr="00B44EF2">
        <w:rPr>
          <w:rFonts w:eastAsia="Calibri"/>
        </w:rPr>
        <w:t>Stephen Ash</w:t>
      </w:r>
    </w:p>
    <w:p w14:paraId="734ECD21" w14:textId="77777777" w:rsidR="00B44EF2" w:rsidRPr="00B44EF2" w:rsidRDefault="00B44EF2" w:rsidP="00B44EF2">
      <w:pPr>
        <w:shd w:val="clear" w:color="auto" w:fill="FFFFFF"/>
        <w:ind w:left="720"/>
        <w:rPr>
          <w:rFonts w:eastAsia="Calibri"/>
        </w:rPr>
      </w:pPr>
      <w:r w:rsidRPr="00B44EF2">
        <w:rPr>
          <w:rFonts w:eastAsia="Calibri"/>
        </w:rPr>
        <w:t>Demographic Statistical Methods Division</w:t>
      </w:r>
    </w:p>
    <w:p w14:paraId="299079C5" w14:textId="77777777" w:rsidR="00411F2A" w:rsidRPr="00B44EF2" w:rsidRDefault="00411F2A" w:rsidP="00411F2A">
      <w:pPr>
        <w:shd w:val="clear" w:color="auto" w:fill="FFFFFF"/>
        <w:ind w:left="720"/>
        <w:rPr>
          <w:rFonts w:eastAsia="Calibri"/>
        </w:rPr>
      </w:pPr>
      <w:r>
        <w:rPr>
          <w:rFonts w:eastAsia="Calibri"/>
        </w:rPr>
        <w:t>Census Bureau</w:t>
      </w:r>
    </w:p>
    <w:p w14:paraId="431C0FCA" w14:textId="77777777" w:rsidR="00B44EF2" w:rsidRPr="00B44EF2" w:rsidRDefault="00B44EF2" w:rsidP="00B44EF2">
      <w:pPr>
        <w:shd w:val="clear" w:color="auto" w:fill="FFFFFF"/>
        <w:ind w:left="720"/>
        <w:rPr>
          <w:rFonts w:eastAsia="Calibri"/>
        </w:rPr>
      </w:pPr>
    </w:p>
    <w:p w14:paraId="26969958" w14:textId="77777777" w:rsidR="00B44EF2" w:rsidRPr="00B44EF2" w:rsidRDefault="00B44EF2" w:rsidP="00B44EF2">
      <w:pPr>
        <w:shd w:val="clear" w:color="auto" w:fill="FFFFFF"/>
        <w:ind w:left="720"/>
        <w:rPr>
          <w:rFonts w:eastAsia="Calibri"/>
        </w:rPr>
      </w:pPr>
      <w:r w:rsidRPr="00B44EF2">
        <w:rPr>
          <w:rFonts w:eastAsia="Calibri"/>
        </w:rPr>
        <w:t>Susan Hostetter</w:t>
      </w:r>
    </w:p>
    <w:p w14:paraId="7A857A17" w14:textId="77777777" w:rsidR="00B44EF2" w:rsidRPr="00B44EF2" w:rsidRDefault="00B44EF2" w:rsidP="00B44EF2">
      <w:pPr>
        <w:shd w:val="clear" w:color="auto" w:fill="FFFFFF"/>
        <w:ind w:left="720"/>
        <w:rPr>
          <w:rFonts w:eastAsia="Calibri"/>
        </w:rPr>
      </w:pPr>
      <w:r w:rsidRPr="00B44EF2">
        <w:rPr>
          <w:rFonts w:eastAsia="Calibri"/>
        </w:rPr>
        <w:t>Demographic Statistical Methods Division</w:t>
      </w:r>
    </w:p>
    <w:p w14:paraId="6360DBB6" w14:textId="77777777" w:rsidR="00411F2A" w:rsidRPr="00B44EF2" w:rsidRDefault="00411F2A" w:rsidP="00411F2A">
      <w:pPr>
        <w:shd w:val="clear" w:color="auto" w:fill="FFFFFF"/>
        <w:ind w:left="720"/>
        <w:rPr>
          <w:rFonts w:eastAsia="Calibri"/>
        </w:rPr>
      </w:pPr>
      <w:r>
        <w:rPr>
          <w:rFonts w:eastAsia="Calibri"/>
        </w:rPr>
        <w:t>Census Bureau</w:t>
      </w:r>
    </w:p>
    <w:p w14:paraId="6DE34843" w14:textId="73174625" w:rsidR="00673B1B" w:rsidRDefault="00673B1B" w:rsidP="00673B1B">
      <w:pPr>
        <w:tabs>
          <w:tab w:val="left" w:pos="1176"/>
          <w:tab w:val="left" w:pos="1656"/>
          <w:tab w:val="left" w:pos="6696"/>
          <w:tab w:val="left" w:pos="8256"/>
        </w:tabs>
      </w:pPr>
    </w:p>
    <w:p w14:paraId="435832FE" w14:textId="77777777" w:rsidR="00673B1B" w:rsidRDefault="00673B1B" w:rsidP="00673B1B">
      <w:pPr>
        <w:tabs>
          <w:tab w:val="left" w:pos="1176"/>
          <w:tab w:val="left" w:pos="1656"/>
          <w:tab w:val="left" w:pos="6696"/>
          <w:tab w:val="left" w:pos="8256"/>
        </w:tabs>
        <w:ind w:left="480"/>
        <w:outlineLvl w:val="0"/>
      </w:pPr>
      <w:r>
        <w:t>Consultations with these persons continue as specific problems arise.</w:t>
      </w:r>
    </w:p>
    <w:p w14:paraId="29A90F78" w14:textId="77777777" w:rsidR="00673B1B" w:rsidRDefault="00673B1B" w:rsidP="00673B1B">
      <w:pPr>
        <w:tabs>
          <w:tab w:val="left" w:pos="1176"/>
          <w:tab w:val="left" w:pos="1656"/>
          <w:tab w:val="left" w:pos="6696"/>
          <w:tab w:val="left" w:pos="8256"/>
        </w:tabs>
        <w:ind w:left="1656"/>
      </w:pPr>
    </w:p>
    <w:p w14:paraId="330AE85C" w14:textId="33579B4C" w:rsidR="00AE3967" w:rsidRPr="00A20DB2" w:rsidRDefault="00CB340C" w:rsidP="002D486C">
      <w:pPr>
        <w:ind w:left="480" w:hanging="480"/>
      </w:pPr>
      <w:r w:rsidRPr="002D486C">
        <w:t>9</w:t>
      </w:r>
      <w:r w:rsidR="00673B1B" w:rsidRPr="002D486C">
        <w:t>.</w:t>
      </w:r>
      <w:r w:rsidR="002D486C">
        <w:rPr>
          <w:b/>
        </w:rPr>
        <w:tab/>
      </w:r>
      <w:r w:rsidR="00732CAB" w:rsidRPr="002D486C">
        <w:rPr>
          <w:b/>
        </w:rPr>
        <w:t>Payment to Respondents</w:t>
      </w:r>
      <w:r w:rsidR="00732CAB">
        <w:br/>
      </w:r>
      <w:r w:rsidR="00732CAB">
        <w:br/>
      </w:r>
      <w:r w:rsidR="00BA03EC">
        <w:t>As part of the LSF Online Diary Feasibility test, a subsample of respondents will receive a $5 unconditional token incentive with their advance letter.  (See Attachment A for additional information.)</w:t>
      </w:r>
    </w:p>
    <w:p w14:paraId="619CDB98" w14:textId="77777777" w:rsidR="00673B1B" w:rsidRDefault="00673B1B" w:rsidP="00175F43">
      <w:pPr>
        <w:tabs>
          <w:tab w:val="left" w:pos="1176"/>
          <w:tab w:val="left" w:pos="1656"/>
          <w:tab w:val="left" w:pos="6696"/>
          <w:tab w:val="left" w:pos="8256"/>
        </w:tabs>
        <w:ind w:left="480" w:hanging="480"/>
      </w:pPr>
    </w:p>
    <w:p w14:paraId="59A13C7F" w14:textId="76418EA7" w:rsidR="00673B1B" w:rsidRDefault="00CB340C" w:rsidP="00673B1B">
      <w:pPr>
        <w:tabs>
          <w:tab w:val="left" w:pos="1176"/>
          <w:tab w:val="left" w:pos="1656"/>
          <w:tab w:val="left" w:pos="6696"/>
          <w:tab w:val="left" w:pos="8256"/>
        </w:tabs>
        <w:ind w:left="480" w:hanging="480"/>
      </w:pPr>
      <w:r>
        <w:t>10</w:t>
      </w:r>
      <w:r w:rsidR="00673B1B">
        <w:t>.</w:t>
      </w:r>
      <w:r w:rsidR="00673B1B">
        <w:tab/>
      </w:r>
      <w:r w:rsidR="00732CAB" w:rsidRPr="00732CAB">
        <w:rPr>
          <w:b/>
        </w:rPr>
        <w:t>Assurance of Confidentiality</w:t>
      </w:r>
      <w:r w:rsidR="00732CAB">
        <w:br/>
      </w:r>
      <w:r w:rsidR="00732CAB">
        <w:br/>
      </w:r>
      <w:r w:rsidR="00673B1B" w:rsidRPr="004A5140">
        <w:t xml:space="preserve">The </w:t>
      </w:r>
      <w:bookmarkStart w:id="1" w:name="OLE_LINK1"/>
      <w:bookmarkStart w:id="2" w:name="OLE_LINK2"/>
      <w:r w:rsidR="00194FE3" w:rsidRPr="004A5140">
        <w:t>Census Bureau interviewers</w:t>
      </w:r>
      <w:r w:rsidR="001B6C2E" w:rsidRPr="00293590">
        <w:t xml:space="preserve">, </w:t>
      </w:r>
      <w:r w:rsidR="00673B1B" w:rsidRPr="00293590">
        <w:t xml:space="preserve">Census Bureau </w:t>
      </w:r>
      <w:r w:rsidR="001B6C2E" w:rsidRPr="00293590">
        <w:t xml:space="preserve">employees, </w:t>
      </w:r>
      <w:r w:rsidR="00194FE3" w:rsidRPr="00293590">
        <w:t>and BLS employees with access to CE data</w:t>
      </w:r>
      <w:r w:rsidR="00673B1B" w:rsidRPr="006A6F11">
        <w:t xml:space="preserve"> </w:t>
      </w:r>
      <w:bookmarkEnd w:id="1"/>
      <w:bookmarkEnd w:id="2"/>
      <w:r w:rsidR="00673B1B" w:rsidRPr="006A6F11">
        <w:t xml:space="preserve">hold all information that respondents provide in strict confidence in accordance with Title 13, United States Code, Section 9.  </w:t>
      </w:r>
      <w:r w:rsidR="00194FE3" w:rsidRPr="006A6F11">
        <w:t xml:space="preserve">Census Bureau </w:t>
      </w:r>
      <w:r w:rsidR="00673B1B" w:rsidRPr="006A6F11">
        <w:t>interviewer</w:t>
      </w:r>
      <w:r w:rsidR="00194FE3" w:rsidRPr="006A6F11">
        <w:t>s, Census Bureau employees</w:t>
      </w:r>
      <w:r w:rsidR="001B6C2E" w:rsidRPr="006A6F11">
        <w:t>,</w:t>
      </w:r>
      <w:r w:rsidR="00194FE3" w:rsidRPr="006A6F11">
        <w:t xml:space="preserve"> and BLS employees with access to CE data</w:t>
      </w:r>
      <w:r w:rsidR="00673B1B" w:rsidRPr="006A6F11">
        <w:t xml:space="preserve"> ha</w:t>
      </w:r>
      <w:r w:rsidR="00194FE3" w:rsidRPr="006A6F11">
        <w:t>ve</w:t>
      </w:r>
      <w:r w:rsidR="00673B1B" w:rsidRPr="006A6F11">
        <w:t xml:space="preserve"> </w:t>
      </w:r>
      <w:r w:rsidR="00194FE3" w:rsidRPr="006A6F11">
        <w:t xml:space="preserve">each </w:t>
      </w:r>
      <w:r w:rsidR="00673B1B" w:rsidRPr="006A6F11">
        <w:t>taken an oath to this effect, and if convicted of disclosing any information given by the respondent may be fined up to $</w:t>
      </w:r>
      <w:r w:rsidR="008A2D20" w:rsidRPr="006A6F11">
        <w:t>2</w:t>
      </w:r>
      <w:r w:rsidR="00673B1B" w:rsidRPr="006A6F11">
        <w:t>5</w:t>
      </w:r>
      <w:r w:rsidR="008A2D20" w:rsidRPr="006A6F11">
        <w:t>0</w:t>
      </w:r>
      <w:r w:rsidR="00673B1B" w:rsidRPr="006A6F11">
        <w:t xml:space="preserve">,000 and/or imprisoned up to 5 years.  In addition, Title 13 prohibits </w:t>
      </w:r>
      <w:r w:rsidR="00194FE3" w:rsidRPr="006A6F11">
        <w:t>Census Bureau interviewers</w:t>
      </w:r>
      <w:r w:rsidR="001B6C2E" w:rsidRPr="006A6F11">
        <w:t xml:space="preserve">, </w:t>
      </w:r>
      <w:r w:rsidR="00194FE3" w:rsidRPr="006A6F11">
        <w:t xml:space="preserve">Census Bureau </w:t>
      </w:r>
      <w:r w:rsidR="001B6C2E" w:rsidRPr="006A6F11">
        <w:t xml:space="preserve">employees, </w:t>
      </w:r>
      <w:r w:rsidR="00194FE3" w:rsidRPr="006A6F11">
        <w:t>and BLS employees with access to CE data</w:t>
      </w:r>
      <w:r w:rsidR="00673B1B" w:rsidRPr="006A6F11">
        <w:t xml:space="preserve"> from disclosing information identifying any individual(s) in the CE Surveys to anyone other than sworn Census </w:t>
      </w:r>
      <w:r w:rsidR="00194FE3" w:rsidRPr="006A6F11">
        <w:t xml:space="preserve">or BLS </w:t>
      </w:r>
      <w:r w:rsidR="00673B1B" w:rsidRPr="006A6F11">
        <w:t xml:space="preserve">employees. </w:t>
      </w:r>
      <w:r w:rsidR="00A41CB8">
        <w:t xml:space="preserve"> </w:t>
      </w:r>
      <w:r w:rsidR="00673B1B" w:rsidRPr="006A6F11">
        <w:t>Before the interviewer</w:t>
      </w:r>
      <w:r w:rsidR="000556E5" w:rsidRPr="006A6F11">
        <w:t>’</w:t>
      </w:r>
      <w:r w:rsidR="00673B1B" w:rsidRPr="006A6F11">
        <w:t xml:space="preserve">s visit, </w:t>
      </w:r>
      <w:r w:rsidR="003D2701" w:rsidRPr="006A6F11">
        <w:t>CEQ</w:t>
      </w:r>
      <w:r w:rsidR="00673B1B" w:rsidRPr="006A6F11">
        <w:t xml:space="preserve"> or </w:t>
      </w:r>
      <w:r w:rsidR="003D2701" w:rsidRPr="006A6F11">
        <w:t>CED</w:t>
      </w:r>
      <w:r w:rsidR="00673B1B" w:rsidRPr="006A6F11">
        <w:t xml:space="preserve"> respondents will receive the CE-303(L) or CE-803(L) Advance Letters respectively,</w:t>
      </w:r>
      <w:bookmarkStart w:id="3" w:name="STET"/>
      <w:bookmarkEnd w:id="3"/>
      <w:r w:rsidR="00673B1B" w:rsidRPr="006A6F11">
        <w:t xml:space="preserve"> signed by the Director of the Census Bureau and informing them of the confidentiality of the survey data.</w:t>
      </w:r>
    </w:p>
    <w:p w14:paraId="199AABA8" w14:textId="77777777" w:rsidR="00673B1B" w:rsidRDefault="00673B1B" w:rsidP="00673B1B">
      <w:pPr>
        <w:tabs>
          <w:tab w:val="left" w:pos="1176"/>
          <w:tab w:val="left" w:pos="1656"/>
          <w:tab w:val="left" w:pos="6696"/>
          <w:tab w:val="left" w:pos="8256"/>
        </w:tabs>
      </w:pPr>
    </w:p>
    <w:p w14:paraId="5DB80580" w14:textId="27A4EFCC" w:rsidR="00673B1B" w:rsidRDefault="00673B1B" w:rsidP="00673B1B">
      <w:pPr>
        <w:tabs>
          <w:tab w:val="left" w:pos="1176"/>
          <w:tab w:val="left" w:pos="1656"/>
          <w:tab w:val="left" w:pos="6696"/>
          <w:tab w:val="left" w:pos="8256"/>
        </w:tabs>
        <w:ind w:left="480" w:hanging="480"/>
      </w:pPr>
      <w:r>
        <w:t>11.</w:t>
      </w:r>
      <w:r>
        <w:tab/>
      </w:r>
      <w:r w:rsidR="00732CAB" w:rsidRPr="00732CAB">
        <w:rPr>
          <w:b/>
        </w:rPr>
        <w:t>Justification for the collection of sensitive data</w:t>
      </w:r>
      <w:r w:rsidR="00732CAB">
        <w:br/>
      </w:r>
      <w:r w:rsidR="00732CAB">
        <w:br/>
      </w:r>
      <w:r>
        <w:t>The CE Surveys do not include any questions of a sensitive nature.</w:t>
      </w:r>
    </w:p>
    <w:p w14:paraId="77B7E58D" w14:textId="77777777" w:rsidR="00673B1B" w:rsidRDefault="00673B1B" w:rsidP="00673B1B">
      <w:pPr>
        <w:tabs>
          <w:tab w:val="left" w:pos="1176"/>
          <w:tab w:val="left" w:pos="1656"/>
          <w:tab w:val="left" w:pos="6696"/>
          <w:tab w:val="left" w:pos="8256"/>
        </w:tabs>
      </w:pPr>
    </w:p>
    <w:p w14:paraId="64EE3B32" w14:textId="77777777" w:rsidR="003F7588" w:rsidRDefault="003F7588" w:rsidP="003F7588">
      <w:pPr>
        <w:tabs>
          <w:tab w:val="left" w:pos="1176"/>
          <w:tab w:val="left" w:pos="1656"/>
          <w:tab w:val="left" w:pos="6696"/>
          <w:tab w:val="left" w:pos="8256"/>
        </w:tabs>
        <w:rPr>
          <w:b/>
        </w:rPr>
      </w:pPr>
      <w:r>
        <w:t xml:space="preserve">12.  </w:t>
      </w:r>
      <w:r w:rsidRPr="00585E44">
        <w:rPr>
          <w:b/>
        </w:rPr>
        <w:t>Burden Estimate</w:t>
      </w:r>
    </w:p>
    <w:p w14:paraId="4C07648C" w14:textId="77777777" w:rsidR="005D106D" w:rsidRPr="00585E44" w:rsidRDefault="005D106D" w:rsidP="003F7588">
      <w:pPr>
        <w:tabs>
          <w:tab w:val="left" w:pos="1176"/>
          <w:tab w:val="left" w:pos="1656"/>
          <w:tab w:val="left" w:pos="6696"/>
          <w:tab w:val="left" w:pos="8256"/>
        </w:tabs>
        <w:rPr>
          <w:b/>
        </w:rPr>
      </w:pPr>
    </w:p>
    <w:p w14:paraId="0196B7AE" w14:textId="618238DE" w:rsidR="00230C54" w:rsidRPr="005C0E61" w:rsidRDefault="00230C54" w:rsidP="00230C54">
      <w:pPr>
        <w:ind w:left="480"/>
      </w:pPr>
      <w:r w:rsidRPr="005C0E61">
        <w:t xml:space="preserve">As a result of the </w:t>
      </w:r>
      <w:r w:rsidR="00F67DE8">
        <w:t>increase in the sample size and the addition of the LSF Online Diary Feasiblity test</w:t>
      </w:r>
      <w:r w:rsidRPr="005C0E61">
        <w:t xml:space="preserve">, </w:t>
      </w:r>
      <w:r w:rsidR="00F67DE8">
        <w:t>the total response burden will increase to 52,337</w:t>
      </w:r>
      <w:r w:rsidR="00F67DE8" w:rsidRPr="00DB2764">
        <w:t xml:space="preserve"> hours</w:t>
      </w:r>
      <w:r w:rsidRPr="005C0E61">
        <w:t>.</w:t>
      </w:r>
      <w:r w:rsidR="00881066" w:rsidRPr="005C0E61">
        <w:t xml:space="preserve"> </w:t>
      </w:r>
    </w:p>
    <w:p w14:paraId="0E113F4B" w14:textId="77777777" w:rsidR="00230C54" w:rsidRPr="005C0E61" w:rsidRDefault="00230C54" w:rsidP="00230C54">
      <w:pPr>
        <w:ind w:left="480"/>
      </w:pPr>
      <w:r w:rsidRPr="005E378C">
        <w:rPr>
          <w:highlight w:val="yellow"/>
        </w:rPr>
        <w:t xml:space="preserve"> </w:t>
      </w:r>
    </w:p>
    <w:p w14:paraId="46B5D2C0" w14:textId="590AD0C9" w:rsidR="00230C54" w:rsidRDefault="00230C54" w:rsidP="00230C54">
      <w:pPr>
        <w:ind w:left="480"/>
      </w:pPr>
      <w:r w:rsidRPr="005C0E61">
        <w:t xml:space="preserve">BLS will conduct the CEQ at approximately </w:t>
      </w:r>
      <w:r w:rsidR="000E5E37">
        <w:t>50,733</w:t>
      </w:r>
      <w:r w:rsidRPr="005C0E61">
        <w:t xml:space="preserve"> designated addresses, which</w:t>
      </w:r>
      <w:r w:rsidR="00F12244" w:rsidRPr="005C0E61">
        <w:t xml:space="preserve"> will result in </w:t>
      </w:r>
      <w:r w:rsidR="00C34E7F">
        <w:t xml:space="preserve">an </w:t>
      </w:r>
      <w:r w:rsidR="00DC07DE">
        <w:t xml:space="preserve">average annual </w:t>
      </w:r>
      <w:r w:rsidR="00C34E7F">
        <w:t>estimate</w:t>
      </w:r>
      <w:r w:rsidR="00DC07DE">
        <w:t xml:space="preserve"> of</w:t>
      </w:r>
      <w:r w:rsidR="00F12244" w:rsidRPr="005C0E61">
        <w:t xml:space="preserve"> </w:t>
      </w:r>
      <w:r w:rsidR="000E5E37">
        <w:t xml:space="preserve">24,268 </w:t>
      </w:r>
      <w:r w:rsidRPr="005C0E61">
        <w:t>completed interviews.  Reinterviews will be conducted on approximately 1</w:t>
      </w:r>
      <w:r w:rsidR="005054E4" w:rsidRPr="005C0E61">
        <w:t>2</w:t>
      </w:r>
      <w:r w:rsidRPr="005C0E61">
        <w:t xml:space="preserve"> percent of the completed </w:t>
      </w:r>
      <w:r w:rsidR="005C0E61" w:rsidRPr="005C0E61">
        <w:t>interviews, for a</w:t>
      </w:r>
      <w:r w:rsidR="00DC07DE">
        <w:t>n average of</w:t>
      </w:r>
      <w:r w:rsidR="005C0E61" w:rsidRPr="005C0E61">
        <w:t xml:space="preserve"> 2</w:t>
      </w:r>
      <w:r w:rsidR="000E5E37">
        <w:t>,912</w:t>
      </w:r>
      <w:r w:rsidRPr="005C0E61">
        <w:t xml:space="preserve"> completed reinterviews yearly.  The average time to complete the survey is </w:t>
      </w:r>
      <w:r w:rsidR="00923447" w:rsidRPr="005C0E61">
        <w:t>70</w:t>
      </w:r>
      <w:r w:rsidRPr="005C0E61">
        <w:t xml:space="preserve"> minutes for the regular interview, and 10 minutes for the reinterview.  This results in an annual</w:t>
      </w:r>
      <w:r w:rsidR="00721421">
        <w:t xml:space="preserve"> average</w:t>
      </w:r>
      <w:r w:rsidRPr="005C0E61">
        <w:t xml:space="preserve"> response burden</w:t>
      </w:r>
      <w:r w:rsidR="001D18BA">
        <w:t xml:space="preserve"> (in terms of interview length)</w:t>
      </w:r>
      <w:r w:rsidRPr="005C0E61">
        <w:t xml:space="preserve"> of </w:t>
      </w:r>
      <w:r w:rsidR="00F12244" w:rsidRPr="005C0E61">
        <w:t>2</w:t>
      </w:r>
      <w:r w:rsidR="000E5E37">
        <w:t>8,798</w:t>
      </w:r>
      <w:r w:rsidRPr="005C0E61">
        <w:t xml:space="preserve"> hours.</w:t>
      </w:r>
    </w:p>
    <w:p w14:paraId="4862DF10" w14:textId="77777777" w:rsidR="00230C54" w:rsidRPr="005C0E61" w:rsidRDefault="00230C54" w:rsidP="00702E8E"/>
    <w:tbl>
      <w:tblPr>
        <w:tblpPr w:leftFromText="180" w:rightFromText="180" w:vertAnchor="text" w:horzAnchor="margin" w:tblpY="2"/>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443"/>
        <w:gridCol w:w="1710"/>
        <w:gridCol w:w="1805"/>
        <w:gridCol w:w="1498"/>
        <w:gridCol w:w="1128"/>
      </w:tblGrid>
      <w:tr w:rsidR="008631CF" w14:paraId="00744F17" w14:textId="77777777" w:rsidTr="00C4675D">
        <w:trPr>
          <w:trHeight w:val="572"/>
        </w:trPr>
        <w:tc>
          <w:tcPr>
            <w:tcW w:w="9516" w:type="dxa"/>
            <w:gridSpan w:val="6"/>
            <w:shd w:val="clear" w:color="auto" w:fill="auto"/>
            <w:vAlign w:val="center"/>
          </w:tcPr>
          <w:p w14:paraId="14C90FEA" w14:textId="2A938A42" w:rsidR="008631CF" w:rsidRDefault="008631CF" w:rsidP="00411840">
            <w:pPr>
              <w:rPr>
                <w:color w:val="000000"/>
              </w:rPr>
            </w:pPr>
            <w:r>
              <w:rPr>
                <w:color w:val="000000"/>
              </w:rPr>
              <w:t xml:space="preserve">Average and Fiscal Year Total </w:t>
            </w:r>
            <w:r w:rsidR="00411840">
              <w:rPr>
                <w:color w:val="000000"/>
              </w:rPr>
              <w:t>for the Interview portion of the Interview Suvery (excludes Reinterview estimates)</w:t>
            </w:r>
          </w:p>
        </w:tc>
      </w:tr>
      <w:tr w:rsidR="000937FF" w14:paraId="0F6F57E8" w14:textId="77777777" w:rsidTr="00C4675D">
        <w:trPr>
          <w:trHeight w:val="572"/>
        </w:trPr>
        <w:tc>
          <w:tcPr>
            <w:tcW w:w="1932" w:type="dxa"/>
            <w:shd w:val="clear" w:color="auto" w:fill="auto"/>
            <w:vAlign w:val="center"/>
            <w:hideMark/>
          </w:tcPr>
          <w:p w14:paraId="3E750500" w14:textId="77777777" w:rsidR="000937FF" w:rsidRDefault="000937FF" w:rsidP="000937FF">
            <w:pPr>
              <w:rPr>
                <w:color w:val="000000"/>
              </w:rPr>
            </w:pPr>
            <w:r>
              <w:rPr>
                <w:color w:val="000000"/>
              </w:rPr>
              <w:t>Fiscal Year</w:t>
            </w:r>
          </w:p>
        </w:tc>
        <w:tc>
          <w:tcPr>
            <w:tcW w:w="0" w:type="auto"/>
            <w:shd w:val="clear" w:color="auto" w:fill="auto"/>
            <w:vAlign w:val="center"/>
            <w:hideMark/>
          </w:tcPr>
          <w:p w14:paraId="2A4D9DF4" w14:textId="77777777" w:rsidR="000937FF" w:rsidRDefault="000937FF" w:rsidP="000937FF">
            <w:pPr>
              <w:rPr>
                <w:color w:val="000000"/>
              </w:rPr>
            </w:pPr>
            <w:r>
              <w:rPr>
                <w:color w:val="000000"/>
              </w:rPr>
              <w:t>Respondents</w:t>
            </w:r>
          </w:p>
        </w:tc>
        <w:tc>
          <w:tcPr>
            <w:tcW w:w="0" w:type="auto"/>
            <w:shd w:val="clear" w:color="auto" w:fill="auto"/>
            <w:vAlign w:val="center"/>
            <w:hideMark/>
          </w:tcPr>
          <w:p w14:paraId="7EB16205" w14:textId="7D90259F" w:rsidR="000937FF" w:rsidRDefault="000937FF" w:rsidP="000937FF">
            <w:pPr>
              <w:rPr>
                <w:color w:val="000000"/>
              </w:rPr>
            </w:pPr>
            <w:r>
              <w:rPr>
                <w:color w:val="000000"/>
              </w:rPr>
              <w:t>Responses per year</w:t>
            </w:r>
          </w:p>
        </w:tc>
        <w:tc>
          <w:tcPr>
            <w:tcW w:w="0" w:type="auto"/>
            <w:shd w:val="clear" w:color="auto" w:fill="auto"/>
            <w:vAlign w:val="center"/>
            <w:hideMark/>
          </w:tcPr>
          <w:p w14:paraId="760A457C" w14:textId="77777777" w:rsidR="000937FF" w:rsidRDefault="000937FF" w:rsidP="000937FF">
            <w:pPr>
              <w:rPr>
                <w:color w:val="000000"/>
              </w:rPr>
            </w:pPr>
            <w:r>
              <w:rPr>
                <w:color w:val="000000"/>
              </w:rPr>
              <w:t>Total # of Responses</w:t>
            </w:r>
          </w:p>
        </w:tc>
        <w:tc>
          <w:tcPr>
            <w:tcW w:w="0" w:type="auto"/>
            <w:shd w:val="clear" w:color="auto" w:fill="auto"/>
            <w:vAlign w:val="center"/>
            <w:hideMark/>
          </w:tcPr>
          <w:p w14:paraId="0318A701" w14:textId="1E002DAA" w:rsidR="000937FF" w:rsidRDefault="000937FF" w:rsidP="000937FF">
            <w:pPr>
              <w:rPr>
                <w:color w:val="000000"/>
              </w:rPr>
            </w:pPr>
            <w:r>
              <w:rPr>
                <w:color w:val="000000"/>
              </w:rPr>
              <w:t>Average minutes</w:t>
            </w:r>
          </w:p>
        </w:tc>
        <w:tc>
          <w:tcPr>
            <w:tcW w:w="0" w:type="auto"/>
            <w:shd w:val="clear" w:color="auto" w:fill="auto"/>
            <w:vAlign w:val="center"/>
            <w:hideMark/>
          </w:tcPr>
          <w:p w14:paraId="63CB75B4" w14:textId="07E491A0" w:rsidR="000937FF" w:rsidRDefault="000937FF" w:rsidP="000937FF">
            <w:pPr>
              <w:rPr>
                <w:color w:val="000000"/>
              </w:rPr>
            </w:pPr>
            <w:r>
              <w:rPr>
                <w:color w:val="000000"/>
              </w:rPr>
              <w:t>Total hours</w:t>
            </w:r>
          </w:p>
        </w:tc>
      </w:tr>
      <w:tr w:rsidR="000937FF" w14:paraId="017893B7" w14:textId="77777777" w:rsidTr="00C4675D">
        <w:trPr>
          <w:trHeight w:val="291"/>
        </w:trPr>
        <w:tc>
          <w:tcPr>
            <w:tcW w:w="1932" w:type="dxa"/>
            <w:shd w:val="clear" w:color="auto" w:fill="auto"/>
            <w:vAlign w:val="center"/>
            <w:hideMark/>
          </w:tcPr>
          <w:p w14:paraId="3D8C1DC6" w14:textId="77777777" w:rsidR="000937FF" w:rsidRDefault="000937FF" w:rsidP="000937FF">
            <w:pPr>
              <w:rPr>
                <w:color w:val="000000"/>
              </w:rPr>
            </w:pPr>
            <w:r>
              <w:rPr>
                <w:color w:val="000000"/>
              </w:rPr>
              <w:t>FY 2019</w:t>
            </w:r>
          </w:p>
        </w:tc>
        <w:tc>
          <w:tcPr>
            <w:tcW w:w="0" w:type="auto"/>
            <w:shd w:val="clear" w:color="auto" w:fill="auto"/>
            <w:vAlign w:val="center"/>
            <w:hideMark/>
          </w:tcPr>
          <w:p w14:paraId="435EFB23" w14:textId="66BE4AB0" w:rsidR="000937FF" w:rsidRDefault="000937FF" w:rsidP="000937FF">
            <w:pPr>
              <w:jc w:val="right"/>
              <w:rPr>
                <w:color w:val="000000"/>
              </w:rPr>
            </w:pPr>
            <w:r>
              <w:rPr>
                <w:color w:val="000000"/>
              </w:rPr>
              <w:t>5</w:t>
            </w:r>
            <w:r w:rsidR="00A41CB8">
              <w:rPr>
                <w:color w:val="000000"/>
              </w:rPr>
              <w:t>,</w:t>
            </w:r>
            <w:r>
              <w:rPr>
                <w:color w:val="000000"/>
              </w:rPr>
              <w:t>877</w:t>
            </w:r>
          </w:p>
        </w:tc>
        <w:tc>
          <w:tcPr>
            <w:tcW w:w="0" w:type="auto"/>
            <w:shd w:val="clear" w:color="auto" w:fill="auto"/>
            <w:vAlign w:val="center"/>
            <w:hideMark/>
          </w:tcPr>
          <w:p w14:paraId="2DD54F20" w14:textId="77777777" w:rsidR="000937FF" w:rsidRDefault="000937FF" w:rsidP="000937FF">
            <w:pPr>
              <w:jc w:val="right"/>
              <w:rPr>
                <w:color w:val="000000"/>
              </w:rPr>
            </w:pPr>
            <w:r>
              <w:rPr>
                <w:snapToGrid w:val="0"/>
                <w:color w:val="000000"/>
              </w:rPr>
              <w:t>4</w:t>
            </w:r>
          </w:p>
        </w:tc>
        <w:tc>
          <w:tcPr>
            <w:tcW w:w="0" w:type="auto"/>
            <w:shd w:val="clear" w:color="auto" w:fill="auto"/>
            <w:vAlign w:val="center"/>
            <w:hideMark/>
          </w:tcPr>
          <w:p w14:paraId="6B493732" w14:textId="5F32B57F" w:rsidR="000937FF" w:rsidRDefault="000937FF" w:rsidP="000937FF">
            <w:pPr>
              <w:jc w:val="right"/>
              <w:rPr>
                <w:color w:val="000000"/>
              </w:rPr>
            </w:pPr>
            <w:r>
              <w:rPr>
                <w:color w:val="000000"/>
              </w:rPr>
              <w:t>23</w:t>
            </w:r>
            <w:r w:rsidR="00A41CB8">
              <w:rPr>
                <w:color w:val="000000"/>
              </w:rPr>
              <w:t>,</w:t>
            </w:r>
            <w:r>
              <w:rPr>
                <w:color w:val="000000"/>
              </w:rPr>
              <w:t>508</w:t>
            </w:r>
          </w:p>
        </w:tc>
        <w:tc>
          <w:tcPr>
            <w:tcW w:w="0" w:type="auto"/>
            <w:shd w:val="clear" w:color="auto" w:fill="auto"/>
            <w:vAlign w:val="center"/>
            <w:hideMark/>
          </w:tcPr>
          <w:p w14:paraId="72D75852" w14:textId="77777777" w:rsidR="000937FF" w:rsidRDefault="000937FF" w:rsidP="000937FF">
            <w:pPr>
              <w:jc w:val="right"/>
              <w:rPr>
                <w:color w:val="000000"/>
              </w:rPr>
            </w:pPr>
            <w:r>
              <w:rPr>
                <w:color w:val="000000"/>
              </w:rPr>
              <w:t>70</w:t>
            </w:r>
          </w:p>
        </w:tc>
        <w:tc>
          <w:tcPr>
            <w:tcW w:w="0" w:type="auto"/>
            <w:shd w:val="clear" w:color="auto" w:fill="auto"/>
            <w:vAlign w:val="center"/>
            <w:hideMark/>
          </w:tcPr>
          <w:p w14:paraId="4A643601" w14:textId="77777777" w:rsidR="000937FF" w:rsidRDefault="000937FF" w:rsidP="000937FF">
            <w:pPr>
              <w:jc w:val="right"/>
              <w:rPr>
                <w:color w:val="000000"/>
              </w:rPr>
            </w:pPr>
            <w:r>
              <w:rPr>
                <w:snapToGrid w:val="0"/>
                <w:color w:val="000000"/>
              </w:rPr>
              <w:t>27,426</w:t>
            </w:r>
          </w:p>
        </w:tc>
      </w:tr>
      <w:tr w:rsidR="000937FF" w14:paraId="4AE27D59" w14:textId="77777777" w:rsidTr="00C4675D">
        <w:trPr>
          <w:trHeight w:val="291"/>
        </w:trPr>
        <w:tc>
          <w:tcPr>
            <w:tcW w:w="1932" w:type="dxa"/>
            <w:shd w:val="clear" w:color="auto" w:fill="auto"/>
            <w:vAlign w:val="center"/>
            <w:hideMark/>
          </w:tcPr>
          <w:p w14:paraId="09C794AC" w14:textId="77777777" w:rsidR="000937FF" w:rsidRDefault="000937FF" w:rsidP="000937FF">
            <w:pPr>
              <w:rPr>
                <w:color w:val="000000"/>
              </w:rPr>
            </w:pPr>
            <w:r>
              <w:rPr>
                <w:color w:val="000000"/>
              </w:rPr>
              <w:t>FY 2020</w:t>
            </w:r>
          </w:p>
        </w:tc>
        <w:tc>
          <w:tcPr>
            <w:tcW w:w="0" w:type="auto"/>
            <w:shd w:val="clear" w:color="auto" w:fill="auto"/>
            <w:vAlign w:val="center"/>
            <w:hideMark/>
          </w:tcPr>
          <w:p w14:paraId="489F3F03" w14:textId="2D44285E" w:rsidR="000937FF" w:rsidRDefault="000937FF" w:rsidP="000937FF">
            <w:pPr>
              <w:jc w:val="right"/>
              <w:rPr>
                <w:color w:val="000000"/>
              </w:rPr>
            </w:pPr>
            <w:r>
              <w:rPr>
                <w:color w:val="000000"/>
              </w:rPr>
              <w:t>6</w:t>
            </w:r>
            <w:r w:rsidR="00A41CB8">
              <w:rPr>
                <w:color w:val="000000"/>
              </w:rPr>
              <w:t>,</w:t>
            </w:r>
            <w:r>
              <w:rPr>
                <w:color w:val="000000"/>
              </w:rPr>
              <w:t>091</w:t>
            </w:r>
          </w:p>
        </w:tc>
        <w:tc>
          <w:tcPr>
            <w:tcW w:w="0" w:type="auto"/>
            <w:shd w:val="clear" w:color="auto" w:fill="auto"/>
            <w:vAlign w:val="center"/>
            <w:hideMark/>
          </w:tcPr>
          <w:p w14:paraId="204121BB" w14:textId="77777777" w:rsidR="000937FF" w:rsidRDefault="000937FF" w:rsidP="000937FF">
            <w:pPr>
              <w:jc w:val="right"/>
              <w:rPr>
                <w:color w:val="000000"/>
              </w:rPr>
            </w:pPr>
            <w:r>
              <w:rPr>
                <w:snapToGrid w:val="0"/>
                <w:color w:val="000000"/>
              </w:rPr>
              <w:t>4</w:t>
            </w:r>
          </w:p>
        </w:tc>
        <w:tc>
          <w:tcPr>
            <w:tcW w:w="0" w:type="auto"/>
            <w:shd w:val="clear" w:color="auto" w:fill="auto"/>
            <w:vAlign w:val="center"/>
            <w:hideMark/>
          </w:tcPr>
          <w:p w14:paraId="7DB7D799" w14:textId="3769B004" w:rsidR="000937FF" w:rsidRDefault="000937FF" w:rsidP="000937FF">
            <w:pPr>
              <w:jc w:val="right"/>
              <w:rPr>
                <w:color w:val="000000"/>
              </w:rPr>
            </w:pPr>
            <w:r>
              <w:rPr>
                <w:color w:val="000000"/>
              </w:rPr>
              <w:t>24</w:t>
            </w:r>
            <w:r w:rsidR="00A41CB8">
              <w:rPr>
                <w:color w:val="000000"/>
              </w:rPr>
              <w:t>,</w:t>
            </w:r>
            <w:r>
              <w:rPr>
                <w:color w:val="000000"/>
              </w:rPr>
              <w:t>364</w:t>
            </w:r>
          </w:p>
        </w:tc>
        <w:tc>
          <w:tcPr>
            <w:tcW w:w="0" w:type="auto"/>
            <w:shd w:val="clear" w:color="auto" w:fill="auto"/>
            <w:vAlign w:val="center"/>
            <w:hideMark/>
          </w:tcPr>
          <w:p w14:paraId="10D71287" w14:textId="77777777" w:rsidR="000937FF" w:rsidRDefault="000937FF" w:rsidP="000937FF">
            <w:pPr>
              <w:jc w:val="right"/>
              <w:rPr>
                <w:color w:val="000000"/>
              </w:rPr>
            </w:pPr>
            <w:r>
              <w:rPr>
                <w:color w:val="000000"/>
              </w:rPr>
              <w:t>70</w:t>
            </w:r>
          </w:p>
        </w:tc>
        <w:tc>
          <w:tcPr>
            <w:tcW w:w="0" w:type="auto"/>
            <w:shd w:val="clear" w:color="auto" w:fill="auto"/>
            <w:vAlign w:val="center"/>
            <w:hideMark/>
          </w:tcPr>
          <w:p w14:paraId="25EE87F5" w14:textId="77777777" w:rsidR="000937FF" w:rsidRDefault="000937FF" w:rsidP="000937FF">
            <w:pPr>
              <w:jc w:val="right"/>
              <w:rPr>
                <w:color w:val="000000"/>
              </w:rPr>
            </w:pPr>
            <w:r>
              <w:rPr>
                <w:snapToGrid w:val="0"/>
                <w:color w:val="000000"/>
              </w:rPr>
              <w:t>28,425</w:t>
            </w:r>
          </w:p>
        </w:tc>
      </w:tr>
      <w:tr w:rsidR="000937FF" w14:paraId="27F46129" w14:textId="77777777" w:rsidTr="00C4675D">
        <w:trPr>
          <w:trHeight w:val="291"/>
        </w:trPr>
        <w:tc>
          <w:tcPr>
            <w:tcW w:w="1932" w:type="dxa"/>
            <w:shd w:val="clear" w:color="auto" w:fill="auto"/>
            <w:vAlign w:val="center"/>
            <w:hideMark/>
          </w:tcPr>
          <w:p w14:paraId="6DEF93C6" w14:textId="77777777" w:rsidR="000937FF" w:rsidRDefault="000937FF" w:rsidP="000937FF">
            <w:pPr>
              <w:rPr>
                <w:color w:val="000000"/>
              </w:rPr>
            </w:pPr>
            <w:r>
              <w:rPr>
                <w:color w:val="000000"/>
              </w:rPr>
              <w:t>FY 2021</w:t>
            </w:r>
          </w:p>
        </w:tc>
        <w:tc>
          <w:tcPr>
            <w:tcW w:w="0" w:type="auto"/>
            <w:shd w:val="clear" w:color="auto" w:fill="auto"/>
            <w:vAlign w:val="center"/>
            <w:hideMark/>
          </w:tcPr>
          <w:p w14:paraId="1B0507F8" w14:textId="2ACD5D3D" w:rsidR="000937FF" w:rsidRDefault="000937FF" w:rsidP="000937FF">
            <w:pPr>
              <w:jc w:val="right"/>
              <w:rPr>
                <w:color w:val="000000"/>
              </w:rPr>
            </w:pPr>
            <w:r>
              <w:rPr>
                <w:color w:val="000000"/>
              </w:rPr>
              <w:t>6</w:t>
            </w:r>
            <w:r w:rsidR="00A41CB8">
              <w:rPr>
                <w:color w:val="000000"/>
              </w:rPr>
              <w:t>,</w:t>
            </w:r>
            <w:r>
              <w:rPr>
                <w:color w:val="000000"/>
              </w:rPr>
              <w:t>233</w:t>
            </w:r>
          </w:p>
        </w:tc>
        <w:tc>
          <w:tcPr>
            <w:tcW w:w="0" w:type="auto"/>
            <w:shd w:val="clear" w:color="auto" w:fill="auto"/>
            <w:vAlign w:val="center"/>
            <w:hideMark/>
          </w:tcPr>
          <w:p w14:paraId="2B0F8472" w14:textId="77777777" w:rsidR="000937FF" w:rsidRDefault="000937FF" w:rsidP="000937FF">
            <w:pPr>
              <w:jc w:val="right"/>
              <w:rPr>
                <w:color w:val="000000"/>
              </w:rPr>
            </w:pPr>
            <w:r>
              <w:rPr>
                <w:snapToGrid w:val="0"/>
                <w:color w:val="000000"/>
              </w:rPr>
              <w:t>4</w:t>
            </w:r>
          </w:p>
        </w:tc>
        <w:tc>
          <w:tcPr>
            <w:tcW w:w="0" w:type="auto"/>
            <w:shd w:val="clear" w:color="auto" w:fill="auto"/>
            <w:vAlign w:val="center"/>
            <w:hideMark/>
          </w:tcPr>
          <w:p w14:paraId="0D58CA9B" w14:textId="6C924BFD" w:rsidR="000937FF" w:rsidRDefault="000937FF" w:rsidP="000937FF">
            <w:pPr>
              <w:jc w:val="right"/>
              <w:rPr>
                <w:color w:val="000000"/>
              </w:rPr>
            </w:pPr>
            <w:r>
              <w:rPr>
                <w:color w:val="000000"/>
              </w:rPr>
              <w:t>24</w:t>
            </w:r>
            <w:r w:rsidR="00A41CB8">
              <w:rPr>
                <w:color w:val="000000"/>
              </w:rPr>
              <w:t>,</w:t>
            </w:r>
            <w:r>
              <w:rPr>
                <w:color w:val="000000"/>
              </w:rPr>
              <w:t>932</w:t>
            </w:r>
          </w:p>
        </w:tc>
        <w:tc>
          <w:tcPr>
            <w:tcW w:w="0" w:type="auto"/>
            <w:shd w:val="clear" w:color="auto" w:fill="auto"/>
            <w:vAlign w:val="center"/>
            <w:hideMark/>
          </w:tcPr>
          <w:p w14:paraId="226150D6" w14:textId="77777777" w:rsidR="000937FF" w:rsidRDefault="000937FF" w:rsidP="000937FF">
            <w:pPr>
              <w:jc w:val="right"/>
              <w:rPr>
                <w:color w:val="000000"/>
              </w:rPr>
            </w:pPr>
            <w:r>
              <w:rPr>
                <w:color w:val="000000"/>
              </w:rPr>
              <w:t>70</w:t>
            </w:r>
          </w:p>
        </w:tc>
        <w:tc>
          <w:tcPr>
            <w:tcW w:w="0" w:type="auto"/>
            <w:shd w:val="clear" w:color="auto" w:fill="auto"/>
            <w:vAlign w:val="center"/>
            <w:hideMark/>
          </w:tcPr>
          <w:p w14:paraId="0A66E1E2" w14:textId="77777777" w:rsidR="000937FF" w:rsidRDefault="000937FF" w:rsidP="000937FF">
            <w:pPr>
              <w:jc w:val="right"/>
              <w:rPr>
                <w:color w:val="000000"/>
              </w:rPr>
            </w:pPr>
            <w:r>
              <w:rPr>
                <w:snapToGrid w:val="0"/>
                <w:color w:val="000000"/>
              </w:rPr>
              <w:t>29,087</w:t>
            </w:r>
          </w:p>
        </w:tc>
      </w:tr>
      <w:tr w:rsidR="000937FF" w14:paraId="3A6F9038" w14:textId="77777777" w:rsidTr="00C4675D">
        <w:trPr>
          <w:trHeight w:val="620"/>
        </w:trPr>
        <w:tc>
          <w:tcPr>
            <w:tcW w:w="1932" w:type="dxa"/>
            <w:shd w:val="clear" w:color="auto" w:fill="auto"/>
            <w:vAlign w:val="center"/>
            <w:hideMark/>
          </w:tcPr>
          <w:p w14:paraId="6540355D" w14:textId="77777777" w:rsidR="000937FF" w:rsidRDefault="000937FF" w:rsidP="000937FF">
            <w:pPr>
              <w:rPr>
                <w:color w:val="000000"/>
              </w:rPr>
            </w:pPr>
            <w:r>
              <w:rPr>
                <w:color w:val="000000"/>
              </w:rPr>
              <w:t>Average Interview</w:t>
            </w:r>
          </w:p>
        </w:tc>
        <w:tc>
          <w:tcPr>
            <w:tcW w:w="0" w:type="auto"/>
            <w:shd w:val="clear" w:color="auto" w:fill="auto"/>
            <w:vAlign w:val="center"/>
            <w:hideMark/>
          </w:tcPr>
          <w:p w14:paraId="6B4C17F6" w14:textId="237EC4C1" w:rsidR="000937FF" w:rsidRDefault="000937FF" w:rsidP="000937FF">
            <w:pPr>
              <w:jc w:val="right"/>
              <w:rPr>
                <w:color w:val="000000"/>
              </w:rPr>
            </w:pPr>
            <w:r>
              <w:rPr>
                <w:snapToGrid w:val="0"/>
                <w:color w:val="000000"/>
              </w:rPr>
              <w:t>6</w:t>
            </w:r>
            <w:r w:rsidR="00A41CB8">
              <w:rPr>
                <w:snapToGrid w:val="0"/>
                <w:color w:val="000000"/>
              </w:rPr>
              <w:t>,</w:t>
            </w:r>
            <w:r>
              <w:rPr>
                <w:snapToGrid w:val="0"/>
                <w:color w:val="000000"/>
              </w:rPr>
              <w:t>067</w:t>
            </w:r>
          </w:p>
        </w:tc>
        <w:tc>
          <w:tcPr>
            <w:tcW w:w="0" w:type="auto"/>
            <w:shd w:val="clear" w:color="auto" w:fill="auto"/>
            <w:vAlign w:val="center"/>
            <w:hideMark/>
          </w:tcPr>
          <w:p w14:paraId="614016C6" w14:textId="77777777" w:rsidR="000937FF" w:rsidRDefault="000937FF" w:rsidP="000937FF">
            <w:pPr>
              <w:jc w:val="right"/>
              <w:rPr>
                <w:color w:val="000000"/>
              </w:rPr>
            </w:pPr>
            <w:r>
              <w:rPr>
                <w:snapToGrid w:val="0"/>
                <w:color w:val="000000"/>
              </w:rPr>
              <w:t>4</w:t>
            </w:r>
          </w:p>
        </w:tc>
        <w:tc>
          <w:tcPr>
            <w:tcW w:w="0" w:type="auto"/>
            <w:shd w:val="clear" w:color="auto" w:fill="auto"/>
            <w:vAlign w:val="center"/>
            <w:hideMark/>
          </w:tcPr>
          <w:p w14:paraId="72B6A509" w14:textId="77777777" w:rsidR="000937FF" w:rsidRDefault="000937FF" w:rsidP="000937FF">
            <w:pPr>
              <w:jc w:val="right"/>
              <w:rPr>
                <w:color w:val="000000"/>
              </w:rPr>
            </w:pPr>
            <w:r>
              <w:rPr>
                <w:color w:val="000000"/>
              </w:rPr>
              <w:t>24,268</w:t>
            </w:r>
          </w:p>
        </w:tc>
        <w:tc>
          <w:tcPr>
            <w:tcW w:w="0" w:type="auto"/>
            <w:shd w:val="clear" w:color="auto" w:fill="auto"/>
            <w:vAlign w:val="center"/>
            <w:hideMark/>
          </w:tcPr>
          <w:p w14:paraId="63E634D1" w14:textId="77777777" w:rsidR="000937FF" w:rsidRDefault="000937FF" w:rsidP="000937FF">
            <w:pPr>
              <w:jc w:val="right"/>
              <w:rPr>
                <w:color w:val="000000"/>
              </w:rPr>
            </w:pPr>
            <w:r>
              <w:rPr>
                <w:color w:val="000000"/>
              </w:rPr>
              <w:t>70</w:t>
            </w:r>
          </w:p>
        </w:tc>
        <w:tc>
          <w:tcPr>
            <w:tcW w:w="0" w:type="auto"/>
            <w:shd w:val="clear" w:color="auto" w:fill="auto"/>
            <w:vAlign w:val="center"/>
            <w:hideMark/>
          </w:tcPr>
          <w:p w14:paraId="11851B28" w14:textId="77777777" w:rsidR="000937FF" w:rsidRDefault="000937FF" w:rsidP="000937FF">
            <w:pPr>
              <w:jc w:val="right"/>
              <w:rPr>
                <w:color w:val="000000"/>
              </w:rPr>
            </w:pPr>
            <w:r>
              <w:rPr>
                <w:color w:val="000000"/>
              </w:rPr>
              <w:t>28,313</w:t>
            </w:r>
          </w:p>
        </w:tc>
      </w:tr>
    </w:tbl>
    <w:p w14:paraId="441A1782" w14:textId="77777777" w:rsidR="00C87310" w:rsidRPr="005C0E61" w:rsidRDefault="00C87310" w:rsidP="00702E8E"/>
    <w:p w14:paraId="4729079F" w14:textId="77777777" w:rsidR="00827965" w:rsidRDefault="00827965" w:rsidP="00702E8E">
      <w:pPr>
        <w:rPr>
          <w:highlight w:val="yellow"/>
        </w:rPr>
      </w:pPr>
    </w:p>
    <w:p w14:paraId="0C1638FB" w14:textId="77777777" w:rsidR="00827965" w:rsidRPr="005E378C" w:rsidRDefault="00827965" w:rsidP="00230C54">
      <w:pPr>
        <w:ind w:left="480"/>
        <w:rPr>
          <w:highlight w:val="yellow"/>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1"/>
        <w:gridCol w:w="1619"/>
        <w:gridCol w:w="1370"/>
        <w:gridCol w:w="1560"/>
        <w:gridCol w:w="1385"/>
        <w:gridCol w:w="1419"/>
      </w:tblGrid>
      <w:tr w:rsidR="00C87310" w:rsidRPr="005E378C" w14:paraId="46C8F776" w14:textId="77777777" w:rsidTr="00702E8E">
        <w:trPr>
          <w:jc w:val="center"/>
        </w:trPr>
        <w:tc>
          <w:tcPr>
            <w:tcW w:w="9194" w:type="dxa"/>
            <w:gridSpan w:val="6"/>
            <w:tcMar>
              <w:top w:w="0" w:type="dxa"/>
              <w:left w:w="120" w:type="dxa"/>
              <w:bottom w:w="0" w:type="dxa"/>
              <w:right w:w="120" w:type="dxa"/>
            </w:tcMar>
            <w:hideMark/>
          </w:tcPr>
          <w:p w14:paraId="1E087DA5" w14:textId="792BC3DD" w:rsidR="00C87310" w:rsidRPr="00DB2764" w:rsidRDefault="00C87310" w:rsidP="00C87310">
            <w:pPr>
              <w:jc w:val="center"/>
            </w:pPr>
            <w:r w:rsidRPr="00DB2764">
              <w:t>Response Burden for the Interview Survey</w:t>
            </w:r>
            <w:r w:rsidR="00411840">
              <w:t xml:space="preserve"> (includes Interview and Reinterview)</w:t>
            </w:r>
          </w:p>
        </w:tc>
      </w:tr>
      <w:tr w:rsidR="00C87310" w:rsidRPr="005E378C" w14:paraId="5F7ED990" w14:textId="77777777" w:rsidTr="00702E8E">
        <w:trPr>
          <w:jc w:val="center"/>
        </w:trPr>
        <w:tc>
          <w:tcPr>
            <w:tcW w:w="1841" w:type="dxa"/>
            <w:tcMar>
              <w:top w:w="0" w:type="dxa"/>
              <w:left w:w="120" w:type="dxa"/>
              <w:bottom w:w="0" w:type="dxa"/>
              <w:right w:w="120" w:type="dxa"/>
            </w:tcMar>
          </w:tcPr>
          <w:p w14:paraId="26CA3F83" w14:textId="77777777" w:rsidR="00C87310" w:rsidRPr="00DB2764" w:rsidRDefault="00C87310" w:rsidP="00C87310">
            <w:pPr>
              <w:jc w:val="center"/>
            </w:pPr>
          </w:p>
          <w:p w14:paraId="37F34FAB" w14:textId="77777777" w:rsidR="00C87310" w:rsidRPr="00DB2764" w:rsidRDefault="00C87310" w:rsidP="00C87310">
            <w:pPr>
              <w:jc w:val="center"/>
            </w:pPr>
            <w:r w:rsidRPr="00DB2764">
              <w:t>Form</w:t>
            </w:r>
          </w:p>
        </w:tc>
        <w:tc>
          <w:tcPr>
            <w:tcW w:w="1619" w:type="dxa"/>
            <w:tcMar>
              <w:top w:w="0" w:type="dxa"/>
              <w:left w:w="120" w:type="dxa"/>
              <w:bottom w:w="0" w:type="dxa"/>
              <w:right w:w="120" w:type="dxa"/>
            </w:tcMar>
            <w:hideMark/>
          </w:tcPr>
          <w:p w14:paraId="0C442D1D" w14:textId="77777777" w:rsidR="00C87310" w:rsidRPr="00DB2764" w:rsidRDefault="00C87310" w:rsidP="00C87310">
            <w:pPr>
              <w:jc w:val="center"/>
            </w:pPr>
            <w:r w:rsidRPr="00DB2764">
              <w:t>Total Respondents</w:t>
            </w:r>
          </w:p>
        </w:tc>
        <w:tc>
          <w:tcPr>
            <w:tcW w:w="1370" w:type="dxa"/>
            <w:tcMar>
              <w:top w:w="0" w:type="dxa"/>
              <w:left w:w="120" w:type="dxa"/>
              <w:bottom w:w="0" w:type="dxa"/>
              <w:right w:w="120" w:type="dxa"/>
            </w:tcMar>
            <w:hideMark/>
          </w:tcPr>
          <w:p w14:paraId="2E836AC8" w14:textId="77777777" w:rsidR="00C87310" w:rsidRPr="00DB2764" w:rsidRDefault="00C87310" w:rsidP="00C87310">
            <w:pPr>
              <w:jc w:val="center"/>
            </w:pPr>
            <w:r w:rsidRPr="00DB2764">
              <w:t>Frequency</w:t>
            </w:r>
          </w:p>
        </w:tc>
        <w:tc>
          <w:tcPr>
            <w:tcW w:w="1560" w:type="dxa"/>
            <w:tcMar>
              <w:top w:w="0" w:type="dxa"/>
              <w:left w:w="120" w:type="dxa"/>
              <w:bottom w:w="0" w:type="dxa"/>
              <w:right w:w="120" w:type="dxa"/>
            </w:tcMar>
            <w:hideMark/>
          </w:tcPr>
          <w:p w14:paraId="02A44BCF" w14:textId="77777777" w:rsidR="00C87310" w:rsidRPr="00DB2764" w:rsidRDefault="00C87310" w:rsidP="00C87310">
            <w:pPr>
              <w:jc w:val="center"/>
            </w:pPr>
            <w:r w:rsidRPr="00DB2764">
              <w:t>Total Responses</w:t>
            </w:r>
          </w:p>
        </w:tc>
        <w:tc>
          <w:tcPr>
            <w:tcW w:w="1385" w:type="dxa"/>
            <w:tcMar>
              <w:top w:w="0" w:type="dxa"/>
              <w:left w:w="120" w:type="dxa"/>
              <w:bottom w:w="0" w:type="dxa"/>
              <w:right w:w="120" w:type="dxa"/>
            </w:tcMar>
            <w:hideMark/>
          </w:tcPr>
          <w:p w14:paraId="73FCECCF" w14:textId="77777777" w:rsidR="00C87310" w:rsidRPr="00DB2764" w:rsidRDefault="00C87310" w:rsidP="00C87310">
            <w:pPr>
              <w:jc w:val="center"/>
            </w:pPr>
            <w:r w:rsidRPr="00DB2764">
              <w:t xml:space="preserve">Average </w:t>
            </w:r>
            <w:r w:rsidRPr="00DB2764">
              <w:br/>
              <w:t>Time per Response</w:t>
            </w:r>
          </w:p>
        </w:tc>
        <w:tc>
          <w:tcPr>
            <w:tcW w:w="1419" w:type="dxa"/>
            <w:tcMar>
              <w:top w:w="0" w:type="dxa"/>
              <w:left w:w="120" w:type="dxa"/>
              <w:bottom w:w="0" w:type="dxa"/>
              <w:right w:w="120" w:type="dxa"/>
            </w:tcMar>
            <w:hideMark/>
          </w:tcPr>
          <w:p w14:paraId="4915AC46" w14:textId="77777777" w:rsidR="00C87310" w:rsidRPr="00DB2764" w:rsidRDefault="00C87310" w:rsidP="00C87310">
            <w:pPr>
              <w:jc w:val="center"/>
            </w:pPr>
            <w:r w:rsidRPr="00DB2764">
              <w:t>Estimated</w:t>
            </w:r>
            <w:r w:rsidRPr="00DB2764">
              <w:br/>
              <w:t>Total</w:t>
            </w:r>
            <w:r w:rsidRPr="00DB2764">
              <w:br/>
              <w:t>Burden</w:t>
            </w:r>
          </w:p>
        </w:tc>
      </w:tr>
      <w:tr w:rsidR="00C87310" w:rsidRPr="005E378C" w14:paraId="232E8A9C" w14:textId="77777777" w:rsidTr="00702E8E">
        <w:trPr>
          <w:jc w:val="center"/>
        </w:trPr>
        <w:tc>
          <w:tcPr>
            <w:tcW w:w="1841" w:type="dxa"/>
            <w:tcMar>
              <w:top w:w="0" w:type="dxa"/>
              <w:left w:w="120" w:type="dxa"/>
              <w:bottom w:w="0" w:type="dxa"/>
              <w:right w:w="120" w:type="dxa"/>
            </w:tcMar>
            <w:hideMark/>
          </w:tcPr>
          <w:p w14:paraId="206D44E1" w14:textId="77777777" w:rsidR="00C87310" w:rsidRPr="001A32FB" w:rsidRDefault="00C87310" w:rsidP="00C87310">
            <w:pPr>
              <w:jc w:val="center"/>
            </w:pPr>
            <w:r w:rsidRPr="001A32FB">
              <w:t>Interview</w:t>
            </w:r>
          </w:p>
        </w:tc>
        <w:tc>
          <w:tcPr>
            <w:tcW w:w="1619" w:type="dxa"/>
            <w:tcMar>
              <w:top w:w="0" w:type="dxa"/>
              <w:left w:w="120" w:type="dxa"/>
              <w:bottom w:w="0" w:type="dxa"/>
              <w:right w:w="120" w:type="dxa"/>
            </w:tcMar>
            <w:hideMark/>
          </w:tcPr>
          <w:p w14:paraId="1AF81DDE" w14:textId="25BD21E9" w:rsidR="00C87310" w:rsidRPr="001A32FB" w:rsidRDefault="00CE642F" w:rsidP="00A41CB8">
            <w:pPr>
              <w:jc w:val="center"/>
            </w:pPr>
            <w:r>
              <w:t>6</w:t>
            </w:r>
            <w:r w:rsidR="00A41CB8">
              <w:t>,</w:t>
            </w:r>
            <w:r>
              <w:t>0</w:t>
            </w:r>
            <w:r w:rsidR="00C85040">
              <w:t>67</w:t>
            </w:r>
          </w:p>
        </w:tc>
        <w:tc>
          <w:tcPr>
            <w:tcW w:w="1370" w:type="dxa"/>
            <w:tcMar>
              <w:top w:w="0" w:type="dxa"/>
              <w:left w:w="120" w:type="dxa"/>
              <w:bottom w:w="0" w:type="dxa"/>
              <w:right w:w="120" w:type="dxa"/>
            </w:tcMar>
            <w:hideMark/>
          </w:tcPr>
          <w:p w14:paraId="3B9E94FB" w14:textId="77777777" w:rsidR="00C87310" w:rsidRPr="001A32FB" w:rsidRDefault="00C87310" w:rsidP="00C87310">
            <w:pPr>
              <w:jc w:val="center"/>
            </w:pPr>
            <w:r w:rsidRPr="001A32FB">
              <w:t>4</w:t>
            </w:r>
          </w:p>
        </w:tc>
        <w:tc>
          <w:tcPr>
            <w:tcW w:w="1560" w:type="dxa"/>
            <w:tcMar>
              <w:top w:w="0" w:type="dxa"/>
              <w:left w:w="120" w:type="dxa"/>
              <w:bottom w:w="0" w:type="dxa"/>
              <w:right w:w="120" w:type="dxa"/>
            </w:tcMar>
            <w:hideMark/>
          </w:tcPr>
          <w:p w14:paraId="4DC63806" w14:textId="0AE18454" w:rsidR="00C87310" w:rsidRPr="001A32FB" w:rsidRDefault="00CE642F" w:rsidP="00C85040">
            <w:pPr>
              <w:jc w:val="center"/>
            </w:pPr>
            <w:r>
              <w:t>24,</w:t>
            </w:r>
            <w:r w:rsidR="00C85040">
              <w:t>268</w:t>
            </w:r>
          </w:p>
        </w:tc>
        <w:tc>
          <w:tcPr>
            <w:tcW w:w="1385" w:type="dxa"/>
            <w:tcMar>
              <w:top w:w="0" w:type="dxa"/>
              <w:left w:w="120" w:type="dxa"/>
              <w:bottom w:w="0" w:type="dxa"/>
              <w:right w:w="120" w:type="dxa"/>
            </w:tcMar>
            <w:hideMark/>
          </w:tcPr>
          <w:p w14:paraId="48602C06" w14:textId="23A3551F" w:rsidR="00C87310" w:rsidRPr="001A32FB" w:rsidRDefault="00923447" w:rsidP="00C87310">
            <w:pPr>
              <w:jc w:val="center"/>
            </w:pPr>
            <w:r w:rsidRPr="001A32FB">
              <w:t>70</w:t>
            </w:r>
          </w:p>
        </w:tc>
        <w:tc>
          <w:tcPr>
            <w:tcW w:w="1419" w:type="dxa"/>
            <w:tcMar>
              <w:top w:w="0" w:type="dxa"/>
              <w:left w:w="120" w:type="dxa"/>
              <w:bottom w:w="0" w:type="dxa"/>
              <w:right w:w="120" w:type="dxa"/>
            </w:tcMar>
            <w:hideMark/>
          </w:tcPr>
          <w:p w14:paraId="2C85C6F6" w14:textId="73581C6C" w:rsidR="00C87310" w:rsidRPr="001A32FB" w:rsidRDefault="000E5E37" w:rsidP="000E5E37">
            <w:pPr>
              <w:jc w:val="center"/>
            </w:pPr>
            <w:r>
              <w:t>28,313</w:t>
            </w:r>
          </w:p>
        </w:tc>
      </w:tr>
      <w:tr w:rsidR="00C87310" w:rsidRPr="001A32FB" w14:paraId="695660EC" w14:textId="77777777" w:rsidTr="00702E8E">
        <w:trPr>
          <w:jc w:val="center"/>
        </w:trPr>
        <w:tc>
          <w:tcPr>
            <w:tcW w:w="1841" w:type="dxa"/>
            <w:tcMar>
              <w:top w:w="0" w:type="dxa"/>
              <w:left w:w="120" w:type="dxa"/>
              <w:bottom w:w="0" w:type="dxa"/>
              <w:right w:w="120" w:type="dxa"/>
            </w:tcMar>
            <w:hideMark/>
          </w:tcPr>
          <w:p w14:paraId="1F3308E6" w14:textId="2A9E00E6" w:rsidR="00C87310" w:rsidRPr="001A32FB" w:rsidRDefault="00C87310" w:rsidP="00C87310">
            <w:pPr>
              <w:jc w:val="center"/>
            </w:pPr>
            <w:r w:rsidRPr="001A32FB">
              <w:t>Reinterview</w:t>
            </w:r>
            <w:r w:rsidRPr="001A32FB">
              <w:rPr>
                <w:vertAlign w:val="superscript"/>
              </w:rPr>
              <w:t>1</w:t>
            </w:r>
          </w:p>
        </w:tc>
        <w:tc>
          <w:tcPr>
            <w:tcW w:w="1619" w:type="dxa"/>
            <w:tcMar>
              <w:top w:w="0" w:type="dxa"/>
              <w:left w:w="120" w:type="dxa"/>
              <w:bottom w:w="0" w:type="dxa"/>
              <w:right w:w="120" w:type="dxa"/>
            </w:tcMar>
            <w:hideMark/>
          </w:tcPr>
          <w:p w14:paraId="03E93042" w14:textId="1647493B" w:rsidR="00C87310" w:rsidRPr="001A32FB" w:rsidRDefault="00C87310" w:rsidP="00CE642F">
            <w:pPr>
              <w:jc w:val="center"/>
            </w:pPr>
            <w:r w:rsidRPr="001A32FB">
              <w:t>2,</w:t>
            </w:r>
            <w:r w:rsidR="00C85040">
              <w:t>912</w:t>
            </w:r>
          </w:p>
        </w:tc>
        <w:tc>
          <w:tcPr>
            <w:tcW w:w="1370" w:type="dxa"/>
            <w:tcMar>
              <w:top w:w="0" w:type="dxa"/>
              <w:left w:w="120" w:type="dxa"/>
              <w:bottom w:w="0" w:type="dxa"/>
              <w:right w:w="120" w:type="dxa"/>
            </w:tcMar>
            <w:hideMark/>
          </w:tcPr>
          <w:p w14:paraId="23ECF925" w14:textId="77777777" w:rsidR="00C87310" w:rsidRPr="001A32FB" w:rsidRDefault="00C87310" w:rsidP="00C87310">
            <w:pPr>
              <w:jc w:val="center"/>
            </w:pPr>
            <w:r w:rsidRPr="001A32FB">
              <w:t>1</w:t>
            </w:r>
          </w:p>
        </w:tc>
        <w:tc>
          <w:tcPr>
            <w:tcW w:w="1560" w:type="dxa"/>
            <w:tcMar>
              <w:top w:w="0" w:type="dxa"/>
              <w:left w:w="120" w:type="dxa"/>
              <w:bottom w:w="0" w:type="dxa"/>
              <w:right w:w="120" w:type="dxa"/>
            </w:tcMar>
            <w:hideMark/>
          </w:tcPr>
          <w:p w14:paraId="551EB783" w14:textId="47D128C9" w:rsidR="00C87310" w:rsidRPr="001A32FB" w:rsidRDefault="00C87310" w:rsidP="00C85040">
            <w:pPr>
              <w:jc w:val="center"/>
            </w:pPr>
            <w:r w:rsidRPr="001A32FB">
              <w:t>2,</w:t>
            </w:r>
            <w:r w:rsidR="00CE642F">
              <w:t>9</w:t>
            </w:r>
            <w:r w:rsidR="00C85040">
              <w:t>12</w:t>
            </w:r>
          </w:p>
        </w:tc>
        <w:tc>
          <w:tcPr>
            <w:tcW w:w="1385" w:type="dxa"/>
            <w:tcMar>
              <w:top w:w="0" w:type="dxa"/>
              <w:left w:w="120" w:type="dxa"/>
              <w:bottom w:w="0" w:type="dxa"/>
              <w:right w:w="120" w:type="dxa"/>
            </w:tcMar>
            <w:hideMark/>
          </w:tcPr>
          <w:p w14:paraId="167309D7" w14:textId="77777777" w:rsidR="00C87310" w:rsidRPr="001A32FB" w:rsidRDefault="00C87310" w:rsidP="00C87310">
            <w:pPr>
              <w:jc w:val="center"/>
            </w:pPr>
            <w:r w:rsidRPr="001A32FB">
              <w:t>10</w:t>
            </w:r>
          </w:p>
        </w:tc>
        <w:tc>
          <w:tcPr>
            <w:tcW w:w="1419" w:type="dxa"/>
            <w:tcMar>
              <w:top w:w="0" w:type="dxa"/>
              <w:left w:w="120" w:type="dxa"/>
              <w:bottom w:w="0" w:type="dxa"/>
              <w:right w:w="120" w:type="dxa"/>
            </w:tcMar>
            <w:hideMark/>
          </w:tcPr>
          <w:p w14:paraId="564D2A23" w14:textId="3E168461" w:rsidR="00C87310" w:rsidRPr="001A32FB" w:rsidRDefault="001A32FB" w:rsidP="00CE642F">
            <w:pPr>
              <w:jc w:val="center"/>
            </w:pPr>
            <w:r w:rsidRPr="001A32FB">
              <w:t>4</w:t>
            </w:r>
            <w:r w:rsidR="00CE642F">
              <w:t>8</w:t>
            </w:r>
            <w:r w:rsidR="00C85040">
              <w:t>5</w:t>
            </w:r>
          </w:p>
        </w:tc>
      </w:tr>
      <w:tr w:rsidR="00C87310" w:rsidRPr="005E378C" w14:paraId="152EB777" w14:textId="77777777" w:rsidTr="00702E8E">
        <w:trPr>
          <w:jc w:val="center"/>
        </w:trPr>
        <w:tc>
          <w:tcPr>
            <w:tcW w:w="1841" w:type="dxa"/>
            <w:tcMar>
              <w:top w:w="0" w:type="dxa"/>
              <w:left w:w="120" w:type="dxa"/>
              <w:bottom w:w="0" w:type="dxa"/>
              <w:right w:w="120" w:type="dxa"/>
            </w:tcMar>
            <w:hideMark/>
          </w:tcPr>
          <w:p w14:paraId="31D12044" w14:textId="77777777" w:rsidR="00C87310" w:rsidRPr="001A32FB" w:rsidRDefault="00C87310" w:rsidP="00C87310">
            <w:pPr>
              <w:jc w:val="center"/>
            </w:pPr>
            <w:r w:rsidRPr="001A32FB">
              <w:t>TOTALS</w:t>
            </w:r>
          </w:p>
        </w:tc>
        <w:tc>
          <w:tcPr>
            <w:tcW w:w="1619" w:type="dxa"/>
            <w:tcMar>
              <w:top w:w="0" w:type="dxa"/>
              <w:left w:w="120" w:type="dxa"/>
              <w:bottom w:w="0" w:type="dxa"/>
              <w:right w:w="120" w:type="dxa"/>
            </w:tcMar>
            <w:hideMark/>
          </w:tcPr>
          <w:p w14:paraId="3ECFA513" w14:textId="61B39678" w:rsidR="00C87310" w:rsidRPr="001A32FB" w:rsidRDefault="00CE642F" w:rsidP="000E5E37">
            <w:pPr>
              <w:jc w:val="center"/>
            </w:pPr>
            <w:r>
              <w:t>6,0</w:t>
            </w:r>
            <w:r w:rsidR="000E5E37">
              <w:t>67</w:t>
            </w:r>
          </w:p>
        </w:tc>
        <w:tc>
          <w:tcPr>
            <w:tcW w:w="1370" w:type="dxa"/>
            <w:tcMar>
              <w:top w:w="0" w:type="dxa"/>
              <w:left w:w="120" w:type="dxa"/>
              <w:bottom w:w="0" w:type="dxa"/>
              <w:right w:w="120" w:type="dxa"/>
            </w:tcMar>
            <w:hideMark/>
          </w:tcPr>
          <w:p w14:paraId="3EFC919C" w14:textId="77777777" w:rsidR="00C87310" w:rsidRPr="001A32FB" w:rsidRDefault="00C87310" w:rsidP="00C87310">
            <w:pPr>
              <w:jc w:val="center"/>
            </w:pPr>
            <w:r w:rsidRPr="001A32FB">
              <w:t>/////////</w:t>
            </w:r>
          </w:p>
        </w:tc>
        <w:tc>
          <w:tcPr>
            <w:tcW w:w="1560" w:type="dxa"/>
            <w:tcMar>
              <w:top w:w="0" w:type="dxa"/>
              <w:left w:w="120" w:type="dxa"/>
              <w:bottom w:w="0" w:type="dxa"/>
              <w:right w:w="120" w:type="dxa"/>
            </w:tcMar>
            <w:hideMark/>
          </w:tcPr>
          <w:p w14:paraId="7A6AE0FD" w14:textId="1CD8E57F" w:rsidR="00C87310" w:rsidRPr="001A32FB" w:rsidRDefault="00CE642F" w:rsidP="000E5E37">
            <w:pPr>
              <w:jc w:val="center"/>
            </w:pPr>
            <w:r>
              <w:t>27,</w:t>
            </w:r>
            <w:r w:rsidR="000E5E37">
              <w:t>180</w:t>
            </w:r>
          </w:p>
        </w:tc>
        <w:tc>
          <w:tcPr>
            <w:tcW w:w="1385" w:type="dxa"/>
            <w:tcMar>
              <w:top w:w="0" w:type="dxa"/>
              <w:left w:w="120" w:type="dxa"/>
              <w:bottom w:w="0" w:type="dxa"/>
              <w:right w:w="120" w:type="dxa"/>
            </w:tcMar>
            <w:hideMark/>
          </w:tcPr>
          <w:p w14:paraId="71464983" w14:textId="77777777" w:rsidR="00C87310" w:rsidRPr="001A32FB" w:rsidRDefault="00C87310" w:rsidP="00C87310">
            <w:pPr>
              <w:jc w:val="center"/>
            </w:pPr>
            <w:r w:rsidRPr="001A32FB">
              <w:t>////////</w:t>
            </w:r>
          </w:p>
        </w:tc>
        <w:tc>
          <w:tcPr>
            <w:tcW w:w="1419" w:type="dxa"/>
            <w:tcMar>
              <w:top w:w="0" w:type="dxa"/>
              <w:left w:w="120" w:type="dxa"/>
              <w:bottom w:w="0" w:type="dxa"/>
              <w:right w:w="120" w:type="dxa"/>
            </w:tcMar>
            <w:hideMark/>
          </w:tcPr>
          <w:p w14:paraId="307F0D51" w14:textId="569656BD" w:rsidR="00C87310" w:rsidRPr="001A32FB" w:rsidRDefault="00CE642F" w:rsidP="000E5E37">
            <w:pPr>
              <w:jc w:val="center"/>
            </w:pPr>
            <w:r>
              <w:t>28,</w:t>
            </w:r>
            <w:r w:rsidR="000E5E37">
              <w:t>798</w:t>
            </w:r>
          </w:p>
        </w:tc>
      </w:tr>
      <w:tr w:rsidR="00411F2A" w:rsidRPr="005E378C" w14:paraId="5392C9AA" w14:textId="77777777" w:rsidTr="00702E8E">
        <w:trPr>
          <w:jc w:val="center"/>
        </w:trPr>
        <w:tc>
          <w:tcPr>
            <w:tcW w:w="9194" w:type="dxa"/>
            <w:gridSpan w:val="6"/>
            <w:tcMar>
              <w:top w:w="0" w:type="dxa"/>
              <w:left w:w="120" w:type="dxa"/>
              <w:bottom w:w="0" w:type="dxa"/>
              <w:right w:w="120" w:type="dxa"/>
            </w:tcMar>
          </w:tcPr>
          <w:p w14:paraId="66284330" w14:textId="77777777" w:rsidR="00411F2A" w:rsidRPr="001A32FB" w:rsidRDefault="00411F2A" w:rsidP="00411F2A">
            <w:pPr>
              <w:rPr>
                <w:vertAlign w:val="superscript"/>
              </w:rPr>
            </w:pPr>
          </w:p>
          <w:p w14:paraId="6102C6EF" w14:textId="636119E0" w:rsidR="00411F2A" w:rsidRPr="001A32FB" w:rsidRDefault="00411F2A" w:rsidP="00411F2A">
            <w:pPr>
              <w:rPr>
                <w:vertAlign w:val="superscript"/>
              </w:rPr>
            </w:pPr>
            <w:r w:rsidRPr="001A32FB">
              <w:rPr>
                <w:vertAlign w:val="superscript"/>
              </w:rPr>
              <w:t>1</w:t>
            </w:r>
            <w:r w:rsidRPr="001A32FB">
              <w:t>Reinterviews are done on a subset of the original respondents</w:t>
            </w:r>
            <w:r w:rsidR="0043681C">
              <w:t>.</w:t>
            </w:r>
          </w:p>
          <w:p w14:paraId="40CEAB6A" w14:textId="77777777" w:rsidR="00411F2A" w:rsidRPr="005E378C" w:rsidRDefault="00411F2A" w:rsidP="00B36E47">
            <w:pPr>
              <w:rPr>
                <w:highlight w:val="yellow"/>
              </w:rPr>
            </w:pPr>
          </w:p>
        </w:tc>
      </w:tr>
    </w:tbl>
    <w:p w14:paraId="3849F16A" w14:textId="77777777" w:rsidR="00C87310" w:rsidRPr="005E378C" w:rsidRDefault="00C87310" w:rsidP="00230C54">
      <w:pPr>
        <w:ind w:left="480"/>
        <w:rPr>
          <w:highlight w:val="yellow"/>
        </w:rPr>
      </w:pPr>
    </w:p>
    <w:p w14:paraId="07BF3306" w14:textId="77777777" w:rsidR="00C87310" w:rsidRPr="00DB2764" w:rsidRDefault="00C87310" w:rsidP="00230C54">
      <w:pPr>
        <w:ind w:left="480"/>
      </w:pPr>
    </w:p>
    <w:p w14:paraId="6B742D9C" w14:textId="0BEF1D5E" w:rsidR="00223CC5" w:rsidRDefault="00230C54" w:rsidP="00230C54">
      <w:pPr>
        <w:ind w:left="480"/>
      </w:pPr>
      <w:r w:rsidRPr="00DB2764">
        <w:t xml:space="preserve">The BLS will conduct the CED at approximately </w:t>
      </w:r>
      <w:r w:rsidR="00084C59">
        <w:t>15,867</w:t>
      </w:r>
      <w:r w:rsidRPr="00DB2764">
        <w:t xml:space="preserve"> designated addresses per year, </w:t>
      </w:r>
      <w:r w:rsidR="00C34E7F">
        <w:t xml:space="preserve">resulting in an estimated </w:t>
      </w:r>
      <w:r w:rsidR="00084C59">
        <w:t>7,134</w:t>
      </w:r>
      <w:r w:rsidRPr="00DB2764">
        <w:t xml:space="preserve"> completed interviews and diaries.  Respondents complete 2 weekly diaries, resulting in </w:t>
      </w:r>
      <w:r w:rsidR="00DB2764" w:rsidRPr="00DB2764">
        <w:t>1</w:t>
      </w:r>
      <w:r w:rsidR="00223CC5">
        <w:t>4,268</w:t>
      </w:r>
      <w:r w:rsidRPr="00DB2764">
        <w:t xml:space="preserve"> weekly diaries being completed </w:t>
      </w:r>
      <w:r w:rsidR="004867F7">
        <w:t xml:space="preserve">on average </w:t>
      </w:r>
      <w:r w:rsidRPr="00DB2764">
        <w:t>per year.  Reinterviews will be conducted on approximately 10 percent of the weekly diaries for a</w:t>
      </w:r>
      <w:r w:rsidR="004867F7">
        <w:t>n average</w:t>
      </w:r>
      <w:r w:rsidRPr="00DB2764">
        <w:t xml:space="preserve"> of 1,</w:t>
      </w:r>
      <w:r w:rsidR="00223CC5">
        <w:t>420</w:t>
      </w:r>
      <w:r w:rsidR="00223CC5" w:rsidRPr="00DB2764">
        <w:t xml:space="preserve"> </w:t>
      </w:r>
      <w:r w:rsidRPr="00DB2764">
        <w:t>reinterviews</w:t>
      </w:r>
      <w:r w:rsidR="004867F7">
        <w:t xml:space="preserve"> each year</w:t>
      </w:r>
      <w:r w:rsidRPr="00DB2764">
        <w:t xml:space="preserve">.  Respondents spend approximately </w:t>
      </w:r>
      <w:r w:rsidR="00DB2764" w:rsidRPr="00DB2764">
        <w:t>70</w:t>
      </w:r>
      <w:r w:rsidRPr="00DB2764">
        <w:t xml:space="preserve"> minutes completing each weekly diary, for a total of </w:t>
      </w:r>
      <w:r w:rsidR="00DB2764" w:rsidRPr="00DB2764">
        <w:t>1</w:t>
      </w:r>
      <w:r w:rsidR="00223CC5">
        <w:t>6,646</w:t>
      </w:r>
      <w:r w:rsidRPr="00DB2764">
        <w:t xml:space="preserve"> hours of record-keeping.  In addition to record-keeping, it takes approximately 20 minutes to complete each of the two regular interviews, and 10 minutes to complete the reinterview, for a </w:t>
      </w:r>
      <w:r w:rsidR="004867F7">
        <w:t>an average of</w:t>
      </w:r>
      <w:r w:rsidRPr="00DB2764">
        <w:t xml:space="preserve"> of </w:t>
      </w:r>
      <w:r w:rsidR="00223CC5">
        <w:t>4,756</w:t>
      </w:r>
      <w:r w:rsidRPr="00DB2764">
        <w:rPr>
          <w:color w:val="000000"/>
        </w:rPr>
        <w:t xml:space="preserve"> </w:t>
      </w:r>
      <w:r w:rsidRPr="00DB2764">
        <w:t xml:space="preserve">hours of interviewing, and </w:t>
      </w:r>
      <w:r w:rsidR="00223CC5">
        <w:t>237</w:t>
      </w:r>
      <w:r w:rsidR="00B626BD" w:rsidRPr="00DB2764">
        <w:rPr>
          <w:color w:val="000000"/>
        </w:rPr>
        <w:t xml:space="preserve"> </w:t>
      </w:r>
      <w:r w:rsidRPr="00DB2764">
        <w:t xml:space="preserve">hours of reinterviewing.  </w:t>
      </w:r>
    </w:p>
    <w:p w14:paraId="140FD862" w14:textId="77777777" w:rsidR="00223CC5" w:rsidRDefault="00223CC5" w:rsidP="00230C54">
      <w:pPr>
        <w:ind w:left="480"/>
      </w:pPr>
    </w:p>
    <w:p w14:paraId="547AE8EF" w14:textId="284D4BA6" w:rsidR="002C0491" w:rsidRDefault="00223CC5" w:rsidP="00230C54">
      <w:pPr>
        <w:ind w:left="480"/>
      </w:pPr>
      <w:r>
        <w:t>Finally, the LSF Online Diary test will result in an additional 1,200 weekly diaries from 600 additional respondents</w:t>
      </w:r>
      <w:r w:rsidR="0052463F">
        <w:t xml:space="preserve"> in 2019 and 2020</w:t>
      </w:r>
      <w:r>
        <w:t xml:space="preserve">.  Respondents will spend 70 minutes on average completing the online Diaries and an additional 25 minutes to complete each of the two regular interviews, for a total of 1,400 hours of record keeping and 500 hours of interviewing.  </w:t>
      </w:r>
      <w:r w:rsidR="00230C54" w:rsidRPr="00DB2764">
        <w:t xml:space="preserve">Total burden hours for the Diary Survey </w:t>
      </w:r>
      <w:r>
        <w:t xml:space="preserve">is an average of 23,539 </w:t>
      </w:r>
      <w:r w:rsidR="00230C54" w:rsidRPr="00DB2764">
        <w:t>per year.</w:t>
      </w:r>
    </w:p>
    <w:p w14:paraId="0A470E2A" w14:textId="77777777" w:rsidR="002C0491" w:rsidRDefault="002C0491" w:rsidP="00230C54">
      <w:pPr>
        <w:ind w:left="480"/>
      </w:pPr>
    </w:p>
    <w:p w14:paraId="62F725F7" w14:textId="77777777" w:rsidR="002C0491" w:rsidRPr="00DB2764" w:rsidRDefault="002C0491" w:rsidP="00230C54">
      <w:pPr>
        <w:ind w:left="480"/>
      </w:pPr>
    </w:p>
    <w:p w14:paraId="1295B710" w14:textId="77777777" w:rsidR="00FC378F" w:rsidRPr="005E378C" w:rsidRDefault="00FC378F" w:rsidP="00230C54">
      <w:pPr>
        <w:ind w:left="480"/>
        <w:rPr>
          <w:highlight w:val="yellow"/>
        </w:rPr>
      </w:pPr>
    </w:p>
    <w:tbl>
      <w:tblPr>
        <w:tblW w:w="9265" w:type="dxa"/>
        <w:jc w:val="center"/>
        <w:tblLook w:val="04A0" w:firstRow="1" w:lastRow="0" w:firstColumn="1" w:lastColumn="0" w:noHBand="0" w:noVBand="1"/>
      </w:tblPr>
      <w:tblGrid>
        <w:gridCol w:w="2180"/>
        <w:gridCol w:w="1503"/>
        <w:gridCol w:w="1230"/>
        <w:gridCol w:w="1963"/>
        <w:gridCol w:w="1029"/>
        <w:gridCol w:w="1360"/>
      </w:tblGrid>
      <w:tr w:rsidR="008631CF" w14:paraId="548A2635" w14:textId="77777777" w:rsidTr="00414C97">
        <w:trPr>
          <w:trHeight w:val="324"/>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6CDDE9" w14:textId="56494AA1" w:rsidR="008631CF" w:rsidRPr="008631CF" w:rsidRDefault="00411840" w:rsidP="00411840">
            <w:pPr>
              <w:rPr>
                <w:color w:val="000000"/>
              </w:rPr>
            </w:pPr>
            <w:r>
              <w:rPr>
                <w:color w:val="000000"/>
              </w:rPr>
              <w:t xml:space="preserve">Average and Fiscal Year Total for the Record Keeping portion of the Diary Suvery </w:t>
            </w:r>
          </w:p>
        </w:tc>
      </w:tr>
      <w:tr w:rsidR="008631CF" w14:paraId="61BEC81E" w14:textId="77777777" w:rsidTr="008631CF">
        <w:trPr>
          <w:trHeight w:val="324"/>
          <w:jc w:val="center"/>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D8852" w14:textId="77777777" w:rsidR="008631CF" w:rsidRDefault="008631CF" w:rsidP="008631CF">
            <w:pPr>
              <w:rPr>
                <w:color w:val="000000"/>
              </w:rPr>
            </w:pPr>
            <w:r>
              <w:rPr>
                <w:color w:val="000000"/>
              </w:rPr>
              <w:t>Fiscal Year</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3B06C" w14:textId="406D99B4" w:rsidR="008631CF" w:rsidRDefault="008631CF" w:rsidP="008631CF">
            <w:pPr>
              <w:rPr>
                <w:color w:val="000000"/>
              </w:rPr>
            </w:pPr>
            <w:r>
              <w:rPr>
                <w:color w:val="000000"/>
              </w:rPr>
              <w:t> Respondents</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3D1A9" w14:textId="28F7DAD0" w:rsidR="008631CF" w:rsidRDefault="008631CF" w:rsidP="008631CF">
            <w:pPr>
              <w:rPr>
                <w:color w:val="000000"/>
              </w:rPr>
            </w:pPr>
            <w:r>
              <w:rPr>
                <w:color w:val="000000"/>
              </w:rPr>
              <w:t>Total # of Responses</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F239A" w14:textId="7D5B2AD5" w:rsidR="008631CF" w:rsidRDefault="008631CF" w:rsidP="008631CF">
            <w:pPr>
              <w:rPr>
                <w:color w:val="000000"/>
              </w:rPr>
            </w:pPr>
            <w:r>
              <w:rPr>
                <w:color w:val="000000"/>
              </w:rPr>
              <w:t>Responses per year</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5914E" w14:textId="1465E4DF" w:rsidR="008631CF" w:rsidRDefault="008631CF" w:rsidP="008631CF">
            <w:pPr>
              <w:rPr>
                <w:color w:val="000000"/>
              </w:rPr>
            </w:pPr>
            <w:r>
              <w:rPr>
                <w:color w:val="000000"/>
              </w:rPr>
              <w:t>Average Minutes</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42651" w14:textId="6F510859" w:rsidR="008631CF" w:rsidRDefault="008631CF" w:rsidP="008631CF">
            <w:pPr>
              <w:rPr>
                <w:color w:val="000000"/>
              </w:rPr>
            </w:pPr>
            <w:r w:rsidRPr="008631CF">
              <w:rPr>
                <w:color w:val="000000"/>
              </w:rPr>
              <w:t>Total hours</w:t>
            </w:r>
          </w:p>
        </w:tc>
      </w:tr>
      <w:tr w:rsidR="008631CF" w14:paraId="57EC2283" w14:textId="77777777" w:rsidTr="008631CF">
        <w:trPr>
          <w:trHeight w:val="324"/>
          <w:jc w:val="center"/>
        </w:trPr>
        <w:tc>
          <w:tcPr>
            <w:tcW w:w="218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6F1006CE" w14:textId="77777777" w:rsidR="008631CF" w:rsidRDefault="008631CF" w:rsidP="008631CF">
            <w:pPr>
              <w:rPr>
                <w:color w:val="000000"/>
              </w:rPr>
            </w:pPr>
            <w:r>
              <w:rPr>
                <w:color w:val="000000"/>
              </w:rPr>
              <w:t>FY 2019</w:t>
            </w:r>
          </w:p>
        </w:tc>
        <w:tc>
          <w:tcPr>
            <w:tcW w:w="1503" w:type="dxa"/>
            <w:tcBorders>
              <w:top w:val="single" w:sz="4" w:space="0" w:color="auto"/>
              <w:left w:val="nil"/>
              <w:bottom w:val="single" w:sz="8" w:space="0" w:color="000000"/>
              <w:right w:val="single" w:sz="8" w:space="0" w:color="000000"/>
            </w:tcBorders>
            <w:shd w:val="clear" w:color="auto" w:fill="auto"/>
            <w:vAlign w:val="center"/>
            <w:hideMark/>
          </w:tcPr>
          <w:p w14:paraId="54E1F9DB" w14:textId="77777777" w:rsidR="008631CF" w:rsidRDefault="008631CF" w:rsidP="008631CF">
            <w:pPr>
              <w:jc w:val="right"/>
              <w:rPr>
                <w:color w:val="000000"/>
              </w:rPr>
            </w:pPr>
            <w:r>
              <w:rPr>
                <w:color w:val="000000"/>
              </w:rPr>
              <w:t>5478</w:t>
            </w:r>
          </w:p>
        </w:tc>
        <w:tc>
          <w:tcPr>
            <w:tcW w:w="1230" w:type="dxa"/>
            <w:tcBorders>
              <w:top w:val="single" w:sz="4" w:space="0" w:color="auto"/>
              <w:left w:val="nil"/>
              <w:bottom w:val="single" w:sz="8" w:space="0" w:color="000000"/>
              <w:right w:val="single" w:sz="8" w:space="0" w:color="000000"/>
            </w:tcBorders>
            <w:shd w:val="clear" w:color="auto" w:fill="auto"/>
            <w:vAlign w:val="center"/>
            <w:hideMark/>
          </w:tcPr>
          <w:p w14:paraId="7C3B2B7C" w14:textId="77777777" w:rsidR="008631CF" w:rsidRDefault="008631CF" w:rsidP="008631CF">
            <w:pPr>
              <w:jc w:val="right"/>
              <w:rPr>
                <w:color w:val="000000"/>
              </w:rPr>
            </w:pPr>
            <w:r>
              <w:rPr>
                <w:color w:val="000000"/>
              </w:rPr>
              <w:t>2</w:t>
            </w:r>
          </w:p>
        </w:tc>
        <w:tc>
          <w:tcPr>
            <w:tcW w:w="1963" w:type="dxa"/>
            <w:tcBorders>
              <w:top w:val="single" w:sz="4" w:space="0" w:color="auto"/>
              <w:left w:val="nil"/>
              <w:bottom w:val="single" w:sz="8" w:space="0" w:color="000000"/>
              <w:right w:val="single" w:sz="8" w:space="0" w:color="000000"/>
            </w:tcBorders>
            <w:shd w:val="clear" w:color="auto" w:fill="auto"/>
            <w:vAlign w:val="center"/>
            <w:hideMark/>
          </w:tcPr>
          <w:p w14:paraId="05002797" w14:textId="77777777" w:rsidR="008631CF" w:rsidRDefault="008631CF" w:rsidP="008631CF">
            <w:pPr>
              <w:jc w:val="right"/>
              <w:rPr>
                <w:color w:val="000000"/>
              </w:rPr>
            </w:pPr>
            <w:r>
              <w:rPr>
                <w:color w:val="000000"/>
              </w:rPr>
              <w:t>10956</w:t>
            </w:r>
          </w:p>
        </w:tc>
        <w:tc>
          <w:tcPr>
            <w:tcW w:w="1029" w:type="dxa"/>
            <w:tcBorders>
              <w:top w:val="single" w:sz="4" w:space="0" w:color="auto"/>
              <w:left w:val="nil"/>
              <w:bottom w:val="single" w:sz="8" w:space="0" w:color="000000"/>
              <w:right w:val="single" w:sz="8" w:space="0" w:color="000000"/>
            </w:tcBorders>
            <w:shd w:val="clear" w:color="auto" w:fill="auto"/>
            <w:vAlign w:val="center"/>
            <w:hideMark/>
          </w:tcPr>
          <w:p w14:paraId="71FB82ED" w14:textId="77777777" w:rsidR="008631CF" w:rsidRDefault="008631CF" w:rsidP="008631CF">
            <w:pPr>
              <w:jc w:val="right"/>
              <w:rPr>
                <w:color w:val="000000"/>
              </w:rPr>
            </w:pPr>
            <w:r>
              <w:rPr>
                <w:color w:val="000000"/>
              </w:rPr>
              <w:t>70</w:t>
            </w:r>
          </w:p>
        </w:tc>
        <w:tc>
          <w:tcPr>
            <w:tcW w:w="1360" w:type="dxa"/>
            <w:tcBorders>
              <w:top w:val="single" w:sz="4" w:space="0" w:color="auto"/>
              <w:left w:val="nil"/>
              <w:bottom w:val="single" w:sz="8" w:space="0" w:color="000000"/>
              <w:right w:val="single" w:sz="8" w:space="0" w:color="000000"/>
            </w:tcBorders>
            <w:shd w:val="clear" w:color="auto" w:fill="auto"/>
            <w:vAlign w:val="center"/>
            <w:hideMark/>
          </w:tcPr>
          <w:p w14:paraId="58DAAB58" w14:textId="77777777" w:rsidR="008631CF" w:rsidRDefault="008631CF" w:rsidP="008631CF">
            <w:pPr>
              <w:jc w:val="right"/>
              <w:rPr>
                <w:color w:val="000000"/>
              </w:rPr>
            </w:pPr>
            <w:r>
              <w:rPr>
                <w:color w:val="000000"/>
              </w:rPr>
              <w:t>12782</w:t>
            </w:r>
          </w:p>
        </w:tc>
      </w:tr>
      <w:tr w:rsidR="008631CF" w14:paraId="5E42A9D8" w14:textId="77777777" w:rsidTr="008631CF">
        <w:trPr>
          <w:trHeight w:val="324"/>
          <w:jc w:val="center"/>
        </w:trPr>
        <w:tc>
          <w:tcPr>
            <w:tcW w:w="2180" w:type="dxa"/>
            <w:tcBorders>
              <w:top w:val="nil"/>
              <w:left w:val="single" w:sz="8" w:space="0" w:color="000000"/>
              <w:bottom w:val="single" w:sz="8" w:space="0" w:color="000000"/>
              <w:right w:val="single" w:sz="8" w:space="0" w:color="000000"/>
            </w:tcBorders>
            <w:shd w:val="clear" w:color="auto" w:fill="auto"/>
            <w:vAlign w:val="center"/>
            <w:hideMark/>
          </w:tcPr>
          <w:p w14:paraId="18F4E9BD" w14:textId="77777777" w:rsidR="008631CF" w:rsidRDefault="008631CF" w:rsidP="008631CF">
            <w:pPr>
              <w:rPr>
                <w:color w:val="000000"/>
              </w:rPr>
            </w:pPr>
            <w:r>
              <w:rPr>
                <w:color w:val="000000"/>
              </w:rPr>
              <w:t>FY 2020</w:t>
            </w:r>
          </w:p>
        </w:tc>
        <w:tc>
          <w:tcPr>
            <w:tcW w:w="1503" w:type="dxa"/>
            <w:tcBorders>
              <w:top w:val="nil"/>
              <w:left w:val="nil"/>
              <w:bottom w:val="single" w:sz="8" w:space="0" w:color="000000"/>
              <w:right w:val="single" w:sz="8" w:space="0" w:color="000000"/>
            </w:tcBorders>
            <w:shd w:val="clear" w:color="auto" w:fill="auto"/>
            <w:vAlign w:val="center"/>
            <w:hideMark/>
          </w:tcPr>
          <w:p w14:paraId="06B7AB97" w14:textId="77777777" w:rsidR="008631CF" w:rsidRDefault="008631CF" w:rsidP="008631CF">
            <w:pPr>
              <w:jc w:val="right"/>
              <w:rPr>
                <w:color w:val="000000"/>
              </w:rPr>
            </w:pPr>
            <w:r>
              <w:rPr>
                <w:color w:val="000000"/>
              </w:rPr>
              <w:t>7962</w:t>
            </w:r>
          </w:p>
        </w:tc>
        <w:tc>
          <w:tcPr>
            <w:tcW w:w="1230" w:type="dxa"/>
            <w:tcBorders>
              <w:top w:val="nil"/>
              <w:left w:val="nil"/>
              <w:bottom w:val="single" w:sz="8" w:space="0" w:color="000000"/>
              <w:right w:val="single" w:sz="8" w:space="0" w:color="000000"/>
            </w:tcBorders>
            <w:shd w:val="clear" w:color="auto" w:fill="auto"/>
            <w:vAlign w:val="center"/>
            <w:hideMark/>
          </w:tcPr>
          <w:p w14:paraId="4F3E6E9C" w14:textId="77777777" w:rsidR="008631CF" w:rsidRDefault="008631CF" w:rsidP="008631CF">
            <w:pPr>
              <w:jc w:val="right"/>
              <w:rPr>
                <w:color w:val="000000"/>
              </w:rPr>
            </w:pPr>
            <w:r>
              <w:rPr>
                <w:color w:val="000000"/>
              </w:rPr>
              <w:t>2</w:t>
            </w:r>
          </w:p>
        </w:tc>
        <w:tc>
          <w:tcPr>
            <w:tcW w:w="1963" w:type="dxa"/>
            <w:tcBorders>
              <w:top w:val="nil"/>
              <w:left w:val="nil"/>
              <w:bottom w:val="single" w:sz="8" w:space="0" w:color="000000"/>
              <w:right w:val="single" w:sz="8" w:space="0" w:color="000000"/>
            </w:tcBorders>
            <w:shd w:val="clear" w:color="auto" w:fill="auto"/>
            <w:vAlign w:val="center"/>
            <w:hideMark/>
          </w:tcPr>
          <w:p w14:paraId="29263DB3" w14:textId="77777777" w:rsidR="008631CF" w:rsidRDefault="008631CF" w:rsidP="008631CF">
            <w:pPr>
              <w:jc w:val="right"/>
              <w:rPr>
                <w:color w:val="000000"/>
              </w:rPr>
            </w:pPr>
            <w:r>
              <w:rPr>
                <w:color w:val="000000"/>
              </w:rPr>
              <w:t>15924</w:t>
            </w:r>
          </w:p>
        </w:tc>
        <w:tc>
          <w:tcPr>
            <w:tcW w:w="1029" w:type="dxa"/>
            <w:tcBorders>
              <w:top w:val="nil"/>
              <w:left w:val="nil"/>
              <w:bottom w:val="single" w:sz="8" w:space="0" w:color="000000"/>
              <w:right w:val="single" w:sz="8" w:space="0" w:color="000000"/>
            </w:tcBorders>
            <w:shd w:val="clear" w:color="auto" w:fill="auto"/>
            <w:vAlign w:val="center"/>
            <w:hideMark/>
          </w:tcPr>
          <w:p w14:paraId="3B19CC80" w14:textId="77777777" w:rsidR="008631CF" w:rsidRDefault="008631CF" w:rsidP="008631CF">
            <w:pPr>
              <w:jc w:val="right"/>
              <w:rPr>
                <w:color w:val="000000"/>
              </w:rPr>
            </w:pPr>
            <w:r>
              <w:rPr>
                <w:color w:val="000000"/>
              </w:rPr>
              <w:t>70</w:t>
            </w:r>
          </w:p>
        </w:tc>
        <w:tc>
          <w:tcPr>
            <w:tcW w:w="1360" w:type="dxa"/>
            <w:tcBorders>
              <w:top w:val="nil"/>
              <w:left w:val="nil"/>
              <w:bottom w:val="single" w:sz="8" w:space="0" w:color="000000"/>
              <w:right w:val="single" w:sz="8" w:space="0" w:color="000000"/>
            </w:tcBorders>
            <w:shd w:val="clear" w:color="auto" w:fill="auto"/>
            <w:vAlign w:val="center"/>
            <w:hideMark/>
          </w:tcPr>
          <w:p w14:paraId="67C7277C" w14:textId="77777777" w:rsidR="008631CF" w:rsidRDefault="008631CF" w:rsidP="008631CF">
            <w:pPr>
              <w:jc w:val="right"/>
              <w:rPr>
                <w:color w:val="000000"/>
              </w:rPr>
            </w:pPr>
            <w:r>
              <w:rPr>
                <w:color w:val="000000"/>
              </w:rPr>
              <w:t>18578</w:t>
            </w:r>
          </w:p>
        </w:tc>
      </w:tr>
      <w:tr w:rsidR="008631CF" w14:paraId="636EBAA6" w14:textId="77777777" w:rsidTr="008631CF">
        <w:trPr>
          <w:trHeight w:val="324"/>
          <w:jc w:val="center"/>
        </w:trPr>
        <w:tc>
          <w:tcPr>
            <w:tcW w:w="2180" w:type="dxa"/>
            <w:tcBorders>
              <w:top w:val="nil"/>
              <w:left w:val="single" w:sz="8" w:space="0" w:color="000000"/>
              <w:bottom w:val="single" w:sz="8" w:space="0" w:color="000000"/>
              <w:right w:val="single" w:sz="8" w:space="0" w:color="000000"/>
            </w:tcBorders>
            <w:shd w:val="clear" w:color="auto" w:fill="auto"/>
            <w:vAlign w:val="center"/>
            <w:hideMark/>
          </w:tcPr>
          <w:p w14:paraId="3E7AAF97" w14:textId="77777777" w:rsidR="008631CF" w:rsidRDefault="008631CF" w:rsidP="008631CF">
            <w:pPr>
              <w:rPr>
                <w:color w:val="000000"/>
              </w:rPr>
            </w:pPr>
            <w:r>
              <w:rPr>
                <w:color w:val="000000"/>
              </w:rPr>
              <w:t>FY 2021</w:t>
            </w:r>
          </w:p>
        </w:tc>
        <w:tc>
          <w:tcPr>
            <w:tcW w:w="1503" w:type="dxa"/>
            <w:tcBorders>
              <w:top w:val="nil"/>
              <w:left w:val="nil"/>
              <w:bottom w:val="single" w:sz="8" w:space="0" w:color="000000"/>
              <w:right w:val="single" w:sz="8" w:space="0" w:color="000000"/>
            </w:tcBorders>
            <w:shd w:val="clear" w:color="auto" w:fill="auto"/>
            <w:vAlign w:val="center"/>
            <w:hideMark/>
          </w:tcPr>
          <w:p w14:paraId="03AF11D2" w14:textId="77777777" w:rsidR="008631CF" w:rsidRDefault="008631CF" w:rsidP="008631CF">
            <w:pPr>
              <w:jc w:val="right"/>
              <w:rPr>
                <w:color w:val="000000"/>
              </w:rPr>
            </w:pPr>
            <w:r>
              <w:rPr>
                <w:color w:val="000000"/>
              </w:rPr>
              <w:t>7962</w:t>
            </w:r>
          </w:p>
        </w:tc>
        <w:tc>
          <w:tcPr>
            <w:tcW w:w="1230" w:type="dxa"/>
            <w:tcBorders>
              <w:top w:val="nil"/>
              <w:left w:val="nil"/>
              <w:bottom w:val="single" w:sz="8" w:space="0" w:color="000000"/>
              <w:right w:val="single" w:sz="8" w:space="0" w:color="000000"/>
            </w:tcBorders>
            <w:shd w:val="clear" w:color="auto" w:fill="auto"/>
            <w:vAlign w:val="center"/>
            <w:hideMark/>
          </w:tcPr>
          <w:p w14:paraId="6E4B5038" w14:textId="77777777" w:rsidR="008631CF" w:rsidRDefault="008631CF" w:rsidP="008631CF">
            <w:pPr>
              <w:jc w:val="right"/>
              <w:rPr>
                <w:color w:val="000000"/>
              </w:rPr>
            </w:pPr>
            <w:r>
              <w:rPr>
                <w:color w:val="000000"/>
              </w:rPr>
              <w:t>2</w:t>
            </w:r>
          </w:p>
        </w:tc>
        <w:tc>
          <w:tcPr>
            <w:tcW w:w="1963" w:type="dxa"/>
            <w:tcBorders>
              <w:top w:val="nil"/>
              <w:left w:val="nil"/>
              <w:bottom w:val="single" w:sz="8" w:space="0" w:color="000000"/>
              <w:right w:val="single" w:sz="8" w:space="0" w:color="000000"/>
            </w:tcBorders>
            <w:shd w:val="clear" w:color="auto" w:fill="auto"/>
            <w:vAlign w:val="center"/>
            <w:hideMark/>
          </w:tcPr>
          <w:p w14:paraId="5A51779E" w14:textId="77777777" w:rsidR="008631CF" w:rsidRDefault="008631CF" w:rsidP="008631CF">
            <w:pPr>
              <w:jc w:val="right"/>
              <w:rPr>
                <w:color w:val="000000"/>
              </w:rPr>
            </w:pPr>
            <w:r>
              <w:rPr>
                <w:color w:val="000000"/>
              </w:rPr>
              <w:t>15924</w:t>
            </w:r>
          </w:p>
        </w:tc>
        <w:tc>
          <w:tcPr>
            <w:tcW w:w="1029" w:type="dxa"/>
            <w:tcBorders>
              <w:top w:val="nil"/>
              <w:left w:val="nil"/>
              <w:bottom w:val="single" w:sz="8" w:space="0" w:color="000000"/>
              <w:right w:val="single" w:sz="8" w:space="0" w:color="000000"/>
            </w:tcBorders>
            <w:shd w:val="clear" w:color="auto" w:fill="auto"/>
            <w:vAlign w:val="center"/>
            <w:hideMark/>
          </w:tcPr>
          <w:p w14:paraId="0266CB3C" w14:textId="77777777" w:rsidR="008631CF" w:rsidRDefault="008631CF" w:rsidP="008631CF">
            <w:pPr>
              <w:jc w:val="right"/>
              <w:rPr>
                <w:color w:val="000000"/>
              </w:rPr>
            </w:pPr>
            <w:r>
              <w:rPr>
                <w:color w:val="000000"/>
              </w:rPr>
              <w:t>70</w:t>
            </w:r>
          </w:p>
        </w:tc>
        <w:tc>
          <w:tcPr>
            <w:tcW w:w="1360" w:type="dxa"/>
            <w:tcBorders>
              <w:top w:val="nil"/>
              <w:left w:val="nil"/>
              <w:bottom w:val="single" w:sz="8" w:space="0" w:color="000000"/>
              <w:right w:val="single" w:sz="8" w:space="0" w:color="000000"/>
            </w:tcBorders>
            <w:shd w:val="clear" w:color="auto" w:fill="auto"/>
            <w:vAlign w:val="center"/>
            <w:hideMark/>
          </w:tcPr>
          <w:p w14:paraId="3C8F6050" w14:textId="77777777" w:rsidR="008631CF" w:rsidRDefault="008631CF" w:rsidP="008631CF">
            <w:pPr>
              <w:jc w:val="right"/>
              <w:rPr>
                <w:color w:val="000000"/>
              </w:rPr>
            </w:pPr>
            <w:r>
              <w:rPr>
                <w:color w:val="000000"/>
              </w:rPr>
              <w:t>18578</w:t>
            </w:r>
          </w:p>
        </w:tc>
      </w:tr>
      <w:tr w:rsidR="008631CF" w14:paraId="61E8ACED" w14:textId="77777777" w:rsidTr="008631CF">
        <w:trPr>
          <w:trHeight w:val="636"/>
          <w:jc w:val="center"/>
        </w:trPr>
        <w:tc>
          <w:tcPr>
            <w:tcW w:w="2180" w:type="dxa"/>
            <w:tcBorders>
              <w:top w:val="nil"/>
              <w:left w:val="single" w:sz="8" w:space="0" w:color="000000"/>
              <w:bottom w:val="single" w:sz="8" w:space="0" w:color="000000"/>
              <w:right w:val="single" w:sz="8" w:space="0" w:color="000000"/>
            </w:tcBorders>
            <w:shd w:val="clear" w:color="auto" w:fill="auto"/>
            <w:vAlign w:val="center"/>
            <w:hideMark/>
          </w:tcPr>
          <w:p w14:paraId="29FB5E21" w14:textId="77777777" w:rsidR="008631CF" w:rsidRDefault="008631CF" w:rsidP="008631CF">
            <w:pPr>
              <w:rPr>
                <w:color w:val="000000"/>
              </w:rPr>
            </w:pPr>
            <w:r>
              <w:rPr>
                <w:color w:val="000000"/>
              </w:rPr>
              <w:t>Average Record-keeping</w:t>
            </w:r>
          </w:p>
        </w:tc>
        <w:tc>
          <w:tcPr>
            <w:tcW w:w="1503" w:type="dxa"/>
            <w:tcBorders>
              <w:top w:val="nil"/>
              <w:left w:val="nil"/>
              <w:bottom w:val="single" w:sz="8" w:space="0" w:color="000000"/>
              <w:right w:val="single" w:sz="8" w:space="0" w:color="000000"/>
            </w:tcBorders>
            <w:shd w:val="clear" w:color="auto" w:fill="auto"/>
            <w:vAlign w:val="center"/>
            <w:hideMark/>
          </w:tcPr>
          <w:p w14:paraId="2B56DA14" w14:textId="77777777" w:rsidR="008631CF" w:rsidRDefault="008631CF" w:rsidP="008631CF">
            <w:pPr>
              <w:jc w:val="right"/>
              <w:rPr>
                <w:color w:val="000000"/>
              </w:rPr>
            </w:pPr>
            <w:r>
              <w:rPr>
                <w:color w:val="000000"/>
              </w:rPr>
              <w:t>7134</w:t>
            </w:r>
          </w:p>
        </w:tc>
        <w:tc>
          <w:tcPr>
            <w:tcW w:w="1230" w:type="dxa"/>
            <w:tcBorders>
              <w:top w:val="nil"/>
              <w:left w:val="nil"/>
              <w:bottom w:val="single" w:sz="8" w:space="0" w:color="000000"/>
              <w:right w:val="single" w:sz="8" w:space="0" w:color="000000"/>
            </w:tcBorders>
            <w:shd w:val="clear" w:color="auto" w:fill="auto"/>
            <w:vAlign w:val="center"/>
            <w:hideMark/>
          </w:tcPr>
          <w:p w14:paraId="3DF8ECAF" w14:textId="77777777" w:rsidR="008631CF" w:rsidRDefault="008631CF" w:rsidP="008631CF">
            <w:pPr>
              <w:jc w:val="right"/>
              <w:rPr>
                <w:color w:val="000000"/>
              </w:rPr>
            </w:pPr>
            <w:r>
              <w:rPr>
                <w:color w:val="000000"/>
              </w:rPr>
              <w:t>2</w:t>
            </w:r>
          </w:p>
        </w:tc>
        <w:tc>
          <w:tcPr>
            <w:tcW w:w="1963" w:type="dxa"/>
            <w:tcBorders>
              <w:top w:val="nil"/>
              <w:left w:val="nil"/>
              <w:bottom w:val="single" w:sz="8" w:space="0" w:color="000000"/>
              <w:right w:val="single" w:sz="8" w:space="0" w:color="000000"/>
            </w:tcBorders>
            <w:shd w:val="clear" w:color="auto" w:fill="auto"/>
            <w:vAlign w:val="center"/>
            <w:hideMark/>
          </w:tcPr>
          <w:p w14:paraId="119CD0FD" w14:textId="77777777" w:rsidR="008631CF" w:rsidRDefault="008631CF" w:rsidP="008631CF">
            <w:pPr>
              <w:jc w:val="right"/>
              <w:rPr>
                <w:color w:val="000000"/>
              </w:rPr>
            </w:pPr>
            <w:r>
              <w:rPr>
                <w:color w:val="000000"/>
              </w:rPr>
              <w:t>14268</w:t>
            </w:r>
          </w:p>
        </w:tc>
        <w:tc>
          <w:tcPr>
            <w:tcW w:w="1029" w:type="dxa"/>
            <w:tcBorders>
              <w:top w:val="nil"/>
              <w:left w:val="nil"/>
              <w:bottom w:val="single" w:sz="8" w:space="0" w:color="000000"/>
              <w:right w:val="single" w:sz="8" w:space="0" w:color="000000"/>
            </w:tcBorders>
            <w:shd w:val="clear" w:color="auto" w:fill="auto"/>
            <w:vAlign w:val="center"/>
            <w:hideMark/>
          </w:tcPr>
          <w:p w14:paraId="480A4477" w14:textId="77777777" w:rsidR="008631CF" w:rsidRDefault="008631CF" w:rsidP="008631CF">
            <w:pPr>
              <w:jc w:val="right"/>
              <w:rPr>
                <w:color w:val="000000"/>
              </w:rPr>
            </w:pPr>
            <w:r>
              <w:rPr>
                <w:color w:val="000000"/>
              </w:rPr>
              <w:t>70</w:t>
            </w:r>
          </w:p>
        </w:tc>
        <w:tc>
          <w:tcPr>
            <w:tcW w:w="1360" w:type="dxa"/>
            <w:tcBorders>
              <w:top w:val="nil"/>
              <w:left w:val="nil"/>
              <w:bottom w:val="single" w:sz="8" w:space="0" w:color="000000"/>
              <w:right w:val="single" w:sz="8" w:space="0" w:color="000000"/>
            </w:tcBorders>
            <w:shd w:val="clear" w:color="auto" w:fill="auto"/>
            <w:vAlign w:val="center"/>
            <w:hideMark/>
          </w:tcPr>
          <w:p w14:paraId="4CF158CE" w14:textId="77777777" w:rsidR="008631CF" w:rsidRDefault="008631CF" w:rsidP="008631CF">
            <w:pPr>
              <w:jc w:val="right"/>
              <w:rPr>
                <w:color w:val="000000"/>
              </w:rPr>
            </w:pPr>
            <w:r>
              <w:rPr>
                <w:color w:val="000000"/>
              </w:rPr>
              <w:t>16646</w:t>
            </w:r>
          </w:p>
        </w:tc>
      </w:tr>
      <w:tr w:rsidR="008631CF" w14:paraId="12FC4872" w14:textId="77777777" w:rsidTr="008631CF">
        <w:trPr>
          <w:trHeight w:val="288"/>
          <w:jc w:val="center"/>
        </w:trPr>
        <w:tc>
          <w:tcPr>
            <w:tcW w:w="2180" w:type="dxa"/>
            <w:tcBorders>
              <w:top w:val="nil"/>
              <w:left w:val="nil"/>
              <w:bottom w:val="nil"/>
              <w:right w:val="nil"/>
            </w:tcBorders>
            <w:shd w:val="clear" w:color="auto" w:fill="auto"/>
            <w:noWrap/>
            <w:vAlign w:val="bottom"/>
            <w:hideMark/>
          </w:tcPr>
          <w:p w14:paraId="363EF4FD" w14:textId="77777777" w:rsidR="008631CF" w:rsidRDefault="008631CF" w:rsidP="008631CF">
            <w:pPr>
              <w:jc w:val="right"/>
              <w:rPr>
                <w:color w:val="000000"/>
              </w:rPr>
            </w:pPr>
          </w:p>
        </w:tc>
        <w:tc>
          <w:tcPr>
            <w:tcW w:w="1503" w:type="dxa"/>
            <w:tcBorders>
              <w:top w:val="nil"/>
              <w:left w:val="nil"/>
              <w:bottom w:val="nil"/>
              <w:right w:val="nil"/>
            </w:tcBorders>
            <w:shd w:val="clear" w:color="auto" w:fill="auto"/>
            <w:noWrap/>
            <w:vAlign w:val="bottom"/>
            <w:hideMark/>
          </w:tcPr>
          <w:p w14:paraId="28494F2D" w14:textId="77777777" w:rsidR="008631CF" w:rsidRDefault="008631CF" w:rsidP="008631CF">
            <w:pPr>
              <w:rPr>
                <w:sz w:val="20"/>
                <w:szCs w:val="20"/>
              </w:rPr>
            </w:pPr>
          </w:p>
        </w:tc>
        <w:tc>
          <w:tcPr>
            <w:tcW w:w="1230" w:type="dxa"/>
            <w:tcBorders>
              <w:top w:val="nil"/>
              <w:left w:val="nil"/>
              <w:bottom w:val="nil"/>
              <w:right w:val="nil"/>
            </w:tcBorders>
            <w:shd w:val="clear" w:color="auto" w:fill="auto"/>
            <w:noWrap/>
            <w:vAlign w:val="bottom"/>
            <w:hideMark/>
          </w:tcPr>
          <w:p w14:paraId="1F6F2CD8" w14:textId="77777777" w:rsidR="008631CF" w:rsidRDefault="008631CF" w:rsidP="008631CF">
            <w:pPr>
              <w:rPr>
                <w:sz w:val="20"/>
                <w:szCs w:val="20"/>
              </w:rPr>
            </w:pPr>
          </w:p>
        </w:tc>
        <w:tc>
          <w:tcPr>
            <w:tcW w:w="1963" w:type="dxa"/>
            <w:tcBorders>
              <w:top w:val="nil"/>
              <w:left w:val="nil"/>
              <w:bottom w:val="nil"/>
              <w:right w:val="nil"/>
            </w:tcBorders>
            <w:shd w:val="clear" w:color="auto" w:fill="auto"/>
            <w:noWrap/>
            <w:vAlign w:val="bottom"/>
            <w:hideMark/>
          </w:tcPr>
          <w:p w14:paraId="0718167D" w14:textId="77777777" w:rsidR="008631CF" w:rsidRDefault="008631CF" w:rsidP="008631CF">
            <w:pPr>
              <w:rPr>
                <w:sz w:val="20"/>
                <w:szCs w:val="20"/>
              </w:rPr>
            </w:pPr>
          </w:p>
        </w:tc>
        <w:tc>
          <w:tcPr>
            <w:tcW w:w="1029" w:type="dxa"/>
            <w:tcBorders>
              <w:top w:val="nil"/>
              <w:left w:val="nil"/>
              <w:bottom w:val="nil"/>
              <w:right w:val="nil"/>
            </w:tcBorders>
            <w:shd w:val="clear" w:color="auto" w:fill="auto"/>
            <w:noWrap/>
            <w:vAlign w:val="bottom"/>
            <w:hideMark/>
          </w:tcPr>
          <w:p w14:paraId="42237FD8" w14:textId="77777777" w:rsidR="008631CF" w:rsidRDefault="008631CF" w:rsidP="008631CF">
            <w:pPr>
              <w:rPr>
                <w:sz w:val="20"/>
                <w:szCs w:val="20"/>
              </w:rPr>
            </w:pPr>
          </w:p>
        </w:tc>
        <w:tc>
          <w:tcPr>
            <w:tcW w:w="1360" w:type="dxa"/>
            <w:tcBorders>
              <w:top w:val="nil"/>
              <w:left w:val="nil"/>
              <w:bottom w:val="nil"/>
              <w:right w:val="nil"/>
            </w:tcBorders>
            <w:shd w:val="clear" w:color="auto" w:fill="auto"/>
            <w:noWrap/>
            <w:vAlign w:val="bottom"/>
            <w:hideMark/>
          </w:tcPr>
          <w:p w14:paraId="66EC516A" w14:textId="77777777" w:rsidR="008631CF" w:rsidRDefault="008631CF" w:rsidP="008631CF">
            <w:pPr>
              <w:rPr>
                <w:sz w:val="20"/>
                <w:szCs w:val="20"/>
              </w:rPr>
            </w:pPr>
          </w:p>
        </w:tc>
      </w:tr>
    </w:tbl>
    <w:p w14:paraId="04747E58" w14:textId="1E6D5078" w:rsidR="00C4675D" w:rsidRDefault="00C4675D"/>
    <w:p w14:paraId="62B4CDE7" w14:textId="77777777" w:rsidR="00C4675D" w:rsidRDefault="00C4675D">
      <w:r>
        <w:br w:type="page"/>
      </w:r>
    </w:p>
    <w:p w14:paraId="4FA595B6" w14:textId="77777777" w:rsidR="00C4675D" w:rsidRDefault="00C4675D"/>
    <w:tbl>
      <w:tblPr>
        <w:tblW w:w="9265" w:type="dxa"/>
        <w:jc w:val="center"/>
        <w:tblLook w:val="04A0" w:firstRow="1" w:lastRow="0" w:firstColumn="1" w:lastColumn="0" w:noHBand="0" w:noVBand="1"/>
      </w:tblPr>
      <w:tblGrid>
        <w:gridCol w:w="2180"/>
        <w:gridCol w:w="1503"/>
        <w:gridCol w:w="1230"/>
        <w:gridCol w:w="1963"/>
        <w:gridCol w:w="1029"/>
        <w:gridCol w:w="1360"/>
      </w:tblGrid>
      <w:tr w:rsidR="008631CF" w14:paraId="554B72CC" w14:textId="77777777" w:rsidTr="00C4675D">
        <w:trPr>
          <w:trHeight w:val="288"/>
          <w:jc w:val="center"/>
        </w:trPr>
        <w:tc>
          <w:tcPr>
            <w:tcW w:w="2180" w:type="dxa"/>
            <w:tcBorders>
              <w:top w:val="nil"/>
              <w:left w:val="nil"/>
              <w:bottom w:val="single" w:sz="4" w:space="0" w:color="auto"/>
              <w:right w:val="nil"/>
            </w:tcBorders>
            <w:shd w:val="clear" w:color="auto" w:fill="auto"/>
            <w:noWrap/>
            <w:vAlign w:val="bottom"/>
            <w:hideMark/>
          </w:tcPr>
          <w:p w14:paraId="7373F755" w14:textId="77777777" w:rsidR="008631CF" w:rsidRDefault="008631CF" w:rsidP="008631CF">
            <w:pPr>
              <w:rPr>
                <w:sz w:val="20"/>
                <w:szCs w:val="20"/>
              </w:rPr>
            </w:pPr>
          </w:p>
        </w:tc>
        <w:tc>
          <w:tcPr>
            <w:tcW w:w="1503" w:type="dxa"/>
            <w:tcBorders>
              <w:top w:val="nil"/>
              <w:left w:val="nil"/>
              <w:bottom w:val="single" w:sz="4" w:space="0" w:color="auto"/>
              <w:right w:val="nil"/>
            </w:tcBorders>
            <w:shd w:val="clear" w:color="auto" w:fill="auto"/>
            <w:noWrap/>
            <w:vAlign w:val="bottom"/>
            <w:hideMark/>
          </w:tcPr>
          <w:p w14:paraId="42E46161" w14:textId="77777777" w:rsidR="008631CF" w:rsidRDefault="008631CF" w:rsidP="008631CF">
            <w:pPr>
              <w:rPr>
                <w:sz w:val="20"/>
                <w:szCs w:val="20"/>
              </w:rPr>
            </w:pPr>
          </w:p>
        </w:tc>
        <w:tc>
          <w:tcPr>
            <w:tcW w:w="1230" w:type="dxa"/>
            <w:tcBorders>
              <w:top w:val="nil"/>
              <w:left w:val="nil"/>
              <w:bottom w:val="single" w:sz="4" w:space="0" w:color="auto"/>
              <w:right w:val="nil"/>
            </w:tcBorders>
            <w:shd w:val="clear" w:color="auto" w:fill="auto"/>
            <w:noWrap/>
            <w:vAlign w:val="bottom"/>
            <w:hideMark/>
          </w:tcPr>
          <w:p w14:paraId="4E78967C" w14:textId="77777777" w:rsidR="008631CF" w:rsidRDefault="008631CF" w:rsidP="008631CF">
            <w:pPr>
              <w:rPr>
                <w:sz w:val="20"/>
                <w:szCs w:val="20"/>
              </w:rPr>
            </w:pPr>
          </w:p>
        </w:tc>
        <w:tc>
          <w:tcPr>
            <w:tcW w:w="1963" w:type="dxa"/>
            <w:tcBorders>
              <w:top w:val="nil"/>
              <w:left w:val="nil"/>
              <w:bottom w:val="single" w:sz="4" w:space="0" w:color="auto"/>
              <w:right w:val="nil"/>
            </w:tcBorders>
            <w:shd w:val="clear" w:color="auto" w:fill="auto"/>
            <w:noWrap/>
            <w:vAlign w:val="bottom"/>
            <w:hideMark/>
          </w:tcPr>
          <w:p w14:paraId="0332017F" w14:textId="77777777" w:rsidR="008631CF" w:rsidRDefault="008631CF" w:rsidP="008631CF">
            <w:pPr>
              <w:rPr>
                <w:sz w:val="20"/>
                <w:szCs w:val="20"/>
              </w:rPr>
            </w:pPr>
          </w:p>
        </w:tc>
        <w:tc>
          <w:tcPr>
            <w:tcW w:w="1029" w:type="dxa"/>
            <w:tcBorders>
              <w:top w:val="nil"/>
              <w:left w:val="nil"/>
              <w:bottom w:val="single" w:sz="4" w:space="0" w:color="auto"/>
              <w:right w:val="nil"/>
            </w:tcBorders>
            <w:shd w:val="clear" w:color="auto" w:fill="auto"/>
            <w:noWrap/>
            <w:vAlign w:val="bottom"/>
            <w:hideMark/>
          </w:tcPr>
          <w:p w14:paraId="30700E93" w14:textId="77777777" w:rsidR="008631CF" w:rsidRDefault="008631CF" w:rsidP="008631CF">
            <w:pPr>
              <w:rPr>
                <w:sz w:val="20"/>
                <w:szCs w:val="20"/>
              </w:rPr>
            </w:pPr>
          </w:p>
        </w:tc>
        <w:tc>
          <w:tcPr>
            <w:tcW w:w="1360" w:type="dxa"/>
            <w:tcBorders>
              <w:top w:val="nil"/>
              <w:left w:val="nil"/>
              <w:bottom w:val="single" w:sz="4" w:space="0" w:color="auto"/>
              <w:right w:val="nil"/>
            </w:tcBorders>
            <w:shd w:val="clear" w:color="auto" w:fill="auto"/>
            <w:noWrap/>
            <w:vAlign w:val="bottom"/>
            <w:hideMark/>
          </w:tcPr>
          <w:p w14:paraId="55EBE20A" w14:textId="77777777" w:rsidR="008631CF" w:rsidRDefault="008631CF" w:rsidP="008631CF">
            <w:pPr>
              <w:rPr>
                <w:sz w:val="20"/>
                <w:szCs w:val="20"/>
              </w:rPr>
            </w:pPr>
          </w:p>
        </w:tc>
      </w:tr>
      <w:tr w:rsidR="008631CF" w14:paraId="380BC5F8" w14:textId="77777777" w:rsidTr="00C4675D">
        <w:trPr>
          <w:trHeight w:val="324"/>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36C40C" w14:textId="54CC14B1" w:rsidR="008631CF" w:rsidRPr="008631CF" w:rsidRDefault="00411840" w:rsidP="00411840">
            <w:pPr>
              <w:rPr>
                <w:color w:val="000000"/>
              </w:rPr>
            </w:pPr>
            <w:r>
              <w:rPr>
                <w:color w:val="000000"/>
              </w:rPr>
              <w:t>Average and Fiscal Year Total for the Interview portion of the Diary Suvery</w:t>
            </w:r>
          </w:p>
        </w:tc>
      </w:tr>
      <w:tr w:rsidR="008631CF" w14:paraId="594CF2AB" w14:textId="77777777" w:rsidTr="00C4675D">
        <w:trPr>
          <w:trHeight w:val="324"/>
          <w:jc w:val="center"/>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D4003" w14:textId="77777777" w:rsidR="008631CF" w:rsidRDefault="008631CF" w:rsidP="00115067">
            <w:pPr>
              <w:rPr>
                <w:color w:val="000000"/>
              </w:rPr>
            </w:pPr>
            <w:r>
              <w:rPr>
                <w:color w:val="000000"/>
              </w:rPr>
              <w:t>Fiscal Year</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D8642" w14:textId="77777777" w:rsidR="008631CF" w:rsidRDefault="008631CF" w:rsidP="00115067">
            <w:pPr>
              <w:rPr>
                <w:color w:val="000000"/>
              </w:rPr>
            </w:pPr>
            <w:r>
              <w:rPr>
                <w:color w:val="000000"/>
              </w:rPr>
              <w:t> Respondents</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483A5" w14:textId="77777777" w:rsidR="008631CF" w:rsidRDefault="008631CF" w:rsidP="00115067">
            <w:pPr>
              <w:rPr>
                <w:color w:val="000000"/>
              </w:rPr>
            </w:pPr>
            <w:r>
              <w:rPr>
                <w:color w:val="000000"/>
              </w:rPr>
              <w:t>Total # of Responses</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B197A" w14:textId="77777777" w:rsidR="008631CF" w:rsidRDefault="008631CF" w:rsidP="00115067">
            <w:pPr>
              <w:rPr>
                <w:color w:val="000000"/>
              </w:rPr>
            </w:pPr>
            <w:r>
              <w:rPr>
                <w:color w:val="000000"/>
              </w:rPr>
              <w:t>Responses per year</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D0A34" w14:textId="77777777" w:rsidR="008631CF" w:rsidRDefault="008631CF" w:rsidP="00115067">
            <w:pPr>
              <w:rPr>
                <w:color w:val="000000"/>
              </w:rPr>
            </w:pPr>
            <w:r>
              <w:rPr>
                <w:color w:val="000000"/>
              </w:rPr>
              <w:t>Average Minutes</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D3F2A" w14:textId="77777777" w:rsidR="008631CF" w:rsidRDefault="008631CF" w:rsidP="00115067">
            <w:pPr>
              <w:rPr>
                <w:color w:val="000000"/>
              </w:rPr>
            </w:pPr>
            <w:r w:rsidRPr="008631CF">
              <w:rPr>
                <w:color w:val="000000"/>
              </w:rPr>
              <w:t>Total hours</w:t>
            </w:r>
          </w:p>
        </w:tc>
      </w:tr>
      <w:tr w:rsidR="008631CF" w14:paraId="1BB5E907" w14:textId="77777777" w:rsidTr="00C4675D">
        <w:trPr>
          <w:trHeight w:val="324"/>
          <w:jc w:val="center"/>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FDBCB" w14:textId="77777777" w:rsidR="008631CF" w:rsidRDefault="008631CF" w:rsidP="008631CF">
            <w:pPr>
              <w:rPr>
                <w:color w:val="000000"/>
              </w:rPr>
            </w:pPr>
            <w:r>
              <w:rPr>
                <w:color w:val="000000"/>
              </w:rPr>
              <w:t>FY 2019</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FD2DD" w14:textId="77777777" w:rsidR="008631CF" w:rsidRDefault="008631CF" w:rsidP="008631CF">
            <w:pPr>
              <w:jc w:val="right"/>
              <w:rPr>
                <w:color w:val="000000"/>
              </w:rPr>
            </w:pPr>
            <w:r>
              <w:rPr>
                <w:color w:val="000000"/>
              </w:rPr>
              <w:t>5478</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93324" w14:textId="77777777" w:rsidR="008631CF" w:rsidRDefault="008631CF" w:rsidP="008631CF">
            <w:pPr>
              <w:jc w:val="right"/>
              <w:rPr>
                <w:color w:val="000000"/>
              </w:rPr>
            </w:pPr>
            <w:r>
              <w:rPr>
                <w:color w:val="000000"/>
              </w:rPr>
              <w:t>2</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BB129" w14:textId="77777777" w:rsidR="008631CF" w:rsidRDefault="008631CF" w:rsidP="008631CF">
            <w:pPr>
              <w:jc w:val="right"/>
              <w:rPr>
                <w:color w:val="000000"/>
              </w:rPr>
            </w:pPr>
            <w:r>
              <w:rPr>
                <w:color w:val="000000"/>
              </w:rPr>
              <w:t>10956</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85DDD" w14:textId="77777777" w:rsidR="008631CF" w:rsidRDefault="008631CF" w:rsidP="008631CF">
            <w:pPr>
              <w:jc w:val="right"/>
              <w:rPr>
                <w:color w:val="000000"/>
              </w:rPr>
            </w:pPr>
            <w:r>
              <w:rPr>
                <w:color w:val="000000"/>
              </w:rPr>
              <w:t>20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5DDAC" w14:textId="77777777" w:rsidR="008631CF" w:rsidRDefault="008631CF" w:rsidP="008631CF">
            <w:pPr>
              <w:jc w:val="right"/>
              <w:rPr>
                <w:color w:val="000000"/>
              </w:rPr>
            </w:pPr>
            <w:r>
              <w:rPr>
                <w:color w:val="000000"/>
              </w:rPr>
              <w:t>3652</w:t>
            </w:r>
          </w:p>
        </w:tc>
      </w:tr>
      <w:tr w:rsidR="008631CF" w14:paraId="0B23FA44" w14:textId="77777777" w:rsidTr="00C4675D">
        <w:trPr>
          <w:trHeight w:val="324"/>
          <w:jc w:val="center"/>
        </w:trPr>
        <w:tc>
          <w:tcPr>
            <w:tcW w:w="218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2CB96758" w14:textId="77777777" w:rsidR="008631CF" w:rsidRDefault="008631CF" w:rsidP="008631CF">
            <w:pPr>
              <w:rPr>
                <w:color w:val="000000"/>
              </w:rPr>
            </w:pPr>
            <w:r>
              <w:rPr>
                <w:color w:val="000000"/>
              </w:rPr>
              <w:t>FY 2020</w:t>
            </w:r>
          </w:p>
        </w:tc>
        <w:tc>
          <w:tcPr>
            <w:tcW w:w="1503" w:type="dxa"/>
            <w:tcBorders>
              <w:top w:val="single" w:sz="4" w:space="0" w:color="auto"/>
              <w:left w:val="nil"/>
              <w:bottom w:val="single" w:sz="8" w:space="0" w:color="000000"/>
              <w:right w:val="single" w:sz="8" w:space="0" w:color="000000"/>
            </w:tcBorders>
            <w:shd w:val="clear" w:color="auto" w:fill="auto"/>
            <w:vAlign w:val="center"/>
            <w:hideMark/>
          </w:tcPr>
          <w:p w14:paraId="5FBE5E7A" w14:textId="77777777" w:rsidR="008631CF" w:rsidRDefault="008631CF" w:rsidP="008631CF">
            <w:pPr>
              <w:jc w:val="right"/>
              <w:rPr>
                <w:color w:val="000000"/>
              </w:rPr>
            </w:pPr>
            <w:r>
              <w:rPr>
                <w:color w:val="000000"/>
              </w:rPr>
              <w:t>7962</w:t>
            </w:r>
          </w:p>
        </w:tc>
        <w:tc>
          <w:tcPr>
            <w:tcW w:w="1230" w:type="dxa"/>
            <w:tcBorders>
              <w:top w:val="single" w:sz="4" w:space="0" w:color="auto"/>
              <w:left w:val="nil"/>
              <w:bottom w:val="single" w:sz="8" w:space="0" w:color="000000"/>
              <w:right w:val="single" w:sz="8" w:space="0" w:color="000000"/>
            </w:tcBorders>
            <w:shd w:val="clear" w:color="auto" w:fill="auto"/>
            <w:vAlign w:val="center"/>
            <w:hideMark/>
          </w:tcPr>
          <w:p w14:paraId="253B616A" w14:textId="77777777" w:rsidR="008631CF" w:rsidRDefault="008631CF" w:rsidP="008631CF">
            <w:pPr>
              <w:jc w:val="right"/>
              <w:rPr>
                <w:color w:val="000000"/>
              </w:rPr>
            </w:pPr>
            <w:r>
              <w:rPr>
                <w:color w:val="000000"/>
              </w:rPr>
              <w:t>2</w:t>
            </w:r>
          </w:p>
        </w:tc>
        <w:tc>
          <w:tcPr>
            <w:tcW w:w="1963" w:type="dxa"/>
            <w:tcBorders>
              <w:top w:val="single" w:sz="4" w:space="0" w:color="auto"/>
              <w:left w:val="nil"/>
              <w:bottom w:val="single" w:sz="8" w:space="0" w:color="000000"/>
              <w:right w:val="single" w:sz="8" w:space="0" w:color="000000"/>
            </w:tcBorders>
            <w:shd w:val="clear" w:color="auto" w:fill="auto"/>
            <w:vAlign w:val="center"/>
            <w:hideMark/>
          </w:tcPr>
          <w:p w14:paraId="7214D2FB" w14:textId="77777777" w:rsidR="008631CF" w:rsidRDefault="008631CF" w:rsidP="008631CF">
            <w:pPr>
              <w:jc w:val="right"/>
              <w:rPr>
                <w:color w:val="000000"/>
              </w:rPr>
            </w:pPr>
            <w:r>
              <w:rPr>
                <w:color w:val="000000"/>
              </w:rPr>
              <w:t>15924</w:t>
            </w:r>
          </w:p>
        </w:tc>
        <w:tc>
          <w:tcPr>
            <w:tcW w:w="1029" w:type="dxa"/>
            <w:tcBorders>
              <w:top w:val="single" w:sz="4" w:space="0" w:color="auto"/>
              <w:left w:val="nil"/>
              <w:bottom w:val="single" w:sz="8" w:space="0" w:color="000000"/>
              <w:right w:val="single" w:sz="8" w:space="0" w:color="000000"/>
            </w:tcBorders>
            <w:shd w:val="clear" w:color="auto" w:fill="auto"/>
            <w:vAlign w:val="center"/>
            <w:hideMark/>
          </w:tcPr>
          <w:p w14:paraId="23EEDF39" w14:textId="77777777" w:rsidR="008631CF" w:rsidRDefault="008631CF" w:rsidP="008631CF">
            <w:pPr>
              <w:jc w:val="right"/>
              <w:rPr>
                <w:color w:val="000000"/>
              </w:rPr>
            </w:pPr>
            <w:r>
              <w:rPr>
                <w:color w:val="000000"/>
              </w:rPr>
              <w:t>20</w:t>
            </w:r>
          </w:p>
        </w:tc>
        <w:tc>
          <w:tcPr>
            <w:tcW w:w="1360" w:type="dxa"/>
            <w:tcBorders>
              <w:top w:val="single" w:sz="4" w:space="0" w:color="auto"/>
              <w:left w:val="nil"/>
              <w:bottom w:val="single" w:sz="8" w:space="0" w:color="000000"/>
              <w:right w:val="single" w:sz="8" w:space="0" w:color="000000"/>
            </w:tcBorders>
            <w:shd w:val="clear" w:color="auto" w:fill="auto"/>
            <w:vAlign w:val="center"/>
            <w:hideMark/>
          </w:tcPr>
          <w:p w14:paraId="1DF640E3" w14:textId="77777777" w:rsidR="008631CF" w:rsidRDefault="008631CF" w:rsidP="008631CF">
            <w:pPr>
              <w:jc w:val="right"/>
              <w:rPr>
                <w:color w:val="000000"/>
              </w:rPr>
            </w:pPr>
            <w:r>
              <w:rPr>
                <w:color w:val="000000"/>
              </w:rPr>
              <w:t>5308</w:t>
            </w:r>
          </w:p>
        </w:tc>
      </w:tr>
      <w:tr w:rsidR="008631CF" w14:paraId="05CCD3CC" w14:textId="77777777" w:rsidTr="00C4675D">
        <w:trPr>
          <w:trHeight w:val="324"/>
          <w:jc w:val="center"/>
        </w:trPr>
        <w:tc>
          <w:tcPr>
            <w:tcW w:w="2180" w:type="dxa"/>
            <w:tcBorders>
              <w:top w:val="nil"/>
              <w:left w:val="single" w:sz="8" w:space="0" w:color="000000"/>
              <w:bottom w:val="single" w:sz="8" w:space="0" w:color="000000"/>
              <w:right w:val="single" w:sz="8" w:space="0" w:color="000000"/>
            </w:tcBorders>
            <w:shd w:val="clear" w:color="auto" w:fill="auto"/>
            <w:vAlign w:val="center"/>
            <w:hideMark/>
          </w:tcPr>
          <w:p w14:paraId="7E44C636" w14:textId="77777777" w:rsidR="008631CF" w:rsidRDefault="008631CF" w:rsidP="008631CF">
            <w:pPr>
              <w:rPr>
                <w:color w:val="000000"/>
              </w:rPr>
            </w:pPr>
            <w:r>
              <w:rPr>
                <w:color w:val="000000"/>
              </w:rPr>
              <w:t>FY 2021</w:t>
            </w:r>
          </w:p>
        </w:tc>
        <w:tc>
          <w:tcPr>
            <w:tcW w:w="1503" w:type="dxa"/>
            <w:tcBorders>
              <w:top w:val="nil"/>
              <w:left w:val="nil"/>
              <w:bottom w:val="single" w:sz="8" w:space="0" w:color="000000"/>
              <w:right w:val="single" w:sz="8" w:space="0" w:color="000000"/>
            </w:tcBorders>
            <w:shd w:val="clear" w:color="auto" w:fill="auto"/>
            <w:vAlign w:val="center"/>
            <w:hideMark/>
          </w:tcPr>
          <w:p w14:paraId="2F74F8B5" w14:textId="77777777" w:rsidR="008631CF" w:rsidRDefault="008631CF" w:rsidP="008631CF">
            <w:pPr>
              <w:jc w:val="right"/>
              <w:rPr>
                <w:color w:val="000000"/>
              </w:rPr>
            </w:pPr>
            <w:r>
              <w:rPr>
                <w:color w:val="000000"/>
              </w:rPr>
              <w:t>7962</w:t>
            </w:r>
          </w:p>
        </w:tc>
        <w:tc>
          <w:tcPr>
            <w:tcW w:w="1230" w:type="dxa"/>
            <w:tcBorders>
              <w:top w:val="nil"/>
              <w:left w:val="nil"/>
              <w:bottom w:val="single" w:sz="8" w:space="0" w:color="000000"/>
              <w:right w:val="single" w:sz="8" w:space="0" w:color="000000"/>
            </w:tcBorders>
            <w:shd w:val="clear" w:color="auto" w:fill="auto"/>
            <w:vAlign w:val="center"/>
            <w:hideMark/>
          </w:tcPr>
          <w:p w14:paraId="35761198" w14:textId="77777777" w:rsidR="008631CF" w:rsidRDefault="008631CF" w:rsidP="008631CF">
            <w:pPr>
              <w:jc w:val="right"/>
              <w:rPr>
                <w:color w:val="000000"/>
              </w:rPr>
            </w:pPr>
            <w:r>
              <w:rPr>
                <w:color w:val="000000"/>
              </w:rPr>
              <w:t>2</w:t>
            </w:r>
          </w:p>
        </w:tc>
        <w:tc>
          <w:tcPr>
            <w:tcW w:w="1963" w:type="dxa"/>
            <w:tcBorders>
              <w:top w:val="nil"/>
              <w:left w:val="nil"/>
              <w:bottom w:val="single" w:sz="8" w:space="0" w:color="000000"/>
              <w:right w:val="single" w:sz="8" w:space="0" w:color="000000"/>
            </w:tcBorders>
            <w:shd w:val="clear" w:color="auto" w:fill="auto"/>
            <w:vAlign w:val="center"/>
            <w:hideMark/>
          </w:tcPr>
          <w:p w14:paraId="0D8DC5E5" w14:textId="77777777" w:rsidR="008631CF" w:rsidRDefault="008631CF" w:rsidP="008631CF">
            <w:pPr>
              <w:jc w:val="right"/>
              <w:rPr>
                <w:color w:val="000000"/>
              </w:rPr>
            </w:pPr>
            <w:r>
              <w:rPr>
                <w:color w:val="000000"/>
              </w:rPr>
              <w:t>15924</w:t>
            </w:r>
          </w:p>
        </w:tc>
        <w:tc>
          <w:tcPr>
            <w:tcW w:w="1029" w:type="dxa"/>
            <w:tcBorders>
              <w:top w:val="nil"/>
              <w:left w:val="nil"/>
              <w:bottom w:val="single" w:sz="8" w:space="0" w:color="000000"/>
              <w:right w:val="single" w:sz="8" w:space="0" w:color="000000"/>
            </w:tcBorders>
            <w:shd w:val="clear" w:color="auto" w:fill="auto"/>
            <w:vAlign w:val="center"/>
            <w:hideMark/>
          </w:tcPr>
          <w:p w14:paraId="12ED9538" w14:textId="77777777" w:rsidR="008631CF" w:rsidRDefault="008631CF" w:rsidP="008631CF">
            <w:pPr>
              <w:jc w:val="right"/>
              <w:rPr>
                <w:color w:val="000000"/>
              </w:rPr>
            </w:pPr>
            <w:r>
              <w:rPr>
                <w:color w:val="000000"/>
              </w:rPr>
              <w:t>20</w:t>
            </w:r>
          </w:p>
        </w:tc>
        <w:tc>
          <w:tcPr>
            <w:tcW w:w="1360" w:type="dxa"/>
            <w:tcBorders>
              <w:top w:val="nil"/>
              <w:left w:val="nil"/>
              <w:bottom w:val="single" w:sz="8" w:space="0" w:color="000000"/>
              <w:right w:val="single" w:sz="8" w:space="0" w:color="000000"/>
            </w:tcBorders>
            <w:shd w:val="clear" w:color="auto" w:fill="auto"/>
            <w:vAlign w:val="center"/>
            <w:hideMark/>
          </w:tcPr>
          <w:p w14:paraId="3F825392" w14:textId="77777777" w:rsidR="008631CF" w:rsidRDefault="008631CF" w:rsidP="008631CF">
            <w:pPr>
              <w:jc w:val="right"/>
              <w:rPr>
                <w:color w:val="000000"/>
              </w:rPr>
            </w:pPr>
            <w:r>
              <w:rPr>
                <w:color w:val="000000"/>
              </w:rPr>
              <w:t>5308</w:t>
            </w:r>
          </w:p>
        </w:tc>
      </w:tr>
      <w:tr w:rsidR="008631CF" w14:paraId="67702651" w14:textId="77777777" w:rsidTr="00C4675D">
        <w:trPr>
          <w:trHeight w:val="324"/>
          <w:jc w:val="center"/>
        </w:trPr>
        <w:tc>
          <w:tcPr>
            <w:tcW w:w="2180" w:type="dxa"/>
            <w:tcBorders>
              <w:top w:val="nil"/>
              <w:left w:val="single" w:sz="8" w:space="0" w:color="000000"/>
              <w:bottom w:val="single" w:sz="8" w:space="0" w:color="000000"/>
              <w:right w:val="single" w:sz="8" w:space="0" w:color="000000"/>
            </w:tcBorders>
            <w:shd w:val="clear" w:color="auto" w:fill="auto"/>
            <w:vAlign w:val="center"/>
            <w:hideMark/>
          </w:tcPr>
          <w:p w14:paraId="1DE5DEBA" w14:textId="77777777" w:rsidR="008631CF" w:rsidRDefault="008631CF" w:rsidP="008631CF">
            <w:pPr>
              <w:rPr>
                <w:color w:val="000000"/>
              </w:rPr>
            </w:pPr>
            <w:r>
              <w:rPr>
                <w:color w:val="000000"/>
              </w:rPr>
              <w:t>Average Interview</w:t>
            </w:r>
          </w:p>
        </w:tc>
        <w:tc>
          <w:tcPr>
            <w:tcW w:w="1503" w:type="dxa"/>
            <w:tcBorders>
              <w:top w:val="nil"/>
              <w:left w:val="nil"/>
              <w:bottom w:val="single" w:sz="8" w:space="0" w:color="000000"/>
              <w:right w:val="single" w:sz="8" w:space="0" w:color="000000"/>
            </w:tcBorders>
            <w:shd w:val="clear" w:color="auto" w:fill="auto"/>
            <w:vAlign w:val="center"/>
            <w:hideMark/>
          </w:tcPr>
          <w:p w14:paraId="169E4018" w14:textId="77777777" w:rsidR="008631CF" w:rsidRDefault="008631CF" w:rsidP="008631CF">
            <w:pPr>
              <w:jc w:val="right"/>
              <w:rPr>
                <w:color w:val="000000"/>
              </w:rPr>
            </w:pPr>
            <w:r>
              <w:rPr>
                <w:color w:val="000000"/>
              </w:rPr>
              <w:t>7134</w:t>
            </w:r>
          </w:p>
        </w:tc>
        <w:tc>
          <w:tcPr>
            <w:tcW w:w="1230" w:type="dxa"/>
            <w:tcBorders>
              <w:top w:val="nil"/>
              <w:left w:val="nil"/>
              <w:bottom w:val="single" w:sz="8" w:space="0" w:color="000000"/>
              <w:right w:val="single" w:sz="8" w:space="0" w:color="000000"/>
            </w:tcBorders>
            <w:shd w:val="clear" w:color="auto" w:fill="auto"/>
            <w:vAlign w:val="center"/>
            <w:hideMark/>
          </w:tcPr>
          <w:p w14:paraId="500D86E0" w14:textId="77777777" w:rsidR="008631CF" w:rsidRDefault="008631CF" w:rsidP="008631CF">
            <w:pPr>
              <w:jc w:val="right"/>
              <w:rPr>
                <w:color w:val="000000"/>
              </w:rPr>
            </w:pPr>
            <w:r>
              <w:rPr>
                <w:color w:val="000000"/>
              </w:rPr>
              <w:t>2</w:t>
            </w:r>
          </w:p>
        </w:tc>
        <w:tc>
          <w:tcPr>
            <w:tcW w:w="1963" w:type="dxa"/>
            <w:tcBorders>
              <w:top w:val="nil"/>
              <w:left w:val="nil"/>
              <w:bottom w:val="single" w:sz="8" w:space="0" w:color="000000"/>
              <w:right w:val="single" w:sz="8" w:space="0" w:color="000000"/>
            </w:tcBorders>
            <w:shd w:val="clear" w:color="auto" w:fill="auto"/>
            <w:vAlign w:val="center"/>
            <w:hideMark/>
          </w:tcPr>
          <w:p w14:paraId="31FC1505" w14:textId="77777777" w:rsidR="008631CF" w:rsidRDefault="008631CF" w:rsidP="008631CF">
            <w:pPr>
              <w:jc w:val="right"/>
              <w:rPr>
                <w:color w:val="000000"/>
              </w:rPr>
            </w:pPr>
            <w:r>
              <w:rPr>
                <w:color w:val="000000"/>
              </w:rPr>
              <w:t>14268</w:t>
            </w:r>
          </w:p>
        </w:tc>
        <w:tc>
          <w:tcPr>
            <w:tcW w:w="1029" w:type="dxa"/>
            <w:tcBorders>
              <w:top w:val="nil"/>
              <w:left w:val="nil"/>
              <w:bottom w:val="single" w:sz="8" w:space="0" w:color="000000"/>
              <w:right w:val="single" w:sz="8" w:space="0" w:color="000000"/>
            </w:tcBorders>
            <w:shd w:val="clear" w:color="auto" w:fill="auto"/>
            <w:vAlign w:val="center"/>
            <w:hideMark/>
          </w:tcPr>
          <w:p w14:paraId="2EBF2BE5" w14:textId="77777777" w:rsidR="008631CF" w:rsidRDefault="008631CF" w:rsidP="008631CF">
            <w:pPr>
              <w:jc w:val="right"/>
              <w:rPr>
                <w:color w:val="000000"/>
              </w:rPr>
            </w:pPr>
            <w:r>
              <w:rPr>
                <w:color w:val="000000"/>
              </w:rPr>
              <w:t>20</w:t>
            </w:r>
          </w:p>
        </w:tc>
        <w:tc>
          <w:tcPr>
            <w:tcW w:w="1360" w:type="dxa"/>
            <w:tcBorders>
              <w:top w:val="nil"/>
              <w:left w:val="nil"/>
              <w:bottom w:val="single" w:sz="8" w:space="0" w:color="000000"/>
              <w:right w:val="single" w:sz="8" w:space="0" w:color="000000"/>
            </w:tcBorders>
            <w:shd w:val="clear" w:color="auto" w:fill="auto"/>
            <w:vAlign w:val="center"/>
            <w:hideMark/>
          </w:tcPr>
          <w:p w14:paraId="7703CA2D" w14:textId="77777777" w:rsidR="008631CF" w:rsidRDefault="008631CF" w:rsidP="008631CF">
            <w:pPr>
              <w:jc w:val="right"/>
              <w:rPr>
                <w:color w:val="000000"/>
              </w:rPr>
            </w:pPr>
            <w:r>
              <w:rPr>
                <w:color w:val="000000"/>
              </w:rPr>
              <w:t>4756</w:t>
            </w:r>
          </w:p>
        </w:tc>
      </w:tr>
    </w:tbl>
    <w:p w14:paraId="03D62DAB" w14:textId="77777777" w:rsidR="0006130E" w:rsidRPr="005E378C" w:rsidRDefault="0006130E" w:rsidP="00C4675D">
      <w:pPr>
        <w:rPr>
          <w:highlight w:val="yellow"/>
        </w:rPr>
      </w:pPr>
    </w:p>
    <w:p w14:paraId="4664823B" w14:textId="77777777" w:rsidR="00CE642F" w:rsidRDefault="00CE642F" w:rsidP="00B36E47">
      <w:pPr>
        <w:rPr>
          <w:highlight w:val="yellow"/>
        </w:rPr>
      </w:pPr>
    </w:p>
    <w:tbl>
      <w:tblPr>
        <w:tblW w:w="10818" w:type="dxa"/>
        <w:jc w:val="center"/>
        <w:tblLayout w:type="fixed"/>
        <w:tblCellMar>
          <w:left w:w="120" w:type="dxa"/>
          <w:right w:w="120" w:type="dxa"/>
        </w:tblCellMar>
        <w:tblLook w:val="0000" w:firstRow="0" w:lastRow="0" w:firstColumn="0" w:lastColumn="0" w:noHBand="0" w:noVBand="0"/>
      </w:tblPr>
      <w:tblGrid>
        <w:gridCol w:w="2808"/>
        <w:gridCol w:w="1350"/>
        <w:gridCol w:w="1260"/>
        <w:gridCol w:w="1350"/>
        <w:gridCol w:w="2070"/>
        <w:gridCol w:w="1980"/>
      </w:tblGrid>
      <w:tr w:rsidR="00AF5E60" w:rsidRPr="005E378C" w14:paraId="4E7E04DB" w14:textId="77777777" w:rsidTr="00702E8E">
        <w:trPr>
          <w:jc w:val="center"/>
        </w:trPr>
        <w:tc>
          <w:tcPr>
            <w:tcW w:w="10818" w:type="dxa"/>
            <w:gridSpan w:val="6"/>
            <w:tcBorders>
              <w:top w:val="single" w:sz="4" w:space="0" w:color="auto"/>
              <w:left w:val="single" w:sz="4" w:space="0" w:color="auto"/>
              <w:bottom w:val="single" w:sz="4" w:space="0" w:color="auto"/>
              <w:right w:val="single" w:sz="4" w:space="0" w:color="auto"/>
            </w:tcBorders>
          </w:tcPr>
          <w:p w14:paraId="594F33AB" w14:textId="77777777" w:rsidR="00AF5E60" w:rsidRPr="00DB2764" w:rsidRDefault="00AF5E60" w:rsidP="00145337">
            <w:pPr>
              <w:jc w:val="center"/>
            </w:pPr>
            <w:r w:rsidRPr="00DB2764">
              <w:t>Response Burden for the Diary Survey</w:t>
            </w:r>
          </w:p>
        </w:tc>
      </w:tr>
      <w:tr w:rsidR="00AF5E60" w:rsidRPr="005E378C" w14:paraId="2E7D9CA0" w14:textId="77777777" w:rsidTr="00702E8E">
        <w:trPr>
          <w:jc w:val="center"/>
        </w:trPr>
        <w:tc>
          <w:tcPr>
            <w:tcW w:w="2808" w:type="dxa"/>
            <w:tcBorders>
              <w:top w:val="single" w:sz="4" w:space="0" w:color="auto"/>
              <w:left w:val="single" w:sz="4" w:space="0" w:color="auto"/>
              <w:bottom w:val="single" w:sz="4" w:space="0" w:color="auto"/>
              <w:right w:val="single" w:sz="4" w:space="0" w:color="auto"/>
            </w:tcBorders>
          </w:tcPr>
          <w:p w14:paraId="538D2850" w14:textId="77777777" w:rsidR="00AF5E60" w:rsidRPr="00DB2764" w:rsidRDefault="00AF5E60" w:rsidP="00145337">
            <w:pPr>
              <w:jc w:val="center"/>
            </w:pPr>
          </w:p>
          <w:p w14:paraId="69506E56" w14:textId="77777777" w:rsidR="00AF5E60" w:rsidRPr="00DB2764" w:rsidRDefault="00AF5E60" w:rsidP="00145337">
            <w:pPr>
              <w:jc w:val="center"/>
            </w:pPr>
            <w:r w:rsidRPr="00DB2764">
              <w:t>Form</w:t>
            </w:r>
          </w:p>
        </w:tc>
        <w:tc>
          <w:tcPr>
            <w:tcW w:w="1350" w:type="dxa"/>
            <w:tcBorders>
              <w:top w:val="single" w:sz="4" w:space="0" w:color="auto"/>
              <w:left w:val="single" w:sz="4" w:space="0" w:color="auto"/>
              <w:bottom w:val="single" w:sz="4" w:space="0" w:color="auto"/>
              <w:right w:val="single" w:sz="4" w:space="0" w:color="auto"/>
            </w:tcBorders>
          </w:tcPr>
          <w:p w14:paraId="4DA5BAF3" w14:textId="77777777" w:rsidR="00AF5E60" w:rsidRPr="00DB2764" w:rsidRDefault="00AF5E60" w:rsidP="00145337">
            <w:pPr>
              <w:jc w:val="center"/>
            </w:pPr>
            <w:r w:rsidRPr="00DB2764">
              <w:t>Total Respondents</w:t>
            </w:r>
          </w:p>
        </w:tc>
        <w:tc>
          <w:tcPr>
            <w:tcW w:w="1260" w:type="dxa"/>
            <w:tcBorders>
              <w:top w:val="single" w:sz="4" w:space="0" w:color="auto"/>
              <w:left w:val="single" w:sz="4" w:space="0" w:color="auto"/>
              <w:bottom w:val="single" w:sz="4" w:space="0" w:color="auto"/>
              <w:right w:val="single" w:sz="4" w:space="0" w:color="auto"/>
            </w:tcBorders>
          </w:tcPr>
          <w:p w14:paraId="6A01D0B8" w14:textId="77777777" w:rsidR="00AF5E60" w:rsidRPr="00DB2764" w:rsidRDefault="00AF5E60" w:rsidP="00145337">
            <w:pPr>
              <w:jc w:val="center"/>
            </w:pPr>
            <w:r w:rsidRPr="00DB2764">
              <w:t>Frequency</w:t>
            </w:r>
          </w:p>
        </w:tc>
        <w:tc>
          <w:tcPr>
            <w:tcW w:w="1350" w:type="dxa"/>
            <w:tcBorders>
              <w:top w:val="single" w:sz="4" w:space="0" w:color="auto"/>
              <w:left w:val="single" w:sz="4" w:space="0" w:color="auto"/>
              <w:bottom w:val="single" w:sz="4" w:space="0" w:color="auto"/>
              <w:right w:val="single" w:sz="4" w:space="0" w:color="auto"/>
            </w:tcBorders>
          </w:tcPr>
          <w:p w14:paraId="62B117E1" w14:textId="77777777" w:rsidR="00AF5E60" w:rsidRPr="00DB2764" w:rsidRDefault="00AF5E60" w:rsidP="00145337">
            <w:pPr>
              <w:jc w:val="center"/>
            </w:pPr>
            <w:r w:rsidRPr="00DB2764">
              <w:t>Total Responses</w:t>
            </w:r>
          </w:p>
        </w:tc>
        <w:tc>
          <w:tcPr>
            <w:tcW w:w="2070" w:type="dxa"/>
            <w:tcBorders>
              <w:top w:val="single" w:sz="4" w:space="0" w:color="auto"/>
              <w:left w:val="single" w:sz="4" w:space="0" w:color="auto"/>
              <w:bottom w:val="single" w:sz="4" w:space="0" w:color="auto"/>
              <w:right w:val="single" w:sz="4" w:space="0" w:color="auto"/>
            </w:tcBorders>
          </w:tcPr>
          <w:p w14:paraId="3EEE084D" w14:textId="77777777" w:rsidR="00AF5E60" w:rsidRPr="00DB2764" w:rsidRDefault="00AF5E60" w:rsidP="00145337">
            <w:pPr>
              <w:jc w:val="center"/>
            </w:pPr>
            <w:r w:rsidRPr="00DB2764">
              <w:t xml:space="preserve">Average </w:t>
            </w:r>
            <w:r w:rsidRPr="00DB2764">
              <w:br/>
              <w:t>Time per Response</w:t>
            </w:r>
          </w:p>
        </w:tc>
        <w:tc>
          <w:tcPr>
            <w:tcW w:w="1980" w:type="dxa"/>
            <w:tcBorders>
              <w:top w:val="single" w:sz="4" w:space="0" w:color="auto"/>
              <w:left w:val="single" w:sz="4" w:space="0" w:color="auto"/>
              <w:bottom w:val="single" w:sz="4" w:space="0" w:color="auto"/>
              <w:right w:val="single" w:sz="4" w:space="0" w:color="auto"/>
            </w:tcBorders>
          </w:tcPr>
          <w:p w14:paraId="4CC14B96" w14:textId="77777777" w:rsidR="00AF5E60" w:rsidRPr="00DB2764" w:rsidRDefault="00AF5E60" w:rsidP="00145337">
            <w:pPr>
              <w:jc w:val="center"/>
            </w:pPr>
            <w:r w:rsidRPr="00DB2764">
              <w:t>Estimated</w:t>
            </w:r>
            <w:r w:rsidRPr="00DB2764">
              <w:br/>
              <w:t>Total</w:t>
            </w:r>
            <w:r w:rsidRPr="00DB2764">
              <w:br/>
              <w:t>Burden</w:t>
            </w:r>
          </w:p>
        </w:tc>
      </w:tr>
      <w:tr w:rsidR="00AF5E60" w:rsidRPr="005E378C" w14:paraId="0DCC40D9" w14:textId="77777777" w:rsidTr="00702E8E">
        <w:trPr>
          <w:jc w:val="center"/>
        </w:trPr>
        <w:tc>
          <w:tcPr>
            <w:tcW w:w="2808" w:type="dxa"/>
            <w:tcBorders>
              <w:top w:val="single" w:sz="4" w:space="0" w:color="auto"/>
              <w:left w:val="single" w:sz="4" w:space="0" w:color="auto"/>
              <w:bottom w:val="single" w:sz="4" w:space="0" w:color="auto"/>
              <w:right w:val="single" w:sz="4" w:space="0" w:color="auto"/>
            </w:tcBorders>
          </w:tcPr>
          <w:p w14:paraId="23EE6584" w14:textId="77777777" w:rsidR="00AF5E60" w:rsidRPr="00DB2764" w:rsidRDefault="00AF5E60" w:rsidP="00145337">
            <w:pPr>
              <w:jc w:val="center"/>
            </w:pPr>
            <w:r w:rsidRPr="00DB2764">
              <w:t>Record-keeping</w:t>
            </w:r>
          </w:p>
        </w:tc>
        <w:tc>
          <w:tcPr>
            <w:tcW w:w="1350" w:type="dxa"/>
            <w:tcBorders>
              <w:top w:val="single" w:sz="4" w:space="0" w:color="auto"/>
              <w:left w:val="single" w:sz="4" w:space="0" w:color="auto"/>
              <w:bottom w:val="single" w:sz="4" w:space="0" w:color="auto"/>
              <w:right w:val="single" w:sz="4" w:space="0" w:color="auto"/>
            </w:tcBorders>
          </w:tcPr>
          <w:p w14:paraId="0BB9460F" w14:textId="3EB26B4E" w:rsidR="00AF5E60" w:rsidRPr="00DB2764" w:rsidRDefault="00DB58F4" w:rsidP="00DB58F4">
            <w:pPr>
              <w:jc w:val="center"/>
            </w:pPr>
            <w:r>
              <w:t>7,134</w:t>
            </w:r>
          </w:p>
        </w:tc>
        <w:tc>
          <w:tcPr>
            <w:tcW w:w="1260" w:type="dxa"/>
            <w:tcBorders>
              <w:top w:val="single" w:sz="4" w:space="0" w:color="auto"/>
              <w:left w:val="single" w:sz="4" w:space="0" w:color="auto"/>
              <w:bottom w:val="single" w:sz="4" w:space="0" w:color="auto"/>
              <w:right w:val="single" w:sz="4" w:space="0" w:color="auto"/>
            </w:tcBorders>
          </w:tcPr>
          <w:p w14:paraId="5DC15D67" w14:textId="77777777" w:rsidR="00AF5E60" w:rsidRPr="00DB2764" w:rsidRDefault="00AF5E60" w:rsidP="00145337">
            <w:pPr>
              <w:jc w:val="center"/>
            </w:pPr>
            <w:r w:rsidRPr="00DB2764">
              <w:t>2</w:t>
            </w:r>
          </w:p>
        </w:tc>
        <w:tc>
          <w:tcPr>
            <w:tcW w:w="1350" w:type="dxa"/>
            <w:tcBorders>
              <w:top w:val="single" w:sz="4" w:space="0" w:color="auto"/>
              <w:left w:val="single" w:sz="4" w:space="0" w:color="auto"/>
              <w:bottom w:val="single" w:sz="4" w:space="0" w:color="auto"/>
              <w:right w:val="single" w:sz="4" w:space="0" w:color="auto"/>
            </w:tcBorders>
          </w:tcPr>
          <w:p w14:paraId="5E291BD9" w14:textId="77825E44" w:rsidR="00AF5E60" w:rsidRPr="00DB2764" w:rsidRDefault="00DB58F4" w:rsidP="00145337">
            <w:pPr>
              <w:jc w:val="center"/>
            </w:pPr>
            <w:r>
              <w:t>14,268</w:t>
            </w:r>
          </w:p>
        </w:tc>
        <w:tc>
          <w:tcPr>
            <w:tcW w:w="2070" w:type="dxa"/>
            <w:tcBorders>
              <w:top w:val="single" w:sz="4" w:space="0" w:color="auto"/>
              <w:left w:val="single" w:sz="4" w:space="0" w:color="auto"/>
              <w:bottom w:val="single" w:sz="4" w:space="0" w:color="auto"/>
              <w:right w:val="single" w:sz="4" w:space="0" w:color="auto"/>
            </w:tcBorders>
          </w:tcPr>
          <w:p w14:paraId="6A1E2F18" w14:textId="77777777" w:rsidR="00AF5E60" w:rsidRPr="00DB2764" w:rsidRDefault="00AF5E60" w:rsidP="00145337">
            <w:pPr>
              <w:jc w:val="center"/>
            </w:pPr>
            <w:r w:rsidRPr="00DB2764">
              <w:t>70</w:t>
            </w:r>
          </w:p>
        </w:tc>
        <w:tc>
          <w:tcPr>
            <w:tcW w:w="1980" w:type="dxa"/>
            <w:tcBorders>
              <w:top w:val="single" w:sz="4" w:space="0" w:color="auto"/>
              <w:left w:val="single" w:sz="4" w:space="0" w:color="auto"/>
              <w:bottom w:val="single" w:sz="4" w:space="0" w:color="auto"/>
              <w:right w:val="single" w:sz="4" w:space="0" w:color="auto"/>
            </w:tcBorders>
          </w:tcPr>
          <w:p w14:paraId="23018EB3" w14:textId="40B1B161" w:rsidR="00DB58F4" w:rsidRPr="00DB2764" w:rsidRDefault="00DB58F4" w:rsidP="00DB58F4">
            <w:pPr>
              <w:jc w:val="center"/>
            </w:pPr>
            <w:r>
              <w:t>16,646</w:t>
            </w:r>
          </w:p>
        </w:tc>
      </w:tr>
      <w:tr w:rsidR="00AF5E60" w:rsidRPr="005E378C" w14:paraId="23F17D4E" w14:textId="77777777" w:rsidTr="00702E8E">
        <w:trPr>
          <w:jc w:val="center"/>
        </w:trPr>
        <w:tc>
          <w:tcPr>
            <w:tcW w:w="2808" w:type="dxa"/>
            <w:tcBorders>
              <w:top w:val="single" w:sz="4" w:space="0" w:color="auto"/>
              <w:left w:val="single" w:sz="4" w:space="0" w:color="auto"/>
              <w:bottom w:val="single" w:sz="4" w:space="0" w:color="auto"/>
              <w:right w:val="single" w:sz="4" w:space="0" w:color="auto"/>
            </w:tcBorders>
          </w:tcPr>
          <w:p w14:paraId="6FE073CF" w14:textId="5A13B272" w:rsidR="00AF5E60" w:rsidRPr="00DB2764" w:rsidRDefault="00AF5E60" w:rsidP="00145337">
            <w:pPr>
              <w:jc w:val="center"/>
            </w:pPr>
            <w:r w:rsidRPr="00DB2764">
              <w:t>Interview</w:t>
            </w:r>
          </w:p>
        </w:tc>
        <w:tc>
          <w:tcPr>
            <w:tcW w:w="1350" w:type="dxa"/>
            <w:tcBorders>
              <w:top w:val="single" w:sz="4" w:space="0" w:color="auto"/>
              <w:left w:val="single" w:sz="4" w:space="0" w:color="auto"/>
              <w:bottom w:val="single" w:sz="4" w:space="0" w:color="auto"/>
              <w:right w:val="single" w:sz="4" w:space="0" w:color="auto"/>
            </w:tcBorders>
          </w:tcPr>
          <w:p w14:paraId="10C7C822" w14:textId="6D03C2EC" w:rsidR="00AF5E60" w:rsidRPr="00DB2764" w:rsidRDefault="00DB58F4" w:rsidP="00145337">
            <w:pPr>
              <w:jc w:val="center"/>
            </w:pPr>
            <w:r>
              <w:t>7,134</w:t>
            </w:r>
          </w:p>
        </w:tc>
        <w:tc>
          <w:tcPr>
            <w:tcW w:w="1260" w:type="dxa"/>
            <w:tcBorders>
              <w:top w:val="single" w:sz="4" w:space="0" w:color="auto"/>
              <w:left w:val="single" w:sz="4" w:space="0" w:color="auto"/>
              <w:bottom w:val="single" w:sz="4" w:space="0" w:color="auto"/>
              <w:right w:val="single" w:sz="4" w:space="0" w:color="auto"/>
            </w:tcBorders>
          </w:tcPr>
          <w:p w14:paraId="5B55849C" w14:textId="77777777" w:rsidR="00AF5E60" w:rsidRPr="00DB2764" w:rsidRDefault="00AF5E60" w:rsidP="00145337">
            <w:pPr>
              <w:jc w:val="center"/>
            </w:pPr>
            <w:r w:rsidRPr="00DB2764">
              <w:t>2</w:t>
            </w:r>
          </w:p>
        </w:tc>
        <w:tc>
          <w:tcPr>
            <w:tcW w:w="1350" w:type="dxa"/>
            <w:tcBorders>
              <w:top w:val="single" w:sz="4" w:space="0" w:color="auto"/>
              <w:left w:val="single" w:sz="4" w:space="0" w:color="auto"/>
              <w:bottom w:val="single" w:sz="4" w:space="0" w:color="auto"/>
              <w:right w:val="single" w:sz="4" w:space="0" w:color="auto"/>
            </w:tcBorders>
          </w:tcPr>
          <w:p w14:paraId="7ACD40B7" w14:textId="7E20A674" w:rsidR="00AF5E60" w:rsidRPr="00DB2764" w:rsidRDefault="00DB58F4" w:rsidP="00145337">
            <w:pPr>
              <w:jc w:val="center"/>
            </w:pPr>
            <w:r>
              <w:t>14,268</w:t>
            </w:r>
          </w:p>
        </w:tc>
        <w:tc>
          <w:tcPr>
            <w:tcW w:w="2070" w:type="dxa"/>
            <w:tcBorders>
              <w:top w:val="single" w:sz="4" w:space="0" w:color="auto"/>
              <w:left w:val="single" w:sz="4" w:space="0" w:color="auto"/>
              <w:bottom w:val="single" w:sz="4" w:space="0" w:color="auto"/>
              <w:right w:val="single" w:sz="4" w:space="0" w:color="auto"/>
            </w:tcBorders>
          </w:tcPr>
          <w:p w14:paraId="2F38A9D6" w14:textId="77777777" w:rsidR="00AF5E60" w:rsidRPr="00DB2764" w:rsidRDefault="00AF5E60" w:rsidP="00145337">
            <w:pPr>
              <w:jc w:val="center"/>
            </w:pPr>
            <w:r w:rsidRPr="00DB2764">
              <w:t>20</w:t>
            </w:r>
          </w:p>
        </w:tc>
        <w:tc>
          <w:tcPr>
            <w:tcW w:w="1980" w:type="dxa"/>
            <w:tcBorders>
              <w:top w:val="single" w:sz="4" w:space="0" w:color="auto"/>
              <w:left w:val="single" w:sz="4" w:space="0" w:color="auto"/>
              <w:bottom w:val="single" w:sz="4" w:space="0" w:color="auto"/>
              <w:right w:val="single" w:sz="4" w:space="0" w:color="auto"/>
            </w:tcBorders>
          </w:tcPr>
          <w:p w14:paraId="2BD84C3D" w14:textId="7BEEBAA4" w:rsidR="00AF5E60" w:rsidRPr="00DB2764" w:rsidRDefault="00DB58F4" w:rsidP="00145337">
            <w:pPr>
              <w:jc w:val="center"/>
            </w:pPr>
            <w:r>
              <w:t>4,756</w:t>
            </w:r>
          </w:p>
        </w:tc>
      </w:tr>
      <w:tr w:rsidR="00AF5E60" w:rsidRPr="005E378C" w14:paraId="03585F1D" w14:textId="77777777" w:rsidTr="00702E8E">
        <w:trPr>
          <w:jc w:val="center"/>
        </w:trPr>
        <w:tc>
          <w:tcPr>
            <w:tcW w:w="2808" w:type="dxa"/>
            <w:tcBorders>
              <w:top w:val="single" w:sz="4" w:space="0" w:color="auto"/>
              <w:left w:val="single" w:sz="4" w:space="0" w:color="auto"/>
              <w:bottom w:val="single" w:sz="4" w:space="0" w:color="auto"/>
              <w:right w:val="single" w:sz="4" w:space="0" w:color="auto"/>
            </w:tcBorders>
          </w:tcPr>
          <w:p w14:paraId="0260D535" w14:textId="77777777" w:rsidR="00AF5E60" w:rsidRPr="00DB2764" w:rsidRDefault="00AF5E60" w:rsidP="00145337">
            <w:pPr>
              <w:jc w:val="center"/>
            </w:pPr>
            <w:r w:rsidRPr="00DB2764">
              <w:t>Reinterview</w:t>
            </w:r>
          </w:p>
        </w:tc>
        <w:tc>
          <w:tcPr>
            <w:tcW w:w="1350" w:type="dxa"/>
            <w:tcBorders>
              <w:top w:val="single" w:sz="4" w:space="0" w:color="auto"/>
              <w:left w:val="single" w:sz="4" w:space="0" w:color="auto"/>
              <w:bottom w:val="single" w:sz="4" w:space="0" w:color="auto"/>
              <w:right w:val="single" w:sz="4" w:space="0" w:color="auto"/>
            </w:tcBorders>
          </w:tcPr>
          <w:p w14:paraId="57E00AC0" w14:textId="404A176A" w:rsidR="00AF5E60" w:rsidRPr="00DB2764" w:rsidRDefault="00AF5E60" w:rsidP="00DB58F4">
            <w:pPr>
              <w:jc w:val="center"/>
            </w:pPr>
            <w:r>
              <w:t>1,</w:t>
            </w:r>
            <w:r w:rsidR="00DB58F4">
              <w:t>420</w:t>
            </w:r>
          </w:p>
        </w:tc>
        <w:tc>
          <w:tcPr>
            <w:tcW w:w="1260" w:type="dxa"/>
            <w:tcBorders>
              <w:top w:val="single" w:sz="4" w:space="0" w:color="auto"/>
              <w:left w:val="single" w:sz="4" w:space="0" w:color="auto"/>
              <w:bottom w:val="single" w:sz="4" w:space="0" w:color="auto"/>
              <w:right w:val="single" w:sz="4" w:space="0" w:color="auto"/>
            </w:tcBorders>
          </w:tcPr>
          <w:p w14:paraId="49093FF1" w14:textId="77777777" w:rsidR="00AF5E60" w:rsidRPr="00DB2764" w:rsidRDefault="00AF5E60" w:rsidP="00145337">
            <w:pPr>
              <w:jc w:val="center"/>
            </w:pPr>
            <w:r w:rsidRPr="00DB2764">
              <w:t>1</w:t>
            </w:r>
          </w:p>
        </w:tc>
        <w:tc>
          <w:tcPr>
            <w:tcW w:w="1350" w:type="dxa"/>
            <w:tcBorders>
              <w:top w:val="single" w:sz="4" w:space="0" w:color="auto"/>
              <w:left w:val="single" w:sz="4" w:space="0" w:color="auto"/>
              <w:bottom w:val="single" w:sz="4" w:space="0" w:color="auto"/>
              <w:right w:val="single" w:sz="4" w:space="0" w:color="auto"/>
            </w:tcBorders>
          </w:tcPr>
          <w:p w14:paraId="02E6E961" w14:textId="3C619CAF" w:rsidR="00AF5E60" w:rsidRPr="00DB2764" w:rsidRDefault="00DB58F4" w:rsidP="00145337">
            <w:pPr>
              <w:jc w:val="center"/>
            </w:pPr>
            <w:r>
              <w:t>1,420</w:t>
            </w:r>
          </w:p>
        </w:tc>
        <w:tc>
          <w:tcPr>
            <w:tcW w:w="2070" w:type="dxa"/>
            <w:tcBorders>
              <w:top w:val="single" w:sz="4" w:space="0" w:color="auto"/>
              <w:left w:val="single" w:sz="4" w:space="0" w:color="auto"/>
              <w:bottom w:val="single" w:sz="4" w:space="0" w:color="auto"/>
              <w:right w:val="single" w:sz="4" w:space="0" w:color="auto"/>
            </w:tcBorders>
          </w:tcPr>
          <w:p w14:paraId="6F93E622" w14:textId="77777777" w:rsidR="00AF5E60" w:rsidRPr="00DB2764" w:rsidRDefault="00AF5E60" w:rsidP="00145337">
            <w:pPr>
              <w:jc w:val="center"/>
            </w:pPr>
            <w:r w:rsidRPr="00DB2764">
              <w:t>10</w:t>
            </w:r>
          </w:p>
        </w:tc>
        <w:tc>
          <w:tcPr>
            <w:tcW w:w="1980" w:type="dxa"/>
            <w:tcBorders>
              <w:top w:val="single" w:sz="4" w:space="0" w:color="auto"/>
              <w:left w:val="single" w:sz="4" w:space="0" w:color="auto"/>
              <w:bottom w:val="single" w:sz="4" w:space="0" w:color="auto"/>
              <w:right w:val="single" w:sz="4" w:space="0" w:color="auto"/>
            </w:tcBorders>
          </w:tcPr>
          <w:p w14:paraId="17F09387" w14:textId="107B0EB5" w:rsidR="00AF5E60" w:rsidRPr="00DB2764" w:rsidRDefault="00DB58F4" w:rsidP="00145337">
            <w:pPr>
              <w:jc w:val="center"/>
            </w:pPr>
            <w:r>
              <w:t>237</w:t>
            </w:r>
          </w:p>
        </w:tc>
      </w:tr>
      <w:tr w:rsidR="00AF5E60" w:rsidRPr="0011141A" w14:paraId="008A89D9" w14:textId="77777777" w:rsidTr="00702E8E">
        <w:trPr>
          <w:jc w:val="center"/>
        </w:trPr>
        <w:tc>
          <w:tcPr>
            <w:tcW w:w="2808" w:type="dxa"/>
            <w:tcBorders>
              <w:top w:val="single" w:sz="4" w:space="0" w:color="auto"/>
              <w:left w:val="single" w:sz="4" w:space="0" w:color="auto"/>
              <w:bottom w:val="single" w:sz="4" w:space="0" w:color="auto"/>
              <w:right w:val="single" w:sz="4" w:space="0" w:color="auto"/>
            </w:tcBorders>
          </w:tcPr>
          <w:p w14:paraId="7045906F" w14:textId="3086971D" w:rsidR="00AF5E60" w:rsidRPr="0011141A" w:rsidRDefault="000E5E37" w:rsidP="00145337">
            <w:pPr>
              <w:jc w:val="center"/>
            </w:pPr>
            <w:r>
              <w:t xml:space="preserve">LSF Online Diary </w:t>
            </w:r>
            <w:r w:rsidR="00AF5E60" w:rsidRPr="0011141A">
              <w:t>Record-keeping</w:t>
            </w:r>
          </w:p>
        </w:tc>
        <w:tc>
          <w:tcPr>
            <w:tcW w:w="1350" w:type="dxa"/>
            <w:tcBorders>
              <w:top w:val="single" w:sz="4" w:space="0" w:color="auto"/>
              <w:left w:val="single" w:sz="4" w:space="0" w:color="auto"/>
              <w:bottom w:val="single" w:sz="4" w:space="0" w:color="auto"/>
              <w:right w:val="single" w:sz="4" w:space="0" w:color="auto"/>
            </w:tcBorders>
          </w:tcPr>
          <w:p w14:paraId="37C2D54E" w14:textId="77777777" w:rsidR="00AF5E60" w:rsidRPr="0011141A" w:rsidRDefault="00AF5E60" w:rsidP="00145337">
            <w:pPr>
              <w:jc w:val="center"/>
            </w:pPr>
            <w:r w:rsidRPr="0011141A">
              <w:t>600</w:t>
            </w:r>
          </w:p>
        </w:tc>
        <w:tc>
          <w:tcPr>
            <w:tcW w:w="1260" w:type="dxa"/>
            <w:tcBorders>
              <w:top w:val="single" w:sz="4" w:space="0" w:color="auto"/>
              <w:left w:val="single" w:sz="4" w:space="0" w:color="auto"/>
              <w:bottom w:val="single" w:sz="4" w:space="0" w:color="auto"/>
              <w:right w:val="single" w:sz="4" w:space="0" w:color="auto"/>
            </w:tcBorders>
          </w:tcPr>
          <w:p w14:paraId="487DE93A" w14:textId="77777777" w:rsidR="00AF5E60" w:rsidRPr="0011141A" w:rsidRDefault="00AF5E60" w:rsidP="00145337">
            <w:pPr>
              <w:jc w:val="center"/>
            </w:pPr>
            <w:r>
              <w:t>2</w:t>
            </w:r>
          </w:p>
        </w:tc>
        <w:tc>
          <w:tcPr>
            <w:tcW w:w="1350" w:type="dxa"/>
            <w:tcBorders>
              <w:top w:val="single" w:sz="4" w:space="0" w:color="auto"/>
              <w:left w:val="single" w:sz="4" w:space="0" w:color="auto"/>
              <w:bottom w:val="single" w:sz="4" w:space="0" w:color="auto"/>
              <w:right w:val="single" w:sz="4" w:space="0" w:color="auto"/>
            </w:tcBorders>
          </w:tcPr>
          <w:p w14:paraId="21693262" w14:textId="1F2A822A" w:rsidR="00AF5E60" w:rsidRPr="0011141A" w:rsidRDefault="00AF5E60" w:rsidP="00145337">
            <w:pPr>
              <w:jc w:val="center"/>
            </w:pPr>
            <w:r>
              <w:t>1</w:t>
            </w:r>
            <w:r w:rsidR="0043681C">
              <w:t>,</w:t>
            </w:r>
            <w:r>
              <w:t>200</w:t>
            </w:r>
          </w:p>
        </w:tc>
        <w:tc>
          <w:tcPr>
            <w:tcW w:w="2070" w:type="dxa"/>
            <w:tcBorders>
              <w:top w:val="single" w:sz="4" w:space="0" w:color="auto"/>
              <w:left w:val="single" w:sz="4" w:space="0" w:color="auto"/>
              <w:bottom w:val="single" w:sz="4" w:space="0" w:color="auto"/>
              <w:right w:val="single" w:sz="4" w:space="0" w:color="auto"/>
            </w:tcBorders>
          </w:tcPr>
          <w:p w14:paraId="5BBEAB0C" w14:textId="77777777" w:rsidR="00AF5E60" w:rsidRPr="0011141A" w:rsidRDefault="00AF5E60" w:rsidP="00145337">
            <w:pPr>
              <w:jc w:val="center"/>
            </w:pPr>
            <w:r>
              <w:t>70</w:t>
            </w:r>
          </w:p>
        </w:tc>
        <w:tc>
          <w:tcPr>
            <w:tcW w:w="1980" w:type="dxa"/>
            <w:tcBorders>
              <w:top w:val="single" w:sz="4" w:space="0" w:color="auto"/>
              <w:left w:val="single" w:sz="4" w:space="0" w:color="auto"/>
              <w:bottom w:val="single" w:sz="4" w:space="0" w:color="auto"/>
              <w:right w:val="single" w:sz="4" w:space="0" w:color="auto"/>
            </w:tcBorders>
          </w:tcPr>
          <w:p w14:paraId="3CB4D635" w14:textId="1E0B9438" w:rsidR="00AF5E60" w:rsidRPr="0011141A" w:rsidRDefault="00AF5E60" w:rsidP="00145337">
            <w:pPr>
              <w:jc w:val="center"/>
            </w:pPr>
            <w:r>
              <w:t>1</w:t>
            </w:r>
            <w:r w:rsidR="0043681C">
              <w:t>,</w:t>
            </w:r>
            <w:r>
              <w:t>40</w:t>
            </w:r>
            <w:r w:rsidRPr="0011141A">
              <w:t>0</w:t>
            </w:r>
          </w:p>
        </w:tc>
      </w:tr>
      <w:tr w:rsidR="00AF5E60" w:rsidRPr="0011141A" w14:paraId="6E595890" w14:textId="77777777" w:rsidTr="00702E8E">
        <w:trPr>
          <w:jc w:val="center"/>
        </w:trPr>
        <w:tc>
          <w:tcPr>
            <w:tcW w:w="2808" w:type="dxa"/>
            <w:tcBorders>
              <w:top w:val="single" w:sz="4" w:space="0" w:color="auto"/>
              <w:left w:val="single" w:sz="4" w:space="0" w:color="auto"/>
              <w:bottom w:val="single" w:sz="4" w:space="0" w:color="auto"/>
              <w:right w:val="single" w:sz="4" w:space="0" w:color="auto"/>
            </w:tcBorders>
          </w:tcPr>
          <w:p w14:paraId="5DD6EE19" w14:textId="36600A74" w:rsidR="00AF5E60" w:rsidRPr="0011141A" w:rsidRDefault="000E5E37" w:rsidP="00145337">
            <w:pPr>
              <w:jc w:val="center"/>
            </w:pPr>
            <w:r>
              <w:t xml:space="preserve">LSF Online Diary </w:t>
            </w:r>
            <w:r w:rsidR="00AF5E60" w:rsidRPr="0011141A">
              <w:t>Interview</w:t>
            </w:r>
            <w:r w:rsidR="00AF5E60">
              <w:t xml:space="preserve"> including Respondent Debriefing</w:t>
            </w:r>
          </w:p>
        </w:tc>
        <w:tc>
          <w:tcPr>
            <w:tcW w:w="1350" w:type="dxa"/>
            <w:tcBorders>
              <w:top w:val="single" w:sz="4" w:space="0" w:color="auto"/>
              <w:left w:val="single" w:sz="4" w:space="0" w:color="auto"/>
              <w:bottom w:val="single" w:sz="4" w:space="0" w:color="auto"/>
              <w:right w:val="single" w:sz="4" w:space="0" w:color="auto"/>
            </w:tcBorders>
          </w:tcPr>
          <w:p w14:paraId="19790BA1" w14:textId="77777777" w:rsidR="00AF5E60" w:rsidRPr="0011141A" w:rsidRDefault="00AF5E60" w:rsidP="00145337">
            <w:pPr>
              <w:jc w:val="center"/>
            </w:pPr>
            <w:r w:rsidRPr="0011141A">
              <w:t>600</w:t>
            </w:r>
          </w:p>
        </w:tc>
        <w:tc>
          <w:tcPr>
            <w:tcW w:w="1260" w:type="dxa"/>
            <w:tcBorders>
              <w:top w:val="single" w:sz="4" w:space="0" w:color="auto"/>
              <w:left w:val="single" w:sz="4" w:space="0" w:color="auto"/>
              <w:bottom w:val="single" w:sz="4" w:space="0" w:color="auto"/>
              <w:right w:val="single" w:sz="4" w:space="0" w:color="auto"/>
            </w:tcBorders>
          </w:tcPr>
          <w:p w14:paraId="53BFD68F" w14:textId="77777777" w:rsidR="00AF5E60" w:rsidRPr="0011141A" w:rsidRDefault="00AF5E60" w:rsidP="00145337">
            <w:pPr>
              <w:jc w:val="center"/>
            </w:pPr>
            <w:r w:rsidRPr="0011141A">
              <w:t>2</w:t>
            </w:r>
          </w:p>
        </w:tc>
        <w:tc>
          <w:tcPr>
            <w:tcW w:w="1350" w:type="dxa"/>
            <w:tcBorders>
              <w:top w:val="single" w:sz="4" w:space="0" w:color="auto"/>
              <w:left w:val="single" w:sz="4" w:space="0" w:color="auto"/>
              <w:bottom w:val="single" w:sz="4" w:space="0" w:color="auto"/>
              <w:right w:val="single" w:sz="4" w:space="0" w:color="auto"/>
            </w:tcBorders>
          </w:tcPr>
          <w:p w14:paraId="01971933" w14:textId="3CD04C4A" w:rsidR="00AF5E60" w:rsidRPr="0011141A" w:rsidRDefault="00AF5E60" w:rsidP="00145337">
            <w:pPr>
              <w:jc w:val="center"/>
            </w:pPr>
            <w:r w:rsidRPr="0011141A">
              <w:t>1</w:t>
            </w:r>
            <w:r w:rsidR="0043681C">
              <w:t>,</w:t>
            </w:r>
            <w:r w:rsidRPr="0011141A">
              <w:t>200</w:t>
            </w:r>
          </w:p>
        </w:tc>
        <w:tc>
          <w:tcPr>
            <w:tcW w:w="2070" w:type="dxa"/>
            <w:tcBorders>
              <w:top w:val="single" w:sz="4" w:space="0" w:color="auto"/>
              <w:left w:val="single" w:sz="4" w:space="0" w:color="auto"/>
              <w:bottom w:val="single" w:sz="4" w:space="0" w:color="auto"/>
              <w:right w:val="single" w:sz="4" w:space="0" w:color="auto"/>
            </w:tcBorders>
          </w:tcPr>
          <w:p w14:paraId="1CAE6690" w14:textId="416F68E1" w:rsidR="00AF5E60" w:rsidRPr="0011141A" w:rsidRDefault="00223CC5" w:rsidP="00145337">
            <w:pPr>
              <w:jc w:val="center"/>
            </w:pPr>
            <w:r>
              <w:t>25</w:t>
            </w:r>
          </w:p>
        </w:tc>
        <w:tc>
          <w:tcPr>
            <w:tcW w:w="1980" w:type="dxa"/>
            <w:tcBorders>
              <w:top w:val="single" w:sz="4" w:space="0" w:color="auto"/>
              <w:left w:val="single" w:sz="4" w:space="0" w:color="auto"/>
              <w:bottom w:val="single" w:sz="4" w:space="0" w:color="auto"/>
              <w:right w:val="single" w:sz="4" w:space="0" w:color="auto"/>
            </w:tcBorders>
          </w:tcPr>
          <w:p w14:paraId="69A15C28" w14:textId="3252C0FF" w:rsidR="00AF5E60" w:rsidRPr="0011141A" w:rsidRDefault="00223CC5" w:rsidP="00145337">
            <w:pPr>
              <w:jc w:val="center"/>
            </w:pPr>
            <w:r>
              <w:t>5</w:t>
            </w:r>
            <w:r w:rsidR="00AF5E60" w:rsidRPr="0011141A">
              <w:t>00</w:t>
            </w:r>
          </w:p>
        </w:tc>
      </w:tr>
      <w:tr w:rsidR="00AF5E60" w:rsidRPr="0011141A" w14:paraId="50613604" w14:textId="77777777" w:rsidTr="00702E8E">
        <w:trPr>
          <w:jc w:val="center"/>
        </w:trPr>
        <w:tc>
          <w:tcPr>
            <w:tcW w:w="2808" w:type="dxa"/>
            <w:tcBorders>
              <w:top w:val="single" w:sz="4" w:space="0" w:color="auto"/>
              <w:left w:val="single" w:sz="4" w:space="0" w:color="auto"/>
              <w:bottom w:val="single" w:sz="4" w:space="0" w:color="auto"/>
              <w:right w:val="single" w:sz="4" w:space="0" w:color="auto"/>
            </w:tcBorders>
          </w:tcPr>
          <w:p w14:paraId="74A76F5D" w14:textId="77777777" w:rsidR="00AF5E60" w:rsidRPr="0011141A" w:rsidRDefault="00AF5E60" w:rsidP="00145337">
            <w:pPr>
              <w:jc w:val="center"/>
            </w:pPr>
            <w:r w:rsidRPr="0011141A">
              <w:t>TOTALS</w:t>
            </w:r>
          </w:p>
        </w:tc>
        <w:tc>
          <w:tcPr>
            <w:tcW w:w="1350" w:type="dxa"/>
            <w:tcBorders>
              <w:top w:val="single" w:sz="4" w:space="0" w:color="auto"/>
              <w:left w:val="single" w:sz="4" w:space="0" w:color="auto"/>
              <w:bottom w:val="single" w:sz="4" w:space="0" w:color="auto"/>
              <w:right w:val="single" w:sz="4" w:space="0" w:color="auto"/>
            </w:tcBorders>
          </w:tcPr>
          <w:p w14:paraId="56684815" w14:textId="366B9C88" w:rsidR="00AF5E60" w:rsidRPr="0011141A" w:rsidRDefault="00DB58F4" w:rsidP="00145337">
            <w:pPr>
              <w:jc w:val="center"/>
            </w:pPr>
            <w:r>
              <w:t>7,734</w:t>
            </w:r>
          </w:p>
        </w:tc>
        <w:tc>
          <w:tcPr>
            <w:tcW w:w="1260" w:type="dxa"/>
            <w:tcBorders>
              <w:top w:val="single" w:sz="4" w:space="0" w:color="auto"/>
              <w:left w:val="single" w:sz="4" w:space="0" w:color="auto"/>
              <w:bottom w:val="single" w:sz="4" w:space="0" w:color="auto"/>
              <w:right w:val="single" w:sz="4" w:space="0" w:color="auto"/>
            </w:tcBorders>
          </w:tcPr>
          <w:p w14:paraId="79A22CDC" w14:textId="77777777" w:rsidR="00AF5E60" w:rsidRPr="0011141A" w:rsidRDefault="00AF5E60" w:rsidP="00145337">
            <w:pPr>
              <w:jc w:val="center"/>
            </w:pPr>
            <w:r w:rsidRPr="0011141A">
              <w:t>/////////</w:t>
            </w:r>
          </w:p>
        </w:tc>
        <w:tc>
          <w:tcPr>
            <w:tcW w:w="1350" w:type="dxa"/>
            <w:tcBorders>
              <w:top w:val="single" w:sz="4" w:space="0" w:color="auto"/>
              <w:left w:val="single" w:sz="4" w:space="0" w:color="auto"/>
              <w:bottom w:val="single" w:sz="4" w:space="0" w:color="auto"/>
              <w:right w:val="single" w:sz="4" w:space="0" w:color="auto"/>
            </w:tcBorders>
          </w:tcPr>
          <w:p w14:paraId="5D9FEEF4" w14:textId="56C48015" w:rsidR="00AF5E60" w:rsidRPr="0011141A" w:rsidRDefault="00DB58F4" w:rsidP="00145337">
            <w:pPr>
              <w:jc w:val="center"/>
            </w:pPr>
            <w:r>
              <w:t>32,356</w:t>
            </w:r>
          </w:p>
        </w:tc>
        <w:tc>
          <w:tcPr>
            <w:tcW w:w="2070" w:type="dxa"/>
            <w:tcBorders>
              <w:top w:val="single" w:sz="4" w:space="0" w:color="auto"/>
              <w:left w:val="single" w:sz="4" w:space="0" w:color="auto"/>
              <w:bottom w:val="single" w:sz="4" w:space="0" w:color="auto"/>
              <w:right w:val="single" w:sz="4" w:space="0" w:color="auto"/>
            </w:tcBorders>
          </w:tcPr>
          <w:p w14:paraId="5B9EEA5E" w14:textId="77777777" w:rsidR="00AF5E60" w:rsidRPr="0011141A" w:rsidRDefault="00AF5E60" w:rsidP="00145337">
            <w:pPr>
              <w:jc w:val="center"/>
            </w:pPr>
            <w:r w:rsidRPr="0011141A">
              <w:t>////////</w:t>
            </w:r>
          </w:p>
        </w:tc>
        <w:tc>
          <w:tcPr>
            <w:tcW w:w="1980" w:type="dxa"/>
            <w:tcBorders>
              <w:top w:val="single" w:sz="4" w:space="0" w:color="auto"/>
              <w:left w:val="single" w:sz="4" w:space="0" w:color="auto"/>
              <w:bottom w:val="single" w:sz="4" w:space="0" w:color="auto"/>
              <w:right w:val="single" w:sz="4" w:space="0" w:color="auto"/>
            </w:tcBorders>
          </w:tcPr>
          <w:p w14:paraId="7A920F48" w14:textId="2465D1A1" w:rsidR="00DB58F4" w:rsidRPr="0011141A" w:rsidRDefault="00223CC5" w:rsidP="00223CC5">
            <w:pPr>
              <w:jc w:val="center"/>
            </w:pPr>
            <w:r>
              <w:t>23,53</w:t>
            </w:r>
            <w:r w:rsidR="00DB58F4">
              <w:t>9</w:t>
            </w:r>
          </w:p>
        </w:tc>
      </w:tr>
      <w:tr w:rsidR="00AF5E60" w:rsidRPr="0011141A" w14:paraId="6DE7046A" w14:textId="77777777" w:rsidTr="00702E8E">
        <w:tblPrEx>
          <w:tblCellMar>
            <w:left w:w="0" w:type="dxa"/>
            <w:right w:w="0" w:type="dxa"/>
          </w:tblCellMar>
        </w:tblPrEx>
        <w:trPr>
          <w:jc w:val="center"/>
        </w:trPr>
        <w:tc>
          <w:tcPr>
            <w:tcW w:w="1081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210D8" w14:textId="5B412549" w:rsidR="00AF5E60" w:rsidRPr="0011141A" w:rsidRDefault="00AF5E60" w:rsidP="00145337">
            <w:r w:rsidRPr="0011141A">
              <w:br/>
              <w:t>(1) The total number of respondents for the LSF is</w:t>
            </w:r>
            <w:r>
              <w:t xml:space="preserve"> </w:t>
            </w:r>
            <w:r w:rsidR="00DB58F4">
              <w:t xml:space="preserve">600 </w:t>
            </w:r>
            <w:r w:rsidR="0052463F">
              <w:t>each</w:t>
            </w:r>
            <w:r w:rsidR="00DB58F4">
              <w:t xml:space="preserve"> year</w:t>
            </w:r>
            <w:r w:rsidRPr="0011141A">
              <w:t xml:space="preserve">.  The respondents who do the record-keeping </w:t>
            </w:r>
            <w:r>
              <w:t xml:space="preserve">(entering expenses in diaries) </w:t>
            </w:r>
            <w:r w:rsidRPr="0011141A">
              <w:t>are the same people who participate in the interviews</w:t>
            </w:r>
            <w:r>
              <w:t xml:space="preserve"> (diary placement and pickup)</w:t>
            </w:r>
            <w:r w:rsidRPr="0011141A">
              <w:t>.</w:t>
            </w:r>
          </w:p>
          <w:p w14:paraId="192CFCB2" w14:textId="2B85D696" w:rsidR="00AF5E60" w:rsidRPr="0011141A" w:rsidRDefault="00AF5E60" w:rsidP="00145337">
            <w:r w:rsidRPr="0011141A">
              <w:t>(2)</w:t>
            </w:r>
            <w:r w:rsidR="00664F9E">
              <w:t xml:space="preserve"> </w:t>
            </w:r>
            <w:r w:rsidRPr="0011141A">
              <w:t>Respondent debriefing is an additional self-administered module added to the CAPI instrument</w:t>
            </w:r>
            <w:r>
              <w:t xml:space="preserve"> to take place at the diary pickup.</w:t>
            </w:r>
          </w:p>
        </w:tc>
      </w:tr>
    </w:tbl>
    <w:p w14:paraId="18E4E14F" w14:textId="77777777" w:rsidR="00CE642F" w:rsidRDefault="00CE642F" w:rsidP="00B36E47">
      <w:pPr>
        <w:rPr>
          <w:highlight w:val="yellow"/>
        </w:rPr>
      </w:pPr>
    </w:p>
    <w:p w14:paraId="0CA3E3A1" w14:textId="77777777" w:rsidR="00230C54" w:rsidRPr="005E378C" w:rsidRDefault="00230C54" w:rsidP="00B36E47">
      <w:pPr>
        <w:rPr>
          <w:highlight w:val="yellow"/>
        </w:rPr>
      </w:pPr>
    </w:p>
    <w:tbl>
      <w:tblPr>
        <w:tblW w:w="0" w:type="auto"/>
        <w:jc w:val="center"/>
        <w:tblCellMar>
          <w:left w:w="0" w:type="dxa"/>
          <w:right w:w="0" w:type="dxa"/>
        </w:tblCellMar>
        <w:tblLook w:val="04A0" w:firstRow="1" w:lastRow="0" w:firstColumn="1" w:lastColumn="0" w:noHBand="0" w:noVBand="1"/>
      </w:tblPr>
      <w:tblGrid>
        <w:gridCol w:w="1858"/>
        <w:gridCol w:w="1737"/>
        <w:gridCol w:w="2070"/>
        <w:gridCol w:w="2705"/>
      </w:tblGrid>
      <w:tr w:rsidR="000C216D" w:rsidRPr="005E378C" w14:paraId="1C320F6C" w14:textId="741571A4" w:rsidTr="00F45938">
        <w:trPr>
          <w:jc w:val="center"/>
        </w:trPr>
        <w:tc>
          <w:tcPr>
            <w:tcW w:w="8370" w:type="dxa"/>
            <w:gridSpan w:val="4"/>
            <w:tcBorders>
              <w:top w:val="single" w:sz="4" w:space="0" w:color="auto"/>
              <w:left w:val="single" w:sz="4" w:space="0" w:color="auto"/>
              <w:bottom w:val="single" w:sz="4" w:space="0" w:color="auto"/>
              <w:right w:val="single" w:sz="4" w:space="0" w:color="auto"/>
            </w:tcBorders>
          </w:tcPr>
          <w:p w14:paraId="75B5A3ED" w14:textId="5171A3A8" w:rsidR="000C216D" w:rsidRPr="00627B59" w:rsidRDefault="000C216D" w:rsidP="00F45938">
            <w:pPr>
              <w:jc w:val="center"/>
            </w:pPr>
            <w:r w:rsidRPr="00627B59">
              <w:t>Total Response Burden for the Quarterly Interview and Diary Surveys</w:t>
            </w:r>
          </w:p>
        </w:tc>
      </w:tr>
      <w:tr w:rsidR="00C87310" w:rsidRPr="005E378C" w14:paraId="7DD03548" w14:textId="545EA4F8" w:rsidTr="000B1A25">
        <w:trPr>
          <w:jc w:val="center"/>
        </w:trPr>
        <w:tc>
          <w:tcPr>
            <w:tcW w:w="185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47866DB0" w14:textId="77777777" w:rsidR="00C87310" w:rsidRPr="00627B59" w:rsidRDefault="00C87310" w:rsidP="00F45938"/>
        </w:tc>
        <w:tc>
          <w:tcPr>
            <w:tcW w:w="1737" w:type="dxa"/>
            <w:tcBorders>
              <w:top w:val="single" w:sz="4" w:space="0" w:color="auto"/>
              <w:left w:val="single" w:sz="4" w:space="0" w:color="auto"/>
              <w:bottom w:val="single" w:sz="4" w:space="0" w:color="auto"/>
              <w:right w:val="single" w:sz="4" w:space="0" w:color="auto"/>
            </w:tcBorders>
          </w:tcPr>
          <w:p w14:paraId="0B2ACF69" w14:textId="77777777" w:rsidR="00C87310" w:rsidRPr="00627B59" w:rsidRDefault="00C87310" w:rsidP="00F45938">
            <w:pPr>
              <w:jc w:val="center"/>
            </w:pPr>
            <w:r w:rsidRPr="00627B59">
              <w:t>Quarterly</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393CA" w14:textId="77777777" w:rsidR="00C87310" w:rsidRPr="00627B59" w:rsidRDefault="00C87310" w:rsidP="00F45938">
            <w:pPr>
              <w:jc w:val="center"/>
            </w:pPr>
            <w:r w:rsidRPr="00627B59">
              <w:t>Diary</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95909" w14:textId="77777777" w:rsidR="00C87310" w:rsidRPr="00627B59" w:rsidRDefault="00C87310" w:rsidP="00F45938">
            <w:pPr>
              <w:jc w:val="center"/>
            </w:pPr>
            <w:r w:rsidRPr="00627B59">
              <w:t>Total</w:t>
            </w:r>
          </w:p>
          <w:p w14:paraId="53F3A4F3" w14:textId="450BD100" w:rsidR="000B1A25" w:rsidRPr="00627B59" w:rsidRDefault="000B1A25" w:rsidP="00F45938">
            <w:pPr>
              <w:jc w:val="center"/>
            </w:pPr>
            <w:r w:rsidRPr="00627B59">
              <w:t>(Both Surveys)</w:t>
            </w:r>
          </w:p>
          <w:p w14:paraId="7C49B85C" w14:textId="77777777" w:rsidR="00C87310" w:rsidRPr="00627B59" w:rsidRDefault="00C87310" w:rsidP="00F45938">
            <w:pPr>
              <w:jc w:val="center"/>
            </w:pPr>
          </w:p>
        </w:tc>
      </w:tr>
      <w:tr w:rsidR="00C87310" w:rsidRPr="005E378C" w14:paraId="200A66D4" w14:textId="65FC11C8" w:rsidTr="000B1A25">
        <w:trPr>
          <w:jc w:val="center"/>
        </w:trPr>
        <w:tc>
          <w:tcPr>
            <w:tcW w:w="185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3798FE52" w14:textId="3FB5DB87" w:rsidR="00C87310" w:rsidRPr="00627B59" w:rsidRDefault="00C87310" w:rsidP="00F45938">
            <w:r w:rsidRPr="00627B59">
              <w:t>Number of responses</w:t>
            </w:r>
          </w:p>
        </w:tc>
        <w:tc>
          <w:tcPr>
            <w:tcW w:w="1737" w:type="dxa"/>
            <w:tcBorders>
              <w:top w:val="single" w:sz="4" w:space="0" w:color="auto"/>
              <w:left w:val="single" w:sz="4" w:space="0" w:color="auto"/>
              <w:bottom w:val="single" w:sz="4" w:space="0" w:color="auto"/>
              <w:right w:val="single" w:sz="4" w:space="0" w:color="auto"/>
            </w:tcBorders>
          </w:tcPr>
          <w:p w14:paraId="036170AD" w14:textId="72D684A3" w:rsidR="00C87310" w:rsidRPr="00627B59" w:rsidRDefault="002C0491" w:rsidP="0051479C">
            <w:pPr>
              <w:jc w:val="center"/>
            </w:pPr>
            <w:r>
              <w:t>27,180</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C4B01" w14:textId="0DE1A49B" w:rsidR="00C87310" w:rsidRPr="00627B59" w:rsidRDefault="002C0491" w:rsidP="002C0491">
            <w:pPr>
              <w:jc w:val="center"/>
            </w:pPr>
            <w:r>
              <w:t>32,356</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463B01" w14:textId="27A06B4B" w:rsidR="00C87310" w:rsidRPr="00627B59" w:rsidRDefault="002C0491" w:rsidP="0051479C">
            <w:pPr>
              <w:jc w:val="center"/>
            </w:pPr>
            <w:r>
              <w:t>59,536</w:t>
            </w:r>
          </w:p>
        </w:tc>
      </w:tr>
      <w:tr w:rsidR="00C87310" w:rsidRPr="00F12244" w14:paraId="6A4E1F72" w14:textId="3338CFCE" w:rsidTr="000B1A25">
        <w:trPr>
          <w:jc w:val="center"/>
        </w:trPr>
        <w:tc>
          <w:tcPr>
            <w:tcW w:w="1858"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4A178C43" w14:textId="0D9FDB65" w:rsidR="00C87310" w:rsidRPr="00627B59" w:rsidRDefault="00C87310" w:rsidP="00F45938">
            <w:r w:rsidRPr="00627B59">
              <w:t xml:space="preserve">Total burden hours </w:t>
            </w:r>
          </w:p>
        </w:tc>
        <w:tc>
          <w:tcPr>
            <w:tcW w:w="1737" w:type="dxa"/>
            <w:tcBorders>
              <w:top w:val="single" w:sz="4" w:space="0" w:color="auto"/>
              <w:left w:val="single" w:sz="4" w:space="0" w:color="auto"/>
              <w:bottom w:val="single" w:sz="4" w:space="0" w:color="auto"/>
              <w:right w:val="single" w:sz="4" w:space="0" w:color="auto"/>
            </w:tcBorders>
          </w:tcPr>
          <w:p w14:paraId="046CB77E" w14:textId="63CF2276" w:rsidR="00C87310" w:rsidRPr="00627B59" w:rsidRDefault="0051479C" w:rsidP="002C0491">
            <w:pPr>
              <w:jc w:val="center"/>
            </w:pPr>
            <w:r w:rsidRPr="001A32FB">
              <w:t>2</w:t>
            </w:r>
            <w:r w:rsidR="002C0491">
              <w:t>8,798</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80562" w14:textId="26673D34" w:rsidR="00C87310" w:rsidRPr="00627B59" w:rsidRDefault="002C0491" w:rsidP="00721F32">
            <w:pPr>
              <w:jc w:val="center"/>
            </w:pPr>
            <w:r>
              <w:t>23,539</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36BAC" w14:textId="6F39C20E" w:rsidR="00C87310" w:rsidRPr="00627B59" w:rsidRDefault="002C0491" w:rsidP="002D2A99">
            <w:pPr>
              <w:jc w:val="center"/>
            </w:pPr>
            <w:r>
              <w:t>52,337</w:t>
            </w:r>
          </w:p>
        </w:tc>
      </w:tr>
    </w:tbl>
    <w:p w14:paraId="53C8A102" w14:textId="77777777" w:rsidR="00230C54" w:rsidRDefault="00230C54" w:rsidP="00230C54">
      <w:pPr>
        <w:ind w:left="480"/>
      </w:pPr>
    </w:p>
    <w:p w14:paraId="4D2E06D6" w14:textId="57C2CE04" w:rsidR="00D4467D" w:rsidRPr="00DB2764" w:rsidRDefault="00D4467D" w:rsidP="00D4467D">
      <w:pPr>
        <w:ind w:left="475"/>
        <w:rPr>
          <w:color w:val="000000"/>
        </w:rPr>
      </w:pPr>
      <w:r w:rsidRPr="00DB2764">
        <w:t xml:space="preserve">The total response burden for both surveys combined is </w:t>
      </w:r>
      <w:r w:rsidR="002C0491">
        <w:t>52,337</w:t>
      </w:r>
      <w:r w:rsidRPr="00DB2764">
        <w:t xml:space="preserve"> hours.  The total annualized cost to respondents, based on burden hours and the federal minimum wage of $7.25 per hour, </w:t>
      </w:r>
      <w:r w:rsidRPr="00DB2764">
        <w:rPr>
          <w:color w:val="000000"/>
        </w:rPr>
        <w:t>is $</w:t>
      </w:r>
      <w:r w:rsidR="002C0491">
        <w:rPr>
          <w:color w:val="000000"/>
        </w:rPr>
        <w:t>379,443</w:t>
      </w:r>
      <w:r w:rsidRPr="00DB2764">
        <w:rPr>
          <w:color w:val="000000"/>
        </w:rPr>
        <w:t xml:space="preserve">.  </w:t>
      </w:r>
    </w:p>
    <w:p w14:paraId="441E0B5A" w14:textId="77777777" w:rsidR="00230C54" w:rsidRDefault="00230C54" w:rsidP="00230C54"/>
    <w:p w14:paraId="6B82E0F5" w14:textId="77777777" w:rsidR="00673B1B" w:rsidRDefault="00673B1B" w:rsidP="003044E9">
      <w:pPr>
        <w:tabs>
          <w:tab w:val="left" w:pos="1176"/>
          <w:tab w:val="left" w:pos="1656"/>
          <w:tab w:val="left" w:pos="5016"/>
          <w:tab w:val="left" w:pos="6696"/>
          <w:tab w:val="left" w:pos="8256"/>
        </w:tabs>
      </w:pPr>
    </w:p>
    <w:p w14:paraId="16FD1303" w14:textId="77777777" w:rsidR="00673B1B" w:rsidRDefault="00673B1B" w:rsidP="00673B1B">
      <w:pPr>
        <w:tabs>
          <w:tab w:val="left" w:pos="1176"/>
          <w:tab w:val="left" w:pos="1656"/>
          <w:tab w:val="left" w:pos="5016"/>
          <w:tab w:val="left" w:pos="6696"/>
          <w:tab w:val="left" w:pos="8256"/>
        </w:tabs>
        <w:ind w:left="480" w:hanging="480"/>
      </w:pPr>
      <w:r>
        <w:t>13.</w:t>
      </w:r>
      <w:r>
        <w:tab/>
      </w:r>
      <w:r w:rsidR="00732CAB" w:rsidRPr="00732CAB">
        <w:rPr>
          <w:b/>
        </w:rPr>
        <w:t>Annual Cost to Respondents</w:t>
      </w:r>
      <w:r w:rsidR="00732CAB" w:rsidRPr="00732CAB">
        <w:rPr>
          <w:b/>
        </w:rPr>
        <w:br/>
      </w:r>
      <w:r w:rsidR="00732CAB">
        <w:br/>
      </w:r>
      <w:r>
        <w:t>There are no capital and start-up costs and no operational, maintenance, or service costs required of respondents.</w:t>
      </w:r>
    </w:p>
    <w:p w14:paraId="7E36CD02" w14:textId="77777777" w:rsidR="007007AF" w:rsidRDefault="007007AF" w:rsidP="007007AF">
      <w:pPr>
        <w:tabs>
          <w:tab w:val="left" w:pos="1176"/>
          <w:tab w:val="left" w:pos="1656"/>
          <w:tab w:val="left" w:pos="5016"/>
          <w:tab w:val="left" w:pos="6696"/>
          <w:tab w:val="left" w:pos="8256"/>
        </w:tabs>
      </w:pPr>
    </w:p>
    <w:p w14:paraId="68EC75CC" w14:textId="4AF0C9FD" w:rsidR="007007AF" w:rsidRDefault="00D64F56" w:rsidP="00D64F56">
      <w:pPr>
        <w:pStyle w:val="BodyTextIndent3"/>
        <w:tabs>
          <w:tab w:val="left" w:pos="720"/>
        </w:tabs>
        <w:ind w:left="450" w:hanging="450"/>
      </w:pPr>
      <w:r w:rsidRPr="00D17A87">
        <w:t>14.</w:t>
      </w:r>
      <w:r>
        <w:rPr>
          <w:b/>
        </w:rPr>
        <w:tab/>
      </w:r>
      <w:r w:rsidR="007007AF">
        <w:rPr>
          <w:b/>
        </w:rPr>
        <w:t>Annual Cost to the Federal Government</w:t>
      </w:r>
      <w:r w:rsidR="007007AF">
        <w:br/>
      </w:r>
      <w:r w:rsidR="007007AF">
        <w:br/>
      </w:r>
      <w:r w:rsidRPr="00230C54">
        <w:t xml:space="preserve">The annual cost to the Federal Government of collecting, processing, reviewing, and publishing the data collected in the CE Surveys </w:t>
      </w:r>
      <w:r w:rsidR="00C34E7F">
        <w:t>is</w:t>
      </w:r>
      <w:r w:rsidRPr="00230C54">
        <w:t xml:space="preserve"> approximately $4</w:t>
      </w:r>
      <w:r w:rsidR="00CB520A">
        <w:t>2</w:t>
      </w:r>
      <w:r w:rsidR="0013761A">
        <w:t xml:space="preserve"> </w:t>
      </w:r>
      <w:r w:rsidRPr="00230C54">
        <w:t xml:space="preserve">million in fiscal year </w:t>
      </w:r>
      <w:r w:rsidR="009A6CC6" w:rsidRPr="00230C54">
        <w:t>201</w:t>
      </w:r>
      <w:r w:rsidR="00CB520A">
        <w:t>9</w:t>
      </w:r>
      <w:r w:rsidRPr="00230C54">
        <w:t>.  This include</w:t>
      </w:r>
      <w:r w:rsidR="00F064C2">
        <w:t>s</w:t>
      </w:r>
      <w:r w:rsidRPr="00230C54">
        <w:t xml:space="preserve"> approximately $2</w:t>
      </w:r>
      <w:r w:rsidR="00CB520A">
        <w:t>7</w:t>
      </w:r>
      <w:r w:rsidRPr="00230C54">
        <w:t xml:space="preserve"> million in costs incurred by the Census Bureau for collecting and processing the data, operational costs associated with maintaining the survey, and development costs.  The BLS portion of approximately $</w:t>
      </w:r>
      <w:r w:rsidR="00C34E7F">
        <w:t>15</w:t>
      </w:r>
      <w:r w:rsidR="0013761A">
        <w:t xml:space="preserve"> </w:t>
      </w:r>
      <w:r w:rsidRPr="00230C54">
        <w:t xml:space="preserve">million </w:t>
      </w:r>
      <w:r w:rsidR="00E317F9">
        <w:t>i</w:t>
      </w:r>
      <w:r w:rsidRPr="00230C54">
        <w:t>s for costs incurred by the BLS in personnel and other related costs associated with managing the survey, processing the data upon receipt from the Census Bureau, reviewing and publishing the data, and for research and development.</w:t>
      </w:r>
    </w:p>
    <w:p w14:paraId="26A56C97" w14:textId="77777777" w:rsidR="00D64F56" w:rsidRDefault="00D64F56" w:rsidP="00D64F56">
      <w:pPr>
        <w:pStyle w:val="BodyTextIndent3"/>
        <w:tabs>
          <w:tab w:val="left" w:pos="720"/>
        </w:tabs>
        <w:ind w:left="450" w:hanging="450"/>
      </w:pPr>
    </w:p>
    <w:p w14:paraId="13A37DA9" w14:textId="77777777" w:rsidR="00411F2A" w:rsidRPr="00D17A87" w:rsidRDefault="007007AF" w:rsidP="00B36781">
      <w:pPr>
        <w:pStyle w:val="BodyTextIndent2"/>
        <w:numPr>
          <w:ilvl w:val="0"/>
          <w:numId w:val="52"/>
        </w:numPr>
        <w:ind w:hanging="540"/>
      </w:pPr>
      <w:r w:rsidRPr="00B36781">
        <w:rPr>
          <w:b/>
        </w:rPr>
        <w:t>Change in Respondent Burden</w:t>
      </w:r>
    </w:p>
    <w:p w14:paraId="526FF411" w14:textId="60D1A6AF" w:rsidR="007007AF" w:rsidRPr="0004428D" w:rsidRDefault="007007AF" w:rsidP="00D17A87">
      <w:pPr>
        <w:pStyle w:val="BodyTextIndent2"/>
        <w:ind w:left="450"/>
      </w:pPr>
      <w:r w:rsidRPr="0004428D">
        <w:br/>
        <w:t xml:space="preserve">Reporting burden has </w:t>
      </w:r>
      <w:r w:rsidR="0052463F">
        <w:t>increa</w:t>
      </w:r>
      <w:r w:rsidR="000172AB">
        <w:t>s</w:t>
      </w:r>
      <w:r w:rsidR="0052463F">
        <w:t xml:space="preserve">ed from </w:t>
      </w:r>
      <w:r w:rsidR="00627B59">
        <w:t>44,5</w:t>
      </w:r>
      <w:r w:rsidR="002D2A99">
        <w:t>2</w:t>
      </w:r>
      <w:r w:rsidR="00FA4ED5">
        <w:t>2</w:t>
      </w:r>
      <w:r w:rsidR="0052463F">
        <w:t xml:space="preserve"> to 52,337.  This increase is due to the increase in sample size and the LSF Online Diary test.</w:t>
      </w:r>
      <w:r w:rsidRPr="0004428D">
        <w:t xml:space="preserve">  </w:t>
      </w:r>
    </w:p>
    <w:p w14:paraId="2BF30BAA" w14:textId="77777777" w:rsidR="007007AF" w:rsidRDefault="007007AF" w:rsidP="007007AF">
      <w:pPr>
        <w:tabs>
          <w:tab w:val="left" w:pos="450"/>
          <w:tab w:val="left" w:pos="1656"/>
          <w:tab w:val="left" w:pos="5016"/>
          <w:tab w:val="left" w:pos="6696"/>
          <w:tab w:val="left" w:pos="8256"/>
        </w:tabs>
        <w:ind w:left="955" w:hanging="475"/>
      </w:pPr>
    </w:p>
    <w:p w14:paraId="22110092" w14:textId="77777777" w:rsidR="00673B1B" w:rsidRPr="00175F43" w:rsidRDefault="00673B1B" w:rsidP="00673B1B">
      <w:pPr>
        <w:tabs>
          <w:tab w:val="left" w:pos="1176"/>
          <w:tab w:val="left" w:pos="1656"/>
          <w:tab w:val="left" w:pos="5016"/>
          <w:tab w:val="left" w:pos="6696"/>
          <w:tab w:val="left" w:pos="8256"/>
        </w:tabs>
        <w:ind w:left="480" w:hanging="480"/>
      </w:pPr>
      <w:r w:rsidRPr="00175F43">
        <w:t>16.</w:t>
      </w:r>
      <w:r w:rsidRPr="00175F43">
        <w:tab/>
      </w:r>
      <w:r w:rsidR="00732CAB" w:rsidRPr="00175F43">
        <w:rPr>
          <w:b/>
        </w:rPr>
        <w:t>Publication Plan</w:t>
      </w:r>
      <w:r w:rsidR="00732CAB" w:rsidRPr="00175F43">
        <w:rPr>
          <w:b/>
        </w:rPr>
        <w:br/>
      </w:r>
      <w:r w:rsidR="00732CAB" w:rsidRPr="00175F43">
        <w:br/>
      </w:r>
      <w:r w:rsidRPr="00175F43">
        <w:t>Data collection activities for the continuing surveys began in September 1979 for the Diary Survey and in October 1979 for the Quarterly Interview Survey.  The Census Bureau delivered the first edited and weighted data tape to the BLS in April 1981.  Delivery is now scheduled with Quarterly Interview Survey data to be delivere</w:t>
      </w:r>
      <w:r w:rsidR="0012749D" w:rsidRPr="00175F43">
        <w:t>d three weeks after the</w:t>
      </w:r>
      <w:r w:rsidRPr="00175F43">
        <w:t xml:space="preserve"> interview </w:t>
      </w:r>
      <w:r w:rsidR="0012749D" w:rsidRPr="00175F43">
        <w:t xml:space="preserve">month </w:t>
      </w:r>
      <w:r w:rsidRPr="00175F43">
        <w:t>and Diary Survey data to be delivered two months after the interview month.</w:t>
      </w:r>
    </w:p>
    <w:p w14:paraId="014FAC7F" w14:textId="77777777" w:rsidR="00673B1B" w:rsidRPr="00175F43" w:rsidRDefault="00673B1B" w:rsidP="00673B1B">
      <w:pPr>
        <w:tabs>
          <w:tab w:val="left" w:pos="1176"/>
          <w:tab w:val="left" w:pos="1656"/>
          <w:tab w:val="left" w:pos="5016"/>
          <w:tab w:val="left" w:pos="6696"/>
          <w:tab w:val="left" w:pos="8256"/>
        </w:tabs>
      </w:pPr>
    </w:p>
    <w:p w14:paraId="6899343D" w14:textId="77777777" w:rsidR="00673B1B" w:rsidRDefault="00673B1B" w:rsidP="00673B1B">
      <w:pPr>
        <w:tabs>
          <w:tab w:val="left" w:pos="1176"/>
          <w:tab w:val="left" w:pos="1656"/>
          <w:tab w:val="left" w:pos="5016"/>
          <w:tab w:val="left" w:pos="6696"/>
          <w:tab w:val="left" w:pos="8256"/>
        </w:tabs>
        <w:ind w:left="480"/>
      </w:pPr>
      <w:r w:rsidRPr="00175F43">
        <w:t>In May 1983, the BLS published the first tables from the continuing CE Surveys and selected data from the 1980</w:t>
      </w:r>
      <w:r w:rsidRPr="00175F43">
        <w:noBreakHyphen/>
        <w:t>81 Diary Surveys.  Also, microdata on public use tapes were made available for the first time in June 1983 for the Diary Survey and in October 1984 for the Interview Survey.</w:t>
      </w:r>
    </w:p>
    <w:p w14:paraId="2B530DAD" w14:textId="77777777" w:rsidR="0079656A" w:rsidRPr="00175F43" w:rsidRDefault="0079656A" w:rsidP="00673B1B">
      <w:pPr>
        <w:tabs>
          <w:tab w:val="left" w:pos="1176"/>
          <w:tab w:val="left" w:pos="1656"/>
          <w:tab w:val="left" w:pos="5016"/>
          <w:tab w:val="left" w:pos="6696"/>
          <w:tab w:val="left" w:pos="8256"/>
        </w:tabs>
        <w:ind w:left="480"/>
      </w:pPr>
    </w:p>
    <w:p w14:paraId="28EF5AB2" w14:textId="77777777" w:rsidR="0079656A" w:rsidRPr="0079656A" w:rsidRDefault="0079656A" w:rsidP="0079656A">
      <w:pPr>
        <w:tabs>
          <w:tab w:val="left" w:pos="1176"/>
          <w:tab w:val="left" w:pos="1656"/>
          <w:tab w:val="left" w:pos="5016"/>
          <w:tab w:val="left" w:pos="6696"/>
          <w:tab w:val="left" w:pos="8256"/>
        </w:tabs>
        <w:ind w:left="480"/>
      </w:pPr>
      <w:r>
        <w:t>The BLS released the 2017 annual tabular data and Diary and Quarterly Interview Survey public-use microdata on September 11, 2018.  The midyear July 2017 through June 2018 tabular data are scheduled for publication the end of April 2019, and the 2018 annual data tables and public-use microdata are scheduled to be released in mid-September 2019.</w:t>
      </w:r>
    </w:p>
    <w:p w14:paraId="7BF7C4F3" w14:textId="7B3F5874" w:rsidR="0028518E" w:rsidRPr="00B36781" w:rsidRDefault="0028518E" w:rsidP="00673B1B">
      <w:pPr>
        <w:pStyle w:val="BodyText"/>
        <w:tabs>
          <w:tab w:val="clear" w:pos="1176"/>
          <w:tab w:val="clear" w:pos="1656"/>
          <w:tab w:val="clear" w:pos="6696"/>
          <w:tab w:val="clear" w:pos="8256"/>
          <w:tab w:val="left" w:pos="720"/>
        </w:tabs>
        <w:ind w:left="540"/>
        <w:rPr>
          <w:szCs w:val="24"/>
        </w:rPr>
      </w:pPr>
    </w:p>
    <w:p w14:paraId="3452ACC2" w14:textId="77777777" w:rsidR="00673B1B" w:rsidRPr="00B36781" w:rsidRDefault="00673B1B" w:rsidP="00673B1B">
      <w:pPr>
        <w:pStyle w:val="BodyText"/>
        <w:tabs>
          <w:tab w:val="clear" w:pos="1176"/>
          <w:tab w:val="clear" w:pos="1656"/>
          <w:tab w:val="clear" w:pos="6696"/>
          <w:tab w:val="clear" w:pos="8256"/>
          <w:tab w:val="left" w:pos="720"/>
        </w:tabs>
        <w:ind w:left="540"/>
        <w:rPr>
          <w:szCs w:val="24"/>
        </w:rPr>
      </w:pPr>
    </w:p>
    <w:p w14:paraId="62BA4E8A" w14:textId="1281BCB0" w:rsidR="00673B1B" w:rsidRPr="00B36781" w:rsidRDefault="00B36781" w:rsidP="00B36781">
      <w:pPr>
        <w:pStyle w:val="Title"/>
        <w:ind w:left="450" w:hanging="450"/>
        <w:jc w:val="left"/>
        <w:rPr>
          <w:szCs w:val="24"/>
        </w:rPr>
      </w:pPr>
      <w:r w:rsidRPr="00B36781">
        <w:rPr>
          <w:szCs w:val="24"/>
        </w:rPr>
        <w:t xml:space="preserve">17.  </w:t>
      </w:r>
      <w:r w:rsidR="00732CAB" w:rsidRPr="00B36781">
        <w:rPr>
          <w:b/>
          <w:szCs w:val="24"/>
        </w:rPr>
        <w:t>Reason for not Displaying the OMB Expiration Date</w:t>
      </w:r>
      <w:r w:rsidR="00732CAB" w:rsidRPr="00B36781">
        <w:rPr>
          <w:szCs w:val="24"/>
        </w:rPr>
        <w:br/>
      </w:r>
      <w:r w:rsidR="00732CAB">
        <w:br/>
      </w:r>
      <w:r w:rsidR="00673B1B" w:rsidRPr="00B36781">
        <w:rPr>
          <w:szCs w:val="24"/>
        </w:rPr>
        <w:t xml:space="preserve">The BLS </w:t>
      </w:r>
      <w:r w:rsidR="00017D68" w:rsidRPr="00B36781">
        <w:rPr>
          <w:szCs w:val="24"/>
        </w:rPr>
        <w:t>requests not</w:t>
      </w:r>
      <w:r w:rsidR="00673B1B" w:rsidRPr="00B36781">
        <w:rPr>
          <w:szCs w:val="24"/>
        </w:rPr>
        <w:t xml:space="preserve"> to display the expiration date of the information collection </w:t>
      </w:r>
      <w:r w:rsidR="0052463F">
        <w:rPr>
          <w:szCs w:val="24"/>
        </w:rPr>
        <w:t>to save on printing costs of materials for the survey.</w:t>
      </w:r>
      <w:r w:rsidR="00673B1B" w:rsidRPr="00B36781">
        <w:rPr>
          <w:szCs w:val="24"/>
        </w:rPr>
        <w:t xml:space="preserve">  The OMB control number for the CE Surveys is included in the advance letter given to respondents</w:t>
      </w:r>
      <w:r w:rsidR="001D557B" w:rsidRPr="00B36781">
        <w:rPr>
          <w:szCs w:val="24"/>
        </w:rPr>
        <w:t xml:space="preserve"> </w:t>
      </w:r>
      <w:r w:rsidR="00673B1B" w:rsidRPr="00B36781">
        <w:rPr>
          <w:szCs w:val="24"/>
        </w:rPr>
        <w:t xml:space="preserve">(see Attachment </w:t>
      </w:r>
      <w:r w:rsidR="007A62B8" w:rsidRPr="00B36781">
        <w:rPr>
          <w:szCs w:val="24"/>
        </w:rPr>
        <w:t>I</w:t>
      </w:r>
      <w:r w:rsidR="00673B1B" w:rsidRPr="00B36781">
        <w:rPr>
          <w:szCs w:val="24"/>
        </w:rPr>
        <w:t>).  For the Diary CE-801 there is a significant cost savings in printing a large quantity of forms at one time due to the set up costs involved in printing for the survey instrument.  By not printing the date on the form the BLS w</w:t>
      </w:r>
      <w:r w:rsidR="004A1DD4" w:rsidRPr="00B36781">
        <w:rPr>
          <w:szCs w:val="24"/>
        </w:rPr>
        <w:t>ill</w:t>
      </w:r>
      <w:r w:rsidR="00673B1B" w:rsidRPr="00B36781">
        <w:rPr>
          <w:szCs w:val="24"/>
        </w:rPr>
        <w:t xml:space="preserve"> be able to continue to use forms in stock, assuming no form changes, once the OMB clearance date has expired and a new expiration date has been approved.  The BLS would save both time and money by not having to destroy the old questionnaires and </w:t>
      </w:r>
      <w:r w:rsidR="00475B5E" w:rsidRPr="00B36781">
        <w:rPr>
          <w:szCs w:val="24"/>
        </w:rPr>
        <w:t>printing new ones</w:t>
      </w:r>
      <w:r w:rsidR="00673B1B" w:rsidRPr="00B36781">
        <w:rPr>
          <w:szCs w:val="24"/>
        </w:rPr>
        <w:t>.</w:t>
      </w:r>
      <w:r w:rsidR="00673B1B" w:rsidRPr="00B36781">
        <w:rPr>
          <w:szCs w:val="24"/>
        </w:rPr>
        <w:br/>
      </w:r>
    </w:p>
    <w:p w14:paraId="2063E997" w14:textId="77777777" w:rsidR="007801DB" w:rsidRDefault="00673B1B" w:rsidP="005E2032">
      <w:pPr>
        <w:tabs>
          <w:tab w:val="left" w:pos="1176"/>
          <w:tab w:val="left" w:pos="1656"/>
          <w:tab w:val="left" w:pos="5016"/>
          <w:tab w:val="left" w:pos="6696"/>
          <w:tab w:val="left" w:pos="8256"/>
        </w:tabs>
        <w:ind w:left="480" w:hanging="480"/>
      </w:pPr>
      <w:r>
        <w:t xml:space="preserve">18.   </w:t>
      </w:r>
      <w:r w:rsidR="00732CAB" w:rsidRPr="00732CAB">
        <w:rPr>
          <w:b/>
        </w:rPr>
        <w:t>Certification Statement</w:t>
      </w:r>
      <w:r w:rsidR="00732CAB">
        <w:br/>
      </w:r>
      <w:r w:rsidR="00732CAB">
        <w:br/>
      </w:r>
      <w:r>
        <w:t>There are no exceptions to the certification statement.</w:t>
      </w:r>
    </w:p>
    <w:sectPr w:rsidR="007801DB" w:rsidSect="00B0054D">
      <w:headerReference w:type="default" r:id="rId10"/>
      <w:footerReference w:type="even" r:id="rId11"/>
      <w:footerReference w:type="default" r:id="rId12"/>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1066C" w14:textId="77777777" w:rsidR="00FE59DA" w:rsidRDefault="00FE59DA">
      <w:r>
        <w:separator/>
      </w:r>
    </w:p>
  </w:endnote>
  <w:endnote w:type="continuationSeparator" w:id="0">
    <w:p w14:paraId="3D3B1092" w14:textId="77777777" w:rsidR="00FE59DA" w:rsidRDefault="00FE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592E2" w14:textId="77777777" w:rsidR="00145337" w:rsidRDefault="001453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E0C7A3" w14:textId="77777777" w:rsidR="00145337" w:rsidRDefault="001453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22FC9" w14:textId="77777777" w:rsidR="00145337" w:rsidRDefault="00145337">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80362D">
      <w:rPr>
        <w:rStyle w:val="PageNumber"/>
        <w:rFonts w:ascii="Courier" w:hAnsi="Courier"/>
        <w:noProof/>
        <w:sz w:val="24"/>
      </w:rPr>
      <w:t>1</w:t>
    </w:r>
    <w:r>
      <w:rPr>
        <w:rStyle w:val="PageNumber"/>
        <w:rFonts w:ascii="Courier" w:hAnsi="Courier"/>
        <w:sz w:val="24"/>
      </w:rPr>
      <w:fldChar w:fldCharType="end"/>
    </w:r>
  </w:p>
  <w:p w14:paraId="66601CCA" w14:textId="77777777" w:rsidR="00145337" w:rsidRDefault="00145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8206B" w14:textId="77777777" w:rsidR="00FE59DA" w:rsidRDefault="00FE59DA">
      <w:r>
        <w:separator/>
      </w:r>
    </w:p>
  </w:footnote>
  <w:footnote w:type="continuationSeparator" w:id="0">
    <w:p w14:paraId="19895800" w14:textId="77777777" w:rsidR="00FE59DA" w:rsidRDefault="00FE5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722D0" w14:textId="50090385" w:rsidR="00145337" w:rsidRDefault="00145337">
    <w:pPr>
      <w:pStyle w:val="Header"/>
    </w:pPr>
    <w:r>
      <w:t>Consumer Expenditure Surveys</w:t>
    </w:r>
  </w:p>
  <w:p w14:paraId="633DB503" w14:textId="77777777" w:rsidR="00145337" w:rsidRDefault="00145337">
    <w:pPr>
      <w:pStyle w:val="Header"/>
    </w:pPr>
    <w:r>
      <w:t>1220-0050</w:t>
    </w:r>
  </w:p>
  <w:p w14:paraId="04D8F4BD" w14:textId="31854978" w:rsidR="00145337" w:rsidRDefault="00145337">
    <w:pPr>
      <w:pStyle w:val="Header"/>
    </w:pPr>
    <w:r>
      <w:t>Ma</w:t>
    </w:r>
    <w:r w:rsidR="001938FC">
      <w:t>y</w:t>
    </w:r>
    <w:r>
      <w:t xml:space="preserve"> 2019</w:t>
    </w:r>
  </w:p>
  <w:p w14:paraId="12BE54A3" w14:textId="77777777" w:rsidR="00145337" w:rsidRDefault="001453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nsid w:val="070741A2"/>
    <w:multiLevelType w:val="hybridMultilevel"/>
    <w:tmpl w:val="699A9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4">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337A68"/>
    <w:multiLevelType w:val="singleLevel"/>
    <w:tmpl w:val="0409000F"/>
    <w:lvl w:ilvl="0">
      <w:start w:val="1"/>
      <w:numFmt w:val="decimal"/>
      <w:lvlText w:val="%1."/>
      <w:lvlJc w:val="left"/>
      <w:pPr>
        <w:tabs>
          <w:tab w:val="num" w:pos="360"/>
        </w:tabs>
        <w:ind w:left="360" w:hanging="360"/>
      </w:pPr>
    </w:lvl>
  </w:abstractNum>
  <w:abstractNum w:abstractNumId="12">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nsid w:val="243114B6"/>
    <w:multiLevelType w:val="hybridMultilevel"/>
    <w:tmpl w:val="0B68DB82"/>
    <w:lvl w:ilvl="0" w:tplc="2148515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8">
    <w:nsid w:val="250E3660"/>
    <w:multiLevelType w:val="hybridMultilevel"/>
    <w:tmpl w:val="6290C1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8D61B2"/>
    <w:multiLevelType w:val="hybridMultilevel"/>
    <w:tmpl w:val="08005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1763B42"/>
    <w:multiLevelType w:val="hybridMultilevel"/>
    <w:tmpl w:val="3F0C16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326214EB"/>
    <w:multiLevelType w:val="hybridMultilevel"/>
    <w:tmpl w:val="611A97A4"/>
    <w:lvl w:ilvl="0" w:tplc="0C6875D8">
      <w:start w:val="15"/>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51E0509"/>
    <w:multiLevelType w:val="singleLevel"/>
    <w:tmpl w:val="0409000F"/>
    <w:lvl w:ilvl="0">
      <w:start w:val="1"/>
      <w:numFmt w:val="decimal"/>
      <w:lvlText w:val="%1."/>
      <w:lvlJc w:val="left"/>
      <w:pPr>
        <w:tabs>
          <w:tab w:val="num" w:pos="360"/>
        </w:tabs>
        <w:ind w:left="360" w:hanging="360"/>
      </w:pPr>
    </w:lvl>
  </w:abstractNum>
  <w:abstractNum w:abstractNumId="27">
    <w:nsid w:val="3C6660A4"/>
    <w:multiLevelType w:val="hybridMultilevel"/>
    <w:tmpl w:val="FDB81374"/>
    <w:lvl w:ilvl="0" w:tplc="48068D9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9">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30">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34">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32311C"/>
    <w:multiLevelType w:val="hybridMultilevel"/>
    <w:tmpl w:val="BFB86966"/>
    <w:lvl w:ilvl="0" w:tplc="70C82D0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nsid w:val="540B7BA3"/>
    <w:multiLevelType w:val="hybridMultilevel"/>
    <w:tmpl w:val="E4648712"/>
    <w:lvl w:ilvl="0" w:tplc="6CEE4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1641699"/>
    <w:multiLevelType w:val="singleLevel"/>
    <w:tmpl w:val="0409000F"/>
    <w:lvl w:ilvl="0">
      <w:start w:val="1"/>
      <w:numFmt w:val="decimal"/>
      <w:lvlText w:val="%1."/>
      <w:lvlJc w:val="left"/>
      <w:pPr>
        <w:tabs>
          <w:tab w:val="num" w:pos="360"/>
        </w:tabs>
        <w:ind w:left="360" w:hanging="360"/>
      </w:pPr>
    </w:lvl>
  </w:abstractNum>
  <w:abstractNum w:abstractNumId="41">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42">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3">
    <w:nsid w:val="678C3DCB"/>
    <w:multiLevelType w:val="hybridMultilevel"/>
    <w:tmpl w:val="794486E2"/>
    <w:lvl w:ilvl="0" w:tplc="3044ED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B1A0C84"/>
    <w:multiLevelType w:val="singleLevel"/>
    <w:tmpl w:val="D9C02A58"/>
    <w:lvl w:ilvl="0">
      <w:start w:val="1"/>
      <w:numFmt w:val="none"/>
      <w:lvlText w:val="3."/>
      <w:lvlJc w:val="left"/>
      <w:pPr>
        <w:tabs>
          <w:tab w:val="num" w:pos="360"/>
        </w:tabs>
        <w:ind w:left="360" w:hanging="360"/>
      </w:pPr>
    </w:lvl>
  </w:abstractNum>
  <w:abstractNum w:abstractNumId="46">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F9D2B52"/>
    <w:multiLevelType w:val="singleLevel"/>
    <w:tmpl w:val="C922D49A"/>
    <w:lvl w:ilvl="0">
      <w:start w:val="3"/>
      <w:numFmt w:val="none"/>
      <w:lvlText w:val="3"/>
      <w:lvlJc w:val="left"/>
      <w:pPr>
        <w:tabs>
          <w:tab w:val="num" w:pos="360"/>
        </w:tabs>
        <w:ind w:left="360" w:hanging="360"/>
      </w:pPr>
    </w:lvl>
  </w:abstractNum>
  <w:abstractNum w:abstractNumId="48">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9">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7"/>
  </w:num>
  <w:num w:numId="3">
    <w:abstractNumId w:val="33"/>
  </w:num>
  <w:num w:numId="4">
    <w:abstractNumId w:val="14"/>
  </w:num>
  <w:num w:numId="5">
    <w:abstractNumId w:val="48"/>
  </w:num>
  <w:num w:numId="6">
    <w:abstractNumId w:val="5"/>
  </w:num>
  <w:num w:numId="7">
    <w:abstractNumId w:val="25"/>
  </w:num>
  <w:num w:numId="8">
    <w:abstractNumId w:val="50"/>
  </w:num>
  <w:num w:numId="9">
    <w:abstractNumId w:val="29"/>
  </w:num>
  <w:num w:numId="10">
    <w:abstractNumId w:val="47"/>
  </w:num>
  <w:num w:numId="11">
    <w:abstractNumId w:val="45"/>
  </w:num>
  <w:num w:numId="12">
    <w:abstractNumId w:val="11"/>
  </w:num>
  <w:num w:numId="13">
    <w:abstractNumId w:val="26"/>
  </w:num>
  <w:num w:numId="14">
    <w:abstractNumId w:val="40"/>
  </w:num>
  <w:num w:numId="15">
    <w:abstractNumId w:val="6"/>
  </w:num>
  <w:num w:numId="16">
    <w:abstractNumId w:val="3"/>
  </w:num>
  <w:num w:numId="17">
    <w:abstractNumId w:val="10"/>
  </w:num>
  <w:num w:numId="18">
    <w:abstractNumId w:val="32"/>
  </w:num>
  <w:num w:numId="19">
    <w:abstractNumId w:val="38"/>
  </w:num>
  <w:num w:numId="20">
    <w:abstractNumId w:val="37"/>
  </w:num>
  <w:num w:numId="21">
    <w:abstractNumId w:val="44"/>
  </w:num>
  <w:num w:numId="22">
    <w:abstractNumId w:val="19"/>
  </w:num>
  <w:num w:numId="23">
    <w:abstractNumId w:val="34"/>
  </w:num>
  <w:num w:numId="24">
    <w:abstractNumId w:val="39"/>
  </w:num>
  <w:num w:numId="25">
    <w:abstractNumId w:val="9"/>
  </w:num>
  <w:num w:numId="26">
    <w:abstractNumId w:val="15"/>
  </w:num>
  <w:num w:numId="27">
    <w:abstractNumId w:val="4"/>
  </w:num>
  <w:num w:numId="28">
    <w:abstractNumId w:val="46"/>
  </w:num>
  <w:num w:numId="29">
    <w:abstractNumId w:val="2"/>
  </w:num>
  <w:num w:numId="30">
    <w:abstractNumId w:val="49"/>
  </w:num>
  <w:num w:numId="31">
    <w:abstractNumId w:val="30"/>
  </w:num>
  <w:num w:numId="32">
    <w:abstractNumId w:val="42"/>
  </w:num>
  <w:num w:numId="33">
    <w:abstractNumId w:val="20"/>
  </w:num>
  <w:num w:numId="34">
    <w:abstractNumId w:val="7"/>
  </w:num>
  <w:num w:numId="35">
    <w:abstractNumId w:val="28"/>
  </w:num>
  <w:num w:numId="36">
    <w:abstractNumId w:val="12"/>
  </w:num>
  <w:num w:numId="37">
    <w:abstractNumId w:val="31"/>
  </w:num>
  <w:num w:numId="38">
    <w:abstractNumId w:val="22"/>
  </w:num>
  <w:num w:numId="39">
    <w:abstractNumId w:val="41"/>
  </w:num>
  <w:num w:numId="40">
    <w:abstractNumId w:val="8"/>
  </w:num>
  <w:num w:numId="41">
    <w:abstractNumId w:val="0"/>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6"/>
  </w:num>
  <w:num w:numId="45">
    <w:abstractNumId w:val="18"/>
  </w:num>
  <w:num w:numId="46">
    <w:abstractNumId w:val="27"/>
  </w:num>
  <w:num w:numId="47">
    <w:abstractNumId w:val="3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16"/>
  </w:num>
  <w:num w:numId="51">
    <w:abstractNumId w:val="23"/>
  </w:num>
  <w:num w:numId="52">
    <w:abstractNumId w:val="24"/>
  </w:num>
  <w:num w:numId="53">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FB"/>
    <w:rsid w:val="00000388"/>
    <w:rsid w:val="0000379B"/>
    <w:rsid w:val="00004351"/>
    <w:rsid w:val="00005D23"/>
    <w:rsid w:val="00010526"/>
    <w:rsid w:val="000137E3"/>
    <w:rsid w:val="000172AB"/>
    <w:rsid w:val="00017D68"/>
    <w:rsid w:val="00021206"/>
    <w:rsid w:val="00024F80"/>
    <w:rsid w:val="0002657A"/>
    <w:rsid w:val="00027D70"/>
    <w:rsid w:val="00030025"/>
    <w:rsid w:val="00031FCC"/>
    <w:rsid w:val="000332C6"/>
    <w:rsid w:val="000358D4"/>
    <w:rsid w:val="00035F53"/>
    <w:rsid w:val="00042D62"/>
    <w:rsid w:val="0004428D"/>
    <w:rsid w:val="00045379"/>
    <w:rsid w:val="00046FF2"/>
    <w:rsid w:val="00050A7C"/>
    <w:rsid w:val="000556E5"/>
    <w:rsid w:val="0005755B"/>
    <w:rsid w:val="00060504"/>
    <w:rsid w:val="0006130E"/>
    <w:rsid w:val="00063CA0"/>
    <w:rsid w:val="00066270"/>
    <w:rsid w:val="00071349"/>
    <w:rsid w:val="00071E76"/>
    <w:rsid w:val="00072BA3"/>
    <w:rsid w:val="00075E59"/>
    <w:rsid w:val="00077A45"/>
    <w:rsid w:val="00084C59"/>
    <w:rsid w:val="00084C77"/>
    <w:rsid w:val="000878C4"/>
    <w:rsid w:val="000937FF"/>
    <w:rsid w:val="000A116F"/>
    <w:rsid w:val="000A1C63"/>
    <w:rsid w:val="000A2CD0"/>
    <w:rsid w:val="000A2EED"/>
    <w:rsid w:val="000A6627"/>
    <w:rsid w:val="000B1A25"/>
    <w:rsid w:val="000B5F4C"/>
    <w:rsid w:val="000B632A"/>
    <w:rsid w:val="000C12FA"/>
    <w:rsid w:val="000C216D"/>
    <w:rsid w:val="000C2F78"/>
    <w:rsid w:val="000C4C7C"/>
    <w:rsid w:val="000D3819"/>
    <w:rsid w:val="000E0FED"/>
    <w:rsid w:val="000E1156"/>
    <w:rsid w:val="000E329B"/>
    <w:rsid w:val="000E46C3"/>
    <w:rsid w:val="000E488A"/>
    <w:rsid w:val="000E4EFB"/>
    <w:rsid w:val="000E5E37"/>
    <w:rsid w:val="000F2B87"/>
    <w:rsid w:val="000F3F22"/>
    <w:rsid w:val="00101DCB"/>
    <w:rsid w:val="001041FE"/>
    <w:rsid w:val="00106C16"/>
    <w:rsid w:val="00113B2A"/>
    <w:rsid w:val="00114AF0"/>
    <w:rsid w:val="00114C32"/>
    <w:rsid w:val="0012063A"/>
    <w:rsid w:val="001218AB"/>
    <w:rsid w:val="001226D4"/>
    <w:rsid w:val="00124118"/>
    <w:rsid w:val="0012749D"/>
    <w:rsid w:val="001279BE"/>
    <w:rsid w:val="001306E7"/>
    <w:rsid w:val="001309A9"/>
    <w:rsid w:val="00132F17"/>
    <w:rsid w:val="00135CF0"/>
    <w:rsid w:val="0013761A"/>
    <w:rsid w:val="001403FC"/>
    <w:rsid w:val="0014116F"/>
    <w:rsid w:val="00141CE6"/>
    <w:rsid w:val="001426B7"/>
    <w:rsid w:val="00143484"/>
    <w:rsid w:val="00143D82"/>
    <w:rsid w:val="00145337"/>
    <w:rsid w:val="00145DF7"/>
    <w:rsid w:val="00146DC6"/>
    <w:rsid w:val="00147160"/>
    <w:rsid w:val="0015292E"/>
    <w:rsid w:val="0015452D"/>
    <w:rsid w:val="00157750"/>
    <w:rsid w:val="00161C98"/>
    <w:rsid w:val="00164269"/>
    <w:rsid w:val="00174EE8"/>
    <w:rsid w:val="00175F43"/>
    <w:rsid w:val="00177A87"/>
    <w:rsid w:val="0018113E"/>
    <w:rsid w:val="00184535"/>
    <w:rsid w:val="00184D9C"/>
    <w:rsid w:val="00190C4F"/>
    <w:rsid w:val="00191B45"/>
    <w:rsid w:val="001930A9"/>
    <w:rsid w:val="001938FC"/>
    <w:rsid w:val="0019402E"/>
    <w:rsid w:val="0019444C"/>
    <w:rsid w:val="00194FE3"/>
    <w:rsid w:val="001A1BBB"/>
    <w:rsid w:val="001A1F71"/>
    <w:rsid w:val="001A32FB"/>
    <w:rsid w:val="001A481D"/>
    <w:rsid w:val="001A509E"/>
    <w:rsid w:val="001A560C"/>
    <w:rsid w:val="001A6C7A"/>
    <w:rsid w:val="001A6DF5"/>
    <w:rsid w:val="001B4633"/>
    <w:rsid w:val="001B6A70"/>
    <w:rsid w:val="001B6C2E"/>
    <w:rsid w:val="001B7D60"/>
    <w:rsid w:val="001C2D8E"/>
    <w:rsid w:val="001D18BA"/>
    <w:rsid w:val="001D557B"/>
    <w:rsid w:val="001D6ABA"/>
    <w:rsid w:val="001D7EE0"/>
    <w:rsid w:val="001E0AE3"/>
    <w:rsid w:val="001E183A"/>
    <w:rsid w:val="001E2FEE"/>
    <w:rsid w:val="001E3F1A"/>
    <w:rsid w:val="001E7B52"/>
    <w:rsid w:val="001F309D"/>
    <w:rsid w:val="001F4333"/>
    <w:rsid w:val="001F537D"/>
    <w:rsid w:val="0021219B"/>
    <w:rsid w:val="002128BF"/>
    <w:rsid w:val="002129D8"/>
    <w:rsid w:val="00213C16"/>
    <w:rsid w:val="0021510F"/>
    <w:rsid w:val="00222B10"/>
    <w:rsid w:val="00223241"/>
    <w:rsid w:val="00223CC5"/>
    <w:rsid w:val="002243AF"/>
    <w:rsid w:val="00225901"/>
    <w:rsid w:val="002305EC"/>
    <w:rsid w:val="00230C54"/>
    <w:rsid w:val="002329E7"/>
    <w:rsid w:val="00236B8B"/>
    <w:rsid w:val="00237C5D"/>
    <w:rsid w:val="00240053"/>
    <w:rsid w:val="00241013"/>
    <w:rsid w:val="0024461E"/>
    <w:rsid w:val="002502B2"/>
    <w:rsid w:val="00251C7B"/>
    <w:rsid w:val="0025288C"/>
    <w:rsid w:val="00261C1A"/>
    <w:rsid w:val="00263BC5"/>
    <w:rsid w:val="00271C7A"/>
    <w:rsid w:val="00273892"/>
    <w:rsid w:val="00277C02"/>
    <w:rsid w:val="0028518E"/>
    <w:rsid w:val="00285302"/>
    <w:rsid w:val="002858B7"/>
    <w:rsid w:val="00285E4E"/>
    <w:rsid w:val="00286174"/>
    <w:rsid w:val="002863FB"/>
    <w:rsid w:val="002866EB"/>
    <w:rsid w:val="00287C57"/>
    <w:rsid w:val="002920F5"/>
    <w:rsid w:val="00293590"/>
    <w:rsid w:val="002951D6"/>
    <w:rsid w:val="002A03CF"/>
    <w:rsid w:val="002A0B99"/>
    <w:rsid w:val="002A5A87"/>
    <w:rsid w:val="002A5F72"/>
    <w:rsid w:val="002A6280"/>
    <w:rsid w:val="002A7031"/>
    <w:rsid w:val="002A70E6"/>
    <w:rsid w:val="002A7FD3"/>
    <w:rsid w:val="002B1873"/>
    <w:rsid w:val="002C0491"/>
    <w:rsid w:val="002C0787"/>
    <w:rsid w:val="002C0D7B"/>
    <w:rsid w:val="002C264E"/>
    <w:rsid w:val="002C27EA"/>
    <w:rsid w:val="002C6DD7"/>
    <w:rsid w:val="002D1154"/>
    <w:rsid w:val="002D2A21"/>
    <w:rsid w:val="002D2A99"/>
    <w:rsid w:val="002D31C8"/>
    <w:rsid w:val="002D486C"/>
    <w:rsid w:val="002D73BE"/>
    <w:rsid w:val="002E0793"/>
    <w:rsid w:val="002E1361"/>
    <w:rsid w:val="002E1E8F"/>
    <w:rsid w:val="002E4B21"/>
    <w:rsid w:val="002F1A9C"/>
    <w:rsid w:val="002F61C1"/>
    <w:rsid w:val="002F7E84"/>
    <w:rsid w:val="00302B48"/>
    <w:rsid w:val="003044E9"/>
    <w:rsid w:val="00306184"/>
    <w:rsid w:val="003103A5"/>
    <w:rsid w:val="00321E79"/>
    <w:rsid w:val="003227ED"/>
    <w:rsid w:val="00323AEF"/>
    <w:rsid w:val="00323B4B"/>
    <w:rsid w:val="00325AAD"/>
    <w:rsid w:val="0032753D"/>
    <w:rsid w:val="0033578F"/>
    <w:rsid w:val="0033757E"/>
    <w:rsid w:val="00340351"/>
    <w:rsid w:val="003463E3"/>
    <w:rsid w:val="00347119"/>
    <w:rsid w:val="003537F4"/>
    <w:rsid w:val="003547C2"/>
    <w:rsid w:val="003565CA"/>
    <w:rsid w:val="00356F08"/>
    <w:rsid w:val="00366AA6"/>
    <w:rsid w:val="00367C62"/>
    <w:rsid w:val="003708C7"/>
    <w:rsid w:val="0037174B"/>
    <w:rsid w:val="00371BD6"/>
    <w:rsid w:val="00372065"/>
    <w:rsid w:val="003733A4"/>
    <w:rsid w:val="003744DB"/>
    <w:rsid w:val="00376086"/>
    <w:rsid w:val="0037650B"/>
    <w:rsid w:val="00391FDD"/>
    <w:rsid w:val="00394BD7"/>
    <w:rsid w:val="00394CD3"/>
    <w:rsid w:val="003967FA"/>
    <w:rsid w:val="003B0735"/>
    <w:rsid w:val="003B3E9A"/>
    <w:rsid w:val="003C2E7E"/>
    <w:rsid w:val="003C49C6"/>
    <w:rsid w:val="003D2223"/>
    <w:rsid w:val="003D2701"/>
    <w:rsid w:val="003D355A"/>
    <w:rsid w:val="003D4BAA"/>
    <w:rsid w:val="003D4EEA"/>
    <w:rsid w:val="003E2CF1"/>
    <w:rsid w:val="003E3C21"/>
    <w:rsid w:val="003E3FD2"/>
    <w:rsid w:val="003E7639"/>
    <w:rsid w:val="003F133B"/>
    <w:rsid w:val="003F60DD"/>
    <w:rsid w:val="003F7588"/>
    <w:rsid w:val="00405B2A"/>
    <w:rsid w:val="00411840"/>
    <w:rsid w:val="00411F2A"/>
    <w:rsid w:val="0041220B"/>
    <w:rsid w:val="004129E1"/>
    <w:rsid w:val="00416915"/>
    <w:rsid w:val="004224A1"/>
    <w:rsid w:val="004234F4"/>
    <w:rsid w:val="00425266"/>
    <w:rsid w:val="0042539F"/>
    <w:rsid w:val="004253BD"/>
    <w:rsid w:val="00430C87"/>
    <w:rsid w:val="00431338"/>
    <w:rsid w:val="00431FB5"/>
    <w:rsid w:val="00435386"/>
    <w:rsid w:val="0043681C"/>
    <w:rsid w:val="00436B9C"/>
    <w:rsid w:val="004376C8"/>
    <w:rsid w:val="00442CFD"/>
    <w:rsid w:val="0044436B"/>
    <w:rsid w:val="00444844"/>
    <w:rsid w:val="00447A2B"/>
    <w:rsid w:val="00461C7F"/>
    <w:rsid w:val="00461CA4"/>
    <w:rsid w:val="004728E8"/>
    <w:rsid w:val="00474884"/>
    <w:rsid w:val="00475B5E"/>
    <w:rsid w:val="00482DCA"/>
    <w:rsid w:val="00483A1C"/>
    <w:rsid w:val="00485008"/>
    <w:rsid w:val="00485BF2"/>
    <w:rsid w:val="00485D5C"/>
    <w:rsid w:val="004867F7"/>
    <w:rsid w:val="00486FF3"/>
    <w:rsid w:val="00487CFF"/>
    <w:rsid w:val="00491B3E"/>
    <w:rsid w:val="004922BC"/>
    <w:rsid w:val="00494AA0"/>
    <w:rsid w:val="00495A44"/>
    <w:rsid w:val="00496C3B"/>
    <w:rsid w:val="004A0D6E"/>
    <w:rsid w:val="004A1543"/>
    <w:rsid w:val="004A160F"/>
    <w:rsid w:val="004A1DD4"/>
    <w:rsid w:val="004A23E4"/>
    <w:rsid w:val="004A5140"/>
    <w:rsid w:val="004A5E2C"/>
    <w:rsid w:val="004A651E"/>
    <w:rsid w:val="004A65AD"/>
    <w:rsid w:val="004B71A4"/>
    <w:rsid w:val="004C3B76"/>
    <w:rsid w:val="004D19F1"/>
    <w:rsid w:val="004D450E"/>
    <w:rsid w:val="004E1442"/>
    <w:rsid w:val="004E6C3F"/>
    <w:rsid w:val="004F2DAC"/>
    <w:rsid w:val="00500578"/>
    <w:rsid w:val="005013F8"/>
    <w:rsid w:val="005043DC"/>
    <w:rsid w:val="005054E4"/>
    <w:rsid w:val="00506183"/>
    <w:rsid w:val="005079BB"/>
    <w:rsid w:val="00513899"/>
    <w:rsid w:val="0051479C"/>
    <w:rsid w:val="00514BD8"/>
    <w:rsid w:val="00516F5D"/>
    <w:rsid w:val="005217B8"/>
    <w:rsid w:val="005241DA"/>
    <w:rsid w:val="0052463F"/>
    <w:rsid w:val="005249D1"/>
    <w:rsid w:val="005318CC"/>
    <w:rsid w:val="00535657"/>
    <w:rsid w:val="00537249"/>
    <w:rsid w:val="0054549B"/>
    <w:rsid w:val="005454D4"/>
    <w:rsid w:val="00551C80"/>
    <w:rsid w:val="00566053"/>
    <w:rsid w:val="00566264"/>
    <w:rsid w:val="00566971"/>
    <w:rsid w:val="00571A4D"/>
    <w:rsid w:val="00571F66"/>
    <w:rsid w:val="005729D6"/>
    <w:rsid w:val="00575100"/>
    <w:rsid w:val="00581CEC"/>
    <w:rsid w:val="005859E3"/>
    <w:rsid w:val="00585E44"/>
    <w:rsid w:val="00593419"/>
    <w:rsid w:val="005938B8"/>
    <w:rsid w:val="00597E49"/>
    <w:rsid w:val="005A2302"/>
    <w:rsid w:val="005B00CA"/>
    <w:rsid w:val="005B6A16"/>
    <w:rsid w:val="005B7063"/>
    <w:rsid w:val="005C0E61"/>
    <w:rsid w:val="005C5867"/>
    <w:rsid w:val="005C7C43"/>
    <w:rsid w:val="005D106D"/>
    <w:rsid w:val="005D1C6B"/>
    <w:rsid w:val="005E1776"/>
    <w:rsid w:val="005E2032"/>
    <w:rsid w:val="005E378C"/>
    <w:rsid w:val="005E428D"/>
    <w:rsid w:val="005E4614"/>
    <w:rsid w:val="005F10F8"/>
    <w:rsid w:val="005F349E"/>
    <w:rsid w:val="005F6174"/>
    <w:rsid w:val="006010F6"/>
    <w:rsid w:val="0060704D"/>
    <w:rsid w:val="00610037"/>
    <w:rsid w:val="0061092B"/>
    <w:rsid w:val="0061234B"/>
    <w:rsid w:val="00612E82"/>
    <w:rsid w:val="00622A1A"/>
    <w:rsid w:val="00622F60"/>
    <w:rsid w:val="00627B59"/>
    <w:rsid w:val="00627F13"/>
    <w:rsid w:val="00633ED8"/>
    <w:rsid w:val="00634A1E"/>
    <w:rsid w:val="00634CEE"/>
    <w:rsid w:val="00636757"/>
    <w:rsid w:val="00637F3E"/>
    <w:rsid w:val="0064258D"/>
    <w:rsid w:val="00653887"/>
    <w:rsid w:val="00664F9E"/>
    <w:rsid w:val="0066587A"/>
    <w:rsid w:val="00665955"/>
    <w:rsid w:val="006706FA"/>
    <w:rsid w:val="00671067"/>
    <w:rsid w:val="00671219"/>
    <w:rsid w:val="00673B1B"/>
    <w:rsid w:val="006767CF"/>
    <w:rsid w:val="00681CD0"/>
    <w:rsid w:val="00682FFB"/>
    <w:rsid w:val="006850AC"/>
    <w:rsid w:val="00696913"/>
    <w:rsid w:val="006A6E0B"/>
    <w:rsid w:val="006A6F11"/>
    <w:rsid w:val="006B1B0A"/>
    <w:rsid w:val="006B59A0"/>
    <w:rsid w:val="006C06E0"/>
    <w:rsid w:val="006C1A9C"/>
    <w:rsid w:val="006C563C"/>
    <w:rsid w:val="006C6669"/>
    <w:rsid w:val="006D2416"/>
    <w:rsid w:val="006D53CD"/>
    <w:rsid w:val="006E2CD2"/>
    <w:rsid w:val="006E46EC"/>
    <w:rsid w:val="006E62B9"/>
    <w:rsid w:val="006F339D"/>
    <w:rsid w:val="006F4286"/>
    <w:rsid w:val="007007AF"/>
    <w:rsid w:val="00702E8E"/>
    <w:rsid w:val="00705047"/>
    <w:rsid w:val="00706125"/>
    <w:rsid w:val="00707B51"/>
    <w:rsid w:val="00707FCD"/>
    <w:rsid w:val="007151BC"/>
    <w:rsid w:val="00715284"/>
    <w:rsid w:val="00721421"/>
    <w:rsid w:val="00721F32"/>
    <w:rsid w:val="00732CAB"/>
    <w:rsid w:val="00735A19"/>
    <w:rsid w:val="007411DE"/>
    <w:rsid w:val="00741F6D"/>
    <w:rsid w:val="00742BAC"/>
    <w:rsid w:val="0074588C"/>
    <w:rsid w:val="00750AFB"/>
    <w:rsid w:val="007560AD"/>
    <w:rsid w:val="0075796A"/>
    <w:rsid w:val="00757D20"/>
    <w:rsid w:val="00760E85"/>
    <w:rsid w:val="007638FD"/>
    <w:rsid w:val="00763E85"/>
    <w:rsid w:val="00767C32"/>
    <w:rsid w:val="00770C55"/>
    <w:rsid w:val="00775964"/>
    <w:rsid w:val="007801DB"/>
    <w:rsid w:val="00780D1B"/>
    <w:rsid w:val="00782571"/>
    <w:rsid w:val="0078739C"/>
    <w:rsid w:val="0079370D"/>
    <w:rsid w:val="0079655D"/>
    <w:rsid w:val="0079656A"/>
    <w:rsid w:val="007A2D7E"/>
    <w:rsid w:val="007A3675"/>
    <w:rsid w:val="007A45A8"/>
    <w:rsid w:val="007A62B8"/>
    <w:rsid w:val="007A662F"/>
    <w:rsid w:val="007B3489"/>
    <w:rsid w:val="007B6094"/>
    <w:rsid w:val="007B7D10"/>
    <w:rsid w:val="007C3709"/>
    <w:rsid w:val="007C4716"/>
    <w:rsid w:val="007C7177"/>
    <w:rsid w:val="007D09DC"/>
    <w:rsid w:val="007D48AC"/>
    <w:rsid w:val="007D7423"/>
    <w:rsid w:val="007E4015"/>
    <w:rsid w:val="007F3CD3"/>
    <w:rsid w:val="008031C1"/>
    <w:rsid w:val="0080362D"/>
    <w:rsid w:val="00803914"/>
    <w:rsid w:val="00806D97"/>
    <w:rsid w:val="00811B8A"/>
    <w:rsid w:val="0081306A"/>
    <w:rsid w:val="00815EB1"/>
    <w:rsid w:val="008165A2"/>
    <w:rsid w:val="00821F4F"/>
    <w:rsid w:val="00826B6E"/>
    <w:rsid w:val="00827965"/>
    <w:rsid w:val="00832784"/>
    <w:rsid w:val="00837917"/>
    <w:rsid w:val="0084049E"/>
    <w:rsid w:val="00841DF9"/>
    <w:rsid w:val="00847A57"/>
    <w:rsid w:val="008506A8"/>
    <w:rsid w:val="00857A92"/>
    <w:rsid w:val="00861208"/>
    <w:rsid w:val="008631CF"/>
    <w:rsid w:val="00864C94"/>
    <w:rsid w:val="008663C1"/>
    <w:rsid w:val="008667BA"/>
    <w:rsid w:val="00870BD0"/>
    <w:rsid w:val="00871ED7"/>
    <w:rsid w:val="00872A27"/>
    <w:rsid w:val="008756C3"/>
    <w:rsid w:val="008768FC"/>
    <w:rsid w:val="0087690F"/>
    <w:rsid w:val="00876B10"/>
    <w:rsid w:val="00881066"/>
    <w:rsid w:val="008827F9"/>
    <w:rsid w:val="00884FFB"/>
    <w:rsid w:val="008858A9"/>
    <w:rsid w:val="00892382"/>
    <w:rsid w:val="00892F33"/>
    <w:rsid w:val="00893A65"/>
    <w:rsid w:val="00894A32"/>
    <w:rsid w:val="008A2D20"/>
    <w:rsid w:val="008A3775"/>
    <w:rsid w:val="008A44EF"/>
    <w:rsid w:val="008A68A1"/>
    <w:rsid w:val="008A6C20"/>
    <w:rsid w:val="008B367B"/>
    <w:rsid w:val="008B3C59"/>
    <w:rsid w:val="008B6AB3"/>
    <w:rsid w:val="008C3706"/>
    <w:rsid w:val="008C4049"/>
    <w:rsid w:val="008D1E4F"/>
    <w:rsid w:val="008D526C"/>
    <w:rsid w:val="008D58C8"/>
    <w:rsid w:val="008E2D07"/>
    <w:rsid w:val="008F2E9F"/>
    <w:rsid w:val="008F56FE"/>
    <w:rsid w:val="008F7DD4"/>
    <w:rsid w:val="00902776"/>
    <w:rsid w:val="00903D14"/>
    <w:rsid w:val="009064E4"/>
    <w:rsid w:val="00906C87"/>
    <w:rsid w:val="00914394"/>
    <w:rsid w:val="00920BE2"/>
    <w:rsid w:val="00920FF5"/>
    <w:rsid w:val="00922A85"/>
    <w:rsid w:val="00923447"/>
    <w:rsid w:val="009309E9"/>
    <w:rsid w:val="00930A65"/>
    <w:rsid w:val="00930FE6"/>
    <w:rsid w:val="0093617F"/>
    <w:rsid w:val="0093772B"/>
    <w:rsid w:val="00937ACE"/>
    <w:rsid w:val="009408CE"/>
    <w:rsid w:val="00941D58"/>
    <w:rsid w:val="00943074"/>
    <w:rsid w:val="009455A7"/>
    <w:rsid w:val="00945F78"/>
    <w:rsid w:val="00951D52"/>
    <w:rsid w:val="00953034"/>
    <w:rsid w:val="0095415E"/>
    <w:rsid w:val="009549F8"/>
    <w:rsid w:val="00954D4A"/>
    <w:rsid w:val="009645A5"/>
    <w:rsid w:val="009662E1"/>
    <w:rsid w:val="009729D9"/>
    <w:rsid w:val="009751DE"/>
    <w:rsid w:val="00975490"/>
    <w:rsid w:val="0097569B"/>
    <w:rsid w:val="00994248"/>
    <w:rsid w:val="009955A8"/>
    <w:rsid w:val="00997A72"/>
    <w:rsid w:val="00997B16"/>
    <w:rsid w:val="009A2ECD"/>
    <w:rsid w:val="009A4785"/>
    <w:rsid w:val="009A6CC6"/>
    <w:rsid w:val="009B14F3"/>
    <w:rsid w:val="009B2F2E"/>
    <w:rsid w:val="009B529C"/>
    <w:rsid w:val="009C0E03"/>
    <w:rsid w:val="009C29A6"/>
    <w:rsid w:val="009C64AF"/>
    <w:rsid w:val="009D5AE6"/>
    <w:rsid w:val="009D5FDB"/>
    <w:rsid w:val="009D75C0"/>
    <w:rsid w:val="009E152F"/>
    <w:rsid w:val="009E3DF1"/>
    <w:rsid w:val="009E6319"/>
    <w:rsid w:val="009E688F"/>
    <w:rsid w:val="009F448F"/>
    <w:rsid w:val="009F4530"/>
    <w:rsid w:val="009F4FAB"/>
    <w:rsid w:val="00A04A8A"/>
    <w:rsid w:val="00A06F6C"/>
    <w:rsid w:val="00A11492"/>
    <w:rsid w:val="00A121FC"/>
    <w:rsid w:val="00A1419E"/>
    <w:rsid w:val="00A17080"/>
    <w:rsid w:val="00A20DB2"/>
    <w:rsid w:val="00A21B07"/>
    <w:rsid w:val="00A22445"/>
    <w:rsid w:val="00A32C66"/>
    <w:rsid w:val="00A3372C"/>
    <w:rsid w:val="00A3390C"/>
    <w:rsid w:val="00A34830"/>
    <w:rsid w:val="00A36E6B"/>
    <w:rsid w:val="00A40778"/>
    <w:rsid w:val="00A4089F"/>
    <w:rsid w:val="00A40AC7"/>
    <w:rsid w:val="00A40BB3"/>
    <w:rsid w:val="00A41CB8"/>
    <w:rsid w:val="00A43D11"/>
    <w:rsid w:val="00A52EC2"/>
    <w:rsid w:val="00A57AD7"/>
    <w:rsid w:val="00A61101"/>
    <w:rsid w:val="00A61EC9"/>
    <w:rsid w:val="00A63052"/>
    <w:rsid w:val="00A73009"/>
    <w:rsid w:val="00A75780"/>
    <w:rsid w:val="00A7597C"/>
    <w:rsid w:val="00A75AA6"/>
    <w:rsid w:val="00A8191E"/>
    <w:rsid w:val="00A83EA4"/>
    <w:rsid w:val="00A85B83"/>
    <w:rsid w:val="00A9157C"/>
    <w:rsid w:val="00A92334"/>
    <w:rsid w:val="00A93705"/>
    <w:rsid w:val="00A93EE7"/>
    <w:rsid w:val="00A95284"/>
    <w:rsid w:val="00A96D53"/>
    <w:rsid w:val="00AA043D"/>
    <w:rsid w:val="00AA13D9"/>
    <w:rsid w:val="00AA3964"/>
    <w:rsid w:val="00AA4D8A"/>
    <w:rsid w:val="00AA51D1"/>
    <w:rsid w:val="00AB0DA0"/>
    <w:rsid w:val="00AB1521"/>
    <w:rsid w:val="00AB3512"/>
    <w:rsid w:val="00AB5D7A"/>
    <w:rsid w:val="00AC300A"/>
    <w:rsid w:val="00AD7A67"/>
    <w:rsid w:val="00AE0264"/>
    <w:rsid w:val="00AE0BAD"/>
    <w:rsid w:val="00AE36B8"/>
    <w:rsid w:val="00AE3967"/>
    <w:rsid w:val="00AE61C7"/>
    <w:rsid w:val="00AF0774"/>
    <w:rsid w:val="00AF2542"/>
    <w:rsid w:val="00AF3D0B"/>
    <w:rsid w:val="00AF412F"/>
    <w:rsid w:val="00AF5E60"/>
    <w:rsid w:val="00AF6676"/>
    <w:rsid w:val="00B0054D"/>
    <w:rsid w:val="00B041D9"/>
    <w:rsid w:val="00B056BA"/>
    <w:rsid w:val="00B07981"/>
    <w:rsid w:val="00B12F33"/>
    <w:rsid w:val="00B14C9D"/>
    <w:rsid w:val="00B16C8A"/>
    <w:rsid w:val="00B16EEC"/>
    <w:rsid w:val="00B206A4"/>
    <w:rsid w:val="00B2624E"/>
    <w:rsid w:val="00B274E5"/>
    <w:rsid w:val="00B27662"/>
    <w:rsid w:val="00B3022C"/>
    <w:rsid w:val="00B327DA"/>
    <w:rsid w:val="00B36781"/>
    <w:rsid w:val="00B36E47"/>
    <w:rsid w:val="00B401D0"/>
    <w:rsid w:val="00B41696"/>
    <w:rsid w:val="00B44EF2"/>
    <w:rsid w:val="00B5373F"/>
    <w:rsid w:val="00B53CB5"/>
    <w:rsid w:val="00B54A6C"/>
    <w:rsid w:val="00B626BD"/>
    <w:rsid w:val="00B62B4B"/>
    <w:rsid w:val="00B64EE2"/>
    <w:rsid w:val="00B703B9"/>
    <w:rsid w:val="00B70AF0"/>
    <w:rsid w:val="00B7733A"/>
    <w:rsid w:val="00B77DE4"/>
    <w:rsid w:val="00B8012C"/>
    <w:rsid w:val="00B815B2"/>
    <w:rsid w:val="00B84CE1"/>
    <w:rsid w:val="00B86A85"/>
    <w:rsid w:val="00B87814"/>
    <w:rsid w:val="00B94036"/>
    <w:rsid w:val="00B94FB8"/>
    <w:rsid w:val="00B95B49"/>
    <w:rsid w:val="00B979B1"/>
    <w:rsid w:val="00BA03EC"/>
    <w:rsid w:val="00BA0AE9"/>
    <w:rsid w:val="00BA652C"/>
    <w:rsid w:val="00BB7053"/>
    <w:rsid w:val="00BB7904"/>
    <w:rsid w:val="00BC12A1"/>
    <w:rsid w:val="00BC2117"/>
    <w:rsid w:val="00BC44D0"/>
    <w:rsid w:val="00BC6008"/>
    <w:rsid w:val="00BC620F"/>
    <w:rsid w:val="00BC6371"/>
    <w:rsid w:val="00BD21AA"/>
    <w:rsid w:val="00BD3F1B"/>
    <w:rsid w:val="00BE2D7F"/>
    <w:rsid w:val="00BE4C08"/>
    <w:rsid w:val="00BE5D9D"/>
    <w:rsid w:val="00BE6DDE"/>
    <w:rsid w:val="00BF652C"/>
    <w:rsid w:val="00C0147F"/>
    <w:rsid w:val="00C01BC3"/>
    <w:rsid w:val="00C03D86"/>
    <w:rsid w:val="00C122E7"/>
    <w:rsid w:val="00C17DE8"/>
    <w:rsid w:val="00C20260"/>
    <w:rsid w:val="00C22CBF"/>
    <w:rsid w:val="00C24377"/>
    <w:rsid w:val="00C275B8"/>
    <w:rsid w:val="00C3132A"/>
    <w:rsid w:val="00C32C22"/>
    <w:rsid w:val="00C34E7F"/>
    <w:rsid w:val="00C362E2"/>
    <w:rsid w:val="00C36B3A"/>
    <w:rsid w:val="00C40EED"/>
    <w:rsid w:val="00C412FE"/>
    <w:rsid w:val="00C41336"/>
    <w:rsid w:val="00C45BE4"/>
    <w:rsid w:val="00C4667F"/>
    <w:rsid w:val="00C4675D"/>
    <w:rsid w:val="00C47015"/>
    <w:rsid w:val="00C540D3"/>
    <w:rsid w:val="00C62B2A"/>
    <w:rsid w:val="00C64F6C"/>
    <w:rsid w:val="00C6626B"/>
    <w:rsid w:val="00C75B78"/>
    <w:rsid w:val="00C83324"/>
    <w:rsid w:val="00C834AA"/>
    <w:rsid w:val="00C8434B"/>
    <w:rsid w:val="00C846DC"/>
    <w:rsid w:val="00C85040"/>
    <w:rsid w:val="00C87310"/>
    <w:rsid w:val="00C94327"/>
    <w:rsid w:val="00C97102"/>
    <w:rsid w:val="00CA1061"/>
    <w:rsid w:val="00CA3EAE"/>
    <w:rsid w:val="00CB340C"/>
    <w:rsid w:val="00CB520A"/>
    <w:rsid w:val="00CB69B3"/>
    <w:rsid w:val="00CB6E84"/>
    <w:rsid w:val="00CC05E8"/>
    <w:rsid w:val="00CC0626"/>
    <w:rsid w:val="00CD6B92"/>
    <w:rsid w:val="00CD6EE6"/>
    <w:rsid w:val="00CD720D"/>
    <w:rsid w:val="00CE0A4E"/>
    <w:rsid w:val="00CE642F"/>
    <w:rsid w:val="00CF5155"/>
    <w:rsid w:val="00CF5327"/>
    <w:rsid w:val="00CF7199"/>
    <w:rsid w:val="00D00EB6"/>
    <w:rsid w:val="00D033C6"/>
    <w:rsid w:val="00D04AE1"/>
    <w:rsid w:val="00D125E0"/>
    <w:rsid w:val="00D12CA2"/>
    <w:rsid w:val="00D13458"/>
    <w:rsid w:val="00D17A87"/>
    <w:rsid w:val="00D200F3"/>
    <w:rsid w:val="00D20C9E"/>
    <w:rsid w:val="00D27BEC"/>
    <w:rsid w:val="00D33CF2"/>
    <w:rsid w:val="00D34E24"/>
    <w:rsid w:val="00D36270"/>
    <w:rsid w:val="00D41125"/>
    <w:rsid w:val="00D42FF8"/>
    <w:rsid w:val="00D44608"/>
    <w:rsid w:val="00D4467D"/>
    <w:rsid w:val="00D45C3D"/>
    <w:rsid w:val="00D46B32"/>
    <w:rsid w:val="00D55723"/>
    <w:rsid w:val="00D55A62"/>
    <w:rsid w:val="00D614AA"/>
    <w:rsid w:val="00D63C05"/>
    <w:rsid w:val="00D64F56"/>
    <w:rsid w:val="00D654C8"/>
    <w:rsid w:val="00D66064"/>
    <w:rsid w:val="00D66342"/>
    <w:rsid w:val="00D701C7"/>
    <w:rsid w:val="00D76BA4"/>
    <w:rsid w:val="00D800B6"/>
    <w:rsid w:val="00D81077"/>
    <w:rsid w:val="00D815B5"/>
    <w:rsid w:val="00D82B0C"/>
    <w:rsid w:val="00D84EC6"/>
    <w:rsid w:val="00D91232"/>
    <w:rsid w:val="00D95D91"/>
    <w:rsid w:val="00DA323F"/>
    <w:rsid w:val="00DA420A"/>
    <w:rsid w:val="00DA5671"/>
    <w:rsid w:val="00DA69AD"/>
    <w:rsid w:val="00DA6CA3"/>
    <w:rsid w:val="00DB2764"/>
    <w:rsid w:val="00DB3FDD"/>
    <w:rsid w:val="00DB58F4"/>
    <w:rsid w:val="00DB59FB"/>
    <w:rsid w:val="00DB5E07"/>
    <w:rsid w:val="00DC07DE"/>
    <w:rsid w:val="00DC4557"/>
    <w:rsid w:val="00DC60A3"/>
    <w:rsid w:val="00DC64DD"/>
    <w:rsid w:val="00DC7362"/>
    <w:rsid w:val="00DD0FD2"/>
    <w:rsid w:val="00DD4B14"/>
    <w:rsid w:val="00DD671A"/>
    <w:rsid w:val="00DE1037"/>
    <w:rsid w:val="00DE199D"/>
    <w:rsid w:val="00DE2F80"/>
    <w:rsid w:val="00DF159B"/>
    <w:rsid w:val="00DF34B7"/>
    <w:rsid w:val="00E023C6"/>
    <w:rsid w:val="00E1165B"/>
    <w:rsid w:val="00E12D48"/>
    <w:rsid w:val="00E2198C"/>
    <w:rsid w:val="00E2603C"/>
    <w:rsid w:val="00E27369"/>
    <w:rsid w:val="00E27F64"/>
    <w:rsid w:val="00E30779"/>
    <w:rsid w:val="00E317F9"/>
    <w:rsid w:val="00E31E43"/>
    <w:rsid w:val="00E32F8A"/>
    <w:rsid w:val="00E33F1A"/>
    <w:rsid w:val="00E3685C"/>
    <w:rsid w:val="00E400CD"/>
    <w:rsid w:val="00E40A50"/>
    <w:rsid w:val="00E4346B"/>
    <w:rsid w:val="00E44F1E"/>
    <w:rsid w:val="00E5133F"/>
    <w:rsid w:val="00E5450B"/>
    <w:rsid w:val="00E54FF7"/>
    <w:rsid w:val="00E66E14"/>
    <w:rsid w:val="00E72DC8"/>
    <w:rsid w:val="00E73546"/>
    <w:rsid w:val="00E75704"/>
    <w:rsid w:val="00E75B9A"/>
    <w:rsid w:val="00E80008"/>
    <w:rsid w:val="00E8147E"/>
    <w:rsid w:val="00E823C0"/>
    <w:rsid w:val="00E83CE9"/>
    <w:rsid w:val="00E84310"/>
    <w:rsid w:val="00E859AC"/>
    <w:rsid w:val="00E85BF8"/>
    <w:rsid w:val="00E866E9"/>
    <w:rsid w:val="00E869DA"/>
    <w:rsid w:val="00E86F93"/>
    <w:rsid w:val="00E92A29"/>
    <w:rsid w:val="00E95119"/>
    <w:rsid w:val="00E95873"/>
    <w:rsid w:val="00E97328"/>
    <w:rsid w:val="00EA059C"/>
    <w:rsid w:val="00EA09A5"/>
    <w:rsid w:val="00EA0AB1"/>
    <w:rsid w:val="00EA263F"/>
    <w:rsid w:val="00EA2CED"/>
    <w:rsid w:val="00EA5032"/>
    <w:rsid w:val="00EB5B53"/>
    <w:rsid w:val="00EB670C"/>
    <w:rsid w:val="00EC0DF7"/>
    <w:rsid w:val="00ED07BD"/>
    <w:rsid w:val="00ED0D81"/>
    <w:rsid w:val="00ED262A"/>
    <w:rsid w:val="00ED2C8D"/>
    <w:rsid w:val="00ED38BB"/>
    <w:rsid w:val="00ED7648"/>
    <w:rsid w:val="00EE7B82"/>
    <w:rsid w:val="00EF1C79"/>
    <w:rsid w:val="00EF60EB"/>
    <w:rsid w:val="00F00E55"/>
    <w:rsid w:val="00F02EAC"/>
    <w:rsid w:val="00F063D4"/>
    <w:rsid w:val="00F064C2"/>
    <w:rsid w:val="00F070C5"/>
    <w:rsid w:val="00F12244"/>
    <w:rsid w:val="00F1508C"/>
    <w:rsid w:val="00F15552"/>
    <w:rsid w:val="00F20B0D"/>
    <w:rsid w:val="00F21097"/>
    <w:rsid w:val="00F23024"/>
    <w:rsid w:val="00F23E74"/>
    <w:rsid w:val="00F240CB"/>
    <w:rsid w:val="00F30F7D"/>
    <w:rsid w:val="00F42DBB"/>
    <w:rsid w:val="00F44900"/>
    <w:rsid w:val="00F45938"/>
    <w:rsid w:val="00F45AE7"/>
    <w:rsid w:val="00F46F32"/>
    <w:rsid w:val="00F512D5"/>
    <w:rsid w:val="00F56DDF"/>
    <w:rsid w:val="00F609C7"/>
    <w:rsid w:val="00F610CC"/>
    <w:rsid w:val="00F617DA"/>
    <w:rsid w:val="00F63DC0"/>
    <w:rsid w:val="00F67DE8"/>
    <w:rsid w:val="00F7137B"/>
    <w:rsid w:val="00F721B6"/>
    <w:rsid w:val="00F7557A"/>
    <w:rsid w:val="00F80080"/>
    <w:rsid w:val="00F80DC3"/>
    <w:rsid w:val="00F87DCE"/>
    <w:rsid w:val="00F90337"/>
    <w:rsid w:val="00F93209"/>
    <w:rsid w:val="00F94658"/>
    <w:rsid w:val="00F951E2"/>
    <w:rsid w:val="00F96A53"/>
    <w:rsid w:val="00FA0A99"/>
    <w:rsid w:val="00FA0E5B"/>
    <w:rsid w:val="00FA4ED5"/>
    <w:rsid w:val="00FB3BFF"/>
    <w:rsid w:val="00FB47A9"/>
    <w:rsid w:val="00FB6C6E"/>
    <w:rsid w:val="00FC2470"/>
    <w:rsid w:val="00FC378F"/>
    <w:rsid w:val="00FD1DF1"/>
    <w:rsid w:val="00FD3270"/>
    <w:rsid w:val="00FD48B0"/>
    <w:rsid w:val="00FD5FC5"/>
    <w:rsid w:val="00FE0A5F"/>
    <w:rsid w:val="00FE0ED4"/>
    <w:rsid w:val="00FE1D56"/>
    <w:rsid w:val="00FE1E4D"/>
    <w:rsid w:val="00FE3262"/>
    <w:rsid w:val="00FE526C"/>
    <w:rsid w:val="00FE543F"/>
    <w:rsid w:val="00FE59DA"/>
    <w:rsid w:val="00FF2599"/>
    <w:rsid w:val="00FF27C1"/>
    <w:rsid w:val="00FF2D09"/>
    <w:rsid w:val="00FF319E"/>
    <w:rsid w:val="00FF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938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link w:val="BodyTextIndent2Char"/>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 w:type="paragraph" w:styleId="NoSpacing">
    <w:name w:val="No Spacing"/>
    <w:uiPriority w:val="1"/>
    <w:qFormat/>
    <w:rsid w:val="00CF5155"/>
    <w:rPr>
      <w:rFonts w:ascii="Arial" w:eastAsiaTheme="minorHAnsi" w:hAnsi="Arial" w:cs="Arial"/>
    </w:rPr>
  </w:style>
  <w:style w:type="paragraph" w:styleId="NormalWeb">
    <w:name w:val="Normal (Web)"/>
    <w:basedOn w:val="Normal"/>
    <w:uiPriority w:val="99"/>
    <w:unhideWhenUsed/>
    <w:rsid w:val="0018113E"/>
    <w:rPr>
      <w:rFonts w:eastAsiaTheme="minorHAnsi"/>
    </w:rPr>
  </w:style>
  <w:style w:type="character" w:customStyle="1" w:styleId="BodyTextIndent2Char">
    <w:name w:val="Body Text Indent 2 Char"/>
    <w:basedOn w:val="DefaultParagraphFont"/>
    <w:link w:val="BodyTextIndent2"/>
    <w:rsid w:val="007007AF"/>
    <w:rPr>
      <w:sz w:val="24"/>
      <w:szCs w:val="24"/>
    </w:rPr>
  </w:style>
  <w:style w:type="paragraph" w:customStyle="1" w:styleId="FigureHeading">
    <w:name w:val="Figure Heading"/>
    <w:basedOn w:val="Normal"/>
    <w:rsid w:val="001D7EE0"/>
    <w:pPr>
      <w:spacing w:before="100" w:beforeAutospacing="1" w:after="100" w:afterAutospacing="1" w:line="480" w:lineRule="auto"/>
    </w:pPr>
  </w:style>
  <w:style w:type="character" w:customStyle="1" w:styleId="HeaderChar">
    <w:name w:val="Header Char"/>
    <w:basedOn w:val="DefaultParagraphFont"/>
    <w:link w:val="Header"/>
    <w:uiPriority w:val="99"/>
    <w:rsid w:val="00AB0D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link w:val="BodyTextIndent2Char"/>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 w:type="paragraph" w:styleId="NoSpacing">
    <w:name w:val="No Spacing"/>
    <w:uiPriority w:val="1"/>
    <w:qFormat/>
    <w:rsid w:val="00CF5155"/>
    <w:rPr>
      <w:rFonts w:ascii="Arial" w:eastAsiaTheme="minorHAnsi" w:hAnsi="Arial" w:cs="Arial"/>
    </w:rPr>
  </w:style>
  <w:style w:type="paragraph" w:styleId="NormalWeb">
    <w:name w:val="Normal (Web)"/>
    <w:basedOn w:val="Normal"/>
    <w:uiPriority w:val="99"/>
    <w:unhideWhenUsed/>
    <w:rsid w:val="0018113E"/>
    <w:rPr>
      <w:rFonts w:eastAsiaTheme="minorHAnsi"/>
    </w:rPr>
  </w:style>
  <w:style w:type="character" w:customStyle="1" w:styleId="BodyTextIndent2Char">
    <w:name w:val="Body Text Indent 2 Char"/>
    <w:basedOn w:val="DefaultParagraphFont"/>
    <w:link w:val="BodyTextIndent2"/>
    <w:rsid w:val="007007AF"/>
    <w:rPr>
      <w:sz w:val="24"/>
      <w:szCs w:val="24"/>
    </w:rPr>
  </w:style>
  <w:style w:type="paragraph" w:customStyle="1" w:styleId="FigureHeading">
    <w:name w:val="Figure Heading"/>
    <w:basedOn w:val="Normal"/>
    <w:rsid w:val="001D7EE0"/>
    <w:pPr>
      <w:spacing w:before="100" w:beforeAutospacing="1" w:after="100" w:afterAutospacing="1" w:line="480" w:lineRule="auto"/>
    </w:pPr>
  </w:style>
  <w:style w:type="character" w:customStyle="1" w:styleId="HeaderChar">
    <w:name w:val="Header Char"/>
    <w:basedOn w:val="DefaultParagraphFont"/>
    <w:link w:val="Header"/>
    <w:uiPriority w:val="99"/>
    <w:rsid w:val="00AB0D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88205">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456336244">
      <w:bodyDiv w:val="1"/>
      <w:marLeft w:val="0"/>
      <w:marRight w:val="0"/>
      <w:marTop w:val="0"/>
      <w:marBottom w:val="0"/>
      <w:divBdr>
        <w:top w:val="none" w:sz="0" w:space="0" w:color="auto"/>
        <w:left w:val="none" w:sz="0" w:space="0" w:color="auto"/>
        <w:bottom w:val="none" w:sz="0" w:space="0" w:color="auto"/>
        <w:right w:val="none" w:sz="0" w:space="0" w:color="auto"/>
      </w:divBdr>
    </w:div>
    <w:div w:id="461465137">
      <w:bodyDiv w:val="1"/>
      <w:marLeft w:val="0"/>
      <w:marRight w:val="0"/>
      <w:marTop w:val="0"/>
      <w:marBottom w:val="0"/>
      <w:divBdr>
        <w:top w:val="none" w:sz="0" w:space="0" w:color="auto"/>
        <w:left w:val="none" w:sz="0" w:space="0" w:color="auto"/>
        <w:bottom w:val="none" w:sz="0" w:space="0" w:color="auto"/>
        <w:right w:val="none" w:sz="0" w:space="0" w:color="auto"/>
      </w:divBdr>
    </w:div>
    <w:div w:id="524758502">
      <w:bodyDiv w:val="1"/>
      <w:marLeft w:val="0"/>
      <w:marRight w:val="0"/>
      <w:marTop w:val="0"/>
      <w:marBottom w:val="0"/>
      <w:divBdr>
        <w:top w:val="none" w:sz="0" w:space="0" w:color="auto"/>
        <w:left w:val="none" w:sz="0" w:space="0" w:color="auto"/>
        <w:bottom w:val="none" w:sz="0" w:space="0" w:color="auto"/>
        <w:right w:val="none" w:sz="0" w:space="0" w:color="auto"/>
      </w:divBdr>
    </w:div>
    <w:div w:id="699891563">
      <w:bodyDiv w:val="1"/>
      <w:marLeft w:val="0"/>
      <w:marRight w:val="0"/>
      <w:marTop w:val="0"/>
      <w:marBottom w:val="0"/>
      <w:divBdr>
        <w:top w:val="none" w:sz="0" w:space="0" w:color="auto"/>
        <w:left w:val="none" w:sz="0" w:space="0" w:color="auto"/>
        <w:bottom w:val="none" w:sz="0" w:space="0" w:color="auto"/>
        <w:right w:val="none" w:sz="0" w:space="0" w:color="auto"/>
      </w:divBdr>
    </w:div>
    <w:div w:id="806170092">
      <w:bodyDiv w:val="1"/>
      <w:marLeft w:val="0"/>
      <w:marRight w:val="0"/>
      <w:marTop w:val="0"/>
      <w:marBottom w:val="0"/>
      <w:divBdr>
        <w:top w:val="none" w:sz="0" w:space="0" w:color="auto"/>
        <w:left w:val="none" w:sz="0" w:space="0" w:color="auto"/>
        <w:bottom w:val="none" w:sz="0" w:space="0" w:color="auto"/>
        <w:right w:val="none" w:sz="0" w:space="0" w:color="auto"/>
      </w:divBdr>
    </w:div>
    <w:div w:id="831139190">
      <w:bodyDiv w:val="1"/>
      <w:marLeft w:val="0"/>
      <w:marRight w:val="0"/>
      <w:marTop w:val="0"/>
      <w:marBottom w:val="0"/>
      <w:divBdr>
        <w:top w:val="none" w:sz="0" w:space="0" w:color="auto"/>
        <w:left w:val="none" w:sz="0" w:space="0" w:color="auto"/>
        <w:bottom w:val="none" w:sz="0" w:space="0" w:color="auto"/>
        <w:right w:val="none" w:sz="0" w:space="0" w:color="auto"/>
      </w:divBdr>
    </w:div>
    <w:div w:id="1022971146">
      <w:bodyDiv w:val="1"/>
      <w:marLeft w:val="0"/>
      <w:marRight w:val="0"/>
      <w:marTop w:val="0"/>
      <w:marBottom w:val="0"/>
      <w:divBdr>
        <w:top w:val="none" w:sz="0" w:space="0" w:color="auto"/>
        <w:left w:val="none" w:sz="0" w:space="0" w:color="auto"/>
        <w:bottom w:val="none" w:sz="0" w:space="0" w:color="auto"/>
        <w:right w:val="none" w:sz="0" w:space="0" w:color="auto"/>
      </w:divBdr>
    </w:div>
    <w:div w:id="1051881203">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083797527">
      <w:bodyDiv w:val="1"/>
      <w:marLeft w:val="0"/>
      <w:marRight w:val="0"/>
      <w:marTop w:val="0"/>
      <w:marBottom w:val="0"/>
      <w:divBdr>
        <w:top w:val="none" w:sz="0" w:space="0" w:color="auto"/>
        <w:left w:val="none" w:sz="0" w:space="0" w:color="auto"/>
        <w:bottom w:val="none" w:sz="0" w:space="0" w:color="auto"/>
        <w:right w:val="none" w:sz="0" w:space="0" w:color="auto"/>
      </w:divBdr>
    </w:div>
    <w:div w:id="1118572802">
      <w:bodyDiv w:val="1"/>
      <w:marLeft w:val="0"/>
      <w:marRight w:val="0"/>
      <w:marTop w:val="0"/>
      <w:marBottom w:val="0"/>
      <w:divBdr>
        <w:top w:val="none" w:sz="0" w:space="0" w:color="auto"/>
        <w:left w:val="none" w:sz="0" w:space="0" w:color="auto"/>
        <w:bottom w:val="none" w:sz="0" w:space="0" w:color="auto"/>
        <w:right w:val="none" w:sz="0" w:space="0" w:color="auto"/>
      </w:divBdr>
    </w:div>
    <w:div w:id="1310672995">
      <w:bodyDiv w:val="1"/>
      <w:marLeft w:val="0"/>
      <w:marRight w:val="0"/>
      <w:marTop w:val="0"/>
      <w:marBottom w:val="0"/>
      <w:divBdr>
        <w:top w:val="none" w:sz="0" w:space="0" w:color="auto"/>
        <w:left w:val="none" w:sz="0" w:space="0" w:color="auto"/>
        <w:bottom w:val="none" w:sz="0" w:space="0" w:color="auto"/>
        <w:right w:val="none" w:sz="0" w:space="0" w:color="auto"/>
      </w:divBdr>
    </w:div>
    <w:div w:id="1460613411">
      <w:bodyDiv w:val="1"/>
      <w:marLeft w:val="0"/>
      <w:marRight w:val="0"/>
      <w:marTop w:val="0"/>
      <w:marBottom w:val="0"/>
      <w:divBdr>
        <w:top w:val="none" w:sz="0" w:space="0" w:color="auto"/>
        <w:left w:val="none" w:sz="0" w:space="0" w:color="auto"/>
        <w:bottom w:val="none" w:sz="0" w:space="0" w:color="auto"/>
        <w:right w:val="none" w:sz="0" w:space="0" w:color="auto"/>
      </w:divBdr>
    </w:div>
    <w:div w:id="1463769448">
      <w:bodyDiv w:val="1"/>
      <w:marLeft w:val="0"/>
      <w:marRight w:val="0"/>
      <w:marTop w:val="0"/>
      <w:marBottom w:val="0"/>
      <w:divBdr>
        <w:top w:val="none" w:sz="0" w:space="0" w:color="auto"/>
        <w:left w:val="none" w:sz="0" w:space="0" w:color="auto"/>
        <w:bottom w:val="none" w:sz="0" w:space="0" w:color="auto"/>
        <w:right w:val="none" w:sz="0" w:space="0" w:color="auto"/>
      </w:divBdr>
    </w:div>
    <w:div w:id="1491482764">
      <w:bodyDiv w:val="1"/>
      <w:marLeft w:val="0"/>
      <w:marRight w:val="0"/>
      <w:marTop w:val="0"/>
      <w:marBottom w:val="0"/>
      <w:divBdr>
        <w:top w:val="none" w:sz="0" w:space="0" w:color="auto"/>
        <w:left w:val="none" w:sz="0" w:space="0" w:color="auto"/>
        <w:bottom w:val="none" w:sz="0" w:space="0" w:color="auto"/>
        <w:right w:val="none" w:sz="0" w:space="0" w:color="auto"/>
      </w:divBdr>
    </w:div>
    <w:div w:id="1598635759">
      <w:bodyDiv w:val="1"/>
      <w:marLeft w:val="0"/>
      <w:marRight w:val="0"/>
      <w:marTop w:val="0"/>
      <w:marBottom w:val="0"/>
      <w:divBdr>
        <w:top w:val="none" w:sz="0" w:space="0" w:color="auto"/>
        <w:left w:val="none" w:sz="0" w:space="0" w:color="auto"/>
        <w:bottom w:val="none" w:sz="0" w:space="0" w:color="auto"/>
        <w:right w:val="none" w:sz="0" w:space="0" w:color="auto"/>
      </w:divBdr>
    </w:div>
    <w:div w:id="1606839909">
      <w:bodyDiv w:val="1"/>
      <w:marLeft w:val="0"/>
      <w:marRight w:val="0"/>
      <w:marTop w:val="0"/>
      <w:marBottom w:val="0"/>
      <w:divBdr>
        <w:top w:val="none" w:sz="0" w:space="0" w:color="auto"/>
        <w:left w:val="none" w:sz="0" w:space="0" w:color="auto"/>
        <w:bottom w:val="none" w:sz="0" w:space="0" w:color="auto"/>
        <w:right w:val="none" w:sz="0" w:space="0" w:color="auto"/>
      </w:divBdr>
    </w:div>
    <w:div w:id="1823615084">
      <w:bodyDiv w:val="1"/>
      <w:marLeft w:val="0"/>
      <w:marRight w:val="0"/>
      <w:marTop w:val="0"/>
      <w:marBottom w:val="0"/>
      <w:divBdr>
        <w:top w:val="none" w:sz="0" w:space="0" w:color="auto"/>
        <w:left w:val="none" w:sz="0" w:space="0" w:color="auto"/>
        <w:bottom w:val="none" w:sz="0" w:space="0" w:color="auto"/>
        <w:right w:val="none" w:sz="0" w:space="0" w:color="auto"/>
      </w:divBdr>
    </w:div>
    <w:div w:id="1979875189">
      <w:bodyDiv w:val="1"/>
      <w:marLeft w:val="0"/>
      <w:marRight w:val="0"/>
      <w:marTop w:val="0"/>
      <w:marBottom w:val="0"/>
      <w:divBdr>
        <w:top w:val="none" w:sz="0" w:space="0" w:color="auto"/>
        <w:left w:val="none" w:sz="0" w:space="0" w:color="auto"/>
        <w:bottom w:val="none" w:sz="0" w:space="0" w:color="auto"/>
        <w:right w:val="none" w:sz="0" w:space="0" w:color="auto"/>
      </w:divBdr>
    </w:div>
    <w:div w:id="2031833346">
      <w:bodyDiv w:val="1"/>
      <w:marLeft w:val="0"/>
      <w:marRight w:val="0"/>
      <w:marTop w:val="0"/>
      <w:marBottom w:val="0"/>
      <w:divBdr>
        <w:top w:val="none" w:sz="0" w:space="0" w:color="auto"/>
        <w:left w:val="none" w:sz="0" w:space="0" w:color="auto"/>
        <w:bottom w:val="none" w:sz="0" w:space="0" w:color="auto"/>
        <w:right w:val="none" w:sz="0" w:space="0" w:color="auto"/>
      </w:divBdr>
    </w:div>
    <w:div w:id="2050958017">
      <w:bodyDiv w:val="1"/>
      <w:marLeft w:val="0"/>
      <w:marRight w:val="0"/>
      <w:marTop w:val="0"/>
      <w:marBottom w:val="0"/>
      <w:divBdr>
        <w:top w:val="none" w:sz="0" w:space="0" w:color="auto"/>
        <w:left w:val="none" w:sz="0" w:space="0" w:color="auto"/>
        <w:bottom w:val="none" w:sz="0" w:space="0" w:color="auto"/>
        <w:right w:val="none" w:sz="0" w:space="0" w:color="auto"/>
      </w:divBdr>
    </w:div>
    <w:div w:id="2119131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08939-0B54-4EB1-A4E7-60321504CB3F}">
  <ds:schemaRefs>
    <ds:schemaRef ds:uri="http://schemas.openxmlformats.org/officeDocument/2006/bibliography"/>
  </ds:schemaRefs>
</ds:datastoreItem>
</file>

<file path=customXml/itemProps2.xml><?xml version="1.0" encoding="utf-8"?>
<ds:datastoreItem xmlns:ds="http://schemas.openxmlformats.org/officeDocument/2006/customXml" ds:itemID="{9A00EC18-DFCF-4D48-94F0-17908A60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3446</Words>
  <Characters>19647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23047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subject/>
  <dc:creator>Murphy, Peggy - BLS</dc:creator>
  <cp:keywords/>
  <dc:description/>
  <cp:lastModifiedBy>SYSTEM</cp:lastModifiedBy>
  <cp:revision>2</cp:revision>
  <cp:lastPrinted>2010-08-16T12:03:00Z</cp:lastPrinted>
  <dcterms:created xsi:type="dcterms:W3CDTF">2019-05-23T19:21:00Z</dcterms:created>
  <dcterms:modified xsi:type="dcterms:W3CDTF">2019-05-23T19:21:00Z</dcterms:modified>
</cp:coreProperties>
</file>