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13C45" w14:textId="77777777" w:rsidR="00E24989" w:rsidRDefault="00E24989" w:rsidP="00E24989">
      <w:pPr>
        <w:pStyle w:val="Heading1"/>
      </w:pPr>
      <w:bookmarkStart w:id="0" w:name="_GoBack"/>
      <w:bookmarkEnd w:id="0"/>
      <w:r>
        <w:t>Attachment 6—Report on the Effectiveness of Incentives</w:t>
      </w:r>
    </w:p>
    <w:p w14:paraId="262248D8" w14:textId="77777777" w:rsidR="00E24989" w:rsidRDefault="00E24989" w:rsidP="009755BA">
      <w:pPr>
        <w:spacing w:after="120" w:line="276" w:lineRule="auto"/>
        <w:rPr>
          <w:rFonts w:ascii="Times New Roman" w:hAnsi="Times New Roman" w:cs="Times New Roman"/>
          <w:b/>
        </w:rPr>
      </w:pPr>
    </w:p>
    <w:p w14:paraId="00AEF20A" w14:textId="77777777" w:rsidR="00634B2F" w:rsidRPr="00B25B62" w:rsidRDefault="00867452" w:rsidP="009755BA">
      <w:pPr>
        <w:spacing w:after="120" w:line="276" w:lineRule="auto"/>
        <w:rPr>
          <w:rFonts w:ascii="Times New Roman" w:hAnsi="Times New Roman" w:cs="Times New Roman"/>
          <w:b/>
        </w:rPr>
      </w:pPr>
      <w:r w:rsidRPr="00B25B62">
        <w:rPr>
          <w:rFonts w:ascii="Times New Roman" w:hAnsi="Times New Roman" w:cs="Times New Roman"/>
          <w:b/>
        </w:rPr>
        <w:t>R18 Incentive Structure Report</w:t>
      </w:r>
    </w:p>
    <w:p w14:paraId="52881850" w14:textId="0D5B9E50" w:rsidR="00867452" w:rsidRPr="00B25B62" w:rsidRDefault="006E3160" w:rsidP="009755BA">
      <w:pPr>
        <w:spacing w:after="120" w:line="276" w:lineRule="auto"/>
        <w:rPr>
          <w:rFonts w:ascii="Times New Roman" w:hAnsi="Times New Roman" w:cs="Times New Roman"/>
        </w:rPr>
      </w:pPr>
      <w:r>
        <w:rPr>
          <w:rFonts w:ascii="Times New Roman" w:hAnsi="Times New Roman" w:cs="Times New Roman"/>
        </w:rPr>
        <w:t xml:space="preserve">February </w:t>
      </w:r>
      <w:r w:rsidR="00153661">
        <w:rPr>
          <w:rFonts w:ascii="Times New Roman" w:hAnsi="Times New Roman" w:cs="Times New Roman"/>
        </w:rPr>
        <w:t>7</w:t>
      </w:r>
      <w:r w:rsidR="00867452" w:rsidRPr="00B25B62">
        <w:rPr>
          <w:rFonts w:ascii="Times New Roman" w:hAnsi="Times New Roman" w:cs="Times New Roman"/>
        </w:rPr>
        <w:t>, 2019</w:t>
      </w:r>
    </w:p>
    <w:p w14:paraId="4A19951F" w14:textId="569FF056" w:rsidR="00867452" w:rsidRPr="00B25B62" w:rsidRDefault="00E24989" w:rsidP="00E24989">
      <w:pPr>
        <w:tabs>
          <w:tab w:val="left" w:pos="2016"/>
        </w:tabs>
        <w:spacing w:after="120" w:line="276" w:lineRule="auto"/>
        <w:rPr>
          <w:rFonts w:ascii="Times New Roman" w:hAnsi="Times New Roman" w:cs="Times New Roman"/>
        </w:rPr>
      </w:pPr>
      <w:r>
        <w:rPr>
          <w:rFonts w:ascii="Times New Roman" w:hAnsi="Times New Roman" w:cs="Times New Roman"/>
        </w:rPr>
        <w:tab/>
      </w:r>
    </w:p>
    <w:p w14:paraId="3BCD01E7" w14:textId="1529581D" w:rsidR="004615EC" w:rsidRPr="00B25B62" w:rsidRDefault="004615EC" w:rsidP="009755BA">
      <w:pPr>
        <w:pStyle w:val="ListParagraph"/>
        <w:numPr>
          <w:ilvl w:val="0"/>
          <w:numId w:val="6"/>
        </w:numPr>
        <w:spacing w:after="120" w:line="276" w:lineRule="auto"/>
        <w:rPr>
          <w:rFonts w:ascii="Times New Roman" w:hAnsi="Times New Roman" w:cs="Times New Roman"/>
          <w:b/>
        </w:rPr>
      </w:pPr>
      <w:r w:rsidRPr="00B25B62">
        <w:rPr>
          <w:rFonts w:ascii="Times New Roman" w:hAnsi="Times New Roman" w:cs="Times New Roman"/>
          <w:b/>
        </w:rPr>
        <w:t>Introduction</w:t>
      </w:r>
    </w:p>
    <w:p w14:paraId="7ED2ACEF" w14:textId="496F261C" w:rsidR="00FB39B3" w:rsidRPr="00B25B62" w:rsidRDefault="00FB39B3" w:rsidP="009755BA">
      <w:pPr>
        <w:spacing w:after="120" w:line="276" w:lineRule="auto"/>
        <w:rPr>
          <w:rFonts w:ascii="Times New Roman" w:hAnsi="Times New Roman" w:cs="Times New Roman"/>
        </w:rPr>
      </w:pPr>
      <w:r w:rsidRPr="00B25B62">
        <w:rPr>
          <w:rFonts w:ascii="Times New Roman" w:hAnsi="Times New Roman" w:cs="Times New Roman"/>
        </w:rPr>
        <w:t xml:space="preserve">This report summarizes </w:t>
      </w:r>
      <w:r w:rsidR="004615EC" w:rsidRPr="00B25B62">
        <w:rPr>
          <w:rFonts w:ascii="Times New Roman" w:hAnsi="Times New Roman" w:cs="Times New Roman"/>
        </w:rPr>
        <w:t xml:space="preserve">incentives that were implemented in Round 18 of the NLSY97.  Each section describes a specific </w:t>
      </w:r>
      <w:r w:rsidR="00B20B5B" w:rsidRPr="00B25B62">
        <w:rPr>
          <w:rFonts w:ascii="Times New Roman" w:hAnsi="Times New Roman" w:cs="Times New Roman"/>
        </w:rPr>
        <w:t xml:space="preserve">incentive that was paid in the round, and what analyses we have performed to understand the effect of the incentives.  If there were any specific experiments conducted during data collection, we specifically describe the results of these experiments in their own subsection. </w:t>
      </w:r>
    </w:p>
    <w:p w14:paraId="73414D8C" w14:textId="77777777" w:rsidR="00867452" w:rsidRPr="00B25B62" w:rsidRDefault="00867452" w:rsidP="009755BA">
      <w:pPr>
        <w:spacing w:after="120" w:line="276" w:lineRule="auto"/>
        <w:rPr>
          <w:rFonts w:ascii="Times New Roman" w:hAnsi="Times New Roman" w:cs="Times New Roman"/>
        </w:rPr>
      </w:pPr>
    </w:p>
    <w:p w14:paraId="52FE9DD4" w14:textId="058BEE77" w:rsidR="004615EC" w:rsidRPr="00B25B62" w:rsidRDefault="00634B2F" w:rsidP="009755BA">
      <w:pPr>
        <w:pStyle w:val="ListParagraph"/>
        <w:numPr>
          <w:ilvl w:val="0"/>
          <w:numId w:val="6"/>
        </w:numPr>
        <w:spacing w:after="120" w:line="276" w:lineRule="auto"/>
        <w:rPr>
          <w:rFonts w:ascii="Times New Roman" w:hAnsi="Times New Roman" w:cs="Times New Roman"/>
          <w:b/>
        </w:rPr>
      </w:pPr>
      <w:r w:rsidRPr="00B25B62">
        <w:rPr>
          <w:rFonts w:ascii="Times New Roman" w:hAnsi="Times New Roman" w:cs="Times New Roman"/>
          <w:b/>
        </w:rPr>
        <w:t xml:space="preserve">Early Bird Completion </w:t>
      </w:r>
    </w:p>
    <w:p w14:paraId="3673D4EA" w14:textId="77777777" w:rsidR="004615EC" w:rsidRPr="00B25B62" w:rsidRDefault="004615EC" w:rsidP="009755BA">
      <w:pPr>
        <w:pStyle w:val="ListParagraph"/>
        <w:spacing w:before="100" w:beforeAutospacing="1" w:after="120" w:line="276" w:lineRule="auto"/>
        <w:ind w:left="0"/>
        <w:rPr>
          <w:rFonts w:ascii="Times New Roman" w:hAnsi="Times New Roman" w:cs="Times New Roman"/>
          <w:i/>
        </w:rPr>
      </w:pPr>
    </w:p>
    <w:p w14:paraId="7DBA8257" w14:textId="3B75C57F" w:rsidR="004615EC" w:rsidRPr="00B25B62" w:rsidRDefault="004615EC" w:rsidP="00F62AE7">
      <w:pPr>
        <w:pStyle w:val="ListParagraph"/>
        <w:numPr>
          <w:ilvl w:val="1"/>
          <w:numId w:val="6"/>
        </w:numPr>
        <w:spacing w:before="100" w:beforeAutospacing="1" w:after="120" w:line="276" w:lineRule="auto"/>
        <w:rPr>
          <w:rFonts w:ascii="Times New Roman" w:hAnsi="Times New Roman" w:cs="Times New Roman"/>
          <w:i/>
        </w:rPr>
      </w:pPr>
      <w:r w:rsidRPr="00B25B62">
        <w:rPr>
          <w:rFonts w:ascii="Times New Roman" w:hAnsi="Times New Roman" w:cs="Times New Roman"/>
          <w:i/>
        </w:rPr>
        <w:t>Summary</w:t>
      </w:r>
    </w:p>
    <w:p w14:paraId="3ADA6276" w14:textId="772741C8" w:rsidR="004615EC" w:rsidRPr="00B25B62" w:rsidRDefault="004615EC" w:rsidP="009755BA">
      <w:pPr>
        <w:spacing w:after="120" w:line="276" w:lineRule="auto"/>
        <w:rPr>
          <w:rFonts w:ascii="Times New Roman" w:hAnsi="Times New Roman" w:cs="Times New Roman"/>
        </w:rPr>
      </w:pPr>
      <w:r w:rsidRPr="00B25B62">
        <w:rPr>
          <w:rFonts w:ascii="Times New Roman" w:hAnsi="Times New Roman" w:cs="Times New Roman"/>
        </w:rPr>
        <w:t>In moving to predominantly telephone data collection, we adopted the Early Bird incentive structure, which has been well-honed on the NLSY79. The premise of the Early Bird premium is to offer respondents the opportunity to call us rather than require us to expend resources to seek them out and gain their cooperation.  We split the monetary benefits of the reduced effort by allocating a ‘premium’ to the respondent incentive above the base fee of $40.</w:t>
      </w:r>
    </w:p>
    <w:p w14:paraId="76AD8427" w14:textId="644F3D90" w:rsidR="007F3DBE" w:rsidRDefault="004B118F" w:rsidP="007F3DBE">
      <w:pPr>
        <w:spacing w:after="120" w:line="276" w:lineRule="auto"/>
        <w:rPr>
          <w:rFonts w:ascii="Times New Roman" w:hAnsi="Times New Roman" w:cs="Times New Roman"/>
        </w:rPr>
      </w:pPr>
      <w:r>
        <w:rPr>
          <w:rFonts w:ascii="Times New Roman" w:hAnsi="Times New Roman" w:cs="Times New Roman"/>
        </w:rPr>
        <w:t>The early bird completion rate in Round 18 was r</w:t>
      </w:r>
      <w:r w:rsidR="004615EC" w:rsidRPr="00B25B62">
        <w:rPr>
          <w:rFonts w:ascii="Times New Roman" w:hAnsi="Times New Roman" w:cs="Times New Roman"/>
        </w:rPr>
        <w:t>ough</w:t>
      </w:r>
      <w:r>
        <w:rPr>
          <w:rFonts w:ascii="Times New Roman" w:hAnsi="Times New Roman" w:cs="Times New Roman"/>
        </w:rPr>
        <w:t>ly 27%</w:t>
      </w:r>
      <w:r w:rsidR="004615EC" w:rsidRPr="00B25B62">
        <w:rPr>
          <w:rFonts w:ascii="Times New Roman" w:hAnsi="Times New Roman" w:cs="Times New Roman"/>
        </w:rPr>
        <w:t xml:space="preserve">.  This number is much lower than our experience on the NLSY79, where for instance the early bird completion rate for Round 27 was </w:t>
      </w:r>
      <w:r w:rsidR="009077F4" w:rsidRPr="00B25B62">
        <w:rPr>
          <w:rFonts w:ascii="Times New Roman" w:hAnsi="Times New Roman" w:cs="Times New Roman"/>
        </w:rPr>
        <w:t>roughly 38%</w:t>
      </w:r>
      <w:r w:rsidR="004615EC" w:rsidRPr="00B25B62">
        <w:rPr>
          <w:rFonts w:ascii="Times New Roman" w:hAnsi="Times New Roman" w:cs="Times New Roman"/>
        </w:rPr>
        <w:t xml:space="preserve">.  </w:t>
      </w:r>
      <w:r w:rsidR="004B66C9">
        <w:rPr>
          <w:rFonts w:ascii="Times New Roman" w:hAnsi="Times New Roman" w:cs="Times New Roman"/>
        </w:rPr>
        <w:t>D</w:t>
      </w:r>
      <w:r w:rsidR="00C744CF">
        <w:rPr>
          <w:rFonts w:ascii="Times New Roman" w:hAnsi="Times New Roman" w:cs="Times New Roman"/>
        </w:rPr>
        <w:t>ifferences in the Early Bird incentive between the NLSY79 and NLSY97 make comparisons difficult</w:t>
      </w:r>
      <w:r w:rsidR="000A6706">
        <w:rPr>
          <w:rFonts w:ascii="Times New Roman" w:hAnsi="Times New Roman" w:cs="Times New Roman"/>
        </w:rPr>
        <w:t>.  In particular</w:t>
      </w:r>
      <w:r w:rsidR="007F3DBE">
        <w:rPr>
          <w:rFonts w:ascii="Times New Roman" w:hAnsi="Times New Roman" w:cs="Times New Roman"/>
        </w:rPr>
        <w:t xml:space="preserve">, the NLSY79 has used an Early Bird incentive for </w:t>
      </w:r>
      <w:r w:rsidR="00AB2B73">
        <w:rPr>
          <w:rFonts w:ascii="Times New Roman" w:hAnsi="Times New Roman" w:cs="Times New Roman"/>
        </w:rPr>
        <w:t>many</w:t>
      </w:r>
      <w:r w:rsidR="007F3DBE">
        <w:rPr>
          <w:rFonts w:ascii="Times New Roman" w:hAnsi="Times New Roman" w:cs="Times New Roman"/>
        </w:rPr>
        <w:t xml:space="preserve"> rounds, whereas Round 18 was the first round </w:t>
      </w:r>
      <w:r w:rsidR="008370C1">
        <w:rPr>
          <w:rFonts w:ascii="Times New Roman" w:hAnsi="Times New Roman" w:cs="Times New Roman"/>
        </w:rPr>
        <w:t>for</w:t>
      </w:r>
      <w:r w:rsidR="007F3DBE">
        <w:rPr>
          <w:rFonts w:ascii="Times New Roman" w:hAnsi="Times New Roman" w:cs="Times New Roman"/>
        </w:rPr>
        <w:t xml:space="preserve"> which the NLSY97 </w:t>
      </w:r>
      <w:r w:rsidR="004B66C9">
        <w:rPr>
          <w:rFonts w:ascii="Times New Roman" w:hAnsi="Times New Roman" w:cs="Times New Roman"/>
        </w:rPr>
        <w:t xml:space="preserve">offered </w:t>
      </w:r>
      <w:r w:rsidR="008370C1">
        <w:rPr>
          <w:rFonts w:ascii="Times New Roman" w:hAnsi="Times New Roman" w:cs="Times New Roman"/>
        </w:rPr>
        <w:t>an Early Bird</w:t>
      </w:r>
      <w:r w:rsidR="004B66C9">
        <w:rPr>
          <w:rFonts w:ascii="Times New Roman" w:hAnsi="Times New Roman" w:cs="Times New Roman"/>
        </w:rPr>
        <w:t xml:space="preserve"> incentive</w:t>
      </w:r>
      <w:r w:rsidR="007F3DBE">
        <w:rPr>
          <w:rFonts w:ascii="Times New Roman" w:hAnsi="Times New Roman" w:cs="Times New Roman"/>
        </w:rPr>
        <w:t>.  Therefore</w:t>
      </w:r>
      <w:r w:rsidR="00DD1767">
        <w:rPr>
          <w:rFonts w:ascii="Times New Roman" w:hAnsi="Times New Roman" w:cs="Times New Roman"/>
        </w:rPr>
        <w:t xml:space="preserve">, it may be that </w:t>
      </w:r>
      <w:r w:rsidR="007F3DBE">
        <w:rPr>
          <w:rFonts w:ascii="Times New Roman" w:hAnsi="Times New Roman" w:cs="Times New Roman"/>
        </w:rPr>
        <w:t xml:space="preserve">NLSY79 </w:t>
      </w:r>
      <w:r w:rsidR="00DD1767">
        <w:rPr>
          <w:rFonts w:ascii="Times New Roman" w:hAnsi="Times New Roman" w:cs="Times New Roman"/>
        </w:rPr>
        <w:t>respondents’</w:t>
      </w:r>
      <w:r w:rsidR="007F3DBE">
        <w:rPr>
          <w:rFonts w:ascii="Times New Roman" w:hAnsi="Times New Roman" w:cs="Times New Roman"/>
        </w:rPr>
        <w:t xml:space="preserve"> longer experience with the incentive leads to higher take up rates.  In addition, the Early Bird amount for Round 27 of the NLSY79 was </w:t>
      </w:r>
      <w:r w:rsidR="00AB2B73">
        <w:rPr>
          <w:rFonts w:ascii="Times New Roman" w:hAnsi="Times New Roman" w:cs="Times New Roman"/>
        </w:rPr>
        <w:t>$30</w:t>
      </w:r>
      <w:r w:rsidR="007F3DBE">
        <w:rPr>
          <w:rFonts w:ascii="Times New Roman" w:hAnsi="Times New Roman" w:cs="Times New Roman"/>
        </w:rPr>
        <w:t xml:space="preserve"> as opposed to the varying Early Bird amount for Round 18 shown below in Section 2.2.  </w:t>
      </w:r>
      <w:r w:rsidR="004B66C9">
        <w:rPr>
          <w:rFonts w:ascii="Times New Roman" w:hAnsi="Times New Roman" w:cs="Times New Roman"/>
        </w:rPr>
        <w:t xml:space="preserve">In addition, the base incentive Round 27 of the NLSY79 is higher than that in Round 18 of the NLSY97.  </w:t>
      </w:r>
      <w:r w:rsidR="00B51968">
        <w:rPr>
          <w:rFonts w:ascii="Times New Roman" w:hAnsi="Times New Roman" w:cs="Times New Roman"/>
        </w:rPr>
        <w:t>This</w:t>
      </w:r>
      <w:r w:rsidR="007F3DBE">
        <w:rPr>
          <w:rFonts w:ascii="Times New Roman" w:hAnsi="Times New Roman" w:cs="Times New Roman"/>
        </w:rPr>
        <w:t xml:space="preserve"> </w:t>
      </w:r>
      <w:r w:rsidR="004B66C9">
        <w:rPr>
          <w:rFonts w:ascii="Times New Roman" w:hAnsi="Times New Roman" w:cs="Times New Roman"/>
        </w:rPr>
        <w:t xml:space="preserve">difference </w:t>
      </w:r>
      <w:r w:rsidR="007F3DBE">
        <w:rPr>
          <w:rFonts w:ascii="Times New Roman" w:hAnsi="Times New Roman" w:cs="Times New Roman"/>
        </w:rPr>
        <w:t>may lead to a lack of comparability of Early Bird take-up rates between the two</w:t>
      </w:r>
      <w:r w:rsidR="004B66C9">
        <w:rPr>
          <w:rFonts w:ascii="Times New Roman" w:hAnsi="Times New Roman" w:cs="Times New Roman"/>
        </w:rPr>
        <w:t xml:space="preserve"> surveys</w:t>
      </w:r>
      <w:r w:rsidR="007F3DBE">
        <w:rPr>
          <w:rFonts w:ascii="Times New Roman" w:hAnsi="Times New Roman" w:cs="Times New Roman"/>
        </w:rPr>
        <w:t>.</w:t>
      </w:r>
    </w:p>
    <w:p w14:paraId="377576F0" w14:textId="1AE28B37" w:rsidR="000A6706" w:rsidRPr="00B25B62" w:rsidRDefault="007F3DBE" w:rsidP="009755BA">
      <w:pPr>
        <w:spacing w:after="120" w:line="276" w:lineRule="auto"/>
        <w:rPr>
          <w:rFonts w:ascii="Times New Roman" w:hAnsi="Times New Roman" w:cs="Times New Roman"/>
        </w:rPr>
      </w:pPr>
      <w:r>
        <w:rPr>
          <w:rFonts w:ascii="Times New Roman" w:hAnsi="Times New Roman" w:cs="Times New Roman"/>
        </w:rPr>
        <w:t xml:space="preserve">Nonetheless, </w:t>
      </w:r>
      <w:r>
        <w:rPr>
          <w:rStyle w:val="CommentReference"/>
          <w:rFonts w:ascii="Times New Roman" w:hAnsi="Times New Roman" w:cs="Times New Roman"/>
          <w:sz w:val="22"/>
          <w:szCs w:val="22"/>
        </w:rPr>
        <w:t>given</w:t>
      </w:r>
      <w:r w:rsidRPr="00B25B62">
        <w:rPr>
          <w:rFonts w:ascii="Times New Roman" w:hAnsi="Times New Roman" w:cs="Times New Roman"/>
        </w:rPr>
        <w:t xml:space="preserve"> th</w:t>
      </w:r>
      <w:r>
        <w:rPr>
          <w:rFonts w:ascii="Times New Roman" w:hAnsi="Times New Roman" w:cs="Times New Roman"/>
        </w:rPr>
        <w:t>at there are significant operational fixed costs for system setup and maintenance while fielding as well as costs towards extra staffing needed for CATI shift work and increased high volume respondent communications in order to offer the</w:t>
      </w:r>
      <w:r w:rsidRPr="00B25B62">
        <w:rPr>
          <w:rFonts w:ascii="Times New Roman" w:hAnsi="Times New Roman" w:cs="Times New Roman"/>
        </w:rPr>
        <w:t xml:space="preserve"> Early Bird</w:t>
      </w:r>
      <w:r>
        <w:rPr>
          <w:rFonts w:ascii="Times New Roman" w:hAnsi="Times New Roman" w:cs="Times New Roman"/>
        </w:rPr>
        <w:t xml:space="preserve"> incentive</w:t>
      </w:r>
      <w:r w:rsidR="004B66C9">
        <w:rPr>
          <w:rFonts w:ascii="Times New Roman" w:hAnsi="Times New Roman" w:cs="Times New Roman"/>
        </w:rPr>
        <w:t>, NORC believes</w:t>
      </w:r>
      <w:r>
        <w:rPr>
          <w:rFonts w:ascii="Times New Roman" w:hAnsi="Times New Roman" w:cs="Times New Roman"/>
        </w:rPr>
        <w:t xml:space="preserve"> </w:t>
      </w:r>
      <w:r w:rsidR="004B66C9">
        <w:rPr>
          <w:rFonts w:ascii="Times New Roman" w:hAnsi="Times New Roman" w:cs="Times New Roman"/>
        </w:rPr>
        <w:t xml:space="preserve">the early bird </w:t>
      </w:r>
      <w:r>
        <w:rPr>
          <w:rFonts w:ascii="Times New Roman" w:hAnsi="Times New Roman" w:cs="Times New Roman"/>
        </w:rPr>
        <w:t>approach</w:t>
      </w:r>
      <w:r w:rsidRPr="00B25B62">
        <w:rPr>
          <w:rFonts w:ascii="Times New Roman" w:hAnsi="Times New Roman" w:cs="Times New Roman"/>
        </w:rPr>
        <w:t xml:space="preserve"> is less valuable with the NLSY97 than it </w:t>
      </w:r>
      <w:r w:rsidR="004B66C9">
        <w:rPr>
          <w:rFonts w:ascii="Times New Roman" w:hAnsi="Times New Roman" w:cs="Times New Roman"/>
        </w:rPr>
        <w:t>has been</w:t>
      </w:r>
      <w:r w:rsidRPr="00B25B62">
        <w:rPr>
          <w:rFonts w:ascii="Times New Roman" w:hAnsi="Times New Roman" w:cs="Times New Roman"/>
        </w:rPr>
        <w:t xml:space="preserve"> with the NLSY79.</w:t>
      </w:r>
    </w:p>
    <w:p w14:paraId="14BBDAEB" w14:textId="77777777" w:rsidR="004615EC" w:rsidRPr="00B25B62" w:rsidRDefault="004615EC" w:rsidP="009755BA">
      <w:pPr>
        <w:spacing w:after="120" w:line="276" w:lineRule="auto"/>
        <w:rPr>
          <w:rFonts w:ascii="Times New Roman" w:hAnsi="Times New Roman" w:cs="Times New Roman"/>
        </w:rPr>
      </w:pPr>
    </w:p>
    <w:p w14:paraId="0CB9952A" w14:textId="6A560DCE" w:rsidR="004615EC" w:rsidRPr="00B25B62" w:rsidRDefault="004615EC" w:rsidP="009755BA">
      <w:pPr>
        <w:pStyle w:val="ListParagraph"/>
        <w:numPr>
          <w:ilvl w:val="1"/>
          <w:numId w:val="6"/>
        </w:numPr>
        <w:spacing w:after="120" w:line="276" w:lineRule="auto"/>
        <w:rPr>
          <w:rFonts w:ascii="Times New Roman" w:hAnsi="Times New Roman" w:cs="Times New Roman"/>
          <w:i/>
        </w:rPr>
      </w:pPr>
      <w:r w:rsidRPr="00B25B62">
        <w:rPr>
          <w:rFonts w:ascii="Times New Roman" w:hAnsi="Times New Roman" w:cs="Times New Roman"/>
          <w:i/>
        </w:rPr>
        <w:t>Early Bird Amount Experiment</w:t>
      </w:r>
    </w:p>
    <w:p w14:paraId="5F0C19CF" w14:textId="77777777" w:rsidR="00634B2F" w:rsidRPr="00B25B62" w:rsidRDefault="00634B2F" w:rsidP="009755BA">
      <w:pPr>
        <w:spacing w:after="120" w:line="276" w:lineRule="auto"/>
        <w:rPr>
          <w:rFonts w:ascii="Times New Roman" w:hAnsi="Times New Roman" w:cs="Times New Roman"/>
        </w:rPr>
      </w:pPr>
      <w:r w:rsidRPr="00B25B62">
        <w:rPr>
          <w:rFonts w:ascii="Times New Roman" w:hAnsi="Times New Roman" w:cs="Times New Roman"/>
        </w:rPr>
        <w:t xml:space="preserve">Because the responsiveness of the NLSY97 sample to this type of incentive was unknown, and because our introduction of the Early Bird protocol was much less gradual than it was on the NLSY79, we </w:t>
      </w:r>
      <w:r w:rsidRPr="00B25B62">
        <w:rPr>
          <w:rFonts w:ascii="Times New Roman" w:hAnsi="Times New Roman" w:cs="Times New Roman"/>
        </w:rPr>
        <w:lastRenderedPageBreak/>
        <w:t>proposed an experiment where we randomly assigned Early Bird offers within each response probability group to determine the relative costs and benefits of different premium amounts.</w:t>
      </w:r>
    </w:p>
    <w:p w14:paraId="2253B0F9" w14:textId="3D737418" w:rsidR="004615EC" w:rsidRPr="00B25B62" w:rsidRDefault="004615EC" w:rsidP="00F62AE7">
      <w:pPr>
        <w:spacing w:after="120" w:line="276" w:lineRule="auto"/>
        <w:rPr>
          <w:rFonts w:ascii="Times New Roman" w:eastAsia="Times New Roman" w:hAnsi="Times New Roman" w:cs="Times New Roman"/>
          <w:color w:val="000000"/>
        </w:rPr>
      </w:pPr>
      <w:r w:rsidRPr="00B25B62">
        <w:rPr>
          <w:rFonts w:ascii="Times New Roman" w:hAnsi="Times New Roman" w:cs="Times New Roman"/>
        </w:rPr>
        <w:t>Key findings from experiment below show that in</w:t>
      </w:r>
      <w:r w:rsidR="00634B2F" w:rsidRPr="00B25B62">
        <w:rPr>
          <w:rFonts w:ascii="Times New Roman" w:hAnsi="Times New Roman" w:cs="Times New Roman"/>
        </w:rPr>
        <w:t xml:space="preserve"> all cases, the $20 offer </w:t>
      </w:r>
      <w:r w:rsidR="000A4CBD">
        <w:rPr>
          <w:rFonts w:ascii="Times New Roman" w:hAnsi="Times New Roman" w:cs="Times New Roman"/>
        </w:rPr>
        <w:t xml:space="preserve">resulted in very similar, or sometimes better, completion rates </w:t>
      </w:r>
      <w:r w:rsidR="00000D54">
        <w:rPr>
          <w:rFonts w:ascii="Times New Roman" w:hAnsi="Times New Roman" w:cs="Times New Roman"/>
        </w:rPr>
        <w:t xml:space="preserve">by the end of the round </w:t>
      </w:r>
      <w:r w:rsidR="000A4CBD">
        <w:rPr>
          <w:rFonts w:ascii="Times New Roman" w:hAnsi="Times New Roman" w:cs="Times New Roman"/>
        </w:rPr>
        <w:t>compared to</w:t>
      </w:r>
      <w:r w:rsidR="00634B2F" w:rsidRPr="00B25B62">
        <w:rPr>
          <w:rFonts w:ascii="Times New Roman" w:hAnsi="Times New Roman" w:cs="Times New Roman"/>
        </w:rPr>
        <w:t xml:space="preserve"> the $35 offer</w:t>
      </w:r>
      <w:r w:rsidRPr="00B25B62">
        <w:rPr>
          <w:rFonts w:ascii="Times New Roman" w:hAnsi="Times New Roman" w:cs="Times New Roman"/>
        </w:rPr>
        <w:t xml:space="preserve">.  </w:t>
      </w:r>
      <w:r w:rsidRPr="00A91625">
        <w:rPr>
          <w:rFonts w:ascii="Times New Roman" w:hAnsi="Times New Roman" w:cs="Times New Roman"/>
        </w:rPr>
        <w:t>In addition, c</w:t>
      </w:r>
      <w:r w:rsidR="00634B2F" w:rsidRPr="00A91625">
        <w:rPr>
          <w:rFonts w:ascii="Times New Roman" w:eastAsia="Times New Roman" w:hAnsi="Times New Roman" w:cs="Times New Roman"/>
          <w:color w:val="000000"/>
        </w:rPr>
        <w:t xml:space="preserve">ases receiving the $20 offer had </w:t>
      </w:r>
      <w:r w:rsidR="000A4CBD">
        <w:rPr>
          <w:rFonts w:ascii="Times New Roman" w:eastAsia="Times New Roman" w:hAnsi="Times New Roman" w:cs="Times New Roman"/>
          <w:color w:val="000000"/>
        </w:rPr>
        <w:t xml:space="preserve">similar or better </w:t>
      </w:r>
      <w:r w:rsidR="00634B2F" w:rsidRPr="00A91625">
        <w:rPr>
          <w:rFonts w:ascii="Times New Roman" w:eastAsia="Times New Roman" w:hAnsi="Times New Roman" w:cs="Times New Roman"/>
          <w:color w:val="000000"/>
        </w:rPr>
        <w:t>completion rates in the early bird phase</w:t>
      </w:r>
      <w:r w:rsidR="000A4CBD">
        <w:rPr>
          <w:rFonts w:ascii="Times New Roman" w:eastAsia="Times New Roman" w:hAnsi="Times New Roman" w:cs="Times New Roman"/>
          <w:color w:val="000000"/>
        </w:rPr>
        <w:t>.  Therefore, because the $20 offer provides similar or better outco</w:t>
      </w:r>
      <w:r w:rsidR="004A66B0">
        <w:rPr>
          <w:rFonts w:ascii="Times New Roman" w:eastAsia="Times New Roman" w:hAnsi="Times New Roman" w:cs="Times New Roman"/>
          <w:color w:val="000000"/>
        </w:rPr>
        <w:t>mes with lower costs than the $3</w:t>
      </w:r>
      <w:r w:rsidR="000A4CBD">
        <w:rPr>
          <w:rFonts w:ascii="Times New Roman" w:eastAsia="Times New Roman" w:hAnsi="Times New Roman" w:cs="Times New Roman"/>
          <w:color w:val="000000"/>
        </w:rPr>
        <w:t>5 offer, we feel that it best balances cost and effectiveness.</w:t>
      </w:r>
    </w:p>
    <w:p w14:paraId="0C7892D0" w14:textId="1139A46C" w:rsidR="00B20B5B" w:rsidRPr="00B25B62" w:rsidRDefault="00B20B5B">
      <w:pPr>
        <w:rPr>
          <w:rFonts w:ascii="Times New Roman" w:hAnsi="Times New Roman" w:cs="Times New Roman"/>
          <w:b/>
        </w:rPr>
      </w:pPr>
    </w:p>
    <w:p w14:paraId="5F478069" w14:textId="4815EED7" w:rsidR="00634B2F" w:rsidRPr="00B25B62" w:rsidRDefault="004615EC" w:rsidP="004615EC">
      <w:pPr>
        <w:spacing w:after="120"/>
        <w:jc w:val="center"/>
        <w:rPr>
          <w:rFonts w:ascii="Times New Roman" w:hAnsi="Times New Roman" w:cs="Times New Roman"/>
          <w:b/>
        </w:rPr>
      </w:pPr>
      <w:r w:rsidRPr="00B25B62">
        <w:rPr>
          <w:rFonts w:ascii="Times New Roman" w:hAnsi="Times New Roman" w:cs="Times New Roman"/>
          <w:b/>
        </w:rPr>
        <w:t>Table 1:  Early Bird Amount Experiment Results</w:t>
      </w:r>
    </w:p>
    <w:tbl>
      <w:tblPr>
        <w:tblW w:w="8355" w:type="dxa"/>
        <w:jc w:val="center"/>
        <w:tblLook w:val="04A0" w:firstRow="1" w:lastRow="0" w:firstColumn="1" w:lastColumn="0" w:noHBand="0" w:noVBand="1"/>
      </w:tblPr>
      <w:tblGrid>
        <w:gridCol w:w="1194"/>
        <w:gridCol w:w="1160"/>
        <w:gridCol w:w="1384"/>
        <w:gridCol w:w="1236"/>
        <w:gridCol w:w="1205"/>
        <w:gridCol w:w="1088"/>
        <w:gridCol w:w="1088"/>
      </w:tblGrid>
      <w:tr w:rsidR="003B322C" w:rsidRPr="00B25B62" w14:paraId="5201C500" w14:textId="77777777" w:rsidTr="005430B8">
        <w:trPr>
          <w:trHeight w:val="345"/>
          <w:jc w:val="center"/>
        </w:trPr>
        <w:tc>
          <w:tcPr>
            <w:tcW w:w="1194" w:type="dxa"/>
            <w:tcBorders>
              <w:top w:val="single" w:sz="4" w:space="0" w:color="auto"/>
              <w:left w:val="single" w:sz="4" w:space="0" w:color="auto"/>
              <w:bottom w:val="single" w:sz="8" w:space="0" w:color="auto"/>
            </w:tcBorders>
            <w:shd w:val="clear" w:color="auto" w:fill="auto"/>
            <w:noWrap/>
            <w:vAlign w:val="bottom"/>
            <w:hideMark/>
          </w:tcPr>
          <w:p w14:paraId="551628F0" w14:textId="77777777" w:rsidR="003B322C" w:rsidRPr="00B25B62" w:rsidRDefault="003B322C" w:rsidP="004615EC">
            <w:pPr>
              <w:spacing w:after="12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Response Probability Group</w:t>
            </w:r>
          </w:p>
        </w:tc>
        <w:tc>
          <w:tcPr>
            <w:tcW w:w="1160" w:type="dxa"/>
            <w:tcBorders>
              <w:top w:val="single" w:sz="4" w:space="0" w:color="auto"/>
              <w:bottom w:val="single" w:sz="8" w:space="0" w:color="auto"/>
            </w:tcBorders>
            <w:shd w:val="clear" w:color="auto" w:fill="E7E6E6" w:themeFill="background2"/>
            <w:noWrap/>
            <w:vAlign w:val="bottom"/>
            <w:hideMark/>
          </w:tcPr>
          <w:p w14:paraId="4E2D7580" w14:textId="77777777" w:rsidR="003B322C" w:rsidRPr="00B25B62" w:rsidRDefault="003B322C" w:rsidP="004615EC">
            <w:pPr>
              <w:spacing w:after="12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Early Bird (EB) Offer ($)</w:t>
            </w:r>
          </w:p>
        </w:tc>
        <w:tc>
          <w:tcPr>
            <w:tcW w:w="1384" w:type="dxa"/>
            <w:tcBorders>
              <w:top w:val="single" w:sz="4" w:space="0" w:color="auto"/>
              <w:bottom w:val="single" w:sz="8" w:space="0" w:color="auto"/>
            </w:tcBorders>
            <w:shd w:val="clear" w:color="auto" w:fill="auto"/>
            <w:noWrap/>
            <w:vAlign w:val="bottom"/>
            <w:hideMark/>
          </w:tcPr>
          <w:p w14:paraId="41018212" w14:textId="77777777" w:rsidR="003B322C" w:rsidRPr="00B25B62" w:rsidRDefault="003B322C" w:rsidP="004615EC">
            <w:pPr>
              <w:spacing w:after="12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Total Respondents</w:t>
            </w:r>
          </w:p>
        </w:tc>
        <w:tc>
          <w:tcPr>
            <w:tcW w:w="1236" w:type="dxa"/>
            <w:tcBorders>
              <w:top w:val="single" w:sz="4" w:space="0" w:color="auto"/>
              <w:bottom w:val="single" w:sz="8" w:space="0" w:color="auto"/>
            </w:tcBorders>
            <w:shd w:val="clear" w:color="auto" w:fill="auto"/>
            <w:noWrap/>
            <w:vAlign w:val="bottom"/>
            <w:hideMark/>
          </w:tcPr>
          <w:p w14:paraId="71E7CCD2" w14:textId="77777777" w:rsidR="003B322C" w:rsidRPr="00B25B62" w:rsidRDefault="003B322C" w:rsidP="004615EC">
            <w:pPr>
              <w:spacing w:after="12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Completed Cases</w:t>
            </w:r>
          </w:p>
        </w:tc>
        <w:tc>
          <w:tcPr>
            <w:tcW w:w="1205" w:type="dxa"/>
            <w:tcBorders>
              <w:top w:val="single" w:sz="4" w:space="0" w:color="auto"/>
              <w:bottom w:val="single" w:sz="8" w:space="0" w:color="auto"/>
            </w:tcBorders>
            <w:shd w:val="clear" w:color="auto" w:fill="auto"/>
            <w:noWrap/>
            <w:vAlign w:val="bottom"/>
            <w:hideMark/>
          </w:tcPr>
          <w:p w14:paraId="64A97DC9" w14:textId="77777777" w:rsidR="003B322C" w:rsidRPr="00B25B62" w:rsidRDefault="003B322C" w:rsidP="004615EC">
            <w:pPr>
              <w:spacing w:after="12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Cases Completed EB</w:t>
            </w:r>
          </w:p>
        </w:tc>
        <w:tc>
          <w:tcPr>
            <w:tcW w:w="1088" w:type="dxa"/>
            <w:tcBorders>
              <w:top w:val="single" w:sz="4" w:space="0" w:color="auto"/>
              <w:bottom w:val="single" w:sz="8" w:space="0" w:color="auto"/>
            </w:tcBorders>
            <w:shd w:val="clear" w:color="auto" w:fill="E7E6E6" w:themeFill="background2"/>
            <w:noWrap/>
            <w:vAlign w:val="bottom"/>
            <w:hideMark/>
          </w:tcPr>
          <w:p w14:paraId="4C45D4EF" w14:textId="77777777" w:rsidR="003B322C" w:rsidRPr="00B25B62" w:rsidRDefault="003B322C" w:rsidP="004615EC">
            <w:pPr>
              <w:spacing w:after="12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 Complete (Total)</w:t>
            </w:r>
          </w:p>
        </w:tc>
        <w:tc>
          <w:tcPr>
            <w:tcW w:w="1088" w:type="dxa"/>
            <w:tcBorders>
              <w:top w:val="single" w:sz="4" w:space="0" w:color="auto"/>
              <w:bottom w:val="single" w:sz="8" w:space="0" w:color="auto"/>
              <w:right w:val="single" w:sz="4" w:space="0" w:color="auto"/>
            </w:tcBorders>
            <w:shd w:val="clear" w:color="auto" w:fill="auto"/>
            <w:noWrap/>
            <w:vAlign w:val="bottom"/>
            <w:hideMark/>
          </w:tcPr>
          <w:p w14:paraId="2E06A4A0" w14:textId="77777777" w:rsidR="003B322C" w:rsidRPr="00B25B62" w:rsidRDefault="003B322C" w:rsidP="004615EC">
            <w:pPr>
              <w:spacing w:after="12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 Complete EB</w:t>
            </w:r>
          </w:p>
        </w:tc>
      </w:tr>
      <w:tr w:rsidR="003B322C" w:rsidRPr="00B25B62" w14:paraId="4D1A6A77" w14:textId="77777777" w:rsidTr="005430B8">
        <w:trPr>
          <w:trHeight w:val="345"/>
          <w:jc w:val="center"/>
        </w:trPr>
        <w:tc>
          <w:tcPr>
            <w:tcW w:w="1194" w:type="dxa"/>
            <w:tcBorders>
              <w:top w:val="single" w:sz="8" w:space="0" w:color="auto"/>
              <w:left w:val="single" w:sz="4" w:space="0" w:color="auto"/>
            </w:tcBorders>
            <w:shd w:val="clear" w:color="auto" w:fill="auto"/>
            <w:noWrap/>
            <w:vAlign w:val="bottom"/>
            <w:hideMark/>
          </w:tcPr>
          <w:p w14:paraId="28EF79C0" w14:textId="77777777" w:rsidR="003B322C" w:rsidRPr="00B25B62" w:rsidRDefault="003B322C" w:rsidP="003B322C">
            <w:pPr>
              <w:spacing w:after="12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High</w:t>
            </w:r>
          </w:p>
        </w:tc>
        <w:tc>
          <w:tcPr>
            <w:tcW w:w="1160" w:type="dxa"/>
            <w:tcBorders>
              <w:top w:val="single" w:sz="8" w:space="0" w:color="auto"/>
            </w:tcBorders>
            <w:shd w:val="clear" w:color="auto" w:fill="E7E6E6" w:themeFill="background2"/>
            <w:noWrap/>
            <w:vAlign w:val="bottom"/>
            <w:hideMark/>
          </w:tcPr>
          <w:p w14:paraId="061E920C" w14:textId="77777777" w:rsidR="003B322C" w:rsidRPr="00B25B62" w:rsidRDefault="003B322C" w:rsidP="003B322C">
            <w:pPr>
              <w:spacing w:after="12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10</w:t>
            </w:r>
          </w:p>
        </w:tc>
        <w:tc>
          <w:tcPr>
            <w:tcW w:w="1384" w:type="dxa"/>
            <w:tcBorders>
              <w:top w:val="single" w:sz="8" w:space="0" w:color="auto"/>
            </w:tcBorders>
            <w:shd w:val="clear" w:color="auto" w:fill="auto"/>
            <w:noWrap/>
            <w:vAlign w:val="bottom"/>
            <w:hideMark/>
          </w:tcPr>
          <w:p w14:paraId="5DD57AEC" w14:textId="41BD8F68" w:rsidR="003B322C" w:rsidRPr="00B25B62" w:rsidRDefault="003B322C" w:rsidP="003B322C">
            <w:pPr>
              <w:spacing w:after="120" w:line="240" w:lineRule="auto"/>
              <w:jc w:val="center"/>
              <w:rPr>
                <w:rFonts w:ascii="Times New Roman" w:eastAsia="Times New Roman" w:hAnsi="Times New Roman" w:cs="Times New Roman"/>
                <w:color w:val="000000"/>
              </w:rPr>
            </w:pPr>
            <w:r>
              <w:rPr>
                <w:rFonts w:ascii="Arial" w:hAnsi="Arial" w:cs="Arial"/>
                <w:sz w:val="20"/>
                <w:szCs w:val="20"/>
              </w:rPr>
              <w:t>1603</w:t>
            </w:r>
          </w:p>
        </w:tc>
        <w:tc>
          <w:tcPr>
            <w:tcW w:w="1236" w:type="dxa"/>
            <w:tcBorders>
              <w:top w:val="single" w:sz="8" w:space="0" w:color="auto"/>
            </w:tcBorders>
            <w:shd w:val="clear" w:color="auto" w:fill="auto"/>
            <w:noWrap/>
            <w:vAlign w:val="bottom"/>
            <w:hideMark/>
          </w:tcPr>
          <w:p w14:paraId="61D9A226" w14:textId="203369BE" w:rsidR="003B322C" w:rsidRPr="00B25B62" w:rsidRDefault="003B322C" w:rsidP="003B322C">
            <w:pPr>
              <w:spacing w:after="120" w:line="240" w:lineRule="auto"/>
              <w:jc w:val="center"/>
              <w:rPr>
                <w:rFonts w:ascii="Times New Roman" w:eastAsia="Times New Roman" w:hAnsi="Times New Roman" w:cs="Times New Roman"/>
                <w:color w:val="000000"/>
              </w:rPr>
            </w:pPr>
            <w:r>
              <w:rPr>
                <w:rFonts w:ascii="Arial" w:hAnsi="Arial" w:cs="Arial"/>
                <w:sz w:val="20"/>
                <w:szCs w:val="20"/>
              </w:rPr>
              <w:t>1505</w:t>
            </w:r>
          </w:p>
        </w:tc>
        <w:tc>
          <w:tcPr>
            <w:tcW w:w="1205" w:type="dxa"/>
            <w:tcBorders>
              <w:top w:val="single" w:sz="8" w:space="0" w:color="auto"/>
            </w:tcBorders>
            <w:shd w:val="clear" w:color="auto" w:fill="auto"/>
            <w:noWrap/>
            <w:vAlign w:val="bottom"/>
            <w:hideMark/>
          </w:tcPr>
          <w:p w14:paraId="752E73A7" w14:textId="6F6C5325" w:rsidR="003B322C" w:rsidRPr="00B25B62" w:rsidRDefault="003B322C" w:rsidP="003B322C">
            <w:pPr>
              <w:spacing w:after="120"/>
              <w:jc w:val="center"/>
              <w:rPr>
                <w:rFonts w:ascii="Times New Roman" w:hAnsi="Times New Roman" w:cs="Times New Roman"/>
              </w:rPr>
            </w:pPr>
            <w:r>
              <w:rPr>
                <w:rFonts w:ascii="Arial" w:hAnsi="Arial" w:cs="Arial"/>
                <w:sz w:val="20"/>
                <w:szCs w:val="20"/>
              </w:rPr>
              <w:t>513</w:t>
            </w:r>
          </w:p>
        </w:tc>
        <w:tc>
          <w:tcPr>
            <w:tcW w:w="1088" w:type="dxa"/>
            <w:tcBorders>
              <w:top w:val="single" w:sz="8" w:space="0" w:color="auto"/>
            </w:tcBorders>
            <w:shd w:val="clear" w:color="auto" w:fill="E7E6E6" w:themeFill="background2"/>
            <w:noWrap/>
            <w:vAlign w:val="center"/>
            <w:hideMark/>
          </w:tcPr>
          <w:p w14:paraId="34D7860E" w14:textId="77777777" w:rsidR="003B322C" w:rsidRPr="00B25B62" w:rsidRDefault="003B322C" w:rsidP="003B322C">
            <w:pPr>
              <w:spacing w:after="120"/>
              <w:jc w:val="center"/>
              <w:rPr>
                <w:rFonts w:ascii="Times New Roman" w:hAnsi="Times New Roman" w:cs="Times New Roman"/>
              </w:rPr>
            </w:pPr>
            <w:r w:rsidRPr="00B25B62">
              <w:rPr>
                <w:rFonts w:ascii="Times New Roman" w:hAnsi="Times New Roman" w:cs="Times New Roman"/>
              </w:rPr>
              <w:t>93.89%</w:t>
            </w:r>
          </w:p>
        </w:tc>
        <w:tc>
          <w:tcPr>
            <w:tcW w:w="1088" w:type="dxa"/>
            <w:tcBorders>
              <w:top w:val="single" w:sz="8" w:space="0" w:color="auto"/>
              <w:right w:val="single" w:sz="4" w:space="0" w:color="auto"/>
            </w:tcBorders>
            <w:shd w:val="clear" w:color="auto" w:fill="auto"/>
            <w:noWrap/>
            <w:vAlign w:val="center"/>
            <w:hideMark/>
          </w:tcPr>
          <w:p w14:paraId="4B3E959C" w14:textId="77777777" w:rsidR="003B322C" w:rsidRPr="00B25B62" w:rsidRDefault="003B322C" w:rsidP="003B322C">
            <w:pPr>
              <w:spacing w:after="120"/>
              <w:jc w:val="center"/>
              <w:rPr>
                <w:rFonts w:ascii="Times New Roman" w:hAnsi="Times New Roman" w:cs="Times New Roman"/>
              </w:rPr>
            </w:pPr>
            <w:r w:rsidRPr="00B25B62">
              <w:rPr>
                <w:rFonts w:ascii="Times New Roman" w:hAnsi="Times New Roman" w:cs="Times New Roman"/>
              </w:rPr>
              <w:t>32.00%</w:t>
            </w:r>
          </w:p>
        </w:tc>
      </w:tr>
      <w:tr w:rsidR="003B322C" w:rsidRPr="00B25B62" w14:paraId="13A708AA" w14:textId="77777777" w:rsidTr="005430B8">
        <w:trPr>
          <w:trHeight w:val="345"/>
          <w:jc w:val="center"/>
        </w:trPr>
        <w:tc>
          <w:tcPr>
            <w:tcW w:w="1194" w:type="dxa"/>
            <w:tcBorders>
              <w:left w:val="single" w:sz="4" w:space="0" w:color="auto"/>
            </w:tcBorders>
            <w:shd w:val="clear" w:color="auto" w:fill="auto"/>
            <w:noWrap/>
            <w:vAlign w:val="bottom"/>
            <w:hideMark/>
          </w:tcPr>
          <w:p w14:paraId="0973399D" w14:textId="77777777" w:rsidR="003B322C" w:rsidRPr="00B25B62" w:rsidRDefault="003B322C" w:rsidP="003B322C">
            <w:pPr>
              <w:spacing w:after="12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High</w:t>
            </w:r>
          </w:p>
        </w:tc>
        <w:tc>
          <w:tcPr>
            <w:tcW w:w="1160" w:type="dxa"/>
            <w:shd w:val="clear" w:color="auto" w:fill="E7E6E6" w:themeFill="background2"/>
            <w:noWrap/>
            <w:vAlign w:val="bottom"/>
            <w:hideMark/>
          </w:tcPr>
          <w:p w14:paraId="24760278" w14:textId="77777777" w:rsidR="003B322C" w:rsidRPr="00B113F4" w:rsidRDefault="003B322C" w:rsidP="003B322C">
            <w:pPr>
              <w:spacing w:after="120" w:line="240" w:lineRule="auto"/>
              <w:jc w:val="center"/>
              <w:rPr>
                <w:rFonts w:ascii="Times New Roman" w:eastAsia="Times New Roman" w:hAnsi="Times New Roman" w:cs="Times New Roman"/>
                <w:color w:val="000000"/>
              </w:rPr>
            </w:pPr>
            <w:r w:rsidRPr="00B113F4">
              <w:rPr>
                <w:rFonts w:ascii="Times New Roman" w:eastAsia="Times New Roman" w:hAnsi="Times New Roman" w:cs="Times New Roman"/>
                <w:color w:val="000000"/>
              </w:rPr>
              <w:t>20</w:t>
            </w:r>
          </w:p>
        </w:tc>
        <w:tc>
          <w:tcPr>
            <w:tcW w:w="1384" w:type="dxa"/>
            <w:shd w:val="clear" w:color="auto" w:fill="auto"/>
            <w:noWrap/>
            <w:vAlign w:val="bottom"/>
            <w:hideMark/>
          </w:tcPr>
          <w:p w14:paraId="5E49858A" w14:textId="29BEAA54" w:rsidR="003B322C" w:rsidRPr="00B113F4" w:rsidRDefault="003B322C" w:rsidP="003B322C">
            <w:pPr>
              <w:spacing w:after="120" w:line="240" w:lineRule="auto"/>
              <w:jc w:val="center"/>
              <w:rPr>
                <w:rFonts w:ascii="Times New Roman" w:eastAsia="Times New Roman" w:hAnsi="Times New Roman" w:cs="Times New Roman"/>
                <w:color w:val="000000"/>
              </w:rPr>
            </w:pPr>
            <w:r w:rsidRPr="005430B8">
              <w:rPr>
                <w:rFonts w:ascii="Times New Roman" w:hAnsi="Times New Roman" w:cs="Times New Roman"/>
              </w:rPr>
              <w:t>1603</w:t>
            </w:r>
          </w:p>
        </w:tc>
        <w:tc>
          <w:tcPr>
            <w:tcW w:w="1236" w:type="dxa"/>
            <w:shd w:val="clear" w:color="auto" w:fill="auto"/>
            <w:noWrap/>
            <w:vAlign w:val="bottom"/>
            <w:hideMark/>
          </w:tcPr>
          <w:p w14:paraId="4594F811" w14:textId="129923F9" w:rsidR="003B322C" w:rsidRPr="00B113F4" w:rsidRDefault="003B322C" w:rsidP="003B322C">
            <w:pPr>
              <w:spacing w:after="120" w:line="240" w:lineRule="auto"/>
              <w:jc w:val="center"/>
              <w:rPr>
                <w:rFonts w:ascii="Times New Roman" w:eastAsia="Times New Roman" w:hAnsi="Times New Roman" w:cs="Times New Roman"/>
                <w:color w:val="000000"/>
              </w:rPr>
            </w:pPr>
            <w:r w:rsidRPr="005430B8">
              <w:rPr>
                <w:rFonts w:ascii="Times New Roman" w:hAnsi="Times New Roman" w:cs="Times New Roman"/>
              </w:rPr>
              <w:t>1528</w:t>
            </w:r>
          </w:p>
        </w:tc>
        <w:tc>
          <w:tcPr>
            <w:tcW w:w="1205" w:type="dxa"/>
            <w:shd w:val="clear" w:color="auto" w:fill="auto"/>
            <w:noWrap/>
            <w:vAlign w:val="bottom"/>
            <w:hideMark/>
          </w:tcPr>
          <w:p w14:paraId="7EFD8475" w14:textId="1805B790"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603</w:t>
            </w:r>
          </w:p>
        </w:tc>
        <w:tc>
          <w:tcPr>
            <w:tcW w:w="1088" w:type="dxa"/>
            <w:shd w:val="clear" w:color="auto" w:fill="E7E6E6" w:themeFill="background2"/>
            <w:noWrap/>
            <w:vAlign w:val="center"/>
            <w:hideMark/>
          </w:tcPr>
          <w:p w14:paraId="5589049C" w14:textId="77777777" w:rsidR="003B322C" w:rsidRPr="00B113F4" w:rsidRDefault="003B322C" w:rsidP="003B322C">
            <w:pPr>
              <w:spacing w:after="120"/>
              <w:jc w:val="center"/>
              <w:rPr>
                <w:rFonts w:ascii="Times New Roman" w:hAnsi="Times New Roman" w:cs="Times New Roman"/>
              </w:rPr>
            </w:pPr>
            <w:r w:rsidRPr="00B113F4">
              <w:rPr>
                <w:rFonts w:ascii="Times New Roman" w:hAnsi="Times New Roman" w:cs="Times New Roman"/>
              </w:rPr>
              <w:t>95.32%</w:t>
            </w:r>
          </w:p>
        </w:tc>
        <w:tc>
          <w:tcPr>
            <w:tcW w:w="1088" w:type="dxa"/>
            <w:tcBorders>
              <w:right w:val="single" w:sz="4" w:space="0" w:color="auto"/>
            </w:tcBorders>
            <w:shd w:val="clear" w:color="auto" w:fill="auto"/>
            <w:noWrap/>
            <w:vAlign w:val="center"/>
            <w:hideMark/>
          </w:tcPr>
          <w:p w14:paraId="0482C31F" w14:textId="77777777" w:rsidR="003B322C" w:rsidRPr="00B25B62" w:rsidRDefault="003B322C" w:rsidP="003B322C">
            <w:pPr>
              <w:spacing w:after="120"/>
              <w:jc w:val="center"/>
              <w:rPr>
                <w:rFonts w:ascii="Times New Roman" w:hAnsi="Times New Roman" w:cs="Times New Roman"/>
              </w:rPr>
            </w:pPr>
            <w:r w:rsidRPr="00B25B62">
              <w:rPr>
                <w:rFonts w:ascii="Times New Roman" w:hAnsi="Times New Roman" w:cs="Times New Roman"/>
              </w:rPr>
              <w:t>37.62%</w:t>
            </w:r>
          </w:p>
        </w:tc>
      </w:tr>
      <w:tr w:rsidR="003B322C" w:rsidRPr="00B25B62" w14:paraId="2C2D808F" w14:textId="77777777" w:rsidTr="005430B8">
        <w:trPr>
          <w:trHeight w:val="345"/>
          <w:jc w:val="center"/>
        </w:trPr>
        <w:tc>
          <w:tcPr>
            <w:tcW w:w="1194" w:type="dxa"/>
            <w:tcBorders>
              <w:left w:val="single" w:sz="4" w:space="0" w:color="auto"/>
              <w:bottom w:val="dotted" w:sz="4" w:space="0" w:color="auto"/>
            </w:tcBorders>
            <w:shd w:val="clear" w:color="auto" w:fill="auto"/>
            <w:noWrap/>
            <w:vAlign w:val="bottom"/>
            <w:hideMark/>
          </w:tcPr>
          <w:p w14:paraId="0A0423EC" w14:textId="77777777" w:rsidR="003B322C" w:rsidRPr="00B25B62" w:rsidRDefault="003B322C" w:rsidP="003B322C">
            <w:pPr>
              <w:spacing w:after="12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High</w:t>
            </w:r>
          </w:p>
        </w:tc>
        <w:tc>
          <w:tcPr>
            <w:tcW w:w="1160" w:type="dxa"/>
            <w:tcBorders>
              <w:bottom w:val="dotted" w:sz="4" w:space="0" w:color="auto"/>
            </w:tcBorders>
            <w:shd w:val="clear" w:color="auto" w:fill="E7E6E6" w:themeFill="background2"/>
            <w:noWrap/>
            <w:vAlign w:val="bottom"/>
            <w:hideMark/>
          </w:tcPr>
          <w:p w14:paraId="5BE2D71F" w14:textId="77777777" w:rsidR="003B322C" w:rsidRPr="00B113F4" w:rsidRDefault="003B322C" w:rsidP="003B322C">
            <w:pPr>
              <w:spacing w:after="120" w:line="240" w:lineRule="auto"/>
              <w:jc w:val="center"/>
              <w:rPr>
                <w:rFonts w:ascii="Times New Roman" w:eastAsia="Times New Roman" w:hAnsi="Times New Roman" w:cs="Times New Roman"/>
                <w:color w:val="000000"/>
              </w:rPr>
            </w:pPr>
            <w:r w:rsidRPr="00B113F4">
              <w:rPr>
                <w:rFonts w:ascii="Times New Roman" w:eastAsia="Times New Roman" w:hAnsi="Times New Roman" w:cs="Times New Roman"/>
                <w:color w:val="000000"/>
              </w:rPr>
              <w:t>35</w:t>
            </w:r>
          </w:p>
        </w:tc>
        <w:tc>
          <w:tcPr>
            <w:tcW w:w="1384" w:type="dxa"/>
            <w:tcBorders>
              <w:bottom w:val="dotted" w:sz="4" w:space="0" w:color="auto"/>
            </w:tcBorders>
            <w:shd w:val="clear" w:color="auto" w:fill="auto"/>
            <w:noWrap/>
            <w:vAlign w:val="bottom"/>
            <w:hideMark/>
          </w:tcPr>
          <w:p w14:paraId="2863978E" w14:textId="2E5FDA51" w:rsidR="003B322C" w:rsidRPr="00B113F4" w:rsidRDefault="003B322C" w:rsidP="003B322C">
            <w:pPr>
              <w:spacing w:after="120" w:line="240" w:lineRule="auto"/>
              <w:jc w:val="center"/>
              <w:rPr>
                <w:rFonts w:ascii="Times New Roman" w:eastAsia="Times New Roman" w:hAnsi="Times New Roman" w:cs="Times New Roman"/>
                <w:color w:val="000000"/>
              </w:rPr>
            </w:pPr>
            <w:r w:rsidRPr="005430B8">
              <w:rPr>
                <w:rFonts w:ascii="Times New Roman" w:hAnsi="Times New Roman" w:cs="Times New Roman"/>
              </w:rPr>
              <w:t>1603</w:t>
            </w:r>
          </w:p>
        </w:tc>
        <w:tc>
          <w:tcPr>
            <w:tcW w:w="1236" w:type="dxa"/>
            <w:tcBorders>
              <w:bottom w:val="dotted" w:sz="4" w:space="0" w:color="auto"/>
            </w:tcBorders>
            <w:shd w:val="clear" w:color="auto" w:fill="auto"/>
            <w:noWrap/>
            <w:vAlign w:val="bottom"/>
            <w:hideMark/>
          </w:tcPr>
          <w:p w14:paraId="0FB9ED84" w14:textId="2E472873" w:rsidR="003B322C" w:rsidRPr="00B113F4" w:rsidRDefault="003B322C" w:rsidP="003B322C">
            <w:pPr>
              <w:spacing w:after="120" w:line="240" w:lineRule="auto"/>
              <w:jc w:val="center"/>
              <w:rPr>
                <w:rFonts w:ascii="Times New Roman" w:eastAsia="Times New Roman" w:hAnsi="Times New Roman" w:cs="Times New Roman"/>
                <w:color w:val="000000"/>
              </w:rPr>
            </w:pPr>
            <w:r w:rsidRPr="005430B8">
              <w:rPr>
                <w:rFonts w:ascii="Times New Roman" w:hAnsi="Times New Roman" w:cs="Times New Roman"/>
              </w:rPr>
              <w:t>1504</w:t>
            </w:r>
          </w:p>
        </w:tc>
        <w:tc>
          <w:tcPr>
            <w:tcW w:w="1205" w:type="dxa"/>
            <w:tcBorders>
              <w:bottom w:val="dotted" w:sz="4" w:space="0" w:color="auto"/>
            </w:tcBorders>
            <w:shd w:val="clear" w:color="auto" w:fill="auto"/>
            <w:noWrap/>
            <w:vAlign w:val="bottom"/>
            <w:hideMark/>
          </w:tcPr>
          <w:p w14:paraId="6AD9AD01" w14:textId="7AE78124"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649</w:t>
            </w:r>
          </w:p>
        </w:tc>
        <w:tc>
          <w:tcPr>
            <w:tcW w:w="1088" w:type="dxa"/>
            <w:tcBorders>
              <w:bottom w:val="dotted" w:sz="4" w:space="0" w:color="auto"/>
            </w:tcBorders>
            <w:shd w:val="clear" w:color="auto" w:fill="E7E6E6" w:themeFill="background2"/>
            <w:noWrap/>
            <w:vAlign w:val="center"/>
            <w:hideMark/>
          </w:tcPr>
          <w:p w14:paraId="0B88F988" w14:textId="77777777" w:rsidR="003B322C" w:rsidRPr="00B113F4" w:rsidRDefault="003B322C" w:rsidP="003B322C">
            <w:pPr>
              <w:spacing w:after="120"/>
              <w:jc w:val="center"/>
              <w:rPr>
                <w:rFonts w:ascii="Times New Roman" w:hAnsi="Times New Roman" w:cs="Times New Roman"/>
              </w:rPr>
            </w:pPr>
            <w:r w:rsidRPr="00B113F4">
              <w:rPr>
                <w:rFonts w:ascii="Times New Roman" w:hAnsi="Times New Roman" w:cs="Times New Roman"/>
              </w:rPr>
              <w:t>93.82%</w:t>
            </w:r>
          </w:p>
        </w:tc>
        <w:tc>
          <w:tcPr>
            <w:tcW w:w="1088" w:type="dxa"/>
            <w:tcBorders>
              <w:bottom w:val="dotted" w:sz="4" w:space="0" w:color="auto"/>
              <w:right w:val="single" w:sz="4" w:space="0" w:color="auto"/>
            </w:tcBorders>
            <w:shd w:val="clear" w:color="auto" w:fill="auto"/>
            <w:noWrap/>
            <w:vAlign w:val="center"/>
            <w:hideMark/>
          </w:tcPr>
          <w:p w14:paraId="20D99400" w14:textId="77777777" w:rsidR="003B322C" w:rsidRPr="00B25B62" w:rsidRDefault="003B322C" w:rsidP="003B322C">
            <w:pPr>
              <w:spacing w:after="120"/>
              <w:jc w:val="center"/>
              <w:rPr>
                <w:rFonts w:ascii="Times New Roman" w:hAnsi="Times New Roman" w:cs="Times New Roman"/>
              </w:rPr>
            </w:pPr>
            <w:r w:rsidRPr="00B25B62">
              <w:rPr>
                <w:rFonts w:ascii="Times New Roman" w:hAnsi="Times New Roman" w:cs="Times New Roman"/>
              </w:rPr>
              <w:t>40.49%</w:t>
            </w:r>
          </w:p>
        </w:tc>
      </w:tr>
      <w:tr w:rsidR="003B322C" w:rsidRPr="00B25B62" w14:paraId="1DB13630" w14:textId="77777777" w:rsidTr="005430B8">
        <w:trPr>
          <w:trHeight w:val="345"/>
          <w:jc w:val="center"/>
        </w:trPr>
        <w:tc>
          <w:tcPr>
            <w:tcW w:w="1194" w:type="dxa"/>
            <w:tcBorders>
              <w:top w:val="dotted" w:sz="4" w:space="0" w:color="auto"/>
              <w:left w:val="single" w:sz="4" w:space="0" w:color="auto"/>
            </w:tcBorders>
            <w:shd w:val="clear" w:color="auto" w:fill="auto"/>
            <w:noWrap/>
            <w:vAlign w:val="bottom"/>
            <w:hideMark/>
          </w:tcPr>
          <w:p w14:paraId="68A9C863" w14:textId="77777777" w:rsidR="003B322C" w:rsidRPr="00B25B62" w:rsidRDefault="003B322C" w:rsidP="003B322C">
            <w:pPr>
              <w:spacing w:after="12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Medium</w:t>
            </w:r>
          </w:p>
        </w:tc>
        <w:tc>
          <w:tcPr>
            <w:tcW w:w="1160" w:type="dxa"/>
            <w:tcBorders>
              <w:top w:val="dotted" w:sz="4" w:space="0" w:color="auto"/>
            </w:tcBorders>
            <w:shd w:val="clear" w:color="auto" w:fill="E7E6E6" w:themeFill="background2"/>
            <w:noWrap/>
            <w:vAlign w:val="bottom"/>
            <w:hideMark/>
          </w:tcPr>
          <w:p w14:paraId="54796105" w14:textId="77777777" w:rsidR="003B322C" w:rsidRPr="00B113F4" w:rsidRDefault="003B322C" w:rsidP="003B322C">
            <w:pPr>
              <w:spacing w:after="120" w:line="240" w:lineRule="auto"/>
              <w:jc w:val="center"/>
              <w:rPr>
                <w:rFonts w:ascii="Times New Roman" w:eastAsia="Times New Roman" w:hAnsi="Times New Roman" w:cs="Times New Roman"/>
                <w:color w:val="000000"/>
              </w:rPr>
            </w:pPr>
            <w:r w:rsidRPr="00B113F4">
              <w:rPr>
                <w:rFonts w:ascii="Times New Roman" w:eastAsia="Times New Roman" w:hAnsi="Times New Roman" w:cs="Times New Roman"/>
                <w:color w:val="000000"/>
              </w:rPr>
              <w:t>10</w:t>
            </w:r>
          </w:p>
        </w:tc>
        <w:tc>
          <w:tcPr>
            <w:tcW w:w="1384" w:type="dxa"/>
            <w:tcBorders>
              <w:top w:val="dotted" w:sz="4" w:space="0" w:color="auto"/>
            </w:tcBorders>
            <w:shd w:val="clear" w:color="auto" w:fill="auto"/>
            <w:noWrap/>
            <w:vAlign w:val="bottom"/>
            <w:hideMark/>
          </w:tcPr>
          <w:p w14:paraId="4F8BDB9A" w14:textId="1E523937"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458</w:t>
            </w:r>
          </w:p>
        </w:tc>
        <w:tc>
          <w:tcPr>
            <w:tcW w:w="1236" w:type="dxa"/>
            <w:tcBorders>
              <w:top w:val="dotted" w:sz="4" w:space="0" w:color="auto"/>
            </w:tcBorders>
            <w:shd w:val="clear" w:color="auto" w:fill="auto"/>
            <w:noWrap/>
            <w:vAlign w:val="bottom"/>
            <w:hideMark/>
          </w:tcPr>
          <w:p w14:paraId="4374742B" w14:textId="5369C5A0"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360</w:t>
            </w:r>
          </w:p>
        </w:tc>
        <w:tc>
          <w:tcPr>
            <w:tcW w:w="1205" w:type="dxa"/>
            <w:tcBorders>
              <w:top w:val="dotted" w:sz="4" w:space="0" w:color="auto"/>
            </w:tcBorders>
            <w:shd w:val="clear" w:color="auto" w:fill="auto"/>
            <w:noWrap/>
            <w:vAlign w:val="bottom"/>
            <w:hideMark/>
          </w:tcPr>
          <w:p w14:paraId="65996B90" w14:textId="1BCF7261"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81</w:t>
            </w:r>
          </w:p>
        </w:tc>
        <w:tc>
          <w:tcPr>
            <w:tcW w:w="1088" w:type="dxa"/>
            <w:tcBorders>
              <w:top w:val="dotted" w:sz="4" w:space="0" w:color="auto"/>
            </w:tcBorders>
            <w:shd w:val="clear" w:color="auto" w:fill="E7E6E6" w:themeFill="background2"/>
            <w:noWrap/>
            <w:vAlign w:val="center"/>
            <w:hideMark/>
          </w:tcPr>
          <w:p w14:paraId="7353AC34" w14:textId="77777777" w:rsidR="003B322C" w:rsidRPr="00B113F4" w:rsidRDefault="003B322C" w:rsidP="003B322C">
            <w:pPr>
              <w:spacing w:after="120"/>
              <w:jc w:val="center"/>
              <w:rPr>
                <w:rFonts w:ascii="Times New Roman" w:hAnsi="Times New Roman" w:cs="Times New Roman"/>
              </w:rPr>
            </w:pPr>
            <w:r w:rsidRPr="00B113F4">
              <w:rPr>
                <w:rFonts w:ascii="Times New Roman" w:hAnsi="Times New Roman" w:cs="Times New Roman"/>
              </w:rPr>
              <w:t>78.60%</w:t>
            </w:r>
          </w:p>
        </w:tc>
        <w:tc>
          <w:tcPr>
            <w:tcW w:w="1088" w:type="dxa"/>
            <w:tcBorders>
              <w:top w:val="dotted" w:sz="4" w:space="0" w:color="auto"/>
              <w:right w:val="single" w:sz="4" w:space="0" w:color="auto"/>
            </w:tcBorders>
            <w:shd w:val="clear" w:color="auto" w:fill="auto"/>
            <w:noWrap/>
            <w:vAlign w:val="center"/>
            <w:hideMark/>
          </w:tcPr>
          <w:p w14:paraId="6C024E5C" w14:textId="77777777" w:rsidR="003B322C" w:rsidRPr="00B25B62" w:rsidRDefault="003B322C" w:rsidP="003B322C">
            <w:pPr>
              <w:spacing w:after="120"/>
              <w:jc w:val="center"/>
              <w:rPr>
                <w:rFonts w:ascii="Times New Roman" w:hAnsi="Times New Roman" w:cs="Times New Roman"/>
              </w:rPr>
            </w:pPr>
            <w:r w:rsidRPr="00B25B62">
              <w:rPr>
                <w:rFonts w:ascii="Times New Roman" w:hAnsi="Times New Roman" w:cs="Times New Roman"/>
              </w:rPr>
              <w:t>17.69%</w:t>
            </w:r>
          </w:p>
        </w:tc>
      </w:tr>
      <w:tr w:rsidR="003B322C" w:rsidRPr="00B25B62" w14:paraId="0A6E0E09" w14:textId="77777777" w:rsidTr="005430B8">
        <w:trPr>
          <w:trHeight w:val="345"/>
          <w:jc w:val="center"/>
        </w:trPr>
        <w:tc>
          <w:tcPr>
            <w:tcW w:w="1194" w:type="dxa"/>
            <w:tcBorders>
              <w:left w:val="single" w:sz="4" w:space="0" w:color="auto"/>
            </w:tcBorders>
            <w:shd w:val="clear" w:color="auto" w:fill="auto"/>
            <w:noWrap/>
            <w:vAlign w:val="bottom"/>
            <w:hideMark/>
          </w:tcPr>
          <w:p w14:paraId="3278A29C" w14:textId="77777777" w:rsidR="003B322C" w:rsidRPr="00B25B62" w:rsidRDefault="003B322C" w:rsidP="003B322C">
            <w:pPr>
              <w:spacing w:after="12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Medium</w:t>
            </w:r>
          </w:p>
        </w:tc>
        <w:tc>
          <w:tcPr>
            <w:tcW w:w="1160" w:type="dxa"/>
            <w:shd w:val="clear" w:color="auto" w:fill="E7E6E6" w:themeFill="background2"/>
            <w:noWrap/>
            <w:vAlign w:val="bottom"/>
            <w:hideMark/>
          </w:tcPr>
          <w:p w14:paraId="590305F9" w14:textId="77777777" w:rsidR="003B322C" w:rsidRPr="00B113F4" w:rsidRDefault="003B322C" w:rsidP="003B322C">
            <w:pPr>
              <w:spacing w:after="120" w:line="240" w:lineRule="auto"/>
              <w:jc w:val="center"/>
              <w:rPr>
                <w:rFonts w:ascii="Times New Roman" w:eastAsia="Times New Roman" w:hAnsi="Times New Roman" w:cs="Times New Roman"/>
                <w:color w:val="000000"/>
              </w:rPr>
            </w:pPr>
            <w:r w:rsidRPr="00B113F4">
              <w:rPr>
                <w:rFonts w:ascii="Times New Roman" w:eastAsia="Times New Roman" w:hAnsi="Times New Roman" w:cs="Times New Roman"/>
                <w:color w:val="000000"/>
              </w:rPr>
              <w:t>20</w:t>
            </w:r>
          </w:p>
        </w:tc>
        <w:tc>
          <w:tcPr>
            <w:tcW w:w="1384" w:type="dxa"/>
            <w:shd w:val="clear" w:color="auto" w:fill="auto"/>
            <w:noWrap/>
            <w:vAlign w:val="bottom"/>
            <w:hideMark/>
          </w:tcPr>
          <w:p w14:paraId="64091059" w14:textId="0063B242"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917</w:t>
            </w:r>
          </w:p>
        </w:tc>
        <w:tc>
          <w:tcPr>
            <w:tcW w:w="1236" w:type="dxa"/>
            <w:shd w:val="clear" w:color="auto" w:fill="auto"/>
            <w:noWrap/>
            <w:vAlign w:val="bottom"/>
            <w:hideMark/>
          </w:tcPr>
          <w:p w14:paraId="4AC51FF1" w14:textId="0BBA383D"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735</w:t>
            </w:r>
          </w:p>
        </w:tc>
        <w:tc>
          <w:tcPr>
            <w:tcW w:w="1205" w:type="dxa"/>
            <w:shd w:val="clear" w:color="auto" w:fill="auto"/>
            <w:noWrap/>
            <w:vAlign w:val="bottom"/>
            <w:hideMark/>
          </w:tcPr>
          <w:p w14:paraId="076732D3" w14:textId="020C40BA"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208</w:t>
            </w:r>
          </w:p>
        </w:tc>
        <w:tc>
          <w:tcPr>
            <w:tcW w:w="1088" w:type="dxa"/>
            <w:shd w:val="clear" w:color="auto" w:fill="E7E6E6" w:themeFill="background2"/>
            <w:noWrap/>
            <w:vAlign w:val="center"/>
            <w:hideMark/>
          </w:tcPr>
          <w:p w14:paraId="5ED1726E" w14:textId="77777777" w:rsidR="003B322C" w:rsidRPr="00B113F4" w:rsidRDefault="003B322C" w:rsidP="003B322C">
            <w:pPr>
              <w:spacing w:after="120"/>
              <w:jc w:val="center"/>
              <w:rPr>
                <w:rFonts w:ascii="Times New Roman" w:hAnsi="Times New Roman" w:cs="Times New Roman"/>
              </w:rPr>
            </w:pPr>
            <w:r w:rsidRPr="00B113F4">
              <w:rPr>
                <w:rFonts w:ascii="Times New Roman" w:hAnsi="Times New Roman" w:cs="Times New Roman"/>
              </w:rPr>
              <w:t>80.15%</w:t>
            </w:r>
          </w:p>
        </w:tc>
        <w:tc>
          <w:tcPr>
            <w:tcW w:w="1088" w:type="dxa"/>
            <w:tcBorders>
              <w:right w:val="single" w:sz="4" w:space="0" w:color="auto"/>
            </w:tcBorders>
            <w:shd w:val="clear" w:color="auto" w:fill="auto"/>
            <w:noWrap/>
            <w:vAlign w:val="center"/>
            <w:hideMark/>
          </w:tcPr>
          <w:p w14:paraId="241FDB13" w14:textId="77777777" w:rsidR="003B322C" w:rsidRPr="00B25B62" w:rsidRDefault="003B322C" w:rsidP="003B322C">
            <w:pPr>
              <w:spacing w:after="120"/>
              <w:jc w:val="center"/>
              <w:rPr>
                <w:rFonts w:ascii="Times New Roman" w:hAnsi="Times New Roman" w:cs="Times New Roman"/>
              </w:rPr>
            </w:pPr>
            <w:r w:rsidRPr="00B25B62">
              <w:rPr>
                <w:rFonts w:ascii="Times New Roman" w:hAnsi="Times New Roman" w:cs="Times New Roman"/>
              </w:rPr>
              <w:t>22.68%</w:t>
            </w:r>
          </w:p>
        </w:tc>
      </w:tr>
      <w:tr w:rsidR="003B322C" w:rsidRPr="00B25B62" w14:paraId="220C89BE" w14:textId="77777777" w:rsidTr="005430B8">
        <w:trPr>
          <w:trHeight w:val="345"/>
          <w:jc w:val="center"/>
        </w:trPr>
        <w:tc>
          <w:tcPr>
            <w:tcW w:w="1194" w:type="dxa"/>
            <w:tcBorders>
              <w:left w:val="single" w:sz="4" w:space="0" w:color="auto"/>
              <w:bottom w:val="dotted" w:sz="4" w:space="0" w:color="auto"/>
            </w:tcBorders>
            <w:shd w:val="clear" w:color="auto" w:fill="auto"/>
            <w:noWrap/>
            <w:vAlign w:val="bottom"/>
            <w:hideMark/>
          </w:tcPr>
          <w:p w14:paraId="3B1D2C7D" w14:textId="77777777" w:rsidR="003B322C" w:rsidRPr="00B25B62" w:rsidRDefault="003B322C" w:rsidP="003B322C">
            <w:pPr>
              <w:spacing w:after="12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Medium</w:t>
            </w:r>
          </w:p>
        </w:tc>
        <w:tc>
          <w:tcPr>
            <w:tcW w:w="1160" w:type="dxa"/>
            <w:tcBorders>
              <w:bottom w:val="dotted" w:sz="4" w:space="0" w:color="auto"/>
            </w:tcBorders>
            <w:shd w:val="clear" w:color="auto" w:fill="E7E6E6" w:themeFill="background2"/>
            <w:noWrap/>
            <w:vAlign w:val="bottom"/>
            <w:hideMark/>
          </w:tcPr>
          <w:p w14:paraId="69407A3E" w14:textId="77777777" w:rsidR="003B322C" w:rsidRPr="00B113F4" w:rsidRDefault="003B322C" w:rsidP="003B322C">
            <w:pPr>
              <w:spacing w:after="120" w:line="240" w:lineRule="auto"/>
              <w:jc w:val="center"/>
              <w:rPr>
                <w:rFonts w:ascii="Times New Roman" w:eastAsia="Times New Roman" w:hAnsi="Times New Roman" w:cs="Times New Roman"/>
                <w:color w:val="000000"/>
              </w:rPr>
            </w:pPr>
            <w:r w:rsidRPr="00B113F4">
              <w:rPr>
                <w:rFonts w:ascii="Times New Roman" w:eastAsia="Times New Roman" w:hAnsi="Times New Roman" w:cs="Times New Roman"/>
                <w:color w:val="000000"/>
              </w:rPr>
              <w:t>35</w:t>
            </w:r>
          </w:p>
        </w:tc>
        <w:tc>
          <w:tcPr>
            <w:tcW w:w="1384" w:type="dxa"/>
            <w:tcBorders>
              <w:bottom w:val="dotted" w:sz="4" w:space="0" w:color="auto"/>
            </w:tcBorders>
            <w:shd w:val="clear" w:color="auto" w:fill="auto"/>
            <w:noWrap/>
            <w:vAlign w:val="bottom"/>
            <w:hideMark/>
          </w:tcPr>
          <w:p w14:paraId="699E9D9F" w14:textId="2B1BC2C7"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918</w:t>
            </w:r>
          </w:p>
        </w:tc>
        <w:tc>
          <w:tcPr>
            <w:tcW w:w="1236" w:type="dxa"/>
            <w:tcBorders>
              <w:bottom w:val="dotted" w:sz="4" w:space="0" w:color="auto"/>
            </w:tcBorders>
            <w:shd w:val="clear" w:color="auto" w:fill="auto"/>
            <w:noWrap/>
            <w:vAlign w:val="bottom"/>
            <w:hideMark/>
          </w:tcPr>
          <w:p w14:paraId="0511DBB2" w14:textId="630C251D"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736</w:t>
            </w:r>
          </w:p>
        </w:tc>
        <w:tc>
          <w:tcPr>
            <w:tcW w:w="1205" w:type="dxa"/>
            <w:tcBorders>
              <w:bottom w:val="dotted" w:sz="4" w:space="0" w:color="auto"/>
            </w:tcBorders>
            <w:shd w:val="clear" w:color="auto" w:fill="auto"/>
            <w:noWrap/>
            <w:vAlign w:val="bottom"/>
            <w:hideMark/>
          </w:tcPr>
          <w:p w14:paraId="1925E39B" w14:textId="63F8A4CC"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235</w:t>
            </w:r>
          </w:p>
        </w:tc>
        <w:tc>
          <w:tcPr>
            <w:tcW w:w="1088" w:type="dxa"/>
            <w:tcBorders>
              <w:bottom w:val="dotted" w:sz="4" w:space="0" w:color="auto"/>
            </w:tcBorders>
            <w:shd w:val="clear" w:color="auto" w:fill="E7E6E6" w:themeFill="background2"/>
            <w:noWrap/>
            <w:vAlign w:val="center"/>
            <w:hideMark/>
          </w:tcPr>
          <w:p w14:paraId="5FAB30FA" w14:textId="77777777" w:rsidR="003B322C" w:rsidRPr="00B113F4" w:rsidRDefault="003B322C" w:rsidP="003B322C">
            <w:pPr>
              <w:spacing w:after="120"/>
              <w:jc w:val="center"/>
              <w:rPr>
                <w:rFonts w:ascii="Times New Roman" w:hAnsi="Times New Roman" w:cs="Times New Roman"/>
              </w:rPr>
            </w:pPr>
            <w:r w:rsidRPr="00B113F4">
              <w:rPr>
                <w:rFonts w:ascii="Times New Roman" w:hAnsi="Times New Roman" w:cs="Times New Roman"/>
              </w:rPr>
              <w:t>80.17%</w:t>
            </w:r>
          </w:p>
        </w:tc>
        <w:tc>
          <w:tcPr>
            <w:tcW w:w="1088" w:type="dxa"/>
            <w:tcBorders>
              <w:bottom w:val="dotted" w:sz="4" w:space="0" w:color="auto"/>
              <w:right w:val="single" w:sz="4" w:space="0" w:color="auto"/>
            </w:tcBorders>
            <w:shd w:val="clear" w:color="auto" w:fill="auto"/>
            <w:noWrap/>
            <w:vAlign w:val="center"/>
            <w:hideMark/>
          </w:tcPr>
          <w:p w14:paraId="4582C814" w14:textId="77777777" w:rsidR="003B322C" w:rsidRPr="00B25B62" w:rsidRDefault="003B322C" w:rsidP="003B322C">
            <w:pPr>
              <w:spacing w:after="120"/>
              <w:jc w:val="center"/>
              <w:rPr>
                <w:rFonts w:ascii="Times New Roman" w:hAnsi="Times New Roman" w:cs="Times New Roman"/>
              </w:rPr>
            </w:pPr>
            <w:r w:rsidRPr="00B25B62">
              <w:rPr>
                <w:rFonts w:ascii="Times New Roman" w:hAnsi="Times New Roman" w:cs="Times New Roman"/>
              </w:rPr>
              <w:t>25.60%</w:t>
            </w:r>
          </w:p>
        </w:tc>
      </w:tr>
      <w:tr w:rsidR="003B322C" w:rsidRPr="00B25B62" w14:paraId="023FD1D2" w14:textId="77777777" w:rsidTr="005430B8">
        <w:trPr>
          <w:trHeight w:val="345"/>
          <w:jc w:val="center"/>
        </w:trPr>
        <w:tc>
          <w:tcPr>
            <w:tcW w:w="1194" w:type="dxa"/>
            <w:tcBorders>
              <w:top w:val="dotted" w:sz="4" w:space="0" w:color="auto"/>
              <w:left w:val="single" w:sz="4" w:space="0" w:color="auto"/>
            </w:tcBorders>
            <w:shd w:val="clear" w:color="auto" w:fill="auto"/>
            <w:noWrap/>
            <w:vAlign w:val="bottom"/>
            <w:hideMark/>
          </w:tcPr>
          <w:p w14:paraId="560D0AF9" w14:textId="77777777" w:rsidR="003B322C" w:rsidRPr="00B25B62" w:rsidRDefault="003B322C" w:rsidP="003B322C">
            <w:pPr>
              <w:spacing w:after="12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Low</w:t>
            </w:r>
          </w:p>
        </w:tc>
        <w:tc>
          <w:tcPr>
            <w:tcW w:w="1160" w:type="dxa"/>
            <w:tcBorders>
              <w:top w:val="dotted" w:sz="4" w:space="0" w:color="auto"/>
            </w:tcBorders>
            <w:shd w:val="clear" w:color="auto" w:fill="E7E6E6" w:themeFill="background2"/>
            <w:noWrap/>
            <w:vAlign w:val="bottom"/>
            <w:hideMark/>
          </w:tcPr>
          <w:p w14:paraId="4D6AE133" w14:textId="77777777" w:rsidR="003B322C" w:rsidRPr="00B113F4" w:rsidRDefault="003B322C" w:rsidP="003B322C">
            <w:pPr>
              <w:spacing w:after="120" w:line="240" w:lineRule="auto"/>
              <w:jc w:val="center"/>
              <w:rPr>
                <w:rFonts w:ascii="Times New Roman" w:eastAsia="Times New Roman" w:hAnsi="Times New Roman" w:cs="Times New Roman"/>
                <w:color w:val="000000"/>
              </w:rPr>
            </w:pPr>
            <w:r w:rsidRPr="00B113F4">
              <w:rPr>
                <w:rFonts w:ascii="Times New Roman" w:eastAsia="Times New Roman" w:hAnsi="Times New Roman" w:cs="Times New Roman"/>
                <w:color w:val="000000"/>
              </w:rPr>
              <w:t>10</w:t>
            </w:r>
          </w:p>
        </w:tc>
        <w:tc>
          <w:tcPr>
            <w:tcW w:w="1384" w:type="dxa"/>
            <w:tcBorders>
              <w:top w:val="dotted" w:sz="4" w:space="0" w:color="auto"/>
            </w:tcBorders>
            <w:shd w:val="clear" w:color="auto" w:fill="auto"/>
            <w:noWrap/>
            <w:vAlign w:val="bottom"/>
            <w:hideMark/>
          </w:tcPr>
          <w:p w14:paraId="184E4D34" w14:textId="54D70917"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299</w:t>
            </w:r>
          </w:p>
        </w:tc>
        <w:tc>
          <w:tcPr>
            <w:tcW w:w="1236" w:type="dxa"/>
            <w:tcBorders>
              <w:top w:val="dotted" w:sz="4" w:space="0" w:color="auto"/>
            </w:tcBorders>
            <w:shd w:val="clear" w:color="auto" w:fill="auto"/>
            <w:noWrap/>
            <w:vAlign w:val="bottom"/>
            <w:hideMark/>
          </w:tcPr>
          <w:p w14:paraId="0EF4780B" w14:textId="58848F2C"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74</w:t>
            </w:r>
          </w:p>
        </w:tc>
        <w:tc>
          <w:tcPr>
            <w:tcW w:w="1205" w:type="dxa"/>
            <w:tcBorders>
              <w:top w:val="dotted" w:sz="4" w:space="0" w:color="auto"/>
            </w:tcBorders>
            <w:shd w:val="clear" w:color="auto" w:fill="auto"/>
            <w:noWrap/>
            <w:vAlign w:val="bottom"/>
            <w:hideMark/>
          </w:tcPr>
          <w:p w14:paraId="53AE01A8" w14:textId="70756053"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9</w:t>
            </w:r>
          </w:p>
        </w:tc>
        <w:tc>
          <w:tcPr>
            <w:tcW w:w="1088" w:type="dxa"/>
            <w:tcBorders>
              <w:top w:val="dotted" w:sz="4" w:space="0" w:color="auto"/>
            </w:tcBorders>
            <w:shd w:val="clear" w:color="auto" w:fill="E7E6E6" w:themeFill="background2"/>
            <w:noWrap/>
            <w:vAlign w:val="center"/>
            <w:hideMark/>
          </w:tcPr>
          <w:p w14:paraId="065DD244" w14:textId="77777777" w:rsidR="003B322C" w:rsidRPr="00B113F4" w:rsidRDefault="003B322C" w:rsidP="003B322C">
            <w:pPr>
              <w:spacing w:after="120"/>
              <w:jc w:val="center"/>
              <w:rPr>
                <w:rFonts w:ascii="Times New Roman" w:hAnsi="Times New Roman" w:cs="Times New Roman"/>
              </w:rPr>
            </w:pPr>
            <w:r w:rsidRPr="00B113F4">
              <w:rPr>
                <w:rFonts w:ascii="Times New Roman" w:hAnsi="Times New Roman" w:cs="Times New Roman"/>
              </w:rPr>
              <w:t>24.75%</w:t>
            </w:r>
          </w:p>
        </w:tc>
        <w:tc>
          <w:tcPr>
            <w:tcW w:w="1088" w:type="dxa"/>
            <w:tcBorders>
              <w:top w:val="dotted" w:sz="4" w:space="0" w:color="auto"/>
              <w:right w:val="single" w:sz="4" w:space="0" w:color="auto"/>
            </w:tcBorders>
            <w:shd w:val="clear" w:color="auto" w:fill="auto"/>
            <w:noWrap/>
            <w:vAlign w:val="center"/>
            <w:hideMark/>
          </w:tcPr>
          <w:p w14:paraId="585826C3" w14:textId="77777777" w:rsidR="003B322C" w:rsidRPr="00B25B62" w:rsidRDefault="003B322C" w:rsidP="003B322C">
            <w:pPr>
              <w:spacing w:after="120"/>
              <w:jc w:val="center"/>
              <w:rPr>
                <w:rFonts w:ascii="Times New Roman" w:hAnsi="Times New Roman" w:cs="Times New Roman"/>
              </w:rPr>
            </w:pPr>
            <w:r w:rsidRPr="00B25B62">
              <w:rPr>
                <w:rFonts w:ascii="Times New Roman" w:hAnsi="Times New Roman" w:cs="Times New Roman"/>
              </w:rPr>
              <w:t>3.01%</w:t>
            </w:r>
          </w:p>
        </w:tc>
      </w:tr>
      <w:tr w:rsidR="003B322C" w:rsidRPr="00B25B62" w14:paraId="0C2EB387" w14:textId="77777777" w:rsidTr="005430B8">
        <w:trPr>
          <w:trHeight w:val="345"/>
          <w:jc w:val="center"/>
        </w:trPr>
        <w:tc>
          <w:tcPr>
            <w:tcW w:w="1194" w:type="dxa"/>
            <w:tcBorders>
              <w:left w:val="single" w:sz="4" w:space="0" w:color="auto"/>
            </w:tcBorders>
            <w:shd w:val="clear" w:color="auto" w:fill="auto"/>
            <w:noWrap/>
            <w:vAlign w:val="bottom"/>
            <w:hideMark/>
          </w:tcPr>
          <w:p w14:paraId="65610E6C" w14:textId="77777777" w:rsidR="003B322C" w:rsidRPr="00B25B62" w:rsidRDefault="003B322C" w:rsidP="003B322C">
            <w:pPr>
              <w:spacing w:after="12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Low</w:t>
            </w:r>
          </w:p>
        </w:tc>
        <w:tc>
          <w:tcPr>
            <w:tcW w:w="1160" w:type="dxa"/>
            <w:shd w:val="clear" w:color="auto" w:fill="E7E6E6" w:themeFill="background2"/>
            <w:noWrap/>
            <w:vAlign w:val="bottom"/>
            <w:hideMark/>
          </w:tcPr>
          <w:p w14:paraId="57733AB9" w14:textId="77777777" w:rsidR="003B322C" w:rsidRPr="00B113F4" w:rsidRDefault="003B322C" w:rsidP="003B322C">
            <w:pPr>
              <w:spacing w:after="120" w:line="240" w:lineRule="auto"/>
              <w:jc w:val="center"/>
              <w:rPr>
                <w:rFonts w:ascii="Times New Roman" w:eastAsia="Times New Roman" w:hAnsi="Times New Roman" w:cs="Times New Roman"/>
                <w:color w:val="000000"/>
              </w:rPr>
            </w:pPr>
            <w:r w:rsidRPr="00B113F4">
              <w:rPr>
                <w:rFonts w:ascii="Times New Roman" w:eastAsia="Times New Roman" w:hAnsi="Times New Roman" w:cs="Times New Roman"/>
                <w:color w:val="000000"/>
              </w:rPr>
              <w:t>20</w:t>
            </w:r>
          </w:p>
        </w:tc>
        <w:tc>
          <w:tcPr>
            <w:tcW w:w="1384" w:type="dxa"/>
            <w:shd w:val="clear" w:color="auto" w:fill="auto"/>
            <w:noWrap/>
            <w:vAlign w:val="bottom"/>
            <w:hideMark/>
          </w:tcPr>
          <w:p w14:paraId="7AA0B4DA" w14:textId="61FD4C15"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597</w:t>
            </w:r>
          </w:p>
        </w:tc>
        <w:tc>
          <w:tcPr>
            <w:tcW w:w="1236" w:type="dxa"/>
            <w:shd w:val="clear" w:color="auto" w:fill="auto"/>
            <w:noWrap/>
            <w:vAlign w:val="bottom"/>
            <w:hideMark/>
          </w:tcPr>
          <w:p w14:paraId="024713BF" w14:textId="4D5CAC40"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152</w:t>
            </w:r>
          </w:p>
        </w:tc>
        <w:tc>
          <w:tcPr>
            <w:tcW w:w="1205" w:type="dxa"/>
            <w:shd w:val="clear" w:color="auto" w:fill="auto"/>
            <w:noWrap/>
            <w:vAlign w:val="bottom"/>
            <w:hideMark/>
          </w:tcPr>
          <w:p w14:paraId="7BCD464C" w14:textId="7748FF4B"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19</w:t>
            </w:r>
          </w:p>
        </w:tc>
        <w:tc>
          <w:tcPr>
            <w:tcW w:w="1088" w:type="dxa"/>
            <w:shd w:val="clear" w:color="auto" w:fill="E7E6E6" w:themeFill="background2"/>
            <w:noWrap/>
            <w:vAlign w:val="center"/>
            <w:hideMark/>
          </w:tcPr>
          <w:p w14:paraId="0C3AE553" w14:textId="77777777" w:rsidR="003B322C" w:rsidRPr="00B113F4" w:rsidRDefault="003B322C" w:rsidP="003B322C">
            <w:pPr>
              <w:spacing w:after="120"/>
              <w:jc w:val="center"/>
              <w:rPr>
                <w:rFonts w:ascii="Times New Roman" w:hAnsi="Times New Roman" w:cs="Times New Roman"/>
              </w:rPr>
            </w:pPr>
            <w:r w:rsidRPr="00B113F4">
              <w:rPr>
                <w:rFonts w:ascii="Times New Roman" w:hAnsi="Times New Roman" w:cs="Times New Roman"/>
              </w:rPr>
              <w:t>25.46%</w:t>
            </w:r>
          </w:p>
        </w:tc>
        <w:tc>
          <w:tcPr>
            <w:tcW w:w="1088" w:type="dxa"/>
            <w:tcBorders>
              <w:right w:val="single" w:sz="4" w:space="0" w:color="auto"/>
            </w:tcBorders>
            <w:shd w:val="clear" w:color="auto" w:fill="auto"/>
            <w:noWrap/>
            <w:vAlign w:val="center"/>
            <w:hideMark/>
          </w:tcPr>
          <w:p w14:paraId="4A7C5EBE" w14:textId="77777777" w:rsidR="003B322C" w:rsidRPr="00B25B62" w:rsidRDefault="003B322C" w:rsidP="003B322C">
            <w:pPr>
              <w:spacing w:after="120"/>
              <w:jc w:val="center"/>
              <w:rPr>
                <w:rFonts w:ascii="Times New Roman" w:hAnsi="Times New Roman" w:cs="Times New Roman"/>
              </w:rPr>
            </w:pPr>
            <w:r w:rsidRPr="00B25B62">
              <w:rPr>
                <w:rFonts w:ascii="Times New Roman" w:hAnsi="Times New Roman" w:cs="Times New Roman"/>
              </w:rPr>
              <w:t>3.18%</w:t>
            </w:r>
          </w:p>
        </w:tc>
      </w:tr>
      <w:tr w:rsidR="003B322C" w:rsidRPr="00B25B62" w14:paraId="066BAC6D" w14:textId="77777777" w:rsidTr="005430B8">
        <w:trPr>
          <w:trHeight w:val="345"/>
          <w:jc w:val="center"/>
        </w:trPr>
        <w:tc>
          <w:tcPr>
            <w:tcW w:w="1194" w:type="dxa"/>
            <w:tcBorders>
              <w:left w:val="single" w:sz="4" w:space="0" w:color="auto"/>
              <w:bottom w:val="single" w:sz="4" w:space="0" w:color="auto"/>
            </w:tcBorders>
            <w:shd w:val="clear" w:color="auto" w:fill="auto"/>
            <w:noWrap/>
            <w:vAlign w:val="bottom"/>
            <w:hideMark/>
          </w:tcPr>
          <w:p w14:paraId="76A9F61D" w14:textId="77777777" w:rsidR="003B322C" w:rsidRPr="00B25B62" w:rsidRDefault="003B322C" w:rsidP="003B322C">
            <w:pPr>
              <w:spacing w:after="12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Low</w:t>
            </w:r>
          </w:p>
        </w:tc>
        <w:tc>
          <w:tcPr>
            <w:tcW w:w="1160" w:type="dxa"/>
            <w:tcBorders>
              <w:bottom w:val="single" w:sz="4" w:space="0" w:color="auto"/>
            </w:tcBorders>
            <w:shd w:val="clear" w:color="auto" w:fill="E7E6E6" w:themeFill="background2"/>
            <w:noWrap/>
            <w:vAlign w:val="bottom"/>
            <w:hideMark/>
          </w:tcPr>
          <w:p w14:paraId="7153BFF3" w14:textId="77777777" w:rsidR="003B322C" w:rsidRPr="00B113F4" w:rsidRDefault="003B322C" w:rsidP="003B322C">
            <w:pPr>
              <w:spacing w:after="120" w:line="240" w:lineRule="auto"/>
              <w:jc w:val="center"/>
              <w:rPr>
                <w:rFonts w:ascii="Times New Roman" w:eastAsia="Times New Roman" w:hAnsi="Times New Roman" w:cs="Times New Roman"/>
                <w:color w:val="000000"/>
              </w:rPr>
            </w:pPr>
            <w:r w:rsidRPr="00B113F4">
              <w:rPr>
                <w:rFonts w:ascii="Times New Roman" w:eastAsia="Times New Roman" w:hAnsi="Times New Roman" w:cs="Times New Roman"/>
                <w:color w:val="000000"/>
              </w:rPr>
              <w:t>35</w:t>
            </w:r>
          </w:p>
        </w:tc>
        <w:tc>
          <w:tcPr>
            <w:tcW w:w="1384" w:type="dxa"/>
            <w:tcBorders>
              <w:bottom w:val="single" w:sz="4" w:space="0" w:color="auto"/>
            </w:tcBorders>
            <w:shd w:val="clear" w:color="auto" w:fill="auto"/>
            <w:noWrap/>
            <w:vAlign w:val="bottom"/>
            <w:hideMark/>
          </w:tcPr>
          <w:p w14:paraId="34F7D293" w14:textId="4676DD9A"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597</w:t>
            </w:r>
          </w:p>
        </w:tc>
        <w:tc>
          <w:tcPr>
            <w:tcW w:w="1236" w:type="dxa"/>
            <w:tcBorders>
              <w:bottom w:val="single" w:sz="4" w:space="0" w:color="auto"/>
            </w:tcBorders>
            <w:shd w:val="clear" w:color="auto" w:fill="auto"/>
            <w:noWrap/>
            <w:vAlign w:val="bottom"/>
            <w:hideMark/>
          </w:tcPr>
          <w:p w14:paraId="225630A3" w14:textId="59203270"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138</w:t>
            </w:r>
          </w:p>
        </w:tc>
        <w:tc>
          <w:tcPr>
            <w:tcW w:w="1205" w:type="dxa"/>
            <w:tcBorders>
              <w:bottom w:val="single" w:sz="4" w:space="0" w:color="auto"/>
            </w:tcBorders>
            <w:shd w:val="clear" w:color="auto" w:fill="auto"/>
            <w:noWrap/>
            <w:vAlign w:val="bottom"/>
            <w:hideMark/>
          </w:tcPr>
          <w:p w14:paraId="5F94B1E2" w14:textId="433BD631" w:rsidR="003B322C" w:rsidRPr="00B113F4" w:rsidRDefault="003B322C" w:rsidP="003B322C">
            <w:pPr>
              <w:spacing w:after="120"/>
              <w:jc w:val="center"/>
              <w:rPr>
                <w:rFonts w:ascii="Times New Roman" w:hAnsi="Times New Roman" w:cs="Times New Roman"/>
              </w:rPr>
            </w:pPr>
            <w:r w:rsidRPr="005430B8">
              <w:rPr>
                <w:rFonts w:ascii="Times New Roman" w:hAnsi="Times New Roman" w:cs="Times New Roman"/>
              </w:rPr>
              <w:t>17</w:t>
            </w:r>
          </w:p>
        </w:tc>
        <w:tc>
          <w:tcPr>
            <w:tcW w:w="1088" w:type="dxa"/>
            <w:tcBorders>
              <w:bottom w:val="single" w:sz="4" w:space="0" w:color="auto"/>
            </w:tcBorders>
            <w:shd w:val="clear" w:color="auto" w:fill="E7E6E6" w:themeFill="background2"/>
            <w:noWrap/>
            <w:vAlign w:val="center"/>
            <w:hideMark/>
          </w:tcPr>
          <w:p w14:paraId="4D351269" w14:textId="77777777" w:rsidR="003B322C" w:rsidRPr="00B113F4" w:rsidRDefault="003B322C" w:rsidP="003B322C">
            <w:pPr>
              <w:spacing w:after="120"/>
              <w:jc w:val="center"/>
              <w:rPr>
                <w:rFonts w:ascii="Times New Roman" w:hAnsi="Times New Roman" w:cs="Times New Roman"/>
              </w:rPr>
            </w:pPr>
            <w:r w:rsidRPr="00B113F4">
              <w:rPr>
                <w:rFonts w:ascii="Times New Roman" w:hAnsi="Times New Roman" w:cs="Times New Roman"/>
              </w:rPr>
              <w:t>23.12%</w:t>
            </w:r>
          </w:p>
        </w:tc>
        <w:tc>
          <w:tcPr>
            <w:tcW w:w="1088" w:type="dxa"/>
            <w:tcBorders>
              <w:bottom w:val="single" w:sz="4" w:space="0" w:color="auto"/>
              <w:right w:val="single" w:sz="4" w:space="0" w:color="auto"/>
            </w:tcBorders>
            <w:shd w:val="clear" w:color="auto" w:fill="auto"/>
            <w:noWrap/>
            <w:vAlign w:val="center"/>
            <w:hideMark/>
          </w:tcPr>
          <w:p w14:paraId="081020E3" w14:textId="77777777" w:rsidR="003B322C" w:rsidRPr="00B25B62" w:rsidRDefault="003B322C" w:rsidP="003B322C">
            <w:pPr>
              <w:spacing w:after="120"/>
              <w:jc w:val="center"/>
              <w:rPr>
                <w:rFonts w:ascii="Times New Roman" w:hAnsi="Times New Roman" w:cs="Times New Roman"/>
              </w:rPr>
            </w:pPr>
            <w:r w:rsidRPr="00B25B62">
              <w:rPr>
                <w:rFonts w:ascii="Times New Roman" w:hAnsi="Times New Roman" w:cs="Times New Roman"/>
              </w:rPr>
              <w:t>2.85%</w:t>
            </w:r>
          </w:p>
        </w:tc>
      </w:tr>
    </w:tbl>
    <w:p w14:paraId="6BC27E07" w14:textId="7FB8F73A" w:rsidR="00634B2F" w:rsidRDefault="00634B2F" w:rsidP="004615EC">
      <w:pPr>
        <w:spacing w:after="120"/>
        <w:rPr>
          <w:rFonts w:ascii="Times New Roman" w:hAnsi="Times New Roman" w:cs="Times New Roman"/>
        </w:rPr>
      </w:pPr>
      <w:r w:rsidRPr="00B25B62">
        <w:rPr>
          <w:rFonts w:ascii="Times New Roman" w:hAnsi="Times New Roman" w:cs="Times New Roman"/>
        </w:rPr>
        <w:t xml:space="preserve"> </w:t>
      </w:r>
    </w:p>
    <w:p w14:paraId="4B9CF664" w14:textId="77777777" w:rsidR="002F64DA" w:rsidRPr="00B25B62" w:rsidRDefault="002F64DA" w:rsidP="004615EC">
      <w:pPr>
        <w:spacing w:after="120"/>
        <w:rPr>
          <w:rFonts w:ascii="Times New Roman" w:hAnsi="Times New Roman" w:cs="Times New Roman"/>
        </w:rPr>
      </w:pPr>
    </w:p>
    <w:p w14:paraId="1F69C7BC" w14:textId="77777777" w:rsidR="00FB39B3" w:rsidRDefault="00FB39B3" w:rsidP="00F62AE7">
      <w:pPr>
        <w:pStyle w:val="ListParagraph"/>
        <w:numPr>
          <w:ilvl w:val="0"/>
          <w:numId w:val="5"/>
        </w:numPr>
        <w:spacing w:after="120"/>
        <w:ind w:left="360"/>
        <w:rPr>
          <w:rFonts w:ascii="Times New Roman" w:hAnsi="Times New Roman" w:cs="Times New Roman"/>
          <w:b/>
        </w:rPr>
      </w:pPr>
      <w:r w:rsidRPr="00B25B62">
        <w:rPr>
          <w:rFonts w:ascii="Times New Roman" w:hAnsi="Times New Roman" w:cs="Times New Roman"/>
          <w:b/>
        </w:rPr>
        <w:t>NIR Bonuses</w:t>
      </w:r>
    </w:p>
    <w:p w14:paraId="4154574C" w14:textId="77777777" w:rsidR="00F62AE7" w:rsidRPr="00F62AE7" w:rsidRDefault="00F62AE7" w:rsidP="00F62AE7">
      <w:pPr>
        <w:spacing w:after="120"/>
        <w:rPr>
          <w:rFonts w:ascii="Times New Roman" w:hAnsi="Times New Roman" w:cs="Times New Roman"/>
          <w:b/>
        </w:rPr>
      </w:pPr>
    </w:p>
    <w:p w14:paraId="38202E12" w14:textId="48FBEAC9" w:rsidR="00FB39B3" w:rsidRPr="00B25B62" w:rsidRDefault="004615EC" w:rsidP="00E356A3">
      <w:pPr>
        <w:pStyle w:val="ListParagraph"/>
        <w:numPr>
          <w:ilvl w:val="1"/>
          <w:numId w:val="5"/>
        </w:numPr>
        <w:spacing w:after="120"/>
        <w:ind w:left="360"/>
        <w:rPr>
          <w:rFonts w:ascii="Times New Roman" w:hAnsi="Times New Roman" w:cs="Times New Roman"/>
          <w:i/>
        </w:rPr>
      </w:pPr>
      <w:r w:rsidRPr="00B25B62">
        <w:rPr>
          <w:rFonts w:ascii="Times New Roman" w:hAnsi="Times New Roman" w:cs="Times New Roman"/>
          <w:i/>
        </w:rPr>
        <w:t>Summary</w:t>
      </w:r>
    </w:p>
    <w:p w14:paraId="5DAAFF86" w14:textId="72B76138" w:rsidR="00FC4F80" w:rsidRDefault="002F64DA" w:rsidP="009755BA">
      <w:pPr>
        <w:spacing w:after="120" w:line="276" w:lineRule="auto"/>
        <w:rPr>
          <w:rFonts w:ascii="Times New Roman" w:hAnsi="Times New Roman" w:cs="Times New Roman"/>
        </w:rPr>
      </w:pPr>
      <w:r>
        <w:rPr>
          <w:rFonts w:ascii="Times New Roman" w:hAnsi="Times New Roman" w:cs="Times New Roman"/>
        </w:rPr>
        <w:t xml:space="preserve">Table 2 below shows the NIR bonus eligibility of various groups of respondents in Rounds 17 and 18, along with their eventual completion rates.  </w:t>
      </w:r>
      <w:r w:rsidR="0043404A">
        <w:rPr>
          <w:rFonts w:ascii="Times New Roman" w:hAnsi="Times New Roman" w:cs="Times New Roman"/>
        </w:rPr>
        <w:t>I</w:t>
      </w:r>
      <w:r w:rsidR="00FC4F80">
        <w:rPr>
          <w:rFonts w:ascii="Times New Roman" w:hAnsi="Times New Roman" w:cs="Times New Roman"/>
        </w:rPr>
        <w:t xml:space="preserve">ndividuals </w:t>
      </w:r>
      <w:r w:rsidR="0043404A">
        <w:rPr>
          <w:rFonts w:ascii="Times New Roman" w:hAnsi="Times New Roman" w:cs="Times New Roman"/>
        </w:rPr>
        <w:t xml:space="preserve">are assigned </w:t>
      </w:r>
      <w:r w:rsidR="00FC4F80">
        <w:rPr>
          <w:rFonts w:ascii="Times New Roman" w:hAnsi="Times New Roman" w:cs="Times New Roman"/>
        </w:rPr>
        <w:t>to different NIR bonus amounts in either round</w:t>
      </w:r>
      <w:r w:rsidR="0043404A">
        <w:rPr>
          <w:rFonts w:ascii="Times New Roman" w:hAnsi="Times New Roman" w:cs="Times New Roman"/>
        </w:rPr>
        <w:t xml:space="preserve"> based on their interview history;</w:t>
      </w:r>
      <w:r w:rsidR="00FC4F80">
        <w:rPr>
          <w:rFonts w:ascii="Times New Roman" w:hAnsi="Times New Roman" w:cs="Times New Roman"/>
        </w:rPr>
        <w:t xml:space="preserve"> this analysis provides </w:t>
      </w:r>
      <w:r w:rsidR="00DD1767">
        <w:rPr>
          <w:rFonts w:ascii="Times New Roman" w:hAnsi="Times New Roman" w:cs="Times New Roman"/>
        </w:rPr>
        <w:t xml:space="preserve">only </w:t>
      </w:r>
      <w:r w:rsidR="00FC4F80">
        <w:rPr>
          <w:rFonts w:ascii="Times New Roman" w:hAnsi="Times New Roman" w:cs="Times New Roman"/>
        </w:rPr>
        <w:t>descriptive evidence on the relative efficacy of NIR bonuses.</w:t>
      </w:r>
    </w:p>
    <w:p w14:paraId="02E2E1B3" w14:textId="5993AF07" w:rsidR="006C35C7" w:rsidRDefault="002F64DA" w:rsidP="009755BA">
      <w:pPr>
        <w:spacing w:after="120" w:line="276" w:lineRule="auto"/>
        <w:rPr>
          <w:rFonts w:ascii="Times New Roman" w:hAnsi="Times New Roman" w:cs="Times New Roman"/>
        </w:rPr>
      </w:pPr>
      <w:r>
        <w:rPr>
          <w:rFonts w:ascii="Times New Roman" w:hAnsi="Times New Roman" w:cs="Times New Roman"/>
        </w:rPr>
        <w:t xml:space="preserve">In terms of the relative pattern of responses in Rounds 17 and 18, we see the individuals out 3 or more rounds respond at higher rates in Round 18.  While this may suggest that the additional NIR bonuses in Round 18 served to increase response rates in this group, it is difficult to compare these groups directly between Round 17 and Round 18 because the composition of the groups changes between rounds.  For instance, </w:t>
      </w:r>
      <w:r w:rsidR="008A3A15" w:rsidRPr="00B25B62">
        <w:rPr>
          <w:rFonts w:ascii="Times New Roman" w:hAnsi="Times New Roman" w:cs="Times New Roman"/>
        </w:rPr>
        <w:t>some of the respondents</w:t>
      </w:r>
      <w:r>
        <w:rPr>
          <w:rFonts w:ascii="Times New Roman" w:hAnsi="Times New Roman" w:cs="Times New Roman"/>
        </w:rPr>
        <w:t xml:space="preserve"> out</w:t>
      </w:r>
      <w:r w:rsidR="008A3A15" w:rsidRPr="00B25B62">
        <w:rPr>
          <w:rFonts w:ascii="Times New Roman" w:hAnsi="Times New Roman" w:cs="Times New Roman"/>
        </w:rPr>
        <w:t xml:space="preserve"> 4 rounds in Round 17 have now entered the Round 18 </w:t>
      </w:r>
      <w:r>
        <w:rPr>
          <w:rFonts w:ascii="Times New Roman" w:hAnsi="Times New Roman" w:cs="Times New Roman"/>
        </w:rPr>
        <w:t>“</w:t>
      </w:r>
      <w:r w:rsidR="008A3A15" w:rsidRPr="00B25B62">
        <w:rPr>
          <w:rFonts w:ascii="Times New Roman" w:hAnsi="Times New Roman" w:cs="Times New Roman"/>
        </w:rPr>
        <w:t>out 5 or more rounds</w:t>
      </w:r>
      <w:r>
        <w:rPr>
          <w:rFonts w:ascii="Times New Roman" w:hAnsi="Times New Roman" w:cs="Times New Roman"/>
        </w:rPr>
        <w:t>” group</w:t>
      </w:r>
      <w:r w:rsidR="008A3A15" w:rsidRPr="00B25B62">
        <w:rPr>
          <w:rFonts w:ascii="Times New Roman" w:hAnsi="Times New Roman" w:cs="Times New Roman"/>
        </w:rPr>
        <w:t>.</w:t>
      </w:r>
      <w:r>
        <w:rPr>
          <w:rFonts w:ascii="Times New Roman" w:hAnsi="Times New Roman" w:cs="Times New Roman"/>
        </w:rPr>
        <w:t xml:space="preserve">  Nonetheless, the overall patterns of responses across these groups are similar between rounds</w:t>
      </w:r>
      <w:r w:rsidR="0043404A">
        <w:rPr>
          <w:rFonts w:ascii="Times New Roman" w:hAnsi="Times New Roman" w:cs="Times New Roman"/>
        </w:rPr>
        <w:t xml:space="preserve">.  </w:t>
      </w:r>
      <w:r w:rsidR="00A6211C">
        <w:rPr>
          <w:rFonts w:ascii="Times New Roman" w:hAnsi="Times New Roman" w:cs="Times New Roman"/>
        </w:rPr>
        <w:t xml:space="preserve">For both rounds, respondents who completed last round have very high response rates </w:t>
      </w:r>
      <w:r w:rsidR="00A6211C">
        <w:rPr>
          <w:rFonts w:ascii="Times New Roman" w:hAnsi="Times New Roman" w:cs="Times New Roman"/>
        </w:rPr>
        <w:lastRenderedPageBreak/>
        <w:t xml:space="preserve">near or above 90 percent in both rounds.  Completion rates drop substantially for respondents out only one round, and continue to drop to the point where the completion rate for respondents out 5 or more rounds is near 7 percent in both Round 17 and Round 18.  </w:t>
      </w:r>
      <w:r w:rsidR="0043404A">
        <w:rPr>
          <w:rFonts w:ascii="Times New Roman" w:hAnsi="Times New Roman" w:cs="Times New Roman"/>
        </w:rPr>
        <w:t>T</w:t>
      </w:r>
      <w:r>
        <w:rPr>
          <w:rFonts w:ascii="Times New Roman" w:hAnsi="Times New Roman" w:cs="Times New Roman"/>
        </w:rPr>
        <w:t>he</w:t>
      </w:r>
      <w:r w:rsidR="00B51968">
        <w:rPr>
          <w:rFonts w:ascii="Times New Roman" w:hAnsi="Times New Roman" w:cs="Times New Roman"/>
        </w:rPr>
        <w:t>refore, the</w:t>
      </w:r>
      <w:r>
        <w:rPr>
          <w:rFonts w:ascii="Times New Roman" w:hAnsi="Times New Roman" w:cs="Times New Roman"/>
        </w:rPr>
        <w:t xml:space="preserve"> </w:t>
      </w:r>
      <w:r w:rsidR="0043404A">
        <w:rPr>
          <w:rFonts w:ascii="Times New Roman" w:hAnsi="Times New Roman" w:cs="Times New Roman"/>
        </w:rPr>
        <w:t xml:space="preserve">NIR </w:t>
      </w:r>
      <w:r>
        <w:rPr>
          <w:rFonts w:ascii="Times New Roman" w:hAnsi="Times New Roman" w:cs="Times New Roman"/>
        </w:rPr>
        <w:t xml:space="preserve">bonuses </w:t>
      </w:r>
      <w:r w:rsidR="0043404A">
        <w:rPr>
          <w:rFonts w:ascii="Times New Roman" w:hAnsi="Times New Roman" w:cs="Times New Roman"/>
        </w:rPr>
        <w:t xml:space="preserve">may have helped </w:t>
      </w:r>
      <w:r>
        <w:rPr>
          <w:rFonts w:ascii="Times New Roman" w:hAnsi="Times New Roman" w:cs="Times New Roman"/>
        </w:rPr>
        <w:t xml:space="preserve">us recruit respondents </w:t>
      </w:r>
      <w:r w:rsidR="0043404A">
        <w:rPr>
          <w:rFonts w:ascii="Times New Roman" w:hAnsi="Times New Roman" w:cs="Times New Roman"/>
        </w:rPr>
        <w:t>in</w:t>
      </w:r>
      <w:r>
        <w:rPr>
          <w:rFonts w:ascii="Times New Roman" w:hAnsi="Times New Roman" w:cs="Times New Roman"/>
        </w:rPr>
        <w:t xml:space="preserve"> Round 18 and Round 17.</w:t>
      </w:r>
    </w:p>
    <w:p w14:paraId="7D1688A3" w14:textId="70113823" w:rsidR="00463FE3" w:rsidRPr="00B15C73" w:rsidRDefault="00463FE3" w:rsidP="004615EC">
      <w:pPr>
        <w:spacing w:after="120"/>
        <w:rPr>
          <w:rFonts w:ascii="Times New Roman" w:hAnsi="Times New Roman" w:cs="Times New Roman"/>
        </w:rPr>
      </w:pPr>
      <w:r>
        <w:rPr>
          <w:rFonts w:ascii="Times New Roman" w:hAnsi="Times New Roman" w:cs="Times New Roman"/>
        </w:rPr>
        <w:t xml:space="preserve">Table 2 also shows Early Bird and in person completion rates for these different groups.  While Round 17 did </w:t>
      </w:r>
      <w:r w:rsidR="008370C1">
        <w:rPr>
          <w:rFonts w:ascii="Times New Roman" w:hAnsi="Times New Roman" w:cs="Times New Roman"/>
        </w:rPr>
        <w:t xml:space="preserve">not offer an Early Bird incentive, the results from Round 18 show that </w:t>
      </w:r>
      <w:r w:rsidR="00B15C73">
        <w:rPr>
          <w:rFonts w:ascii="Times New Roman" w:hAnsi="Times New Roman" w:cs="Times New Roman"/>
        </w:rPr>
        <w:t xml:space="preserve">the majority of Early Bird completes occurred for individuals who completed last round.  Early Bird completion rates for individuals who had been out </w:t>
      </w:r>
      <w:r w:rsidR="00F62AE7">
        <w:rPr>
          <w:rFonts w:ascii="Times New Roman" w:hAnsi="Times New Roman" w:cs="Times New Roman"/>
        </w:rPr>
        <w:t>at least one round</w:t>
      </w:r>
      <w:r w:rsidR="00B15C73">
        <w:rPr>
          <w:rFonts w:ascii="Times New Roman" w:hAnsi="Times New Roman" w:cs="Times New Roman"/>
        </w:rPr>
        <w:t xml:space="preserve"> were very low.</w:t>
      </w:r>
    </w:p>
    <w:p w14:paraId="25562866" w14:textId="35659C18" w:rsidR="00463FE3" w:rsidRPr="00463FE3" w:rsidRDefault="00463FE3" w:rsidP="004615EC">
      <w:pPr>
        <w:spacing w:after="120"/>
        <w:rPr>
          <w:rFonts w:ascii="Times New Roman" w:hAnsi="Times New Roman" w:cs="Times New Roman"/>
        </w:rPr>
      </w:pPr>
      <w:r>
        <w:rPr>
          <w:rFonts w:ascii="Times New Roman" w:hAnsi="Times New Roman" w:cs="Times New Roman"/>
        </w:rPr>
        <w:t xml:space="preserve">The results for </w:t>
      </w:r>
      <w:r w:rsidR="00F15AB0">
        <w:rPr>
          <w:rFonts w:ascii="Times New Roman" w:hAnsi="Times New Roman" w:cs="Times New Roman"/>
        </w:rPr>
        <w:t>fraction of completes that were made in person</w:t>
      </w:r>
      <w:r>
        <w:rPr>
          <w:rFonts w:ascii="Times New Roman" w:hAnsi="Times New Roman" w:cs="Times New Roman"/>
        </w:rPr>
        <w:t xml:space="preserve"> are </w:t>
      </w:r>
      <w:r w:rsidR="0043404A">
        <w:rPr>
          <w:rFonts w:ascii="Times New Roman" w:hAnsi="Times New Roman" w:cs="Times New Roman"/>
        </w:rPr>
        <w:t xml:space="preserve">not comparable </w:t>
      </w:r>
      <w:r>
        <w:rPr>
          <w:rFonts w:ascii="Times New Roman" w:hAnsi="Times New Roman" w:cs="Times New Roman"/>
        </w:rPr>
        <w:t xml:space="preserve">between Round 17 and Round 18 </w:t>
      </w:r>
      <w:r w:rsidR="0043404A">
        <w:rPr>
          <w:rFonts w:ascii="Times New Roman" w:hAnsi="Times New Roman" w:cs="Times New Roman"/>
        </w:rPr>
        <w:t xml:space="preserve">because the survey </w:t>
      </w:r>
      <w:r>
        <w:rPr>
          <w:rFonts w:ascii="Times New Roman" w:hAnsi="Times New Roman" w:cs="Times New Roman"/>
        </w:rPr>
        <w:t>move</w:t>
      </w:r>
      <w:r w:rsidR="0043404A">
        <w:rPr>
          <w:rFonts w:ascii="Times New Roman" w:hAnsi="Times New Roman" w:cs="Times New Roman"/>
        </w:rPr>
        <w:t>d</w:t>
      </w:r>
      <w:r>
        <w:rPr>
          <w:rFonts w:ascii="Times New Roman" w:hAnsi="Times New Roman" w:cs="Times New Roman"/>
        </w:rPr>
        <w:t xml:space="preserve"> </w:t>
      </w:r>
      <w:r w:rsidR="0043404A">
        <w:rPr>
          <w:rFonts w:ascii="Times New Roman" w:hAnsi="Times New Roman" w:cs="Times New Roman"/>
        </w:rPr>
        <w:t xml:space="preserve">from in-person </w:t>
      </w:r>
      <w:r w:rsidR="00B51968">
        <w:rPr>
          <w:rFonts w:ascii="Times New Roman" w:hAnsi="Times New Roman" w:cs="Times New Roman"/>
        </w:rPr>
        <w:t>to</w:t>
      </w:r>
      <w:r>
        <w:rPr>
          <w:rFonts w:ascii="Times New Roman" w:hAnsi="Times New Roman" w:cs="Times New Roman"/>
        </w:rPr>
        <w:t xml:space="preserve"> phone </w:t>
      </w:r>
      <w:r w:rsidR="0043404A">
        <w:rPr>
          <w:rFonts w:ascii="Times New Roman" w:hAnsi="Times New Roman" w:cs="Times New Roman"/>
        </w:rPr>
        <w:t>a</w:t>
      </w:r>
      <w:r w:rsidR="00B51968">
        <w:rPr>
          <w:rFonts w:ascii="Times New Roman" w:hAnsi="Times New Roman" w:cs="Times New Roman"/>
        </w:rPr>
        <w:t>s</w:t>
      </w:r>
      <w:r w:rsidR="0043404A">
        <w:rPr>
          <w:rFonts w:ascii="Times New Roman" w:hAnsi="Times New Roman" w:cs="Times New Roman"/>
        </w:rPr>
        <w:t xml:space="preserve"> the primary mode of collection </w:t>
      </w:r>
      <w:r>
        <w:rPr>
          <w:rFonts w:ascii="Times New Roman" w:hAnsi="Times New Roman" w:cs="Times New Roman"/>
        </w:rPr>
        <w:t xml:space="preserve">in Round 18.  </w:t>
      </w:r>
      <w:r w:rsidR="00E27CE3">
        <w:rPr>
          <w:rFonts w:ascii="Times New Roman" w:hAnsi="Times New Roman" w:cs="Times New Roman"/>
        </w:rPr>
        <w:t>Still</w:t>
      </w:r>
      <w:r w:rsidR="008370C1">
        <w:rPr>
          <w:rFonts w:ascii="Times New Roman" w:hAnsi="Times New Roman" w:cs="Times New Roman"/>
        </w:rPr>
        <w:t>, the patterns of relative in person completion rates across group of respondents who have been out rounds is similar in both rounds.</w:t>
      </w:r>
      <w:r w:rsidR="00AB2B73">
        <w:rPr>
          <w:rFonts w:ascii="Times New Roman" w:hAnsi="Times New Roman" w:cs="Times New Roman"/>
        </w:rPr>
        <w:t xml:space="preserve"> </w:t>
      </w:r>
      <w:r w:rsidR="00DD1767">
        <w:rPr>
          <w:rFonts w:ascii="Times New Roman" w:hAnsi="Times New Roman" w:cs="Times New Roman"/>
        </w:rPr>
        <w:t>This again suggests that the bonuses functioned similarly in Round 17 and Round 18.</w:t>
      </w:r>
    </w:p>
    <w:p w14:paraId="5E59781B" w14:textId="30C6DBED" w:rsidR="002F64DA" w:rsidRDefault="002F64DA">
      <w:pPr>
        <w:rPr>
          <w:rFonts w:ascii="Times New Roman" w:hAnsi="Times New Roman" w:cs="Times New Roman"/>
          <w:b/>
        </w:rPr>
      </w:pPr>
    </w:p>
    <w:p w14:paraId="5A3A583C" w14:textId="2CC56A9B" w:rsidR="008A3A15" w:rsidRPr="002F64DA" w:rsidRDefault="002F64DA" w:rsidP="002F64DA">
      <w:pPr>
        <w:spacing w:after="120"/>
        <w:jc w:val="center"/>
        <w:rPr>
          <w:rFonts w:ascii="Times New Roman" w:hAnsi="Times New Roman" w:cs="Times New Roman"/>
          <w:b/>
        </w:rPr>
      </w:pPr>
      <w:r w:rsidRPr="002F64DA">
        <w:rPr>
          <w:rFonts w:ascii="Times New Roman" w:hAnsi="Times New Roman" w:cs="Times New Roman"/>
          <w:b/>
        </w:rPr>
        <w:t>Table 2:  NIR Bonus Summary Table</w:t>
      </w:r>
    </w:p>
    <w:tbl>
      <w:tblPr>
        <w:tblW w:w="11155" w:type="dxa"/>
        <w:jc w:val="center"/>
        <w:tblLayout w:type="fixed"/>
        <w:tblLook w:val="04A0" w:firstRow="1" w:lastRow="0" w:firstColumn="1" w:lastColumn="0" w:noHBand="0" w:noVBand="1"/>
      </w:tblPr>
      <w:tblGrid>
        <w:gridCol w:w="1620"/>
        <w:gridCol w:w="810"/>
        <w:gridCol w:w="810"/>
        <w:gridCol w:w="729"/>
        <w:gridCol w:w="751"/>
        <w:gridCol w:w="1255"/>
        <w:gridCol w:w="1296"/>
        <w:gridCol w:w="1301"/>
        <w:gridCol w:w="1328"/>
        <w:gridCol w:w="1255"/>
      </w:tblGrid>
      <w:tr w:rsidR="00AF4747" w:rsidRPr="008A3A15" w14:paraId="3E86F56F" w14:textId="1B984603" w:rsidTr="00720205">
        <w:trPr>
          <w:trHeight w:val="304"/>
          <w:jc w:val="center"/>
        </w:trPr>
        <w:tc>
          <w:tcPr>
            <w:tcW w:w="1620" w:type="dxa"/>
            <w:tcBorders>
              <w:top w:val="single" w:sz="4" w:space="0" w:color="auto"/>
              <w:left w:val="single" w:sz="4" w:space="0" w:color="auto"/>
              <w:bottom w:val="single" w:sz="4" w:space="0" w:color="auto"/>
            </w:tcBorders>
            <w:shd w:val="clear" w:color="auto" w:fill="auto"/>
            <w:noWrap/>
            <w:vAlign w:val="bottom"/>
            <w:hideMark/>
          </w:tcPr>
          <w:p w14:paraId="1562C2DC" w14:textId="77777777" w:rsidR="00AF4747" w:rsidRPr="008370C1" w:rsidRDefault="00AF4747" w:rsidP="00AF4747">
            <w:pPr>
              <w:spacing w:after="0" w:line="240" w:lineRule="auto"/>
              <w:rPr>
                <w:rFonts w:ascii="Times New Roman" w:eastAsia="Times New Roman" w:hAnsi="Times New Roman" w:cs="Times New Roman"/>
                <w:color w:val="000000"/>
              </w:rPr>
            </w:pPr>
            <w:r w:rsidRPr="008370C1">
              <w:rPr>
                <w:rFonts w:ascii="Times New Roman" w:eastAsia="Times New Roman" w:hAnsi="Times New Roman" w:cs="Times New Roman"/>
                <w:color w:val="000000"/>
              </w:rPr>
              <w:t>Status</w:t>
            </w:r>
          </w:p>
        </w:tc>
        <w:tc>
          <w:tcPr>
            <w:tcW w:w="810" w:type="dxa"/>
            <w:tcBorders>
              <w:top w:val="single" w:sz="4" w:space="0" w:color="auto"/>
              <w:bottom w:val="single" w:sz="4" w:space="0" w:color="auto"/>
            </w:tcBorders>
            <w:shd w:val="clear" w:color="auto" w:fill="auto"/>
            <w:noWrap/>
            <w:vAlign w:val="bottom"/>
            <w:hideMark/>
          </w:tcPr>
          <w:p w14:paraId="08DA37E9" w14:textId="77777777" w:rsidR="00AF4747" w:rsidRPr="008370C1" w:rsidRDefault="00AF4747" w:rsidP="00AF4747">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R17 NIR Bonus</w:t>
            </w:r>
          </w:p>
        </w:tc>
        <w:tc>
          <w:tcPr>
            <w:tcW w:w="810" w:type="dxa"/>
            <w:tcBorders>
              <w:top w:val="single" w:sz="4" w:space="0" w:color="auto"/>
              <w:bottom w:val="single" w:sz="4" w:space="0" w:color="auto"/>
            </w:tcBorders>
            <w:shd w:val="clear" w:color="auto" w:fill="auto"/>
            <w:noWrap/>
            <w:vAlign w:val="bottom"/>
            <w:hideMark/>
          </w:tcPr>
          <w:p w14:paraId="369F8BC9" w14:textId="77777777" w:rsidR="00AF4747" w:rsidRPr="008370C1" w:rsidRDefault="00AF4747" w:rsidP="00AF4747">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R18 NIR Bonus</w:t>
            </w:r>
          </w:p>
        </w:tc>
        <w:tc>
          <w:tcPr>
            <w:tcW w:w="729" w:type="dxa"/>
            <w:tcBorders>
              <w:top w:val="single" w:sz="4" w:space="0" w:color="auto"/>
              <w:bottom w:val="single" w:sz="4" w:space="0" w:color="auto"/>
            </w:tcBorders>
            <w:shd w:val="clear" w:color="auto" w:fill="auto"/>
            <w:noWrap/>
            <w:vAlign w:val="bottom"/>
            <w:hideMark/>
          </w:tcPr>
          <w:p w14:paraId="6FF3C1E3" w14:textId="77777777" w:rsidR="00AF4747" w:rsidRPr="008370C1" w:rsidRDefault="00AF4747" w:rsidP="00AF4747">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R17</w:t>
            </w:r>
          </w:p>
          <w:p w14:paraId="21C262F5" w14:textId="418D9757" w:rsidR="00AF4747" w:rsidRPr="008370C1" w:rsidRDefault="00AF4747" w:rsidP="00AF4747">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N</w:t>
            </w:r>
          </w:p>
        </w:tc>
        <w:tc>
          <w:tcPr>
            <w:tcW w:w="751" w:type="dxa"/>
            <w:tcBorders>
              <w:top w:val="single" w:sz="4" w:space="0" w:color="auto"/>
              <w:bottom w:val="single" w:sz="4" w:space="0" w:color="auto"/>
            </w:tcBorders>
            <w:shd w:val="clear" w:color="auto" w:fill="auto"/>
            <w:noWrap/>
            <w:vAlign w:val="bottom"/>
            <w:hideMark/>
          </w:tcPr>
          <w:p w14:paraId="5A656D3A" w14:textId="77777777" w:rsidR="00AF4747" w:rsidRPr="008370C1" w:rsidRDefault="00AF4747" w:rsidP="00AF4747">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R18</w:t>
            </w:r>
          </w:p>
          <w:p w14:paraId="395B08AD" w14:textId="5184455A" w:rsidR="00AF4747" w:rsidRPr="008370C1" w:rsidRDefault="00AF4747" w:rsidP="00AF4747">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N</w:t>
            </w:r>
          </w:p>
        </w:tc>
        <w:tc>
          <w:tcPr>
            <w:tcW w:w="1255" w:type="dxa"/>
            <w:tcBorders>
              <w:top w:val="single" w:sz="4" w:space="0" w:color="auto"/>
              <w:bottom w:val="single" w:sz="4" w:space="0" w:color="auto"/>
            </w:tcBorders>
            <w:shd w:val="clear" w:color="auto" w:fill="auto"/>
            <w:noWrap/>
            <w:vAlign w:val="bottom"/>
            <w:hideMark/>
          </w:tcPr>
          <w:p w14:paraId="7468AD1C" w14:textId="77777777" w:rsidR="00AF4747" w:rsidRPr="008370C1" w:rsidRDefault="00AF4747" w:rsidP="00AF4747">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R17 Completion Rate</w:t>
            </w:r>
          </w:p>
        </w:tc>
        <w:tc>
          <w:tcPr>
            <w:tcW w:w="1296" w:type="dxa"/>
            <w:tcBorders>
              <w:top w:val="single" w:sz="4" w:space="0" w:color="auto"/>
              <w:bottom w:val="single" w:sz="4" w:space="0" w:color="auto"/>
            </w:tcBorders>
            <w:shd w:val="clear" w:color="auto" w:fill="auto"/>
            <w:noWrap/>
            <w:vAlign w:val="bottom"/>
            <w:hideMark/>
          </w:tcPr>
          <w:p w14:paraId="6EC60A53" w14:textId="77777777" w:rsidR="00AF4747" w:rsidRPr="008370C1" w:rsidRDefault="00AF4747" w:rsidP="00AF4747">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R18 Completion Rate</w:t>
            </w:r>
          </w:p>
        </w:tc>
        <w:tc>
          <w:tcPr>
            <w:tcW w:w="1301" w:type="dxa"/>
            <w:tcBorders>
              <w:top w:val="single" w:sz="4" w:space="0" w:color="auto"/>
              <w:bottom w:val="single" w:sz="4" w:space="0" w:color="auto"/>
            </w:tcBorders>
            <w:vAlign w:val="bottom"/>
          </w:tcPr>
          <w:p w14:paraId="1AE68CF4" w14:textId="6E0E5CAC" w:rsidR="00AF4747" w:rsidRPr="008370C1" w:rsidRDefault="00AF4747" w:rsidP="00AF4747">
            <w:pPr>
              <w:spacing w:after="0" w:line="240" w:lineRule="auto"/>
              <w:jc w:val="center"/>
              <w:rPr>
                <w:rFonts w:ascii="Times New Roman" w:eastAsia="Times New Roman" w:hAnsi="Times New Roman" w:cs="Times New Roman"/>
                <w:color w:val="000000"/>
              </w:rPr>
            </w:pPr>
            <w:r w:rsidRPr="008370C1">
              <w:rPr>
                <w:rFonts w:ascii="Times New Roman" w:hAnsi="Times New Roman" w:cs="Times New Roman"/>
                <w:color w:val="000000"/>
              </w:rPr>
              <w:t>R18 EB Completion Rate</w:t>
            </w:r>
          </w:p>
        </w:tc>
        <w:tc>
          <w:tcPr>
            <w:tcW w:w="1328" w:type="dxa"/>
            <w:tcBorders>
              <w:top w:val="single" w:sz="4" w:space="0" w:color="auto"/>
              <w:bottom w:val="single" w:sz="4" w:space="0" w:color="auto"/>
            </w:tcBorders>
            <w:vAlign w:val="bottom"/>
          </w:tcPr>
          <w:p w14:paraId="38063157" w14:textId="77777777" w:rsidR="00AF4747" w:rsidRPr="008370C1" w:rsidRDefault="00AF4747" w:rsidP="00AF4747">
            <w:pPr>
              <w:spacing w:after="0"/>
              <w:jc w:val="center"/>
              <w:rPr>
                <w:rFonts w:ascii="Times New Roman" w:hAnsi="Times New Roman" w:cs="Times New Roman"/>
                <w:color w:val="000000"/>
              </w:rPr>
            </w:pPr>
            <w:r w:rsidRPr="008370C1">
              <w:rPr>
                <w:rFonts w:ascii="Times New Roman" w:hAnsi="Times New Roman" w:cs="Times New Roman"/>
                <w:color w:val="000000"/>
              </w:rPr>
              <w:t>R17</w:t>
            </w:r>
          </w:p>
          <w:p w14:paraId="35A7A80A" w14:textId="16220430" w:rsidR="00AF4747" w:rsidRPr="008370C1" w:rsidRDefault="00720205" w:rsidP="00AF4747">
            <w:pPr>
              <w:spacing w:after="0" w:line="240" w:lineRule="auto"/>
              <w:jc w:val="center"/>
              <w:rPr>
                <w:rFonts w:ascii="Times New Roman" w:eastAsia="Times New Roman" w:hAnsi="Times New Roman" w:cs="Times New Roman"/>
                <w:color w:val="000000"/>
              </w:rPr>
            </w:pPr>
            <w:r>
              <w:rPr>
                <w:rFonts w:ascii="Times New Roman" w:hAnsi="Times New Roman" w:cs="Times New Roman"/>
                <w:color w:val="000000"/>
              </w:rPr>
              <w:t>Fraction of Completes In Person</w:t>
            </w:r>
          </w:p>
        </w:tc>
        <w:tc>
          <w:tcPr>
            <w:tcW w:w="1255" w:type="dxa"/>
            <w:tcBorders>
              <w:top w:val="single" w:sz="4" w:space="0" w:color="auto"/>
              <w:bottom w:val="single" w:sz="4" w:space="0" w:color="auto"/>
              <w:right w:val="single" w:sz="4" w:space="0" w:color="auto"/>
            </w:tcBorders>
            <w:vAlign w:val="bottom"/>
          </w:tcPr>
          <w:p w14:paraId="667DB6E6" w14:textId="77777777" w:rsidR="00AF4747" w:rsidRPr="008370C1" w:rsidRDefault="00AF4747" w:rsidP="00AF4747">
            <w:pPr>
              <w:spacing w:after="0"/>
              <w:jc w:val="center"/>
              <w:rPr>
                <w:rFonts w:ascii="Times New Roman" w:hAnsi="Times New Roman" w:cs="Times New Roman"/>
                <w:color w:val="000000"/>
              </w:rPr>
            </w:pPr>
            <w:r w:rsidRPr="008370C1">
              <w:rPr>
                <w:rFonts w:ascii="Times New Roman" w:hAnsi="Times New Roman" w:cs="Times New Roman"/>
                <w:color w:val="000000"/>
              </w:rPr>
              <w:t>R18</w:t>
            </w:r>
          </w:p>
          <w:p w14:paraId="3BC29B16" w14:textId="32075325" w:rsidR="00AF4747" w:rsidRPr="008370C1" w:rsidRDefault="00720205" w:rsidP="00AF4747">
            <w:pPr>
              <w:spacing w:after="0" w:line="240" w:lineRule="auto"/>
              <w:jc w:val="center"/>
              <w:rPr>
                <w:rFonts w:ascii="Times New Roman" w:eastAsia="Times New Roman" w:hAnsi="Times New Roman" w:cs="Times New Roman"/>
                <w:color w:val="000000"/>
              </w:rPr>
            </w:pPr>
            <w:r>
              <w:rPr>
                <w:rFonts w:ascii="Times New Roman" w:hAnsi="Times New Roman" w:cs="Times New Roman"/>
                <w:color w:val="000000"/>
              </w:rPr>
              <w:t>Fraction of Completes In Person</w:t>
            </w:r>
          </w:p>
        </w:tc>
      </w:tr>
      <w:tr w:rsidR="00720205" w:rsidRPr="008A3A15" w14:paraId="34B2E706" w14:textId="33C46519" w:rsidTr="00720205">
        <w:trPr>
          <w:trHeight w:val="319"/>
          <w:jc w:val="center"/>
        </w:trPr>
        <w:tc>
          <w:tcPr>
            <w:tcW w:w="1620" w:type="dxa"/>
            <w:tcBorders>
              <w:top w:val="single" w:sz="4" w:space="0" w:color="auto"/>
              <w:left w:val="single" w:sz="4" w:space="0" w:color="auto"/>
              <w:bottom w:val="nil"/>
            </w:tcBorders>
            <w:shd w:val="clear" w:color="auto" w:fill="auto"/>
            <w:noWrap/>
            <w:vAlign w:val="center"/>
            <w:hideMark/>
          </w:tcPr>
          <w:p w14:paraId="5A8270B9" w14:textId="001C3A9E" w:rsidR="00720205" w:rsidRPr="008370C1" w:rsidRDefault="00720205" w:rsidP="00720205">
            <w:pPr>
              <w:spacing w:after="0" w:line="240" w:lineRule="auto"/>
              <w:rPr>
                <w:rFonts w:ascii="Times New Roman" w:eastAsia="Times New Roman" w:hAnsi="Times New Roman" w:cs="Times New Roman"/>
                <w:color w:val="000000"/>
              </w:rPr>
            </w:pPr>
            <w:r w:rsidRPr="008370C1">
              <w:rPr>
                <w:rFonts w:ascii="Times New Roman" w:eastAsia="Times New Roman" w:hAnsi="Times New Roman" w:cs="Times New Roman"/>
                <w:color w:val="000000"/>
              </w:rPr>
              <w:t>Completed Last Round</w:t>
            </w:r>
          </w:p>
        </w:tc>
        <w:tc>
          <w:tcPr>
            <w:tcW w:w="810" w:type="dxa"/>
            <w:tcBorders>
              <w:top w:val="single" w:sz="4" w:space="0" w:color="auto"/>
              <w:bottom w:val="nil"/>
            </w:tcBorders>
            <w:shd w:val="clear" w:color="auto" w:fill="auto"/>
            <w:noWrap/>
            <w:vAlign w:val="center"/>
            <w:hideMark/>
          </w:tcPr>
          <w:p w14:paraId="592B5B66"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0</w:t>
            </w:r>
          </w:p>
        </w:tc>
        <w:tc>
          <w:tcPr>
            <w:tcW w:w="810" w:type="dxa"/>
            <w:tcBorders>
              <w:top w:val="single" w:sz="4" w:space="0" w:color="auto"/>
              <w:bottom w:val="nil"/>
            </w:tcBorders>
            <w:shd w:val="clear" w:color="auto" w:fill="auto"/>
            <w:noWrap/>
            <w:vAlign w:val="center"/>
            <w:hideMark/>
          </w:tcPr>
          <w:p w14:paraId="6F5E2AFF"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0</w:t>
            </w:r>
          </w:p>
        </w:tc>
        <w:tc>
          <w:tcPr>
            <w:tcW w:w="729" w:type="dxa"/>
            <w:tcBorders>
              <w:top w:val="single" w:sz="4" w:space="0" w:color="auto"/>
              <w:bottom w:val="nil"/>
            </w:tcBorders>
            <w:shd w:val="clear" w:color="auto" w:fill="auto"/>
            <w:noWrap/>
            <w:vAlign w:val="center"/>
            <w:hideMark/>
          </w:tcPr>
          <w:p w14:paraId="0AA47BC4"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7141</w:t>
            </w:r>
          </w:p>
        </w:tc>
        <w:tc>
          <w:tcPr>
            <w:tcW w:w="751" w:type="dxa"/>
            <w:tcBorders>
              <w:top w:val="single" w:sz="4" w:space="0" w:color="auto"/>
              <w:bottom w:val="nil"/>
            </w:tcBorders>
            <w:shd w:val="clear" w:color="auto" w:fill="auto"/>
            <w:vAlign w:val="center"/>
            <w:hideMark/>
          </w:tcPr>
          <w:p w14:paraId="632CBCE2"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7103</w:t>
            </w:r>
          </w:p>
        </w:tc>
        <w:tc>
          <w:tcPr>
            <w:tcW w:w="1255" w:type="dxa"/>
            <w:tcBorders>
              <w:top w:val="single" w:sz="4" w:space="0" w:color="auto"/>
              <w:bottom w:val="nil"/>
            </w:tcBorders>
            <w:shd w:val="clear" w:color="auto" w:fill="auto"/>
            <w:vAlign w:val="center"/>
            <w:hideMark/>
          </w:tcPr>
          <w:p w14:paraId="46570A29"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93.63%</w:t>
            </w:r>
          </w:p>
        </w:tc>
        <w:tc>
          <w:tcPr>
            <w:tcW w:w="1296" w:type="dxa"/>
            <w:tcBorders>
              <w:top w:val="single" w:sz="4" w:space="0" w:color="auto"/>
              <w:bottom w:val="nil"/>
            </w:tcBorders>
            <w:shd w:val="clear" w:color="auto" w:fill="auto"/>
            <w:vAlign w:val="center"/>
            <w:hideMark/>
          </w:tcPr>
          <w:p w14:paraId="142D9B7E"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89.65%</w:t>
            </w:r>
          </w:p>
        </w:tc>
        <w:tc>
          <w:tcPr>
            <w:tcW w:w="1301" w:type="dxa"/>
            <w:tcBorders>
              <w:top w:val="single" w:sz="4" w:space="0" w:color="auto"/>
              <w:bottom w:val="nil"/>
            </w:tcBorders>
            <w:vAlign w:val="center"/>
          </w:tcPr>
          <w:p w14:paraId="167A1909" w14:textId="22A4C85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hAnsi="Times New Roman" w:cs="Times New Roman"/>
                <w:color w:val="000000"/>
              </w:rPr>
              <w:t>32.23%</w:t>
            </w:r>
          </w:p>
        </w:tc>
        <w:tc>
          <w:tcPr>
            <w:tcW w:w="1328" w:type="dxa"/>
            <w:tcBorders>
              <w:top w:val="single" w:sz="4" w:space="0" w:color="auto"/>
              <w:bottom w:val="nil"/>
            </w:tcBorders>
            <w:vAlign w:val="center"/>
          </w:tcPr>
          <w:p w14:paraId="4D00159E" w14:textId="38A24846"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74.99%</w:t>
            </w:r>
          </w:p>
        </w:tc>
        <w:tc>
          <w:tcPr>
            <w:tcW w:w="1255" w:type="dxa"/>
            <w:tcBorders>
              <w:top w:val="single" w:sz="4" w:space="0" w:color="auto"/>
              <w:bottom w:val="nil"/>
              <w:right w:val="single" w:sz="4" w:space="0" w:color="auto"/>
            </w:tcBorders>
            <w:vAlign w:val="center"/>
          </w:tcPr>
          <w:p w14:paraId="10673C36" w14:textId="44BB7B73"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10.17%</w:t>
            </w:r>
          </w:p>
        </w:tc>
      </w:tr>
      <w:tr w:rsidR="00720205" w:rsidRPr="008A3A15" w14:paraId="22CF8732" w14:textId="637DAC12" w:rsidTr="00720205">
        <w:trPr>
          <w:trHeight w:val="319"/>
          <w:jc w:val="center"/>
        </w:trPr>
        <w:tc>
          <w:tcPr>
            <w:tcW w:w="1620" w:type="dxa"/>
            <w:tcBorders>
              <w:top w:val="nil"/>
              <w:left w:val="single" w:sz="4" w:space="0" w:color="auto"/>
              <w:bottom w:val="nil"/>
            </w:tcBorders>
            <w:shd w:val="clear" w:color="auto" w:fill="auto"/>
            <w:noWrap/>
            <w:vAlign w:val="center"/>
            <w:hideMark/>
          </w:tcPr>
          <w:p w14:paraId="4E559823" w14:textId="77777777" w:rsidR="00720205" w:rsidRPr="008370C1" w:rsidRDefault="00720205" w:rsidP="00720205">
            <w:pPr>
              <w:spacing w:after="0" w:line="240" w:lineRule="auto"/>
              <w:rPr>
                <w:rFonts w:ascii="Times New Roman" w:eastAsia="Times New Roman" w:hAnsi="Times New Roman" w:cs="Times New Roman"/>
                <w:color w:val="000000"/>
              </w:rPr>
            </w:pPr>
            <w:r w:rsidRPr="008370C1">
              <w:rPr>
                <w:rFonts w:ascii="Times New Roman" w:eastAsia="Times New Roman" w:hAnsi="Times New Roman" w:cs="Times New Roman"/>
                <w:color w:val="000000"/>
              </w:rPr>
              <w:t>Out 1 Round</w:t>
            </w:r>
          </w:p>
        </w:tc>
        <w:tc>
          <w:tcPr>
            <w:tcW w:w="810" w:type="dxa"/>
            <w:tcBorders>
              <w:top w:val="nil"/>
              <w:bottom w:val="nil"/>
            </w:tcBorders>
            <w:shd w:val="clear" w:color="auto" w:fill="auto"/>
            <w:noWrap/>
            <w:vAlign w:val="center"/>
            <w:hideMark/>
          </w:tcPr>
          <w:p w14:paraId="44BA5114"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15</w:t>
            </w:r>
          </w:p>
        </w:tc>
        <w:tc>
          <w:tcPr>
            <w:tcW w:w="810" w:type="dxa"/>
            <w:tcBorders>
              <w:top w:val="nil"/>
              <w:bottom w:val="nil"/>
            </w:tcBorders>
            <w:shd w:val="clear" w:color="auto" w:fill="auto"/>
            <w:noWrap/>
            <w:vAlign w:val="center"/>
            <w:hideMark/>
          </w:tcPr>
          <w:p w14:paraId="3AC5485A"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20</w:t>
            </w:r>
          </w:p>
        </w:tc>
        <w:tc>
          <w:tcPr>
            <w:tcW w:w="729" w:type="dxa"/>
            <w:tcBorders>
              <w:top w:val="nil"/>
              <w:bottom w:val="nil"/>
            </w:tcBorders>
            <w:shd w:val="clear" w:color="auto" w:fill="auto"/>
            <w:noWrap/>
            <w:vAlign w:val="center"/>
            <w:hideMark/>
          </w:tcPr>
          <w:p w14:paraId="3D75879A"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596</w:t>
            </w:r>
          </w:p>
        </w:tc>
        <w:tc>
          <w:tcPr>
            <w:tcW w:w="751" w:type="dxa"/>
            <w:tcBorders>
              <w:top w:val="nil"/>
              <w:bottom w:val="nil"/>
            </w:tcBorders>
            <w:shd w:val="clear" w:color="auto" w:fill="auto"/>
            <w:vAlign w:val="center"/>
            <w:hideMark/>
          </w:tcPr>
          <w:p w14:paraId="60DFEFCB"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455</w:t>
            </w:r>
          </w:p>
        </w:tc>
        <w:tc>
          <w:tcPr>
            <w:tcW w:w="1255" w:type="dxa"/>
            <w:tcBorders>
              <w:top w:val="nil"/>
              <w:bottom w:val="nil"/>
            </w:tcBorders>
            <w:shd w:val="clear" w:color="auto" w:fill="auto"/>
            <w:vAlign w:val="center"/>
            <w:hideMark/>
          </w:tcPr>
          <w:p w14:paraId="09FF1837"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45.47%</w:t>
            </w:r>
          </w:p>
        </w:tc>
        <w:tc>
          <w:tcPr>
            <w:tcW w:w="1296" w:type="dxa"/>
            <w:tcBorders>
              <w:top w:val="nil"/>
              <w:bottom w:val="nil"/>
            </w:tcBorders>
            <w:shd w:val="clear" w:color="auto" w:fill="auto"/>
            <w:vAlign w:val="center"/>
            <w:hideMark/>
          </w:tcPr>
          <w:p w14:paraId="1A50A4D0"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37.14%</w:t>
            </w:r>
          </w:p>
        </w:tc>
        <w:tc>
          <w:tcPr>
            <w:tcW w:w="1301" w:type="dxa"/>
            <w:tcBorders>
              <w:top w:val="nil"/>
              <w:bottom w:val="nil"/>
            </w:tcBorders>
            <w:vAlign w:val="center"/>
          </w:tcPr>
          <w:p w14:paraId="78E25116" w14:textId="26A67498"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hAnsi="Times New Roman" w:cs="Times New Roman"/>
                <w:color w:val="000000"/>
              </w:rPr>
              <w:t>4.40%</w:t>
            </w:r>
          </w:p>
        </w:tc>
        <w:tc>
          <w:tcPr>
            <w:tcW w:w="1328" w:type="dxa"/>
            <w:tcBorders>
              <w:top w:val="nil"/>
              <w:bottom w:val="nil"/>
            </w:tcBorders>
            <w:vAlign w:val="center"/>
          </w:tcPr>
          <w:p w14:paraId="114D10FA" w14:textId="677BB255"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48.71%</w:t>
            </w:r>
          </w:p>
        </w:tc>
        <w:tc>
          <w:tcPr>
            <w:tcW w:w="1255" w:type="dxa"/>
            <w:tcBorders>
              <w:top w:val="nil"/>
              <w:bottom w:val="nil"/>
              <w:right w:val="single" w:sz="4" w:space="0" w:color="auto"/>
            </w:tcBorders>
            <w:vAlign w:val="center"/>
          </w:tcPr>
          <w:p w14:paraId="673F212D" w14:textId="0F7552A1"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16.56%</w:t>
            </w:r>
          </w:p>
        </w:tc>
      </w:tr>
      <w:tr w:rsidR="00720205" w:rsidRPr="008A3A15" w14:paraId="29AA0555" w14:textId="7BE8B81A" w:rsidTr="00720205">
        <w:trPr>
          <w:trHeight w:val="319"/>
          <w:jc w:val="center"/>
        </w:trPr>
        <w:tc>
          <w:tcPr>
            <w:tcW w:w="1620" w:type="dxa"/>
            <w:tcBorders>
              <w:top w:val="nil"/>
              <w:left w:val="single" w:sz="4" w:space="0" w:color="auto"/>
              <w:bottom w:val="nil"/>
            </w:tcBorders>
            <w:shd w:val="clear" w:color="auto" w:fill="auto"/>
            <w:noWrap/>
            <w:vAlign w:val="center"/>
            <w:hideMark/>
          </w:tcPr>
          <w:p w14:paraId="0E825585" w14:textId="77777777" w:rsidR="00720205" w:rsidRPr="008370C1" w:rsidRDefault="00720205" w:rsidP="00720205">
            <w:pPr>
              <w:spacing w:after="0" w:line="240" w:lineRule="auto"/>
              <w:rPr>
                <w:rFonts w:ascii="Times New Roman" w:eastAsia="Times New Roman" w:hAnsi="Times New Roman" w:cs="Times New Roman"/>
                <w:color w:val="000000"/>
              </w:rPr>
            </w:pPr>
            <w:r w:rsidRPr="008370C1">
              <w:rPr>
                <w:rFonts w:ascii="Times New Roman" w:eastAsia="Times New Roman" w:hAnsi="Times New Roman" w:cs="Times New Roman"/>
                <w:color w:val="000000"/>
              </w:rPr>
              <w:t>Out 2 Rounds</w:t>
            </w:r>
          </w:p>
        </w:tc>
        <w:tc>
          <w:tcPr>
            <w:tcW w:w="810" w:type="dxa"/>
            <w:tcBorders>
              <w:top w:val="nil"/>
              <w:bottom w:val="nil"/>
            </w:tcBorders>
            <w:shd w:val="clear" w:color="auto" w:fill="auto"/>
            <w:noWrap/>
            <w:vAlign w:val="center"/>
            <w:hideMark/>
          </w:tcPr>
          <w:p w14:paraId="39178651"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30</w:t>
            </w:r>
          </w:p>
        </w:tc>
        <w:tc>
          <w:tcPr>
            <w:tcW w:w="810" w:type="dxa"/>
            <w:tcBorders>
              <w:top w:val="nil"/>
              <w:bottom w:val="nil"/>
            </w:tcBorders>
            <w:shd w:val="clear" w:color="auto" w:fill="auto"/>
            <w:noWrap/>
            <w:vAlign w:val="center"/>
            <w:hideMark/>
          </w:tcPr>
          <w:p w14:paraId="56889157"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40</w:t>
            </w:r>
          </w:p>
        </w:tc>
        <w:tc>
          <w:tcPr>
            <w:tcW w:w="729" w:type="dxa"/>
            <w:tcBorders>
              <w:top w:val="nil"/>
              <w:bottom w:val="nil"/>
            </w:tcBorders>
            <w:shd w:val="clear" w:color="auto" w:fill="auto"/>
            <w:noWrap/>
            <w:vAlign w:val="center"/>
            <w:hideMark/>
          </w:tcPr>
          <w:p w14:paraId="503C8E1F"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183</w:t>
            </w:r>
          </w:p>
        </w:tc>
        <w:tc>
          <w:tcPr>
            <w:tcW w:w="751" w:type="dxa"/>
            <w:tcBorders>
              <w:top w:val="nil"/>
              <w:bottom w:val="nil"/>
            </w:tcBorders>
            <w:shd w:val="clear" w:color="auto" w:fill="auto"/>
            <w:vAlign w:val="center"/>
            <w:hideMark/>
          </w:tcPr>
          <w:p w14:paraId="3E251B18"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325</w:t>
            </w:r>
          </w:p>
        </w:tc>
        <w:tc>
          <w:tcPr>
            <w:tcW w:w="1255" w:type="dxa"/>
            <w:tcBorders>
              <w:top w:val="nil"/>
              <w:bottom w:val="nil"/>
            </w:tcBorders>
            <w:shd w:val="clear" w:color="auto" w:fill="auto"/>
            <w:vAlign w:val="center"/>
            <w:hideMark/>
          </w:tcPr>
          <w:p w14:paraId="308D4DC6"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32.79%</w:t>
            </w:r>
          </w:p>
        </w:tc>
        <w:tc>
          <w:tcPr>
            <w:tcW w:w="1296" w:type="dxa"/>
            <w:tcBorders>
              <w:top w:val="nil"/>
              <w:bottom w:val="nil"/>
            </w:tcBorders>
            <w:shd w:val="clear" w:color="auto" w:fill="auto"/>
            <w:vAlign w:val="center"/>
            <w:hideMark/>
          </w:tcPr>
          <w:p w14:paraId="37ED678B"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24.31%</w:t>
            </w:r>
          </w:p>
        </w:tc>
        <w:tc>
          <w:tcPr>
            <w:tcW w:w="1301" w:type="dxa"/>
            <w:tcBorders>
              <w:top w:val="nil"/>
              <w:bottom w:val="nil"/>
            </w:tcBorders>
            <w:vAlign w:val="center"/>
          </w:tcPr>
          <w:p w14:paraId="495949D3" w14:textId="5AD3AD8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hAnsi="Times New Roman" w:cs="Times New Roman"/>
                <w:color w:val="000000"/>
              </w:rPr>
              <w:t>3.38%</w:t>
            </w:r>
          </w:p>
        </w:tc>
        <w:tc>
          <w:tcPr>
            <w:tcW w:w="1328" w:type="dxa"/>
            <w:tcBorders>
              <w:top w:val="nil"/>
              <w:bottom w:val="nil"/>
            </w:tcBorders>
            <w:vAlign w:val="center"/>
          </w:tcPr>
          <w:p w14:paraId="58384EC8" w14:textId="22EFA59C"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36.66%</w:t>
            </w:r>
          </w:p>
        </w:tc>
        <w:tc>
          <w:tcPr>
            <w:tcW w:w="1255" w:type="dxa"/>
            <w:tcBorders>
              <w:top w:val="nil"/>
              <w:bottom w:val="nil"/>
              <w:right w:val="single" w:sz="4" w:space="0" w:color="auto"/>
            </w:tcBorders>
            <w:vAlign w:val="center"/>
          </w:tcPr>
          <w:p w14:paraId="29EBA7D8" w14:textId="5EB11136"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17.73%</w:t>
            </w:r>
          </w:p>
        </w:tc>
      </w:tr>
      <w:tr w:rsidR="00720205" w:rsidRPr="008A3A15" w14:paraId="08341D4E" w14:textId="5092E09C" w:rsidTr="00720205">
        <w:trPr>
          <w:trHeight w:val="319"/>
          <w:jc w:val="center"/>
        </w:trPr>
        <w:tc>
          <w:tcPr>
            <w:tcW w:w="1620" w:type="dxa"/>
            <w:tcBorders>
              <w:top w:val="nil"/>
              <w:left w:val="single" w:sz="4" w:space="0" w:color="auto"/>
              <w:bottom w:val="nil"/>
            </w:tcBorders>
            <w:shd w:val="clear" w:color="auto" w:fill="auto"/>
            <w:noWrap/>
            <w:vAlign w:val="center"/>
            <w:hideMark/>
          </w:tcPr>
          <w:p w14:paraId="7A9B4C71" w14:textId="77777777" w:rsidR="00720205" w:rsidRPr="008370C1" w:rsidRDefault="00720205" w:rsidP="00720205">
            <w:pPr>
              <w:spacing w:after="0" w:line="240" w:lineRule="auto"/>
              <w:rPr>
                <w:rFonts w:ascii="Times New Roman" w:eastAsia="Times New Roman" w:hAnsi="Times New Roman" w:cs="Times New Roman"/>
                <w:color w:val="000000"/>
              </w:rPr>
            </w:pPr>
            <w:r w:rsidRPr="008370C1">
              <w:rPr>
                <w:rFonts w:ascii="Times New Roman" w:eastAsia="Times New Roman" w:hAnsi="Times New Roman" w:cs="Times New Roman"/>
                <w:color w:val="000000"/>
              </w:rPr>
              <w:t>Out 3 Rounds</w:t>
            </w:r>
          </w:p>
        </w:tc>
        <w:tc>
          <w:tcPr>
            <w:tcW w:w="810" w:type="dxa"/>
            <w:tcBorders>
              <w:top w:val="nil"/>
              <w:bottom w:val="nil"/>
            </w:tcBorders>
            <w:shd w:val="clear" w:color="auto" w:fill="auto"/>
            <w:noWrap/>
            <w:vAlign w:val="center"/>
            <w:hideMark/>
          </w:tcPr>
          <w:p w14:paraId="32D07E97"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45</w:t>
            </w:r>
          </w:p>
        </w:tc>
        <w:tc>
          <w:tcPr>
            <w:tcW w:w="810" w:type="dxa"/>
            <w:tcBorders>
              <w:top w:val="nil"/>
              <w:bottom w:val="nil"/>
            </w:tcBorders>
            <w:shd w:val="clear" w:color="auto" w:fill="auto"/>
            <w:noWrap/>
            <w:vAlign w:val="center"/>
            <w:hideMark/>
          </w:tcPr>
          <w:p w14:paraId="0395444C"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60</w:t>
            </w:r>
          </w:p>
        </w:tc>
        <w:tc>
          <w:tcPr>
            <w:tcW w:w="729" w:type="dxa"/>
            <w:tcBorders>
              <w:top w:val="nil"/>
              <w:bottom w:val="nil"/>
            </w:tcBorders>
            <w:shd w:val="clear" w:color="auto" w:fill="auto"/>
            <w:noWrap/>
            <w:vAlign w:val="center"/>
            <w:hideMark/>
          </w:tcPr>
          <w:p w14:paraId="1069B822"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155</w:t>
            </w:r>
          </w:p>
        </w:tc>
        <w:tc>
          <w:tcPr>
            <w:tcW w:w="751" w:type="dxa"/>
            <w:tcBorders>
              <w:top w:val="nil"/>
              <w:bottom w:val="nil"/>
            </w:tcBorders>
            <w:shd w:val="clear" w:color="auto" w:fill="auto"/>
            <w:vAlign w:val="center"/>
            <w:hideMark/>
          </w:tcPr>
          <w:p w14:paraId="42C99D62"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123</w:t>
            </w:r>
          </w:p>
        </w:tc>
        <w:tc>
          <w:tcPr>
            <w:tcW w:w="1255" w:type="dxa"/>
            <w:tcBorders>
              <w:top w:val="nil"/>
              <w:bottom w:val="nil"/>
            </w:tcBorders>
            <w:shd w:val="clear" w:color="auto" w:fill="auto"/>
            <w:vAlign w:val="center"/>
            <w:hideMark/>
          </w:tcPr>
          <w:p w14:paraId="4BA798CF"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16.13%</w:t>
            </w:r>
          </w:p>
        </w:tc>
        <w:tc>
          <w:tcPr>
            <w:tcW w:w="1296" w:type="dxa"/>
            <w:tcBorders>
              <w:top w:val="nil"/>
              <w:bottom w:val="nil"/>
            </w:tcBorders>
            <w:shd w:val="clear" w:color="auto" w:fill="auto"/>
            <w:vAlign w:val="center"/>
            <w:hideMark/>
          </w:tcPr>
          <w:p w14:paraId="779E1FBA"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26.83%</w:t>
            </w:r>
          </w:p>
        </w:tc>
        <w:tc>
          <w:tcPr>
            <w:tcW w:w="1301" w:type="dxa"/>
            <w:tcBorders>
              <w:top w:val="nil"/>
              <w:bottom w:val="nil"/>
            </w:tcBorders>
            <w:vAlign w:val="center"/>
          </w:tcPr>
          <w:p w14:paraId="0E896BC4" w14:textId="05B50ABC"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hAnsi="Times New Roman" w:cs="Times New Roman"/>
                <w:color w:val="000000"/>
              </w:rPr>
              <w:t>4.88%</w:t>
            </w:r>
          </w:p>
        </w:tc>
        <w:tc>
          <w:tcPr>
            <w:tcW w:w="1328" w:type="dxa"/>
            <w:tcBorders>
              <w:top w:val="nil"/>
              <w:bottom w:val="nil"/>
            </w:tcBorders>
            <w:vAlign w:val="center"/>
          </w:tcPr>
          <w:p w14:paraId="5DE75353" w14:textId="49EE1FA8"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44.02%</w:t>
            </w:r>
          </w:p>
        </w:tc>
        <w:tc>
          <w:tcPr>
            <w:tcW w:w="1255" w:type="dxa"/>
            <w:tcBorders>
              <w:top w:val="nil"/>
              <w:bottom w:val="nil"/>
              <w:right w:val="single" w:sz="4" w:space="0" w:color="auto"/>
            </w:tcBorders>
            <w:vAlign w:val="center"/>
          </w:tcPr>
          <w:p w14:paraId="2DBFA407" w14:textId="4F413E1B"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12.11%</w:t>
            </w:r>
          </w:p>
        </w:tc>
      </w:tr>
      <w:tr w:rsidR="00720205" w:rsidRPr="008A3A15" w14:paraId="48A3858D" w14:textId="2C0474D7" w:rsidTr="00720205">
        <w:trPr>
          <w:trHeight w:val="319"/>
          <w:jc w:val="center"/>
        </w:trPr>
        <w:tc>
          <w:tcPr>
            <w:tcW w:w="1620" w:type="dxa"/>
            <w:tcBorders>
              <w:top w:val="nil"/>
              <w:left w:val="single" w:sz="4" w:space="0" w:color="auto"/>
              <w:bottom w:val="nil"/>
            </w:tcBorders>
            <w:shd w:val="clear" w:color="auto" w:fill="auto"/>
            <w:noWrap/>
            <w:vAlign w:val="center"/>
            <w:hideMark/>
          </w:tcPr>
          <w:p w14:paraId="52550131" w14:textId="77777777" w:rsidR="00720205" w:rsidRPr="008370C1" w:rsidRDefault="00720205" w:rsidP="00720205">
            <w:pPr>
              <w:spacing w:after="0" w:line="240" w:lineRule="auto"/>
              <w:rPr>
                <w:rFonts w:ascii="Times New Roman" w:eastAsia="Times New Roman" w:hAnsi="Times New Roman" w:cs="Times New Roman"/>
                <w:color w:val="000000"/>
              </w:rPr>
            </w:pPr>
            <w:r w:rsidRPr="008370C1">
              <w:rPr>
                <w:rFonts w:ascii="Times New Roman" w:eastAsia="Times New Roman" w:hAnsi="Times New Roman" w:cs="Times New Roman"/>
                <w:color w:val="000000"/>
              </w:rPr>
              <w:t>Out 4 Rounds</w:t>
            </w:r>
          </w:p>
        </w:tc>
        <w:tc>
          <w:tcPr>
            <w:tcW w:w="810" w:type="dxa"/>
            <w:tcBorders>
              <w:top w:val="nil"/>
              <w:bottom w:val="nil"/>
            </w:tcBorders>
            <w:shd w:val="clear" w:color="auto" w:fill="auto"/>
            <w:noWrap/>
            <w:vAlign w:val="center"/>
            <w:hideMark/>
          </w:tcPr>
          <w:p w14:paraId="221B960F"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45</w:t>
            </w:r>
          </w:p>
        </w:tc>
        <w:tc>
          <w:tcPr>
            <w:tcW w:w="810" w:type="dxa"/>
            <w:tcBorders>
              <w:top w:val="nil"/>
              <w:bottom w:val="nil"/>
            </w:tcBorders>
            <w:shd w:val="clear" w:color="auto" w:fill="auto"/>
            <w:noWrap/>
            <w:vAlign w:val="center"/>
            <w:hideMark/>
          </w:tcPr>
          <w:p w14:paraId="17588E73"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60</w:t>
            </w:r>
          </w:p>
        </w:tc>
        <w:tc>
          <w:tcPr>
            <w:tcW w:w="729" w:type="dxa"/>
            <w:tcBorders>
              <w:top w:val="nil"/>
              <w:bottom w:val="nil"/>
            </w:tcBorders>
            <w:shd w:val="clear" w:color="auto" w:fill="auto"/>
            <w:noWrap/>
            <w:vAlign w:val="center"/>
            <w:hideMark/>
          </w:tcPr>
          <w:p w14:paraId="3B5D92D1"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95</w:t>
            </w:r>
          </w:p>
        </w:tc>
        <w:tc>
          <w:tcPr>
            <w:tcW w:w="751" w:type="dxa"/>
            <w:tcBorders>
              <w:top w:val="nil"/>
              <w:bottom w:val="nil"/>
            </w:tcBorders>
            <w:shd w:val="clear" w:color="auto" w:fill="auto"/>
            <w:vAlign w:val="center"/>
            <w:hideMark/>
          </w:tcPr>
          <w:p w14:paraId="0FD628E1"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130</w:t>
            </w:r>
          </w:p>
        </w:tc>
        <w:tc>
          <w:tcPr>
            <w:tcW w:w="1255" w:type="dxa"/>
            <w:tcBorders>
              <w:top w:val="nil"/>
              <w:bottom w:val="nil"/>
            </w:tcBorders>
            <w:shd w:val="clear" w:color="auto" w:fill="auto"/>
            <w:vAlign w:val="center"/>
            <w:hideMark/>
          </w:tcPr>
          <w:p w14:paraId="25EB081F"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6.32%</w:t>
            </w:r>
          </w:p>
        </w:tc>
        <w:tc>
          <w:tcPr>
            <w:tcW w:w="1296" w:type="dxa"/>
            <w:tcBorders>
              <w:top w:val="nil"/>
              <w:bottom w:val="nil"/>
            </w:tcBorders>
            <w:shd w:val="clear" w:color="auto" w:fill="auto"/>
            <w:vAlign w:val="center"/>
            <w:hideMark/>
          </w:tcPr>
          <w:p w14:paraId="44A35292"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17.69%</w:t>
            </w:r>
          </w:p>
        </w:tc>
        <w:tc>
          <w:tcPr>
            <w:tcW w:w="1301" w:type="dxa"/>
            <w:tcBorders>
              <w:top w:val="nil"/>
              <w:bottom w:val="nil"/>
            </w:tcBorders>
            <w:vAlign w:val="center"/>
          </w:tcPr>
          <w:p w14:paraId="6BC014B8" w14:textId="0D6976FD"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hAnsi="Times New Roman" w:cs="Times New Roman"/>
                <w:color w:val="000000"/>
              </w:rPr>
              <w:t>3.08%</w:t>
            </w:r>
          </w:p>
        </w:tc>
        <w:tc>
          <w:tcPr>
            <w:tcW w:w="1328" w:type="dxa"/>
            <w:tcBorders>
              <w:top w:val="nil"/>
              <w:bottom w:val="nil"/>
            </w:tcBorders>
            <w:vAlign w:val="center"/>
          </w:tcPr>
          <w:p w14:paraId="23E06BCC" w14:textId="14F875FE"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16.61%</w:t>
            </w:r>
          </w:p>
        </w:tc>
        <w:tc>
          <w:tcPr>
            <w:tcW w:w="1255" w:type="dxa"/>
            <w:tcBorders>
              <w:top w:val="nil"/>
              <w:bottom w:val="nil"/>
              <w:right w:val="single" w:sz="4" w:space="0" w:color="auto"/>
            </w:tcBorders>
            <w:vAlign w:val="center"/>
          </w:tcPr>
          <w:p w14:paraId="42031CD8" w14:textId="1AD33F22"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4.35%</w:t>
            </w:r>
          </w:p>
        </w:tc>
      </w:tr>
      <w:tr w:rsidR="00720205" w:rsidRPr="008A3A15" w14:paraId="1BBE5946" w14:textId="0C7661EA" w:rsidTr="00720205">
        <w:trPr>
          <w:trHeight w:val="319"/>
          <w:jc w:val="center"/>
        </w:trPr>
        <w:tc>
          <w:tcPr>
            <w:tcW w:w="1620" w:type="dxa"/>
            <w:tcBorders>
              <w:top w:val="nil"/>
              <w:left w:val="single" w:sz="4" w:space="0" w:color="auto"/>
              <w:bottom w:val="single" w:sz="4" w:space="0" w:color="auto"/>
            </w:tcBorders>
            <w:shd w:val="clear" w:color="auto" w:fill="auto"/>
            <w:noWrap/>
            <w:vAlign w:val="center"/>
            <w:hideMark/>
          </w:tcPr>
          <w:p w14:paraId="44475C3F" w14:textId="54374F00" w:rsidR="00720205" w:rsidRPr="008370C1" w:rsidRDefault="00720205" w:rsidP="00720205">
            <w:pPr>
              <w:spacing w:after="0" w:line="240" w:lineRule="auto"/>
              <w:rPr>
                <w:rFonts w:ascii="Times New Roman" w:eastAsia="Times New Roman" w:hAnsi="Times New Roman" w:cs="Times New Roman"/>
                <w:color w:val="000000"/>
              </w:rPr>
            </w:pPr>
            <w:r w:rsidRPr="008370C1">
              <w:rPr>
                <w:rFonts w:ascii="Times New Roman" w:eastAsia="Times New Roman" w:hAnsi="Times New Roman" w:cs="Times New Roman"/>
                <w:color w:val="000000"/>
              </w:rPr>
              <w:t>Out 5 Rounds*</w:t>
            </w:r>
          </w:p>
        </w:tc>
        <w:tc>
          <w:tcPr>
            <w:tcW w:w="810" w:type="dxa"/>
            <w:tcBorders>
              <w:top w:val="nil"/>
              <w:bottom w:val="single" w:sz="4" w:space="0" w:color="auto"/>
            </w:tcBorders>
            <w:shd w:val="clear" w:color="auto" w:fill="auto"/>
            <w:noWrap/>
            <w:vAlign w:val="center"/>
            <w:hideMark/>
          </w:tcPr>
          <w:p w14:paraId="00AAB78E"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45</w:t>
            </w:r>
          </w:p>
        </w:tc>
        <w:tc>
          <w:tcPr>
            <w:tcW w:w="810" w:type="dxa"/>
            <w:tcBorders>
              <w:top w:val="nil"/>
              <w:bottom w:val="single" w:sz="4" w:space="0" w:color="auto"/>
            </w:tcBorders>
            <w:shd w:val="clear" w:color="auto" w:fill="auto"/>
            <w:noWrap/>
            <w:vAlign w:val="center"/>
            <w:hideMark/>
          </w:tcPr>
          <w:p w14:paraId="30506DD2"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w:t>
            </w:r>
          </w:p>
        </w:tc>
        <w:tc>
          <w:tcPr>
            <w:tcW w:w="729" w:type="dxa"/>
            <w:tcBorders>
              <w:top w:val="nil"/>
              <w:bottom w:val="single" w:sz="4" w:space="0" w:color="auto"/>
            </w:tcBorders>
            <w:shd w:val="clear" w:color="auto" w:fill="auto"/>
            <w:noWrap/>
            <w:vAlign w:val="center"/>
            <w:hideMark/>
          </w:tcPr>
          <w:p w14:paraId="1891E3B7" w14:textId="77777777" w:rsidR="00720205" w:rsidRPr="008370C1" w:rsidRDefault="00720205" w:rsidP="00720205">
            <w:pPr>
              <w:spacing w:after="0" w:line="240" w:lineRule="auto"/>
              <w:jc w:val="center"/>
              <w:rPr>
                <w:rFonts w:ascii="Times New Roman" w:eastAsia="Times New Roman" w:hAnsi="Times New Roman" w:cs="Times New Roman"/>
                <w:color w:val="000000"/>
              </w:rPr>
            </w:pPr>
            <w:r w:rsidRPr="008370C1">
              <w:rPr>
                <w:rFonts w:ascii="Times New Roman" w:eastAsia="Times New Roman" w:hAnsi="Times New Roman" w:cs="Times New Roman"/>
                <w:color w:val="000000"/>
              </w:rPr>
              <w:t>814</w:t>
            </w:r>
          </w:p>
        </w:tc>
        <w:tc>
          <w:tcPr>
            <w:tcW w:w="751" w:type="dxa"/>
            <w:tcBorders>
              <w:top w:val="nil"/>
              <w:bottom w:val="single" w:sz="4" w:space="0" w:color="auto"/>
            </w:tcBorders>
            <w:shd w:val="clear" w:color="auto" w:fill="auto"/>
            <w:vAlign w:val="center"/>
            <w:hideMark/>
          </w:tcPr>
          <w:p w14:paraId="2FD99AF7"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848</w:t>
            </w:r>
          </w:p>
        </w:tc>
        <w:tc>
          <w:tcPr>
            <w:tcW w:w="1255" w:type="dxa"/>
            <w:tcBorders>
              <w:top w:val="nil"/>
              <w:bottom w:val="single" w:sz="4" w:space="0" w:color="auto"/>
            </w:tcBorders>
            <w:shd w:val="clear" w:color="auto" w:fill="auto"/>
            <w:vAlign w:val="center"/>
            <w:hideMark/>
          </w:tcPr>
          <w:p w14:paraId="4A1ACFC2"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6.76%</w:t>
            </w:r>
          </w:p>
        </w:tc>
        <w:tc>
          <w:tcPr>
            <w:tcW w:w="1296" w:type="dxa"/>
            <w:tcBorders>
              <w:top w:val="nil"/>
              <w:bottom w:val="single" w:sz="4" w:space="0" w:color="auto"/>
            </w:tcBorders>
            <w:shd w:val="clear" w:color="auto" w:fill="auto"/>
            <w:vAlign w:val="center"/>
            <w:hideMark/>
          </w:tcPr>
          <w:p w14:paraId="01A11564" w14:textId="77777777"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eastAsia="Times New Roman" w:hAnsi="Times New Roman" w:cs="Times New Roman"/>
                <w:color w:val="000000"/>
              </w:rPr>
              <w:t>7.31%</w:t>
            </w:r>
          </w:p>
        </w:tc>
        <w:tc>
          <w:tcPr>
            <w:tcW w:w="1301" w:type="dxa"/>
            <w:tcBorders>
              <w:top w:val="nil"/>
              <w:bottom w:val="single" w:sz="4" w:space="0" w:color="auto"/>
            </w:tcBorders>
            <w:vAlign w:val="center"/>
          </w:tcPr>
          <w:p w14:paraId="4E71CFBC" w14:textId="22066D3A" w:rsidR="00720205" w:rsidRPr="00F62AE7" w:rsidRDefault="00720205" w:rsidP="00720205">
            <w:pPr>
              <w:spacing w:after="0" w:line="240" w:lineRule="auto"/>
              <w:jc w:val="center"/>
              <w:rPr>
                <w:rFonts w:ascii="Times New Roman" w:eastAsia="Times New Roman" w:hAnsi="Times New Roman" w:cs="Times New Roman"/>
                <w:color w:val="000000"/>
              </w:rPr>
            </w:pPr>
            <w:r w:rsidRPr="00F62AE7">
              <w:rPr>
                <w:rFonts w:ascii="Times New Roman" w:hAnsi="Times New Roman" w:cs="Times New Roman"/>
                <w:color w:val="000000"/>
              </w:rPr>
              <w:t>0.47%</w:t>
            </w:r>
          </w:p>
        </w:tc>
        <w:tc>
          <w:tcPr>
            <w:tcW w:w="1328" w:type="dxa"/>
            <w:tcBorders>
              <w:top w:val="nil"/>
              <w:bottom w:val="single" w:sz="4" w:space="0" w:color="auto"/>
            </w:tcBorders>
            <w:vAlign w:val="center"/>
          </w:tcPr>
          <w:p w14:paraId="15F5F889" w14:textId="3529B51F"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38.17%</w:t>
            </w:r>
          </w:p>
        </w:tc>
        <w:tc>
          <w:tcPr>
            <w:tcW w:w="1255" w:type="dxa"/>
            <w:tcBorders>
              <w:top w:val="nil"/>
              <w:bottom w:val="single" w:sz="4" w:space="0" w:color="auto"/>
              <w:right w:val="single" w:sz="4" w:space="0" w:color="auto"/>
            </w:tcBorders>
            <w:vAlign w:val="center"/>
          </w:tcPr>
          <w:p w14:paraId="34970083" w14:textId="1C1641D4" w:rsidR="00720205" w:rsidRPr="00720205" w:rsidRDefault="00720205" w:rsidP="00720205">
            <w:pPr>
              <w:spacing w:after="0" w:line="240" w:lineRule="auto"/>
              <w:jc w:val="center"/>
              <w:rPr>
                <w:rFonts w:ascii="Times New Roman" w:eastAsia="Times New Roman" w:hAnsi="Times New Roman" w:cs="Times New Roman"/>
                <w:color w:val="000000"/>
              </w:rPr>
            </w:pPr>
            <w:r w:rsidRPr="00720205">
              <w:rPr>
                <w:rFonts w:ascii="Times New Roman" w:hAnsi="Times New Roman" w:cs="Times New Roman"/>
                <w:color w:val="000000"/>
              </w:rPr>
              <w:t>19.43%</w:t>
            </w:r>
          </w:p>
        </w:tc>
      </w:tr>
      <w:tr w:rsidR="00AF4747" w:rsidRPr="008A3A15" w14:paraId="1CB0DDC4" w14:textId="1FFB6567" w:rsidTr="00720205">
        <w:trPr>
          <w:trHeight w:val="233"/>
          <w:jc w:val="center"/>
        </w:trPr>
        <w:tc>
          <w:tcPr>
            <w:tcW w:w="11155" w:type="dxa"/>
            <w:gridSpan w:val="10"/>
            <w:tcBorders>
              <w:top w:val="single" w:sz="4" w:space="0" w:color="auto"/>
              <w:left w:val="nil"/>
              <w:bottom w:val="nil"/>
              <w:right w:val="nil"/>
            </w:tcBorders>
            <w:shd w:val="clear" w:color="auto" w:fill="auto"/>
            <w:noWrap/>
            <w:vAlign w:val="bottom"/>
            <w:hideMark/>
          </w:tcPr>
          <w:p w14:paraId="0A6DE2A8" w14:textId="3151401E" w:rsidR="00AF4747" w:rsidRPr="00AF4747" w:rsidRDefault="00AF4747" w:rsidP="00AF4747">
            <w:pPr>
              <w:spacing w:after="0" w:line="240" w:lineRule="auto"/>
              <w:jc w:val="both"/>
              <w:rPr>
                <w:rFonts w:ascii="Times New Roman" w:eastAsia="Times New Roman" w:hAnsi="Times New Roman" w:cs="Times New Roman"/>
                <w:color w:val="000000"/>
                <w:sz w:val="20"/>
                <w:szCs w:val="20"/>
              </w:rPr>
            </w:pPr>
            <w:r w:rsidRPr="00AF4747">
              <w:rPr>
                <w:rFonts w:ascii="Times New Roman" w:eastAsia="Times New Roman" w:hAnsi="Times New Roman" w:cs="Times New Roman"/>
                <w:color w:val="000000"/>
                <w:sz w:val="20"/>
                <w:szCs w:val="20"/>
              </w:rPr>
              <w:t>*In Round 18, respondents out 5 or more rounds were eligible for the “Big NIR” bonus (see below).</w:t>
            </w:r>
          </w:p>
        </w:tc>
      </w:tr>
    </w:tbl>
    <w:p w14:paraId="29617BDA" w14:textId="77777777" w:rsidR="002F64DA" w:rsidRDefault="002F64DA" w:rsidP="002F64DA">
      <w:pPr>
        <w:spacing w:after="120"/>
        <w:rPr>
          <w:rFonts w:ascii="Times New Roman" w:hAnsi="Times New Roman" w:cs="Times New Roman"/>
          <w:i/>
        </w:rPr>
      </w:pPr>
    </w:p>
    <w:p w14:paraId="1B150DF8" w14:textId="77777777" w:rsidR="00C744CF" w:rsidRPr="002F64DA" w:rsidRDefault="00C744CF" w:rsidP="002F64DA">
      <w:pPr>
        <w:spacing w:after="120"/>
        <w:rPr>
          <w:rFonts w:ascii="Times New Roman" w:hAnsi="Times New Roman" w:cs="Times New Roman"/>
          <w:i/>
        </w:rPr>
      </w:pPr>
    </w:p>
    <w:p w14:paraId="2C0217E7" w14:textId="7EC669A7" w:rsidR="004615EC" w:rsidRPr="00B25B62" w:rsidRDefault="004615EC" w:rsidP="00F62AE7">
      <w:pPr>
        <w:pStyle w:val="ListParagraph"/>
        <w:numPr>
          <w:ilvl w:val="1"/>
          <w:numId w:val="5"/>
        </w:numPr>
        <w:spacing w:after="120" w:line="276" w:lineRule="auto"/>
        <w:ind w:left="360"/>
        <w:rPr>
          <w:rFonts w:ascii="Times New Roman" w:hAnsi="Times New Roman" w:cs="Times New Roman"/>
          <w:i/>
        </w:rPr>
      </w:pPr>
      <w:r w:rsidRPr="00B25B62">
        <w:rPr>
          <w:rFonts w:ascii="Times New Roman" w:hAnsi="Times New Roman" w:cs="Times New Roman"/>
          <w:i/>
        </w:rPr>
        <w:t>B</w:t>
      </w:r>
      <w:r w:rsidR="00C20848" w:rsidRPr="00B25B62">
        <w:rPr>
          <w:rFonts w:ascii="Times New Roman" w:hAnsi="Times New Roman" w:cs="Times New Roman"/>
          <w:i/>
        </w:rPr>
        <w:t>ig N</w:t>
      </w:r>
      <w:r w:rsidRPr="00B25B62">
        <w:rPr>
          <w:rFonts w:ascii="Times New Roman" w:hAnsi="Times New Roman" w:cs="Times New Roman"/>
          <w:i/>
        </w:rPr>
        <w:t>IR Bonus Experiment</w:t>
      </w:r>
    </w:p>
    <w:p w14:paraId="2A888A64" w14:textId="6994F808" w:rsidR="00DE7197" w:rsidRPr="00B25B62" w:rsidRDefault="00DE7197" w:rsidP="009755BA">
      <w:pPr>
        <w:spacing w:after="120" w:line="276" w:lineRule="auto"/>
        <w:rPr>
          <w:rFonts w:ascii="Times New Roman" w:hAnsi="Times New Roman" w:cs="Times New Roman"/>
        </w:rPr>
      </w:pPr>
      <w:r w:rsidRPr="00B25B62">
        <w:rPr>
          <w:rFonts w:ascii="Times New Roman" w:hAnsi="Times New Roman" w:cs="Times New Roman"/>
        </w:rPr>
        <w:t xml:space="preserve">As an experiment, participants who had not responded in </w:t>
      </w:r>
      <w:r w:rsidR="00D24F39">
        <w:rPr>
          <w:rFonts w:ascii="Times New Roman" w:hAnsi="Times New Roman" w:cs="Times New Roman"/>
        </w:rPr>
        <w:t>5 or more rounds</w:t>
      </w:r>
      <w:r w:rsidRPr="005430B8">
        <w:rPr>
          <w:rFonts w:ascii="Times New Roman" w:hAnsi="Times New Roman" w:cs="Times New Roman"/>
        </w:rPr>
        <w:t xml:space="preserve"> </w:t>
      </w:r>
      <w:r w:rsidRPr="00B25B62">
        <w:rPr>
          <w:rFonts w:ascii="Times New Roman" w:hAnsi="Times New Roman" w:cs="Times New Roman"/>
        </w:rPr>
        <w:t xml:space="preserve">were offered </w:t>
      </w:r>
      <w:r w:rsidR="004B118F">
        <w:rPr>
          <w:rFonts w:ascii="Times New Roman" w:hAnsi="Times New Roman" w:cs="Times New Roman"/>
        </w:rPr>
        <w:t>an additional</w:t>
      </w:r>
      <w:r w:rsidRPr="00B25B62">
        <w:rPr>
          <w:rFonts w:ascii="Times New Roman" w:hAnsi="Times New Roman" w:cs="Times New Roman"/>
        </w:rPr>
        <w:t xml:space="preserve"> </w:t>
      </w:r>
      <w:r w:rsidR="001119BD">
        <w:rPr>
          <w:rFonts w:ascii="Times New Roman" w:hAnsi="Times New Roman" w:cs="Times New Roman"/>
        </w:rPr>
        <w:t xml:space="preserve">large </w:t>
      </w:r>
      <w:r w:rsidRPr="00B25B62">
        <w:rPr>
          <w:rFonts w:ascii="Times New Roman" w:hAnsi="Times New Roman" w:cs="Times New Roman"/>
        </w:rPr>
        <w:t xml:space="preserve">bonus if they responded in </w:t>
      </w:r>
      <w:r w:rsidR="00C5666B">
        <w:rPr>
          <w:rFonts w:ascii="Times New Roman" w:hAnsi="Times New Roman" w:cs="Times New Roman"/>
        </w:rPr>
        <w:t>Round 18</w:t>
      </w:r>
      <w:r w:rsidRPr="00B25B62">
        <w:rPr>
          <w:rFonts w:ascii="Times New Roman" w:hAnsi="Times New Roman" w:cs="Times New Roman"/>
        </w:rPr>
        <w:t xml:space="preserve">. The table below summarizes the results of the experiment. Note that those who had responded in the last 5 rounds are categorized as ineligible. This includes all participants in the high and medium response probability groups as well as a portion of the low probability groups. </w:t>
      </w:r>
    </w:p>
    <w:p w14:paraId="3CB47631" w14:textId="5AD9758B" w:rsidR="00DE7197" w:rsidRDefault="00DE7197" w:rsidP="009755BA">
      <w:pPr>
        <w:spacing w:after="120" w:line="276" w:lineRule="auto"/>
        <w:rPr>
          <w:rFonts w:ascii="Times New Roman" w:hAnsi="Times New Roman" w:cs="Times New Roman"/>
        </w:rPr>
      </w:pPr>
      <w:r w:rsidRPr="00B25B62">
        <w:rPr>
          <w:rFonts w:ascii="Times New Roman" w:hAnsi="Times New Roman" w:cs="Times New Roman"/>
        </w:rPr>
        <w:t>Within the portion of the low probability group</w:t>
      </w:r>
      <w:r w:rsidR="001119BD">
        <w:rPr>
          <w:rFonts w:ascii="Times New Roman" w:hAnsi="Times New Roman" w:cs="Times New Roman"/>
        </w:rPr>
        <w:t xml:space="preserve"> who had not completed in five or more rounds</w:t>
      </w:r>
      <w:r w:rsidRPr="00B25B62">
        <w:rPr>
          <w:rFonts w:ascii="Times New Roman" w:hAnsi="Times New Roman" w:cs="Times New Roman"/>
        </w:rPr>
        <w:t xml:space="preserve">, the remaining participants were split into </w:t>
      </w:r>
      <w:r w:rsidR="001119BD">
        <w:rPr>
          <w:rFonts w:ascii="Times New Roman" w:hAnsi="Times New Roman" w:cs="Times New Roman"/>
        </w:rPr>
        <w:t>two</w:t>
      </w:r>
      <w:r w:rsidRPr="00B25B62">
        <w:rPr>
          <w:rFonts w:ascii="Times New Roman" w:hAnsi="Times New Roman" w:cs="Times New Roman"/>
        </w:rPr>
        <w:t xml:space="preserve"> categories: a control group</w:t>
      </w:r>
      <w:r w:rsidR="001119BD">
        <w:rPr>
          <w:rFonts w:ascii="Times New Roman" w:hAnsi="Times New Roman" w:cs="Times New Roman"/>
        </w:rPr>
        <w:t xml:space="preserve"> who were potentially still eligible to receive the other bonuses outside of the Big NIR Bonus</w:t>
      </w:r>
      <w:r w:rsidRPr="00B25B62">
        <w:rPr>
          <w:rFonts w:ascii="Times New Roman" w:hAnsi="Times New Roman" w:cs="Times New Roman"/>
        </w:rPr>
        <w:t xml:space="preserve">, </w:t>
      </w:r>
      <w:r w:rsidR="001119BD">
        <w:rPr>
          <w:rFonts w:ascii="Times New Roman" w:hAnsi="Times New Roman" w:cs="Times New Roman"/>
        </w:rPr>
        <w:t xml:space="preserve">and a treatment group </w:t>
      </w:r>
      <w:r w:rsidRPr="00B25B62">
        <w:rPr>
          <w:rFonts w:ascii="Times New Roman" w:hAnsi="Times New Roman" w:cs="Times New Roman"/>
        </w:rPr>
        <w:t xml:space="preserve">who </w:t>
      </w:r>
      <w:r w:rsidR="001119BD">
        <w:rPr>
          <w:rFonts w:ascii="Times New Roman" w:hAnsi="Times New Roman" w:cs="Times New Roman"/>
        </w:rPr>
        <w:t xml:space="preserve">were eligible to </w:t>
      </w:r>
      <w:r w:rsidRPr="00B25B62">
        <w:rPr>
          <w:rFonts w:ascii="Times New Roman" w:hAnsi="Times New Roman" w:cs="Times New Roman"/>
        </w:rPr>
        <w:t xml:space="preserve">receive </w:t>
      </w:r>
      <w:r w:rsidR="001119BD">
        <w:rPr>
          <w:rFonts w:ascii="Times New Roman" w:hAnsi="Times New Roman" w:cs="Times New Roman"/>
        </w:rPr>
        <w:t xml:space="preserve">the Big NIR Bonus as part of the experiment.  </w:t>
      </w:r>
      <w:r w:rsidR="00C5666B">
        <w:rPr>
          <w:rFonts w:ascii="Times New Roman" w:hAnsi="Times New Roman" w:cs="Times New Roman"/>
        </w:rPr>
        <w:t>W</w:t>
      </w:r>
      <w:r w:rsidRPr="00B25B62">
        <w:rPr>
          <w:rFonts w:ascii="Times New Roman" w:hAnsi="Times New Roman" w:cs="Times New Roman"/>
        </w:rPr>
        <w:t>ithin the low response probability group, those who received the NIR bonus completed the survey at a higher rate than those in the control group (15.88% vs 8.48%)</w:t>
      </w:r>
      <w:r w:rsidR="00C5666B">
        <w:rPr>
          <w:rFonts w:ascii="Times New Roman" w:hAnsi="Times New Roman" w:cs="Times New Roman"/>
        </w:rPr>
        <w:t>.  Therefore, we feel this bonus was successful at raising response rates for this group of respondents who we traditionally have great difficulty getting to respond.</w:t>
      </w:r>
    </w:p>
    <w:p w14:paraId="3370F9D9" w14:textId="0FEC8237" w:rsidR="00FC4F80" w:rsidRDefault="0027594B" w:rsidP="009755BA">
      <w:pPr>
        <w:spacing w:after="120" w:line="276" w:lineRule="auto"/>
        <w:rPr>
          <w:rFonts w:ascii="Times New Roman" w:hAnsi="Times New Roman" w:cs="Times New Roman"/>
        </w:rPr>
      </w:pPr>
      <w:r>
        <w:rPr>
          <w:rFonts w:ascii="Times New Roman" w:hAnsi="Times New Roman" w:cs="Times New Roman"/>
        </w:rPr>
        <w:t>In future rounds, w</w:t>
      </w:r>
      <w:r w:rsidR="00FC4F80">
        <w:rPr>
          <w:rFonts w:ascii="Times New Roman" w:hAnsi="Times New Roman" w:cs="Times New Roman"/>
        </w:rPr>
        <w:t xml:space="preserve">e plan </w:t>
      </w:r>
      <w:r>
        <w:rPr>
          <w:rFonts w:ascii="Times New Roman" w:hAnsi="Times New Roman" w:cs="Times New Roman"/>
        </w:rPr>
        <w:t>to evaluate whether this</w:t>
      </w:r>
      <w:r w:rsidR="00FC4F80">
        <w:rPr>
          <w:rFonts w:ascii="Times New Roman" w:hAnsi="Times New Roman" w:cs="Times New Roman"/>
        </w:rPr>
        <w:t xml:space="preserve"> Big NIR bonus leads to long term benefits.  In particular, it will be especially useful to use </w:t>
      </w:r>
      <w:r>
        <w:rPr>
          <w:rFonts w:ascii="Times New Roman" w:hAnsi="Times New Roman" w:cs="Times New Roman"/>
        </w:rPr>
        <w:t>future completion data to evaluate</w:t>
      </w:r>
      <w:r w:rsidR="00FC4F80">
        <w:rPr>
          <w:rFonts w:ascii="Times New Roman" w:hAnsi="Times New Roman" w:cs="Times New Roman"/>
        </w:rPr>
        <w:t xml:space="preserve"> whether </w:t>
      </w:r>
      <w:r w:rsidR="00CC702D">
        <w:rPr>
          <w:rFonts w:ascii="Times New Roman" w:hAnsi="Times New Roman" w:cs="Times New Roman"/>
        </w:rPr>
        <w:t xml:space="preserve">respondents who returned to the survey due to </w:t>
      </w:r>
      <w:r w:rsidR="00DD1767">
        <w:rPr>
          <w:rFonts w:ascii="Times New Roman" w:hAnsi="Times New Roman" w:cs="Times New Roman"/>
        </w:rPr>
        <w:t>the Big NIR</w:t>
      </w:r>
      <w:r w:rsidR="00CC702D">
        <w:rPr>
          <w:rFonts w:ascii="Times New Roman" w:hAnsi="Times New Roman" w:cs="Times New Roman"/>
        </w:rPr>
        <w:t xml:space="preserve"> bonus are more likely to complete in future rounds. </w:t>
      </w:r>
      <w:r w:rsidR="00FC4F80">
        <w:rPr>
          <w:rFonts w:ascii="Times New Roman" w:hAnsi="Times New Roman" w:cs="Times New Roman"/>
        </w:rPr>
        <w:t xml:space="preserve"> </w:t>
      </w:r>
    </w:p>
    <w:p w14:paraId="10CCB13E" w14:textId="0D0EEA3B" w:rsidR="00C5666B" w:rsidRPr="002F64DA" w:rsidRDefault="002F64DA" w:rsidP="002D22A8">
      <w:pPr>
        <w:jc w:val="center"/>
        <w:rPr>
          <w:rFonts w:ascii="Times New Roman" w:hAnsi="Times New Roman" w:cs="Times New Roman"/>
          <w:b/>
        </w:rPr>
      </w:pPr>
      <w:r w:rsidRPr="002F64DA">
        <w:rPr>
          <w:rFonts w:ascii="Times New Roman" w:hAnsi="Times New Roman" w:cs="Times New Roman"/>
          <w:b/>
        </w:rPr>
        <w:t>Table 3:  Big NIR Bonus Results</w:t>
      </w:r>
    </w:p>
    <w:tbl>
      <w:tblPr>
        <w:tblpPr w:leftFromText="180" w:rightFromText="180" w:vertAnchor="text" w:horzAnchor="margin" w:tblpY="27"/>
        <w:tblW w:w="93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1"/>
        <w:gridCol w:w="1371"/>
        <w:gridCol w:w="1221"/>
        <w:gridCol w:w="1196"/>
        <w:gridCol w:w="1220"/>
        <w:gridCol w:w="1081"/>
        <w:gridCol w:w="1081"/>
        <w:gridCol w:w="1081"/>
      </w:tblGrid>
      <w:tr w:rsidR="00DE7197" w:rsidRPr="00B25B62" w14:paraId="27829433" w14:textId="77777777" w:rsidTr="0010539F">
        <w:trPr>
          <w:trHeight w:val="285"/>
        </w:trPr>
        <w:tc>
          <w:tcPr>
            <w:tcW w:w="1080" w:type="dxa"/>
            <w:tcBorders>
              <w:top w:val="single" w:sz="4" w:space="0" w:color="auto"/>
              <w:bottom w:val="single" w:sz="4" w:space="0" w:color="auto"/>
            </w:tcBorders>
            <w:shd w:val="clear" w:color="000000" w:fill="FFFFFF"/>
            <w:vAlign w:val="bottom"/>
            <w:hideMark/>
          </w:tcPr>
          <w:p w14:paraId="72271C60" w14:textId="77777777" w:rsidR="00DE7197" w:rsidRPr="00B25B62" w:rsidRDefault="00DE7197" w:rsidP="004615EC">
            <w:pPr>
              <w:spacing w:after="120" w:line="240" w:lineRule="auto"/>
              <w:jc w:val="center"/>
              <w:rPr>
                <w:rFonts w:ascii="Times New Roman" w:eastAsia="Times New Roman" w:hAnsi="Times New Roman" w:cs="Times New Roman"/>
                <w:bCs/>
              </w:rPr>
            </w:pPr>
            <w:r w:rsidRPr="00B25B62">
              <w:rPr>
                <w:rFonts w:ascii="Times New Roman" w:eastAsia="Times New Roman" w:hAnsi="Times New Roman" w:cs="Times New Roman"/>
                <w:bCs/>
              </w:rPr>
              <w:t>NIR Bonus Received</w:t>
            </w:r>
          </w:p>
        </w:tc>
        <w:tc>
          <w:tcPr>
            <w:tcW w:w="1379" w:type="dxa"/>
            <w:tcBorders>
              <w:top w:val="single" w:sz="4" w:space="0" w:color="auto"/>
              <w:bottom w:val="single" w:sz="4" w:space="0" w:color="auto"/>
            </w:tcBorders>
            <w:shd w:val="clear" w:color="000000" w:fill="FFFFFF"/>
            <w:vAlign w:val="center"/>
            <w:hideMark/>
          </w:tcPr>
          <w:p w14:paraId="61788243" w14:textId="77777777" w:rsidR="00DE7197" w:rsidRPr="00B25B62" w:rsidRDefault="00DE7197" w:rsidP="004615EC">
            <w:pPr>
              <w:spacing w:after="120" w:line="240" w:lineRule="auto"/>
              <w:jc w:val="center"/>
              <w:rPr>
                <w:rFonts w:ascii="Times New Roman" w:eastAsia="Times New Roman" w:hAnsi="Times New Roman" w:cs="Times New Roman"/>
                <w:b/>
                <w:bCs/>
              </w:rPr>
            </w:pPr>
            <w:r w:rsidRPr="00B25B62">
              <w:rPr>
                <w:rFonts w:ascii="Times New Roman" w:eastAsia="Times New Roman" w:hAnsi="Times New Roman" w:cs="Times New Roman"/>
                <w:color w:val="000000"/>
              </w:rPr>
              <w:t>Total Respondents</w:t>
            </w:r>
          </w:p>
        </w:tc>
        <w:tc>
          <w:tcPr>
            <w:tcW w:w="1231" w:type="dxa"/>
            <w:tcBorders>
              <w:top w:val="single" w:sz="4" w:space="0" w:color="auto"/>
              <w:bottom w:val="single" w:sz="4" w:space="0" w:color="auto"/>
            </w:tcBorders>
            <w:shd w:val="clear" w:color="000000" w:fill="FFFFFF"/>
            <w:vAlign w:val="center"/>
            <w:hideMark/>
          </w:tcPr>
          <w:p w14:paraId="672A3A0D" w14:textId="77777777" w:rsidR="00DE7197" w:rsidRPr="00B25B62" w:rsidRDefault="00DE7197" w:rsidP="004615EC">
            <w:pPr>
              <w:spacing w:after="120" w:line="240" w:lineRule="auto"/>
              <w:jc w:val="center"/>
              <w:rPr>
                <w:rFonts w:ascii="Times New Roman" w:eastAsia="Times New Roman" w:hAnsi="Times New Roman" w:cs="Times New Roman"/>
                <w:b/>
                <w:bCs/>
              </w:rPr>
            </w:pPr>
            <w:r w:rsidRPr="00B25B62">
              <w:rPr>
                <w:rFonts w:ascii="Times New Roman" w:eastAsia="Times New Roman" w:hAnsi="Times New Roman" w:cs="Times New Roman"/>
                <w:color w:val="000000"/>
              </w:rPr>
              <w:t>Completed Cases</w:t>
            </w:r>
          </w:p>
        </w:tc>
        <w:tc>
          <w:tcPr>
            <w:tcW w:w="1200" w:type="dxa"/>
            <w:tcBorders>
              <w:top w:val="single" w:sz="4" w:space="0" w:color="auto"/>
              <w:bottom w:val="single" w:sz="4" w:space="0" w:color="auto"/>
            </w:tcBorders>
            <w:shd w:val="clear" w:color="000000" w:fill="FFFFFF"/>
            <w:vAlign w:val="center"/>
            <w:hideMark/>
          </w:tcPr>
          <w:p w14:paraId="5A01EC46" w14:textId="77777777" w:rsidR="00DE7197" w:rsidRPr="00B25B62" w:rsidRDefault="00DE7197" w:rsidP="004615EC">
            <w:pPr>
              <w:spacing w:after="120" w:line="240" w:lineRule="auto"/>
              <w:jc w:val="center"/>
              <w:rPr>
                <w:rFonts w:ascii="Times New Roman" w:eastAsia="Times New Roman" w:hAnsi="Times New Roman" w:cs="Times New Roman"/>
                <w:b/>
                <w:bCs/>
              </w:rPr>
            </w:pPr>
            <w:r w:rsidRPr="00B25B62">
              <w:rPr>
                <w:rFonts w:ascii="Times New Roman" w:eastAsia="Times New Roman" w:hAnsi="Times New Roman" w:cs="Times New Roman"/>
                <w:color w:val="000000"/>
              </w:rPr>
              <w:t>Cases Completed EB</w:t>
            </w:r>
          </w:p>
        </w:tc>
        <w:tc>
          <w:tcPr>
            <w:tcW w:w="1230" w:type="dxa"/>
            <w:tcBorders>
              <w:top w:val="single" w:sz="4" w:space="0" w:color="auto"/>
              <w:bottom w:val="single" w:sz="4" w:space="0" w:color="auto"/>
            </w:tcBorders>
            <w:shd w:val="clear" w:color="000000" w:fill="FFFFFF"/>
            <w:vAlign w:val="center"/>
            <w:hideMark/>
          </w:tcPr>
          <w:p w14:paraId="16D21452" w14:textId="77777777" w:rsidR="00DE7197" w:rsidRPr="00B25B62" w:rsidRDefault="00DE7197" w:rsidP="004615EC">
            <w:pPr>
              <w:spacing w:after="120" w:line="240" w:lineRule="auto"/>
              <w:jc w:val="center"/>
              <w:rPr>
                <w:rFonts w:ascii="Times New Roman" w:eastAsia="Times New Roman" w:hAnsi="Times New Roman" w:cs="Times New Roman"/>
                <w:b/>
                <w:bCs/>
              </w:rPr>
            </w:pPr>
            <w:r w:rsidRPr="00B25B62">
              <w:rPr>
                <w:rFonts w:ascii="Times New Roman" w:eastAsia="Times New Roman" w:hAnsi="Times New Roman" w:cs="Times New Roman"/>
                <w:color w:val="000000"/>
              </w:rPr>
              <w:t>Cases Completed in Person</w:t>
            </w:r>
          </w:p>
        </w:tc>
        <w:tc>
          <w:tcPr>
            <w:tcW w:w="1084" w:type="dxa"/>
            <w:tcBorders>
              <w:top w:val="single" w:sz="4" w:space="0" w:color="auto"/>
              <w:bottom w:val="single" w:sz="4" w:space="0" w:color="auto"/>
            </w:tcBorders>
            <w:shd w:val="clear" w:color="000000" w:fill="FFFFFF"/>
            <w:vAlign w:val="center"/>
            <w:hideMark/>
          </w:tcPr>
          <w:p w14:paraId="14624DEE" w14:textId="77777777" w:rsidR="00DE7197" w:rsidRPr="00B25B62" w:rsidRDefault="00DE7197" w:rsidP="004615EC">
            <w:pPr>
              <w:spacing w:after="120" w:line="240" w:lineRule="auto"/>
              <w:jc w:val="center"/>
              <w:rPr>
                <w:rFonts w:ascii="Times New Roman" w:eastAsia="Times New Roman" w:hAnsi="Times New Roman" w:cs="Times New Roman"/>
                <w:b/>
                <w:bCs/>
              </w:rPr>
            </w:pPr>
            <w:r w:rsidRPr="00B25B62">
              <w:rPr>
                <w:rFonts w:ascii="Times New Roman" w:eastAsia="Times New Roman" w:hAnsi="Times New Roman" w:cs="Times New Roman"/>
                <w:color w:val="000000"/>
              </w:rPr>
              <w:t>% Complete (Total)</w:t>
            </w:r>
          </w:p>
        </w:tc>
        <w:tc>
          <w:tcPr>
            <w:tcW w:w="1084" w:type="dxa"/>
            <w:tcBorders>
              <w:top w:val="single" w:sz="4" w:space="0" w:color="auto"/>
              <w:bottom w:val="single" w:sz="4" w:space="0" w:color="auto"/>
            </w:tcBorders>
            <w:shd w:val="clear" w:color="000000" w:fill="FFFFFF"/>
            <w:vAlign w:val="center"/>
            <w:hideMark/>
          </w:tcPr>
          <w:p w14:paraId="1A546986" w14:textId="77777777" w:rsidR="00DE7197" w:rsidRPr="00B25B62" w:rsidRDefault="00DE7197" w:rsidP="004615EC">
            <w:pPr>
              <w:spacing w:after="120" w:line="240" w:lineRule="auto"/>
              <w:jc w:val="center"/>
              <w:rPr>
                <w:rFonts w:ascii="Times New Roman" w:eastAsia="Times New Roman" w:hAnsi="Times New Roman" w:cs="Times New Roman"/>
                <w:b/>
                <w:bCs/>
              </w:rPr>
            </w:pPr>
            <w:r w:rsidRPr="00B25B62">
              <w:rPr>
                <w:rFonts w:ascii="Times New Roman" w:eastAsia="Times New Roman" w:hAnsi="Times New Roman" w:cs="Times New Roman"/>
                <w:color w:val="000000"/>
              </w:rPr>
              <w:t>% Complete EB</w:t>
            </w:r>
          </w:p>
        </w:tc>
        <w:tc>
          <w:tcPr>
            <w:tcW w:w="1084" w:type="dxa"/>
            <w:tcBorders>
              <w:top w:val="single" w:sz="4" w:space="0" w:color="auto"/>
              <w:bottom w:val="single" w:sz="4" w:space="0" w:color="auto"/>
            </w:tcBorders>
            <w:shd w:val="clear" w:color="000000" w:fill="FFFFFF"/>
            <w:vAlign w:val="center"/>
            <w:hideMark/>
          </w:tcPr>
          <w:p w14:paraId="3360E6CA" w14:textId="57EFDA0E" w:rsidR="00DE7197" w:rsidRPr="00B25B62" w:rsidRDefault="00DE7197" w:rsidP="004615EC">
            <w:pPr>
              <w:spacing w:after="120" w:line="240" w:lineRule="auto"/>
              <w:jc w:val="center"/>
              <w:rPr>
                <w:rFonts w:ascii="Times New Roman" w:eastAsia="Times New Roman" w:hAnsi="Times New Roman" w:cs="Times New Roman"/>
                <w:b/>
                <w:bCs/>
              </w:rPr>
            </w:pPr>
            <w:r w:rsidRPr="00B25B62">
              <w:rPr>
                <w:rFonts w:ascii="Times New Roman" w:eastAsia="Times New Roman" w:hAnsi="Times New Roman" w:cs="Times New Roman"/>
                <w:color w:val="000000"/>
              </w:rPr>
              <w:t xml:space="preserve">% Complete </w:t>
            </w:r>
            <w:r w:rsidR="00F62AE7">
              <w:rPr>
                <w:rFonts w:ascii="Times New Roman" w:eastAsia="Times New Roman" w:hAnsi="Times New Roman" w:cs="Times New Roman"/>
                <w:color w:val="000000"/>
              </w:rPr>
              <w:t>I</w:t>
            </w:r>
            <w:r w:rsidRPr="00B25B62">
              <w:rPr>
                <w:rFonts w:ascii="Times New Roman" w:eastAsia="Times New Roman" w:hAnsi="Times New Roman" w:cs="Times New Roman"/>
                <w:color w:val="000000"/>
              </w:rPr>
              <w:t>n Person</w:t>
            </w:r>
          </w:p>
        </w:tc>
      </w:tr>
      <w:tr w:rsidR="00DE7197" w:rsidRPr="00B25B62" w14:paraId="5434FAB8" w14:textId="77777777" w:rsidTr="0010539F">
        <w:trPr>
          <w:trHeight w:val="300"/>
        </w:trPr>
        <w:tc>
          <w:tcPr>
            <w:tcW w:w="1080" w:type="dxa"/>
            <w:shd w:val="clear" w:color="auto" w:fill="FFFFFF" w:themeFill="background1"/>
            <w:vAlign w:val="bottom"/>
            <w:hideMark/>
          </w:tcPr>
          <w:p w14:paraId="577C2093"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Control</w:t>
            </w:r>
          </w:p>
        </w:tc>
        <w:tc>
          <w:tcPr>
            <w:tcW w:w="1379" w:type="dxa"/>
            <w:shd w:val="clear" w:color="auto" w:fill="FFFFFF" w:themeFill="background1"/>
            <w:vAlign w:val="center"/>
            <w:hideMark/>
          </w:tcPr>
          <w:p w14:paraId="4FFA7C25"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389</w:t>
            </w:r>
          </w:p>
        </w:tc>
        <w:tc>
          <w:tcPr>
            <w:tcW w:w="1231" w:type="dxa"/>
            <w:shd w:val="clear" w:color="auto" w:fill="FFFFFF" w:themeFill="background1"/>
            <w:vAlign w:val="center"/>
            <w:hideMark/>
          </w:tcPr>
          <w:p w14:paraId="577981FD"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33</w:t>
            </w:r>
          </w:p>
        </w:tc>
        <w:tc>
          <w:tcPr>
            <w:tcW w:w="1200" w:type="dxa"/>
            <w:shd w:val="clear" w:color="auto" w:fill="FFFFFF" w:themeFill="background1"/>
            <w:vAlign w:val="center"/>
            <w:hideMark/>
          </w:tcPr>
          <w:p w14:paraId="6B7CABFC"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4</w:t>
            </w:r>
          </w:p>
        </w:tc>
        <w:tc>
          <w:tcPr>
            <w:tcW w:w="1230" w:type="dxa"/>
            <w:shd w:val="clear" w:color="auto" w:fill="FFFFFF" w:themeFill="background1"/>
            <w:vAlign w:val="center"/>
            <w:hideMark/>
          </w:tcPr>
          <w:p w14:paraId="28DEE406"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6</w:t>
            </w:r>
          </w:p>
        </w:tc>
        <w:tc>
          <w:tcPr>
            <w:tcW w:w="1084" w:type="dxa"/>
            <w:shd w:val="clear" w:color="auto" w:fill="FFFFFF" w:themeFill="background1"/>
            <w:vAlign w:val="center"/>
            <w:hideMark/>
          </w:tcPr>
          <w:p w14:paraId="09DE8F3A"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8.48%</w:t>
            </w:r>
          </w:p>
        </w:tc>
        <w:tc>
          <w:tcPr>
            <w:tcW w:w="1084" w:type="dxa"/>
            <w:shd w:val="clear" w:color="auto" w:fill="FFFFFF" w:themeFill="background1"/>
            <w:vAlign w:val="center"/>
            <w:hideMark/>
          </w:tcPr>
          <w:p w14:paraId="3A295DC4"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1.03%</w:t>
            </w:r>
          </w:p>
        </w:tc>
        <w:tc>
          <w:tcPr>
            <w:tcW w:w="1084" w:type="dxa"/>
            <w:shd w:val="clear" w:color="auto" w:fill="FFFFFF" w:themeFill="background1"/>
            <w:vAlign w:val="center"/>
            <w:hideMark/>
          </w:tcPr>
          <w:p w14:paraId="5FFEFCCC"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1.54%</w:t>
            </w:r>
          </w:p>
        </w:tc>
      </w:tr>
      <w:tr w:rsidR="00DE7197" w:rsidRPr="00B25B62" w14:paraId="26A93BEC" w14:textId="77777777" w:rsidTr="0010539F">
        <w:trPr>
          <w:trHeight w:val="300"/>
        </w:trPr>
        <w:tc>
          <w:tcPr>
            <w:tcW w:w="1080" w:type="dxa"/>
            <w:shd w:val="clear" w:color="auto" w:fill="FFFFFF" w:themeFill="background1"/>
            <w:vAlign w:val="bottom"/>
          </w:tcPr>
          <w:p w14:paraId="0F83522B" w14:textId="2D427254" w:rsidR="00DE7197" w:rsidRPr="00B25B62" w:rsidRDefault="001119BD" w:rsidP="004615EC">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Treatment</w:t>
            </w:r>
          </w:p>
        </w:tc>
        <w:tc>
          <w:tcPr>
            <w:tcW w:w="1379" w:type="dxa"/>
            <w:shd w:val="clear" w:color="auto" w:fill="FFFFFF" w:themeFill="background1"/>
            <w:vAlign w:val="center"/>
          </w:tcPr>
          <w:p w14:paraId="3BF3EF9F"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170</w:t>
            </w:r>
          </w:p>
        </w:tc>
        <w:tc>
          <w:tcPr>
            <w:tcW w:w="1231" w:type="dxa"/>
            <w:shd w:val="clear" w:color="auto" w:fill="FFFFFF" w:themeFill="background1"/>
            <w:vAlign w:val="center"/>
          </w:tcPr>
          <w:p w14:paraId="183C82DA"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27</w:t>
            </w:r>
          </w:p>
        </w:tc>
        <w:tc>
          <w:tcPr>
            <w:tcW w:w="1200" w:type="dxa"/>
            <w:shd w:val="clear" w:color="auto" w:fill="FFFFFF" w:themeFill="background1"/>
            <w:vAlign w:val="center"/>
          </w:tcPr>
          <w:p w14:paraId="6474A1BC"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1</w:t>
            </w:r>
          </w:p>
        </w:tc>
        <w:tc>
          <w:tcPr>
            <w:tcW w:w="1230" w:type="dxa"/>
            <w:shd w:val="clear" w:color="auto" w:fill="FFFFFF" w:themeFill="background1"/>
            <w:vAlign w:val="center"/>
          </w:tcPr>
          <w:p w14:paraId="696DA081"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6</w:t>
            </w:r>
          </w:p>
        </w:tc>
        <w:tc>
          <w:tcPr>
            <w:tcW w:w="1084" w:type="dxa"/>
            <w:shd w:val="clear" w:color="auto" w:fill="FFFFFF" w:themeFill="background1"/>
            <w:vAlign w:val="center"/>
          </w:tcPr>
          <w:p w14:paraId="2DB374B1"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15.88%</w:t>
            </w:r>
          </w:p>
        </w:tc>
        <w:tc>
          <w:tcPr>
            <w:tcW w:w="1084" w:type="dxa"/>
            <w:shd w:val="clear" w:color="auto" w:fill="FFFFFF" w:themeFill="background1"/>
            <w:vAlign w:val="center"/>
          </w:tcPr>
          <w:p w14:paraId="58907F7E"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0.59%</w:t>
            </w:r>
          </w:p>
        </w:tc>
        <w:tc>
          <w:tcPr>
            <w:tcW w:w="1084" w:type="dxa"/>
            <w:shd w:val="clear" w:color="auto" w:fill="FFFFFF" w:themeFill="background1"/>
            <w:vAlign w:val="center"/>
          </w:tcPr>
          <w:p w14:paraId="3A77F2C5" w14:textId="77777777" w:rsidR="00DE7197" w:rsidRPr="00B25B62" w:rsidRDefault="00DE7197" w:rsidP="004615EC">
            <w:pPr>
              <w:spacing w:after="120" w:line="240" w:lineRule="auto"/>
              <w:jc w:val="center"/>
              <w:rPr>
                <w:rFonts w:ascii="Times New Roman" w:eastAsia="Times New Roman" w:hAnsi="Times New Roman" w:cs="Times New Roman"/>
              </w:rPr>
            </w:pPr>
            <w:r w:rsidRPr="00B25B62">
              <w:rPr>
                <w:rFonts w:ascii="Times New Roman" w:eastAsia="Times New Roman" w:hAnsi="Times New Roman" w:cs="Times New Roman"/>
              </w:rPr>
              <w:t>3.53%</w:t>
            </w:r>
          </w:p>
        </w:tc>
      </w:tr>
    </w:tbl>
    <w:p w14:paraId="1D3909B4" w14:textId="77777777" w:rsidR="008D2949" w:rsidRDefault="008D2949" w:rsidP="004615EC">
      <w:pPr>
        <w:spacing w:after="120"/>
        <w:rPr>
          <w:rFonts w:ascii="Times New Roman" w:hAnsi="Times New Roman" w:cs="Times New Roman"/>
        </w:rPr>
      </w:pPr>
    </w:p>
    <w:p w14:paraId="3035ED4C" w14:textId="77777777" w:rsidR="008D2949" w:rsidRDefault="008D2949" w:rsidP="004615EC">
      <w:pPr>
        <w:spacing w:after="120"/>
        <w:rPr>
          <w:rFonts w:ascii="Times New Roman" w:hAnsi="Times New Roman" w:cs="Times New Roman"/>
        </w:rPr>
      </w:pPr>
    </w:p>
    <w:p w14:paraId="67E48622" w14:textId="23498A9C" w:rsidR="00867452" w:rsidRPr="00B25B62" w:rsidRDefault="008D2949" w:rsidP="00F62AE7">
      <w:pPr>
        <w:pStyle w:val="ListParagraph"/>
        <w:numPr>
          <w:ilvl w:val="0"/>
          <w:numId w:val="5"/>
        </w:numPr>
        <w:spacing w:after="120"/>
        <w:ind w:left="360"/>
        <w:rPr>
          <w:rFonts w:ascii="Times New Roman" w:hAnsi="Times New Roman" w:cs="Times New Roman"/>
        </w:rPr>
      </w:pPr>
      <w:r>
        <w:rPr>
          <w:rFonts w:ascii="Times New Roman" w:hAnsi="Times New Roman" w:cs="Times New Roman"/>
          <w:b/>
        </w:rPr>
        <w:t>T</w:t>
      </w:r>
      <w:r w:rsidR="00867452" w:rsidRPr="00B25B62">
        <w:rPr>
          <w:rFonts w:ascii="Times New Roman" w:hAnsi="Times New Roman" w:cs="Times New Roman"/>
          <w:b/>
        </w:rPr>
        <w:t xml:space="preserve">alk to Us </w:t>
      </w:r>
    </w:p>
    <w:p w14:paraId="5EC63F20" w14:textId="5C5813C9" w:rsidR="00867452" w:rsidRDefault="00867452" w:rsidP="009755BA">
      <w:pPr>
        <w:spacing w:after="120" w:line="276" w:lineRule="auto"/>
        <w:rPr>
          <w:rFonts w:ascii="Times New Roman" w:hAnsi="Times New Roman" w:cs="Times New Roman"/>
        </w:rPr>
      </w:pPr>
      <w:r w:rsidRPr="00B25B62">
        <w:rPr>
          <w:rFonts w:ascii="Times New Roman" w:hAnsi="Times New Roman" w:cs="Times New Roman"/>
        </w:rPr>
        <w:t>The</w:t>
      </w:r>
      <w:r w:rsidRPr="00B25B62">
        <w:rPr>
          <w:rFonts w:ascii="Times New Roman" w:hAnsi="Times New Roman" w:cs="Times New Roman"/>
          <w:b/>
        </w:rPr>
        <w:t xml:space="preserve"> </w:t>
      </w:r>
      <w:r w:rsidRPr="00B25B62">
        <w:rPr>
          <w:rFonts w:ascii="Times New Roman" w:hAnsi="Times New Roman" w:cs="Times New Roman"/>
        </w:rPr>
        <w:t xml:space="preserve">“Talk to Us” bonus offers went out over the course of 3/26/2018 – 3/28/2018 to a little under 400 cases. The selected individuals received an email, text or call inviting them to respond to NORC for a $5 Walmart card to be provided electronically. </w:t>
      </w:r>
      <w:r w:rsidR="002F64DA">
        <w:rPr>
          <w:rFonts w:ascii="Times New Roman" w:hAnsi="Times New Roman" w:cs="Times New Roman"/>
        </w:rPr>
        <w:t>The hope was that this additional incentive would allow interviewers to encourage individuals to make contact with NORC and eventually complete the interview.</w:t>
      </w:r>
    </w:p>
    <w:p w14:paraId="7CFF8871" w14:textId="1707FFDC" w:rsidR="009B055E" w:rsidRDefault="002F64DA" w:rsidP="009755BA">
      <w:pPr>
        <w:spacing w:after="120" w:line="276" w:lineRule="auto"/>
        <w:rPr>
          <w:rFonts w:ascii="Times New Roman" w:hAnsi="Times New Roman" w:cs="Times New Roman"/>
        </w:rPr>
      </w:pPr>
      <w:r>
        <w:rPr>
          <w:rFonts w:ascii="Times New Roman" w:hAnsi="Times New Roman" w:cs="Times New Roman"/>
        </w:rPr>
        <w:t xml:space="preserve">Table 4 below shows the results of </w:t>
      </w:r>
      <w:r w:rsidR="009B055E">
        <w:rPr>
          <w:rFonts w:ascii="Times New Roman" w:hAnsi="Times New Roman" w:cs="Times New Roman"/>
        </w:rPr>
        <w:t>this bonus.  “Contacted us” refers to taking up the bonus, where</w:t>
      </w:r>
      <w:r>
        <w:rPr>
          <w:rFonts w:ascii="Times New Roman" w:hAnsi="Times New Roman" w:cs="Times New Roman"/>
        </w:rPr>
        <w:t xml:space="preserve"> responses </w:t>
      </w:r>
      <w:r w:rsidR="009B055E">
        <w:rPr>
          <w:rFonts w:ascii="Times New Roman" w:hAnsi="Times New Roman" w:cs="Times New Roman"/>
        </w:rPr>
        <w:t>were roughly split half and half between</w:t>
      </w:r>
      <w:r>
        <w:rPr>
          <w:rFonts w:ascii="Times New Roman" w:hAnsi="Times New Roman" w:cs="Times New Roman"/>
        </w:rPr>
        <w:t xml:space="preserve"> texts or emails</w:t>
      </w:r>
      <w:r w:rsidR="009B055E">
        <w:rPr>
          <w:rFonts w:ascii="Times New Roman" w:hAnsi="Times New Roman" w:cs="Times New Roman"/>
        </w:rPr>
        <w:t>.  These results show that while the bonus was successful in encouraging respondents to contact us, it did not result in measurably larger completion rates.  Therefore, while</w:t>
      </w:r>
      <w:r w:rsidR="009B055E" w:rsidRPr="00B25B62">
        <w:rPr>
          <w:rFonts w:ascii="Times New Roman" w:hAnsi="Times New Roman" w:cs="Times New Roman"/>
        </w:rPr>
        <w:t xml:space="preserve"> this option </w:t>
      </w:r>
      <w:r w:rsidR="009B055E">
        <w:rPr>
          <w:rFonts w:ascii="Times New Roman" w:hAnsi="Times New Roman" w:cs="Times New Roman"/>
        </w:rPr>
        <w:t>allows NORC another</w:t>
      </w:r>
      <w:r w:rsidR="009B055E" w:rsidRPr="00B25B62">
        <w:rPr>
          <w:rFonts w:ascii="Times New Roman" w:hAnsi="Times New Roman" w:cs="Times New Roman"/>
        </w:rPr>
        <w:t xml:space="preserve"> </w:t>
      </w:r>
      <w:r w:rsidR="009B055E">
        <w:rPr>
          <w:rFonts w:ascii="Times New Roman" w:hAnsi="Times New Roman" w:cs="Times New Roman"/>
        </w:rPr>
        <w:t>“a</w:t>
      </w:r>
      <w:r w:rsidR="009B055E" w:rsidRPr="00B25B62">
        <w:rPr>
          <w:rFonts w:ascii="Times New Roman" w:hAnsi="Times New Roman" w:cs="Times New Roman"/>
        </w:rPr>
        <w:t>rrow in the quiver</w:t>
      </w:r>
      <w:r w:rsidR="009B055E">
        <w:rPr>
          <w:rFonts w:ascii="Times New Roman" w:hAnsi="Times New Roman" w:cs="Times New Roman"/>
        </w:rPr>
        <w:t>”</w:t>
      </w:r>
      <w:r w:rsidR="009B055E" w:rsidRPr="00B25B62">
        <w:rPr>
          <w:rFonts w:ascii="Times New Roman" w:hAnsi="Times New Roman" w:cs="Times New Roman"/>
        </w:rPr>
        <w:t xml:space="preserve"> when tr</w:t>
      </w:r>
      <w:r w:rsidR="009B055E">
        <w:rPr>
          <w:rFonts w:ascii="Times New Roman" w:hAnsi="Times New Roman" w:cs="Times New Roman"/>
        </w:rPr>
        <w:t>ying to engage respondents</w:t>
      </w:r>
      <w:r w:rsidR="000A4CBD">
        <w:rPr>
          <w:rFonts w:ascii="Times New Roman" w:hAnsi="Times New Roman" w:cs="Times New Roman"/>
        </w:rPr>
        <w:t xml:space="preserve"> and may help us to gain updated contact information</w:t>
      </w:r>
      <w:r w:rsidR="009B055E">
        <w:rPr>
          <w:rFonts w:ascii="Times New Roman" w:hAnsi="Times New Roman" w:cs="Times New Roman"/>
        </w:rPr>
        <w:t xml:space="preserve">, </w:t>
      </w:r>
      <w:r w:rsidR="009B055E" w:rsidRPr="00B25B62">
        <w:rPr>
          <w:rFonts w:ascii="Times New Roman" w:hAnsi="Times New Roman" w:cs="Times New Roman"/>
        </w:rPr>
        <w:t>the increase in completes is negligible</w:t>
      </w:r>
      <w:r w:rsidR="000A4CBD">
        <w:rPr>
          <w:rFonts w:ascii="Times New Roman" w:hAnsi="Times New Roman" w:cs="Times New Roman"/>
        </w:rPr>
        <w:t xml:space="preserve"> and we are not pursuing this option for Round 19</w:t>
      </w:r>
      <w:r w:rsidR="009B055E" w:rsidRPr="00B25B62">
        <w:rPr>
          <w:rFonts w:ascii="Times New Roman" w:hAnsi="Times New Roman" w:cs="Times New Roman"/>
        </w:rPr>
        <w:t xml:space="preserve">. </w:t>
      </w:r>
    </w:p>
    <w:p w14:paraId="76709799" w14:textId="77777777" w:rsidR="00867452" w:rsidRPr="00B25B62" w:rsidRDefault="00867452" w:rsidP="004615EC">
      <w:pPr>
        <w:spacing w:after="120"/>
        <w:rPr>
          <w:rFonts w:ascii="Times New Roman" w:hAnsi="Times New Roman" w:cs="Times New Roman"/>
        </w:rPr>
      </w:pPr>
    </w:p>
    <w:p w14:paraId="240251F1" w14:textId="1971DAD0" w:rsidR="00867452" w:rsidRPr="009B055E" w:rsidRDefault="009B055E" w:rsidP="009B055E">
      <w:pPr>
        <w:spacing w:after="120"/>
        <w:jc w:val="center"/>
        <w:rPr>
          <w:rFonts w:ascii="Times New Roman" w:hAnsi="Times New Roman" w:cs="Times New Roman"/>
          <w:b/>
        </w:rPr>
      </w:pPr>
      <w:r w:rsidRPr="009B055E">
        <w:rPr>
          <w:rFonts w:ascii="Times New Roman" w:hAnsi="Times New Roman" w:cs="Times New Roman"/>
          <w:b/>
        </w:rPr>
        <w:t>Table 4:  Talk to Us Bonus Results</w:t>
      </w:r>
    </w:p>
    <w:tbl>
      <w:tblPr>
        <w:tblW w:w="68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85"/>
        <w:gridCol w:w="1581"/>
        <w:gridCol w:w="1508"/>
        <w:gridCol w:w="937"/>
      </w:tblGrid>
      <w:tr w:rsidR="00867452" w:rsidRPr="00B25B62" w14:paraId="27137CFD" w14:textId="77777777" w:rsidTr="009B055E">
        <w:trPr>
          <w:trHeight w:val="625"/>
          <w:jc w:val="center"/>
        </w:trPr>
        <w:tc>
          <w:tcPr>
            <w:tcW w:w="2785" w:type="dxa"/>
            <w:tcBorders>
              <w:top w:val="single" w:sz="4" w:space="0" w:color="auto"/>
              <w:bottom w:val="single" w:sz="4" w:space="0" w:color="auto"/>
            </w:tcBorders>
            <w:shd w:val="clear" w:color="auto" w:fill="auto"/>
            <w:noWrap/>
            <w:vAlign w:val="bottom"/>
            <w:hideMark/>
          </w:tcPr>
          <w:p w14:paraId="16703930" w14:textId="77777777" w:rsidR="00867452" w:rsidRPr="00B25B62" w:rsidRDefault="00867452" w:rsidP="009B055E">
            <w:pPr>
              <w:spacing w:after="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 </w:t>
            </w:r>
          </w:p>
        </w:tc>
        <w:tc>
          <w:tcPr>
            <w:tcW w:w="1581" w:type="dxa"/>
            <w:tcBorders>
              <w:top w:val="single" w:sz="4" w:space="0" w:color="auto"/>
              <w:bottom w:val="single" w:sz="4" w:space="0" w:color="auto"/>
            </w:tcBorders>
            <w:shd w:val="clear" w:color="auto" w:fill="auto"/>
            <w:vAlign w:val="bottom"/>
            <w:hideMark/>
          </w:tcPr>
          <w:p w14:paraId="6A4E9FC1" w14:textId="77777777" w:rsidR="00867452" w:rsidRPr="00B25B62" w:rsidRDefault="00867452" w:rsidP="009B055E">
            <w:pPr>
              <w:spacing w:after="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 Contacted Us</w:t>
            </w:r>
          </w:p>
        </w:tc>
        <w:tc>
          <w:tcPr>
            <w:tcW w:w="1508" w:type="dxa"/>
            <w:tcBorders>
              <w:top w:val="single" w:sz="4" w:space="0" w:color="auto"/>
              <w:bottom w:val="single" w:sz="4" w:space="0" w:color="auto"/>
            </w:tcBorders>
            <w:shd w:val="clear" w:color="auto" w:fill="auto"/>
            <w:vAlign w:val="bottom"/>
            <w:hideMark/>
          </w:tcPr>
          <w:p w14:paraId="6553AD97" w14:textId="1EE86184" w:rsidR="00867452" w:rsidRPr="00B25B62" w:rsidRDefault="00867452" w:rsidP="009B055E">
            <w:pPr>
              <w:spacing w:after="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 Comp</w:t>
            </w:r>
            <w:r w:rsidR="004E4AF8">
              <w:rPr>
                <w:rFonts w:ascii="Times New Roman" w:eastAsia="Times New Roman" w:hAnsi="Times New Roman" w:cs="Times New Roman"/>
                <w:color w:val="000000"/>
              </w:rPr>
              <w:t>l</w:t>
            </w:r>
            <w:r w:rsidRPr="00B25B62">
              <w:rPr>
                <w:rFonts w:ascii="Times New Roman" w:eastAsia="Times New Roman" w:hAnsi="Times New Roman" w:cs="Times New Roman"/>
                <w:color w:val="000000"/>
              </w:rPr>
              <w:t>eted</w:t>
            </w:r>
            <w:r w:rsidR="000A4CBD">
              <w:rPr>
                <w:rFonts w:ascii="Times New Roman" w:eastAsia="Times New Roman" w:hAnsi="Times New Roman" w:cs="Times New Roman"/>
                <w:color w:val="000000"/>
              </w:rPr>
              <w:t xml:space="preserve"> During Round</w:t>
            </w:r>
          </w:p>
        </w:tc>
        <w:tc>
          <w:tcPr>
            <w:tcW w:w="937" w:type="dxa"/>
            <w:tcBorders>
              <w:top w:val="single" w:sz="4" w:space="0" w:color="auto"/>
              <w:bottom w:val="single" w:sz="4" w:space="0" w:color="auto"/>
            </w:tcBorders>
            <w:shd w:val="clear" w:color="auto" w:fill="auto"/>
            <w:vAlign w:val="bottom"/>
            <w:hideMark/>
          </w:tcPr>
          <w:p w14:paraId="56376B12" w14:textId="58B2A9E0" w:rsidR="00867452" w:rsidRPr="00B25B62" w:rsidRDefault="009B055E" w:rsidP="009B055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r>
      <w:tr w:rsidR="00867452" w:rsidRPr="00B25B62" w14:paraId="5FFF04D1" w14:textId="77777777" w:rsidTr="009B055E">
        <w:trPr>
          <w:trHeight w:val="415"/>
          <w:jc w:val="center"/>
        </w:trPr>
        <w:tc>
          <w:tcPr>
            <w:tcW w:w="2785" w:type="dxa"/>
            <w:tcBorders>
              <w:top w:val="single" w:sz="4" w:space="0" w:color="auto"/>
            </w:tcBorders>
            <w:shd w:val="clear" w:color="auto" w:fill="auto"/>
            <w:vAlign w:val="center"/>
            <w:hideMark/>
          </w:tcPr>
          <w:p w14:paraId="31AEBB85" w14:textId="77777777" w:rsidR="00867452" w:rsidRPr="00B25B62" w:rsidRDefault="00867452" w:rsidP="009B055E">
            <w:pPr>
              <w:spacing w:after="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Bonus offered</w:t>
            </w:r>
          </w:p>
        </w:tc>
        <w:tc>
          <w:tcPr>
            <w:tcW w:w="1581" w:type="dxa"/>
            <w:tcBorders>
              <w:top w:val="single" w:sz="4" w:space="0" w:color="auto"/>
            </w:tcBorders>
            <w:shd w:val="clear" w:color="auto" w:fill="auto"/>
            <w:noWrap/>
            <w:vAlign w:val="center"/>
            <w:hideMark/>
          </w:tcPr>
          <w:p w14:paraId="175CAD58" w14:textId="592BE950" w:rsidR="00867452" w:rsidRPr="00B25B62" w:rsidRDefault="00867452" w:rsidP="009B055E">
            <w:pPr>
              <w:spacing w:after="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23.9</w:t>
            </w:r>
            <w:r w:rsidR="009B055E">
              <w:rPr>
                <w:rFonts w:ascii="Times New Roman" w:eastAsia="Times New Roman" w:hAnsi="Times New Roman" w:cs="Times New Roman"/>
                <w:color w:val="000000"/>
              </w:rPr>
              <w:t>%</w:t>
            </w:r>
          </w:p>
        </w:tc>
        <w:tc>
          <w:tcPr>
            <w:tcW w:w="1508" w:type="dxa"/>
            <w:tcBorders>
              <w:top w:val="single" w:sz="4" w:space="0" w:color="auto"/>
            </w:tcBorders>
            <w:shd w:val="clear" w:color="auto" w:fill="auto"/>
            <w:noWrap/>
            <w:vAlign w:val="center"/>
            <w:hideMark/>
          </w:tcPr>
          <w:p w14:paraId="5972BC25" w14:textId="50E5389A" w:rsidR="00867452" w:rsidRPr="00B25B62" w:rsidRDefault="00867452" w:rsidP="009B055E">
            <w:pPr>
              <w:spacing w:after="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32.2</w:t>
            </w:r>
            <w:r w:rsidR="009B055E">
              <w:rPr>
                <w:rFonts w:ascii="Times New Roman" w:eastAsia="Times New Roman" w:hAnsi="Times New Roman" w:cs="Times New Roman"/>
                <w:color w:val="000000"/>
              </w:rPr>
              <w:t>%</w:t>
            </w:r>
          </w:p>
        </w:tc>
        <w:tc>
          <w:tcPr>
            <w:tcW w:w="937" w:type="dxa"/>
            <w:tcBorders>
              <w:top w:val="single" w:sz="4" w:space="0" w:color="auto"/>
            </w:tcBorders>
            <w:shd w:val="clear" w:color="auto" w:fill="auto"/>
            <w:noWrap/>
            <w:vAlign w:val="center"/>
            <w:hideMark/>
          </w:tcPr>
          <w:p w14:paraId="21A8B39B" w14:textId="77777777" w:rsidR="00867452" w:rsidRPr="00B25B62" w:rsidRDefault="00867452" w:rsidP="009B055E">
            <w:pPr>
              <w:spacing w:after="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364</w:t>
            </w:r>
          </w:p>
        </w:tc>
      </w:tr>
      <w:tr w:rsidR="00867452" w:rsidRPr="00B25B62" w14:paraId="67421D10" w14:textId="77777777" w:rsidTr="009B055E">
        <w:trPr>
          <w:trHeight w:val="415"/>
          <w:jc w:val="center"/>
        </w:trPr>
        <w:tc>
          <w:tcPr>
            <w:tcW w:w="2785" w:type="dxa"/>
            <w:shd w:val="clear" w:color="auto" w:fill="auto"/>
            <w:vAlign w:val="center"/>
            <w:hideMark/>
          </w:tcPr>
          <w:p w14:paraId="5568B904" w14:textId="77777777" w:rsidR="00867452" w:rsidRPr="00B25B62" w:rsidRDefault="00867452" w:rsidP="009B055E">
            <w:pPr>
              <w:spacing w:after="0" w:line="240" w:lineRule="auto"/>
              <w:rPr>
                <w:rFonts w:ascii="Times New Roman" w:eastAsia="Times New Roman" w:hAnsi="Times New Roman" w:cs="Times New Roman"/>
                <w:color w:val="000000"/>
              </w:rPr>
            </w:pPr>
            <w:r w:rsidRPr="00B25B62">
              <w:rPr>
                <w:rFonts w:ascii="Times New Roman" w:eastAsia="Times New Roman" w:hAnsi="Times New Roman" w:cs="Times New Roman"/>
                <w:color w:val="000000"/>
              </w:rPr>
              <w:t>Bonus not offered</w:t>
            </w:r>
          </w:p>
        </w:tc>
        <w:tc>
          <w:tcPr>
            <w:tcW w:w="1581" w:type="dxa"/>
            <w:shd w:val="clear" w:color="auto" w:fill="auto"/>
            <w:noWrap/>
            <w:vAlign w:val="center"/>
            <w:hideMark/>
          </w:tcPr>
          <w:p w14:paraId="2D8EA84B" w14:textId="6C21346D" w:rsidR="00867452" w:rsidRPr="00B25B62" w:rsidRDefault="00867452" w:rsidP="009B055E">
            <w:pPr>
              <w:spacing w:after="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1.4</w:t>
            </w:r>
            <w:r w:rsidR="009B055E">
              <w:rPr>
                <w:rFonts w:ascii="Times New Roman" w:eastAsia="Times New Roman" w:hAnsi="Times New Roman" w:cs="Times New Roman"/>
                <w:color w:val="000000"/>
              </w:rPr>
              <w:t>%</w:t>
            </w:r>
          </w:p>
        </w:tc>
        <w:tc>
          <w:tcPr>
            <w:tcW w:w="1508" w:type="dxa"/>
            <w:shd w:val="clear" w:color="auto" w:fill="auto"/>
            <w:noWrap/>
            <w:vAlign w:val="center"/>
            <w:hideMark/>
          </w:tcPr>
          <w:p w14:paraId="54DB16EB" w14:textId="04B9414B" w:rsidR="00867452" w:rsidRPr="00B25B62" w:rsidRDefault="00867452" w:rsidP="009B055E">
            <w:pPr>
              <w:spacing w:after="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30.2</w:t>
            </w:r>
            <w:r w:rsidR="009B055E">
              <w:rPr>
                <w:rFonts w:ascii="Times New Roman" w:eastAsia="Times New Roman" w:hAnsi="Times New Roman" w:cs="Times New Roman"/>
                <w:color w:val="000000"/>
              </w:rPr>
              <w:t>%</w:t>
            </w:r>
          </w:p>
        </w:tc>
        <w:tc>
          <w:tcPr>
            <w:tcW w:w="937" w:type="dxa"/>
            <w:shd w:val="clear" w:color="auto" w:fill="auto"/>
            <w:noWrap/>
            <w:vAlign w:val="center"/>
            <w:hideMark/>
          </w:tcPr>
          <w:p w14:paraId="740B0EC2" w14:textId="77777777" w:rsidR="00867452" w:rsidRPr="00B25B62" w:rsidRDefault="00867452" w:rsidP="009B055E">
            <w:pPr>
              <w:spacing w:after="0" w:line="240" w:lineRule="auto"/>
              <w:jc w:val="center"/>
              <w:rPr>
                <w:rFonts w:ascii="Times New Roman" w:eastAsia="Times New Roman" w:hAnsi="Times New Roman" w:cs="Times New Roman"/>
                <w:color w:val="000000"/>
              </w:rPr>
            </w:pPr>
            <w:r w:rsidRPr="00B25B62">
              <w:rPr>
                <w:rFonts w:ascii="Times New Roman" w:eastAsia="Times New Roman" w:hAnsi="Times New Roman" w:cs="Times New Roman"/>
                <w:color w:val="000000"/>
              </w:rPr>
              <w:t>376</w:t>
            </w:r>
          </w:p>
        </w:tc>
      </w:tr>
    </w:tbl>
    <w:p w14:paraId="07BE75AC" w14:textId="77777777" w:rsidR="002F64DA" w:rsidRDefault="002F64DA" w:rsidP="002F64DA">
      <w:pPr>
        <w:spacing w:after="120"/>
        <w:rPr>
          <w:rFonts w:ascii="Times New Roman" w:hAnsi="Times New Roman" w:cs="Times New Roman"/>
          <w:b/>
        </w:rPr>
      </w:pPr>
    </w:p>
    <w:p w14:paraId="57FC72A1" w14:textId="77777777" w:rsidR="002F64DA" w:rsidRPr="002F64DA" w:rsidRDefault="002F64DA" w:rsidP="002F64DA">
      <w:pPr>
        <w:spacing w:after="120"/>
        <w:rPr>
          <w:rFonts w:ascii="Times New Roman" w:hAnsi="Times New Roman" w:cs="Times New Roman"/>
          <w:b/>
        </w:rPr>
      </w:pPr>
    </w:p>
    <w:p w14:paraId="6661B75F" w14:textId="77777777" w:rsidR="00867452" w:rsidRPr="00B25B62" w:rsidRDefault="00E550F7" w:rsidP="00F62AE7">
      <w:pPr>
        <w:pStyle w:val="ListParagraph"/>
        <w:numPr>
          <w:ilvl w:val="0"/>
          <w:numId w:val="5"/>
        </w:numPr>
        <w:spacing w:after="120"/>
        <w:ind w:left="360"/>
        <w:rPr>
          <w:rFonts w:ascii="Times New Roman" w:hAnsi="Times New Roman" w:cs="Times New Roman"/>
          <w:b/>
        </w:rPr>
      </w:pPr>
      <w:r w:rsidRPr="00B25B62">
        <w:rPr>
          <w:rFonts w:ascii="Times New Roman" w:hAnsi="Times New Roman" w:cs="Times New Roman"/>
          <w:b/>
        </w:rPr>
        <w:t>Final Push</w:t>
      </w:r>
    </w:p>
    <w:p w14:paraId="6C076C61" w14:textId="77777777" w:rsidR="004B118F" w:rsidRDefault="000129DE" w:rsidP="009755BA">
      <w:pPr>
        <w:spacing w:line="276" w:lineRule="auto"/>
        <w:rPr>
          <w:rFonts w:ascii="Times New Roman" w:hAnsi="Times New Roman" w:cs="Times New Roman"/>
        </w:rPr>
      </w:pPr>
      <w:r w:rsidRPr="000129DE">
        <w:rPr>
          <w:rFonts w:ascii="Times New Roman" w:hAnsi="Times New Roman" w:cs="Times New Roman"/>
        </w:rPr>
        <w:t xml:space="preserve">Starting after the first 12 weeks of the round, cases that had at least 7 contact attempts or at least one refusal </w:t>
      </w:r>
      <w:r>
        <w:rPr>
          <w:rFonts w:ascii="Times New Roman" w:hAnsi="Times New Roman" w:cs="Times New Roman"/>
        </w:rPr>
        <w:t>were</w:t>
      </w:r>
      <w:r w:rsidRPr="000129DE">
        <w:rPr>
          <w:rFonts w:ascii="Times New Roman" w:hAnsi="Times New Roman" w:cs="Times New Roman"/>
        </w:rPr>
        <w:t xml:space="preserve"> eligible for a final push incentive of $20</w:t>
      </w:r>
      <w:r>
        <w:rPr>
          <w:rFonts w:ascii="Times New Roman" w:hAnsi="Times New Roman" w:cs="Times New Roman"/>
        </w:rPr>
        <w:t xml:space="preserve"> in both Round 17 and Round 18 </w:t>
      </w:r>
      <w:r w:rsidRPr="000129DE">
        <w:rPr>
          <w:rFonts w:ascii="Times New Roman" w:hAnsi="Times New Roman" w:cs="Times New Roman"/>
        </w:rPr>
        <w:t xml:space="preserve">.  In order to facilitate a timely close to the fielding, starting 6 months after the start of fielding, all cases </w:t>
      </w:r>
      <w:r w:rsidR="004B118F">
        <w:rPr>
          <w:rFonts w:ascii="Times New Roman" w:hAnsi="Times New Roman" w:cs="Times New Roman"/>
        </w:rPr>
        <w:t>were</w:t>
      </w:r>
      <w:r w:rsidRPr="000129DE">
        <w:rPr>
          <w:rFonts w:ascii="Times New Roman" w:hAnsi="Times New Roman" w:cs="Times New Roman"/>
        </w:rPr>
        <w:t xml:space="preserve"> eligible for this incentive.  In</w:t>
      </w:r>
      <w:r>
        <w:rPr>
          <w:rFonts w:ascii="Times New Roman" w:hAnsi="Times New Roman" w:cs="Times New Roman"/>
        </w:rPr>
        <w:t xml:space="preserve"> both Round 17 and Round 18, almost </w:t>
      </w:r>
      <w:r w:rsidRPr="000129DE">
        <w:rPr>
          <w:rFonts w:ascii="Times New Roman" w:hAnsi="Times New Roman" w:cs="Times New Roman"/>
        </w:rPr>
        <w:t xml:space="preserve">all </w:t>
      </w:r>
      <w:r>
        <w:rPr>
          <w:rFonts w:ascii="Times New Roman" w:hAnsi="Times New Roman" w:cs="Times New Roman"/>
        </w:rPr>
        <w:t>final push incentives were</w:t>
      </w:r>
      <w:r w:rsidRPr="000129DE">
        <w:rPr>
          <w:rFonts w:ascii="Times New Roman" w:hAnsi="Times New Roman" w:cs="Times New Roman"/>
        </w:rPr>
        <w:t xml:space="preserve"> received after the first six months of the field period. </w:t>
      </w:r>
    </w:p>
    <w:p w14:paraId="77F5E78F" w14:textId="3ECC783E" w:rsidR="000129DE" w:rsidRDefault="004B118F" w:rsidP="00A32E80">
      <w:pPr>
        <w:spacing w:line="276" w:lineRule="auto"/>
        <w:rPr>
          <w:rFonts w:ascii="Times New Roman" w:hAnsi="Times New Roman" w:cs="Times New Roman"/>
        </w:rPr>
      </w:pPr>
      <w:r>
        <w:rPr>
          <w:rFonts w:ascii="Times New Roman" w:hAnsi="Times New Roman" w:cs="Times New Roman"/>
        </w:rPr>
        <w:t>Evaluating the final push incentive is difficult</w:t>
      </w:r>
      <w:r w:rsidR="00B51968">
        <w:rPr>
          <w:rFonts w:ascii="Times New Roman" w:hAnsi="Times New Roman" w:cs="Times New Roman"/>
        </w:rPr>
        <w:t xml:space="preserve"> given that it </w:t>
      </w:r>
      <w:r w:rsidR="00825657">
        <w:rPr>
          <w:rFonts w:ascii="Times New Roman" w:hAnsi="Times New Roman" w:cs="Times New Roman"/>
        </w:rPr>
        <w:t xml:space="preserve">was not designed to be evaluated in a rigorous manner. </w:t>
      </w:r>
      <w:r w:rsidR="001119BD">
        <w:rPr>
          <w:rFonts w:ascii="Times New Roman" w:hAnsi="Times New Roman" w:cs="Times New Roman"/>
        </w:rPr>
        <w:t xml:space="preserve">In particular, given that the final push is essentially a bonus that applies to all respondents in the survey after a given time in the data collection, there is no suitable comparison group with which to perform a rigorous evaluation. </w:t>
      </w:r>
    </w:p>
    <w:p w14:paraId="7B719883" w14:textId="4C3528EA" w:rsidR="00F536C7" w:rsidRPr="00F536C7" w:rsidRDefault="00A32E80" w:rsidP="009755BA">
      <w:pPr>
        <w:spacing w:after="120" w:line="276" w:lineRule="auto"/>
        <w:rPr>
          <w:rFonts w:ascii="Times New Roman" w:hAnsi="Times New Roman" w:cs="Times New Roman"/>
        </w:rPr>
      </w:pPr>
      <w:r>
        <w:rPr>
          <w:rFonts w:ascii="Times New Roman" w:hAnsi="Times New Roman" w:cs="Times New Roman"/>
        </w:rPr>
        <w:t>To provide some information on</w:t>
      </w:r>
      <w:r w:rsidR="00F536C7" w:rsidRPr="00F536C7">
        <w:rPr>
          <w:rFonts w:ascii="Times New Roman" w:hAnsi="Times New Roman" w:cs="Times New Roman"/>
        </w:rPr>
        <w:t xml:space="preserve"> the </w:t>
      </w:r>
      <w:r>
        <w:rPr>
          <w:rFonts w:ascii="Times New Roman" w:hAnsi="Times New Roman" w:cs="Times New Roman"/>
        </w:rPr>
        <w:t xml:space="preserve">effects of the final push bonus, we </w:t>
      </w:r>
      <w:r w:rsidR="00F536C7" w:rsidRPr="00F536C7">
        <w:rPr>
          <w:rFonts w:ascii="Times New Roman" w:hAnsi="Times New Roman" w:cs="Times New Roman"/>
        </w:rPr>
        <w:t xml:space="preserve">examine response rates in the months before and after the final push goes into effect.  Table </w:t>
      </w:r>
      <w:r>
        <w:rPr>
          <w:rFonts w:ascii="Times New Roman" w:hAnsi="Times New Roman" w:cs="Times New Roman"/>
        </w:rPr>
        <w:t>5</w:t>
      </w:r>
      <w:r w:rsidR="00F536C7" w:rsidRPr="00F536C7">
        <w:rPr>
          <w:rFonts w:ascii="Times New Roman" w:hAnsi="Times New Roman" w:cs="Times New Roman"/>
        </w:rPr>
        <w:t xml:space="preserve"> shows these results for both Round 17 and Round 18</w:t>
      </w:r>
      <w:r w:rsidR="001119BD">
        <w:rPr>
          <w:rFonts w:ascii="Times New Roman" w:hAnsi="Times New Roman" w:cs="Times New Roman"/>
        </w:rPr>
        <w:t>, where the percentages reflect the number of completed cases during a month divided by the number of cases that had not responded at the start of the month.  If these numbers show increases over the month, it would suggest the final push increased response rates</w:t>
      </w:r>
      <w:r w:rsidR="00F536C7" w:rsidRPr="00F536C7">
        <w:rPr>
          <w:rFonts w:ascii="Times New Roman" w:hAnsi="Times New Roman" w:cs="Times New Roman"/>
        </w:rPr>
        <w:t xml:space="preserve">.  These results show </w:t>
      </w:r>
      <w:r w:rsidR="001119BD">
        <w:rPr>
          <w:rFonts w:ascii="Times New Roman" w:hAnsi="Times New Roman" w:cs="Times New Roman"/>
        </w:rPr>
        <w:t>a decrease in the conditional response rate after final push in Round 17, but in Round 18 there was a</w:t>
      </w:r>
      <w:r w:rsidR="000A4CBD">
        <w:rPr>
          <w:rFonts w:ascii="Times New Roman" w:hAnsi="Times New Roman" w:cs="Times New Roman"/>
        </w:rPr>
        <w:t xml:space="preserve">n </w:t>
      </w:r>
      <w:r w:rsidR="001119BD">
        <w:rPr>
          <w:rFonts w:ascii="Times New Roman" w:hAnsi="Times New Roman" w:cs="Times New Roman"/>
        </w:rPr>
        <w:t xml:space="preserve">increase in this response rate of </w:t>
      </w:r>
      <w:r w:rsidR="000A4CBD">
        <w:rPr>
          <w:rFonts w:ascii="Times New Roman" w:hAnsi="Times New Roman" w:cs="Times New Roman"/>
        </w:rPr>
        <w:t>roughly 1</w:t>
      </w:r>
      <w:r w:rsidR="001119BD">
        <w:rPr>
          <w:rFonts w:ascii="Times New Roman" w:hAnsi="Times New Roman" w:cs="Times New Roman"/>
        </w:rPr>
        <w:t xml:space="preserve"> percentage point.  Again, it is difficult to do a proper evaluation of this incentive given the lack of a suitable comparison group.  </w:t>
      </w:r>
      <w:r w:rsidR="007A5070">
        <w:rPr>
          <w:rFonts w:ascii="Times New Roman" w:hAnsi="Times New Roman" w:cs="Times New Roman"/>
        </w:rPr>
        <w:t>Nonetheless, this is suggestive evidence that the final push did contribute to the final stages of production (either to slow decreases or actually increase production), and likely was a greater contributor to Round 18 completions than the same incentive design was for the prior round.</w:t>
      </w:r>
    </w:p>
    <w:p w14:paraId="52055609" w14:textId="77777777" w:rsidR="00F536C7" w:rsidRDefault="00F536C7" w:rsidP="00F536C7">
      <w:pPr>
        <w:spacing w:after="120"/>
        <w:rPr>
          <w:rFonts w:ascii="Times New Roman" w:hAnsi="Times New Roman" w:cs="Times New Roman"/>
        </w:rPr>
      </w:pPr>
    </w:p>
    <w:p w14:paraId="1E67F9DE" w14:textId="01FB980A" w:rsidR="00F536C7" w:rsidRDefault="00A32E80" w:rsidP="00F536C7">
      <w:pPr>
        <w:spacing w:after="120"/>
        <w:jc w:val="center"/>
        <w:rPr>
          <w:rFonts w:ascii="Times New Roman" w:hAnsi="Times New Roman" w:cs="Times New Roman"/>
          <w:b/>
        </w:rPr>
      </w:pPr>
      <w:r>
        <w:rPr>
          <w:rFonts w:ascii="Times New Roman" w:hAnsi="Times New Roman" w:cs="Times New Roman"/>
          <w:b/>
        </w:rPr>
        <w:t>Table 5</w:t>
      </w:r>
      <w:r w:rsidR="00F536C7">
        <w:rPr>
          <w:rFonts w:ascii="Times New Roman" w:hAnsi="Times New Roman" w:cs="Times New Roman"/>
          <w:b/>
        </w:rPr>
        <w:t>:  Response Rates Relative to Final Push</w:t>
      </w:r>
    </w:p>
    <w:tbl>
      <w:tblPr>
        <w:tblW w:w="622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8"/>
        <w:gridCol w:w="2335"/>
        <w:gridCol w:w="2186"/>
      </w:tblGrid>
      <w:tr w:rsidR="00825657" w:rsidRPr="00825657" w14:paraId="65F75F44" w14:textId="77777777" w:rsidTr="006F7961">
        <w:trPr>
          <w:trHeight w:val="495"/>
          <w:jc w:val="center"/>
        </w:trPr>
        <w:tc>
          <w:tcPr>
            <w:tcW w:w="1708" w:type="dxa"/>
            <w:shd w:val="clear" w:color="auto" w:fill="auto"/>
            <w:noWrap/>
            <w:vAlign w:val="bottom"/>
            <w:hideMark/>
          </w:tcPr>
          <w:p w14:paraId="09AC725E" w14:textId="77777777" w:rsidR="00825657" w:rsidRPr="00825657" w:rsidRDefault="00825657" w:rsidP="00825657">
            <w:pPr>
              <w:spacing w:after="0" w:line="240" w:lineRule="auto"/>
              <w:rPr>
                <w:rFonts w:ascii="Times New Roman" w:eastAsia="Times New Roman" w:hAnsi="Times New Roman" w:cs="Times New Roman"/>
                <w:sz w:val="24"/>
                <w:szCs w:val="24"/>
              </w:rPr>
            </w:pPr>
          </w:p>
        </w:tc>
        <w:tc>
          <w:tcPr>
            <w:tcW w:w="4521" w:type="dxa"/>
            <w:gridSpan w:val="2"/>
            <w:shd w:val="clear" w:color="auto" w:fill="auto"/>
            <w:noWrap/>
            <w:vAlign w:val="center"/>
            <w:hideMark/>
          </w:tcPr>
          <w:p w14:paraId="37AC3EF0" w14:textId="77777777" w:rsidR="00825657" w:rsidRPr="00825657" w:rsidRDefault="00825657" w:rsidP="00825657">
            <w:pPr>
              <w:spacing w:after="0" w:line="240" w:lineRule="auto"/>
              <w:jc w:val="center"/>
              <w:rPr>
                <w:rFonts w:ascii="Times New Roman" w:eastAsia="Times New Roman" w:hAnsi="Times New Roman" w:cs="Times New Roman"/>
                <w:color w:val="000000"/>
                <w:u w:val="single"/>
              </w:rPr>
            </w:pPr>
            <w:r w:rsidRPr="00825657">
              <w:rPr>
                <w:rFonts w:ascii="Times New Roman" w:eastAsia="Times New Roman" w:hAnsi="Times New Roman" w:cs="Times New Roman"/>
                <w:color w:val="000000"/>
                <w:u w:val="single"/>
              </w:rPr>
              <w:t>Fraction of Remaining Cases Completed</w:t>
            </w:r>
          </w:p>
        </w:tc>
      </w:tr>
      <w:tr w:rsidR="00825657" w:rsidRPr="00825657" w14:paraId="48C2B727" w14:textId="77777777" w:rsidTr="006F7961">
        <w:trPr>
          <w:trHeight w:val="385"/>
          <w:jc w:val="center"/>
        </w:trPr>
        <w:tc>
          <w:tcPr>
            <w:tcW w:w="1708" w:type="dxa"/>
            <w:tcBorders>
              <w:bottom w:val="single" w:sz="4" w:space="0" w:color="auto"/>
            </w:tcBorders>
            <w:shd w:val="clear" w:color="auto" w:fill="auto"/>
            <w:noWrap/>
            <w:vAlign w:val="center"/>
            <w:hideMark/>
          </w:tcPr>
          <w:p w14:paraId="5E0EAAFD" w14:textId="77777777" w:rsidR="00825657" w:rsidRPr="00825657" w:rsidRDefault="00825657" w:rsidP="00825657">
            <w:pPr>
              <w:spacing w:after="0" w:line="240" w:lineRule="auto"/>
              <w:jc w:val="center"/>
              <w:rPr>
                <w:rFonts w:ascii="Times New Roman" w:eastAsia="Times New Roman" w:hAnsi="Times New Roman" w:cs="Times New Roman"/>
                <w:color w:val="000000"/>
              </w:rPr>
            </w:pPr>
          </w:p>
        </w:tc>
        <w:tc>
          <w:tcPr>
            <w:tcW w:w="2335" w:type="dxa"/>
            <w:tcBorders>
              <w:bottom w:val="single" w:sz="4" w:space="0" w:color="auto"/>
            </w:tcBorders>
            <w:shd w:val="clear" w:color="auto" w:fill="auto"/>
            <w:noWrap/>
            <w:vAlign w:val="center"/>
            <w:hideMark/>
          </w:tcPr>
          <w:p w14:paraId="73C28C57" w14:textId="77777777" w:rsidR="00825657" w:rsidRPr="00825657" w:rsidRDefault="00825657" w:rsidP="00825657">
            <w:pPr>
              <w:spacing w:after="0" w:line="240" w:lineRule="auto"/>
              <w:jc w:val="center"/>
              <w:rPr>
                <w:rFonts w:ascii="Times New Roman" w:eastAsia="Times New Roman" w:hAnsi="Times New Roman" w:cs="Times New Roman"/>
                <w:color w:val="000000"/>
              </w:rPr>
            </w:pPr>
            <w:r w:rsidRPr="00825657">
              <w:rPr>
                <w:rFonts w:ascii="Times New Roman" w:eastAsia="Times New Roman" w:hAnsi="Times New Roman" w:cs="Times New Roman"/>
                <w:color w:val="000000"/>
              </w:rPr>
              <w:t>Month Before Final Push</w:t>
            </w:r>
          </w:p>
        </w:tc>
        <w:tc>
          <w:tcPr>
            <w:tcW w:w="2186" w:type="dxa"/>
            <w:tcBorders>
              <w:bottom w:val="single" w:sz="4" w:space="0" w:color="auto"/>
            </w:tcBorders>
            <w:shd w:val="clear" w:color="auto" w:fill="auto"/>
            <w:noWrap/>
            <w:vAlign w:val="center"/>
            <w:hideMark/>
          </w:tcPr>
          <w:p w14:paraId="098EDD0B" w14:textId="77777777" w:rsidR="00825657" w:rsidRPr="00825657" w:rsidRDefault="00825657" w:rsidP="00825657">
            <w:pPr>
              <w:spacing w:after="0" w:line="240" w:lineRule="auto"/>
              <w:jc w:val="center"/>
              <w:rPr>
                <w:rFonts w:ascii="Times New Roman" w:eastAsia="Times New Roman" w:hAnsi="Times New Roman" w:cs="Times New Roman"/>
                <w:color w:val="000000"/>
              </w:rPr>
            </w:pPr>
            <w:r w:rsidRPr="00825657">
              <w:rPr>
                <w:rFonts w:ascii="Times New Roman" w:eastAsia="Times New Roman" w:hAnsi="Times New Roman" w:cs="Times New Roman"/>
                <w:color w:val="000000"/>
              </w:rPr>
              <w:t>Month After Final Push</w:t>
            </w:r>
          </w:p>
        </w:tc>
      </w:tr>
      <w:tr w:rsidR="000A4CBD" w:rsidRPr="00825657" w14:paraId="5FA4B432" w14:textId="77777777" w:rsidTr="006F7961">
        <w:trPr>
          <w:trHeight w:val="385"/>
          <w:jc w:val="center"/>
        </w:trPr>
        <w:tc>
          <w:tcPr>
            <w:tcW w:w="1708" w:type="dxa"/>
            <w:tcBorders>
              <w:top w:val="single" w:sz="4" w:space="0" w:color="auto"/>
              <w:bottom w:val="nil"/>
            </w:tcBorders>
            <w:shd w:val="clear" w:color="auto" w:fill="auto"/>
            <w:noWrap/>
            <w:vAlign w:val="center"/>
            <w:hideMark/>
          </w:tcPr>
          <w:p w14:paraId="70F929EF" w14:textId="77777777" w:rsidR="000A4CBD" w:rsidRPr="00825657" w:rsidRDefault="000A4CBD" w:rsidP="000A4CBD">
            <w:pPr>
              <w:spacing w:after="0" w:line="240" w:lineRule="auto"/>
              <w:rPr>
                <w:rFonts w:ascii="Times New Roman" w:eastAsia="Times New Roman" w:hAnsi="Times New Roman" w:cs="Times New Roman"/>
                <w:color w:val="000000"/>
              </w:rPr>
            </w:pPr>
            <w:r w:rsidRPr="00825657">
              <w:rPr>
                <w:rFonts w:ascii="Times New Roman" w:eastAsia="Times New Roman" w:hAnsi="Times New Roman" w:cs="Times New Roman"/>
                <w:color w:val="000000"/>
              </w:rPr>
              <w:t>Round 17</w:t>
            </w:r>
          </w:p>
        </w:tc>
        <w:tc>
          <w:tcPr>
            <w:tcW w:w="2335" w:type="dxa"/>
            <w:tcBorders>
              <w:top w:val="single" w:sz="4" w:space="0" w:color="auto"/>
              <w:bottom w:val="nil"/>
            </w:tcBorders>
            <w:shd w:val="clear" w:color="auto" w:fill="auto"/>
            <w:noWrap/>
            <w:vAlign w:val="center"/>
            <w:hideMark/>
          </w:tcPr>
          <w:p w14:paraId="21CA9CB4" w14:textId="2E6F855B" w:rsidR="000A4CBD" w:rsidRPr="00825657" w:rsidRDefault="000A4CBD" w:rsidP="000A4C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10.42</w:t>
            </w:r>
            <w:r w:rsidRPr="00825657">
              <w:rPr>
                <w:rFonts w:ascii="Times New Roman" w:eastAsia="Times New Roman" w:hAnsi="Times New Roman" w:cs="Times New Roman"/>
                <w:color w:val="000000"/>
              </w:rPr>
              <w:t>%</w:t>
            </w:r>
          </w:p>
        </w:tc>
        <w:tc>
          <w:tcPr>
            <w:tcW w:w="2186" w:type="dxa"/>
            <w:tcBorders>
              <w:top w:val="single" w:sz="4" w:space="0" w:color="auto"/>
              <w:bottom w:val="nil"/>
            </w:tcBorders>
            <w:shd w:val="clear" w:color="auto" w:fill="auto"/>
            <w:noWrap/>
            <w:vAlign w:val="center"/>
            <w:hideMark/>
          </w:tcPr>
          <w:p w14:paraId="74EA6800" w14:textId="075BC090" w:rsidR="000A4CBD" w:rsidRPr="00825657" w:rsidRDefault="000A4CBD" w:rsidP="000A4C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8.05</w:t>
            </w:r>
            <w:r w:rsidRPr="00825657">
              <w:rPr>
                <w:rFonts w:ascii="Times New Roman" w:eastAsia="Times New Roman" w:hAnsi="Times New Roman" w:cs="Times New Roman"/>
                <w:color w:val="000000"/>
              </w:rPr>
              <w:t>%</w:t>
            </w:r>
          </w:p>
        </w:tc>
      </w:tr>
      <w:tr w:rsidR="000A4CBD" w:rsidRPr="00825657" w14:paraId="19280DB5" w14:textId="77777777" w:rsidTr="006F7961">
        <w:trPr>
          <w:trHeight w:val="385"/>
          <w:jc w:val="center"/>
        </w:trPr>
        <w:tc>
          <w:tcPr>
            <w:tcW w:w="1708" w:type="dxa"/>
            <w:tcBorders>
              <w:top w:val="nil"/>
              <w:bottom w:val="single" w:sz="4" w:space="0" w:color="auto"/>
            </w:tcBorders>
            <w:shd w:val="clear" w:color="auto" w:fill="auto"/>
            <w:noWrap/>
            <w:vAlign w:val="center"/>
            <w:hideMark/>
          </w:tcPr>
          <w:p w14:paraId="4CA1C718" w14:textId="77777777" w:rsidR="000A4CBD" w:rsidRPr="00825657" w:rsidRDefault="000A4CBD" w:rsidP="000A4CBD">
            <w:pPr>
              <w:spacing w:after="0" w:line="240" w:lineRule="auto"/>
              <w:rPr>
                <w:rFonts w:ascii="Times New Roman" w:eastAsia="Times New Roman" w:hAnsi="Times New Roman" w:cs="Times New Roman"/>
                <w:color w:val="000000"/>
              </w:rPr>
            </w:pPr>
            <w:r w:rsidRPr="00825657">
              <w:rPr>
                <w:rFonts w:ascii="Times New Roman" w:eastAsia="Times New Roman" w:hAnsi="Times New Roman" w:cs="Times New Roman"/>
                <w:color w:val="000000"/>
              </w:rPr>
              <w:t>Round 18</w:t>
            </w:r>
          </w:p>
        </w:tc>
        <w:tc>
          <w:tcPr>
            <w:tcW w:w="2335" w:type="dxa"/>
            <w:tcBorders>
              <w:top w:val="nil"/>
              <w:bottom w:val="single" w:sz="4" w:space="0" w:color="auto"/>
            </w:tcBorders>
            <w:shd w:val="clear" w:color="auto" w:fill="auto"/>
            <w:noWrap/>
            <w:vAlign w:val="center"/>
            <w:hideMark/>
          </w:tcPr>
          <w:p w14:paraId="755FB0E4" w14:textId="65F7193F" w:rsidR="000A4CBD" w:rsidRPr="00825657" w:rsidRDefault="000A4CBD" w:rsidP="000A4C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16.89%</w:t>
            </w:r>
          </w:p>
        </w:tc>
        <w:tc>
          <w:tcPr>
            <w:tcW w:w="2186" w:type="dxa"/>
            <w:tcBorders>
              <w:top w:val="nil"/>
              <w:bottom w:val="single" w:sz="4" w:space="0" w:color="auto"/>
            </w:tcBorders>
            <w:shd w:val="clear" w:color="auto" w:fill="auto"/>
            <w:noWrap/>
            <w:vAlign w:val="center"/>
            <w:hideMark/>
          </w:tcPr>
          <w:p w14:paraId="73121E79" w14:textId="539063EC" w:rsidR="000A4CBD" w:rsidRPr="00825657" w:rsidRDefault="000A4CBD" w:rsidP="000A4C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17.70%</w:t>
            </w:r>
          </w:p>
        </w:tc>
      </w:tr>
    </w:tbl>
    <w:p w14:paraId="3A629A51" w14:textId="77777777" w:rsidR="00825657" w:rsidRDefault="00825657" w:rsidP="00F536C7">
      <w:pPr>
        <w:spacing w:after="120"/>
        <w:jc w:val="center"/>
        <w:rPr>
          <w:rFonts w:ascii="Times New Roman" w:hAnsi="Times New Roman" w:cs="Times New Roman"/>
          <w:b/>
        </w:rPr>
      </w:pPr>
    </w:p>
    <w:p w14:paraId="6A3B18FE" w14:textId="77777777" w:rsidR="00EF4354" w:rsidRDefault="00EF4354" w:rsidP="00F62AE7">
      <w:pPr>
        <w:spacing w:after="120"/>
        <w:rPr>
          <w:rFonts w:ascii="Times New Roman" w:hAnsi="Times New Roman" w:cs="Times New Roman"/>
        </w:rPr>
      </w:pPr>
    </w:p>
    <w:p w14:paraId="2C63D2D2" w14:textId="46990E00" w:rsidR="00691436" w:rsidRPr="00F62AE7" w:rsidRDefault="00691436" w:rsidP="00F62AE7">
      <w:pPr>
        <w:spacing w:after="120"/>
        <w:rPr>
          <w:rFonts w:ascii="Times New Roman" w:hAnsi="Times New Roman" w:cs="Times New Roman"/>
        </w:rPr>
      </w:pPr>
      <w:r w:rsidRPr="00F62AE7">
        <w:rPr>
          <w:rFonts w:ascii="Times New Roman" w:hAnsi="Times New Roman" w:cs="Times New Roman"/>
        </w:rPr>
        <w:t>Table 6</w:t>
      </w:r>
      <w:r>
        <w:rPr>
          <w:rFonts w:ascii="Times New Roman" w:hAnsi="Times New Roman" w:cs="Times New Roman"/>
        </w:rPr>
        <w:t xml:space="preserve"> provides information on the number of contacts relative to the final push date for three groups of respondents</w:t>
      </w:r>
      <w:r w:rsidR="00DD1767">
        <w:rPr>
          <w:rFonts w:ascii="Times New Roman" w:hAnsi="Times New Roman" w:cs="Times New Roman"/>
        </w:rPr>
        <w:t>:  those who completed the month after the final push took effect, those that completed more than a month after the final push took effect, and those than never completed</w:t>
      </w:r>
      <w:r>
        <w:rPr>
          <w:rFonts w:ascii="Times New Roman" w:hAnsi="Times New Roman" w:cs="Times New Roman"/>
        </w:rPr>
        <w:t xml:space="preserve">.  </w:t>
      </w:r>
      <w:r w:rsidR="00DD1767">
        <w:rPr>
          <w:rFonts w:ascii="Times New Roman" w:hAnsi="Times New Roman" w:cs="Times New Roman"/>
        </w:rPr>
        <w:t>F</w:t>
      </w:r>
      <w:r>
        <w:rPr>
          <w:rFonts w:ascii="Times New Roman" w:hAnsi="Times New Roman" w:cs="Times New Roman"/>
        </w:rPr>
        <w:t>or respondents who complete the month after the final push takes effect, we see a notable increase in the number of contacts in Round 17 from 1,215 to 1,757, but the number of contacts in Round 18 remains relatively flat</w:t>
      </w:r>
      <w:r w:rsidR="006F4B83">
        <w:rPr>
          <w:rFonts w:ascii="Times New Roman" w:hAnsi="Times New Roman" w:cs="Times New Roman"/>
        </w:rPr>
        <w:t xml:space="preserve"> at 5,617 versus 5,770</w:t>
      </w:r>
      <w:r>
        <w:rPr>
          <w:rFonts w:ascii="Times New Roman" w:hAnsi="Times New Roman" w:cs="Times New Roman"/>
        </w:rPr>
        <w:t xml:space="preserve">.  </w:t>
      </w:r>
      <w:r w:rsidR="00EF4354">
        <w:rPr>
          <w:rFonts w:ascii="Times New Roman" w:hAnsi="Times New Roman" w:cs="Times New Roman"/>
        </w:rPr>
        <w:t xml:space="preserve">For </w:t>
      </w:r>
      <w:r w:rsidR="00D72A8D">
        <w:rPr>
          <w:rFonts w:ascii="Times New Roman" w:hAnsi="Times New Roman" w:cs="Times New Roman"/>
        </w:rPr>
        <w:t>respondents</w:t>
      </w:r>
      <w:r w:rsidR="00EF4354">
        <w:rPr>
          <w:rFonts w:ascii="Times New Roman" w:hAnsi="Times New Roman" w:cs="Times New Roman"/>
        </w:rPr>
        <w:t xml:space="preserve"> that eventually complete more than a month after final push </w:t>
      </w:r>
      <w:r w:rsidR="006F4B83">
        <w:rPr>
          <w:rFonts w:ascii="Times New Roman" w:hAnsi="Times New Roman" w:cs="Times New Roman"/>
        </w:rPr>
        <w:t xml:space="preserve">goes </w:t>
      </w:r>
      <w:r w:rsidR="00EF4354">
        <w:rPr>
          <w:rFonts w:ascii="Times New Roman" w:hAnsi="Times New Roman" w:cs="Times New Roman"/>
        </w:rPr>
        <w:t xml:space="preserve">into effect and </w:t>
      </w:r>
      <w:r w:rsidR="00D72A8D">
        <w:rPr>
          <w:rFonts w:ascii="Times New Roman" w:hAnsi="Times New Roman" w:cs="Times New Roman"/>
        </w:rPr>
        <w:t xml:space="preserve">respondents </w:t>
      </w:r>
      <w:r w:rsidR="00EF4354">
        <w:rPr>
          <w:rFonts w:ascii="Times New Roman" w:hAnsi="Times New Roman" w:cs="Times New Roman"/>
        </w:rPr>
        <w:t>that never complete</w:t>
      </w:r>
      <w:r w:rsidR="00D53019">
        <w:rPr>
          <w:rFonts w:ascii="Times New Roman" w:hAnsi="Times New Roman" w:cs="Times New Roman"/>
        </w:rPr>
        <w:t xml:space="preserve"> (regardless of completion date)</w:t>
      </w:r>
      <w:r w:rsidR="00EF4354">
        <w:rPr>
          <w:rFonts w:ascii="Times New Roman" w:hAnsi="Times New Roman" w:cs="Times New Roman"/>
        </w:rPr>
        <w:t>, we see similar or fewer contacts in the month after final push compared to the month before final push</w:t>
      </w:r>
      <w:r w:rsidR="00664405">
        <w:rPr>
          <w:rFonts w:ascii="Times New Roman" w:hAnsi="Times New Roman" w:cs="Times New Roman"/>
        </w:rPr>
        <w:t xml:space="preserve">.  While these are again descriptive facts and cannot be used to evaluate the final push, </w:t>
      </w:r>
      <w:r w:rsidR="00EF4354">
        <w:rPr>
          <w:rFonts w:ascii="Times New Roman" w:hAnsi="Times New Roman" w:cs="Times New Roman"/>
        </w:rPr>
        <w:t xml:space="preserve">they </w:t>
      </w:r>
      <w:r w:rsidR="00E27CE3">
        <w:rPr>
          <w:rFonts w:ascii="Times New Roman" w:hAnsi="Times New Roman" w:cs="Times New Roman"/>
        </w:rPr>
        <w:t xml:space="preserve">imply </w:t>
      </w:r>
      <w:r w:rsidR="00EF4354">
        <w:rPr>
          <w:rFonts w:ascii="Times New Roman" w:hAnsi="Times New Roman" w:cs="Times New Roman"/>
        </w:rPr>
        <w:t xml:space="preserve">that at least for Round 18, completion rates raised slightly after final push took effect without a pronounced uptick in the number of contacts.  Given that case completion gets progressively harder </w:t>
      </w:r>
      <w:r w:rsidR="00D72A8D">
        <w:rPr>
          <w:rFonts w:ascii="Times New Roman" w:hAnsi="Times New Roman" w:cs="Times New Roman"/>
        </w:rPr>
        <w:t>as data collection progresses</w:t>
      </w:r>
      <w:r w:rsidR="00EF4354">
        <w:rPr>
          <w:rFonts w:ascii="Times New Roman" w:hAnsi="Times New Roman" w:cs="Times New Roman"/>
        </w:rPr>
        <w:t xml:space="preserve">, </w:t>
      </w:r>
      <w:r w:rsidR="00D72A8D">
        <w:rPr>
          <w:rFonts w:ascii="Times New Roman" w:hAnsi="Times New Roman" w:cs="Times New Roman"/>
        </w:rPr>
        <w:t>these results</w:t>
      </w:r>
      <w:r w:rsidR="00EF4354">
        <w:rPr>
          <w:rFonts w:ascii="Times New Roman" w:hAnsi="Times New Roman" w:cs="Times New Roman"/>
        </w:rPr>
        <w:t xml:space="preserve"> </w:t>
      </w:r>
      <w:r w:rsidR="00D72A8D">
        <w:rPr>
          <w:rFonts w:ascii="Times New Roman" w:hAnsi="Times New Roman" w:cs="Times New Roman"/>
        </w:rPr>
        <w:t>suggest</w:t>
      </w:r>
      <w:r w:rsidR="00EF4354">
        <w:rPr>
          <w:rFonts w:ascii="Times New Roman" w:hAnsi="Times New Roman" w:cs="Times New Roman"/>
        </w:rPr>
        <w:t xml:space="preserve"> that</w:t>
      </w:r>
      <w:r w:rsidR="00D72A8D">
        <w:rPr>
          <w:rFonts w:ascii="Times New Roman" w:hAnsi="Times New Roman" w:cs="Times New Roman"/>
        </w:rPr>
        <w:t xml:space="preserve"> the</w:t>
      </w:r>
      <w:r w:rsidR="00EF4354">
        <w:rPr>
          <w:rFonts w:ascii="Times New Roman" w:hAnsi="Times New Roman" w:cs="Times New Roman"/>
        </w:rPr>
        <w:t xml:space="preserve"> final pu</w:t>
      </w:r>
      <w:r w:rsidR="00B917D5">
        <w:rPr>
          <w:rFonts w:ascii="Times New Roman" w:hAnsi="Times New Roman" w:cs="Times New Roman"/>
        </w:rPr>
        <w:t>sh contributed to the final stag</w:t>
      </w:r>
      <w:r w:rsidR="00EF4354">
        <w:rPr>
          <w:rFonts w:ascii="Times New Roman" w:hAnsi="Times New Roman" w:cs="Times New Roman"/>
        </w:rPr>
        <w:t>es of production.</w:t>
      </w:r>
    </w:p>
    <w:p w14:paraId="0C1AA318" w14:textId="77777777" w:rsidR="00691436" w:rsidRDefault="00691436" w:rsidP="00F62AE7">
      <w:pPr>
        <w:spacing w:after="120"/>
        <w:rPr>
          <w:rFonts w:ascii="Times New Roman" w:hAnsi="Times New Roman" w:cs="Times New Roman"/>
          <w:b/>
        </w:rPr>
      </w:pPr>
    </w:p>
    <w:p w14:paraId="79C7C18E" w14:textId="77777777" w:rsidR="00B917D5" w:rsidRDefault="00B917D5">
      <w:pPr>
        <w:rPr>
          <w:rFonts w:ascii="Times New Roman" w:hAnsi="Times New Roman" w:cs="Times New Roman"/>
          <w:b/>
        </w:rPr>
      </w:pPr>
      <w:r>
        <w:rPr>
          <w:rFonts w:ascii="Times New Roman" w:hAnsi="Times New Roman" w:cs="Times New Roman"/>
          <w:b/>
        </w:rPr>
        <w:br w:type="page"/>
      </w:r>
    </w:p>
    <w:p w14:paraId="18E9C2C1" w14:textId="103AC649" w:rsidR="00A23C62" w:rsidRDefault="00A23C62">
      <w:pPr>
        <w:spacing w:after="120"/>
        <w:jc w:val="center"/>
        <w:rPr>
          <w:rFonts w:ascii="Times New Roman" w:hAnsi="Times New Roman" w:cs="Times New Roman"/>
          <w:b/>
        </w:rPr>
      </w:pPr>
      <w:r>
        <w:rPr>
          <w:rFonts w:ascii="Times New Roman" w:hAnsi="Times New Roman" w:cs="Times New Roman"/>
          <w:b/>
        </w:rPr>
        <w:t xml:space="preserve">Table 6:  Contacts </w:t>
      </w:r>
      <w:r w:rsidR="006F4B83">
        <w:rPr>
          <w:rFonts w:ascii="Times New Roman" w:hAnsi="Times New Roman" w:cs="Times New Roman"/>
          <w:b/>
        </w:rPr>
        <w:t xml:space="preserve">by Month </w:t>
      </w:r>
      <w:r>
        <w:rPr>
          <w:rFonts w:ascii="Times New Roman" w:hAnsi="Times New Roman" w:cs="Times New Roman"/>
          <w:b/>
        </w:rPr>
        <w:t>Relative to Final Push</w:t>
      </w:r>
    </w:p>
    <w:tbl>
      <w:tblPr>
        <w:tblW w:w="10795" w:type="dxa"/>
        <w:jc w:val="center"/>
        <w:tblLook w:val="04A0" w:firstRow="1" w:lastRow="0" w:firstColumn="1" w:lastColumn="0" w:noHBand="0" w:noVBand="1"/>
      </w:tblPr>
      <w:tblGrid>
        <w:gridCol w:w="1420"/>
        <w:gridCol w:w="3520"/>
        <w:gridCol w:w="1535"/>
        <w:gridCol w:w="2060"/>
        <w:gridCol w:w="2260"/>
      </w:tblGrid>
      <w:tr w:rsidR="00153661" w:rsidRPr="00153661" w14:paraId="3BCECDD3" w14:textId="77777777" w:rsidTr="00153661">
        <w:trPr>
          <w:trHeight w:val="315"/>
          <w:jc w:val="center"/>
        </w:trPr>
        <w:tc>
          <w:tcPr>
            <w:tcW w:w="1420" w:type="dxa"/>
            <w:tcBorders>
              <w:top w:val="single" w:sz="4" w:space="0" w:color="auto"/>
              <w:left w:val="single" w:sz="4" w:space="0" w:color="auto"/>
              <w:right w:val="nil"/>
            </w:tcBorders>
            <w:shd w:val="clear" w:color="auto" w:fill="auto"/>
            <w:noWrap/>
            <w:vAlign w:val="bottom"/>
            <w:hideMark/>
          </w:tcPr>
          <w:p w14:paraId="26637219" w14:textId="77777777" w:rsidR="00153661" w:rsidRPr="00153661" w:rsidRDefault="00153661" w:rsidP="00153661">
            <w:pPr>
              <w:spacing w:after="0" w:line="240" w:lineRule="auto"/>
              <w:rPr>
                <w:rFonts w:ascii="Times New Roman" w:eastAsia="Times New Roman" w:hAnsi="Times New Roman" w:cs="Times New Roman"/>
                <w:sz w:val="24"/>
                <w:szCs w:val="24"/>
              </w:rPr>
            </w:pPr>
          </w:p>
        </w:tc>
        <w:tc>
          <w:tcPr>
            <w:tcW w:w="3520" w:type="dxa"/>
            <w:tcBorders>
              <w:top w:val="single" w:sz="4" w:space="0" w:color="auto"/>
              <w:left w:val="nil"/>
              <w:right w:val="nil"/>
            </w:tcBorders>
            <w:shd w:val="clear" w:color="auto" w:fill="auto"/>
            <w:noWrap/>
            <w:vAlign w:val="bottom"/>
            <w:hideMark/>
          </w:tcPr>
          <w:p w14:paraId="501CF86E" w14:textId="77777777" w:rsidR="00153661" w:rsidRPr="00153661" w:rsidRDefault="00153661" w:rsidP="00153661">
            <w:pPr>
              <w:spacing w:after="0" w:line="240" w:lineRule="auto"/>
              <w:rPr>
                <w:rFonts w:ascii="Times New Roman" w:eastAsia="Times New Roman" w:hAnsi="Times New Roman" w:cs="Times New Roman"/>
                <w:sz w:val="20"/>
                <w:szCs w:val="20"/>
              </w:rPr>
            </w:pPr>
          </w:p>
        </w:tc>
        <w:tc>
          <w:tcPr>
            <w:tcW w:w="1535" w:type="dxa"/>
            <w:tcBorders>
              <w:top w:val="single" w:sz="4" w:space="0" w:color="auto"/>
              <w:left w:val="nil"/>
              <w:right w:val="nil"/>
            </w:tcBorders>
            <w:shd w:val="clear" w:color="auto" w:fill="auto"/>
            <w:noWrap/>
            <w:vAlign w:val="bottom"/>
            <w:hideMark/>
          </w:tcPr>
          <w:p w14:paraId="02737B84" w14:textId="77777777" w:rsidR="00153661" w:rsidRPr="00153661" w:rsidRDefault="00153661" w:rsidP="00153661">
            <w:pPr>
              <w:spacing w:after="0" w:line="240" w:lineRule="auto"/>
              <w:rPr>
                <w:rFonts w:ascii="Times New Roman" w:eastAsia="Times New Roman" w:hAnsi="Times New Roman" w:cs="Times New Roman"/>
                <w:sz w:val="20"/>
                <w:szCs w:val="20"/>
              </w:rPr>
            </w:pPr>
          </w:p>
        </w:tc>
        <w:tc>
          <w:tcPr>
            <w:tcW w:w="4320" w:type="dxa"/>
            <w:gridSpan w:val="2"/>
            <w:tcBorders>
              <w:top w:val="single" w:sz="4" w:space="0" w:color="auto"/>
              <w:left w:val="nil"/>
              <w:right w:val="single" w:sz="4" w:space="0" w:color="auto"/>
            </w:tcBorders>
            <w:shd w:val="clear" w:color="auto" w:fill="auto"/>
            <w:noWrap/>
            <w:vAlign w:val="bottom"/>
            <w:hideMark/>
          </w:tcPr>
          <w:p w14:paraId="23562B7B" w14:textId="7B3096E5" w:rsidR="00153661" w:rsidRPr="00153661" w:rsidRDefault="00153661" w:rsidP="00153661">
            <w:pPr>
              <w:spacing w:after="0" w:line="240" w:lineRule="auto"/>
              <w:jc w:val="center"/>
              <w:rPr>
                <w:rFonts w:ascii="Times New Roman" w:eastAsia="Times New Roman" w:hAnsi="Times New Roman" w:cs="Times New Roman"/>
                <w:color w:val="000000"/>
                <w:u w:val="single"/>
              </w:rPr>
            </w:pPr>
            <w:r w:rsidRPr="00153661">
              <w:rPr>
                <w:rFonts w:ascii="Times New Roman" w:eastAsia="Times New Roman" w:hAnsi="Times New Roman" w:cs="Times New Roman"/>
                <w:color w:val="000000"/>
                <w:u w:val="single"/>
              </w:rPr>
              <w:t>Total Contacts</w:t>
            </w:r>
          </w:p>
        </w:tc>
      </w:tr>
      <w:tr w:rsidR="00153661" w:rsidRPr="00153661" w14:paraId="19974BA2" w14:textId="77777777" w:rsidTr="00153661">
        <w:trPr>
          <w:trHeight w:val="615"/>
          <w:jc w:val="center"/>
        </w:trPr>
        <w:tc>
          <w:tcPr>
            <w:tcW w:w="1420" w:type="dxa"/>
            <w:tcBorders>
              <w:left w:val="single" w:sz="4" w:space="0" w:color="auto"/>
              <w:bottom w:val="single" w:sz="4" w:space="0" w:color="auto"/>
              <w:right w:val="nil"/>
            </w:tcBorders>
            <w:shd w:val="clear" w:color="auto" w:fill="auto"/>
            <w:vAlign w:val="center"/>
            <w:hideMark/>
          </w:tcPr>
          <w:p w14:paraId="07BAF4B8" w14:textId="77777777"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 Round</w:t>
            </w:r>
          </w:p>
        </w:tc>
        <w:tc>
          <w:tcPr>
            <w:tcW w:w="3520" w:type="dxa"/>
            <w:tcBorders>
              <w:left w:val="nil"/>
              <w:bottom w:val="single" w:sz="4" w:space="0" w:color="auto"/>
              <w:right w:val="nil"/>
            </w:tcBorders>
            <w:shd w:val="clear" w:color="auto" w:fill="auto"/>
            <w:vAlign w:val="center"/>
            <w:hideMark/>
          </w:tcPr>
          <w:p w14:paraId="2A4ADAE3" w14:textId="77777777"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Group </w:t>
            </w:r>
          </w:p>
        </w:tc>
        <w:tc>
          <w:tcPr>
            <w:tcW w:w="1535" w:type="dxa"/>
            <w:tcBorders>
              <w:left w:val="nil"/>
              <w:bottom w:val="single" w:sz="4" w:space="0" w:color="auto"/>
              <w:right w:val="nil"/>
            </w:tcBorders>
            <w:shd w:val="clear" w:color="auto" w:fill="auto"/>
            <w:vAlign w:val="center"/>
            <w:hideMark/>
          </w:tcPr>
          <w:p w14:paraId="14BBF81B"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N</w:t>
            </w:r>
          </w:p>
        </w:tc>
        <w:tc>
          <w:tcPr>
            <w:tcW w:w="2060" w:type="dxa"/>
            <w:tcBorders>
              <w:left w:val="nil"/>
              <w:bottom w:val="single" w:sz="4" w:space="0" w:color="auto"/>
              <w:right w:val="nil"/>
            </w:tcBorders>
            <w:shd w:val="clear" w:color="auto" w:fill="auto"/>
            <w:vAlign w:val="center"/>
            <w:hideMark/>
          </w:tcPr>
          <w:p w14:paraId="0A29DBC9"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Month Before Final Push</w:t>
            </w:r>
          </w:p>
        </w:tc>
        <w:tc>
          <w:tcPr>
            <w:tcW w:w="2260" w:type="dxa"/>
            <w:tcBorders>
              <w:left w:val="nil"/>
              <w:bottom w:val="single" w:sz="4" w:space="0" w:color="auto"/>
              <w:right w:val="single" w:sz="4" w:space="0" w:color="auto"/>
            </w:tcBorders>
            <w:shd w:val="clear" w:color="auto" w:fill="auto"/>
            <w:vAlign w:val="center"/>
            <w:hideMark/>
          </w:tcPr>
          <w:p w14:paraId="02E15570"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Month After Final Push</w:t>
            </w:r>
          </w:p>
        </w:tc>
      </w:tr>
      <w:tr w:rsidR="00153661" w:rsidRPr="00153661" w14:paraId="7809E37C" w14:textId="77777777" w:rsidTr="00153661">
        <w:trPr>
          <w:trHeight w:val="315"/>
          <w:jc w:val="center"/>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D4431" w14:textId="4CB5A831"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 Round 17</w:t>
            </w:r>
          </w:p>
        </w:tc>
        <w:tc>
          <w:tcPr>
            <w:tcW w:w="3520" w:type="dxa"/>
            <w:tcBorders>
              <w:top w:val="single" w:sz="4" w:space="0" w:color="auto"/>
              <w:left w:val="single" w:sz="4" w:space="0" w:color="auto"/>
              <w:bottom w:val="nil"/>
              <w:right w:val="nil"/>
            </w:tcBorders>
            <w:shd w:val="clear" w:color="auto" w:fill="auto"/>
            <w:vAlign w:val="center"/>
            <w:hideMark/>
          </w:tcPr>
          <w:p w14:paraId="356E0170" w14:textId="77777777"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 xml:space="preserve">Complete in month before final push </w:t>
            </w:r>
          </w:p>
        </w:tc>
        <w:tc>
          <w:tcPr>
            <w:tcW w:w="1535" w:type="dxa"/>
            <w:tcBorders>
              <w:top w:val="single" w:sz="4" w:space="0" w:color="auto"/>
              <w:left w:val="nil"/>
              <w:bottom w:val="nil"/>
              <w:right w:val="nil"/>
            </w:tcBorders>
            <w:shd w:val="clear" w:color="auto" w:fill="auto"/>
            <w:vAlign w:val="center"/>
            <w:hideMark/>
          </w:tcPr>
          <w:p w14:paraId="583A0645"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289</w:t>
            </w:r>
          </w:p>
        </w:tc>
        <w:tc>
          <w:tcPr>
            <w:tcW w:w="2060" w:type="dxa"/>
            <w:tcBorders>
              <w:top w:val="single" w:sz="4" w:space="0" w:color="auto"/>
              <w:left w:val="nil"/>
              <w:bottom w:val="nil"/>
              <w:right w:val="nil"/>
            </w:tcBorders>
            <w:shd w:val="clear" w:color="auto" w:fill="auto"/>
            <w:vAlign w:val="center"/>
            <w:hideMark/>
          </w:tcPr>
          <w:p w14:paraId="450F6413"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2742</w:t>
            </w:r>
          </w:p>
        </w:tc>
        <w:tc>
          <w:tcPr>
            <w:tcW w:w="2260" w:type="dxa"/>
            <w:tcBorders>
              <w:top w:val="single" w:sz="4" w:space="0" w:color="auto"/>
              <w:left w:val="nil"/>
              <w:bottom w:val="nil"/>
              <w:right w:val="single" w:sz="4" w:space="0" w:color="auto"/>
            </w:tcBorders>
            <w:shd w:val="clear" w:color="auto" w:fill="auto"/>
            <w:vAlign w:val="center"/>
            <w:hideMark/>
          </w:tcPr>
          <w:p w14:paraId="7A7F1307"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N/A</w:t>
            </w:r>
          </w:p>
        </w:tc>
      </w:tr>
      <w:tr w:rsidR="00153661" w:rsidRPr="00153661" w14:paraId="13E88191" w14:textId="77777777" w:rsidTr="00153661">
        <w:trPr>
          <w:trHeight w:val="300"/>
          <w:jc w:val="center"/>
        </w:trPr>
        <w:tc>
          <w:tcPr>
            <w:tcW w:w="1420" w:type="dxa"/>
            <w:vMerge/>
            <w:tcBorders>
              <w:left w:val="single" w:sz="4" w:space="0" w:color="auto"/>
              <w:bottom w:val="single" w:sz="4" w:space="0" w:color="auto"/>
              <w:right w:val="single" w:sz="4" w:space="0" w:color="auto"/>
            </w:tcBorders>
            <w:shd w:val="clear" w:color="auto" w:fill="auto"/>
            <w:vAlign w:val="center"/>
            <w:hideMark/>
          </w:tcPr>
          <w:p w14:paraId="2E68F446" w14:textId="51FBB97E" w:rsidR="00153661" w:rsidRPr="00153661" w:rsidRDefault="00153661" w:rsidP="00153661">
            <w:pPr>
              <w:spacing w:after="0" w:line="240" w:lineRule="auto"/>
              <w:rPr>
                <w:rFonts w:ascii="Times New Roman" w:eastAsia="Times New Roman" w:hAnsi="Times New Roman" w:cs="Times New Roman"/>
                <w:color w:val="000000"/>
              </w:rPr>
            </w:pPr>
          </w:p>
        </w:tc>
        <w:tc>
          <w:tcPr>
            <w:tcW w:w="3520" w:type="dxa"/>
            <w:tcBorders>
              <w:top w:val="nil"/>
              <w:left w:val="single" w:sz="4" w:space="0" w:color="auto"/>
              <w:bottom w:val="nil"/>
              <w:right w:val="nil"/>
            </w:tcBorders>
            <w:shd w:val="clear" w:color="auto" w:fill="auto"/>
            <w:vAlign w:val="center"/>
            <w:hideMark/>
          </w:tcPr>
          <w:p w14:paraId="0B6FEE62" w14:textId="77777777"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 xml:space="preserve">Complete in month after final push </w:t>
            </w:r>
          </w:p>
        </w:tc>
        <w:tc>
          <w:tcPr>
            <w:tcW w:w="1535" w:type="dxa"/>
            <w:tcBorders>
              <w:top w:val="nil"/>
              <w:left w:val="nil"/>
              <w:bottom w:val="nil"/>
              <w:right w:val="nil"/>
            </w:tcBorders>
            <w:shd w:val="clear" w:color="auto" w:fill="auto"/>
            <w:vAlign w:val="center"/>
            <w:hideMark/>
          </w:tcPr>
          <w:p w14:paraId="6018EDFB"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200</w:t>
            </w:r>
          </w:p>
        </w:tc>
        <w:tc>
          <w:tcPr>
            <w:tcW w:w="2060" w:type="dxa"/>
            <w:tcBorders>
              <w:top w:val="nil"/>
              <w:left w:val="nil"/>
              <w:bottom w:val="nil"/>
              <w:right w:val="nil"/>
            </w:tcBorders>
            <w:shd w:val="clear" w:color="auto" w:fill="auto"/>
            <w:vAlign w:val="center"/>
            <w:hideMark/>
          </w:tcPr>
          <w:p w14:paraId="376EA1DB"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1215</w:t>
            </w:r>
          </w:p>
        </w:tc>
        <w:tc>
          <w:tcPr>
            <w:tcW w:w="2260" w:type="dxa"/>
            <w:tcBorders>
              <w:top w:val="nil"/>
              <w:left w:val="nil"/>
              <w:bottom w:val="nil"/>
              <w:right w:val="single" w:sz="4" w:space="0" w:color="auto"/>
            </w:tcBorders>
            <w:shd w:val="clear" w:color="auto" w:fill="auto"/>
            <w:vAlign w:val="center"/>
            <w:hideMark/>
          </w:tcPr>
          <w:p w14:paraId="2A442913"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1757</w:t>
            </w:r>
          </w:p>
        </w:tc>
      </w:tr>
      <w:tr w:rsidR="00153661" w:rsidRPr="00153661" w14:paraId="068C0C3C" w14:textId="77777777" w:rsidTr="00153661">
        <w:trPr>
          <w:trHeight w:val="600"/>
          <w:jc w:val="center"/>
        </w:trPr>
        <w:tc>
          <w:tcPr>
            <w:tcW w:w="1420" w:type="dxa"/>
            <w:vMerge/>
            <w:tcBorders>
              <w:left w:val="single" w:sz="4" w:space="0" w:color="auto"/>
              <w:bottom w:val="single" w:sz="4" w:space="0" w:color="auto"/>
              <w:right w:val="single" w:sz="4" w:space="0" w:color="auto"/>
            </w:tcBorders>
            <w:vAlign w:val="center"/>
            <w:hideMark/>
          </w:tcPr>
          <w:p w14:paraId="59BF4BF9" w14:textId="77777777" w:rsidR="00153661" w:rsidRPr="00153661" w:rsidRDefault="00153661" w:rsidP="00153661">
            <w:pPr>
              <w:spacing w:after="0" w:line="240" w:lineRule="auto"/>
              <w:rPr>
                <w:rFonts w:ascii="Times New Roman" w:eastAsia="Times New Roman" w:hAnsi="Times New Roman" w:cs="Times New Roman"/>
                <w:color w:val="000000"/>
              </w:rPr>
            </w:pPr>
          </w:p>
        </w:tc>
        <w:tc>
          <w:tcPr>
            <w:tcW w:w="3520" w:type="dxa"/>
            <w:tcBorders>
              <w:top w:val="nil"/>
              <w:left w:val="single" w:sz="4" w:space="0" w:color="auto"/>
              <w:bottom w:val="nil"/>
              <w:right w:val="nil"/>
            </w:tcBorders>
            <w:shd w:val="clear" w:color="auto" w:fill="auto"/>
            <w:vAlign w:val="center"/>
            <w:hideMark/>
          </w:tcPr>
          <w:p w14:paraId="1AD2876B" w14:textId="77777777"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Do not complete in month after final push, but complete eventually</w:t>
            </w:r>
          </w:p>
        </w:tc>
        <w:tc>
          <w:tcPr>
            <w:tcW w:w="1535" w:type="dxa"/>
            <w:tcBorders>
              <w:top w:val="nil"/>
              <w:left w:val="nil"/>
              <w:bottom w:val="nil"/>
              <w:right w:val="nil"/>
            </w:tcBorders>
            <w:shd w:val="clear" w:color="auto" w:fill="auto"/>
            <w:vAlign w:val="center"/>
            <w:hideMark/>
          </w:tcPr>
          <w:p w14:paraId="19A1E64B"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403</w:t>
            </w:r>
          </w:p>
        </w:tc>
        <w:tc>
          <w:tcPr>
            <w:tcW w:w="2060" w:type="dxa"/>
            <w:tcBorders>
              <w:top w:val="nil"/>
              <w:left w:val="nil"/>
              <w:bottom w:val="nil"/>
              <w:right w:val="nil"/>
            </w:tcBorders>
            <w:shd w:val="clear" w:color="auto" w:fill="auto"/>
            <w:vAlign w:val="center"/>
            <w:hideMark/>
          </w:tcPr>
          <w:p w14:paraId="730C9D97"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2061</w:t>
            </w:r>
          </w:p>
        </w:tc>
        <w:tc>
          <w:tcPr>
            <w:tcW w:w="2260" w:type="dxa"/>
            <w:tcBorders>
              <w:top w:val="nil"/>
              <w:left w:val="nil"/>
              <w:bottom w:val="nil"/>
              <w:right w:val="single" w:sz="4" w:space="0" w:color="auto"/>
            </w:tcBorders>
            <w:shd w:val="clear" w:color="auto" w:fill="auto"/>
            <w:vAlign w:val="center"/>
            <w:hideMark/>
          </w:tcPr>
          <w:p w14:paraId="46069B99"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2127</w:t>
            </w:r>
          </w:p>
        </w:tc>
      </w:tr>
      <w:tr w:rsidR="00153661" w:rsidRPr="00153661" w14:paraId="74CEE3EF" w14:textId="77777777" w:rsidTr="00153661">
        <w:trPr>
          <w:trHeight w:val="315"/>
          <w:jc w:val="center"/>
        </w:trPr>
        <w:tc>
          <w:tcPr>
            <w:tcW w:w="1420" w:type="dxa"/>
            <w:vMerge/>
            <w:tcBorders>
              <w:left w:val="single" w:sz="4" w:space="0" w:color="auto"/>
              <w:bottom w:val="single" w:sz="4" w:space="0" w:color="auto"/>
              <w:right w:val="single" w:sz="4" w:space="0" w:color="auto"/>
            </w:tcBorders>
            <w:vAlign w:val="center"/>
            <w:hideMark/>
          </w:tcPr>
          <w:p w14:paraId="45BE107F" w14:textId="77777777" w:rsidR="00153661" w:rsidRPr="00153661" w:rsidRDefault="00153661" w:rsidP="00153661">
            <w:pPr>
              <w:spacing w:after="0" w:line="240" w:lineRule="auto"/>
              <w:rPr>
                <w:rFonts w:ascii="Times New Roman" w:eastAsia="Times New Roman" w:hAnsi="Times New Roman" w:cs="Times New Roman"/>
                <w:color w:val="000000"/>
              </w:rPr>
            </w:pPr>
          </w:p>
        </w:tc>
        <w:tc>
          <w:tcPr>
            <w:tcW w:w="3520" w:type="dxa"/>
            <w:tcBorders>
              <w:top w:val="nil"/>
              <w:left w:val="single" w:sz="4" w:space="0" w:color="auto"/>
              <w:bottom w:val="single" w:sz="8" w:space="0" w:color="auto"/>
              <w:right w:val="nil"/>
            </w:tcBorders>
            <w:shd w:val="clear" w:color="auto" w:fill="auto"/>
            <w:vAlign w:val="center"/>
            <w:hideMark/>
          </w:tcPr>
          <w:p w14:paraId="278BA28B" w14:textId="77777777"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Never complete</w:t>
            </w:r>
          </w:p>
        </w:tc>
        <w:tc>
          <w:tcPr>
            <w:tcW w:w="1535" w:type="dxa"/>
            <w:tcBorders>
              <w:top w:val="nil"/>
              <w:left w:val="nil"/>
              <w:bottom w:val="single" w:sz="8" w:space="0" w:color="auto"/>
              <w:right w:val="nil"/>
            </w:tcBorders>
            <w:shd w:val="clear" w:color="auto" w:fill="auto"/>
            <w:vAlign w:val="center"/>
            <w:hideMark/>
          </w:tcPr>
          <w:p w14:paraId="32E77022"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1881</w:t>
            </w:r>
          </w:p>
        </w:tc>
        <w:tc>
          <w:tcPr>
            <w:tcW w:w="2060" w:type="dxa"/>
            <w:tcBorders>
              <w:top w:val="nil"/>
              <w:left w:val="nil"/>
              <w:bottom w:val="single" w:sz="8" w:space="0" w:color="auto"/>
              <w:right w:val="nil"/>
            </w:tcBorders>
            <w:shd w:val="clear" w:color="auto" w:fill="auto"/>
            <w:vAlign w:val="center"/>
            <w:hideMark/>
          </w:tcPr>
          <w:p w14:paraId="73C5A6AF"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6615</w:t>
            </w:r>
          </w:p>
        </w:tc>
        <w:tc>
          <w:tcPr>
            <w:tcW w:w="2260" w:type="dxa"/>
            <w:tcBorders>
              <w:top w:val="nil"/>
              <w:left w:val="nil"/>
              <w:bottom w:val="single" w:sz="8" w:space="0" w:color="auto"/>
              <w:right w:val="single" w:sz="4" w:space="0" w:color="auto"/>
            </w:tcBorders>
            <w:shd w:val="clear" w:color="auto" w:fill="auto"/>
            <w:vAlign w:val="center"/>
            <w:hideMark/>
          </w:tcPr>
          <w:p w14:paraId="00987BB8"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5194</w:t>
            </w:r>
          </w:p>
        </w:tc>
      </w:tr>
      <w:tr w:rsidR="00153661" w:rsidRPr="00153661" w14:paraId="78E9083E" w14:textId="77777777" w:rsidTr="00153661">
        <w:trPr>
          <w:trHeight w:val="315"/>
          <w:jc w:val="center"/>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B3A77" w14:textId="70023A50"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 Round 18</w:t>
            </w:r>
          </w:p>
        </w:tc>
        <w:tc>
          <w:tcPr>
            <w:tcW w:w="3520" w:type="dxa"/>
            <w:tcBorders>
              <w:top w:val="nil"/>
              <w:left w:val="single" w:sz="4" w:space="0" w:color="auto"/>
              <w:bottom w:val="nil"/>
              <w:right w:val="nil"/>
            </w:tcBorders>
            <w:shd w:val="clear" w:color="auto" w:fill="auto"/>
            <w:vAlign w:val="center"/>
            <w:hideMark/>
          </w:tcPr>
          <w:p w14:paraId="09CEC92A" w14:textId="77777777"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 xml:space="preserve">Complete in month before final push </w:t>
            </w:r>
          </w:p>
        </w:tc>
        <w:tc>
          <w:tcPr>
            <w:tcW w:w="1535" w:type="dxa"/>
            <w:tcBorders>
              <w:top w:val="nil"/>
              <w:left w:val="nil"/>
              <w:bottom w:val="nil"/>
              <w:right w:val="nil"/>
            </w:tcBorders>
            <w:shd w:val="clear" w:color="auto" w:fill="auto"/>
            <w:vAlign w:val="center"/>
            <w:hideMark/>
          </w:tcPr>
          <w:p w14:paraId="5D08133E"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806</w:t>
            </w:r>
          </w:p>
        </w:tc>
        <w:tc>
          <w:tcPr>
            <w:tcW w:w="2060" w:type="dxa"/>
            <w:tcBorders>
              <w:top w:val="nil"/>
              <w:left w:val="nil"/>
              <w:bottom w:val="nil"/>
              <w:right w:val="nil"/>
            </w:tcBorders>
            <w:shd w:val="clear" w:color="auto" w:fill="auto"/>
            <w:vAlign w:val="center"/>
            <w:hideMark/>
          </w:tcPr>
          <w:p w14:paraId="19D71A33"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7094</w:t>
            </w:r>
          </w:p>
        </w:tc>
        <w:tc>
          <w:tcPr>
            <w:tcW w:w="2260" w:type="dxa"/>
            <w:tcBorders>
              <w:top w:val="nil"/>
              <w:left w:val="nil"/>
              <w:bottom w:val="nil"/>
              <w:right w:val="single" w:sz="4" w:space="0" w:color="auto"/>
            </w:tcBorders>
            <w:shd w:val="clear" w:color="auto" w:fill="auto"/>
            <w:vAlign w:val="center"/>
            <w:hideMark/>
          </w:tcPr>
          <w:p w14:paraId="6C14E6D9"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N/A</w:t>
            </w:r>
          </w:p>
        </w:tc>
      </w:tr>
      <w:tr w:rsidR="00153661" w:rsidRPr="00153661" w14:paraId="7D181806" w14:textId="77777777" w:rsidTr="00153661">
        <w:trPr>
          <w:trHeight w:val="300"/>
          <w:jc w:val="center"/>
        </w:trPr>
        <w:tc>
          <w:tcPr>
            <w:tcW w:w="1420" w:type="dxa"/>
            <w:vMerge/>
            <w:tcBorders>
              <w:left w:val="single" w:sz="4" w:space="0" w:color="auto"/>
              <w:bottom w:val="single" w:sz="4" w:space="0" w:color="auto"/>
              <w:right w:val="single" w:sz="4" w:space="0" w:color="auto"/>
            </w:tcBorders>
            <w:shd w:val="clear" w:color="auto" w:fill="auto"/>
            <w:vAlign w:val="center"/>
            <w:hideMark/>
          </w:tcPr>
          <w:p w14:paraId="1EEE24A4" w14:textId="0FCF40E2" w:rsidR="00153661" w:rsidRPr="00153661" w:rsidRDefault="00153661" w:rsidP="00153661">
            <w:pPr>
              <w:spacing w:after="0" w:line="240" w:lineRule="auto"/>
              <w:rPr>
                <w:rFonts w:ascii="Times New Roman" w:eastAsia="Times New Roman" w:hAnsi="Times New Roman" w:cs="Times New Roman"/>
                <w:color w:val="000000"/>
              </w:rPr>
            </w:pPr>
          </w:p>
        </w:tc>
        <w:tc>
          <w:tcPr>
            <w:tcW w:w="3520" w:type="dxa"/>
            <w:tcBorders>
              <w:top w:val="nil"/>
              <w:left w:val="single" w:sz="4" w:space="0" w:color="auto"/>
              <w:bottom w:val="nil"/>
              <w:right w:val="nil"/>
            </w:tcBorders>
            <w:shd w:val="clear" w:color="auto" w:fill="auto"/>
            <w:vAlign w:val="center"/>
            <w:hideMark/>
          </w:tcPr>
          <w:p w14:paraId="310073A2" w14:textId="77777777"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 xml:space="preserve">Complete in month after final push </w:t>
            </w:r>
          </w:p>
        </w:tc>
        <w:tc>
          <w:tcPr>
            <w:tcW w:w="1535" w:type="dxa"/>
            <w:tcBorders>
              <w:top w:val="nil"/>
              <w:left w:val="nil"/>
              <w:bottom w:val="nil"/>
              <w:right w:val="nil"/>
            </w:tcBorders>
            <w:shd w:val="clear" w:color="auto" w:fill="auto"/>
            <w:vAlign w:val="center"/>
            <w:hideMark/>
          </w:tcPr>
          <w:p w14:paraId="7960CF56"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702</w:t>
            </w:r>
          </w:p>
        </w:tc>
        <w:tc>
          <w:tcPr>
            <w:tcW w:w="2060" w:type="dxa"/>
            <w:tcBorders>
              <w:top w:val="nil"/>
              <w:left w:val="nil"/>
              <w:bottom w:val="nil"/>
              <w:right w:val="nil"/>
            </w:tcBorders>
            <w:shd w:val="clear" w:color="auto" w:fill="auto"/>
            <w:vAlign w:val="center"/>
            <w:hideMark/>
          </w:tcPr>
          <w:p w14:paraId="11FF0D02"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5617</w:t>
            </w:r>
          </w:p>
        </w:tc>
        <w:tc>
          <w:tcPr>
            <w:tcW w:w="2260" w:type="dxa"/>
            <w:tcBorders>
              <w:top w:val="nil"/>
              <w:left w:val="nil"/>
              <w:bottom w:val="nil"/>
              <w:right w:val="single" w:sz="4" w:space="0" w:color="auto"/>
            </w:tcBorders>
            <w:shd w:val="clear" w:color="auto" w:fill="auto"/>
            <w:vAlign w:val="center"/>
            <w:hideMark/>
          </w:tcPr>
          <w:p w14:paraId="00A2B576"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5770</w:t>
            </w:r>
          </w:p>
        </w:tc>
      </w:tr>
      <w:tr w:rsidR="00153661" w:rsidRPr="00153661" w14:paraId="66C5EA94" w14:textId="77777777" w:rsidTr="00153661">
        <w:trPr>
          <w:trHeight w:val="600"/>
          <w:jc w:val="center"/>
        </w:trPr>
        <w:tc>
          <w:tcPr>
            <w:tcW w:w="1420" w:type="dxa"/>
            <w:vMerge/>
            <w:tcBorders>
              <w:left w:val="single" w:sz="4" w:space="0" w:color="auto"/>
              <w:bottom w:val="single" w:sz="4" w:space="0" w:color="auto"/>
              <w:right w:val="single" w:sz="4" w:space="0" w:color="auto"/>
            </w:tcBorders>
            <w:vAlign w:val="center"/>
            <w:hideMark/>
          </w:tcPr>
          <w:p w14:paraId="205EAC2C" w14:textId="77777777" w:rsidR="00153661" w:rsidRPr="00153661" w:rsidRDefault="00153661" w:rsidP="00153661">
            <w:pPr>
              <w:spacing w:after="0" w:line="240" w:lineRule="auto"/>
              <w:rPr>
                <w:rFonts w:ascii="Times New Roman" w:eastAsia="Times New Roman" w:hAnsi="Times New Roman" w:cs="Times New Roman"/>
                <w:color w:val="000000"/>
              </w:rPr>
            </w:pPr>
          </w:p>
        </w:tc>
        <w:tc>
          <w:tcPr>
            <w:tcW w:w="3520" w:type="dxa"/>
            <w:tcBorders>
              <w:top w:val="nil"/>
              <w:left w:val="single" w:sz="4" w:space="0" w:color="auto"/>
              <w:bottom w:val="nil"/>
              <w:right w:val="nil"/>
            </w:tcBorders>
            <w:shd w:val="clear" w:color="auto" w:fill="auto"/>
            <w:vAlign w:val="center"/>
            <w:hideMark/>
          </w:tcPr>
          <w:p w14:paraId="6AFFDB17" w14:textId="77777777"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Do not complete in month after final push, but complete eventually</w:t>
            </w:r>
          </w:p>
        </w:tc>
        <w:tc>
          <w:tcPr>
            <w:tcW w:w="1535" w:type="dxa"/>
            <w:tcBorders>
              <w:top w:val="nil"/>
              <w:left w:val="nil"/>
              <w:bottom w:val="nil"/>
              <w:right w:val="nil"/>
            </w:tcBorders>
            <w:shd w:val="clear" w:color="auto" w:fill="auto"/>
            <w:vAlign w:val="center"/>
            <w:hideMark/>
          </w:tcPr>
          <w:p w14:paraId="7484E9A7"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1013</w:t>
            </w:r>
          </w:p>
        </w:tc>
        <w:tc>
          <w:tcPr>
            <w:tcW w:w="2060" w:type="dxa"/>
            <w:tcBorders>
              <w:top w:val="nil"/>
              <w:left w:val="nil"/>
              <w:bottom w:val="nil"/>
              <w:right w:val="nil"/>
            </w:tcBorders>
            <w:shd w:val="clear" w:color="auto" w:fill="auto"/>
            <w:vAlign w:val="center"/>
            <w:hideMark/>
          </w:tcPr>
          <w:p w14:paraId="2A04A5E1"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6745</w:t>
            </w:r>
          </w:p>
        </w:tc>
        <w:tc>
          <w:tcPr>
            <w:tcW w:w="2260" w:type="dxa"/>
            <w:tcBorders>
              <w:top w:val="nil"/>
              <w:left w:val="nil"/>
              <w:bottom w:val="nil"/>
              <w:right w:val="single" w:sz="4" w:space="0" w:color="auto"/>
            </w:tcBorders>
            <w:shd w:val="clear" w:color="auto" w:fill="auto"/>
            <w:vAlign w:val="center"/>
            <w:hideMark/>
          </w:tcPr>
          <w:p w14:paraId="0F5C661C"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5906</w:t>
            </w:r>
          </w:p>
        </w:tc>
      </w:tr>
      <w:tr w:rsidR="00153661" w:rsidRPr="00153661" w14:paraId="3B8DE0C5" w14:textId="77777777" w:rsidTr="00153661">
        <w:trPr>
          <w:trHeight w:val="315"/>
          <w:jc w:val="center"/>
        </w:trPr>
        <w:tc>
          <w:tcPr>
            <w:tcW w:w="1420" w:type="dxa"/>
            <w:vMerge/>
            <w:tcBorders>
              <w:left w:val="single" w:sz="4" w:space="0" w:color="auto"/>
              <w:bottom w:val="single" w:sz="4" w:space="0" w:color="auto"/>
              <w:right w:val="single" w:sz="4" w:space="0" w:color="auto"/>
            </w:tcBorders>
            <w:vAlign w:val="center"/>
            <w:hideMark/>
          </w:tcPr>
          <w:p w14:paraId="51C528A0" w14:textId="77777777" w:rsidR="00153661" w:rsidRPr="00153661" w:rsidRDefault="00153661" w:rsidP="00153661">
            <w:pPr>
              <w:spacing w:after="0" w:line="240" w:lineRule="auto"/>
              <w:rPr>
                <w:rFonts w:ascii="Times New Roman" w:eastAsia="Times New Roman" w:hAnsi="Times New Roman" w:cs="Times New Roman"/>
                <w:color w:val="000000"/>
              </w:rPr>
            </w:pPr>
          </w:p>
        </w:tc>
        <w:tc>
          <w:tcPr>
            <w:tcW w:w="3520" w:type="dxa"/>
            <w:tcBorders>
              <w:top w:val="nil"/>
              <w:left w:val="single" w:sz="4" w:space="0" w:color="auto"/>
              <w:bottom w:val="single" w:sz="4" w:space="0" w:color="auto"/>
              <w:right w:val="nil"/>
            </w:tcBorders>
            <w:shd w:val="clear" w:color="auto" w:fill="auto"/>
            <w:vAlign w:val="center"/>
            <w:hideMark/>
          </w:tcPr>
          <w:p w14:paraId="13B45B71" w14:textId="77777777" w:rsidR="00153661" w:rsidRPr="00153661" w:rsidRDefault="00153661" w:rsidP="00153661">
            <w:pPr>
              <w:spacing w:after="0" w:line="240" w:lineRule="auto"/>
              <w:rPr>
                <w:rFonts w:ascii="Times New Roman" w:eastAsia="Times New Roman" w:hAnsi="Times New Roman" w:cs="Times New Roman"/>
                <w:color w:val="000000"/>
              </w:rPr>
            </w:pPr>
            <w:r w:rsidRPr="00153661">
              <w:rPr>
                <w:rFonts w:ascii="Times New Roman" w:eastAsia="Times New Roman" w:hAnsi="Times New Roman" w:cs="Times New Roman"/>
                <w:color w:val="000000"/>
              </w:rPr>
              <w:t>Never complete</w:t>
            </w:r>
          </w:p>
        </w:tc>
        <w:tc>
          <w:tcPr>
            <w:tcW w:w="1535" w:type="dxa"/>
            <w:tcBorders>
              <w:top w:val="nil"/>
              <w:left w:val="nil"/>
              <w:bottom w:val="single" w:sz="4" w:space="0" w:color="auto"/>
              <w:right w:val="nil"/>
            </w:tcBorders>
            <w:shd w:val="clear" w:color="auto" w:fill="auto"/>
            <w:vAlign w:val="center"/>
            <w:hideMark/>
          </w:tcPr>
          <w:p w14:paraId="0924C550"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2250</w:t>
            </w:r>
          </w:p>
        </w:tc>
        <w:tc>
          <w:tcPr>
            <w:tcW w:w="2060" w:type="dxa"/>
            <w:tcBorders>
              <w:top w:val="nil"/>
              <w:left w:val="nil"/>
              <w:bottom w:val="single" w:sz="4" w:space="0" w:color="auto"/>
              <w:right w:val="nil"/>
            </w:tcBorders>
            <w:shd w:val="clear" w:color="auto" w:fill="auto"/>
            <w:vAlign w:val="center"/>
            <w:hideMark/>
          </w:tcPr>
          <w:p w14:paraId="62B23792"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9096</w:t>
            </w:r>
          </w:p>
        </w:tc>
        <w:tc>
          <w:tcPr>
            <w:tcW w:w="2260" w:type="dxa"/>
            <w:tcBorders>
              <w:top w:val="nil"/>
              <w:left w:val="nil"/>
              <w:bottom w:val="single" w:sz="4" w:space="0" w:color="auto"/>
              <w:right w:val="single" w:sz="4" w:space="0" w:color="auto"/>
            </w:tcBorders>
            <w:shd w:val="clear" w:color="auto" w:fill="auto"/>
            <w:vAlign w:val="center"/>
            <w:hideMark/>
          </w:tcPr>
          <w:p w14:paraId="6A0ACE01" w14:textId="77777777" w:rsidR="00153661" w:rsidRPr="00153661" w:rsidRDefault="00153661" w:rsidP="00153661">
            <w:pPr>
              <w:spacing w:after="0" w:line="240" w:lineRule="auto"/>
              <w:jc w:val="center"/>
              <w:rPr>
                <w:rFonts w:ascii="Times New Roman" w:eastAsia="Times New Roman" w:hAnsi="Times New Roman" w:cs="Times New Roman"/>
                <w:color w:val="000000"/>
              </w:rPr>
            </w:pPr>
            <w:r w:rsidRPr="00153661">
              <w:rPr>
                <w:rFonts w:ascii="Times New Roman" w:eastAsia="Times New Roman" w:hAnsi="Times New Roman" w:cs="Times New Roman"/>
                <w:color w:val="000000"/>
              </w:rPr>
              <w:t>6580</w:t>
            </w:r>
          </w:p>
        </w:tc>
      </w:tr>
    </w:tbl>
    <w:p w14:paraId="695CD70C" w14:textId="77777777" w:rsidR="00691436" w:rsidRDefault="00691436" w:rsidP="00F536C7">
      <w:pPr>
        <w:spacing w:after="120"/>
        <w:jc w:val="center"/>
        <w:rPr>
          <w:rFonts w:ascii="Times New Roman" w:hAnsi="Times New Roman" w:cs="Times New Roman"/>
          <w:b/>
        </w:rPr>
      </w:pPr>
    </w:p>
    <w:p w14:paraId="5B42C483" w14:textId="77777777" w:rsidR="0010539F" w:rsidRPr="00B25B62" w:rsidRDefault="0010539F" w:rsidP="004615EC">
      <w:pPr>
        <w:spacing w:after="120"/>
        <w:rPr>
          <w:rFonts w:ascii="Times New Roman" w:hAnsi="Times New Roman" w:cs="Times New Roman"/>
        </w:rPr>
      </w:pPr>
    </w:p>
    <w:p w14:paraId="2B79BECA" w14:textId="77777777" w:rsidR="00E550F7" w:rsidRPr="00B25B62" w:rsidRDefault="00E550F7" w:rsidP="00F62AE7">
      <w:pPr>
        <w:pStyle w:val="ListParagraph"/>
        <w:numPr>
          <w:ilvl w:val="0"/>
          <w:numId w:val="5"/>
        </w:numPr>
        <w:spacing w:after="120"/>
        <w:ind w:left="360"/>
        <w:rPr>
          <w:rFonts w:ascii="Times New Roman" w:hAnsi="Times New Roman" w:cs="Times New Roman"/>
          <w:b/>
        </w:rPr>
      </w:pPr>
      <w:r w:rsidRPr="00B25B62">
        <w:rPr>
          <w:rFonts w:ascii="Times New Roman" w:hAnsi="Times New Roman" w:cs="Times New Roman"/>
          <w:b/>
        </w:rPr>
        <w:t>Electronic Payments</w:t>
      </w:r>
    </w:p>
    <w:p w14:paraId="311429CB" w14:textId="2B1D0B48" w:rsidR="007A5070" w:rsidRPr="007A5070" w:rsidRDefault="007A5070" w:rsidP="007A5070">
      <w:pPr>
        <w:spacing w:after="120" w:line="276" w:lineRule="auto"/>
        <w:rPr>
          <w:rFonts w:ascii="Times New Roman" w:hAnsi="Times New Roman" w:cs="Times New Roman"/>
        </w:rPr>
      </w:pPr>
      <w:r w:rsidRPr="007A5070">
        <w:rPr>
          <w:rFonts w:ascii="Times New Roman" w:hAnsi="Times New Roman" w:cs="Times New Roman"/>
        </w:rPr>
        <w:t>In Round 17, we introduced the electronic service PayPal as a payment option for respondents who completed the interview by phone. PayPal allowed the project to reduce administration fees, improve the speed of paying the respondent, confirm contact information (such as mobile phone number or e-mail address to which payment can be made), and allow the project to be proactive about resolving issues related to the transaction. Table 7 shows the amount of respondents selecting electronic payments by round.  The Round 17 experience with PayPal was a 17% overall rate of selection of PayPal by telephone respondents as their choice of payment method when completed by phone.  With the use of a $5 incentive in Round 18</w:t>
      </w:r>
      <w:r w:rsidR="002D22A8">
        <w:rPr>
          <w:rFonts w:ascii="Times New Roman" w:hAnsi="Times New Roman" w:cs="Times New Roman"/>
        </w:rPr>
        <w:t xml:space="preserve"> and expansion to include Chase QuickPay as well as PayPal</w:t>
      </w:r>
      <w:r w:rsidRPr="007A5070">
        <w:rPr>
          <w:rFonts w:ascii="Times New Roman" w:hAnsi="Times New Roman" w:cs="Times New Roman"/>
        </w:rPr>
        <w:t xml:space="preserve">, the number went up to roughly </w:t>
      </w:r>
      <w:r w:rsidR="001C53B9">
        <w:rPr>
          <w:rFonts w:ascii="Times New Roman" w:hAnsi="Times New Roman" w:cs="Times New Roman"/>
        </w:rPr>
        <w:t>40</w:t>
      </w:r>
      <w:r w:rsidRPr="007A5070">
        <w:rPr>
          <w:rFonts w:ascii="Times New Roman" w:hAnsi="Times New Roman" w:cs="Times New Roman"/>
        </w:rPr>
        <w:t xml:space="preserve">%.  </w:t>
      </w:r>
      <w:r>
        <w:rPr>
          <w:rFonts w:ascii="Times New Roman" w:hAnsi="Times New Roman" w:cs="Times New Roman"/>
        </w:rPr>
        <w:t>We</w:t>
      </w:r>
      <w:r w:rsidRPr="007A5070">
        <w:rPr>
          <w:rFonts w:ascii="Times New Roman" w:hAnsi="Times New Roman" w:cs="Times New Roman"/>
        </w:rPr>
        <w:t xml:space="preserve"> feel that these results show promise </w:t>
      </w:r>
      <w:r w:rsidR="001C53B9">
        <w:rPr>
          <w:rFonts w:ascii="Times New Roman" w:hAnsi="Times New Roman" w:cs="Times New Roman"/>
        </w:rPr>
        <w:t>in increasing the use of electronic payments.</w:t>
      </w:r>
    </w:p>
    <w:p w14:paraId="295775EE" w14:textId="77777777" w:rsidR="00C12254" w:rsidRDefault="00C12254" w:rsidP="004615EC">
      <w:pPr>
        <w:spacing w:after="120"/>
        <w:rPr>
          <w:rFonts w:ascii="Times New Roman" w:hAnsi="Times New Roman" w:cs="Times New Roman"/>
        </w:rPr>
      </w:pPr>
    </w:p>
    <w:p w14:paraId="2991EBC7" w14:textId="4DF1489C" w:rsidR="00C12254" w:rsidRPr="00C12254" w:rsidRDefault="00C12254" w:rsidP="00DD4475">
      <w:pPr>
        <w:spacing w:after="120"/>
        <w:jc w:val="center"/>
        <w:rPr>
          <w:rFonts w:ascii="Times New Roman" w:hAnsi="Times New Roman" w:cs="Times New Roman"/>
          <w:b/>
        </w:rPr>
      </w:pPr>
      <w:r>
        <w:rPr>
          <w:rFonts w:ascii="Times New Roman" w:hAnsi="Times New Roman" w:cs="Times New Roman"/>
          <w:b/>
        </w:rPr>
        <w:t>Table</w:t>
      </w:r>
      <w:r w:rsidR="00A23C62">
        <w:rPr>
          <w:rFonts w:ascii="Times New Roman" w:hAnsi="Times New Roman" w:cs="Times New Roman"/>
          <w:b/>
        </w:rPr>
        <w:t xml:space="preserve"> 7</w:t>
      </w:r>
      <w:r w:rsidR="00DD4475">
        <w:rPr>
          <w:rFonts w:ascii="Times New Roman" w:hAnsi="Times New Roman" w:cs="Times New Roman"/>
          <w:b/>
        </w:rPr>
        <w:t>:  Electronic Payments Bonus</w:t>
      </w:r>
    </w:p>
    <w:tbl>
      <w:tblPr>
        <w:tblW w:w="6924" w:type="dxa"/>
        <w:jc w:val="center"/>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Description w:val="Procedure Freq: LIST Frequencies"/>
      </w:tblPr>
      <w:tblGrid>
        <w:gridCol w:w="2584"/>
        <w:gridCol w:w="4340"/>
      </w:tblGrid>
      <w:tr w:rsidR="00DD4475" w:rsidRPr="00B25B62" w14:paraId="70188B4D" w14:textId="77777777" w:rsidTr="00DD4475">
        <w:trPr>
          <w:trHeight w:val="344"/>
          <w:tblHeader/>
          <w:jc w:val="center"/>
        </w:trPr>
        <w:tc>
          <w:tcPr>
            <w:tcW w:w="0" w:type="auto"/>
            <w:tcBorders>
              <w:top w:val="single" w:sz="4" w:space="0" w:color="auto"/>
              <w:bottom w:val="single" w:sz="4" w:space="0" w:color="auto"/>
            </w:tcBorders>
            <w:vAlign w:val="center"/>
            <w:hideMark/>
          </w:tcPr>
          <w:p w14:paraId="7B0C8D70" w14:textId="31E45EBF" w:rsidR="00DD4475" w:rsidRPr="00DD4475" w:rsidRDefault="00DD4475" w:rsidP="00DD4475">
            <w:pPr>
              <w:spacing w:after="0"/>
              <w:rPr>
                <w:rFonts w:ascii="Times New Roman" w:eastAsia="Times New Roman" w:hAnsi="Times New Roman" w:cs="Times New Roman"/>
                <w:bCs/>
              </w:rPr>
            </w:pPr>
            <w:r w:rsidRPr="00DD4475">
              <w:rPr>
                <w:rFonts w:ascii="Times New Roman" w:eastAsia="Times New Roman" w:hAnsi="Times New Roman" w:cs="Times New Roman"/>
                <w:bCs/>
              </w:rPr>
              <w:t>Electronic Payment</w:t>
            </w:r>
          </w:p>
        </w:tc>
        <w:tc>
          <w:tcPr>
            <w:tcW w:w="0" w:type="auto"/>
            <w:tcBorders>
              <w:top w:val="single" w:sz="4" w:space="0" w:color="auto"/>
              <w:bottom w:val="single" w:sz="4" w:space="0" w:color="auto"/>
            </w:tcBorders>
            <w:vAlign w:val="center"/>
            <w:hideMark/>
          </w:tcPr>
          <w:p w14:paraId="7F9EDEC6" w14:textId="77777777" w:rsidR="007A5070" w:rsidRDefault="00DD4475" w:rsidP="00DD4475">
            <w:pPr>
              <w:spacing w:after="0"/>
              <w:jc w:val="center"/>
              <w:rPr>
                <w:rFonts w:ascii="Times New Roman" w:eastAsia="Times New Roman" w:hAnsi="Times New Roman" w:cs="Times New Roman"/>
                <w:bCs/>
              </w:rPr>
            </w:pPr>
            <w:r w:rsidRPr="00DD4475">
              <w:rPr>
                <w:rFonts w:ascii="Times New Roman" w:eastAsia="Times New Roman" w:hAnsi="Times New Roman" w:cs="Times New Roman"/>
                <w:bCs/>
              </w:rPr>
              <w:t>Percent</w:t>
            </w:r>
            <w:r>
              <w:rPr>
                <w:rFonts w:ascii="Times New Roman" w:eastAsia="Times New Roman" w:hAnsi="Times New Roman" w:cs="Times New Roman"/>
                <w:bCs/>
              </w:rPr>
              <w:t xml:space="preserve"> </w:t>
            </w:r>
            <w:r w:rsidR="007A5070">
              <w:rPr>
                <w:rFonts w:ascii="Times New Roman" w:eastAsia="Times New Roman" w:hAnsi="Times New Roman" w:cs="Times New Roman"/>
                <w:bCs/>
              </w:rPr>
              <w:t xml:space="preserve">of Phone Interviews </w:t>
            </w:r>
          </w:p>
          <w:p w14:paraId="75DDAB67" w14:textId="08B2963D" w:rsidR="00DD4475" w:rsidRPr="00DD4475" w:rsidRDefault="00DD4475" w:rsidP="00DD4475">
            <w:pPr>
              <w:spacing w:after="0"/>
              <w:jc w:val="center"/>
              <w:rPr>
                <w:rFonts w:ascii="Times New Roman" w:eastAsia="Times New Roman" w:hAnsi="Times New Roman" w:cs="Times New Roman"/>
                <w:bCs/>
              </w:rPr>
            </w:pPr>
            <w:r>
              <w:rPr>
                <w:rFonts w:ascii="Times New Roman" w:eastAsia="Times New Roman" w:hAnsi="Times New Roman" w:cs="Times New Roman"/>
                <w:bCs/>
              </w:rPr>
              <w:t>Receiving Payment Electronically</w:t>
            </w:r>
          </w:p>
        </w:tc>
      </w:tr>
      <w:tr w:rsidR="00DD4475" w:rsidRPr="00B25B62" w14:paraId="39B6BFD9" w14:textId="77777777" w:rsidTr="00DD4475">
        <w:trPr>
          <w:trHeight w:val="344"/>
          <w:jc w:val="center"/>
        </w:trPr>
        <w:tc>
          <w:tcPr>
            <w:tcW w:w="0" w:type="auto"/>
            <w:tcBorders>
              <w:top w:val="single" w:sz="4" w:space="0" w:color="auto"/>
            </w:tcBorders>
            <w:vAlign w:val="center"/>
          </w:tcPr>
          <w:p w14:paraId="49FD5B58" w14:textId="0CD54686" w:rsidR="00DD4475" w:rsidRPr="00DD4475" w:rsidRDefault="009422AA" w:rsidP="009422AA">
            <w:pPr>
              <w:spacing w:after="0"/>
              <w:rPr>
                <w:rFonts w:ascii="Times New Roman" w:eastAsia="Times New Roman" w:hAnsi="Times New Roman" w:cs="Times New Roman"/>
                <w:bCs/>
              </w:rPr>
            </w:pPr>
            <w:r>
              <w:rPr>
                <w:rFonts w:ascii="Times New Roman" w:eastAsia="Times New Roman" w:hAnsi="Times New Roman" w:cs="Times New Roman"/>
                <w:bCs/>
              </w:rPr>
              <w:t xml:space="preserve">Round 17 </w:t>
            </w:r>
          </w:p>
        </w:tc>
        <w:tc>
          <w:tcPr>
            <w:tcW w:w="0" w:type="auto"/>
            <w:tcBorders>
              <w:top w:val="single" w:sz="4" w:space="0" w:color="auto"/>
            </w:tcBorders>
            <w:vAlign w:val="center"/>
          </w:tcPr>
          <w:p w14:paraId="5A156EBE" w14:textId="0EED01FC" w:rsidR="00DD4475" w:rsidRPr="00DD4475" w:rsidRDefault="00DD4475" w:rsidP="00DD4475">
            <w:pPr>
              <w:spacing w:after="0"/>
              <w:jc w:val="center"/>
              <w:rPr>
                <w:rFonts w:ascii="Times New Roman" w:eastAsia="Times New Roman" w:hAnsi="Times New Roman" w:cs="Times New Roman"/>
              </w:rPr>
            </w:pPr>
            <w:r>
              <w:rPr>
                <w:rFonts w:ascii="Times New Roman" w:eastAsia="Times New Roman" w:hAnsi="Times New Roman" w:cs="Times New Roman"/>
              </w:rPr>
              <w:t>17%</w:t>
            </w:r>
          </w:p>
        </w:tc>
      </w:tr>
      <w:tr w:rsidR="00DD4475" w:rsidRPr="00B25B62" w14:paraId="211CD666" w14:textId="77777777" w:rsidTr="00DD4475">
        <w:trPr>
          <w:trHeight w:val="344"/>
          <w:jc w:val="center"/>
        </w:trPr>
        <w:tc>
          <w:tcPr>
            <w:tcW w:w="0" w:type="auto"/>
            <w:vAlign w:val="center"/>
          </w:tcPr>
          <w:p w14:paraId="70714A8C" w14:textId="06FC0577" w:rsidR="00DD4475" w:rsidRPr="00DD4475" w:rsidRDefault="00DD4475" w:rsidP="00DD4475">
            <w:pPr>
              <w:spacing w:after="0"/>
              <w:rPr>
                <w:rFonts w:ascii="Times New Roman" w:eastAsia="Times New Roman" w:hAnsi="Times New Roman" w:cs="Times New Roman"/>
                <w:bCs/>
              </w:rPr>
            </w:pPr>
            <w:r>
              <w:rPr>
                <w:rFonts w:ascii="Times New Roman" w:eastAsia="Times New Roman" w:hAnsi="Times New Roman" w:cs="Times New Roman"/>
                <w:bCs/>
              </w:rPr>
              <w:t>Round 18</w:t>
            </w:r>
          </w:p>
        </w:tc>
        <w:tc>
          <w:tcPr>
            <w:tcW w:w="0" w:type="auto"/>
            <w:vAlign w:val="center"/>
          </w:tcPr>
          <w:p w14:paraId="2438C0D2" w14:textId="316D00E1" w:rsidR="00DD4475" w:rsidRPr="00DD4475" w:rsidRDefault="000369A9" w:rsidP="00DD4475">
            <w:pPr>
              <w:spacing w:after="0"/>
              <w:jc w:val="center"/>
              <w:rPr>
                <w:rFonts w:ascii="Times New Roman" w:eastAsia="Times New Roman" w:hAnsi="Times New Roman" w:cs="Times New Roman"/>
              </w:rPr>
            </w:pPr>
            <w:r>
              <w:rPr>
                <w:rFonts w:ascii="Times New Roman" w:eastAsia="Times New Roman" w:hAnsi="Times New Roman" w:cs="Times New Roman"/>
              </w:rPr>
              <w:t>40</w:t>
            </w:r>
            <w:r w:rsidR="00DD4475">
              <w:rPr>
                <w:rFonts w:ascii="Times New Roman" w:eastAsia="Times New Roman" w:hAnsi="Times New Roman" w:cs="Times New Roman"/>
              </w:rPr>
              <w:t>%</w:t>
            </w:r>
          </w:p>
        </w:tc>
      </w:tr>
    </w:tbl>
    <w:p w14:paraId="77EFBC79" w14:textId="77777777" w:rsidR="00FB39B3" w:rsidRPr="00B25B62" w:rsidRDefault="00FB39B3" w:rsidP="002D22A8">
      <w:pPr>
        <w:spacing w:after="120"/>
        <w:rPr>
          <w:rFonts w:ascii="Times New Roman" w:hAnsi="Times New Roman" w:cs="Times New Roman"/>
        </w:rPr>
      </w:pPr>
    </w:p>
    <w:sectPr w:rsidR="00FB39B3" w:rsidRPr="00B25B6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B6311" w14:textId="77777777" w:rsidR="00A32EC8" w:rsidRDefault="00A32EC8" w:rsidP="00A32EC8">
      <w:pPr>
        <w:spacing w:after="0" w:line="240" w:lineRule="auto"/>
      </w:pPr>
      <w:r>
        <w:separator/>
      </w:r>
    </w:p>
  </w:endnote>
  <w:endnote w:type="continuationSeparator" w:id="0">
    <w:p w14:paraId="4BFE2395" w14:textId="77777777" w:rsidR="00A32EC8" w:rsidRDefault="00A32EC8" w:rsidP="00A3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3E8CB" w14:textId="77777777" w:rsidR="00A32EC8" w:rsidRDefault="00A32EC8" w:rsidP="00A32EC8">
      <w:pPr>
        <w:spacing w:after="0" w:line="240" w:lineRule="auto"/>
      </w:pPr>
      <w:r>
        <w:separator/>
      </w:r>
    </w:p>
  </w:footnote>
  <w:footnote w:type="continuationSeparator" w:id="0">
    <w:p w14:paraId="5DD4C708" w14:textId="77777777" w:rsidR="00A32EC8" w:rsidRDefault="00A32EC8" w:rsidP="00A32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85AB4" w14:textId="77777777" w:rsidR="00E24989" w:rsidRPr="00E24989" w:rsidRDefault="00E24989" w:rsidP="00E24989">
    <w:pPr>
      <w:pStyle w:val="Header"/>
      <w:pBdr>
        <w:bottom w:val="single" w:sz="6" w:space="4" w:color="auto"/>
      </w:pBdr>
      <w:jc w:val="right"/>
      <w:rPr>
        <w:rFonts w:ascii="Times New Roman" w:hAnsi="Times New Roman" w:cs="Times New Roman"/>
      </w:rPr>
    </w:pPr>
    <w:bookmarkStart w:id="1" w:name="_Toc186885092"/>
    <w:bookmarkStart w:id="2" w:name="_Toc413140558"/>
    <w:r w:rsidRPr="00E24989">
      <w:rPr>
        <w:rFonts w:ascii="Times New Roman" w:hAnsi="Times New Roman" w:cs="Times New Roman"/>
      </w:rPr>
      <w:t>OMB Clearance – Round 19 NLSY97</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41DC"/>
    <w:multiLevelType w:val="hybridMultilevel"/>
    <w:tmpl w:val="77E06EAE"/>
    <w:lvl w:ilvl="0" w:tplc="F44228A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D52AC"/>
    <w:multiLevelType w:val="hybridMultilevel"/>
    <w:tmpl w:val="F60AAA18"/>
    <w:lvl w:ilvl="0" w:tplc="C608C3B2">
      <w:start w:val="1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27D62"/>
    <w:multiLevelType w:val="hybridMultilevel"/>
    <w:tmpl w:val="ACFE2B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E05852"/>
    <w:multiLevelType w:val="multilevel"/>
    <w:tmpl w:val="C3762A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7D70310"/>
    <w:multiLevelType w:val="hybridMultilevel"/>
    <w:tmpl w:val="8BD60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66C2C"/>
    <w:multiLevelType w:val="multilevel"/>
    <w:tmpl w:val="9B46725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526A68A2"/>
    <w:multiLevelType w:val="hybridMultilevel"/>
    <w:tmpl w:val="9CA8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28542C"/>
    <w:multiLevelType w:val="hybridMultilevel"/>
    <w:tmpl w:val="D490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5B57DB"/>
    <w:multiLevelType w:val="multilevel"/>
    <w:tmpl w:val="DBC82B84"/>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
    <w:nsid w:val="774022C0"/>
    <w:multiLevelType w:val="hybridMultilevel"/>
    <w:tmpl w:val="33CCA61E"/>
    <w:lvl w:ilvl="0" w:tplc="5B88C52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FBB7D3C"/>
    <w:multiLevelType w:val="hybridMultilevel"/>
    <w:tmpl w:val="A45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7"/>
  </w:num>
  <w:num w:numId="5">
    <w:abstractNumId w:val="5"/>
  </w:num>
  <w:num w:numId="6">
    <w:abstractNumId w:val="8"/>
  </w:num>
  <w:num w:numId="7">
    <w:abstractNumId w:val="0"/>
  </w:num>
  <w:num w:numId="8">
    <w:abstractNumId w:val="1"/>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B2F"/>
    <w:rsid w:val="00000D54"/>
    <w:rsid w:val="000129DE"/>
    <w:rsid w:val="00034B1F"/>
    <w:rsid w:val="000369A9"/>
    <w:rsid w:val="000A4CBD"/>
    <w:rsid w:val="000A6706"/>
    <w:rsid w:val="000E501E"/>
    <w:rsid w:val="0010539F"/>
    <w:rsid w:val="001119BD"/>
    <w:rsid w:val="00113D8E"/>
    <w:rsid w:val="00117B46"/>
    <w:rsid w:val="00153661"/>
    <w:rsid w:val="001A3038"/>
    <w:rsid w:val="001B16CE"/>
    <w:rsid w:val="001C53B9"/>
    <w:rsid w:val="00252DE6"/>
    <w:rsid w:val="00272964"/>
    <w:rsid w:val="0027594B"/>
    <w:rsid w:val="002A3899"/>
    <w:rsid w:val="002D22A8"/>
    <w:rsid w:val="002F64DA"/>
    <w:rsid w:val="003567B4"/>
    <w:rsid w:val="003B322C"/>
    <w:rsid w:val="003C282B"/>
    <w:rsid w:val="004157E3"/>
    <w:rsid w:val="0043404A"/>
    <w:rsid w:val="004615EC"/>
    <w:rsid w:val="00463FE3"/>
    <w:rsid w:val="00481E9E"/>
    <w:rsid w:val="00495138"/>
    <w:rsid w:val="004A66B0"/>
    <w:rsid w:val="004B118F"/>
    <w:rsid w:val="004B66C9"/>
    <w:rsid w:val="004E4AF8"/>
    <w:rsid w:val="005430B8"/>
    <w:rsid w:val="00550417"/>
    <w:rsid w:val="00580993"/>
    <w:rsid w:val="005B54B1"/>
    <w:rsid w:val="005C1958"/>
    <w:rsid w:val="00614088"/>
    <w:rsid w:val="00630DB7"/>
    <w:rsid w:val="00634B2F"/>
    <w:rsid w:val="00664405"/>
    <w:rsid w:val="00686DA9"/>
    <w:rsid w:val="00691436"/>
    <w:rsid w:val="006C35C7"/>
    <w:rsid w:val="006D5458"/>
    <w:rsid w:val="006E3160"/>
    <w:rsid w:val="006F4B83"/>
    <w:rsid w:val="006F7961"/>
    <w:rsid w:val="00720205"/>
    <w:rsid w:val="00733569"/>
    <w:rsid w:val="00765697"/>
    <w:rsid w:val="007A2822"/>
    <w:rsid w:val="007A5070"/>
    <w:rsid w:val="007D2EFD"/>
    <w:rsid w:val="007F3DBE"/>
    <w:rsid w:val="00802E25"/>
    <w:rsid w:val="00825657"/>
    <w:rsid w:val="008370C1"/>
    <w:rsid w:val="00867452"/>
    <w:rsid w:val="00896408"/>
    <w:rsid w:val="008A0680"/>
    <w:rsid w:val="008A3A15"/>
    <w:rsid w:val="008D0CDC"/>
    <w:rsid w:val="008D2949"/>
    <w:rsid w:val="008E2664"/>
    <w:rsid w:val="008F4E12"/>
    <w:rsid w:val="009077F4"/>
    <w:rsid w:val="00925AD6"/>
    <w:rsid w:val="009422AA"/>
    <w:rsid w:val="009755BA"/>
    <w:rsid w:val="00985853"/>
    <w:rsid w:val="00994F79"/>
    <w:rsid w:val="009B055E"/>
    <w:rsid w:val="009C181E"/>
    <w:rsid w:val="00A23C62"/>
    <w:rsid w:val="00A32E80"/>
    <w:rsid w:val="00A32EC8"/>
    <w:rsid w:val="00A6211C"/>
    <w:rsid w:val="00A64B06"/>
    <w:rsid w:val="00A771AC"/>
    <w:rsid w:val="00A91625"/>
    <w:rsid w:val="00AA74D6"/>
    <w:rsid w:val="00AA7DCF"/>
    <w:rsid w:val="00AB2B73"/>
    <w:rsid w:val="00AF4747"/>
    <w:rsid w:val="00B113F4"/>
    <w:rsid w:val="00B141E7"/>
    <w:rsid w:val="00B15C73"/>
    <w:rsid w:val="00B20B5B"/>
    <w:rsid w:val="00B25B62"/>
    <w:rsid w:val="00B445B9"/>
    <w:rsid w:val="00B51968"/>
    <w:rsid w:val="00B917D5"/>
    <w:rsid w:val="00BA0C41"/>
    <w:rsid w:val="00BD719B"/>
    <w:rsid w:val="00C12254"/>
    <w:rsid w:val="00C20848"/>
    <w:rsid w:val="00C3265E"/>
    <w:rsid w:val="00C5666B"/>
    <w:rsid w:val="00C744CF"/>
    <w:rsid w:val="00CC702D"/>
    <w:rsid w:val="00D24F39"/>
    <w:rsid w:val="00D53019"/>
    <w:rsid w:val="00D72A8D"/>
    <w:rsid w:val="00DD1767"/>
    <w:rsid w:val="00DD4475"/>
    <w:rsid w:val="00DE7197"/>
    <w:rsid w:val="00DF5471"/>
    <w:rsid w:val="00E04937"/>
    <w:rsid w:val="00E24989"/>
    <w:rsid w:val="00E27CE3"/>
    <w:rsid w:val="00E356A3"/>
    <w:rsid w:val="00E550F7"/>
    <w:rsid w:val="00EC5563"/>
    <w:rsid w:val="00EF4354"/>
    <w:rsid w:val="00F15AB0"/>
    <w:rsid w:val="00F536C7"/>
    <w:rsid w:val="00F6122C"/>
    <w:rsid w:val="00F62AE7"/>
    <w:rsid w:val="00FB39B3"/>
    <w:rsid w:val="00FC4F80"/>
    <w:rsid w:val="00FE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2F"/>
  </w:style>
  <w:style w:type="paragraph" w:styleId="Heading1">
    <w:name w:val="heading 1"/>
    <w:basedOn w:val="Normal"/>
    <w:next w:val="Normal"/>
    <w:link w:val="Heading1Char"/>
    <w:uiPriority w:val="9"/>
    <w:qFormat/>
    <w:rsid w:val="008A0680"/>
    <w:pPr>
      <w:keepNext/>
      <w:spacing w:before="240" w:after="60" w:line="240" w:lineRule="auto"/>
      <w:jc w:val="center"/>
      <w:outlineLvl w:val="0"/>
    </w:pPr>
    <w:rPr>
      <w:rFonts w:ascii="Times New Roman" w:eastAsia="Times New Roman" w:hAnsi="Times New Roman" w:cs="Times New Roman"/>
      <w:b/>
      <w:small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B2F"/>
    <w:pPr>
      <w:ind w:left="720"/>
      <w:contextualSpacing/>
    </w:pPr>
  </w:style>
  <w:style w:type="character" w:styleId="CommentReference">
    <w:name w:val="annotation reference"/>
    <w:basedOn w:val="DefaultParagraphFont"/>
    <w:uiPriority w:val="99"/>
    <w:semiHidden/>
    <w:unhideWhenUsed/>
    <w:rsid w:val="00634B2F"/>
    <w:rPr>
      <w:sz w:val="16"/>
      <w:szCs w:val="16"/>
    </w:rPr>
  </w:style>
  <w:style w:type="paragraph" w:styleId="CommentText">
    <w:name w:val="annotation text"/>
    <w:basedOn w:val="Normal"/>
    <w:link w:val="CommentTextChar"/>
    <w:uiPriority w:val="99"/>
    <w:semiHidden/>
    <w:unhideWhenUsed/>
    <w:rsid w:val="00634B2F"/>
    <w:pPr>
      <w:spacing w:line="240" w:lineRule="auto"/>
    </w:pPr>
    <w:rPr>
      <w:sz w:val="20"/>
      <w:szCs w:val="20"/>
    </w:rPr>
  </w:style>
  <w:style w:type="character" w:customStyle="1" w:styleId="CommentTextChar">
    <w:name w:val="Comment Text Char"/>
    <w:basedOn w:val="DefaultParagraphFont"/>
    <w:link w:val="CommentText"/>
    <w:uiPriority w:val="99"/>
    <w:semiHidden/>
    <w:rsid w:val="00634B2F"/>
    <w:rPr>
      <w:sz w:val="20"/>
      <w:szCs w:val="20"/>
    </w:rPr>
  </w:style>
  <w:style w:type="paragraph" w:styleId="BalloonText">
    <w:name w:val="Balloon Text"/>
    <w:basedOn w:val="Normal"/>
    <w:link w:val="BalloonTextChar"/>
    <w:uiPriority w:val="99"/>
    <w:semiHidden/>
    <w:unhideWhenUsed/>
    <w:rsid w:val="00634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B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7452"/>
    <w:rPr>
      <w:b/>
      <w:bCs/>
    </w:rPr>
  </w:style>
  <w:style w:type="character" w:customStyle="1" w:styleId="CommentSubjectChar">
    <w:name w:val="Comment Subject Char"/>
    <w:basedOn w:val="CommentTextChar"/>
    <w:link w:val="CommentSubject"/>
    <w:uiPriority w:val="99"/>
    <w:semiHidden/>
    <w:rsid w:val="00867452"/>
    <w:rPr>
      <w:b/>
      <w:bCs/>
      <w:sz w:val="20"/>
      <w:szCs w:val="20"/>
    </w:rPr>
  </w:style>
  <w:style w:type="table" w:styleId="TableGrid">
    <w:name w:val="Table Grid"/>
    <w:basedOn w:val="TableNormal"/>
    <w:uiPriority w:val="39"/>
    <w:rsid w:val="00F53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3C62"/>
    <w:pPr>
      <w:spacing w:after="0" w:line="240" w:lineRule="auto"/>
    </w:pPr>
  </w:style>
  <w:style w:type="paragraph" w:styleId="Header">
    <w:name w:val="header"/>
    <w:basedOn w:val="Normal"/>
    <w:link w:val="HeaderChar"/>
    <w:uiPriority w:val="99"/>
    <w:unhideWhenUsed/>
    <w:rsid w:val="00A3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EC8"/>
  </w:style>
  <w:style w:type="paragraph" w:styleId="Footer">
    <w:name w:val="footer"/>
    <w:basedOn w:val="Normal"/>
    <w:link w:val="FooterChar"/>
    <w:uiPriority w:val="99"/>
    <w:unhideWhenUsed/>
    <w:rsid w:val="00A3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EC8"/>
  </w:style>
  <w:style w:type="character" w:customStyle="1" w:styleId="Heading1Char">
    <w:name w:val="Heading 1 Char"/>
    <w:basedOn w:val="DefaultParagraphFont"/>
    <w:link w:val="Heading1"/>
    <w:uiPriority w:val="9"/>
    <w:rsid w:val="008A0680"/>
    <w:rPr>
      <w:rFonts w:ascii="Times New Roman" w:eastAsia="Times New Roman" w:hAnsi="Times New Roman" w:cs="Times New Roman"/>
      <w:b/>
      <w:smallCaps/>
      <w:kern w:val="28"/>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2F"/>
  </w:style>
  <w:style w:type="paragraph" w:styleId="Heading1">
    <w:name w:val="heading 1"/>
    <w:basedOn w:val="Normal"/>
    <w:next w:val="Normal"/>
    <w:link w:val="Heading1Char"/>
    <w:uiPriority w:val="9"/>
    <w:qFormat/>
    <w:rsid w:val="008A0680"/>
    <w:pPr>
      <w:keepNext/>
      <w:spacing w:before="240" w:after="60" w:line="240" w:lineRule="auto"/>
      <w:jc w:val="center"/>
      <w:outlineLvl w:val="0"/>
    </w:pPr>
    <w:rPr>
      <w:rFonts w:ascii="Times New Roman" w:eastAsia="Times New Roman" w:hAnsi="Times New Roman" w:cs="Times New Roman"/>
      <w:b/>
      <w:small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B2F"/>
    <w:pPr>
      <w:ind w:left="720"/>
      <w:contextualSpacing/>
    </w:pPr>
  </w:style>
  <w:style w:type="character" w:styleId="CommentReference">
    <w:name w:val="annotation reference"/>
    <w:basedOn w:val="DefaultParagraphFont"/>
    <w:uiPriority w:val="99"/>
    <w:semiHidden/>
    <w:unhideWhenUsed/>
    <w:rsid w:val="00634B2F"/>
    <w:rPr>
      <w:sz w:val="16"/>
      <w:szCs w:val="16"/>
    </w:rPr>
  </w:style>
  <w:style w:type="paragraph" w:styleId="CommentText">
    <w:name w:val="annotation text"/>
    <w:basedOn w:val="Normal"/>
    <w:link w:val="CommentTextChar"/>
    <w:uiPriority w:val="99"/>
    <w:semiHidden/>
    <w:unhideWhenUsed/>
    <w:rsid w:val="00634B2F"/>
    <w:pPr>
      <w:spacing w:line="240" w:lineRule="auto"/>
    </w:pPr>
    <w:rPr>
      <w:sz w:val="20"/>
      <w:szCs w:val="20"/>
    </w:rPr>
  </w:style>
  <w:style w:type="character" w:customStyle="1" w:styleId="CommentTextChar">
    <w:name w:val="Comment Text Char"/>
    <w:basedOn w:val="DefaultParagraphFont"/>
    <w:link w:val="CommentText"/>
    <w:uiPriority w:val="99"/>
    <w:semiHidden/>
    <w:rsid w:val="00634B2F"/>
    <w:rPr>
      <w:sz w:val="20"/>
      <w:szCs w:val="20"/>
    </w:rPr>
  </w:style>
  <w:style w:type="paragraph" w:styleId="BalloonText">
    <w:name w:val="Balloon Text"/>
    <w:basedOn w:val="Normal"/>
    <w:link w:val="BalloonTextChar"/>
    <w:uiPriority w:val="99"/>
    <w:semiHidden/>
    <w:unhideWhenUsed/>
    <w:rsid w:val="00634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B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7452"/>
    <w:rPr>
      <w:b/>
      <w:bCs/>
    </w:rPr>
  </w:style>
  <w:style w:type="character" w:customStyle="1" w:styleId="CommentSubjectChar">
    <w:name w:val="Comment Subject Char"/>
    <w:basedOn w:val="CommentTextChar"/>
    <w:link w:val="CommentSubject"/>
    <w:uiPriority w:val="99"/>
    <w:semiHidden/>
    <w:rsid w:val="00867452"/>
    <w:rPr>
      <w:b/>
      <w:bCs/>
      <w:sz w:val="20"/>
      <w:szCs w:val="20"/>
    </w:rPr>
  </w:style>
  <w:style w:type="table" w:styleId="TableGrid">
    <w:name w:val="Table Grid"/>
    <w:basedOn w:val="TableNormal"/>
    <w:uiPriority w:val="39"/>
    <w:rsid w:val="00F53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3C62"/>
    <w:pPr>
      <w:spacing w:after="0" w:line="240" w:lineRule="auto"/>
    </w:pPr>
  </w:style>
  <w:style w:type="paragraph" w:styleId="Header">
    <w:name w:val="header"/>
    <w:basedOn w:val="Normal"/>
    <w:link w:val="HeaderChar"/>
    <w:uiPriority w:val="99"/>
    <w:unhideWhenUsed/>
    <w:rsid w:val="00A3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EC8"/>
  </w:style>
  <w:style w:type="paragraph" w:styleId="Footer">
    <w:name w:val="footer"/>
    <w:basedOn w:val="Normal"/>
    <w:link w:val="FooterChar"/>
    <w:uiPriority w:val="99"/>
    <w:unhideWhenUsed/>
    <w:rsid w:val="00A3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EC8"/>
  </w:style>
  <w:style w:type="character" w:customStyle="1" w:styleId="Heading1Char">
    <w:name w:val="Heading 1 Char"/>
    <w:basedOn w:val="DefaultParagraphFont"/>
    <w:link w:val="Heading1"/>
    <w:uiPriority w:val="9"/>
    <w:rsid w:val="008A0680"/>
    <w:rPr>
      <w:rFonts w:ascii="Times New Roman" w:eastAsia="Times New Roman" w:hAnsi="Times New Roman" w:cs="Times New Roman"/>
      <w:b/>
      <w:smallCaps/>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27102">
      <w:bodyDiv w:val="1"/>
      <w:marLeft w:val="0"/>
      <w:marRight w:val="0"/>
      <w:marTop w:val="0"/>
      <w:marBottom w:val="0"/>
      <w:divBdr>
        <w:top w:val="none" w:sz="0" w:space="0" w:color="auto"/>
        <w:left w:val="none" w:sz="0" w:space="0" w:color="auto"/>
        <w:bottom w:val="none" w:sz="0" w:space="0" w:color="auto"/>
        <w:right w:val="none" w:sz="0" w:space="0" w:color="auto"/>
      </w:divBdr>
    </w:div>
    <w:div w:id="471871881">
      <w:bodyDiv w:val="1"/>
      <w:marLeft w:val="0"/>
      <w:marRight w:val="0"/>
      <w:marTop w:val="0"/>
      <w:marBottom w:val="0"/>
      <w:divBdr>
        <w:top w:val="none" w:sz="0" w:space="0" w:color="auto"/>
        <w:left w:val="none" w:sz="0" w:space="0" w:color="auto"/>
        <w:bottom w:val="none" w:sz="0" w:space="0" w:color="auto"/>
        <w:right w:val="none" w:sz="0" w:space="0" w:color="auto"/>
      </w:divBdr>
    </w:div>
    <w:div w:id="888537360">
      <w:bodyDiv w:val="1"/>
      <w:marLeft w:val="0"/>
      <w:marRight w:val="0"/>
      <w:marTop w:val="0"/>
      <w:marBottom w:val="0"/>
      <w:divBdr>
        <w:top w:val="none" w:sz="0" w:space="0" w:color="auto"/>
        <w:left w:val="none" w:sz="0" w:space="0" w:color="auto"/>
        <w:bottom w:val="none" w:sz="0" w:space="0" w:color="auto"/>
        <w:right w:val="none" w:sz="0" w:space="0" w:color="auto"/>
      </w:divBdr>
    </w:div>
    <w:div w:id="1022514237">
      <w:bodyDiv w:val="1"/>
      <w:marLeft w:val="0"/>
      <w:marRight w:val="0"/>
      <w:marTop w:val="0"/>
      <w:marBottom w:val="0"/>
      <w:divBdr>
        <w:top w:val="none" w:sz="0" w:space="0" w:color="auto"/>
        <w:left w:val="none" w:sz="0" w:space="0" w:color="auto"/>
        <w:bottom w:val="none" w:sz="0" w:space="0" w:color="auto"/>
        <w:right w:val="none" w:sz="0" w:space="0" w:color="auto"/>
      </w:divBdr>
    </w:div>
    <w:div w:id="1259824787">
      <w:bodyDiv w:val="1"/>
      <w:marLeft w:val="0"/>
      <w:marRight w:val="0"/>
      <w:marTop w:val="0"/>
      <w:marBottom w:val="0"/>
      <w:divBdr>
        <w:top w:val="none" w:sz="0" w:space="0" w:color="auto"/>
        <w:left w:val="none" w:sz="0" w:space="0" w:color="auto"/>
        <w:bottom w:val="none" w:sz="0" w:space="0" w:color="auto"/>
        <w:right w:val="none" w:sz="0" w:space="0" w:color="auto"/>
      </w:divBdr>
    </w:div>
    <w:div w:id="1478572503">
      <w:bodyDiv w:val="1"/>
      <w:marLeft w:val="0"/>
      <w:marRight w:val="0"/>
      <w:marTop w:val="0"/>
      <w:marBottom w:val="0"/>
      <w:divBdr>
        <w:top w:val="none" w:sz="0" w:space="0" w:color="auto"/>
        <w:left w:val="none" w:sz="0" w:space="0" w:color="auto"/>
        <w:bottom w:val="none" w:sz="0" w:space="0" w:color="auto"/>
        <w:right w:val="none" w:sz="0" w:space="0" w:color="auto"/>
      </w:divBdr>
    </w:div>
    <w:div w:id="1483690005">
      <w:bodyDiv w:val="1"/>
      <w:marLeft w:val="0"/>
      <w:marRight w:val="0"/>
      <w:marTop w:val="0"/>
      <w:marBottom w:val="0"/>
      <w:divBdr>
        <w:top w:val="none" w:sz="0" w:space="0" w:color="auto"/>
        <w:left w:val="none" w:sz="0" w:space="0" w:color="auto"/>
        <w:bottom w:val="none" w:sz="0" w:space="0" w:color="auto"/>
        <w:right w:val="none" w:sz="0" w:space="0" w:color="auto"/>
      </w:divBdr>
    </w:div>
    <w:div w:id="1492022271">
      <w:bodyDiv w:val="1"/>
      <w:marLeft w:val="0"/>
      <w:marRight w:val="0"/>
      <w:marTop w:val="0"/>
      <w:marBottom w:val="0"/>
      <w:divBdr>
        <w:top w:val="none" w:sz="0" w:space="0" w:color="auto"/>
        <w:left w:val="none" w:sz="0" w:space="0" w:color="auto"/>
        <w:bottom w:val="none" w:sz="0" w:space="0" w:color="auto"/>
        <w:right w:val="none" w:sz="0" w:space="0" w:color="auto"/>
      </w:divBdr>
    </w:div>
    <w:div w:id="19453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1290-860E-4395-86A4-A23FA871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Brummet</dc:creator>
  <cp:keywords/>
  <dc:description/>
  <cp:lastModifiedBy>SYSTEM</cp:lastModifiedBy>
  <cp:revision>2</cp:revision>
  <dcterms:created xsi:type="dcterms:W3CDTF">2019-03-25T15:38:00Z</dcterms:created>
  <dcterms:modified xsi:type="dcterms:W3CDTF">2019-03-25T15:38:00Z</dcterms:modified>
</cp:coreProperties>
</file>