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70" w:rsidRPr="00493870" w:rsidRDefault="00493870" w:rsidP="00493870">
      <w:pPr>
        <w:spacing w:after="75" w:line="240" w:lineRule="auto"/>
        <w:ind w:left="150"/>
        <w:outlineLvl w:val="0"/>
        <w:rPr>
          <w:rFonts w:ascii="Tahoma" w:eastAsia="Times New Roman" w:hAnsi="Tahoma" w:cs="Tahoma"/>
          <w:b/>
          <w:bCs/>
          <w:color w:val="003399"/>
          <w:kern w:val="36"/>
          <w:sz w:val="34"/>
          <w:szCs w:val="34"/>
        </w:rPr>
      </w:pPr>
      <w:bookmarkStart w:id="0" w:name="_GoBack"/>
      <w:bookmarkEnd w:id="0"/>
      <w:r w:rsidRPr="00493870">
        <w:rPr>
          <w:rFonts w:ascii="Tahoma" w:eastAsia="Times New Roman" w:hAnsi="Tahoma" w:cs="Tahoma"/>
          <w:b/>
          <w:bCs/>
          <w:color w:val="003399"/>
          <w:kern w:val="36"/>
          <w:sz w:val="34"/>
          <w:szCs w:val="34"/>
        </w:rPr>
        <w:t>Privacy Act Systems - DOL/OWCP-3</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DOL/OWCP-3</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SYSTEM NAME:</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Office of Workers' Compensation Programs, Longshore and Harbor Workers' Compensation Act Case Files.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SECURITY CLASSIFICATION:</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None.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SYSTEM LOCATION:</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Division of Longshore and Harbor Workers' Compensation, Office of Workers' Compensation Programs, Washington, DC 20210, and district offices of the Office of Workers' Compensation Programs set forth in the Appendix to this document.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CATEGORIES OF INDIVIDUALS COVERED BY THE SYSTEM:</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Employees injured or killed while working in private industry who are covered by the provisions of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(LHWCA).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CATEGORIES OF RECORDS IN THE SYSTEM:</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This system may contain the following kinds of records: reports of injury by the employee and/or employer; claim forms filed by or on behalf of injured employees covered under the LHWCA or their survivors seeking benefits under the LHWCA; forms authorizing medical care and treatment; other medical records and reports; bills and other payments records; compensation payments records (including section 8(f) payment records); section 8(f) applications filed by the employer; compensation orders for or against the payment of benefits; transcripts of hearings and depositions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emails; information relating to vocational and/or medical rehabilitation plans and progress reports including communication with rehabilitation counselors, potential employers, physicians and others who have been contacted as part of the rehabilitation process, notes created by the rehabilitation specialist and the rehabilitation counselor concerning the rehabilitation process, vocational testing, and other records pertaining to the vocational rehabilitation process; records relating to court proceedings,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AUTHORITY FOR MAINTENANCE OF THE SYSTEM:</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33 U.S.C. 901 et seq. (20 CFR parts 701 et seq.); 36 DC Code 501 et seq.; 42 U.S.C. 1651 et seq.; 43 U.S.C. 1331 et seq.; 5 U.S.C. 8171 et seq.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 xml:space="preserve">PURPOSE(S):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lastRenderedPageBreak/>
        <w:t xml:space="preserve">To maintain records on the actions of insurance carriers, employers, and injured workers with respect to injuries reported under the Longshore and Harbor Workers' Compensation Act and related Acts, to ensure that eligible claimants receive appropriate benefits as provided by the Act.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ROUTINE USES OF RECORDS MAINTAINED IN THE SYSTEM, INCLUDING CATEGORIES OF USERS AND THE PURPOSES OF SUCH USES:</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a. 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b. Doctors, pharmacies, and other health care providers for the purpose of treating the claimant, conducting medical examinations, physical rehabilitation or other services or obtaining medical evaluations.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c. Public or private rehabilitation agencies to which the injured worker has been referred for vocational rehabilitation services so that they may properly evaluate the injured worker's experience, physical limitations and future employment capabilities.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e. Labor unions and other voluntary associations from which the claimant has requested assistance in connection with the processing of the LHWCA claim.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f. Attorneys or other persons authorized to represent the interests of the LHWCA claimant in connection with a claim for benefits under the LHWCA, and/or a LHWCA beneficiary in connection with a claim for damages filed against a third party.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g. Internal Revenue Service for the purpose of obtaining taxpayer mailing addresses in order to locate a taxpayer to collect, compromise, or write-off a Federal claim against such taxpayer; discharging an indebtedness owed by an individual. </w:t>
      </w:r>
    </w:p>
    <w:p w:rsidR="00493870" w:rsidRPr="00493870" w:rsidRDefault="00493870" w:rsidP="00493870">
      <w:pPr>
        <w:spacing w:before="100" w:beforeAutospacing="1" w:after="75" w:line="240" w:lineRule="auto"/>
        <w:ind w:left="225"/>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h. Trust funds that have demonstrated to the OWCP a right to a lien under 33 U.S.C. 917, for the purpose of permitting the trust funds to identify potential entitlement to payments upon which the trust funds may execute the lien.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Note:</w:t>
      </w:r>
      <w:r w:rsidRPr="00493870">
        <w:rPr>
          <w:rFonts w:ascii="Tahoma" w:eastAsia="Times New Roman" w:hAnsi="Tahoma" w:cs="Tahoma"/>
          <w:color w:val="000000"/>
          <w:sz w:val="19"/>
          <w:szCs w:val="19"/>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lastRenderedPageBreak/>
        <w:t>Note:</w:t>
      </w:r>
      <w:r w:rsidRPr="00493870">
        <w:rPr>
          <w:rFonts w:ascii="Tahoma" w:eastAsia="Times New Roman" w:hAnsi="Tahoma" w:cs="Tahoma"/>
          <w:color w:val="000000"/>
          <w:sz w:val="19"/>
          <w:szCs w:val="19"/>
        </w:rPr>
        <w:t xml:space="preserve"> Pursuant to 5 U.S.C.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DISCLOSURE TO CONSUMER REPORTING AGENCIES:</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None.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POLICIES AND PRACTICES FOR STORING, RETRIEVING, ACCESSING, RETAINING, AND DISPOSING OF RECORDS IN THE SYSTEM:</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STORAGE:</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Files are stored electronically and/or on paper.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RETRIEVABILITY:</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Files are retrieved after identification by coded file number, which is cross-referenced to injured worker by name.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SAFEGUARDS:</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Access by authorized personnel only. Computer security safeguards are used for electronically stored data and locked locations for paper files.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RETENTION AND DISPOSAL:</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The length of time that records are retained varies by type of case. Lost-time disability cases are retained for 20 years after the case is closed. Other cases where the last possible beneficiary has died are retained for 6 years and 3 months after the death of such beneficiary. "No Lost Time" cases are retained for three years after the end of the fiscal year during which the related report was received.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SYSTEM MANAGER(S) AND ADDRESS:</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Director for Longshore and Harbor Workers' Compensation, U.S. Department of Labor, 200 Constitution Avenue, NW, Washington, DC 20210; and District Directors at the district offices set forth in the Appendix.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NOTIFICATION PROCEDURE:</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Inquiries should be mailed to the System Manager or submitted in such other manner as directed by OWCP.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RECORD ACCESS PROCEDURES:</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A request for access should be mailed to the System Manager or submitted in such other manner as directed by OWCP.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CONTESTING RECORD PROCEDURE:</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A petition for amendment should be mailed to the System Manager or submitted in such other manner as directed by OWCP.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RECORD SOURCE CATEGORIES:</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Information contained in this system is obtained from injured employees, their qualified dependents, employers, insurance carriers, physicians, medical facilities, educational institutions, attorneys, and State, Federal, and private vocational rehabilitation agencies.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b/>
          <w:bCs/>
          <w:color w:val="000000"/>
          <w:sz w:val="19"/>
          <w:szCs w:val="19"/>
        </w:rPr>
        <w:t>SYSTEM EXEMPTED FROM CERTAIN PROVISIONS OF THE ACT:</w:t>
      </w:r>
      <w:r w:rsidRPr="00493870">
        <w:rPr>
          <w:rFonts w:ascii="Tahoma" w:eastAsia="Times New Roman" w:hAnsi="Tahoma" w:cs="Tahoma"/>
          <w:color w:val="000000"/>
          <w:sz w:val="19"/>
          <w:szCs w:val="19"/>
        </w:rPr>
        <w:t xml:space="preserve"> </w:t>
      </w:r>
    </w:p>
    <w:p w:rsidR="00493870" w:rsidRPr="00493870" w:rsidRDefault="00493870" w:rsidP="00493870">
      <w:pPr>
        <w:spacing w:before="100" w:beforeAutospacing="1" w:after="75" w:line="240" w:lineRule="auto"/>
        <w:ind w:left="150"/>
        <w:rPr>
          <w:rFonts w:ascii="Tahoma" w:eastAsia="Times New Roman" w:hAnsi="Tahoma" w:cs="Tahoma"/>
          <w:color w:val="000000"/>
          <w:sz w:val="19"/>
          <w:szCs w:val="19"/>
        </w:rPr>
      </w:pPr>
      <w:r w:rsidRPr="00493870">
        <w:rPr>
          <w:rFonts w:ascii="Tahoma" w:eastAsia="Times New Roman" w:hAnsi="Tahoma" w:cs="Tahoma"/>
          <w:color w:val="000000"/>
          <w:sz w:val="19"/>
          <w:szCs w:val="19"/>
        </w:rPr>
        <w:t xml:space="preserve">None. </w:t>
      </w:r>
    </w:p>
    <w:p w:rsidR="00FC605B" w:rsidRDefault="000473AC"/>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70"/>
    <w:rsid w:val="000473AC"/>
    <w:rsid w:val="0010357C"/>
    <w:rsid w:val="00174088"/>
    <w:rsid w:val="0049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2019-03-01T16:23:00Z</dcterms:created>
  <dcterms:modified xsi:type="dcterms:W3CDTF">2019-03-01T16:23:00Z</dcterms:modified>
</cp:coreProperties>
</file>