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E8BB2" w14:textId="77777777" w:rsidR="00151C81" w:rsidRDefault="00151C81" w:rsidP="00396A5A">
      <w:pPr>
        <w:spacing w:after="0" w:line="240" w:lineRule="auto"/>
        <w:rPr>
          <w:rFonts w:ascii="Times New Roman" w:hAnsi="Times New Roman" w:cs="Times New Roman"/>
        </w:rPr>
      </w:pPr>
      <w:bookmarkStart w:id="0" w:name="_GoBack"/>
      <w:bookmarkEnd w:id="0"/>
    </w:p>
    <w:p w14:paraId="68C0143C" w14:textId="2C376776" w:rsidR="00396A5A" w:rsidRPr="00E7505C" w:rsidRDefault="00151C81" w:rsidP="00E7505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OMB Supporting Statement </w:t>
      </w:r>
      <w:r w:rsidR="003546B7" w:rsidRPr="00E7505C">
        <w:rPr>
          <w:rFonts w:ascii="Times New Roman" w:eastAsia="Times New Roman" w:hAnsi="Times New Roman" w:cs="Times New Roman"/>
          <w:b/>
        </w:rPr>
        <w:t>Part A: Justification</w:t>
      </w:r>
    </w:p>
    <w:p w14:paraId="1D90F1CC" w14:textId="77777777" w:rsidR="00351372" w:rsidRPr="00446CE5" w:rsidRDefault="00351372" w:rsidP="00351372">
      <w:pPr>
        <w:widowControl w:val="0"/>
        <w:tabs>
          <w:tab w:val="right" w:pos="360"/>
        </w:tabs>
        <w:autoSpaceDE w:val="0"/>
        <w:autoSpaceDN w:val="0"/>
        <w:adjustRightInd w:val="0"/>
        <w:spacing w:after="0" w:line="240" w:lineRule="auto"/>
        <w:ind w:left="720"/>
        <w:rPr>
          <w:rFonts w:ascii="Times New Roman" w:eastAsia="Times New Roman" w:hAnsi="Times New Roman" w:cs="Times New Roman"/>
          <w:i/>
        </w:rPr>
      </w:pPr>
    </w:p>
    <w:p w14:paraId="52DBBC51" w14:textId="41C460E7" w:rsidR="006403E5" w:rsidRPr="00446CE5" w:rsidRDefault="006403E5" w:rsidP="006403E5">
      <w:pPr>
        <w:widowControl w:val="0"/>
        <w:tabs>
          <w:tab w:val="right" w:pos="360"/>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b/>
        </w:rPr>
        <w:t xml:space="preserve">A.1. </w:t>
      </w:r>
      <w:r w:rsidRPr="00446CE5">
        <w:rPr>
          <w:rFonts w:ascii="Times New Roman" w:eastAsia="Times New Roman" w:hAnsi="Times New Roman" w:cs="Times New Roman"/>
          <w:b/>
        </w:rPr>
        <w:t>Circumstances Necessitating the Information Collection</w:t>
      </w:r>
    </w:p>
    <w:p w14:paraId="79D78BD5" w14:textId="77777777" w:rsidR="00151C81" w:rsidRPr="00446CE5" w:rsidRDefault="00151C81" w:rsidP="00151C81">
      <w:pPr>
        <w:rPr>
          <w:rFonts w:ascii="Times New Roman" w:hAnsi="Times New Roman" w:cs="Times New Roman"/>
        </w:rPr>
      </w:pPr>
      <w:r w:rsidRPr="00446CE5">
        <w:rPr>
          <w:rFonts w:ascii="Times New Roman" w:hAnsi="Times New Roman" w:cs="Times New Roman"/>
        </w:rPr>
        <w:t xml:space="preserve">The Employment and Training Administration (ETA) in collaboration with the Chief Evaluation Office (CEO) of the U.S. Department of Labor (DOL) is undertaking the Evaluation of the American Apprenticeship Initiative (hereafter, the AAI evaluation) and is seeking approval from OMB under the Paperwork Reduction Act for </w:t>
      </w:r>
      <w:r w:rsidRPr="0045217E">
        <w:rPr>
          <w:rFonts w:ascii="Times New Roman" w:hAnsi="Times New Roman" w:cs="Times New Roman"/>
        </w:rPr>
        <w:t>new data collection</w:t>
      </w:r>
      <w:r w:rsidRPr="00446CE5">
        <w:rPr>
          <w:rFonts w:ascii="Times New Roman" w:hAnsi="Times New Roman" w:cs="Times New Roman"/>
        </w:rPr>
        <w:t xml:space="preserve"> instruments associated with the evaluation.  The new data collection instruments included in this request are</w:t>
      </w:r>
      <w:r>
        <w:rPr>
          <w:rFonts w:ascii="Times New Roman" w:hAnsi="Times New Roman" w:cs="Times New Roman"/>
        </w:rPr>
        <w:t xml:space="preserve"> the AAI evaluation’s</w:t>
      </w:r>
      <w:r w:rsidRPr="00446CE5">
        <w:rPr>
          <w:rFonts w:ascii="Times New Roman" w:hAnsi="Times New Roman" w:cs="Times New Roman"/>
        </w:rPr>
        <w:t xml:space="preserve"> Employer and </w:t>
      </w:r>
      <w:r>
        <w:rPr>
          <w:rFonts w:ascii="Times New Roman" w:hAnsi="Times New Roman" w:cs="Times New Roman"/>
        </w:rPr>
        <w:t>Participant</w:t>
      </w:r>
      <w:r w:rsidRPr="00446CE5">
        <w:rPr>
          <w:rFonts w:ascii="Times New Roman" w:hAnsi="Times New Roman" w:cs="Times New Roman"/>
        </w:rPr>
        <w:t xml:space="preserve"> Surveys. </w:t>
      </w:r>
    </w:p>
    <w:p w14:paraId="7053BE79" w14:textId="3DA6A9B2" w:rsidR="00351372" w:rsidRPr="00446CE5" w:rsidRDefault="00351372" w:rsidP="0045217E">
      <w:pPr>
        <w:rPr>
          <w:rFonts w:ascii="Times New Roman" w:hAnsi="Times New Roman" w:cs="Times New Roman"/>
        </w:rPr>
      </w:pPr>
      <w:r w:rsidRPr="00446CE5">
        <w:rPr>
          <w:rFonts w:ascii="Times New Roman" w:hAnsi="Times New Roman" w:cs="Times New Roman"/>
        </w:rPr>
        <w:t>AAI is authorized by Section 414(c) of the American Competitiveness and Workforce Improvement Act of 1998 (ACWIA), as amended (codified at 29 USC 2916a). Through the provision of $175 million in five-year grants to 46 grantees, AAI aims to support and encourage growth of an American Apprenticeship system that meet the country’s economic, industry and workforce needs. This includes not only increasing the number of registered apprenticeships available in the U.S</w:t>
      </w:r>
      <w:r w:rsidR="0057459A">
        <w:rPr>
          <w:rFonts w:ascii="Times New Roman" w:hAnsi="Times New Roman" w:cs="Times New Roman"/>
        </w:rPr>
        <w:t>.</w:t>
      </w:r>
      <w:r w:rsidRPr="00446CE5">
        <w:rPr>
          <w:rFonts w:ascii="Times New Roman" w:hAnsi="Times New Roman" w:cs="Times New Roman"/>
        </w:rPr>
        <w:t xml:space="preserve">, but also encouraging apprenticeships in non-traditional industries </w:t>
      </w:r>
      <w:r w:rsidR="00186301">
        <w:rPr>
          <w:rFonts w:ascii="Times New Roman" w:hAnsi="Times New Roman" w:cs="Times New Roman"/>
        </w:rPr>
        <w:t xml:space="preserve">and engaging </w:t>
      </w:r>
      <w:r w:rsidR="008C4E03">
        <w:rPr>
          <w:rFonts w:ascii="Times New Roman" w:hAnsi="Times New Roman" w:cs="Times New Roman"/>
        </w:rPr>
        <w:t>groups who have not traditionally enrolled in apprenticeship programs</w:t>
      </w:r>
      <w:r w:rsidRPr="00446CE5">
        <w:rPr>
          <w:rFonts w:ascii="Times New Roman" w:hAnsi="Times New Roman" w:cs="Times New Roman"/>
        </w:rPr>
        <w:t>.</w:t>
      </w:r>
      <w:r w:rsidR="00446CE5" w:rsidRPr="0045217E">
        <w:rPr>
          <w:vertAlign w:val="superscript"/>
        </w:rPr>
        <w:footnoteReference w:id="1"/>
      </w:r>
      <w:r w:rsidRPr="0045217E">
        <w:rPr>
          <w:rFonts w:ascii="Times New Roman" w:hAnsi="Times New Roman" w:cs="Times New Roman"/>
          <w:vertAlign w:val="superscript"/>
        </w:rPr>
        <w:t xml:space="preserve"> </w:t>
      </w:r>
    </w:p>
    <w:p w14:paraId="5969562D" w14:textId="160BCAD0" w:rsidR="002922C6" w:rsidRPr="00446CE5" w:rsidRDefault="00351372" w:rsidP="0045217E">
      <w:pPr>
        <w:rPr>
          <w:rFonts w:ascii="Times New Roman" w:hAnsi="Times New Roman" w:cs="Times New Roman"/>
        </w:rPr>
      </w:pPr>
      <w:r w:rsidRPr="00446CE5">
        <w:rPr>
          <w:rFonts w:ascii="Times New Roman" w:hAnsi="Times New Roman" w:cs="Times New Roman"/>
        </w:rPr>
        <w:t>The D</w:t>
      </w:r>
      <w:r w:rsidR="0057459A">
        <w:rPr>
          <w:rFonts w:ascii="Times New Roman" w:hAnsi="Times New Roman" w:cs="Times New Roman"/>
        </w:rPr>
        <w:t>OL</w:t>
      </w:r>
      <w:r w:rsidRPr="00446CE5">
        <w:rPr>
          <w:rFonts w:ascii="Times New Roman" w:hAnsi="Times New Roman" w:cs="Times New Roman"/>
        </w:rPr>
        <w:t xml:space="preserve"> Funding Opportunity Announcement for the AAI grants (FOA-ETA-15-02) established that DOL is committed to producing strong evidence on the effectiveness of grantee programs and that all grantees must fully participate in any evaluation initiated by the department as a condition of grant award.</w:t>
      </w:r>
      <w:r w:rsidR="00446CE5" w:rsidRPr="0045217E">
        <w:rPr>
          <w:vertAlign w:val="superscript"/>
        </w:rPr>
        <w:footnoteReference w:id="2"/>
      </w:r>
      <w:r w:rsidRPr="00446CE5">
        <w:rPr>
          <w:rFonts w:ascii="Times New Roman" w:hAnsi="Times New Roman" w:cs="Times New Roman"/>
        </w:rPr>
        <w:t xml:space="preserve"> Further, the June 15, 2017 Presidential Executive Order Expanding Apprenticeships in America promoted rigorous third-party evaluations of apprenticeship programs.</w:t>
      </w:r>
      <w:r w:rsidR="00446CE5" w:rsidRPr="0045217E">
        <w:rPr>
          <w:vertAlign w:val="superscript"/>
        </w:rPr>
        <w:footnoteReference w:id="3"/>
      </w:r>
    </w:p>
    <w:p w14:paraId="00197164" w14:textId="235C6D76" w:rsidR="00351372" w:rsidRDefault="00B1006A" w:rsidP="003006AA">
      <w:pPr>
        <w:pStyle w:val="ListParagraph"/>
        <w:ind w:left="0"/>
        <w:rPr>
          <w:rFonts w:ascii="Times New Roman" w:hAnsi="Times New Roman" w:cs="Times New Roman"/>
          <w:b/>
        </w:rPr>
      </w:pPr>
      <w:r>
        <w:rPr>
          <w:rFonts w:ascii="Times New Roman" w:hAnsi="Times New Roman" w:cs="Times New Roman"/>
          <w:b/>
        </w:rPr>
        <w:t>A.</w:t>
      </w:r>
      <w:r w:rsidR="00351372" w:rsidRPr="00446CE5">
        <w:rPr>
          <w:rFonts w:ascii="Times New Roman" w:hAnsi="Times New Roman" w:cs="Times New Roman"/>
          <w:b/>
        </w:rPr>
        <w:t xml:space="preserve">2.   </w:t>
      </w:r>
      <w:r w:rsidR="007707BA" w:rsidRPr="00446CE5">
        <w:rPr>
          <w:rFonts w:ascii="Times New Roman" w:hAnsi="Times New Roman" w:cs="Times New Roman"/>
          <w:b/>
        </w:rPr>
        <w:t xml:space="preserve">Purpose and Use of the </w:t>
      </w:r>
      <w:r w:rsidR="008B7828">
        <w:rPr>
          <w:rFonts w:ascii="Times New Roman" w:hAnsi="Times New Roman" w:cs="Times New Roman"/>
          <w:b/>
        </w:rPr>
        <w:t>Data</w:t>
      </w:r>
    </w:p>
    <w:p w14:paraId="6B1FCA37" w14:textId="77777777" w:rsidR="005D389B" w:rsidRDefault="005D389B" w:rsidP="003006AA">
      <w:pPr>
        <w:pStyle w:val="ListParagraph"/>
        <w:ind w:left="0"/>
        <w:rPr>
          <w:rFonts w:ascii="Times New Roman" w:hAnsi="Times New Roman" w:cs="Times New Roman"/>
          <w:b/>
        </w:rPr>
      </w:pPr>
    </w:p>
    <w:p w14:paraId="3D9D855C" w14:textId="77777777" w:rsidR="005D389B" w:rsidRPr="00446CE5" w:rsidRDefault="005D389B" w:rsidP="003006AA">
      <w:pPr>
        <w:pStyle w:val="ListParagraph"/>
        <w:ind w:left="0"/>
        <w:rPr>
          <w:rFonts w:ascii="Times New Roman" w:hAnsi="Times New Roman" w:cs="Times New Roman"/>
          <w:b/>
        </w:rPr>
      </w:pPr>
      <w:r>
        <w:rPr>
          <w:rFonts w:ascii="Times New Roman" w:hAnsi="Times New Roman" w:cs="Times New Roman"/>
          <w:b/>
        </w:rPr>
        <w:t>Purpose</w:t>
      </w:r>
    </w:p>
    <w:p w14:paraId="5F11F8C1" w14:textId="38C653EC" w:rsidR="003B612A" w:rsidRPr="00446CE5" w:rsidRDefault="003B612A" w:rsidP="003B612A">
      <w:pPr>
        <w:pStyle w:val="ListParagraph"/>
        <w:ind w:left="0"/>
        <w:rPr>
          <w:rFonts w:ascii="Times New Roman" w:hAnsi="Times New Roman" w:cs="Times New Roman"/>
        </w:rPr>
      </w:pPr>
      <w:r w:rsidRPr="00446CE5">
        <w:rPr>
          <w:rFonts w:ascii="Times New Roman" w:hAnsi="Times New Roman" w:cs="Times New Roman"/>
        </w:rPr>
        <w:t>The AAI evaluation</w:t>
      </w:r>
      <w:r w:rsidR="00186301">
        <w:rPr>
          <w:rFonts w:ascii="Times New Roman" w:hAnsi="Times New Roman" w:cs="Times New Roman"/>
        </w:rPr>
        <w:t xml:space="preserve"> will </w:t>
      </w:r>
      <w:r w:rsidRPr="00446CE5">
        <w:rPr>
          <w:rFonts w:ascii="Times New Roman" w:hAnsi="Times New Roman" w:cs="Times New Roman"/>
        </w:rPr>
        <w:t xml:space="preserve">address the following </w:t>
      </w:r>
      <w:r w:rsidR="0057459A">
        <w:rPr>
          <w:rFonts w:ascii="Times New Roman" w:hAnsi="Times New Roman" w:cs="Times New Roman"/>
        </w:rPr>
        <w:t xml:space="preserve">six </w:t>
      </w:r>
      <w:r w:rsidRPr="00446CE5">
        <w:rPr>
          <w:rFonts w:ascii="Times New Roman" w:hAnsi="Times New Roman" w:cs="Times New Roman"/>
        </w:rPr>
        <w:t>research questions:</w:t>
      </w:r>
    </w:p>
    <w:p w14:paraId="4F80F840"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 xml:space="preserve">What are AAI grantees doing to generate apprenticeship slots? </w:t>
      </w:r>
    </w:p>
    <w:p w14:paraId="21C09DEC"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 xml:space="preserve">What strategies do AAI grantees and employers use to identify strong candidates for apprenticeships? </w:t>
      </w:r>
    </w:p>
    <w:p w14:paraId="75772512"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What are the characteristics of AAI apprenticeships?</w:t>
      </w:r>
    </w:p>
    <w:p w14:paraId="76D62889"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 xml:space="preserve">What are the in-program experiences and post-program outcomes for apprentices? </w:t>
      </w:r>
    </w:p>
    <w:p w14:paraId="10DDF97F"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What innovations and lessons form the basis for broader change and sustainability that encourages employers to adopt apprenticeships?</w:t>
      </w:r>
    </w:p>
    <w:p w14:paraId="2EB93C01" w14:textId="77777777" w:rsidR="003B612A" w:rsidRPr="00446CE5" w:rsidRDefault="003B612A" w:rsidP="003B612A">
      <w:pPr>
        <w:pStyle w:val="ListParagraph"/>
        <w:numPr>
          <w:ilvl w:val="0"/>
          <w:numId w:val="5"/>
        </w:numPr>
        <w:rPr>
          <w:rFonts w:ascii="Times New Roman" w:hAnsi="Times New Roman" w:cs="Times New Roman"/>
        </w:rPr>
      </w:pPr>
      <w:r w:rsidRPr="00446CE5">
        <w:rPr>
          <w:rFonts w:ascii="Times New Roman" w:hAnsi="Times New Roman" w:cs="Times New Roman"/>
        </w:rPr>
        <w:t>Do benefits accrue to employers from apprenticeship?</w:t>
      </w:r>
    </w:p>
    <w:p w14:paraId="133FB50D" w14:textId="53C7C9ED" w:rsidR="003B612A" w:rsidRPr="00446CE5" w:rsidRDefault="003B612A" w:rsidP="005D6B56">
      <w:pPr>
        <w:rPr>
          <w:rFonts w:ascii="Times New Roman" w:hAnsi="Times New Roman" w:cs="Times New Roman"/>
        </w:rPr>
      </w:pPr>
      <w:r w:rsidRPr="00446CE5">
        <w:rPr>
          <w:rFonts w:ascii="Times New Roman" w:hAnsi="Times New Roman" w:cs="Times New Roman"/>
        </w:rPr>
        <w:t xml:space="preserve">To answer these questions, the evaluation </w:t>
      </w:r>
      <w:r w:rsidR="00186301">
        <w:rPr>
          <w:rFonts w:ascii="Times New Roman" w:hAnsi="Times New Roman" w:cs="Times New Roman"/>
        </w:rPr>
        <w:t xml:space="preserve">is implementing </w:t>
      </w:r>
      <w:r w:rsidRPr="00446CE5">
        <w:rPr>
          <w:rFonts w:ascii="Times New Roman" w:hAnsi="Times New Roman" w:cs="Times New Roman"/>
        </w:rPr>
        <w:t>four sub-studies</w:t>
      </w:r>
      <w:r w:rsidR="0057459A">
        <w:rPr>
          <w:rFonts w:ascii="Times New Roman" w:hAnsi="Times New Roman" w:cs="Times New Roman"/>
        </w:rPr>
        <w:t>:</w:t>
      </w:r>
      <w:r w:rsidRPr="00446CE5">
        <w:rPr>
          <w:rFonts w:ascii="Times New Roman" w:hAnsi="Times New Roman" w:cs="Times New Roman"/>
        </w:rPr>
        <w:t xml:space="preserve"> </w:t>
      </w:r>
      <w:r w:rsidR="0057459A">
        <w:rPr>
          <w:rFonts w:ascii="Times New Roman" w:hAnsi="Times New Roman" w:cs="Times New Roman"/>
        </w:rPr>
        <w:t>(1</w:t>
      </w:r>
      <w:r w:rsidRPr="00446CE5">
        <w:rPr>
          <w:rFonts w:ascii="Times New Roman" w:hAnsi="Times New Roman" w:cs="Times New Roman"/>
        </w:rPr>
        <w:t>) an implementation study that describes how AAI programs develop, operate and mature</w:t>
      </w:r>
      <w:r w:rsidR="0057459A">
        <w:rPr>
          <w:rFonts w:ascii="Times New Roman" w:hAnsi="Times New Roman" w:cs="Times New Roman"/>
        </w:rPr>
        <w:t>;</w:t>
      </w:r>
      <w:r w:rsidRPr="00446CE5">
        <w:rPr>
          <w:rFonts w:ascii="Times New Roman" w:hAnsi="Times New Roman" w:cs="Times New Roman"/>
        </w:rPr>
        <w:t xml:space="preserve"> </w:t>
      </w:r>
      <w:r w:rsidR="0057459A">
        <w:rPr>
          <w:rFonts w:ascii="Times New Roman" w:hAnsi="Times New Roman" w:cs="Times New Roman"/>
        </w:rPr>
        <w:t>(</w:t>
      </w:r>
      <w:r w:rsidRPr="00446CE5">
        <w:rPr>
          <w:rFonts w:ascii="Times New Roman" w:hAnsi="Times New Roman" w:cs="Times New Roman"/>
        </w:rPr>
        <w:t>2) an outcomes study that examine</w:t>
      </w:r>
      <w:r>
        <w:rPr>
          <w:rFonts w:ascii="Times New Roman" w:hAnsi="Times New Roman" w:cs="Times New Roman"/>
        </w:rPr>
        <w:t>s</w:t>
      </w:r>
      <w:r w:rsidRPr="00446CE5">
        <w:rPr>
          <w:rFonts w:ascii="Times New Roman" w:hAnsi="Times New Roman" w:cs="Times New Roman"/>
        </w:rPr>
        <w:t xml:space="preserve"> in-</w:t>
      </w:r>
      <w:r w:rsidRPr="00446CE5">
        <w:rPr>
          <w:rFonts w:ascii="Times New Roman" w:hAnsi="Times New Roman" w:cs="Times New Roman"/>
        </w:rPr>
        <w:lastRenderedPageBreak/>
        <w:t>program and post-program outcomes of apprentices</w:t>
      </w:r>
      <w:r w:rsidR="0057459A">
        <w:rPr>
          <w:rFonts w:ascii="Times New Roman" w:hAnsi="Times New Roman" w:cs="Times New Roman"/>
        </w:rPr>
        <w:t>;</w:t>
      </w:r>
      <w:r w:rsidRPr="00446CE5">
        <w:rPr>
          <w:rFonts w:ascii="Times New Roman" w:hAnsi="Times New Roman" w:cs="Times New Roman"/>
        </w:rPr>
        <w:t xml:space="preserve"> </w:t>
      </w:r>
      <w:r w:rsidR="0057459A">
        <w:rPr>
          <w:rFonts w:ascii="Times New Roman" w:hAnsi="Times New Roman" w:cs="Times New Roman"/>
        </w:rPr>
        <w:t>(</w:t>
      </w:r>
      <w:r w:rsidRPr="00446CE5">
        <w:rPr>
          <w:rFonts w:ascii="Times New Roman" w:hAnsi="Times New Roman" w:cs="Times New Roman"/>
        </w:rPr>
        <w:t xml:space="preserve">3) a return on investment (ROI) </w:t>
      </w:r>
      <w:r w:rsidR="0057459A">
        <w:rPr>
          <w:rFonts w:ascii="Times New Roman" w:hAnsi="Times New Roman" w:cs="Times New Roman"/>
        </w:rPr>
        <w:t xml:space="preserve">study </w:t>
      </w:r>
      <w:r w:rsidRPr="00446CE5">
        <w:rPr>
          <w:rFonts w:ascii="Times New Roman" w:hAnsi="Times New Roman" w:cs="Times New Roman"/>
        </w:rPr>
        <w:t xml:space="preserve">that seeks to determine </w:t>
      </w:r>
      <w:r>
        <w:rPr>
          <w:rFonts w:ascii="Times New Roman" w:hAnsi="Times New Roman" w:cs="Times New Roman"/>
        </w:rPr>
        <w:t xml:space="preserve">average </w:t>
      </w:r>
      <w:r w:rsidRPr="00446CE5">
        <w:rPr>
          <w:rFonts w:ascii="Times New Roman" w:hAnsi="Times New Roman" w:cs="Times New Roman"/>
        </w:rPr>
        <w:t xml:space="preserve">ROI </w:t>
      </w:r>
      <w:r w:rsidRPr="00CA35DB">
        <w:rPr>
          <w:rFonts w:ascii="Times New Roman" w:hAnsi="Times New Roman" w:cs="Times New Roman"/>
        </w:rPr>
        <w:t>estimates</w:t>
      </w:r>
      <w:r w:rsidRPr="005D6B56">
        <w:rPr>
          <w:rFonts w:ascii="Times New Roman" w:hAnsi="Times New Roman" w:cs="Times New Roman"/>
        </w:rPr>
        <w:t xml:space="preserve"> for </w:t>
      </w:r>
      <w:r w:rsidR="00186301" w:rsidRPr="005D6B56">
        <w:rPr>
          <w:rFonts w:ascii="Times New Roman" w:hAnsi="Times New Roman" w:cs="Times New Roman"/>
        </w:rPr>
        <w:t xml:space="preserve">employers </w:t>
      </w:r>
      <w:r w:rsidRPr="005D6B56">
        <w:rPr>
          <w:rFonts w:ascii="Times New Roman" w:hAnsi="Times New Roman" w:cs="Times New Roman"/>
        </w:rPr>
        <w:t>that hire apprentices</w:t>
      </w:r>
      <w:r w:rsidR="0057459A" w:rsidRPr="005D6B56">
        <w:rPr>
          <w:rFonts w:ascii="Times New Roman" w:hAnsi="Times New Roman" w:cs="Times New Roman"/>
        </w:rPr>
        <w:t>;</w:t>
      </w:r>
      <w:r w:rsidRPr="005D6B56">
        <w:rPr>
          <w:rFonts w:ascii="Times New Roman" w:hAnsi="Times New Roman" w:cs="Times New Roman"/>
        </w:rPr>
        <w:t xml:space="preserve"> and</w:t>
      </w:r>
      <w:r w:rsidR="0057459A" w:rsidRPr="005D6B56">
        <w:rPr>
          <w:rFonts w:ascii="Times New Roman" w:hAnsi="Times New Roman" w:cs="Times New Roman"/>
        </w:rPr>
        <w:t>,</w:t>
      </w:r>
      <w:r w:rsidRPr="005D6B56">
        <w:rPr>
          <w:rFonts w:ascii="Times New Roman" w:hAnsi="Times New Roman" w:cs="Times New Roman"/>
        </w:rPr>
        <w:t xml:space="preserve"> </w:t>
      </w:r>
      <w:r w:rsidR="0057459A" w:rsidRPr="00E7505C">
        <w:rPr>
          <w:rFonts w:ascii="Times New Roman" w:hAnsi="Times New Roman" w:cs="Times New Roman"/>
        </w:rPr>
        <w:t>(</w:t>
      </w:r>
      <w:r w:rsidRPr="00E7505C">
        <w:rPr>
          <w:rFonts w:ascii="Times New Roman" w:hAnsi="Times New Roman" w:cs="Times New Roman"/>
        </w:rPr>
        <w:t xml:space="preserve">4) an impact study that </w:t>
      </w:r>
      <w:r w:rsidR="0057459A" w:rsidRPr="00E7505C">
        <w:rPr>
          <w:rFonts w:ascii="Times New Roman" w:hAnsi="Times New Roman" w:cs="Times New Roman"/>
        </w:rPr>
        <w:t xml:space="preserve">assesses </w:t>
      </w:r>
      <w:r w:rsidRPr="00E7505C">
        <w:rPr>
          <w:rFonts w:ascii="Times New Roman" w:hAnsi="Times New Roman" w:cs="Times New Roman"/>
        </w:rPr>
        <w:t xml:space="preserve">employer outreach activities for a subset of AAI grantees. </w:t>
      </w:r>
      <w:r w:rsidR="009262C3">
        <w:rPr>
          <w:rFonts w:ascii="Times New Roman" w:hAnsi="Times New Roman" w:cs="Times New Roman"/>
        </w:rPr>
        <w:t xml:space="preserve">OMB approved of the data collections instruments (i.e., </w:t>
      </w:r>
      <w:r w:rsidR="00EB078A" w:rsidRPr="00CA35DB">
        <w:rPr>
          <w:rFonts w:ascii="Times New Roman" w:hAnsi="Times New Roman" w:cs="Times New Roman"/>
        </w:rPr>
        <w:t>g</w:t>
      </w:r>
      <w:r w:rsidR="00EB078A" w:rsidRPr="00E7505C">
        <w:rPr>
          <w:rFonts w:ascii="Times New Roman" w:hAnsi="Times New Roman" w:cs="Times New Roman"/>
        </w:rPr>
        <w:t>rantee survey, site visit discussion guides, and management information system fields</w:t>
      </w:r>
      <w:r w:rsidR="009262C3">
        <w:rPr>
          <w:rFonts w:ascii="Times New Roman" w:hAnsi="Times New Roman" w:cs="Times New Roman"/>
        </w:rPr>
        <w:t>) that support</w:t>
      </w:r>
      <w:r w:rsidR="009262C3" w:rsidRPr="00446CB6">
        <w:rPr>
          <w:rFonts w:ascii="Times New Roman" w:hAnsi="Times New Roman" w:cs="Times New Roman"/>
        </w:rPr>
        <w:t xml:space="preserve"> the implementation and impact studies</w:t>
      </w:r>
      <w:r w:rsidR="009262C3">
        <w:rPr>
          <w:rFonts w:ascii="Times New Roman" w:hAnsi="Times New Roman" w:cs="Times New Roman"/>
        </w:rPr>
        <w:t xml:space="preserve"> </w:t>
      </w:r>
      <w:r w:rsidR="00EB078A" w:rsidRPr="00CA35DB">
        <w:rPr>
          <w:rFonts w:ascii="Times New Roman" w:hAnsi="Times New Roman" w:cs="Times New Roman"/>
        </w:rPr>
        <w:t>(</w:t>
      </w:r>
      <w:hyperlink r:id="rId9" w:history="1">
        <w:r w:rsidR="00EB078A" w:rsidRPr="00E7505C">
          <w:rPr>
            <w:rStyle w:val="Hyperlink"/>
            <w:rFonts w:ascii="Times New Roman" w:hAnsi="Times New Roman" w:cs="Times New Roman"/>
          </w:rPr>
          <w:t>OMB Control Number:</w:t>
        </w:r>
        <w:r w:rsidR="00EB078A" w:rsidRPr="00E7505C">
          <w:rPr>
            <w:rStyle w:val="Hyperlink"/>
            <w:rFonts w:ascii="Times New Roman" w:hAnsi="Times New Roman" w:cs="Times New Roman"/>
            <w:bCs/>
          </w:rPr>
          <w:t>1290-0017; expires 11/30/2021</w:t>
        </w:r>
      </w:hyperlink>
      <w:r w:rsidR="00EB078A" w:rsidRPr="00E7505C">
        <w:rPr>
          <w:rFonts w:ascii="Times New Roman" w:hAnsi="Times New Roman" w:cs="Times New Roman"/>
          <w:bCs/>
        </w:rPr>
        <w:t>)</w:t>
      </w:r>
      <w:r w:rsidR="00EB078A" w:rsidRPr="00CA35DB">
        <w:rPr>
          <w:rFonts w:ascii="Times New Roman" w:hAnsi="Times New Roman" w:cs="Times New Roman"/>
        </w:rPr>
        <w:t>.</w:t>
      </w:r>
      <w:r w:rsidR="009262C3">
        <w:rPr>
          <w:rFonts w:ascii="Times New Roman" w:hAnsi="Times New Roman" w:cs="Times New Roman"/>
        </w:rPr>
        <w:t xml:space="preserve">  </w:t>
      </w:r>
      <w:r w:rsidR="00186301">
        <w:rPr>
          <w:rFonts w:ascii="Times New Roman" w:hAnsi="Times New Roman" w:cs="Times New Roman"/>
        </w:rPr>
        <w:t>T</w:t>
      </w:r>
      <w:r w:rsidR="00186301" w:rsidRPr="00186301">
        <w:rPr>
          <w:rFonts w:ascii="Times New Roman" w:hAnsi="Times New Roman" w:cs="Times New Roman"/>
        </w:rPr>
        <w:t xml:space="preserve">his </w:t>
      </w:r>
      <w:r w:rsidR="009262C3">
        <w:rPr>
          <w:rFonts w:ascii="Times New Roman" w:hAnsi="Times New Roman" w:cs="Times New Roman"/>
        </w:rPr>
        <w:t xml:space="preserve">new </w:t>
      </w:r>
      <w:r w:rsidR="00186301" w:rsidRPr="00186301">
        <w:rPr>
          <w:rFonts w:ascii="Times New Roman" w:hAnsi="Times New Roman" w:cs="Times New Roman"/>
        </w:rPr>
        <w:t xml:space="preserve">submission is to request clearance for </w:t>
      </w:r>
      <w:r w:rsidRPr="00446CE5">
        <w:rPr>
          <w:rFonts w:ascii="Times New Roman" w:hAnsi="Times New Roman" w:cs="Times New Roman"/>
        </w:rPr>
        <w:t xml:space="preserve">two </w:t>
      </w:r>
      <w:r w:rsidR="00186301">
        <w:rPr>
          <w:rFonts w:ascii="Times New Roman" w:hAnsi="Times New Roman" w:cs="Times New Roman"/>
        </w:rPr>
        <w:t>data collection instruments</w:t>
      </w:r>
      <w:r w:rsidR="0057459A">
        <w:rPr>
          <w:rFonts w:ascii="Times New Roman" w:hAnsi="Times New Roman" w:cs="Times New Roman"/>
        </w:rPr>
        <w:t>—the E</w:t>
      </w:r>
      <w:r w:rsidR="0057459A" w:rsidRPr="00446CE5">
        <w:rPr>
          <w:rFonts w:ascii="Times New Roman" w:hAnsi="Times New Roman" w:cs="Times New Roman"/>
        </w:rPr>
        <w:t xml:space="preserve">mployer </w:t>
      </w:r>
      <w:r w:rsidR="0057459A">
        <w:rPr>
          <w:rFonts w:ascii="Times New Roman" w:hAnsi="Times New Roman" w:cs="Times New Roman"/>
        </w:rPr>
        <w:t xml:space="preserve">Survey </w:t>
      </w:r>
      <w:r w:rsidR="0057459A" w:rsidRPr="00446CE5">
        <w:rPr>
          <w:rFonts w:ascii="Times New Roman" w:hAnsi="Times New Roman" w:cs="Times New Roman"/>
        </w:rPr>
        <w:t xml:space="preserve">and </w:t>
      </w:r>
      <w:r w:rsidR="0057459A">
        <w:rPr>
          <w:rFonts w:ascii="Times New Roman" w:hAnsi="Times New Roman" w:cs="Times New Roman"/>
        </w:rPr>
        <w:t>the Participant</w:t>
      </w:r>
      <w:r w:rsidR="0057459A" w:rsidRPr="00446CE5">
        <w:rPr>
          <w:rFonts w:ascii="Times New Roman" w:hAnsi="Times New Roman" w:cs="Times New Roman"/>
        </w:rPr>
        <w:t xml:space="preserve"> Survey</w:t>
      </w:r>
      <w:r w:rsidR="0057459A">
        <w:rPr>
          <w:rFonts w:ascii="Times New Roman" w:hAnsi="Times New Roman" w:cs="Times New Roman"/>
        </w:rPr>
        <w:t xml:space="preserve">—that </w:t>
      </w:r>
      <w:r w:rsidR="00186301">
        <w:rPr>
          <w:rFonts w:ascii="Times New Roman" w:hAnsi="Times New Roman" w:cs="Times New Roman"/>
        </w:rPr>
        <w:t>will support the ROI study and outcomes study, respectively</w:t>
      </w:r>
      <w:r w:rsidRPr="00446CE5">
        <w:rPr>
          <w:rFonts w:ascii="Times New Roman" w:hAnsi="Times New Roman" w:cs="Times New Roman"/>
        </w:rPr>
        <w:t xml:space="preserve">. </w:t>
      </w:r>
    </w:p>
    <w:p w14:paraId="0EFDC4D2" w14:textId="2774B280" w:rsidR="000A3D3B" w:rsidRDefault="008B7828" w:rsidP="007B409B">
      <w:pPr>
        <w:rPr>
          <w:rFonts w:ascii="Times New Roman" w:hAnsi="Times New Roman" w:cs="Times New Roman"/>
        </w:rPr>
      </w:pPr>
      <w:r w:rsidRPr="007B409B">
        <w:rPr>
          <w:rFonts w:ascii="Times New Roman" w:hAnsi="Times New Roman" w:cs="Times New Roman"/>
          <w:b/>
        </w:rPr>
        <w:t>Employer Survey</w:t>
      </w:r>
      <w:r>
        <w:rPr>
          <w:rFonts w:ascii="Times New Roman" w:hAnsi="Times New Roman" w:cs="Times New Roman"/>
        </w:rPr>
        <w:t xml:space="preserve">. </w:t>
      </w:r>
      <w:r w:rsidRPr="008B5211">
        <w:rPr>
          <w:rFonts w:ascii="Times New Roman" w:hAnsi="Times New Roman" w:cs="Times New Roman"/>
        </w:rPr>
        <w:t xml:space="preserve">The Employer Survey is the </w:t>
      </w:r>
      <w:r w:rsidR="0057459A">
        <w:rPr>
          <w:rFonts w:ascii="Times New Roman" w:hAnsi="Times New Roman" w:cs="Times New Roman"/>
        </w:rPr>
        <w:t xml:space="preserve">primary data </w:t>
      </w:r>
      <w:r w:rsidRPr="008B5211">
        <w:rPr>
          <w:rFonts w:ascii="Times New Roman" w:hAnsi="Times New Roman" w:cs="Times New Roman"/>
        </w:rPr>
        <w:t xml:space="preserve">source for the ROI study. </w:t>
      </w:r>
      <w:r w:rsidR="00BA5814" w:rsidRPr="007B409B">
        <w:rPr>
          <w:rFonts w:ascii="Times New Roman" w:hAnsi="Times New Roman" w:cs="Times New Roman"/>
        </w:rPr>
        <w:t xml:space="preserve">Much of the information gathered by this survey is </w:t>
      </w:r>
      <w:r w:rsidR="00C077A2" w:rsidRPr="007B409B">
        <w:rPr>
          <w:rFonts w:ascii="Times New Roman" w:hAnsi="Times New Roman" w:cs="Times New Roman"/>
        </w:rPr>
        <w:t>pr</w:t>
      </w:r>
      <w:r w:rsidR="00C077A2">
        <w:rPr>
          <w:rFonts w:ascii="Times New Roman" w:hAnsi="Times New Roman" w:cs="Times New Roman"/>
        </w:rPr>
        <w:t>ivate</w:t>
      </w:r>
      <w:r w:rsidR="00C077A2" w:rsidRPr="007B409B">
        <w:rPr>
          <w:rFonts w:ascii="Times New Roman" w:hAnsi="Times New Roman" w:cs="Times New Roman"/>
        </w:rPr>
        <w:t xml:space="preserve"> </w:t>
      </w:r>
      <w:r w:rsidR="0057459A">
        <w:rPr>
          <w:rFonts w:ascii="Times New Roman" w:hAnsi="Times New Roman" w:cs="Times New Roman"/>
        </w:rPr>
        <w:t>to employers</w:t>
      </w:r>
      <w:r w:rsidR="004C312A">
        <w:rPr>
          <w:rFonts w:ascii="Times New Roman" w:hAnsi="Times New Roman" w:cs="Times New Roman"/>
        </w:rPr>
        <w:t xml:space="preserve">, </w:t>
      </w:r>
      <w:r w:rsidR="0057459A">
        <w:rPr>
          <w:rFonts w:ascii="Times New Roman" w:hAnsi="Times New Roman" w:cs="Times New Roman"/>
        </w:rPr>
        <w:t xml:space="preserve">thus </w:t>
      </w:r>
      <w:r w:rsidR="00BA5814" w:rsidRPr="007B409B">
        <w:rPr>
          <w:rFonts w:ascii="Times New Roman" w:hAnsi="Times New Roman" w:cs="Times New Roman"/>
        </w:rPr>
        <w:t>is not available through other sources.</w:t>
      </w:r>
      <w:r w:rsidR="00BA5814" w:rsidRPr="00DC350C">
        <w:t xml:space="preserve"> </w:t>
      </w:r>
      <w:r w:rsidR="003B612A" w:rsidRPr="007B409B">
        <w:rPr>
          <w:rFonts w:ascii="Times New Roman" w:hAnsi="Times New Roman" w:cs="Times New Roman"/>
        </w:rPr>
        <w:t xml:space="preserve">The survey asks employers to provide information about a particular apprentice’s wages, productivity, and progression. The survey also </w:t>
      </w:r>
      <w:r w:rsidR="0057459A">
        <w:rPr>
          <w:rFonts w:ascii="Times New Roman" w:hAnsi="Times New Roman" w:cs="Times New Roman"/>
        </w:rPr>
        <w:t xml:space="preserve">includes questions about the employer’s </w:t>
      </w:r>
      <w:r w:rsidR="003B612A" w:rsidRPr="007B409B">
        <w:rPr>
          <w:rFonts w:ascii="Times New Roman" w:hAnsi="Times New Roman" w:cs="Times New Roman"/>
        </w:rPr>
        <w:t xml:space="preserve">background, recruitment of employees, and characteristics </w:t>
      </w:r>
      <w:r w:rsidR="00186301">
        <w:rPr>
          <w:rFonts w:ascii="Times New Roman" w:hAnsi="Times New Roman" w:cs="Times New Roman"/>
        </w:rPr>
        <w:t xml:space="preserve">of </w:t>
      </w:r>
      <w:r w:rsidR="003B612A" w:rsidRPr="007B409B">
        <w:rPr>
          <w:rFonts w:ascii="Times New Roman" w:hAnsi="Times New Roman" w:cs="Times New Roman"/>
        </w:rPr>
        <w:t xml:space="preserve">the apprenticeship. </w:t>
      </w:r>
      <w:r w:rsidR="00C41B1F">
        <w:rPr>
          <w:rFonts w:ascii="Times New Roman" w:hAnsi="Times New Roman" w:cs="Times New Roman"/>
        </w:rPr>
        <w:t>There are two categories of respondents for t</w:t>
      </w:r>
      <w:r w:rsidR="00DC350C" w:rsidRPr="007B409B">
        <w:rPr>
          <w:rFonts w:ascii="Times New Roman" w:hAnsi="Times New Roman" w:cs="Times New Roman"/>
        </w:rPr>
        <w:t>he Employer Survey</w:t>
      </w:r>
      <w:r w:rsidR="00C41B1F">
        <w:rPr>
          <w:rFonts w:ascii="Times New Roman" w:hAnsi="Times New Roman" w:cs="Times New Roman"/>
        </w:rPr>
        <w:t xml:space="preserve">. The first set of respondents is </w:t>
      </w:r>
      <w:r w:rsidR="00186301">
        <w:rPr>
          <w:rFonts w:ascii="Times New Roman" w:hAnsi="Times New Roman" w:cs="Times New Roman"/>
        </w:rPr>
        <w:t xml:space="preserve">employers </w:t>
      </w:r>
      <w:r w:rsidR="00DC350C" w:rsidRPr="007B409B">
        <w:rPr>
          <w:rFonts w:ascii="Times New Roman" w:hAnsi="Times New Roman" w:cs="Times New Roman"/>
        </w:rPr>
        <w:t xml:space="preserve">who hire apprentices associated with </w:t>
      </w:r>
      <w:r w:rsidRPr="008B7828">
        <w:rPr>
          <w:rFonts w:ascii="Times New Roman" w:hAnsi="Times New Roman" w:cs="Times New Roman"/>
        </w:rPr>
        <w:t>AAI</w:t>
      </w:r>
      <w:r w:rsidR="00DC350C" w:rsidRPr="007B409B">
        <w:rPr>
          <w:rFonts w:ascii="Times New Roman" w:hAnsi="Times New Roman" w:cs="Times New Roman"/>
        </w:rPr>
        <w:t xml:space="preserve"> grant</w:t>
      </w:r>
      <w:r w:rsidR="0057459A">
        <w:rPr>
          <w:rFonts w:ascii="Times New Roman" w:hAnsi="Times New Roman" w:cs="Times New Roman"/>
        </w:rPr>
        <w:t>ees</w:t>
      </w:r>
      <w:r w:rsidR="00DC350C" w:rsidRPr="007B409B">
        <w:rPr>
          <w:rFonts w:ascii="Times New Roman" w:hAnsi="Times New Roman" w:cs="Times New Roman"/>
        </w:rPr>
        <w:t>. The survey is voluntary</w:t>
      </w:r>
      <w:r w:rsidR="00C41B1F">
        <w:rPr>
          <w:rFonts w:ascii="Times New Roman" w:hAnsi="Times New Roman" w:cs="Times New Roman"/>
        </w:rPr>
        <w:t xml:space="preserve"> for employers</w:t>
      </w:r>
      <w:r w:rsidR="00DC350C" w:rsidRPr="007B409B">
        <w:rPr>
          <w:rFonts w:ascii="Times New Roman" w:hAnsi="Times New Roman" w:cs="Times New Roman"/>
        </w:rPr>
        <w:t xml:space="preserve">. </w:t>
      </w:r>
      <w:r w:rsidR="00C41B1F">
        <w:rPr>
          <w:rFonts w:ascii="Times New Roman" w:hAnsi="Times New Roman" w:cs="Times New Roman"/>
        </w:rPr>
        <w:t>The second set of respondents is all 46 AAI grantees who will be asked to provide background information for a subset of employers (two per grantee). G</w:t>
      </w:r>
      <w:r w:rsidR="00C41B1F" w:rsidRPr="008812F0">
        <w:rPr>
          <w:rFonts w:ascii="Times New Roman" w:hAnsi="Times New Roman" w:cs="Times New Roman"/>
        </w:rPr>
        <w:t xml:space="preserve">rantees are required </w:t>
      </w:r>
      <w:r w:rsidR="00C41B1F">
        <w:rPr>
          <w:rFonts w:ascii="Times New Roman" w:hAnsi="Times New Roman" w:cs="Times New Roman"/>
        </w:rPr>
        <w:t xml:space="preserve">to participate in evaluation activities </w:t>
      </w:r>
      <w:r w:rsidR="00C41B1F" w:rsidRPr="008812F0">
        <w:rPr>
          <w:rFonts w:ascii="Times New Roman" w:hAnsi="Times New Roman" w:cs="Times New Roman"/>
        </w:rPr>
        <w:t>per term</w:t>
      </w:r>
      <w:r w:rsidR="00C41B1F">
        <w:rPr>
          <w:rFonts w:ascii="Times New Roman" w:hAnsi="Times New Roman" w:cs="Times New Roman"/>
        </w:rPr>
        <w:t xml:space="preserve">s of their grants. </w:t>
      </w:r>
      <w:r w:rsidR="00C077A2">
        <w:rPr>
          <w:rFonts w:ascii="Times New Roman" w:hAnsi="Times New Roman" w:cs="Times New Roman"/>
        </w:rPr>
        <w:t xml:space="preserve">The survey results will be used </w:t>
      </w:r>
      <w:r w:rsidR="004606FE">
        <w:rPr>
          <w:rFonts w:ascii="Times New Roman" w:hAnsi="Times New Roman" w:cs="Times New Roman"/>
        </w:rPr>
        <w:t>to estimat</w:t>
      </w:r>
      <w:r w:rsidR="00C077A2">
        <w:rPr>
          <w:rFonts w:ascii="Times New Roman" w:hAnsi="Times New Roman" w:cs="Times New Roman"/>
        </w:rPr>
        <w:t>e</w:t>
      </w:r>
      <w:r w:rsidR="004606FE">
        <w:rPr>
          <w:rFonts w:ascii="Times New Roman" w:hAnsi="Times New Roman" w:cs="Times New Roman"/>
        </w:rPr>
        <w:t xml:space="preserve"> the ROI for the AAI overall, </w:t>
      </w:r>
      <w:r w:rsidR="00C077A2">
        <w:rPr>
          <w:rFonts w:ascii="Times New Roman" w:hAnsi="Times New Roman" w:cs="Times New Roman"/>
        </w:rPr>
        <w:t xml:space="preserve">and also </w:t>
      </w:r>
      <w:r w:rsidR="00DC350C" w:rsidRPr="007B409B">
        <w:rPr>
          <w:rFonts w:ascii="Times New Roman" w:hAnsi="Times New Roman" w:cs="Times New Roman"/>
        </w:rPr>
        <w:t xml:space="preserve">generate ROI estimates across industries and regions. </w:t>
      </w:r>
    </w:p>
    <w:p w14:paraId="507C757D" w14:textId="1B72FCB0" w:rsidR="003B612A" w:rsidRPr="007B409B" w:rsidRDefault="007244BE" w:rsidP="007B409B">
      <w:pPr>
        <w:rPr>
          <w:rFonts w:ascii="Times New Roman" w:hAnsi="Times New Roman" w:cs="Times New Roman"/>
        </w:rPr>
      </w:pPr>
      <w:r>
        <w:rPr>
          <w:rFonts w:ascii="Times New Roman" w:hAnsi="Times New Roman" w:cs="Times New Roman"/>
          <w:b/>
        </w:rPr>
        <w:t>Participant</w:t>
      </w:r>
      <w:r w:rsidRPr="007B409B">
        <w:rPr>
          <w:rFonts w:ascii="Times New Roman" w:hAnsi="Times New Roman" w:cs="Times New Roman"/>
          <w:b/>
        </w:rPr>
        <w:t xml:space="preserve"> </w:t>
      </w:r>
      <w:r w:rsidR="008B7828" w:rsidRPr="007B409B">
        <w:rPr>
          <w:rFonts w:ascii="Times New Roman" w:hAnsi="Times New Roman" w:cs="Times New Roman"/>
          <w:b/>
        </w:rPr>
        <w:t>Survey</w:t>
      </w:r>
      <w:r w:rsidR="0057459A">
        <w:rPr>
          <w:rFonts w:ascii="Times New Roman" w:hAnsi="Times New Roman" w:cs="Times New Roman"/>
          <w:b/>
        </w:rPr>
        <w:t xml:space="preserve">.  </w:t>
      </w:r>
      <w:r w:rsidR="0057459A" w:rsidRPr="0057459A">
        <w:rPr>
          <w:rFonts w:ascii="Times New Roman" w:hAnsi="Times New Roman" w:cs="Times New Roman"/>
        </w:rPr>
        <w:t>T</w:t>
      </w:r>
      <w:r w:rsidR="003B612A" w:rsidRPr="007B409B">
        <w:rPr>
          <w:rFonts w:ascii="Times New Roman" w:hAnsi="Times New Roman" w:cs="Times New Roman"/>
        </w:rPr>
        <w:t xml:space="preserve">he </w:t>
      </w:r>
      <w:r>
        <w:rPr>
          <w:rFonts w:ascii="Times New Roman" w:hAnsi="Times New Roman" w:cs="Times New Roman"/>
        </w:rPr>
        <w:t xml:space="preserve">Participant </w:t>
      </w:r>
      <w:r w:rsidR="0057459A">
        <w:rPr>
          <w:rFonts w:ascii="Times New Roman" w:hAnsi="Times New Roman" w:cs="Times New Roman"/>
        </w:rPr>
        <w:t xml:space="preserve">Survey will support the </w:t>
      </w:r>
      <w:r w:rsidR="003B612A" w:rsidRPr="007B409B">
        <w:rPr>
          <w:rFonts w:ascii="Times New Roman" w:hAnsi="Times New Roman" w:cs="Times New Roman"/>
        </w:rPr>
        <w:t>outcomes study</w:t>
      </w:r>
      <w:r w:rsidR="0057459A">
        <w:rPr>
          <w:rFonts w:ascii="Times New Roman" w:hAnsi="Times New Roman" w:cs="Times New Roman"/>
        </w:rPr>
        <w:t xml:space="preserve"> by </w:t>
      </w:r>
      <w:r w:rsidR="003B612A" w:rsidRPr="007B409B">
        <w:rPr>
          <w:rFonts w:ascii="Times New Roman" w:hAnsi="Times New Roman" w:cs="Times New Roman"/>
        </w:rPr>
        <w:t>gather</w:t>
      </w:r>
      <w:r w:rsidR="0057459A">
        <w:rPr>
          <w:rFonts w:ascii="Times New Roman" w:hAnsi="Times New Roman" w:cs="Times New Roman"/>
        </w:rPr>
        <w:t>ing</w:t>
      </w:r>
      <w:r w:rsidR="003B612A" w:rsidRPr="007B409B">
        <w:rPr>
          <w:rFonts w:ascii="Times New Roman" w:hAnsi="Times New Roman" w:cs="Times New Roman"/>
        </w:rPr>
        <w:t xml:space="preserve"> information </w:t>
      </w:r>
      <w:r w:rsidR="0057459A">
        <w:rPr>
          <w:rFonts w:ascii="Times New Roman" w:hAnsi="Times New Roman" w:cs="Times New Roman"/>
        </w:rPr>
        <w:t xml:space="preserve">about </w:t>
      </w:r>
      <w:r w:rsidR="003B612A" w:rsidRPr="007B409B">
        <w:rPr>
          <w:rFonts w:ascii="Times New Roman" w:hAnsi="Times New Roman" w:cs="Times New Roman"/>
        </w:rPr>
        <w:t xml:space="preserve">apprentices’ experiences in AAI apprenticeships. </w:t>
      </w:r>
      <w:r w:rsidR="00BA5814" w:rsidRPr="007B409B">
        <w:rPr>
          <w:rFonts w:ascii="Times New Roman" w:hAnsi="Times New Roman" w:cs="Times New Roman"/>
        </w:rPr>
        <w:t xml:space="preserve">The information </w:t>
      </w:r>
      <w:r w:rsidR="0057459A">
        <w:rPr>
          <w:rFonts w:ascii="Times New Roman" w:hAnsi="Times New Roman" w:cs="Times New Roman"/>
        </w:rPr>
        <w:t xml:space="preserve">collected through </w:t>
      </w:r>
      <w:r w:rsidR="00BA5814" w:rsidRPr="007B409B">
        <w:rPr>
          <w:rFonts w:ascii="Times New Roman" w:hAnsi="Times New Roman" w:cs="Times New Roman"/>
        </w:rPr>
        <w:t xml:space="preserve">this survey is not available through any other source. </w:t>
      </w:r>
      <w:r w:rsidR="003B612A" w:rsidRPr="007B409B">
        <w:rPr>
          <w:rFonts w:ascii="Times New Roman" w:hAnsi="Times New Roman" w:cs="Times New Roman"/>
        </w:rPr>
        <w:t xml:space="preserve">It includes questions on an apprentice’s background prior to apprenticeship (e.g., past experiences in labor market, demographics), apprenticeship experiences, skills and knowledge gained, and outcomes.  </w:t>
      </w:r>
      <w:r w:rsidR="00DC350C" w:rsidRPr="007B409B">
        <w:rPr>
          <w:rFonts w:ascii="Times New Roman" w:hAnsi="Times New Roman" w:cs="Times New Roman"/>
        </w:rPr>
        <w:t xml:space="preserve">The </w:t>
      </w:r>
      <w:r>
        <w:rPr>
          <w:rFonts w:ascii="Times New Roman" w:hAnsi="Times New Roman" w:cs="Times New Roman"/>
        </w:rPr>
        <w:t>Participant</w:t>
      </w:r>
      <w:r w:rsidR="00DC350C" w:rsidRPr="007B409B">
        <w:rPr>
          <w:rFonts w:ascii="Times New Roman" w:hAnsi="Times New Roman" w:cs="Times New Roman"/>
        </w:rPr>
        <w:t xml:space="preserve"> Survey respondents are </w:t>
      </w:r>
      <w:r w:rsidR="004606FE">
        <w:rPr>
          <w:rFonts w:ascii="Times New Roman" w:hAnsi="Times New Roman" w:cs="Times New Roman"/>
        </w:rPr>
        <w:t xml:space="preserve">a sample </w:t>
      </w:r>
      <w:r w:rsidR="00DC350C" w:rsidRPr="007B409B">
        <w:rPr>
          <w:rFonts w:ascii="Times New Roman" w:hAnsi="Times New Roman" w:cs="Times New Roman"/>
        </w:rPr>
        <w:t xml:space="preserve">of </w:t>
      </w:r>
      <w:r w:rsidR="001E7E26">
        <w:rPr>
          <w:rFonts w:ascii="Times New Roman" w:hAnsi="Times New Roman" w:cs="Times New Roman"/>
        </w:rPr>
        <w:t xml:space="preserve">apprentices in </w:t>
      </w:r>
      <w:r w:rsidR="00DC350C" w:rsidRPr="007B409B">
        <w:rPr>
          <w:rFonts w:ascii="Times New Roman" w:hAnsi="Times New Roman" w:cs="Times New Roman"/>
        </w:rPr>
        <w:t>AAI</w:t>
      </w:r>
      <w:r w:rsidR="001E7E26">
        <w:rPr>
          <w:rFonts w:ascii="Times New Roman" w:hAnsi="Times New Roman" w:cs="Times New Roman"/>
        </w:rPr>
        <w:t>-</w:t>
      </w:r>
      <w:r w:rsidR="00DC350C" w:rsidRPr="007B409B">
        <w:rPr>
          <w:rFonts w:ascii="Times New Roman" w:hAnsi="Times New Roman" w:cs="Times New Roman"/>
        </w:rPr>
        <w:t xml:space="preserve">affiliated </w:t>
      </w:r>
      <w:r w:rsidR="001E7E26">
        <w:rPr>
          <w:rFonts w:ascii="Times New Roman" w:hAnsi="Times New Roman" w:cs="Times New Roman"/>
        </w:rPr>
        <w:t>programs who have completed their program or are still enrolled</w:t>
      </w:r>
      <w:r w:rsidR="00B655A3">
        <w:rPr>
          <w:rFonts w:ascii="Times New Roman" w:hAnsi="Times New Roman" w:cs="Times New Roman"/>
        </w:rPr>
        <w:t xml:space="preserve">. </w:t>
      </w:r>
      <w:r w:rsidR="00DC350C" w:rsidRPr="007B409B">
        <w:rPr>
          <w:rFonts w:ascii="Times New Roman" w:hAnsi="Times New Roman" w:cs="Times New Roman"/>
        </w:rPr>
        <w:t xml:space="preserve">This survey is </w:t>
      </w:r>
      <w:r w:rsidR="00C077A2">
        <w:rPr>
          <w:rFonts w:ascii="Times New Roman" w:hAnsi="Times New Roman" w:cs="Times New Roman"/>
        </w:rPr>
        <w:t xml:space="preserve">also </w:t>
      </w:r>
      <w:r w:rsidR="00DC350C" w:rsidRPr="007B409B">
        <w:rPr>
          <w:rFonts w:ascii="Times New Roman" w:hAnsi="Times New Roman" w:cs="Times New Roman"/>
        </w:rPr>
        <w:t>voluntary</w:t>
      </w:r>
      <w:r w:rsidR="00744F50">
        <w:rPr>
          <w:rFonts w:ascii="Times New Roman" w:hAnsi="Times New Roman" w:cs="Times New Roman"/>
        </w:rPr>
        <w:t>.</w:t>
      </w:r>
      <w:r w:rsidR="0057459A">
        <w:rPr>
          <w:rFonts w:ascii="Times New Roman" w:hAnsi="Times New Roman" w:cs="Times New Roman"/>
        </w:rPr>
        <w:t xml:space="preserve"> The data collected complements information grantees report about apprentices in the DOL Quarterly Performance R</w:t>
      </w:r>
      <w:r w:rsidR="007D50F1">
        <w:rPr>
          <w:rFonts w:ascii="Times New Roman" w:hAnsi="Times New Roman" w:cs="Times New Roman"/>
        </w:rPr>
        <w:t>esults</w:t>
      </w:r>
      <w:r w:rsidR="0057459A">
        <w:rPr>
          <w:rFonts w:ascii="Times New Roman" w:hAnsi="Times New Roman" w:cs="Times New Roman"/>
        </w:rPr>
        <w:t xml:space="preserve"> (QPR) system. </w:t>
      </w:r>
    </w:p>
    <w:p w14:paraId="254B6F0F" w14:textId="54F006E0" w:rsidR="008B7828" w:rsidRPr="00301B16" w:rsidRDefault="008B7828" w:rsidP="003B612A">
      <w:pPr>
        <w:rPr>
          <w:rFonts w:ascii="Times New Roman" w:hAnsi="Times New Roman" w:cs="Times New Roman"/>
          <w:b/>
        </w:rPr>
      </w:pPr>
      <w:r w:rsidRPr="00301B16">
        <w:rPr>
          <w:rFonts w:ascii="Times New Roman" w:hAnsi="Times New Roman" w:cs="Times New Roman"/>
          <w:b/>
        </w:rPr>
        <w:t>Users of Data</w:t>
      </w:r>
    </w:p>
    <w:p w14:paraId="7244576F" w14:textId="4FB90B23" w:rsidR="00E44531" w:rsidRPr="00446CE5" w:rsidRDefault="00E44531" w:rsidP="0014660A">
      <w:pPr>
        <w:rPr>
          <w:rFonts w:ascii="Times New Roman" w:hAnsi="Times New Roman" w:cs="Times New Roman"/>
        </w:rPr>
      </w:pPr>
      <w:r w:rsidRPr="00446CE5">
        <w:rPr>
          <w:rFonts w:ascii="Times New Roman" w:hAnsi="Times New Roman" w:cs="Times New Roman"/>
        </w:rPr>
        <w:t xml:space="preserve">AAI is a significant DOL investment to expand apprenticeship in the U.S., and the </w:t>
      </w:r>
      <w:r w:rsidR="009640A6">
        <w:rPr>
          <w:rFonts w:ascii="Times New Roman" w:hAnsi="Times New Roman" w:cs="Times New Roman"/>
        </w:rPr>
        <w:t xml:space="preserve">evaluation </w:t>
      </w:r>
      <w:r w:rsidR="00F1208E" w:rsidRPr="00446CE5">
        <w:rPr>
          <w:rFonts w:ascii="Times New Roman" w:hAnsi="Times New Roman" w:cs="Times New Roman"/>
        </w:rPr>
        <w:t>w</w:t>
      </w:r>
      <w:r w:rsidRPr="00446CE5">
        <w:rPr>
          <w:rFonts w:ascii="Times New Roman" w:hAnsi="Times New Roman" w:cs="Times New Roman"/>
        </w:rPr>
        <w:t>ill provide a wealth of information on apprenticeship</w:t>
      </w:r>
      <w:r w:rsidR="002174ED" w:rsidRPr="00446CE5">
        <w:rPr>
          <w:rFonts w:ascii="Times New Roman" w:hAnsi="Times New Roman" w:cs="Times New Roman"/>
        </w:rPr>
        <w:t xml:space="preserve"> outcomes and ROI for </w:t>
      </w:r>
      <w:r w:rsidR="00F1208E" w:rsidRPr="00446CE5">
        <w:rPr>
          <w:rFonts w:ascii="Times New Roman" w:hAnsi="Times New Roman" w:cs="Times New Roman"/>
        </w:rPr>
        <w:t>businesses that invest in apprenticeship</w:t>
      </w:r>
      <w:r w:rsidR="002174ED" w:rsidRPr="00446CE5">
        <w:rPr>
          <w:rFonts w:ascii="Times New Roman" w:hAnsi="Times New Roman" w:cs="Times New Roman"/>
        </w:rPr>
        <w:t xml:space="preserve">. </w:t>
      </w:r>
      <w:r w:rsidRPr="00446CE5">
        <w:rPr>
          <w:rFonts w:ascii="Times New Roman" w:hAnsi="Times New Roman" w:cs="Times New Roman"/>
        </w:rPr>
        <w:t xml:space="preserve"> The immediate users of data collected will be the </w:t>
      </w:r>
      <w:r w:rsidR="00F1208E" w:rsidRPr="00446CE5">
        <w:rPr>
          <w:rFonts w:ascii="Times New Roman" w:hAnsi="Times New Roman" w:cs="Times New Roman"/>
        </w:rPr>
        <w:t>evaluation team.</w:t>
      </w:r>
      <w:r w:rsidR="00301FAF" w:rsidRPr="00446CE5">
        <w:rPr>
          <w:rFonts w:ascii="Times New Roman" w:hAnsi="Times New Roman" w:cs="Times New Roman"/>
        </w:rPr>
        <w:t xml:space="preserve"> A Public Use File will be prepared and made available to future researchers.</w:t>
      </w:r>
      <w:r w:rsidR="0014660A">
        <w:rPr>
          <w:rFonts w:ascii="Times New Roman" w:hAnsi="Times New Roman" w:cs="Times New Roman"/>
        </w:rPr>
        <w:t xml:space="preserve"> </w:t>
      </w:r>
      <w:r w:rsidR="00C41B1F">
        <w:rPr>
          <w:rFonts w:ascii="Times New Roman" w:hAnsi="Times New Roman" w:cs="Times New Roman"/>
        </w:rPr>
        <w:t>In addition to the users of data</w:t>
      </w:r>
      <w:r w:rsidR="00E42711">
        <w:rPr>
          <w:rFonts w:ascii="Times New Roman" w:hAnsi="Times New Roman" w:cs="Times New Roman"/>
        </w:rPr>
        <w:t>,</w:t>
      </w:r>
      <w:r w:rsidR="00C41B1F">
        <w:rPr>
          <w:rFonts w:ascii="Times New Roman" w:hAnsi="Times New Roman" w:cs="Times New Roman"/>
        </w:rPr>
        <w:t xml:space="preserve"> s</w:t>
      </w:r>
      <w:r w:rsidR="0014660A">
        <w:rPr>
          <w:rFonts w:ascii="Times New Roman" w:hAnsi="Times New Roman" w:cs="Times New Roman"/>
        </w:rPr>
        <w:t>takeholders who will benefit from the information generated by the data collection include</w:t>
      </w:r>
      <w:r w:rsidRPr="00446CE5">
        <w:rPr>
          <w:rFonts w:ascii="Times New Roman" w:hAnsi="Times New Roman" w:cs="Times New Roman"/>
        </w:rPr>
        <w:t>:</w:t>
      </w:r>
    </w:p>
    <w:p w14:paraId="42DB29E5" w14:textId="77777777" w:rsidR="00E44531" w:rsidRPr="00446CE5" w:rsidRDefault="00E44531" w:rsidP="009411F8">
      <w:pPr>
        <w:pStyle w:val="Bullets"/>
        <w:numPr>
          <w:ilvl w:val="0"/>
          <w:numId w:val="10"/>
        </w:numPr>
        <w:rPr>
          <w:szCs w:val="22"/>
        </w:rPr>
      </w:pPr>
      <w:r w:rsidRPr="00446CE5">
        <w:rPr>
          <w:szCs w:val="22"/>
        </w:rPr>
        <w:t>DOL and other federal agency staff</w:t>
      </w:r>
    </w:p>
    <w:p w14:paraId="6CE317AC" w14:textId="1CC73AAA" w:rsidR="00E44531" w:rsidRPr="00446CE5" w:rsidRDefault="00E44531" w:rsidP="009411F8">
      <w:pPr>
        <w:pStyle w:val="Bullets"/>
        <w:numPr>
          <w:ilvl w:val="0"/>
          <w:numId w:val="10"/>
        </w:numPr>
        <w:rPr>
          <w:szCs w:val="22"/>
        </w:rPr>
      </w:pPr>
      <w:r w:rsidRPr="00446CE5">
        <w:rPr>
          <w:szCs w:val="22"/>
        </w:rPr>
        <w:t>State and local workforce agencies or apprenticeship systems such as State Apprenticeship Agencies</w:t>
      </w:r>
    </w:p>
    <w:p w14:paraId="5F100763" w14:textId="77777777" w:rsidR="00E44531" w:rsidRPr="00446CE5" w:rsidRDefault="00E44531" w:rsidP="009411F8">
      <w:pPr>
        <w:pStyle w:val="Bullets"/>
        <w:numPr>
          <w:ilvl w:val="0"/>
          <w:numId w:val="10"/>
        </w:numPr>
        <w:rPr>
          <w:szCs w:val="22"/>
        </w:rPr>
      </w:pPr>
      <w:r w:rsidRPr="00446CE5">
        <w:rPr>
          <w:szCs w:val="22"/>
        </w:rPr>
        <w:t>Other sponsors of apprenticeships such as nonprofits, unions, and community colleges</w:t>
      </w:r>
    </w:p>
    <w:p w14:paraId="04F83C02" w14:textId="77777777" w:rsidR="00E44531" w:rsidRPr="00446CE5" w:rsidRDefault="00E44531" w:rsidP="009411F8">
      <w:pPr>
        <w:pStyle w:val="Bullets"/>
        <w:numPr>
          <w:ilvl w:val="0"/>
          <w:numId w:val="10"/>
        </w:numPr>
        <w:rPr>
          <w:szCs w:val="22"/>
        </w:rPr>
      </w:pPr>
      <w:r w:rsidRPr="00446CE5">
        <w:rPr>
          <w:szCs w:val="22"/>
        </w:rPr>
        <w:t>Researchers</w:t>
      </w:r>
    </w:p>
    <w:p w14:paraId="4222C070" w14:textId="77777777" w:rsidR="00E44531" w:rsidRPr="00446CE5" w:rsidRDefault="00E44531" w:rsidP="009411F8">
      <w:pPr>
        <w:pStyle w:val="Bullets"/>
        <w:numPr>
          <w:ilvl w:val="0"/>
          <w:numId w:val="10"/>
        </w:numPr>
        <w:rPr>
          <w:szCs w:val="22"/>
        </w:rPr>
      </w:pPr>
      <w:r w:rsidRPr="00446CE5">
        <w:rPr>
          <w:szCs w:val="22"/>
        </w:rPr>
        <w:lastRenderedPageBreak/>
        <w:t>Policymakers at the local, state and federal levels of government looking to increase and expand apprenticeships</w:t>
      </w:r>
    </w:p>
    <w:p w14:paraId="4A3D6CDE" w14:textId="77777777" w:rsidR="00E44531" w:rsidRPr="00446CE5" w:rsidRDefault="00E44531" w:rsidP="009411F8">
      <w:pPr>
        <w:pStyle w:val="Bullets"/>
        <w:numPr>
          <w:ilvl w:val="0"/>
          <w:numId w:val="10"/>
        </w:numPr>
        <w:rPr>
          <w:szCs w:val="22"/>
        </w:rPr>
      </w:pPr>
      <w:r w:rsidRPr="00446CE5">
        <w:rPr>
          <w:szCs w:val="22"/>
        </w:rPr>
        <w:t>Others interested in understanding the experiences and lessons from expanding registered apprenticeships</w:t>
      </w:r>
    </w:p>
    <w:p w14:paraId="318654DE" w14:textId="77777777" w:rsidR="00E44531" w:rsidRDefault="00087751" w:rsidP="003006AA">
      <w:pPr>
        <w:pStyle w:val="ListParagraph"/>
        <w:ind w:left="0"/>
        <w:rPr>
          <w:rFonts w:ascii="Times New Roman" w:hAnsi="Times New Roman" w:cs="Times New Roman"/>
          <w:b/>
        </w:rPr>
      </w:pPr>
      <w:r>
        <w:rPr>
          <w:rFonts w:ascii="Times New Roman" w:hAnsi="Times New Roman" w:cs="Times New Roman"/>
          <w:b/>
        </w:rPr>
        <w:t>A.</w:t>
      </w:r>
      <w:r w:rsidR="009E2D4B" w:rsidRPr="00446CE5">
        <w:rPr>
          <w:rFonts w:ascii="Times New Roman" w:hAnsi="Times New Roman" w:cs="Times New Roman"/>
          <w:b/>
        </w:rPr>
        <w:t xml:space="preserve">3. </w:t>
      </w:r>
      <w:r w:rsidR="004B6F1A">
        <w:rPr>
          <w:rFonts w:ascii="Times New Roman" w:hAnsi="Times New Roman" w:cs="Times New Roman"/>
          <w:b/>
        </w:rPr>
        <w:t>Use of Improved Information Technology</w:t>
      </w:r>
    </w:p>
    <w:p w14:paraId="182C994D" w14:textId="62258881" w:rsidR="004C312A" w:rsidRDefault="002D1D2B" w:rsidP="0045217E">
      <w:pPr>
        <w:rPr>
          <w:rFonts w:ascii="Times New Roman" w:hAnsi="Times New Roman" w:cs="Times New Roman"/>
        </w:rPr>
      </w:pPr>
      <w:r w:rsidRPr="00446CE5">
        <w:rPr>
          <w:rFonts w:ascii="Times New Roman" w:hAnsi="Times New Roman" w:cs="Times New Roman"/>
        </w:rPr>
        <w:t>The Employer Surv</w:t>
      </w:r>
      <w:r w:rsidR="009640A6">
        <w:rPr>
          <w:rFonts w:ascii="Times New Roman" w:hAnsi="Times New Roman" w:cs="Times New Roman"/>
        </w:rPr>
        <w:t xml:space="preserve">ey will be administered </w:t>
      </w:r>
      <w:r w:rsidR="008A2A95">
        <w:rPr>
          <w:rFonts w:ascii="Times New Roman" w:hAnsi="Times New Roman" w:cs="Times New Roman"/>
        </w:rPr>
        <w:t>by phone</w:t>
      </w:r>
      <w:r w:rsidR="004C312A">
        <w:rPr>
          <w:rFonts w:ascii="Times New Roman" w:hAnsi="Times New Roman" w:cs="Times New Roman"/>
        </w:rPr>
        <w:t xml:space="preserve"> to a sample of </w:t>
      </w:r>
      <w:r w:rsidR="00AA37C0">
        <w:rPr>
          <w:rFonts w:ascii="Times New Roman" w:hAnsi="Times New Roman" w:cs="Times New Roman"/>
        </w:rPr>
        <w:t xml:space="preserve">approximately </w:t>
      </w:r>
      <w:r w:rsidR="0062218A">
        <w:rPr>
          <w:rFonts w:ascii="Times New Roman" w:hAnsi="Times New Roman" w:cs="Times New Roman"/>
        </w:rPr>
        <w:t>100</w:t>
      </w:r>
      <w:r w:rsidR="004C312A">
        <w:rPr>
          <w:rFonts w:ascii="Times New Roman" w:hAnsi="Times New Roman" w:cs="Times New Roman"/>
        </w:rPr>
        <w:t xml:space="preserve"> employers</w:t>
      </w:r>
      <w:r w:rsidRPr="00446CE5">
        <w:rPr>
          <w:rFonts w:ascii="Times New Roman" w:hAnsi="Times New Roman" w:cs="Times New Roman"/>
        </w:rPr>
        <w:t>.</w:t>
      </w:r>
      <w:r w:rsidR="00C41B1F">
        <w:rPr>
          <w:rStyle w:val="FootnoteReference"/>
          <w:rFonts w:ascii="Times New Roman" w:hAnsi="Times New Roman" w:cs="Times New Roman"/>
        </w:rPr>
        <w:footnoteReference w:id="4"/>
      </w:r>
      <w:r w:rsidRPr="00446CE5">
        <w:rPr>
          <w:rFonts w:ascii="Times New Roman" w:hAnsi="Times New Roman" w:cs="Times New Roman"/>
        </w:rPr>
        <w:t xml:space="preserve"> </w:t>
      </w:r>
      <w:r w:rsidR="00DF2181">
        <w:rPr>
          <w:rFonts w:ascii="Times New Roman" w:hAnsi="Times New Roman" w:cs="Times New Roman"/>
        </w:rPr>
        <w:t>T</w:t>
      </w:r>
      <w:r w:rsidR="004C312A">
        <w:rPr>
          <w:rFonts w:ascii="Times New Roman" w:hAnsi="Times New Roman" w:cs="Times New Roman"/>
        </w:rPr>
        <w:t xml:space="preserve">he evaluator will first </w:t>
      </w:r>
      <w:r w:rsidR="006958A8">
        <w:rPr>
          <w:rFonts w:ascii="Times New Roman" w:hAnsi="Times New Roman" w:cs="Times New Roman"/>
        </w:rPr>
        <w:t xml:space="preserve">facilitate completion of the Employer Survey by speaking with </w:t>
      </w:r>
      <w:r w:rsidR="004C312A">
        <w:rPr>
          <w:rFonts w:ascii="Times New Roman" w:hAnsi="Times New Roman" w:cs="Times New Roman"/>
        </w:rPr>
        <w:t xml:space="preserve">each AAI grantee about </w:t>
      </w:r>
      <w:r w:rsidR="00DF2181">
        <w:rPr>
          <w:rFonts w:ascii="Times New Roman" w:hAnsi="Times New Roman" w:cs="Times New Roman"/>
        </w:rPr>
        <w:t xml:space="preserve">the </w:t>
      </w:r>
      <w:r w:rsidR="004C312A">
        <w:rPr>
          <w:rFonts w:ascii="Times New Roman" w:hAnsi="Times New Roman" w:cs="Times New Roman"/>
        </w:rPr>
        <w:t>selected employers</w:t>
      </w:r>
      <w:r w:rsidR="006958A8">
        <w:rPr>
          <w:rFonts w:ascii="Times New Roman" w:hAnsi="Times New Roman" w:cs="Times New Roman"/>
        </w:rPr>
        <w:t xml:space="preserve">. As they walk through the survey by phone with the grantee, the evaluator </w:t>
      </w:r>
      <w:r w:rsidR="004C312A">
        <w:rPr>
          <w:rFonts w:ascii="Times New Roman" w:hAnsi="Times New Roman" w:cs="Times New Roman"/>
        </w:rPr>
        <w:t>will fill in relevant sections of the survey. The evaluator will then interview the employers</w:t>
      </w:r>
      <w:r w:rsidR="006958A8">
        <w:rPr>
          <w:rFonts w:ascii="Times New Roman" w:hAnsi="Times New Roman" w:cs="Times New Roman"/>
        </w:rPr>
        <w:t xml:space="preserve"> by phone</w:t>
      </w:r>
      <w:r w:rsidR="004C312A">
        <w:rPr>
          <w:rFonts w:ascii="Times New Roman" w:hAnsi="Times New Roman" w:cs="Times New Roman"/>
        </w:rPr>
        <w:t xml:space="preserve">, reading the remaining questions and </w:t>
      </w:r>
      <w:r w:rsidR="00F96AB6">
        <w:rPr>
          <w:rFonts w:ascii="Times New Roman" w:hAnsi="Times New Roman" w:cs="Times New Roman"/>
        </w:rPr>
        <w:t xml:space="preserve">recording the </w:t>
      </w:r>
      <w:r w:rsidR="004C312A">
        <w:rPr>
          <w:rFonts w:ascii="Times New Roman" w:hAnsi="Times New Roman" w:cs="Times New Roman"/>
        </w:rPr>
        <w:t xml:space="preserve">information </w:t>
      </w:r>
      <w:r w:rsidR="00F96AB6">
        <w:rPr>
          <w:rFonts w:ascii="Times New Roman" w:hAnsi="Times New Roman" w:cs="Times New Roman"/>
        </w:rPr>
        <w:t>on</w:t>
      </w:r>
      <w:r w:rsidR="004C312A">
        <w:rPr>
          <w:rFonts w:ascii="Times New Roman" w:hAnsi="Times New Roman" w:cs="Times New Roman"/>
        </w:rPr>
        <w:t xml:space="preserve"> the survey.</w:t>
      </w:r>
    </w:p>
    <w:p w14:paraId="25CD634D" w14:textId="2554ADCD" w:rsidR="006B6383" w:rsidRPr="004C483F" w:rsidRDefault="006B6383" w:rsidP="0045217E">
      <w:pPr>
        <w:rPr>
          <w:rFonts w:ascii="Times New Roman" w:hAnsi="Times New Roman" w:cs="Times New Roman"/>
        </w:rPr>
      </w:pPr>
      <w:r w:rsidRPr="004D2C64">
        <w:rPr>
          <w:rFonts w:ascii="Times New Roman" w:hAnsi="Times New Roman" w:cs="Times New Roman"/>
        </w:rPr>
        <w:t xml:space="preserve">The </w:t>
      </w:r>
      <w:r w:rsidR="00301B16">
        <w:rPr>
          <w:rFonts w:ascii="Times New Roman" w:hAnsi="Times New Roman" w:cs="Times New Roman"/>
        </w:rPr>
        <w:t>Participant</w:t>
      </w:r>
      <w:r w:rsidRPr="004D2C64">
        <w:rPr>
          <w:rFonts w:ascii="Times New Roman" w:hAnsi="Times New Roman" w:cs="Times New Roman"/>
        </w:rPr>
        <w:t xml:space="preserve"> Survey </w:t>
      </w:r>
      <w:r w:rsidR="00DF6E03">
        <w:rPr>
          <w:rFonts w:ascii="Times New Roman" w:hAnsi="Times New Roman" w:cs="Times New Roman"/>
        </w:rPr>
        <w:t xml:space="preserve">will be fielded using dual-mode web and telephone </w:t>
      </w:r>
      <w:r w:rsidRPr="004D2C64">
        <w:rPr>
          <w:rFonts w:ascii="Times New Roman" w:hAnsi="Times New Roman" w:cs="Times New Roman"/>
        </w:rPr>
        <w:t xml:space="preserve">administration. Both modes will use the same </w:t>
      </w:r>
      <w:r w:rsidRPr="00B655A3">
        <w:rPr>
          <w:rFonts w:ascii="Times New Roman" w:hAnsi="Times New Roman" w:cs="Times New Roman"/>
          <w:b/>
        </w:rPr>
        <w:t>Computer-Assisted Interviewing (CAI) technology</w:t>
      </w:r>
      <w:r w:rsidRPr="004D2C64">
        <w:rPr>
          <w:rFonts w:ascii="Times New Roman" w:hAnsi="Times New Roman" w:cs="Times New Roman"/>
        </w:rPr>
        <w:t>. CAI technology reduces respondent burden, as respondents and interviewers can proceed more quickly and accurately through the survey instruments, minimizing the interview length. Computerized questionnaires ensure that the skip patterns work pr</w:t>
      </w:r>
      <w:r w:rsidRPr="004C483F">
        <w:rPr>
          <w:rFonts w:ascii="Times New Roman" w:hAnsi="Times New Roman" w:cs="Times New Roman"/>
        </w:rPr>
        <w:t>operly, minimizing respondent burden by not asking non-applicable questions. Computer-assisted interviewing can build in checkpoints, which allow the interviewer or respondent to confirm responses, thereby minimizing data entry errors. Finally, automated survey administration can incorporate hard edits to check for allowable ranges for quantity and range value questions, minimizing out of range or unallowable values.</w:t>
      </w:r>
    </w:p>
    <w:p w14:paraId="53673C17" w14:textId="77777777" w:rsidR="007F5DC8" w:rsidRPr="00446CE5" w:rsidRDefault="00087751" w:rsidP="006B6383">
      <w:pPr>
        <w:rPr>
          <w:rFonts w:ascii="Times New Roman" w:hAnsi="Times New Roman" w:cs="Times New Roman"/>
          <w:b/>
        </w:rPr>
      </w:pPr>
      <w:r>
        <w:rPr>
          <w:rFonts w:ascii="Times New Roman" w:hAnsi="Times New Roman" w:cs="Times New Roman"/>
          <w:b/>
        </w:rPr>
        <w:t>A.</w:t>
      </w:r>
      <w:r w:rsidR="009E2D4B" w:rsidRPr="00446CE5">
        <w:rPr>
          <w:rFonts w:ascii="Times New Roman" w:hAnsi="Times New Roman" w:cs="Times New Roman"/>
          <w:b/>
        </w:rPr>
        <w:t>4. Efforts to Identify Duplication</w:t>
      </w:r>
    </w:p>
    <w:p w14:paraId="3A792442" w14:textId="7C77D32F" w:rsidR="00F35223" w:rsidRPr="00446CE5" w:rsidRDefault="002B143F" w:rsidP="0045217E">
      <w:pPr>
        <w:rPr>
          <w:rFonts w:ascii="Times New Roman" w:hAnsi="Times New Roman" w:cs="Times New Roman"/>
        </w:rPr>
      </w:pPr>
      <w:r w:rsidRPr="00446CE5">
        <w:rPr>
          <w:rFonts w:ascii="Times New Roman" w:hAnsi="Times New Roman" w:cs="Times New Roman"/>
        </w:rPr>
        <w:t xml:space="preserve">While background information such as the </w:t>
      </w:r>
      <w:r w:rsidR="00553C1B">
        <w:rPr>
          <w:rFonts w:ascii="Times New Roman" w:hAnsi="Times New Roman" w:cs="Times New Roman"/>
        </w:rPr>
        <w:t xml:space="preserve">employer </w:t>
      </w:r>
      <w:r w:rsidRPr="00446CE5">
        <w:rPr>
          <w:rFonts w:ascii="Times New Roman" w:hAnsi="Times New Roman" w:cs="Times New Roman"/>
        </w:rPr>
        <w:t xml:space="preserve">size and industry may be available through third party sources for a limited number of </w:t>
      </w:r>
      <w:r w:rsidR="00DF6E03">
        <w:rPr>
          <w:rFonts w:ascii="Times New Roman" w:hAnsi="Times New Roman" w:cs="Times New Roman"/>
        </w:rPr>
        <w:t>employers</w:t>
      </w:r>
      <w:r w:rsidRPr="00446CE5">
        <w:rPr>
          <w:rFonts w:ascii="Times New Roman" w:hAnsi="Times New Roman" w:cs="Times New Roman"/>
        </w:rPr>
        <w:t xml:space="preserve">, much of the information gathered by </w:t>
      </w:r>
      <w:r w:rsidR="004B6F1A">
        <w:rPr>
          <w:rFonts w:ascii="Times New Roman" w:hAnsi="Times New Roman" w:cs="Times New Roman"/>
        </w:rPr>
        <w:t>the Employer Survey is</w:t>
      </w:r>
      <w:r w:rsidR="004B6F1A" w:rsidRPr="00446CE5">
        <w:rPr>
          <w:rFonts w:ascii="Times New Roman" w:hAnsi="Times New Roman" w:cs="Times New Roman"/>
        </w:rPr>
        <w:t xml:space="preserve"> </w:t>
      </w:r>
      <w:r w:rsidR="00C077A2" w:rsidRPr="00446CE5">
        <w:rPr>
          <w:rFonts w:ascii="Times New Roman" w:hAnsi="Times New Roman" w:cs="Times New Roman"/>
        </w:rPr>
        <w:t>pr</w:t>
      </w:r>
      <w:r w:rsidR="00C077A2">
        <w:rPr>
          <w:rFonts w:ascii="Times New Roman" w:hAnsi="Times New Roman" w:cs="Times New Roman"/>
        </w:rPr>
        <w:t>ivate</w:t>
      </w:r>
      <w:r w:rsidR="00C077A2" w:rsidRPr="00446CE5">
        <w:rPr>
          <w:rFonts w:ascii="Times New Roman" w:hAnsi="Times New Roman" w:cs="Times New Roman"/>
        </w:rPr>
        <w:t xml:space="preserve"> </w:t>
      </w:r>
      <w:r w:rsidRPr="00446CE5">
        <w:rPr>
          <w:rFonts w:ascii="Times New Roman" w:hAnsi="Times New Roman" w:cs="Times New Roman"/>
        </w:rPr>
        <w:t>and therefore is not available</w:t>
      </w:r>
      <w:r w:rsidR="00DF6E03">
        <w:rPr>
          <w:rFonts w:ascii="Times New Roman" w:hAnsi="Times New Roman" w:cs="Times New Roman"/>
        </w:rPr>
        <w:t xml:space="preserve"> elsewhere</w:t>
      </w:r>
      <w:r w:rsidRPr="00446CE5">
        <w:rPr>
          <w:rFonts w:ascii="Times New Roman" w:hAnsi="Times New Roman" w:cs="Times New Roman"/>
        </w:rPr>
        <w:t xml:space="preserve">. Where possible, the study team will prefill response answers using QPR data, which may include information such as the </w:t>
      </w:r>
      <w:r w:rsidR="00DF6E03">
        <w:rPr>
          <w:rFonts w:ascii="Times New Roman" w:hAnsi="Times New Roman" w:cs="Times New Roman"/>
        </w:rPr>
        <w:t>employer’s</w:t>
      </w:r>
      <w:r w:rsidRPr="00446CE5">
        <w:rPr>
          <w:rFonts w:ascii="Times New Roman" w:hAnsi="Times New Roman" w:cs="Times New Roman"/>
        </w:rPr>
        <w:t xml:space="preserve"> industry and occupation.</w:t>
      </w:r>
      <w:r w:rsidR="004C312A" w:rsidRPr="004C312A">
        <w:rPr>
          <w:rFonts w:ascii="Times New Roman" w:hAnsi="Times New Roman" w:cs="Times New Roman"/>
        </w:rPr>
        <w:t xml:space="preserve"> </w:t>
      </w:r>
      <w:r w:rsidR="004C312A" w:rsidRPr="00446CE5">
        <w:rPr>
          <w:rFonts w:ascii="Times New Roman" w:hAnsi="Times New Roman" w:cs="Times New Roman"/>
        </w:rPr>
        <w:t xml:space="preserve">However, many QPR fields are not required and therefore not complete. </w:t>
      </w:r>
      <w:r w:rsidR="00E81770">
        <w:rPr>
          <w:rFonts w:ascii="Times New Roman" w:hAnsi="Times New Roman" w:cs="Times New Roman"/>
        </w:rPr>
        <w:t xml:space="preserve"> Additionally, the </w:t>
      </w:r>
      <w:r w:rsidR="004C312A">
        <w:rPr>
          <w:rFonts w:ascii="Times New Roman" w:hAnsi="Times New Roman" w:cs="Times New Roman"/>
        </w:rPr>
        <w:t xml:space="preserve">evaluator will call </w:t>
      </w:r>
      <w:r w:rsidR="009E4C88">
        <w:rPr>
          <w:rFonts w:ascii="Times New Roman" w:hAnsi="Times New Roman" w:cs="Times New Roman"/>
        </w:rPr>
        <w:t>AAI-grantees</w:t>
      </w:r>
      <w:r w:rsidR="004C312A">
        <w:rPr>
          <w:rFonts w:ascii="Times New Roman" w:hAnsi="Times New Roman" w:cs="Times New Roman"/>
        </w:rPr>
        <w:t xml:space="preserve"> in order to </w:t>
      </w:r>
      <w:r w:rsidR="009E4C88">
        <w:rPr>
          <w:rFonts w:ascii="Times New Roman" w:hAnsi="Times New Roman" w:cs="Times New Roman"/>
        </w:rPr>
        <w:t>pre-fill early survey</w:t>
      </w:r>
      <w:r w:rsidR="0082645A">
        <w:rPr>
          <w:rFonts w:ascii="Times New Roman" w:hAnsi="Times New Roman" w:cs="Times New Roman"/>
        </w:rPr>
        <w:t xml:space="preserve"> questions related to </w:t>
      </w:r>
      <w:r w:rsidR="009E4C88">
        <w:rPr>
          <w:rFonts w:ascii="Times New Roman" w:hAnsi="Times New Roman" w:cs="Times New Roman"/>
        </w:rPr>
        <w:t xml:space="preserve">apprentice occupation and program size, for </w:t>
      </w:r>
      <w:r w:rsidR="004C312A">
        <w:rPr>
          <w:rFonts w:ascii="Times New Roman" w:hAnsi="Times New Roman" w:cs="Times New Roman"/>
        </w:rPr>
        <w:t xml:space="preserve">two </w:t>
      </w:r>
      <w:r w:rsidR="009E4C88">
        <w:rPr>
          <w:rFonts w:ascii="Times New Roman" w:hAnsi="Times New Roman" w:cs="Times New Roman"/>
        </w:rPr>
        <w:t>employers.</w:t>
      </w:r>
      <w:r w:rsidRPr="00446CE5">
        <w:rPr>
          <w:rFonts w:ascii="Times New Roman" w:hAnsi="Times New Roman" w:cs="Times New Roman"/>
        </w:rPr>
        <w:t xml:space="preserve"> Additionally, many of the </w:t>
      </w:r>
      <w:r w:rsidR="00553C1B">
        <w:rPr>
          <w:rFonts w:ascii="Times New Roman" w:hAnsi="Times New Roman" w:cs="Times New Roman"/>
        </w:rPr>
        <w:t xml:space="preserve">survey </w:t>
      </w:r>
      <w:r w:rsidRPr="00446CE5">
        <w:rPr>
          <w:rFonts w:ascii="Times New Roman" w:hAnsi="Times New Roman" w:cs="Times New Roman"/>
        </w:rPr>
        <w:t xml:space="preserve">questions ask for </w:t>
      </w:r>
      <w:r w:rsidR="00553C1B">
        <w:rPr>
          <w:rFonts w:ascii="Times New Roman" w:hAnsi="Times New Roman" w:cs="Times New Roman"/>
        </w:rPr>
        <w:t>apprentice-</w:t>
      </w:r>
      <w:r w:rsidRPr="00446CE5">
        <w:rPr>
          <w:rFonts w:ascii="Times New Roman" w:hAnsi="Times New Roman" w:cs="Times New Roman"/>
        </w:rPr>
        <w:t>level data</w:t>
      </w:r>
      <w:r w:rsidR="00553C1B">
        <w:rPr>
          <w:rFonts w:ascii="Times New Roman" w:hAnsi="Times New Roman" w:cs="Times New Roman"/>
        </w:rPr>
        <w:t xml:space="preserve">, such as </w:t>
      </w:r>
      <w:r w:rsidRPr="00446CE5">
        <w:rPr>
          <w:rFonts w:ascii="Times New Roman" w:hAnsi="Times New Roman" w:cs="Times New Roman"/>
        </w:rPr>
        <w:t xml:space="preserve">wage progression. This </w:t>
      </w:r>
      <w:r w:rsidR="00553C1B">
        <w:rPr>
          <w:rFonts w:ascii="Times New Roman" w:hAnsi="Times New Roman" w:cs="Times New Roman"/>
        </w:rPr>
        <w:t>apprentice-</w:t>
      </w:r>
      <w:r w:rsidRPr="00446CE5">
        <w:rPr>
          <w:rFonts w:ascii="Times New Roman" w:hAnsi="Times New Roman" w:cs="Times New Roman"/>
        </w:rPr>
        <w:t>level data is not available through any other source</w:t>
      </w:r>
      <w:r w:rsidR="0021518E">
        <w:rPr>
          <w:rFonts w:ascii="Times New Roman" w:hAnsi="Times New Roman" w:cs="Times New Roman"/>
        </w:rPr>
        <w:t xml:space="preserve"> than the employer’s own records</w:t>
      </w:r>
      <w:r w:rsidRPr="00446CE5">
        <w:rPr>
          <w:rFonts w:ascii="Times New Roman" w:hAnsi="Times New Roman" w:cs="Times New Roman"/>
        </w:rPr>
        <w:t>.</w:t>
      </w:r>
    </w:p>
    <w:p w14:paraId="075C0E88" w14:textId="139A55D2" w:rsidR="00F35223" w:rsidRPr="00446CE5" w:rsidRDefault="002B143F" w:rsidP="0045217E">
      <w:pPr>
        <w:rPr>
          <w:rFonts w:ascii="Times New Roman" w:hAnsi="Times New Roman" w:cs="Times New Roman"/>
        </w:rPr>
      </w:pPr>
      <w:r w:rsidRPr="00446CE5">
        <w:rPr>
          <w:rFonts w:ascii="Times New Roman" w:hAnsi="Times New Roman" w:cs="Times New Roman"/>
        </w:rPr>
        <w:t xml:space="preserve">The </w:t>
      </w:r>
      <w:r w:rsidR="00553C1B">
        <w:rPr>
          <w:rFonts w:ascii="Times New Roman" w:hAnsi="Times New Roman" w:cs="Times New Roman"/>
        </w:rPr>
        <w:t xml:space="preserve">majority of </w:t>
      </w:r>
      <w:r w:rsidRPr="00446CE5">
        <w:rPr>
          <w:rFonts w:ascii="Times New Roman" w:hAnsi="Times New Roman" w:cs="Times New Roman"/>
        </w:rPr>
        <w:t xml:space="preserve">information </w:t>
      </w:r>
      <w:r w:rsidR="00553C1B">
        <w:rPr>
          <w:rFonts w:ascii="Times New Roman" w:hAnsi="Times New Roman" w:cs="Times New Roman"/>
        </w:rPr>
        <w:t xml:space="preserve">collected through </w:t>
      </w:r>
      <w:r w:rsidR="004B6F1A">
        <w:rPr>
          <w:rFonts w:ascii="Times New Roman" w:hAnsi="Times New Roman" w:cs="Times New Roman"/>
        </w:rPr>
        <w:t xml:space="preserve">the </w:t>
      </w:r>
      <w:r w:rsidR="00301B16">
        <w:rPr>
          <w:rFonts w:ascii="Times New Roman" w:hAnsi="Times New Roman" w:cs="Times New Roman"/>
        </w:rPr>
        <w:t>Participant</w:t>
      </w:r>
      <w:r w:rsidR="004B6F1A">
        <w:rPr>
          <w:rFonts w:ascii="Times New Roman" w:hAnsi="Times New Roman" w:cs="Times New Roman"/>
        </w:rPr>
        <w:t xml:space="preserve"> Survey </w:t>
      </w:r>
      <w:r w:rsidR="00553C1B">
        <w:rPr>
          <w:rFonts w:ascii="Times New Roman" w:hAnsi="Times New Roman" w:cs="Times New Roman"/>
        </w:rPr>
        <w:t xml:space="preserve">is not available elsewhere. The exception is </w:t>
      </w:r>
      <w:r w:rsidRPr="00446CE5">
        <w:rPr>
          <w:rFonts w:ascii="Times New Roman" w:hAnsi="Times New Roman" w:cs="Times New Roman"/>
        </w:rPr>
        <w:t>demographic information</w:t>
      </w:r>
      <w:r w:rsidR="00F3746F">
        <w:rPr>
          <w:rFonts w:ascii="Times New Roman" w:hAnsi="Times New Roman" w:cs="Times New Roman"/>
        </w:rPr>
        <w:t xml:space="preserve">, which </w:t>
      </w:r>
      <w:r w:rsidR="007D50F1">
        <w:rPr>
          <w:rFonts w:ascii="Times New Roman" w:hAnsi="Times New Roman" w:cs="Times New Roman"/>
        </w:rPr>
        <w:t>is reported by grantees in</w:t>
      </w:r>
      <w:r w:rsidR="004B6F1A">
        <w:rPr>
          <w:rFonts w:ascii="Times New Roman" w:hAnsi="Times New Roman" w:cs="Times New Roman"/>
        </w:rPr>
        <w:t xml:space="preserve"> the QPR. </w:t>
      </w:r>
      <w:r w:rsidRPr="00446CE5">
        <w:rPr>
          <w:rFonts w:ascii="Times New Roman" w:hAnsi="Times New Roman" w:cs="Times New Roman"/>
        </w:rPr>
        <w:t>However, as previously</w:t>
      </w:r>
      <w:r w:rsidR="00553C1B">
        <w:rPr>
          <w:rFonts w:ascii="Times New Roman" w:hAnsi="Times New Roman" w:cs="Times New Roman"/>
        </w:rPr>
        <w:t xml:space="preserve"> noted</w:t>
      </w:r>
      <w:r w:rsidRPr="00446CE5">
        <w:rPr>
          <w:rFonts w:ascii="Times New Roman" w:hAnsi="Times New Roman" w:cs="Times New Roman"/>
        </w:rPr>
        <w:t xml:space="preserve">, </w:t>
      </w:r>
      <w:r w:rsidR="00553C1B">
        <w:rPr>
          <w:rFonts w:ascii="Times New Roman" w:hAnsi="Times New Roman" w:cs="Times New Roman"/>
        </w:rPr>
        <w:t xml:space="preserve">many </w:t>
      </w:r>
      <w:r w:rsidRPr="00446CE5">
        <w:rPr>
          <w:rFonts w:ascii="Times New Roman" w:hAnsi="Times New Roman" w:cs="Times New Roman"/>
        </w:rPr>
        <w:t>fields in the QPR are not</w:t>
      </w:r>
      <w:r w:rsidR="00553C1B">
        <w:rPr>
          <w:rFonts w:ascii="Times New Roman" w:hAnsi="Times New Roman" w:cs="Times New Roman"/>
        </w:rPr>
        <w:t xml:space="preserve"> required,</w:t>
      </w:r>
      <w:r w:rsidRPr="00446CE5">
        <w:rPr>
          <w:rFonts w:ascii="Times New Roman" w:hAnsi="Times New Roman" w:cs="Times New Roman"/>
        </w:rPr>
        <w:t xml:space="preserve"> and </w:t>
      </w:r>
      <w:r w:rsidR="00553C1B">
        <w:rPr>
          <w:rFonts w:ascii="Times New Roman" w:hAnsi="Times New Roman" w:cs="Times New Roman"/>
        </w:rPr>
        <w:t xml:space="preserve">analysis of the data indicates a </w:t>
      </w:r>
      <w:r w:rsidRPr="00446CE5">
        <w:rPr>
          <w:rFonts w:ascii="Times New Roman" w:hAnsi="Times New Roman" w:cs="Times New Roman"/>
        </w:rPr>
        <w:t>high rate of</w:t>
      </w:r>
      <w:r w:rsidR="00144798">
        <w:rPr>
          <w:rFonts w:ascii="Times New Roman" w:hAnsi="Times New Roman" w:cs="Times New Roman"/>
        </w:rPr>
        <w:t xml:space="preserve"> </w:t>
      </w:r>
      <w:r w:rsidRPr="00446CE5">
        <w:rPr>
          <w:rFonts w:ascii="Times New Roman" w:hAnsi="Times New Roman" w:cs="Times New Roman"/>
        </w:rPr>
        <w:t>missing</w:t>
      </w:r>
      <w:r w:rsidR="00144798">
        <w:rPr>
          <w:rFonts w:ascii="Times New Roman" w:hAnsi="Times New Roman" w:cs="Times New Roman"/>
        </w:rPr>
        <w:t xml:space="preserve"> demographic data</w:t>
      </w:r>
      <w:r w:rsidRPr="00446CE5">
        <w:rPr>
          <w:rFonts w:ascii="Times New Roman" w:hAnsi="Times New Roman" w:cs="Times New Roman"/>
        </w:rPr>
        <w:t>.</w:t>
      </w:r>
      <w:r w:rsidR="00C7764E" w:rsidRPr="00446CE5">
        <w:rPr>
          <w:rFonts w:ascii="Times New Roman" w:hAnsi="Times New Roman" w:cs="Times New Roman"/>
        </w:rPr>
        <w:t xml:space="preserve"> </w:t>
      </w:r>
      <w:r w:rsidR="00553C1B">
        <w:rPr>
          <w:rFonts w:ascii="Times New Roman" w:hAnsi="Times New Roman" w:cs="Times New Roman"/>
        </w:rPr>
        <w:t>Because</w:t>
      </w:r>
      <w:r w:rsidR="00B655A3">
        <w:rPr>
          <w:rFonts w:ascii="Times New Roman" w:hAnsi="Times New Roman" w:cs="Times New Roman"/>
        </w:rPr>
        <w:t xml:space="preserve"> </w:t>
      </w:r>
      <w:r w:rsidR="007D50F1">
        <w:rPr>
          <w:rFonts w:ascii="Times New Roman" w:hAnsi="Times New Roman" w:cs="Times New Roman"/>
        </w:rPr>
        <w:t xml:space="preserve">DOL, through </w:t>
      </w:r>
      <w:r w:rsidR="00C7764E" w:rsidRPr="00446CE5">
        <w:rPr>
          <w:rFonts w:ascii="Times New Roman" w:hAnsi="Times New Roman" w:cs="Times New Roman"/>
        </w:rPr>
        <w:t>AAI</w:t>
      </w:r>
      <w:r w:rsidR="007D50F1">
        <w:rPr>
          <w:rFonts w:ascii="Times New Roman" w:hAnsi="Times New Roman" w:cs="Times New Roman"/>
        </w:rPr>
        <w:t>,</w:t>
      </w:r>
      <w:r w:rsidR="00C7764E" w:rsidRPr="00446CE5">
        <w:rPr>
          <w:rFonts w:ascii="Times New Roman" w:hAnsi="Times New Roman" w:cs="Times New Roman"/>
        </w:rPr>
        <w:t xml:space="preserve"> is interested in increasing apprenticeship opportunities for non-traditional populations, </w:t>
      </w:r>
      <w:r w:rsidR="00553C1B">
        <w:rPr>
          <w:rFonts w:ascii="Times New Roman" w:hAnsi="Times New Roman" w:cs="Times New Roman"/>
        </w:rPr>
        <w:t xml:space="preserve">the study team needs to </w:t>
      </w:r>
      <w:r w:rsidR="00C7764E" w:rsidRPr="00446CE5">
        <w:rPr>
          <w:rFonts w:ascii="Times New Roman" w:hAnsi="Times New Roman" w:cs="Times New Roman"/>
        </w:rPr>
        <w:t xml:space="preserve">obtain demographic information </w:t>
      </w:r>
      <w:r w:rsidR="009640A6">
        <w:rPr>
          <w:rFonts w:ascii="Times New Roman" w:hAnsi="Times New Roman" w:cs="Times New Roman"/>
        </w:rPr>
        <w:t>in order</w:t>
      </w:r>
      <w:r w:rsidR="00C7764E" w:rsidRPr="00446CE5">
        <w:rPr>
          <w:rFonts w:ascii="Times New Roman" w:hAnsi="Times New Roman" w:cs="Times New Roman"/>
        </w:rPr>
        <w:t xml:space="preserve"> to </w:t>
      </w:r>
      <w:r w:rsidR="009640A6">
        <w:rPr>
          <w:rFonts w:ascii="Times New Roman" w:hAnsi="Times New Roman" w:cs="Times New Roman"/>
        </w:rPr>
        <w:t>answer evaluation questions</w:t>
      </w:r>
      <w:r w:rsidR="00C7764E" w:rsidRPr="00446CE5">
        <w:rPr>
          <w:rFonts w:ascii="Times New Roman" w:hAnsi="Times New Roman" w:cs="Times New Roman"/>
        </w:rPr>
        <w:t xml:space="preserve">.  </w:t>
      </w:r>
    </w:p>
    <w:p w14:paraId="10549FEE" w14:textId="77777777" w:rsidR="00587CC7" w:rsidRPr="00446CE5" w:rsidRDefault="00087751" w:rsidP="003006AA">
      <w:pPr>
        <w:pStyle w:val="ListParagraph"/>
        <w:ind w:left="0"/>
        <w:rPr>
          <w:rFonts w:ascii="Times New Roman" w:hAnsi="Times New Roman" w:cs="Times New Roman"/>
        </w:rPr>
      </w:pPr>
      <w:r>
        <w:rPr>
          <w:rFonts w:ascii="Times New Roman" w:hAnsi="Times New Roman" w:cs="Times New Roman"/>
          <w:b/>
        </w:rPr>
        <w:t>A.</w:t>
      </w:r>
      <w:r w:rsidR="00587CC7" w:rsidRPr="00446CE5">
        <w:rPr>
          <w:rFonts w:ascii="Times New Roman" w:hAnsi="Times New Roman" w:cs="Times New Roman"/>
          <w:b/>
        </w:rPr>
        <w:t>5.</w:t>
      </w:r>
      <w:r w:rsidR="00587CC7" w:rsidRPr="00446CE5">
        <w:rPr>
          <w:rFonts w:ascii="Times New Roman" w:hAnsi="Times New Roman" w:cs="Times New Roman"/>
        </w:rPr>
        <w:t xml:space="preserve"> </w:t>
      </w:r>
      <w:r w:rsidR="00EE5683">
        <w:rPr>
          <w:rFonts w:ascii="Times New Roman" w:hAnsi="Times New Roman" w:cs="Times New Roman"/>
          <w:b/>
        </w:rPr>
        <w:t>Collection of Data from Small Businesses</w:t>
      </w:r>
    </w:p>
    <w:p w14:paraId="1755DE00" w14:textId="36A30D2B" w:rsidR="00F91E3F" w:rsidRPr="00446CE5" w:rsidRDefault="00553C1B" w:rsidP="0045217E">
      <w:pPr>
        <w:rPr>
          <w:rFonts w:ascii="Times New Roman" w:hAnsi="Times New Roman" w:cs="Times New Roman"/>
        </w:rPr>
      </w:pPr>
      <w:r>
        <w:rPr>
          <w:rFonts w:ascii="Times New Roman" w:hAnsi="Times New Roman" w:cs="Times New Roman"/>
        </w:rPr>
        <w:t>T</w:t>
      </w:r>
      <w:r w:rsidR="00587CC7" w:rsidRPr="00446CE5">
        <w:rPr>
          <w:rFonts w:ascii="Times New Roman" w:hAnsi="Times New Roman" w:cs="Times New Roman"/>
        </w:rPr>
        <w:t xml:space="preserve">he </w:t>
      </w:r>
      <w:r w:rsidR="00301B16">
        <w:rPr>
          <w:rFonts w:ascii="Times New Roman" w:hAnsi="Times New Roman" w:cs="Times New Roman"/>
        </w:rPr>
        <w:t>Participant</w:t>
      </w:r>
      <w:r w:rsidR="002B143F" w:rsidRPr="00446CE5">
        <w:rPr>
          <w:rFonts w:ascii="Times New Roman" w:hAnsi="Times New Roman" w:cs="Times New Roman"/>
        </w:rPr>
        <w:t xml:space="preserve"> </w:t>
      </w:r>
      <w:r w:rsidR="00C064DC" w:rsidRPr="00446CE5">
        <w:rPr>
          <w:rFonts w:ascii="Times New Roman" w:hAnsi="Times New Roman" w:cs="Times New Roman"/>
        </w:rPr>
        <w:t>S</w:t>
      </w:r>
      <w:r w:rsidR="00587CC7" w:rsidRPr="00446CE5">
        <w:rPr>
          <w:rFonts w:ascii="Times New Roman" w:hAnsi="Times New Roman" w:cs="Times New Roman"/>
        </w:rPr>
        <w:t>u</w:t>
      </w:r>
      <w:r w:rsidR="00E241AB" w:rsidRPr="00446CE5">
        <w:rPr>
          <w:rFonts w:ascii="Times New Roman" w:hAnsi="Times New Roman" w:cs="Times New Roman"/>
        </w:rPr>
        <w:t xml:space="preserve">rvey does not involve </w:t>
      </w:r>
      <w:r>
        <w:rPr>
          <w:rFonts w:ascii="Times New Roman" w:hAnsi="Times New Roman" w:cs="Times New Roman"/>
        </w:rPr>
        <w:t xml:space="preserve">data collection from </w:t>
      </w:r>
      <w:r w:rsidR="00E241AB" w:rsidRPr="00446CE5">
        <w:rPr>
          <w:rFonts w:ascii="Times New Roman" w:hAnsi="Times New Roman" w:cs="Times New Roman"/>
        </w:rPr>
        <w:t>small business</w:t>
      </w:r>
      <w:r>
        <w:rPr>
          <w:rFonts w:ascii="Times New Roman" w:hAnsi="Times New Roman" w:cs="Times New Roman"/>
        </w:rPr>
        <w:t>es</w:t>
      </w:r>
      <w:r w:rsidR="00E241AB" w:rsidRPr="00446CE5">
        <w:rPr>
          <w:rFonts w:ascii="Times New Roman" w:hAnsi="Times New Roman" w:cs="Times New Roman"/>
        </w:rPr>
        <w:t xml:space="preserve"> or other small entities. The </w:t>
      </w:r>
      <w:r w:rsidR="00301B16">
        <w:rPr>
          <w:rFonts w:ascii="Times New Roman" w:hAnsi="Times New Roman" w:cs="Times New Roman"/>
        </w:rPr>
        <w:t>Participant</w:t>
      </w:r>
      <w:r w:rsidR="00E241AB" w:rsidRPr="00446CE5">
        <w:rPr>
          <w:rFonts w:ascii="Times New Roman" w:hAnsi="Times New Roman" w:cs="Times New Roman"/>
        </w:rPr>
        <w:t xml:space="preserve"> S</w:t>
      </w:r>
      <w:r w:rsidR="00587CC7" w:rsidRPr="00446CE5">
        <w:rPr>
          <w:rFonts w:ascii="Times New Roman" w:hAnsi="Times New Roman" w:cs="Times New Roman"/>
        </w:rPr>
        <w:t xml:space="preserve">urvey will collect information directly from </w:t>
      </w:r>
      <w:r>
        <w:rPr>
          <w:rFonts w:ascii="Times New Roman" w:hAnsi="Times New Roman" w:cs="Times New Roman"/>
        </w:rPr>
        <w:t>apprenticeship participants</w:t>
      </w:r>
      <w:r w:rsidR="00587CC7" w:rsidRPr="00446CE5">
        <w:rPr>
          <w:rFonts w:ascii="Times New Roman" w:hAnsi="Times New Roman" w:cs="Times New Roman"/>
        </w:rPr>
        <w:t xml:space="preserve">. </w:t>
      </w:r>
      <w:r w:rsidR="0014410E" w:rsidRPr="00446CE5">
        <w:rPr>
          <w:rFonts w:ascii="Times New Roman" w:hAnsi="Times New Roman" w:cs="Times New Roman"/>
        </w:rPr>
        <w:t xml:space="preserve">The </w:t>
      </w:r>
      <w:r w:rsidR="00EE5683" w:rsidRPr="00446CE5">
        <w:rPr>
          <w:rFonts w:ascii="Times New Roman" w:hAnsi="Times New Roman" w:cs="Times New Roman"/>
        </w:rPr>
        <w:t xml:space="preserve">Employer </w:t>
      </w:r>
      <w:r w:rsidR="00EE5683">
        <w:rPr>
          <w:rFonts w:ascii="Times New Roman" w:hAnsi="Times New Roman" w:cs="Times New Roman"/>
        </w:rPr>
        <w:t>Survey</w:t>
      </w:r>
      <w:r w:rsidR="0014410E" w:rsidRPr="00446CE5">
        <w:rPr>
          <w:rFonts w:ascii="Times New Roman" w:hAnsi="Times New Roman" w:cs="Times New Roman"/>
        </w:rPr>
        <w:t xml:space="preserve"> respondents are </w:t>
      </w:r>
      <w:r>
        <w:rPr>
          <w:rFonts w:ascii="Times New Roman" w:hAnsi="Times New Roman" w:cs="Times New Roman"/>
        </w:rPr>
        <w:t xml:space="preserve">employers </w:t>
      </w:r>
      <w:r w:rsidR="0014410E" w:rsidRPr="00446CE5">
        <w:rPr>
          <w:rFonts w:ascii="Times New Roman" w:hAnsi="Times New Roman" w:cs="Times New Roman"/>
        </w:rPr>
        <w:t xml:space="preserve">that have hired </w:t>
      </w:r>
      <w:r>
        <w:rPr>
          <w:rFonts w:ascii="Times New Roman" w:hAnsi="Times New Roman" w:cs="Times New Roman"/>
        </w:rPr>
        <w:t xml:space="preserve">one or more </w:t>
      </w:r>
      <w:r w:rsidR="0014410E" w:rsidRPr="00446CE5">
        <w:rPr>
          <w:rFonts w:ascii="Times New Roman" w:hAnsi="Times New Roman" w:cs="Times New Roman"/>
        </w:rPr>
        <w:t>apprentices</w:t>
      </w:r>
      <w:r w:rsidR="00C077A2">
        <w:rPr>
          <w:rFonts w:ascii="Times New Roman" w:hAnsi="Times New Roman" w:cs="Times New Roman"/>
        </w:rPr>
        <w:t xml:space="preserve">, </w:t>
      </w:r>
      <w:r w:rsidR="0030446A">
        <w:rPr>
          <w:rFonts w:ascii="Times New Roman" w:hAnsi="Times New Roman" w:cs="Times New Roman"/>
        </w:rPr>
        <w:t>and some of them</w:t>
      </w:r>
      <w:r w:rsidR="00C077A2">
        <w:rPr>
          <w:rFonts w:ascii="Times New Roman" w:hAnsi="Times New Roman" w:cs="Times New Roman"/>
        </w:rPr>
        <w:t xml:space="preserve"> </w:t>
      </w:r>
      <w:r w:rsidR="0014410E" w:rsidRPr="00446CE5">
        <w:rPr>
          <w:rFonts w:ascii="Times New Roman" w:hAnsi="Times New Roman" w:cs="Times New Roman"/>
        </w:rPr>
        <w:t xml:space="preserve">may be small </w:t>
      </w:r>
      <w:r>
        <w:rPr>
          <w:rFonts w:ascii="Times New Roman" w:hAnsi="Times New Roman" w:cs="Times New Roman"/>
        </w:rPr>
        <w:t>businesses</w:t>
      </w:r>
      <w:r w:rsidR="0014410E" w:rsidRPr="00446CE5">
        <w:rPr>
          <w:rFonts w:ascii="Times New Roman" w:hAnsi="Times New Roman" w:cs="Times New Roman"/>
        </w:rPr>
        <w:t>.</w:t>
      </w:r>
      <w:r w:rsidR="00EE5683">
        <w:rPr>
          <w:rFonts w:ascii="Times New Roman" w:hAnsi="Times New Roman" w:cs="Times New Roman"/>
        </w:rPr>
        <w:t xml:space="preserve"> </w:t>
      </w:r>
    </w:p>
    <w:p w14:paraId="2A6BB152" w14:textId="7226CB19" w:rsidR="00587CC7" w:rsidRPr="00446CE5" w:rsidRDefault="0014410E" w:rsidP="0045217E">
      <w:pPr>
        <w:rPr>
          <w:rFonts w:ascii="Times New Roman" w:hAnsi="Times New Roman" w:cs="Times New Roman"/>
        </w:rPr>
      </w:pPr>
      <w:r w:rsidRPr="00446CE5">
        <w:rPr>
          <w:rFonts w:ascii="Times New Roman" w:hAnsi="Times New Roman" w:cs="Times New Roman"/>
        </w:rPr>
        <w:t>T</w:t>
      </w:r>
      <w:r w:rsidR="00C22C3E" w:rsidRPr="00446CE5">
        <w:rPr>
          <w:rFonts w:ascii="Times New Roman" w:hAnsi="Times New Roman" w:cs="Times New Roman"/>
        </w:rPr>
        <w:t xml:space="preserve">he study team </w:t>
      </w:r>
      <w:r w:rsidRPr="00446CE5">
        <w:rPr>
          <w:rFonts w:ascii="Times New Roman" w:hAnsi="Times New Roman" w:cs="Times New Roman"/>
        </w:rPr>
        <w:t>will take steps to reduce the burden on small business</w:t>
      </w:r>
      <w:r w:rsidR="00444E5E" w:rsidRPr="00446CE5">
        <w:rPr>
          <w:rFonts w:ascii="Times New Roman" w:hAnsi="Times New Roman" w:cs="Times New Roman"/>
        </w:rPr>
        <w:t>es</w:t>
      </w:r>
      <w:r w:rsidRPr="00446CE5">
        <w:rPr>
          <w:rFonts w:ascii="Times New Roman" w:hAnsi="Times New Roman" w:cs="Times New Roman"/>
        </w:rPr>
        <w:t xml:space="preserve">. </w:t>
      </w:r>
      <w:r w:rsidR="00553C1B">
        <w:rPr>
          <w:rFonts w:ascii="Times New Roman" w:hAnsi="Times New Roman" w:cs="Times New Roman"/>
        </w:rPr>
        <w:t xml:space="preserve">It will collect </w:t>
      </w:r>
      <w:r w:rsidR="00EE5683" w:rsidRPr="00B655A3">
        <w:rPr>
          <w:rFonts w:ascii="Times New Roman" w:hAnsi="Times New Roman" w:cs="Times New Roman"/>
        </w:rPr>
        <w:t>the minimal amount of data needed.</w:t>
      </w:r>
      <w:r w:rsidR="00EE5683" w:rsidRPr="0045217E">
        <w:rPr>
          <w:rFonts w:ascii="Times New Roman" w:hAnsi="Times New Roman" w:cs="Times New Roman"/>
        </w:rPr>
        <w:t xml:space="preserve"> </w:t>
      </w:r>
      <w:r w:rsidR="00F91E3F" w:rsidRPr="00446CE5">
        <w:rPr>
          <w:rFonts w:ascii="Times New Roman" w:hAnsi="Times New Roman" w:cs="Times New Roman"/>
        </w:rPr>
        <w:t xml:space="preserve">As mentioned in </w:t>
      </w:r>
      <w:r w:rsidR="00F3746F">
        <w:rPr>
          <w:rFonts w:ascii="Times New Roman" w:hAnsi="Times New Roman" w:cs="Times New Roman"/>
        </w:rPr>
        <w:t>A.</w:t>
      </w:r>
      <w:r w:rsidR="00F91E3F" w:rsidRPr="00446CE5">
        <w:rPr>
          <w:rFonts w:ascii="Times New Roman" w:hAnsi="Times New Roman" w:cs="Times New Roman"/>
        </w:rPr>
        <w:t>2, the survey is voluntary</w:t>
      </w:r>
      <w:r w:rsidR="00C87901">
        <w:rPr>
          <w:rFonts w:ascii="Times New Roman" w:hAnsi="Times New Roman" w:cs="Times New Roman"/>
        </w:rPr>
        <w:t xml:space="preserve">; </w:t>
      </w:r>
      <w:r w:rsidR="00101E64">
        <w:rPr>
          <w:rFonts w:ascii="Times New Roman" w:hAnsi="Times New Roman" w:cs="Times New Roman"/>
        </w:rPr>
        <w:t xml:space="preserve">any employer, regardless of size, </w:t>
      </w:r>
      <w:r w:rsidR="00C87901">
        <w:rPr>
          <w:rFonts w:ascii="Times New Roman" w:hAnsi="Times New Roman" w:cs="Times New Roman"/>
        </w:rPr>
        <w:t>can opt not to participate in it</w:t>
      </w:r>
      <w:r w:rsidR="00D11472" w:rsidRPr="00446CE5">
        <w:rPr>
          <w:rFonts w:ascii="Times New Roman" w:hAnsi="Times New Roman" w:cs="Times New Roman"/>
        </w:rPr>
        <w:t xml:space="preserve">. </w:t>
      </w:r>
      <w:r w:rsidR="00DF2181">
        <w:rPr>
          <w:rFonts w:ascii="Times New Roman" w:hAnsi="Times New Roman" w:cs="Times New Roman"/>
        </w:rPr>
        <w:t>T</w:t>
      </w:r>
      <w:r w:rsidR="00AC0FFA">
        <w:rPr>
          <w:rFonts w:ascii="Times New Roman" w:hAnsi="Times New Roman" w:cs="Times New Roman"/>
        </w:rPr>
        <w:t xml:space="preserve">he </w:t>
      </w:r>
      <w:r w:rsidR="0082645A">
        <w:rPr>
          <w:rFonts w:ascii="Times New Roman" w:hAnsi="Times New Roman" w:cs="Times New Roman"/>
        </w:rPr>
        <w:t xml:space="preserve">evaluator </w:t>
      </w:r>
      <w:r w:rsidR="00AC0FFA">
        <w:rPr>
          <w:rFonts w:ascii="Times New Roman" w:hAnsi="Times New Roman" w:cs="Times New Roman"/>
        </w:rPr>
        <w:t xml:space="preserve">will </w:t>
      </w:r>
      <w:r w:rsidR="0082645A">
        <w:rPr>
          <w:rFonts w:ascii="Times New Roman" w:hAnsi="Times New Roman" w:cs="Times New Roman"/>
        </w:rPr>
        <w:t>first</w:t>
      </w:r>
      <w:r w:rsidR="00AC0FFA">
        <w:rPr>
          <w:rFonts w:ascii="Times New Roman" w:hAnsi="Times New Roman" w:cs="Times New Roman"/>
        </w:rPr>
        <w:t xml:space="preserve"> ask AAI grantees to answer some questions, reducing the time small businesses spend gathering data and answering survey questions.</w:t>
      </w:r>
    </w:p>
    <w:p w14:paraId="0D40A756" w14:textId="77777777" w:rsidR="001276E1" w:rsidRPr="00446CE5" w:rsidRDefault="00087751" w:rsidP="0045217E">
      <w:pPr>
        <w:pStyle w:val="ListParagraph"/>
        <w:ind w:left="0"/>
        <w:rPr>
          <w:rFonts w:ascii="Times New Roman" w:hAnsi="Times New Roman" w:cs="Times New Roman"/>
          <w:b/>
        </w:rPr>
      </w:pPr>
      <w:r>
        <w:rPr>
          <w:rFonts w:ascii="Times New Roman" w:hAnsi="Times New Roman" w:cs="Times New Roman"/>
          <w:b/>
        </w:rPr>
        <w:t>A.</w:t>
      </w:r>
      <w:r w:rsidR="001276E1" w:rsidRPr="00446CE5">
        <w:rPr>
          <w:rFonts w:ascii="Times New Roman" w:hAnsi="Times New Roman" w:cs="Times New Roman"/>
          <w:b/>
        </w:rPr>
        <w:t xml:space="preserve">6. </w:t>
      </w:r>
      <w:r w:rsidR="009E2D4B" w:rsidRPr="00446CE5">
        <w:rPr>
          <w:rFonts w:ascii="Times New Roman" w:hAnsi="Times New Roman" w:cs="Times New Roman"/>
          <w:b/>
        </w:rPr>
        <w:t>Consequences of Less Frequent Data Collection</w:t>
      </w:r>
    </w:p>
    <w:p w14:paraId="7D69BA22" w14:textId="3DA1B436" w:rsidR="001276E1" w:rsidRPr="00446CE5" w:rsidRDefault="00352A29" w:rsidP="0045217E">
      <w:pPr>
        <w:rPr>
          <w:rFonts w:ascii="Times New Roman" w:hAnsi="Times New Roman" w:cs="Times New Roman"/>
        </w:rPr>
      </w:pPr>
      <w:r w:rsidRPr="00446CE5">
        <w:rPr>
          <w:rFonts w:ascii="Times New Roman" w:hAnsi="Times New Roman" w:cs="Times New Roman"/>
        </w:rPr>
        <w:t xml:space="preserve">Both the Employer Survey and the </w:t>
      </w:r>
      <w:r w:rsidR="00301B16">
        <w:rPr>
          <w:rFonts w:ascii="Times New Roman" w:hAnsi="Times New Roman" w:cs="Times New Roman"/>
        </w:rPr>
        <w:t>Participant</w:t>
      </w:r>
      <w:r w:rsidRPr="00446CE5">
        <w:rPr>
          <w:rFonts w:ascii="Times New Roman" w:hAnsi="Times New Roman" w:cs="Times New Roman"/>
        </w:rPr>
        <w:t xml:space="preserve"> Survey will </w:t>
      </w:r>
      <w:r w:rsidR="00101E64">
        <w:rPr>
          <w:rFonts w:ascii="Times New Roman" w:hAnsi="Times New Roman" w:cs="Times New Roman"/>
        </w:rPr>
        <w:t xml:space="preserve">be </w:t>
      </w:r>
      <w:r w:rsidRPr="00446CE5">
        <w:rPr>
          <w:rFonts w:ascii="Times New Roman" w:hAnsi="Times New Roman" w:cs="Times New Roman"/>
        </w:rPr>
        <w:t xml:space="preserve">administered once. The </w:t>
      </w:r>
      <w:r w:rsidR="00101E64">
        <w:rPr>
          <w:rFonts w:ascii="Times New Roman" w:hAnsi="Times New Roman" w:cs="Times New Roman"/>
        </w:rPr>
        <w:t>evaluat</w:t>
      </w:r>
      <w:r w:rsidR="0082645A">
        <w:rPr>
          <w:rFonts w:ascii="Times New Roman" w:hAnsi="Times New Roman" w:cs="Times New Roman"/>
        </w:rPr>
        <w:t>or</w:t>
      </w:r>
      <w:r w:rsidR="00101E64">
        <w:rPr>
          <w:rFonts w:ascii="Times New Roman" w:hAnsi="Times New Roman" w:cs="Times New Roman"/>
        </w:rPr>
        <w:t xml:space="preserve"> would have great difficulty </w:t>
      </w:r>
      <w:r w:rsidRPr="00446CE5">
        <w:rPr>
          <w:rFonts w:ascii="Times New Roman" w:hAnsi="Times New Roman" w:cs="Times New Roman"/>
        </w:rPr>
        <w:t>address</w:t>
      </w:r>
      <w:r w:rsidR="00101E64">
        <w:rPr>
          <w:rFonts w:ascii="Times New Roman" w:hAnsi="Times New Roman" w:cs="Times New Roman"/>
        </w:rPr>
        <w:t>ing</w:t>
      </w:r>
      <w:r w:rsidRPr="00446CE5">
        <w:rPr>
          <w:rFonts w:ascii="Times New Roman" w:hAnsi="Times New Roman" w:cs="Times New Roman"/>
        </w:rPr>
        <w:t xml:space="preserve"> the </w:t>
      </w:r>
      <w:r w:rsidR="00101E64">
        <w:rPr>
          <w:rFonts w:ascii="Times New Roman" w:hAnsi="Times New Roman" w:cs="Times New Roman"/>
        </w:rPr>
        <w:t>outcomes study</w:t>
      </w:r>
      <w:r w:rsidRPr="00446CE5">
        <w:rPr>
          <w:rFonts w:ascii="Times New Roman" w:hAnsi="Times New Roman" w:cs="Times New Roman"/>
        </w:rPr>
        <w:t xml:space="preserve"> </w:t>
      </w:r>
      <w:r w:rsidR="00101E64">
        <w:rPr>
          <w:rFonts w:ascii="Times New Roman" w:hAnsi="Times New Roman" w:cs="Times New Roman"/>
        </w:rPr>
        <w:t xml:space="preserve">and ROI </w:t>
      </w:r>
      <w:r w:rsidR="00E74791" w:rsidRPr="00446CE5">
        <w:rPr>
          <w:rFonts w:ascii="Times New Roman" w:hAnsi="Times New Roman" w:cs="Times New Roman"/>
        </w:rPr>
        <w:t>questions</w:t>
      </w:r>
      <w:r w:rsidR="00101E64">
        <w:rPr>
          <w:rFonts w:ascii="Times New Roman" w:hAnsi="Times New Roman" w:cs="Times New Roman"/>
        </w:rPr>
        <w:t xml:space="preserve"> in absence of this data collection</w:t>
      </w:r>
      <w:r w:rsidRPr="00446CE5">
        <w:rPr>
          <w:rFonts w:ascii="Times New Roman" w:hAnsi="Times New Roman" w:cs="Times New Roman"/>
        </w:rPr>
        <w:t>. The Employer Survey is the key source of inform</w:t>
      </w:r>
      <w:r w:rsidR="0059196A">
        <w:rPr>
          <w:rFonts w:ascii="Times New Roman" w:hAnsi="Times New Roman" w:cs="Times New Roman"/>
        </w:rPr>
        <w:t>ation for the ROI study and the</w:t>
      </w:r>
      <w:r w:rsidRPr="00446CE5">
        <w:rPr>
          <w:rFonts w:ascii="Times New Roman" w:hAnsi="Times New Roman" w:cs="Times New Roman"/>
        </w:rPr>
        <w:t xml:space="preserve"> information in the survey could not be obtained from any other sources. Similarly,</w:t>
      </w:r>
      <w:r w:rsidR="00101E64">
        <w:rPr>
          <w:rFonts w:ascii="Times New Roman" w:hAnsi="Times New Roman" w:cs="Times New Roman"/>
        </w:rPr>
        <w:t xml:space="preserve"> the Participant Survey is the only source of information about apprentice motivations, in apprenticeship experiences, and outcomes.</w:t>
      </w:r>
      <w:r w:rsidRPr="00446CE5">
        <w:rPr>
          <w:rFonts w:ascii="Times New Roman" w:hAnsi="Times New Roman" w:cs="Times New Roman"/>
        </w:rPr>
        <w:t xml:space="preserve"> </w:t>
      </w:r>
    </w:p>
    <w:p w14:paraId="6ACC8020" w14:textId="416B9675" w:rsidR="00E74791"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E74791" w:rsidRPr="00446CE5">
        <w:rPr>
          <w:rFonts w:ascii="Times New Roman" w:hAnsi="Times New Roman" w:cs="Times New Roman"/>
          <w:b/>
        </w:rPr>
        <w:t xml:space="preserve">7. </w:t>
      </w:r>
      <w:r w:rsidR="009E2D4B" w:rsidRPr="00446CE5">
        <w:rPr>
          <w:rFonts w:ascii="Times New Roman" w:hAnsi="Times New Roman" w:cs="Times New Roman"/>
          <w:b/>
        </w:rPr>
        <w:t>Special Circumstances</w:t>
      </w:r>
      <w:r w:rsidR="00396A5A">
        <w:rPr>
          <w:rFonts w:ascii="Times New Roman" w:hAnsi="Times New Roman" w:cs="Times New Roman"/>
          <w:b/>
        </w:rPr>
        <w:t xml:space="preserve"> of Data Collection</w:t>
      </w:r>
    </w:p>
    <w:p w14:paraId="425C38B9" w14:textId="77777777" w:rsidR="00E74791" w:rsidRPr="00446CE5" w:rsidRDefault="00E74791" w:rsidP="003006AA">
      <w:pPr>
        <w:pStyle w:val="ListParagraph"/>
        <w:ind w:left="0"/>
        <w:rPr>
          <w:rFonts w:ascii="Times New Roman" w:hAnsi="Times New Roman" w:cs="Times New Roman"/>
        </w:rPr>
      </w:pPr>
    </w:p>
    <w:p w14:paraId="66F8D6AA" w14:textId="77777777" w:rsidR="00E74791" w:rsidRPr="00446CE5" w:rsidRDefault="00324BB5" w:rsidP="003006AA">
      <w:pPr>
        <w:pStyle w:val="ListParagraph"/>
        <w:ind w:left="0"/>
        <w:rPr>
          <w:rFonts w:ascii="Times New Roman" w:hAnsi="Times New Roman" w:cs="Times New Roman"/>
        </w:rPr>
      </w:pPr>
      <w:r w:rsidRPr="00324BB5">
        <w:rPr>
          <w:rFonts w:ascii="Times New Roman" w:hAnsi="Times New Roman" w:cs="Times New Roman"/>
        </w:rPr>
        <w:t>There are no special circumstances fo</w:t>
      </w:r>
      <w:r>
        <w:rPr>
          <w:rFonts w:ascii="Times New Roman" w:hAnsi="Times New Roman" w:cs="Times New Roman"/>
        </w:rPr>
        <w:t>r the proposed data collection</w:t>
      </w:r>
      <w:r w:rsidR="00E74791" w:rsidRPr="00446CE5">
        <w:rPr>
          <w:rFonts w:ascii="Times New Roman" w:hAnsi="Times New Roman" w:cs="Times New Roman"/>
        </w:rPr>
        <w:t>.</w:t>
      </w:r>
    </w:p>
    <w:p w14:paraId="63F07309" w14:textId="77777777" w:rsidR="00E74791" w:rsidRPr="00446CE5" w:rsidRDefault="00087751" w:rsidP="00E74791">
      <w:pPr>
        <w:rPr>
          <w:rFonts w:ascii="Times New Roman" w:hAnsi="Times New Roman" w:cs="Times New Roman"/>
          <w:b/>
        </w:rPr>
      </w:pPr>
      <w:r>
        <w:rPr>
          <w:rFonts w:ascii="Times New Roman" w:hAnsi="Times New Roman" w:cs="Times New Roman"/>
          <w:b/>
        </w:rPr>
        <w:t>A.</w:t>
      </w:r>
      <w:r w:rsidR="00E74791" w:rsidRPr="00446CE5">
        <w:rPr>
          <w:rFonts w:ascii="Times New Roman" w:hAnsi="Times New Roman" w:cs="Times New Roman"/>
          <w:b/>
        </w:rPr>
        <w:t xml:space="preserve">8. </w:t>
      </w:r>
      <w:r w:rsidR="00396A5A" w:rsidRPr="00396A5A">
        <w:rPr>
          <w:rFonts w:ascii="Times New Roman" w:hAnsi="Times New Roman" w:cs="Times New Roman"/>
          <w:b/>
        </w:rPr>
        <w:t>Federal Register announcement and Consultations Outside the Agency</w:t>
      </w:r>
    </w:p>
    <w:p w14:paraId="1A79FBC2" w14:textId="3CCB9D1F" w:rsidR="00E74791" w:rsidRPr="00446CE5" w:rsidRDefault="00E74791" w:rsidP="003006AA">
      <w:pPr>
        <w:pStyle w:val="ListParagraph"/>
        <w:ind w:left="0"/>
        <w:rPr>
          <w:rFonts w:ascii="Times New Roman" w:hAnsi="Times New Roman" w:cs="Times New Roman"/>
        </w:rPr>
      </w:pPr>
      <w:r w:rsidRPr="00446CE5">
        <w:rPr>
          <w:rFonts w:ascii="Times New Roman" w:hAnsi="Times New Roman" w:cs="Times New Roman"/>
        </w:rPr>
        <w:t>A 60-day notice to solicit public comments was published in the Federal Register</w:t>
      </w:r>
      <w:r w:rsidRPr="00A06964">
        <w:rPr>
          <w:rFonts w:ascii="Times New Roman" w:hAnsi="Times New Roman" w:cs="Times New Roman"/>
        </w:rPr>
        <w:t xml:space="preserve">, </w:t>
      </w:r>
      <w:r w:rsidRPr="00A81E7F">
        <w:rPr>
          <w:rFonts w:ascii="Times New Roman" w:hAnsi="Times New Roman" w:cs="Times New Roman"/>
        </w:rPr>
        <w:t xml:space="preserve">Volume </w:t>
      </w:r>
      <w:r w:rsidR="0030446A" w:rsidRPr="00A81E7F">
        <w:rPr>
          <w:rFonts w:ascii="Times New Roman" w:hAnsi="Times New Roman" w:cs="Times New Roman"/>
        </w:rPr>
        <w:t>83</w:t>
      </w:r>
      <w:r w:rsidRPr="00A81E7F">
        <w:rPr>
          <w:rFonts w:ascii="Times New Roman" w:hAnsi="Times New Roman" w:cs="Times New Roman"/>
        </w:rPr>
        <w:t xml:space="preserve">, No. </w:t>
      </w:r>
      <w:r w:rsidR="0030446A" w:rsidRPr="00A81E7F">
        <w:rPr>
          <w:rFonts w:ascii="Times New Roman" w:hAnsi="Times New Roman" w:cs="Times New Roman"/>
        </w:rPr>
        <w:t>166</w:t>
      </w:r>
      <w:r w:rsidRPr="00A81E7F">
        <w:rPr>
          <w:rFonts w:ascii="Times New Roman" w:hAnsi="Times New Roman" w:cs="Times New Roman"/>
        </w:rPr>
        <w:t xml:space="preserve">, page </w:t>
      </w:r>
      <w:r w:rsidR="0030446A" w:rsidRPr="00A81E7F">
        <w:rPr>
          <w:rFonts w:ascii="Times New Roman" w:hAnsi="Times New Roman" w:cs="Times New Roman"/>
        </w:rPr>
        <w:t>43708</w:t>
      </w:r>
      <w:r w:rsidRPr="00A81E7F">
        <w:rPr>
          <w:rFonts w:ascii="Times New Roman" w:hAnsi="Times New Roman" w:cs="Times New Roman"/>
        </w:rPr>
        <w:t xml:space="preserve">, on </w:t>
      </w:r>
      <w:r w:rsidR="0030446A" w:rsidRPr="00A06964">
        <w:rPr>
          <w:rFonts w:ascii="Times New Roman" w:hAnsi="Times New Roman" w:cs="Times New Roman"/>
        </w:rPr>
        <w:t>August 27, 2018</w:t>
      </w:r>
      <w:r w:rsidRPr="00A06964">
        <w:rPr>
          <w:rFonts w:ascii="Times New Roman" w:hAnsi="Times New Roman" w:cs="Times New Roman"/>
        </w:rPr>
        <w:t xml:space="preserve">. </w:t>
      </w:r>
      <w:r w:rsidR="007E0E26">
        <w:rPr>
          <w:rFonts w:ascii="Times New Roman" w:hAnsi="Times New Roman" w:cs="Times New Roman"/>
        </w:rPr>
        <w:t xml:space="preserve">DOL received one </w:t>
      </w:r>
      <w:r w:rsidR="0030446A" w:rsidRPr="00A06964">
        <w:rPr>
          <w:rFonts w:ascii="Times New Roman" w:hAnsi="Times New Roman" w:cs="Times New Roman"/>
        </w:rPr>
        <w:t xml:space="preserve">request for electronic </w:t>
      </w:r>
      <w:r w:rsidR="007E0E26">
        <w:rPr>
          <w:rFonts w:ascii="Times New Roman" w:hAnsi="Times New Roman" w:cs="Times New Roman"/>
        </w:rPr>
        <w:t xml:space="preserve">versions </w:t>
      </w:r>
      <w:r w:rsidR="0030446A" w:rsidRPr="00A06964">
        <w:rPr>
          <w:rFonts w:ascii="Times New Roman" w:hAnsi="Times New Roman" w:cs="Times New Roman"/>
        </w:rPr>
        <w:t>of t</w:t>
      </w:r>
      <w:r w:rsidR="0030446A">
        <w:rPr>
          <w:rFonts w:ascii="Times New Roman" w:hAnsi="Times New Roman" w:cs="Times New Roman"/>
        </w:rPr>
        <w:t xml:space="preserve">he </w:t>
      </w:r>
      <w:r w:rsidR="007E0E26">
        <w:rPr>
          <w:rFonts w:ascii="Times New Roman" w:hAnsi="Times New Roman" w:cs="Times New Roman"/>
        </w:rPr>
        <w:t>Employer Survey and Participant Survey</w:t>
      </w:r>
      <w:r w:rsidR="0030446A">
        <w:rPr>
          <w:rFonts w:ascii="Times New Roman" w:hAnsi="Times New Roman" w:cs="Times New Roman"/>
        </w:rPr>
        <w:t>.</w:t>
      </w:r>
    </w:p>
    <w:p w14:paraId="4E31B274" w14:textId="77777777" w:rsidR="00324BB5" w:rsidRDefault="00E06CB5" w:rsidP="00324BB5">
      <w:pPr>
        <w:pStyle w:val="BodyText"/>
        <w:rPr>
          <w:rFonts w:ascii="Times New Roman" w:hAnsi="Times New Roman" w:cs="Times New Roman"/>
        </w:rPr>
      </w:pPr>
      <w:r w:rsidRPr="00446CE5">
        <w:rPr>
          <w:rFonts w:ascii="Times New Roman" w:hAnsi="Times New Roman" w:cs="Times New Roman"/>
        </w:rPr>
        <w:t>The</w:t>
      </w:r>
      <w:r w:rsidR="00324BB5">
        <w:rPr>
          <w:rFonts w:ascii="Times New Roman" w:hAnsi="Times New Roman" w:cs="Times New Roman"/>
        </w:rPr>
        <w:t xml:space="preserve"> following people were consulted on the evaluation design and data collection tools for this study:</w:t>
      </w:r>
      <w:r w:rsidRPr="00446CE5">
        <w:rPr>
          <w:rFonts w:ascii="Times New Roman" w:hAnsi="Times New Roman" w:cs="Times New Roman"/>
        </w:rPr>
        <w:t xml:space="preserve"> </w:t>
      </w:r>
    </w:p>
    <w:p w14:paraId="6397E29B" w14:textId="77777777" w:rsidR="00324BB5" w:rsidRDefault="00E06CB5" w:rsidP="007B409B">
      <w:pPr>
        <w:pStyle w:val="BodyText"/>
        <w:numPr>
          <w:ilvl w:val="0"/>
          <w:numId w:val="12"/>
        </w:numPr>
        <w:rPr>
          <w:rFonts w:ascii="Times New Roman" w:hAnsi="Times New Roman" w:cs="Times New Roman"/>
        </w:rPr>
      </w:pPr>
      <w:r w:rsidRPr="00446CE5">
        <w:rPr>
          <w:rFonts w:ascii="Times New Roman" w:hAnsi="Times New Roman" w:cs="Times New Roman"/>
        </w:rPr>
        <w:t xml:space="preserve">Carolyn Heinrich, Professor of Public Policy, Education and Economics, Vanderbilt University; Research Professor at the Lyndon B. Johnson School of Public Affairs at University of Texas Austin; </w:t>
      </w:r>
    </w:p>
    <w:p w14:paraId="54DD45AD" w14:textId="77777777" w:rsidR="00324BB5" w:rsidRDefault="00E06CB5" w:rsidP="007B409B">
      <w:pPr>
        <w:pStyle w:val="BodyText"/>
        <w:numPr>
          <w:ilvl w:val="0"/>
          <w:numId w:val="12"/>
        </w:numPr>
        <w:rPr>
          <w:rFonts w:ascii="Times New Roman" w:hAnsi="Times New Roman" w:cs="Times New Roman"/>
        </w:rPr>
      </w:pPr>
      <w:r w:rsidRPr="00446CE5">
        <w:rPr>
          <w:rFonts w:ascii="Times New Roman" w:hAnsi="Times New Roman" w:cs="Times New Roman"/>
        </w:rPr>
        <w:t xml:space="preserve">Harry Holzer, Professor, McCourt School of Public Policy, Georgetown University; Nonresident Senior Fellow of Economic Studies, Brookings Institution; </w:t>
      </w:r>
    </w:p>
    <w:p w14:paraId="47C6D0DE" w14:textId="77777777" w:rsidR="00324BB5" w:rsidRDefault="00E06CB5" w:rsidP="007B409B">
      <w:pPr>
        <w:pStyle w:val="BodyText"/>
        <w:numPr>
          <w:ilvl w:val="0"/>
          <w:numId w:val="12"/>
        </w:numPr>
        <w:rPr>
          <w:rFonts w:ascii="Times New Roman" w:hAnsi="Times New Roman" w:cs="Times New Roman"/>
        </w:rPr>
      </w:pPr>
      <w:r w:rsidRPr="00446CE5">
        <w:rPr>
          <w:rFonts w:ascii="Times New Roman" w:hAnsi="Times New Roman" w:cs="Times New Roman"/>
        </w:rPr>
        <w:t xml:space="preserve">Chris King, Senior Research Scientist, Ray Marshall Center and Lecturer at the Lyndon B. Johnson School of Public Affairs, University of Texas Austin; </w:t>
      </w:r>
    </w:p>
    <w:p w14:paraId="3147B861" w14:textId="77777777" w:rsidR="00324BB5" w:rsidRDefault="00E06CB5" w:rsidP="00F517E2">
      <w:pPr>
        <w:pStyle w:val="BodyText"/>
        <w:numPr>
          <w:ilvl w:val="0"/>
          <w:numId w:val="12"/>
        </w:numPr>
        <w:spacing w:after="200"/>
        <w:rPr>
          <w:rFonts w:ascii="Times New Roman" w:hAnsi="Times New Roman" w:cs="Times New Roman"/>
        </w:rPr>
      </w:pPr>
      <w:r w:rsidRPr="00446CE5">
        <w:rPr>
          <w:rFonts w:ascii="Times New Roman" w:hAnsi="Times New Roman" w:cs="Times New Roman"/>
        </w:rPr>
        <w:t>Stefan Wolter, Managing Director, Swiss Coordination Centre for Research in Education; Professor of Economics at the University of Bern.</w:t>
      </w:r>
      <w:r w:rsidR="001B2519">
        <w:rPr>
          <w:rFonts w:ascii="Times New Roman" w:hAnsi="Times New Roman" w:cs="Times New Roman"/>
        </w:rPr>
        <w:t xml:space="preserve"> </w:t>
      </w:r>
    </w:p>
    <w:p w14:paraId="6F806F95" w14:textId="77777777" w:rsidR="00E06CB5" w:rsidRPr="00446CE5" w:rsidRDefault="00324BB5" w:rsidP="00F517E2">
      <w:pPr>
        <w:pStyle w:val="BodyText"/>
        <w:spacing w:after="200"/>
        <w:rPr>
          <w:rFonts w:ascii="Times New Roman" w:hAnsi="Times New Roman" w:cs="Times New Roman"/>
        </w:rPr>
      </w:pPr>
      <w:r>
        <w:rPr>
          <w:rFonts w:ascii="Times New Roman" w:hAnsi="Times New Roman" w:cs="Times New Roman"/>
        </w:rPr>
        <w:t xml:space="preserve">Additionally, </w:t>
      </w:r>
      <w:r w:rsidR="001B2519">
        <w:rPr>
          <w:rFonts w:ascii="Times New Roman" w:hAnsi="Times New Roman" w:cs="Times New Roman"/>
        </w:rPr>
        <w:t>Dr. Susan Helper</w:t>
      </w:r>
      <w:r>
        <w:rPr>
          <w:rFonts w:ascii="Times New Roman" w:hAnsi="Times New Roman" w:cs="Times New Roman"/>
        </w:rPr>
        <w:t>,</w:t>
      </w:r>
      <w:r w:rsidR="001B2519">
        <w:rPr>
          <w:rFonts w:ascii="Times New Roman" w:hAnsi="Times New Roman" w:cs="Times New Roman"/>
        </w:rPr>
        <w:t xml:space="preserve"> </w:t>
      </w:r>
      <w:r w:rsidRPr="00324BB5">
        <w:rPr>
          <w:rFonts w:ascii="Times New Roman" w:hAnsi="Times New Roman" w:cs="Times New Roman"/>
        </w:rPr>
        <w:t>Frank Tracy Carlton Professor of Economics at the Weatherhead School of Management at Case Western Reserve University</w:t>
      </w:r>
      <w:r>
        <w:rPr>
          <w:rFonts w:ascii="Times New Roman" w:hAnsi="Times New Roman" w:cs="Times New Roman"/>
        </w:rPr>
        <w:t xml:space="preserve">, </w:t>
      </w:r>
      <w:r w:rsidR="001B2519">
        <w:rPr>
          <w:rFonts w:ascii="Times New Roman" w:hAnsi="Times New Roman" w:cs="Times New Roman"/>
        </w:rPr>
        <w:t xml:space="preserve">reviewed the Employer Survey. </w:t>
      </w:r>
    </w:p>
    <w:p w14:paraId="641D1A74" w14:textId="2ABA0FAA" w:rsidR="00227534"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E74791" w:rsidRPr="00446CE5">
        <w:rPr>
          <w:rFonts w:ascii="Times New Roman" w:hAnsi="Times New Roman" w:cs="Times New Roman"/>
          <w:b/>
        </w:rPr>
        <w:t xml:space="preserve">9. </w:t>
      </w:r>
      <w:r w:rsidR="009E2D4B" w:rsidRPr="00446CE5">
        <w:rPr>
          <w:rFonts w:ascii="Times New Roman" w:hAnsi="Times New Roman" w:cs="Times New Roman"/>
          <w:b/>
        </w:rPr>
        <w:t>Payment</w:t>
      </w:r>
      <w:r w:rsidR="004650E5">
        <w:rPr>
          <w:rFonts w:ascii="Times New Roman" w:hAnsi="Times New Roman" w:cs="Times New Roman"/>
          <w:b/>
        </w:rPr>
        <w:t>s</w:t>
      </w:r>
      <w:r w:rsidR="009E2D4B" w:rsidRPr="00446CE5">
        <w:rPr>
          <w:rFonts w:ascii="Times New Roman" w:hAnsi="Times New Roman" w:cs="Times New Roman"/>
          <w:b/>
        </w:rPr>
        <w:t xml:space="preserve"> </w:t>
      </w:r>
      <w:r w:rsidR="004650E5">
        <w:rPr>
          <w:rFonts w:ascii="Times New Roman" w:hAnsi="Times New Roman" w:cs="Times New Roman"/>
          <w:b/>
        </w:rPr>
        <w:t>to</w:t>
      </w:r>
      <w:r w:rsidR="009E2D4B" w:rsidRPr="00446CE5">
        <w:rPr>
          <w:rFonts w:ascii="Times New Roman" w:hAnsi="Times New Roman" w:cs="Times New Roman"/>
          <w:b/>
        </w:rPr>
        <w:t xml:space="preserve"> Respondents</w:t>
      </w:r>
    </w:p>
    <w:p w14:paraId="646D202C" w14:textId="7F800209" w:rsidR="00BA0C9A" w:rsidRDefault="00301B16" w:rsidP="00220CD6">
      <w:pPr>
        <w:pStyle w:val="BodyText"/>
        <w:spacing w:after="200"/>
        <w:rPr>
          <w:rFonts w:ascii="Times New Roman" w:hAnsi="Times New Roman" w:cs="Times New Roman"/>
        </w:rPr>
      </w:pPr>
      <w:r>
        <w:rPr>
          <w:rFonts w:ascii="Times New Roman" w:hAnsi="Times New Roman" w:cs="Times New Roman"/>
        </w:rPr>
        <w:t>Participant</w:t>
      </w:r>
      <w:r w:rsidR="00227534" w:rsidRPr="00446CE5">
        <w:rPr>
          <w:rFonts w:ascii="Times New Roman" w:hAnsi="Times New Roman" w:cs="Times New Roman"/>
        </w:rPr>
        <w:t xml:space="preserve"> Survey</w:t>
      </w:r>
      <w:r w:rsidR="0059196A">
        <w:rPr>
          <w:rFonts w:ascii="Times New Roman" w:hAnsi="Times New Roman" w:cs="Times New Roman"/>
        </w:rPr>
        <w:t xml:space="preserve"> respondents </w:t>
      </w:r>
      <w:r w:rsidR="00227534" w:rsidRPr="00446CE5">
        <w:rPr>
          <w:rFonts w:ascii="Times New Roman" w:hAnsi="Times New Roman" w:cs="Times New Roman"/>
        </w:rPr>
        <w:t xml:space="preserve">will receive </w:t>
      </w:r>
      <w:r w:rsidR="00BA0C9A">
        <w:rPr>
          <w:rFonts w:ascii="Times New Roman" w:hAnsi="Times New Roman" w:cs="Times New Roman"/>
        </w:rPr>
        <w:t xml:space="preserve">a payment in appreciation of their time for completing the survey. The </w:t>
      </w:r>
      <w:r w:rsidR="0082645A">
        <w:rPr>
          <w:rFonts w:ascii="Times New Roman" w:hAnsi="Times New Roman" w:cs="Times New Roman"/>
        </w:rPr>
        <w:t>evaluator proposes an experiment to assess the effects of respondent payments on survey response rates. The evaluator proposes to randomly assign apprentices to one of three payment options:</w:t>
      </w:r>
    </w:p>
    <w:p w14:paraId="7BEC065A" w14:textId="67516259" w:rsidR="00BA0C9A" w:rsidRPr="00CA7A8C" w:rsidRDefault="00BA0C9A" w:rsidP="00BA0C9A">
      <w:pPr>
        <w:pStyle w:val="ListParagraph"/>
        <w:numPr>
          <w:ilvl w:val="0"/>
          <w:numId w:val="15"/>
        </w:numPr>
        <w:spacing w:after="0" w:line="264" w:lineRule="auto"/>
        <w:rPr>
          <w:rFonts w:ascii="Times New Roman" w:hAnsi="Times New Roman" w:cs="Times New Roman"/>
        </w:rPr>
      </w:pPr>
      <w:r w:rsidRPr="00CA7A8C">
        <w:rPr>
          <w:rFonts w:ascii="Times New Roman" w:hAnsi="Times New Roman" w:cs="Times New Roman"/>
        </w:rPr>
        <w:t xml:space="preserve">Option 1: Constant $25 payment regardless of </w:t>
      </w:r>
      <w:r>
        <w:rPr>
          <w:rFonts w:ascii="Times New Roman" w:hAnsi="Times New Roman" w:cs="Times New Roman"/>
        </w:rPr>
        <w:t>when the survey is completed</w:t>
      </w:r>
      <w:r w:rsidR="0082645A">
        <w:rPr>
          <w:rFonts w:ascii="Times New Roman" w:hAnsi="Times New Roman" w:cs="Times New Roman"/>
        </w:rPr>
        <w:t xml:space="preserve"> and which mode used (online or phone)</w:t>
      </w:r>
    </w:p>
    <w:p w14:paraId="409D6B0A" w14:textId="29DFA12F" w:rsidR="00BA0C9A" w:rsidRDefault="00BA0C9A" w:rsidP="00BA0C9A">
      <w:pPr>
        <w:pStyle w:val="ListParagraph"/>
        <w:numPr>
          <w:ilvl w:val="0"/>
          <w:numId w:val="15"/>
        </w:numPr>
        <w:spacing w:after="0" w:line="264" w:lineRule="auto"/>
        <w:rPr>
          <w:rFonts w:ascii="Times New Roman" w:hAnsi="Times New Roman" w:cs="Times New Roman"/>
        </w:rPr>
      </w:pPr>
      <w:r w:rsidRPr="00CA7A8C">
        <w:rPr>
          <w:rFonts w:ascii="Times New Roman" w:hAnsi="Times New Roman" w:cs="Times New Roman"/>
        </w:rPr>
        <w:t xml:space="preserve">Option 2: Constant $40 payment regardless </w:t>
      </w:r>
      <w:r w:rsidRPr="00485140">
        <w:rPr>
          <w:rFonts w:ascii="Times New Roman" w:hAnsi="Times New Roman" w:cs="Times New Roman"/>
        </w:rPr>
        <w:t xml:space="preserve">of </w:t>
      </w:r>
      <w:r>
        <w:rPr>
          <w:rFonts w:ascii="Times New Roman" w:hAnsi="Times New Roman" w:cs="Times New Roman"/>
        </w:rPr>
        <w:t>when the survey is completed</w:t>
      </w:r>
      <w:r w:rsidRPr="00CA7A8C">
        <w:rPr>
          <w:rFonts w:ascii="Times New Roman" w:hAnsi="Times New Roman" w:cs="Times New Roman"/>
        </w:rPr>
        <w:t xml:space="preserve"> </w:t>
      </w:r>
      <w:r w:rsidR="0082645A">
        <w:rPr>
          <w:rFonts w:ascii="Times New Roman" w:hAnsi="Times New Roman" w:cs="Times New Roman"/>
        </w:rPr>
        <w:t>and which mode used (online or phone)</w:t>
      </w:r>
    </w:p>
    <w:p w14:paraId="66A486A9" w14:textId="6CDAFEA4" w:rsidR="00CA7A8C" w:rsidRDefault="00BA0C9A" w:rsidP="00CA7A8C">
      <w:pPr>
        <w:pStyle w:val="ListParagraph"/>
        <w:numPr>
          <w:ilvl w:val="0"/>
          <w:numId w:val="15"/>
        </w:numPr>
        <w:spacing w:line="264" w:lineRule="auto"/>
        <w:rPr>
          <w:rFonts w:ascii="Times New Roman" w:hAnsi="Times New Roman" w:cs="Times New Roman"/>
        </w:rPr>
      </w:pPr>
      <w:r w:rsidRPr="00CA7A8C">
        <w:rPr>
          <w:rFonts w:ascii="Times New Roman" w:hAnsi="Times New Roman" w:cs="Times New Roman"/>
        </w:rPr>
        <w:t>Option 3: Two-tier payment: $40 payment if the survey is completed during the first four weeks of administration</w:t>
      </w:r>
      <w:r w:rsidR="0082645A">
        <w:rPr>
          <w:rFonts w:ascii="Times New Roman" w:hAnsi="Times New Roman" w:cs="Times New Roman"/>
        </w:rPr>
        <w:t xml:space="preserve"> (the online mode)</w:t>
      </w:r>
      <w:r w:rsidRPr="00CA7A8C">
        <w:rPr>
          <w:rFonts w:ascii="Times New Roman" w:hAnsi="Times New Roman" w:cs="Times New Roman"/>
        </w:rPr>
        <w:t xml:space="preserve">; $20 if the survey is completed after the first four weeks </w:t>
      </w:r>
      <w:r w:rsidR="0082645A">
        <w:rPr>
          <w:rFonts w:ascii="Times New Roman" w:hAnsi="Times New Roman" w:cs="Times New Roman"/>
        </w:rPr>
        <w:t>(phone mode)</w:t>
      </w:r>
    </w:p>
    <w:p w14:paraId="473379FF" w14:textId="2867BEA8" w:rsidR="00BA0C9A" w:rsidRPr="00CA7A8C" w:rsidRDefault="0082645A" w:rsidP="00CA7A8C">
      <w:pPr>
        <w:spacing w:line="264" w:lineRule="auto"/>
        <w:rPr>
          <w:rFonts w:ascii="Times New Roman" w:hAnsi="Times New Roman" w:cs="Times New Roman"/>
        </w:rPr>
      </w:pPr>
      <w:r>
        <w:rPr>
          <w:rFonts w:ascii="Times New Roman" w:hAnsi="Times New Roman" w:cs="Times New Roman"/>
        </w:rPr>
        <w:t xml:space="preserve">The survey will be released over many waves. </w:t>
      </w:r>
      <w:r w:rsidR="00CA7A8C">
        <w:rPr>
          <w:rFonts w:ascii="Times New Roman" w:hAnsi="Times New Roman" w:cs="Times New Roman"/>
        </w:rPr>
        <w:t>In early waves, sample members will be divided evenly across the three payment options. In later survey waves, more sample members will be offered the payment option that is producing the highest response rate</w:t>
      </w:r>
      <w:r>
        <w:rPr>
          <w:rFonts w:ascii="Times New Roman" w:hAnsi="Times New Roman" w:cs="Times New Roman"/>
        </w:rPr>
        <w:t>.</w:t>
      </w:r>
    </w:p>
    <w:p w14:paraId="733CB6D7" w14:textId="0B97F9C6" w:rsidR="00227534" w:rsidRPr="00446CE5" w:rsidRDefault="00D61665" w:rsidP="00220CD6">
      <w:pPr>
        <w:pStyle w:val="BodyText"/>
        <w:spacing w:after="200"/>
        <w:rPr>
          <w:rFonts w:ascii="Times New Roman" w:hAnsi="Times New Roman" w:cs="Times New Roman"/>
        </w:rPr>
      </w:pPr>
      <w:r w:rsidRPr="00446CE5">
        <w:rPr>
          <w:rFonts w:ascii="Times New Roman" w:hAnsi="Times New Roman" w:cs="Times New Roman"/>
        </w:rPr>
        <w:t>E</w:t>
      </w:r>
      <w:r w:rsidR="0059196A">
        <w:rPr>
          <w:rFonts w:ascii="Times New Roman" w:hAnsi="Times New Roman" w:cs="Times New Roman"/>
        </w:rPr>
        <w:t>mployer Survey</w:t>
      </w:r>
      <w:r w:rsidRPr="00446CE5">
        <w:rPr>
          <w:rFonts w:ascii="Times New Roman" w:hAnsi="Times New Roman" w:cs="Times New Roman"/>
        </w:rPr>
        <w:t xml:space="preserve"> respondents </w:t>
      </w:r>
      <w:r w:rsidR="00C87901">
        <w:rPr>
          <w:rFonts w:ascii="Times New Roman" w:hAnsi="Times New Roman" w:cs="Times New Roman"/>
        </w:rPr>
        <w:t xml:space="preserve">will </w:t>
      </w:r>
      <w:r w:rsidRPr="00446CE5">
        <w:rPr>
          <w:rFonts w:ascii="Times New Roman" w:hAnsi="Times New Roman" w:cs="Times New Roman"/>
        </w:rPr>
        <w:t>not receive any payments for completing the survey</w:t>
      </w:r>
      <w:r w:rsidR="00DC2860">
        <w:rPr>
          <w:rFonts w:ascii="Times New Roman" w:hAnsi="Times New Roman" w:cs="Times New Roman"/>
        </w:rPr>
        <w:t xml:space="preserve"> but will </w:t>
      </w:r>
      <w:r w:rsidR="00AA37C0">
        <w:rPr>
          <w:rFonts w:ascii="Times New Roman" w:hAnsi="Times New Roman" w:cs="Times New Roman"/>
        </w:rPr>
        <w:t>be offered</w:t>
      </w:r>
      <w:r w:rsidR="00DC2860">
        <w:rPr>
          <w:rFonts w:ascii="Times New Roman" w:hAnsi="Times New Roman" w:cs="Times New Roman"/>
        </w:rPr>
        <w:t xml:space="preserve"> an individualized return-on-investment estimate</w:t>
      </w:r>
      <w:r w:rsidRPr="00446CE5">
        <w:rPr>
          <w:rFonts w:ascii="Times New Roman" w:hAnsi="Times New Roman" w:cs="Times New Roman"/>
        </w:rPr>
        <w:t>.</w:t>
      </w:r>
      <w:r w:rsidR="00C042CB">
        <w:rPr>
          <w:rFonts w:ascii="Times New Roman" w:hAnsi="Times New Roman" w:cs="Times New Roman"/>
        </w:rPr>
        <w:t xml:space="preserve"> More detail on this estimate can be found in Part B.</w:t>
      </w:r>
    </w:p>
    <w:p w14:paraId="43B4765A" w14:textId="77777777" w:rsidR="00E74791"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D61665" w:rsidRPr="00446CE5">
        <w:rPr>
          <w:rFonts w:ascii="Times New Roman" w:hAnsi="Times New Roman" w:cs="Times New Roman"/>
          <w:b/>
        </w:rPr>
        <w:t xml:space="preserve">10. </w:t>
      </w:r>
      <w:r w:rsidR="00396A5A" w:rsidRPr="00396A5A">
        <w:rPr>
          <w:rFonts w:ascii="Times New Roman" w:hAnsi="Times New Roman" w:cs="Times New Roman"/>
          <w:b/>
        </w:rPr>
        <w:t>Assurance of Privacy</w:t>
      </w:r>
    </w:p>
    <w:p w14:paraId="4A31F9CC" w14:textId="0BA0759A" w:rsidR="00C22C3E" w:rsidRDefault="003B03DF" w:rsidP="0045217E">
      <w:pPr>
        <w:pStyle w:val="BodyText"/>
        <w:spacing w:after="200"/>
        <w:rPr>
          <w:rFonts w:ascii="Times New Roman" w:hAnsi="Times New Roman" w:cs="Times New Roman"/>
        </w:rPr>
      </w:pPr>
      <w:r w:rsidRPr="00324BB5">
        <w:rPr>
          <w:rFonts w:ascii="Times New Roman" w:hAnsi="Times New Roman" w:cs="Times New Roman"/>
        </w:rPr>
        <w:t>Information collected will be kept private to the extent permitted by law</w:t>
      </w:r>
      <w:r w:rsidR="00406766">
        <w:rPr>
          <w:rFonts w:ascii="Times New Roman" w:hAnsi="Times New Roman" w:cs="Times New Roman"/>
        </w:rPr>
        <w:t>.</w:t>
      </w:r>
      <w:r>
        <w:rPr>
          <w:rFonts w:ascii="Times New Roman" w:hAnsi="Times New Roman" w:cs="Times New Roman"/>
        </w:rPr>
        <w:t xml:space="preserve"> </w:t>
      </w:r>
      <w:r w:rsidR="00754462" w:rsidRPr="00754462">
        <w:rPr>
          <w:rFonts w:ascii="Times New Roman" w:hAnsi="Times New Roman" w:cs="Times New Roman"/>
        </w:rPr>
        <w:t>All evaluation team members signed confidentiality/non-disclosure agreements (NDAs) with DOL. This includes Abt Associates, the prime contractor, and all subcontractors. Furthermore, the contractor complies with all DOL data security requirements.</w:t>
      </w:r>
      <w:r w:rsidR="00754462">
        <w:rPr>
          <w:rFonts w:ascii="Times New Roman" w:hAnsi="Times New Roman" w:cs="Times New Roman"/>
        </w:rPr>
        <w:t xml:space="preserve"> </w:t>
      </w:r>
      <w:r w:rsidR="00273FA1" w:rsidRPr="00446CE5">
        <w:rPr>
          <w:rFonts w:ascii="Times New Roman" w:hAnsi="Times New Roman" w:cs="Times New Roman"/>
        </w:rPr>
        <w:t xml:space="preserve">For both the Employer Survey and the </w:t>
      </w:r>
      <w:r w:rsidR="00301B16">
        <w:rPr>
          <w:rFonts w:ascii="Times New Roman" w:hAnsi="Times New Roman" w:cs="Times New Roman"/>
        </w:rPr>
        <w:t>Participant</w:t>
      </w:r>
      <w:r w:rsidR="00273FA1" w:rsidRPr="00446CE5">
        <w:rPr>
          <w:rFonts w:ascii="Times New Roman" w:hAnsi="Times New Roman" w:cs="Times New Roman"/>
        </w:rPr>
        <w:t xml:space="preserve"> Survey, respondents will first be asked to consent to the </w:t>
      </w:r>
      <w:r w:rsidR="00245898" w:rsidRPr="00446CE5">
        <w:rPr>
          <w:rFonts w:ascii="Times New Roman" w:hAnsi="Times New Roman" w:cs="Times New Roman"/>
        </w:rPr>
        <w:t>survey</w:t>
      </w:r>
      <w:r w:rsidR="00273FA1" w:rsidRPr="00446CE5">
        <w:rPr>
          <w:rFonts w:ascii="Times New Roman" w:hAnsi="Times New Roman" w:cs="Times New Roman"/>
        </w:rPr>
        <w:t xml:space="preserve">. The </w:t>
      </w:r>
      <w:r w:rsidR="00500560" w:rsidRPr="00446CE5">
        <w:rPr>
          <w:rFonts w:ascii="Times New Roman" w:hAnsi="Times New Roman" w:cs="Times New Roman"/>
        </w:rPr>
        <w:t>consent states</w:t>
      </w:r>
      <w:r w:rsidR="00273FA1" w:rsidRPr="00446CE5">
        <w:rPr>
          <w:rFonts w:ascii="Times New Roman" w:hAnsi="Times New Roman" w:cs="Times New Roman"/>
        </w:rPr>
        <w:t xml:space="preserve"> </w:t>
      </w:r>
      <w:r w:rsidR="00500560" w:rsidRPr="00446CE5">
        <w:rPr>
          <w:rFonts w:ascii="Times New Roman" w:hAnsi="Times New Roman" w:cs="Times New Roman"/>
        </w:rPr>
        <w:t>that the</w:t>
      </w:r>
      <w:r w:rsidR="00060280">
        <w:rPr>
          <w:rFonts w:ascii="Times New Roman" w:hAnsi="Times New Roman" w:cs="Times New Roman"/>
        </w:rPr>
        <w:t xml:space="preserve"> evaluators</w:t>
      </w:r>
      <w:r w:rsidR="00500560" w:rsidRPr="00446CE5">
        <w:rPr>
          <w:rFonts w:ascii="Times New Roman" w:hAnsi="Times New Roman" w:cs="Times New Roman"/>
        </w:rPr>
        <w:t xml:space="preserve"> treat the information </w:t>
      </w:r>
      <w:r w:rsidR="005275DD" w:rsidRPr="00446CE5">
        <w:rPr>
          <w:rFonts w:ascii="Times New Roman" w:hAnsi="Times New Roman" w:cs="Times New Roman"/>
        </w:rPr>
        <w:t xml:space="preserve">respondents </w:t>
      </w:r>
      <w:r w:rsidR="00500560" w:rsidRPr="00446CE5">
        <w:rPr>
          <w:rFonts w:ascii="Times New Roman" w:hAnsi="Times New Roman" w:cs="Times New Roman"/>
        </w:rPr>
        <w:t>provide as private. All publications based on the survey</w:t>
      </w:r>
      <w:r w:rsidR="00C87901">
        <w:rPr>
          <w:rFonts w:ascii="Times New Roman" w:hAnsi="Times New Roman" w:cs="Times New Roman"/>
        </w:rPr>
        <w:t>s</w:t>
      </w:r>
      <w:r w:rsidR="00500560" w:rsidRPr="00446CE5">
        <w:rPr>
          <w:rFonts w:ascii="Times New Roman" w:hAnsi="Times New Roman" w:cs="Times New Roman"/>
        </w:rPr>
        <w:t xml:space="preserve"> will report findings at the aggregate level, not at the individual level, and the names of </w:t>
      </w:r>
      <w:r w:rsidR="00060280">
        <w:rPr>
          <w:rFonts w:ascii="Times New Roman" w:hAnsi="Times New Roman" w:cs="Times New Roman"/>
        </w:rPr>
        <w:t xml:space="preserve">Participant </w:t>
      </w:r>
      <w:r w:rsidR="00500560" w:rsidRPr="00446CE5">
        <w:rPr>
          <w:rFonts w:ascii="Times New Roman" w:hAnsi="Times New Roman" w:cs="Times New Roman"/>
        </w:rPr>
        <w:t xml:space="preserve">respondents </w:t>
      </w:r>
      <w:r w:rsidR="00245898" w:rsidRPr="00446CE5">
        <w:rPr>
          <w:rFonts w:ascii="Times New Roman" w:hAnsi="Times New Roman" w:cs="Times New Roman"/>
        </w:rPr>
        <w:t xml:space="preserve">or companies </w:t>
      </w:r>
      <w:r w:rsidR="00060280">
        <w:rPr>
          <w:rFonts w:ascii="Times New Roman" w:hAnsi="Times New Roman" w:cs="Times New Roman"/>
        </w:rPr>
        <w:t xml:space="preserve">that completed the </w:t>
      </w:r>
      <w:r w:rsidR="0059196A">
        <w:rPr>
          <w:rFonts w:ascii="Times New Roman" w:hAnsi="Times New Roman" w:cs="Times New Roman"/>
        </w:rPr>
        <w:t xml:space="preserve">survey </w:t>
      </w:r>
      <w:r w:rsidR="00500560" w:rsidRPr="00446CE5">
        <w:rPr>
          <w:rFonts w:ascii="Times New Roman" w:hAnsi="Times New Roman" w:cs="Times New Roman"/>
        </w:rPr>
        <w:t xml:space="preserve">will not be published in any form. Only the evaluation team will be able to identify individual responses. The </w:t>
      </w:r>
      <w:r w:rsidR="0059196A">
        <w:rPr>
          <w:rFonts w:ascii="Times New Roman" w:hAnsi="Times New Roman" w:cs="Times New Roman"/>
        </w:rPr>
        <w:t>evaluation team</w:t>
      </w:r>
      <w:r w:rsidR="00500560" w:rsidRPr="00446CE5">
        <w:rPr>
          <w:rFonts w:ascii="Times New Roman" w:hAnsi="Times New Roman" w:cs="Times New Roman"/>
        </w:rPr>
        <w:t xml:space="preserve"> may create a public use file, but there will be no identifying information in the file.</w:t>
      </w:r>
    </w:p>
    <w:p w14:paraId="7A48D7CE" w14:textId="77777777" w:rsidR="00406766" w:rsidRPr="0045217E" w:rsidRDefault="00406766" w:rsidP="0045217E">
      <w:pPr>
        <w:pStyle w:val="BodyText"/>
        <w:spacing w:after="200"/>
        <w:rPr>
          <w:rFonts w:ascii="Times New Roman" w:hAnsi="Times New Roman" w:cs="Times New Roman"/>
        </w:rPr>
      </w:pPr>
      <w:r w:rsidRPr="0045217E">
        <w:rPr>
          <w:rFonts w:ascii="Times New Roman" w:hAnsi="Times New Roman" w:cs="Times New Roman"/>
        </w:rPr>
        <w:t xml:space="preserve">To protect respondents’ privacy, all data will be stored on a password protected drive </w:t>
      </w:r>
      <w:r w:rsidR="00C87901" w:rsidRPr="0045217E">
        <w:rPr>
          <w:rFonts w:ascii="Times New Roman" w:hAnsi="Times New Roman" w:cs="Times New Roman"/>
        </w:rPr>
        <w:t>established at the contractor site</w:t>
      </w:r>
      <w:r w:rsidRPr="0045217E">
        <w:rPr>
          <w:rFonts w:ascii="Times New Roman" w:hAnsi="Times New Roman" w:cs="Times New Roman"/>
        </w:rPr>
        <w:t xml:space="preserve">. Access to this drive will be limited to research staff members who are working on the project and have signed the non-disclosure agreement. </w:t>
      </w:r>
    </w:p>
    <w:p w14:paraId="63423F9B" w14:textId="77777777" w:rsidR="00245898"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245898" w:rsidRPr="00446CE5">
        <w:rPr>
          <w:rFonts w:ascii="Times New Roman" w:hAnsi="Times New Roman" w:cs="Times New Roman"/>
          <w:b/>
        </w:rPr>
        <w:t xml:space="preserve">11. </w:t>
      </w:r>
      <w:r w:rsidR="009E2D4B" w:rsidRPr="00446CE5">
        <w:rPr>
          <w:rFonts w:ascii="Times New Roman" w:hAnsi="Times New Roman" w:cs="Times New Roman"/>
          <w:b/>
        </w:rPr>
        <w:t>Sensitive Questions</w:t>
      </w:r>
    </w:p>
    <w:p w14:paraId="2E11DD22" w14:textId="797FFC46" w:rsidR="005275DD" w:rsidRPr="00446CE5" w:rsidRDefault="00060280" w:rsidP="0045217E">
      <w:pPr>
        <w:pStyle w:val="BodyText"/>
        <w:spacing w:after="200"/>
        <w:rPr>
          <w:rFonts w:ascii="Times New Roman" w:hAnsi="Times New Roman" w:cs="Times New Roman"/>
        </w:rPr>
      </w:pPr>
      <w:r>
        <w:rPr>
          <w:rFonts w:ascii="Times New Roman" w:hAnsi="Times New Roman" w:cs="Times New Roman"/>
        </w:rPr>
        <w:t xml:space="preserve">Both surveys include some </w:t>
      </w:r>
      <w:r w:rsidR="005275DD" w:rsidRPr="00446CE5">
        <w:rPr>
          <w:rFonts w:ascii="Times New Roman" w:hAnsi="Times New Roman" w:cs="Times New Roman"/>
        </w:rPr>
        <w:t>questions</w:t>
      </w:r>
      <w:r w:rsidR="009718B8">
        <w:rPr>
          <w:rFonts w:ascii="Times New Roman" w:hAnsi="Times New Roman" w:cs="Times New Roman"/>
        </w:rPr>
        <w:t xml:space="preserve"> </w:t>
      </w:r>
      <w:r>
        <w:rPr>
          <w:rFonts w:ascii="Times New Roman" w:hAnsi="Times New Roman" w:cs="Times New Roman"/>
        </w:rPr>
        <w:t xml:space="preserve">about </w:t>
      </w:r>
      <w:r w:rsidR="009718B8">
        <w:rPr>
          <w:rFonts w:ascii="Times New Roman" w:hAnsi="Times New Roman" w:cs="Times New Roman"/>
        </w:rPr>
        <w:t>wage earnings</w:t>
      </w:r>
      <w:r w:rsidR="005275DD" w:rsidRPr="00446CE5">
        <w:rPr>
          <w:rFonts w:ascii="Times New Roman" w:hAnsi="Times New Roman" w:cs="Times New Roman"/>
        </w:rPr>
        <w:t xml:space="preserve"> </w:t>
      </w:r>
      <w:r w:rsidR="009718B8">
        <w:rPr>
          <w:rFonts w:ascii="Times New Roman" w:hAnsi="Times New Roman" w:cs="Times New Roman"/>
        </w:rPr>
        <w:t xml:space="preserve">that can be deemed </w:t>
      </w:r>
      <w:r w:rsidR="005275DD" w:rsidRPr="00446CE5">
        <w:rPr>
          <w:rFonts w:ascii="Times New Roman" w:hAnsi="Times New Roman" w:cs="Times New Roman"/>
        </w:rPr>
        <w:t xml:space="preserve">sensitive. The Employer Survey </w:t>
      </w:r>
      <w:r w:rsidR="009718B8">
        <w:rPr>
          <w:rFonts w:ascii="Times New Roman" w:hAnsi="Times New Roman" w:cs="Times New Roman"/>
        </w:rPr>
        <w:t>asks</w:t>
      </w:r>
      <w:r w:rsidR="005275DD" w:rsidRPr="00446CE5">
        <w:rPr>
          <w:rFonts w:ascii="Times New Roman" w:hAnsi="Times New Roman" w:cs="Times New Roman"/>
        </w:rPr>
        <w:t xml:space="preserve"> </w:t>
      </w:r>
      <w:r w:rsidR="00C87901">
        <w:rPr>
          <w:rFonts w:ascii="Times New Roman" w:hAnsi="Times New Roman" w:cs="Times New Roman"/>
        </w:rPr>
        <w:t xml:space="preserve">employers for </w:t>
      </w:r>
      <w:r w:rsidR="005275DD" w:rsidRPr="00446CE5">
        <w:rPr>
          <w:rFonts w:ascii="Times New Roman" w:hAnsi="Times New Roman" w:cs="Times New Roman"/>
        </w:rPr>
        <w:t>information</w:t>
      </w:r>
      <w:r w:rsidR="00BA12C9">
        <w:rPr>
          <w:rFonts w:ascii="Times New Roman" w:hAnsi="Times New Roman" w:cs="Times New Roman"/>
        </w:rPr>
        <w:t xml:space="preserve"> </w:t>
      </w:r>
      <w:r>
        <w:rPr>
          <w:rFonts w:ascii="Times New Roman" w:hAnsi="Times New Roman" w:cs="Times New Roman"/>
        </w:rPr>
        <w:t xml:space="preserve">about </w:t>
      </w:r>
      <w:r w:rsidR="00BA12C9">
        <w:rPr>
          <w:rFonts w:ascii="Times New Roman" w:hAnsi="Times New Roman" w:cs="Times New Roman"/>
        </w:rPr>
        <w:t xml:space="preserve">an </w:t>
      </w:r>
      <w:r>
        <w:rPr>
          <w:rFonts w:ascii="Times New Roman" w:hAnsi="Times New Roman" w:cs="Times New Roman"/>
        </w:rPr>
        <w:t xml:space="preserve">apprentice’s wages </w:t>
      </w:r>
      <w:r w:rsidR="005275DD" w:rsidRPr="00446CE5">
        <w:rPr>
          <w:rFonts w:ascii="Times New Roman" w:hAnsi="Times New Roman" w:cs="Times New Roman"/>
        </w:rPr>
        <w:t xml:space="preserve">that </w:t>
      </w:r>
      <w:r w:rsidR="00004278">
        <w:rPr>
          <w:rFonts w:ascii="Times New Roman" w:hAnsi="Times New Roman" w:cs="Times New Roman"/>
        </w:rPr>
        <w:t>may be</w:t>
      </w:r>
      <w:r w:rsidR="00004278" w:rsidRPr="00446CE5">
        <w:rPr>
          <w:rFonts w:ascii="Times New Roman" w:hAnsi="Times New Roman" w:cs="Times New Roman"/>
        </w:rPr>
        <w:t xml:space="preserve"> </w:t>
      </w:r>
      <w:r w:rsidR="00C87901">
        <w:rPr>
          <w:rFonts w:ascii="Times New Roman" w:hAnsi="Times New Roman" w:cs="Times New Roman"/>
        </w:rPr>
        <w:t>considered proprietary</w:t>
      </w:r>
      <w:r w:rsidR="005275DD" w:rsidRPr="00446CE5">
        <w:rPr>
          <w:rFonts w:ascii="Times New Roman" w:hAnsi="Times New Roman" w:cs="Times New Roman"/>
        </w:rPr>
        <w:t xml:space="preserve">. These </w:t>
      </w:r>
      <w:r w:rsidR="000A1C75">
        <w:rPr>
          <w:rFonts w:ascii="Times New Roman" w:hAnsi="Times New Roman" w:cs="Times New Roman"/>
        </w:rPr>
        <w:t xml:space="preserve">data </w:t>
      </w:r>
      <w:r w:rsidR="005275DD" w:rsidRPr="00446CE5">
        <w:rPr>
          <w:rFonts w:ascii="Times New Roman" w:hAnsi="Times New Roman" w:cs="Times New Roman"/>
        </w:rPr>
        <w:t>are needed to estimate a ROI</w:t>
      </w:r>
      <w:r w:rsidR="000A1C75">
        <w:rPr>
          <w:rFonts w:ascii="Times New Roman" w:hAnsi="Times New Roman" w:cs="Times New Roman"/>
        </w:rPr>
        <w:t xml:space="preserve"> and </w:t>
      </w:r>
      <w:r w:rsidR="00A06964">
        <w:rPr>
          <w:rFonts w:ascii="Times New Roman" w:hAnsi="Times New Roman" w:cs="Times New Roman"/>
        </w:rPr>
        <w:t>are</w:t>
      </w:r>
      <w:r w:rsidR="000A1C75">
        <w:rPr>
          <w:rFonts w:ascii="Times New Roman" w:hAnsi="Times New Roman" w:cs="Times New Roman"/>
        </w:rPr>
        <w:t xml:space="preserve"> </w:t>
      </w:r>
      <w:r w:rsidR="005275DD" w:rsidRPr="00446CE5">
        <w:rPr>
          <w:rFonts w:ascii="Times New Roman" w:hAnsi="Times New Roman" w:cs="Times New Roman"/>
        </w:rPr>
        <w:t xml:space="preserve">not available through other sources. </w:t>
      </w:r>
      <w:r w:rsidR="00004278">
        <w:rPr>
          <w:rFonts w:ascii="Times New Roman" w:hAnsi="Times New Roman" w:cs="Times New Roman"/>
        </w:rPr>
        <w:t xml:space="preserve">DOL is also interested in learning </w:t>
      </w:r>
      <w:r>
        <w:rPr>
          <w:rFonts w:ascii="Times New Roman" w:hAnsi="Times New Roman" w:cs="Times New Roman"/>
        </w:rPr>
        <w:t xml:space="preserve">about </w:t>
      </w:r>
      <w:r w:rsidR="00BA12C9" w:rsidRPr="00004278">
        <w:rPr>
          <w:rFonts w:ascii="Times New Roman" w:hAnsi="Times New Roman" w:cs="Times New Roman"/>
        </w:rPr>
        <w:t xml:space="preserve">apprentices’ </w:t>
      </w:r>
      <w:r>
        <w:rPr>
          <w:rFonts w:ascii="Times New Roman" w:hAnsi="Times New Roman" w:cs="Times New Roman"/>
        </w:rPr>
        <w:t xml:space="preserve">initial </w:t>
      </w:r>
      <w:r w:rsidR="0045217E">
        <w:rPr>
          <w:rFonts w:ascii="Times New Roman" w:hAnsi="Times New Roman" w:cs="Times New Roman"/>
        </w:rPr>
        <w:t xml:space="preserve">hourly </w:t>
      </w:r>
      <w:r>
        <w:rPr>
          <w:rFonts w:ascii="Times New Roman" w:hAnsi="Times New Roman" w:cs="Times New Roman"/>
        </w:rPr>
        <w:t xml:space="preserve">wages, wage progression, and post apprenticeship wages. </w:t>
      </w:r>
      <w:r w:rsidR="00004278" w:rsidRPr="00004278">
        <w:rPr>
          <w:rFonts w:ascii="Times New Roman" w:hAnsi="Times New Roman" w:cs="Times New Roman"/>
        </w:rPr>
        <w:t xml:space="preserve">There is no </w:t>
      </w:r>
      <w:r w:rsidR="00BA12C9">
        <w:rPr>
          <w:rFonts w:ascii="Times New Roman" w:hAnsi="Times New Roman" w:cs="Times New Roman"/>
        </w:rPr>
        <w:t xml:space="preserve">available </w:t>
      </w:r>
      <w:r w:rsidR="00FD61C0">
        <w:rPr>
          <w:rFonts w:ascii="Times New Roman" w:hAnsi="Times New Roman" w:cs="Times New Roman"/>
        </w:rPr>
        <w:t xml:space="preserve">administrative </w:t>
      </w:r>
      <w:r w:rsidR="00BA12C9">
        <w:rPr>
          <w:rFonts w:ascii="Times New Roman" w:hAnsi="Times New Roman" w:cs="Times New Roman"/>
        </w:rPr>
        <w:t>dataset that has this information</w:t>
      </w:r>
      <w:r w:rsidR="00004278" w:rsidRPr="00004278">
        <w:rPr>
          <w:rFonts w:ascii="Times New Roman" w:hAnsi="Times New Roman" w:cs="Times New Roman"/>
        </w:rPr>
        <w:t xml:space="preserve">. As such, </w:t>
      </w:r>
      <w:r w:rsidR="00047618">
        <w:rPr>
          <w:rFonts w:ascii="Times New Roman" w:hAnsi="Times New Roman" w:cs="Times New Roman"/>
        </w:rPr>
        <w:t xml:space="preserve">these two </w:t>
      </w:r>
      <w:r w:rsidR="00004278" w:rsidRPr="00004278">
        <w:rPr>
          <w:rFonts w:ascii="Times New Roman" w:hAnsi="Times New Roman" w:cs="Times New Roman"/>
        </w:rPr>
        <w:t>survey</w:t>
      </w:r>
      <w:r w:rsidR="00047618">
        <w:rPr>
          <w:rFonts w:ascii="Times New Roman" w:hAnsi="Times New Roman" w:cs="Times New Roman"/>
        </w:rPr>
        <w:t>s</w:t>
      </w:r>
      <w:r w:rsidR="00004278" w:rsidRPr="00004278">
        <w:rPr>
          <w:rFonts w:ascii="Times New Roman" w:hAnsi="Times New Roman" w:cs="Times New Roman"/>
        </w:rPr>
        <w:t xml:space="preserve"> are the only options for</w:t>
      </w:r>
      <w:r w:rsidR="00047618">
        <w:rPr>
          <w:rFonts w:ascii="Times New Roman" w:hAnsi="Times New Roman" w:cs="Times New Roman"/>
        </w:rPr>
        <w:t xml:space="preserve"> collecting data in order to answer the relevant</w:t>
      </w:r>
      <w:r w:rsidR="00004278" w:rsidRPr="00004278">
        <w:rPr>
          <w:rFonts w:ascii="Times New Roman" w:hAnsi="Times New Roman" w:cs="Times New Roman"/>
        </w:rPr>
        <w:t xml:space="preserve"> </w:t>
      </w:r>
      <w:r w:rsidR="00BA12C9">
        <w:rPr>
          <w:rFonts w:ascii="Times New Roman" w:hAnsi="Times New Roman" w:cs="Times New Roman"/>
        </w:rPr>
        <w:t xml:space="preserve">research </w:t>
      </w:r>
      <w:r w:rsidR="00004278" w:rsidRPr="00004278">
        <w:rPr>
          <w:rFonts w:ascii="Times New Roman" w:hAnsi="Times New Roman" w:cs="Times New Roman"/>
        </w:rPr>
        <w:t xml:space="preserve">questions. </w:t>
      </w:r>
    </w:p>
    <w:p w14:paraId="58E2C1EA" w14:textId="7F8B5E72" w:rsidR="005275DD" w:rsidRDefault="00087751" w:rsidP="003006AA">
      <w:pPr>
        <w:pStyle w:val="ListParagraph"/>
        <w:ind w:left="0"/>
        <w:rPr>
          <w:rFonts w:ascii="Times New Roman" w:hAnsi="Times New Roman" w:cs="Times New Roman"/>
        </w:rPr>
      </w:pPr>
      <w:r>
        <w:rPr>
          <w:rFonts w:ascii="Times New Roman" w:hAnsi="Times New Roman" w:cs="Times New Roman"/>
          <w:b/>
        </w:rPr>
        <w:t>A.</w:t>
      </w:r>
      <w:r w:rsidR="005275DD" w:rsidRPr="00446CE5">
        <w:rPr>
          <w:rFonts w:ascii="Times New Roman" w:hAnsi="Times New Roman" w:cs="Times New Roman"/>
          <w:b/>
        </w:rPr>
        <w:t>12</w:t>
      </w:r>
      <w:r w:rsidR="00C120C8" w:rsidRPr="00446CE5">
        <w:rPr>
          <w:rFonts w:ascii="Times New Roman" w:hAnsi="Times New Roman" w:cs="Times New Roman"/>
          <w:b/>
        </w:rPr>
        <w:t>. Estimated</w:t>
      </w:r>
      <w:r w:rsidR="00396A5A" w:rsidRPr="00396A5A">
        <w:rPr>
          <w:rFonts w:ascii="Times New Roman" w:hAnsi="Times New Roman" w:cs="Times New Roman"/>
          <w:b/>
        </w:rPr>
        <w:t xml:space="preserve"> Response Burden</w:t>
      </w:r>
    </w:p>
    <w:p w14:paraId="48E0ACA0" w14:textId="77777777" w:rsidR="007244BE" w:rsidRPr="00446CE5" w:rsidRDefault="007244BE" w:rsidP="0045217E">
      <w:pPr>
        <w:pStyle w:val="BodyText"/>
        <w:spacing w:after="200"/>
        <w:rPr>
          <w:rFonts w:ascii="Times New Roman" w:hAnsi="Times New Roman" w:cs="Times New Roman"/>
        </w:rPr>
      </w:pPr>
      <w:r>
        <w:rPr>
          <w:rFonts w:ascii="Times New Roman" w:hAnsi="Times New Roman" w:cs="Times New Roman"/>
        </w:rPr>
        <w:t>The table below</w:t>
      </w:r>
      <w:r w:rsidRPr="007244BE">
        <w:rPr>
          <w:rFonts w:ascii="Times New Roman" w:hAnsi="Times New Roman" w:cs="Times New Roman"/>
        </w:rPr>
        <w:t xml:space="preserve"> describes the assumptions made about the annual number of responses expected, the average hours of burden per respondent, and the burden costs estimated for the </w:t>
      </w:r>
      <w:r>
        <w:rPr>
          <w:rFonts w:ascii="Times New Roman" w:hAnsi="Times New Roman" w:cs="Times New Roman"/>
        </w:rPr>
        <w:t xml:space="preserve">both the Employer Survey and the Participant Survey. </w:t>
      </w:r>
      <w:r w:rsidRPr="007244BE">
        <w:rPr>
          <w:rFonts w:ascii="Times New Roman" w:hAnsi="Times New Roman" w:cs="Times New Roman"/>
        </w:rPr>
        <w:t xml:space="preserve"> </w:t>
      </w:r>
    </w:p>
    <w:p w14:paraId="6EA75AD9" w14:textId="77777777" w:rsidR="004650E5" w:rsidRDefault="004650E5" w:rsidP="004650E5">
      <w:pPr>
        <w:pStyle w:val="Exhibit"/>
        <w:keepNext/>
        <w:ind w:left="1440" w:hanging="1440"/>
      </w:pPr>
      <w:r>
        <w:t>Estimated Annualized Respondent Hour and Cost Burden</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260"/>
        <w:gridCol w:w="1170"/>
        <w:gridCol w:w="1170"/>
        <w:gridCol w:w="1170"/>
        <w:gridCol w:w="990"/>
        <w:gridCol w:w="1080"/>
      </w:tblGrid>
      <w:tr w:rsidR="00F86B59" w:rsidRPr="00D75C35" w14:paraId="197FDB81" w14:textId="77777777" w:rsidTr="00A723C1">
        <w:trPr>
          <w:trHeight w:val="288"/>
          <w:tblHeader/>
        </w:trPr>
        <w:tc>
          <w:tcPr>
            <w:tcW w:w="1440" w:type="dxa"/>
            <w:shd w:val="clear" w:color="auto" w:fill="auto"/>
            <w:vAlign w:val="bottom"/>
            <w:hideMark/>
          </w:tcPr>
          <w:p w14:paraId="5B94F966" w14:textId="77777777" w:rsidR="00F86B59" w:rsidRDefault="00F86B59" w:rsidP="00A06964">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Type of Instrument</w:t>
            </w:r>
          </w:p>
          <w:p w14:paraId="7D30AC45" w14:textId="77777777" w:rsidR="00F86B59" w:rsidRPr="00D75C35" w:rsidRDefault="00F86B59" w:rsidP="00286EB8">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(Form/Activity)</w:t>
            </w:r>
          </w:p>
        </w:tc>
        <w:tc>
          <w:tcPr>
            <w:tcW w:w="1350" w:type="dxa"/>
            <w:shd w:val="clear" w:color="auto" w:fill="auto"/>
            <w:vAlign w:val="bottom"/>
            <w:hideMark/>
          </w:tcPr>
          <w:p w14:paraId="4F4DDAB0"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Number of Respondents</w:t>
            </w:r>
            <w:r w:rsidRPr="00D75C35">
              <w:rPr>
                <w:rFonts w:ascii="Arial Narrow" w:hAnsi="Arial Narrow" w:cs="Times New Roman"/>
                <w:b/>
                <w:bCs/>
                <w:color w:val="000000"/>
                <w:sz w:val="20"/>
                <w:szCs w:val="20"/>
                <w:vertAlign w:val="superscript"/>
              </w:rPr>
              <w:t xml:space="preserve"> a</w:t>
            </w:r>
          </w:p>
        </w:tc>
        <w:tc>
          <w:tcPr>
            <w:tcW w:w="1260" w:type="dxa"/>
            <w:shd w:val="clear" w:color="auto" w:fill="auto"/>
            <w:vAlign w:val="bottom"/>
          </w:tcPr>
          <w:p w14:paraId="78CB6315"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Number of Responses per Respondent</w:t>
            </w:r>
          </w:p>
        </w:tc>
        <w:tc>
          <w:tcPr>
            <w:tcW w:w="1170" w:type="dxa"/>
            <w:shd w:val="clear" w:color="auto" w:fill="auto"/>
            <w:vAlign w:val="bottom"/>
          </w:tcPr>
          <w:p w14:paraId="2DA511F8"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Total Number of Responses</w:t>
            </w:r>
          </w:p>
        </w:tc>
        <w:tc>
          <w:tcPr>
            <w:tcW w:w="1170" w:type="dxa"/>
            <w:shd w:val="clear" w:color="auto" w:fill="auto"/>
            <w:vAlign w:val="bottom"/>
          </w:tcPr>
          <w:p w14:paraId="30AF1BF4"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Average Burden Hour per Response (in Hours)</w:t>
            </w:r>
          </w:p>
        </w:tc>
        <w:tc>
          <w:tcPr>
            <w:tcW w:w="1170" w:type="dxa"/>
            <w:shd w:val="clear" w:color="auto" w:fill="auto"/>
            <w:vAlign w:val="bottom"/>
          </w:tcPr>
          <w:p w14:paraId="48D036B5"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Estimated Burden Hours</w:t>
            </w:r>
          </w:p>
        </w:tc>
        <w:tc>
          <w:tcPr>
            <w:tcW w:w="990" w:type="dxa"/>
            <w:shd w:val="clear" w:color="auto" w:fill="auto"/>
            <w:vAlign w:val="bottom"/>
          </w:tcPr>
          <w:p w14:paraId="76CF9A23"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Average Hourly Wage</w:t>
            </w:r>
          </w:p>
        </w:tc>
        <w:tc>
          <w:tcPr>
            <w:tcW w:w="1080" w:type="dxa"/>
            <w:shd w:val="clear" w:color="auto" w:fill="auto"/>
            <w:vAlign w:val="bottom"/>
          </w:tcPr>
          <w:p w14:paraId="15592F7F" w14:textId="77777777" w:rsidR="00F86B59" w:rsidRPr="00D75C35" w:rsidRDefault="00F86B59">
            <w:pPr>
              <w:spacing w:after="0" w:line="240" w:lineRule="auto"/>
              <w:jc w:val="center"/>
              <w:rPr>
                <w:rFonts w:ascii="Arial Narrow" w:hAnsi="Arial Narrow" w:cs="Times New Roman"/>
                <w:b/>
                <w:bCs/>
                <w:color w:val="000000"/>
                <w:sz w:val="20"/>
                <w:szCs w:val="20"/>
              </w:rPr>
            </w:pPr>
            <w:r w:rsidRPr="00D75C35">
              <w:rPr>
                <w:rFonts w:ascii="Arial Narrow" w:hAnsi="Arial Narrow" w:cs="Times New Roman"/>
                <w:b/>
                <w:bCs/>
                <w:color w:val="000000"/>
                <w:sz w:val="20"/>
                <w:szCs w:val="20"/>
              </w:rPr>
              <w:t>Annual Burden Costs</w:t>
            </w:r>
          </w:p>
        </w:tc>
      </w:tr>
      <w:tr w:rsidR="00F86B59" w:rsidRPr="00D75C35" w14:paraId="675FD11B" w14:textId="77777777" w:rsidTr="00A723C1">
        <w:trPr>
          <w:trHeight w:val="576"/>
        </w:trPr>
        <w:tc>
          <w:tcPr>
            <w:tcW w:w="1440" w:type="dxa"/>
            <w:shd w:val="clear" w:color="auto" w:fill="auto"/>
            <w:vAlign w:val="center"/>
          </w:tcPr>
          <w:p w14:paraId="59149876" w14:textId="55075B09" w:rsidR="00F86B59" w:rsidRPr="00D75C35" w:rsidRDefault="00F86B59" w:rsidP="00D92296">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Employer Survey</w:t>
            </w:r>
            <w:r w:rsidR="00FE7FA7">
              <w:rPr>
                <w:rFonts w:ascii="Arial Narrow" w:hAnsi="Arial Narrow" w:cs="Times New Roman"/>
                <w:color w:val="000000"/>
                <w:sz w:val="20"/>
                <w:szCs w:val="20"/>
              </w:rPr>
              <w:t xml:space="preserve">  </w:t>
            </w:r>
            <w:r w:rsidR="00D92296">
              <w:rPr>
                <w:rFonts w:ascii="Arial Narrow" w:hAnsi="Arial Narrow" w:cs="Times New Roman"/>
                <w:color w:val="000000"/>
                <w:sz w:val="20"/>
                <w:szCs w:val="20"/>
              </w:rPr>
              <w:t xml:space="preserve">- </w:t>
            </w:r>
            <w:r w:rsidR="00FE7FA7">
              <w:rPr>
                <w:rFonts w:ascii="Arial Narrow" w:hAnsi="Arial Narrow" w:cs="Times New Roman"/>
                <w:color w:val="000000"/>
                <w:sz w:val="20"/>
                <w:szCs w:val="20"/>
              </w:rPr>
              <w:t>Employer</w:t>
            </w:r>
            <w:r w:rsidR="00930DF3">
              <w:rPr>
                <w:rFonts w:ascii="Arial Narrow" w:hAnsi="Arial Narrow" w:cs="Times New Roman"/>
                <w:color w:val="000000"/>
                <w:sz w:val="20"/>
                <w:szCs w:val="20"/>
              </w:rPr>
              <w:t xml:space="preserve"> and Grantee</w:t>
            </w:r>
            <w:r w:rsidR="00121DDB">
              <w:rPr>
                <w:rFonts w:ascii="Arial Narrow" w:hAnsi="Arial Narrow" w:cs="Times New Roman"/>
                <w:color w:val="000000"/>
                <w:sz w:val="20"/>
                <w:szCs w:val="20"/>
              </w:rPr>
              <w:t xml:space="preserve"> Respondent</w:t>
            </w:r>
            <w:r w:rsidR="00930DF3">
              <w:rPr>
                <w:rFonts w:ascii="Arial Narrow" w:hAnsi="Arial Narrow" w:cs="Times New Roman"/>
                <w:color w:val="000000"/>
                <w:sz w:val="20"/>
                <w:szCs w:val="20"/>
              </w:rPr>
              <w:t>s</w:t>
            </w:r>
          </w:p>
        </w:tc>
        <w:tc>
          <w:tcPr>
            <w:tcW w:w="1350" w:type="dxa"/>
            <w:shd w:val="clear" w:color="auto" w:fill="auto"/>
            <w:vAlign w:val="center"/>
          </w:tcPr>
          <w:p w14:paraId="0629D457" w14:textId="6055CDA9" w:rsidR="00F86B59" w:rsidRPr="00D75C35" w:rsidRDefault="00930DF3" w:rsidP="0062218A">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4</w:t>
            </w:r>
            <w:r w:rsidR="0062218A">
              <w:rPr>
                <w:rFonts w:ascii="Arial Narrow" w:hAnsi="Arial Narrow" w:cs="Times New Roman"/>
                <w:color w:val="000000"/>
                <w:sz w:val="20"/>
                <w:szCs w:val="20"/>
              </w:rPr>
              <w:t>2</w:t>
            </w:r>
            <w:r w:rsidRPr="00D75C35">
              <w:rPr>
                <w:rFonts w:ascii="Arial Narrow" w:hAnsi="Arial Narrow" w:cs="Times New Roman"/>
                <w:color w:val="000000"/>
                <w:sz w:val="20"/>
                <w:szCs w:val="20"/>
              </w:rPr>
              <w:t xml:space="preserve"> </w:t>
            </w:r>
            <w:r w:rsidR="00F86B59" w:rsidRPr="00D75C35">
              <w:rPr>
                <w:rFonts w:ascii="Arial Narrow" w:hAnsi="Arial Narrow" w:cs="Times New Roman"/>
                <w:color w:val="000000"/>
                <w:sz w:val="20"/>
                <w:szCs w:val="20"/>
                <w:vertAlign w:val="superscript"/>
              </w:rPr>
              <w:t>b</w:t>
            </w:r>
          </w:p>
        </w:tc>
        <w:tc>
          <w:tcPr>
            <w:tcW w:w="1260" w:type="dxa"/>
            <w:vAlign w:val="center"/>
          </w:tcPr>
          <w:p w14:paraId="0DC3CF8C" w14:textId="56BFB71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1</w:t>
            </w:r>
          </w:p>
        </w:tc>
        <w:tc>
          <w:tcPr>
            <w:tcW w:w="1170" w:type="dxa"/>
            <w:vAlign w:val="center"/>
          </w:tcPr>
          <w:p w14:paraId="2BFDDB58" w14:textId="13DFE060" w:rsidR="00F86B59" w:rsidRPr="00D75C35" w:rsidRDefault="00427D76" w:rsidP="0062218A">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4</w:t>
            </w:r>
            <w:r w:rsidR="0062218A">
              <w:rPr>
                <w:rFonts w:ascii="Arial Narrow" w:hAnsi="Arial Narrow" w:cs="Times New Roman"/>
                <w:color w:val="000000"/>
                <w:sz w:val="20"/>
                <w:szCs w:val="20"/>
              </w:rPr>
              <w:t>2</w:t>
            </w:r>
          </w:p>
        </w:tc>
        <w:tc>
          <w:tcPr>
            <w:tcW w:w="1170" w:type="dxa"/>
            <w:vAlign w:val="center"/>
          </w:tcPr>
          <w:p w14:paraId="44D47C43" w14:textId="0EAF6F63" w:rsidR="00F86B59" w:rsidRPr="00D75C35" w:rsidRDefault="00F85406" w:rsidP="00F10F11">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.5</w:t>
            </w:r>
          </w:p>
        </w:tc>
        <w:tc>
          <w:tcPr>
            <w:tcW w:w="1170" w:type="dxa"/>
            <w:vAlign w:val="center"/>
          </w:tcPr>
          <w:p w14:paraId="26AFE025" w14:textId="7B50D864" w:rsidR="00F86B59" w:rsidRPr="00D75C35" w:rsidRDefault="00930DF3" w:rsidP="0062218A">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2</w:t>
            </w:r>
            <w:r w:rsidR="0062218A">
              <w:rPr>
                <w:rFonts w:ascii="Arial Narrow" w:hAnsi="Arial Narrow" w:cs="Times New Roman"/>
                <w:color w:val="000000"/>
                <w:sz w:val="20"/>
                <w:szCs w:val="20"/>
              </w:rPr>
              <w:t>1</w:t>
            </w:r>
          </w:p>
        </w:tc>
        <w:tc>
          <w:tcPr>
            <w:tcW w:w="990" w:type="dxa"/>
            <w:shd w:val="clear" w:color="auto" w:fill="auto"/>
            <w:vAlign w:val="center"/>
          </w:tcPr>
          <w:p w14:paraId="4436C20F" w14:textId="64090E7D" w:rsidR="00F86B59" w:rsidRPr="00D75C35" w:rsidRDefault="00930DF3" w:rsidP="00F10F11">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 xml:space="preserve"> $45.10</w:t>
            </w:r>
            <w:r w:rsidRPr="00D75C35">
              <w:rPr>
                <w:rFonts w:ascii="Arial Narrow" w:hAnsi="Arial Narrow" w:cs="Times New Roman"/>
                <w:color w:val="000000"/>
                <w:sz w:val="20"/>
                <w:szCs w:val="20"/>
                <w:vertAlign w:val="superscript"/>
              </w:rPr>
              <w:t xml:space="preserve"> </w:t>
            </w:r>
            <w:r w:rsidR="001A26CB">
              <w:rPr>
                <w:rFonts w:ascii="Arial Narrow" w:hAnsi="Arial Narrow" w:cs="Times New Roman"/>
                <w:color w:val="000000"/>
                <w:sz w:val="20"/>
                <w:szCs w:val="20"/>
                <w:vertAlign w:val="superscript"/>
              </w:rPr>
              <w:t>c</w:t>
            </w:r>
            <w:r w:rsidR="00F86B59" w:rsidRPr="00D75C35">
              <w:rPr>
                <w:rFonts w:ascii="Arial Narrow" w:hAnsi="Arial Narrow" w:cs="Times New Roman"/>
                <w:color w:val="000000"/>
                <w:sz w:val="20"/>
                <w:szCs w:val="20"/>
                <w:vertAlign w:val="superscript"/>
              </w:rPr>
              <w:t xml:space="preserve"> </w:t>
            </w:r>
          </w:p>
        </w:tc>
        <w:tc>
          <w:tcPr>
            <w:tcW w:w="1080" w:type="dxa"/>
            <w:vAlign w:val="center"/>
          </w:tcPr>
          <w:p w14:paraId="03BF9265" w14:textId="4585B880" w:rsidR="00F86B59" w:rsidRPr="00D75C35" w:rsidRDefault="001A26CB" w:rsidP="0062218A">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 xml:space="preserve"> $</w:t>
            </w:r>
            <w:r w:rsidR="0062218A">
              <w:rPr>
                <w:rFonts w:ascii="Arial Narrow" w:hAnsi="Arial Narrow" w:cs="Times New Roman"/>
                <w:color w:val="000000"/>
                <w:sz w:val="20"/>
                <w:szCs w:val="20"/>
              </w:rPr>
              <w:t>947</w:t>
            </w:r>
          </w:p>
        </w:tc>
      </w:tr>
      <w:tr w:rsidR="00F86B59" w:rsidRPr="00D75C35" w14:paraId="4FCF74DA" w14:textId="77777777" w:rsidTr="00A723C1">
        <w:trPr>
          <w:trHeight w:val="576"/>
        </w:trPr>
        <w:tc>
          <w:tcPr>
            <w:tcW w:w="1440" w:type="dxa"/>
            <w:shd w:val="clear" w:color="auto" w:fill="auto"/>
            <w:vAlign w:val="center"/>
          </w:tcPr>
          <w:p w14:paraId="61E5DD49" w14:textId="7777777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Participant Survey</w:t>
            </w:r>
          </w:p>
        </w:tc>
        <w:tc>
          <w:tcPr>
            <w:tcW w:w="1350" w:type="dxa"/>
            <w:shd w:val="clear" w:color="auto" w:fill="auto"/>
            <w:vAlign w:val="center"/>
          </w:tcPr>
          <w:p w14:paraId="4A67299D" w14:textId="23A83FAD"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 xml:space="preserve">667 </w:t>
            </w:r>
            <w:r w:rsidR="001A26CB">
              <w:rPr>
                <w:rFonts w:ascii="Arial Narrow" w:hAnsi="Arial Narrow" w:cs="Times New Roman"/>
                <w:color w:val="000000"/>
                <w:sz w:val="20"/>
                <w:szCs w:val="20"/>
                <w:vertAlign w:val="superscript"/>
              </w:rPr>
              <w:t>d</w:t>
            </w:r>
          </w:p>
        </w:tc>
        <w:tc>
          <w:tcPr>
            <w:tcW w:w="1260" w:type="dxa"/>
            <w:vAlign w:val="center"/>
          </w:tcPr>
          <w:p w14:paraId="72B43BAE" w14:textId="7777777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1</w:t>
            </w:r>
          </w:p>
        </w:tc>
        <w:tc>
          <w:tcPr>
            <w:tcW w:w="1170" w:type="dxa"/>
            <w:vAlign w:val="center"/>
          </w:tcPr>
          <w:p w14:paraId="076285A4" w14:textId="7777777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667</w:t>
            </w:r>
          </w:p>
        </w:tc>
        <w:tc>
          <w:tcPr>
            <w:tcW w:w="1170" w:type="dxa"/>
            <w:vAlign w:val="center"/>
          </w:tcPr>
          <w:p w14:paraId="69AD88C4" w14:textId="0529FB81" w:rsidR="00F86B59" w:rsidRPr="00D75C35" w:rsidRDefault="00F85406" w:rsidP="00F10F11">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.5</w:t>
            </w:r>
          </w:p>
        </w:tc>
        <w:tc>
          <w:tcPr>
            <w:tcW w:w="1170" w:type="dxa"/>
            <w:vAlign w:val="center"/>
          </w:tcPr>
          <w:p w14:paraId="4164BD24" w14:textId="7777777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33</w:t>
            </w:r>
            <w:r>
              <w:rPr>
                <w:rFonts w:ascii="Arial Narrow" w:hAnsi="Arial Narrow" w:cs="Times New Roman"/>
                <w:color w:val="000000"/>
                <w:sz w:val="20"/>
                <w:szCs w:val="20"/>
              </w:rPr>
              <w:t>4</w:t>
            </w:r>
          </w:p>
        </w:tc>
        <w:tc>
          <w:tcPr>
            <w:tcW w:w="990" w:type="dxa"/>
            <w:shd w:val="clear" w:color="auto" w:fill="auto"/>
            <w:vAlign w:val="center"/>
          </w:tcPr>
          <w:p w14:paraId="50B8E42C" w14:textId="77777777" w:rsidR="00F86B59" w:rsidRPr="00D75C35" w:rsidRDefault="00F86B59" w:rsidP="00F10F11">
            <w:pPr>
              <w:spacing w:after="0" w:line="240" w:lineRule="auto"/>
              <w:jc w:val="center"/>
              <w:rPr>
                <w:rFonts w:ascii="Arial Narrow" w:hAnsi="Arial Narrow" w:cs="Times New Roman"/>
                <w:color w:val="000000"/>
                <w:sz w:val="20"/>
                <w:szCs w:val="20"/>
              </w:rPr>
            </w:pPr>
            <w:r w:rsidRPr="00D75C35">
              <w:rPr>
                <w:rFonts w:ascii="Arial Narrow" w:hAnsi="Arial Narrow" w:cs="Times New Roman"/>
                <w:color w:val="000000"/>
                <w:sz w:val="20"/>
                <w:szCs w:val="20"/>
              </w:rPr>
              <w:t>$25.54</w:t>
            </w:r>
            <w:r w:rsidRPr="00D75C35">
              <w:rPr>
                <w:rFonts w:ascii="Arial Narrow" w:hAnsi="Arial Narrow" w:cs="Times New Roman"/>
                <w:color w:val="000000"/>
                <w:sz w:val="20"/>
                <w:szCs w:val="20"/>
                <w:vertAlign w:val="superscript"/>
              </w:rPr>
              <w:t xml:space="preserve"> </w:t>
            </w:r>
          </w:p>
        </w:tc>
        <w:tc>
          <w:tcPr>
            <w:tcW w:w="1080" w:type="dxa"/>
            <w:vAlign w:val="center"/>
          </w:tcPr>
          <w:p w14:paraId="60163A82" w14:textId="77777777" w:rsidR="00F86B59" w:rsidRPr="00D75C35" w:rsidRDefault="00F86B59" w:rsidP="00F10F11">
            <w:pPr>
              <w:spacing w:after="0" w:line="240" w:lineRule="auto"/>
              <w:jc w:val="center"/>
              <w:rPr>
                <w:rFonts w:ascii="Arial Narrow" w:hAnsi="Arial Narrow" w:cs="Times New Roman"/>
                <w:color w:val="000000"/>
                <w:sz w:val="20"/>
                <w:szCs w:val="20"/>
              </w:rPr>
            </w:pPr>
            <w:r>
              <w:rPr>
                <w:rFonts w:ascii="Arial Narrow" w:hAnsi="Arial Narrow" w:cs="Times New Roman"/>
                <w:color w:val="000000"/>
                <w:sz w:val="20"/>
                <w:szCs w:val="20"/>
              </w:rPr>
              <w:t>$8,530</w:t>
            </w:r>
          </w:p>
        </w:tc>
      </w:tr>
      <w:tr w:rsidR="00F86B59" w:rsidRPr="00D75C35" w14:paraId="59ADD481" w14:textId="77777777" w:rsidTr="00A723C1">
        <w:trPr>
          <w:trHeight w:val="576"/>
        </w:trPr>
        <w:tc>
          <w:tcPr>
            <w:tcW w:w="1440" w:type="dxa"/>
            <w:shd w:val="clear" w:color="auto" w:fill="auto"/>
            <w:vAlign w:val="center"/>
          </w:tcPr>
          <w:p w14:paraId="64C2B10D" w14:textId="77777777" w:rsidR="00F86B59" w:rsidRPr="00D75C35" w:rsidRDefault="00F86B59" w:rsidP="00F10F11">
            <w:pPr>
              <w:spacing w:after="0" w:line="240" w:lineRule="auto"/>
              <w:jc w:val="center"/>
              <w:rPr>
                <w:rFonts w:ascii="Arial Narrow" w:hAnsi="Arial Narrow" w:cs="Times New Roman"/>
                <w:b/>
                <w:color w:val="000000"/>
                <w:sz w:val="20"/>
                <w:szCs w:val="20"/>
              </w:rPr>
            </w:pPr>
            <w:r w:rsidRPr="00D75C35">
              <w:rPr>
                <w:rFonts w:ascii="Arial Narrow" w:hAnsi="Arial Narrow" w:cs="Times New Roman"/>
                <w:b/>
                <w:color w:val="000000"/>
                <w:sz w:val="20"/>
                <w:szCs w:val="20"/>
              </w:rPr>
              <w:t>Totals</w:t>
            </w:r>
          </w:p>
        </w:tc>
        <w:tc>
          <w:tcPr>
            <w:tcW w:w="1350" w:type="dxa"/>
            <w:shd w:val="clear" w:color="auto" w:fill="auto"/>
            <w:vAlign w:val="center"/>
          </w:tcPr>
          <w:p w14:paraId="1C0F221B" w14:textId="2956E8AC" w:rsidR="00F86B59" w:rsidRPr="00D75C35" w:rsidRDefault="00E40BE2" w:rsidP="0062218A">
            <w:pPr>
              <w:spacing w:after="0" w:line="240" w:lineRule="auto"/>
              <w:jc w:val="center"/>
              <w:rPr>
                <w:rFonts w:ascii="Arial Narrow" w:hAnsi="Arial Narrow" w:cs="Times New Roman"/>
                <w:b/>
                <w:color w:val="000000"/>
                <w:sz w:val="20"/>
                <w:szCs w:val="20"/>
              </w:rPr>
            </w:pPr>
            <w:r>
              <w:rPr>
                <w:rFonts w:ascii="Arial Narrow" w:hAnsi="Arial Narrow" w:cs="Times New Roman"/>
                <w:b/>
                <w:color w:val="000000"/>
                <w:sz w:val="20"/>
                <w:szCs w:val="20"/>
              </w:rPr>
              <w:t>70</w:t>
            </w:r>
            <w:r w:rsidR="0062218A">
              <w:rPr>
                <w:rFonts w:ascii="Arial Narrow" w:hAnsi="Arial Narrow" w:cs="Times New Roman"/>
                <w:b/>
                <w:color w:val="000000"/>
                <w:sz w:val="20"/>
                <w:szCs w:val="20"/>
              </w:rPr>
              <w:t>9</w:t>
            </w:r>
          </w:p>
        </w:tc>
        <w:tc>
          <w:tcPr>
            <w:tcW w:w="1260" w:type="dxa"/>
            <w:vAlign w:val="center"/>
          </w:tcPr>
          <w:p w14:paraId="0B9C2C3F" w14:textId="77777777" w:rsidR="00F86B59" w:rsidRPr="00D75C35" w:rsidRDefault="00F86B59" w:rsidP="00F10F11">
            <w:pPr>
              <w:spacing w:after="0" w:line="240" w:lineRule="auto"/>
              <w:jc w:val="center"/>
              <w:rPr>
                <w:rFonts w:ascii="Arial Narrow" w:hAnsi="Arial Narrow" w:cs="Times New Roman"/>
                <w:b/>
                <w:color w:val="000000"/>
                <w:sz w:val="20"/>
                <w:szCs w:val="20"/>
              </w:rPr>
            </w:pPr>
            <w:r w:rsidRPr="00D75C35">
              <w:rPr>
                <w:rFonts w:ascii="Arial Narrow" w:hAnsi="Arial Narrow" w:cs="Times New Roman"/>
                <w:b/>
                <w:color w:val="000000"/>
                <w:sz w:val="20"/>
                <w:szCs w:val="20"/>
              </w:rPr>
              <w:t>-</w:t>
            </w:r>
          </w:p>
        </w:tc>
        <w:tc>
          <w:tcPr>
            <w:tcW w:w="1170" w:type="dxa"/>
            <w:vAlign w:val="center"/>
          </w:tcPr>
          <w:p w14:paraId="015A167A" w14:textId="64954668" w:rsidR="00F86B59" w:rsidRPr="00D75C35" w:rsidRDefault="00E40BE2" w:rsidP="0062218A">
            <w:pPr>
              <w:spacing w:after="0" w:line="240" w:lineRule="auto"/>
              <w:jc w:val="center"/>
              <w:rPr>
                <w:rFonts w:ascii="Arial Narrow" w:hAnsi="Arial Narrow" w:cs="Times New Roman"/>
                <w:b/>
                <w:color w:val="000000"/>
                <w:sz w:val="20"/>
                <w:szCs w:val="20"/>
              </w:rPr>
            </w:pPr>
            <w:r>
              <w:rPr>
                <w:rFonts w:ascii="Arial Narrow" w:hAnsi="Arial Narrow" w:cs="Times New Roman"/>
                <w:b/>
                <w:color w:val="000000"/>
                <w:sz w:val="20"/>
                <w:szCs w:val="20"/>
              </w:rPr>
              <w:t>70</w:t>
            </w:r>
            <w:r w:rsidR="0062218A">
              <w:rPr>
                <w:rFonts w:ascii="Arial Narrow" w:hAnsi="Arial Narrow" w:cs="Times New Roman"/>
                <w:b/>
                <w:color w:val="000000"/>
                <w:sz w:val="20"/>
                <w:szCs w:val="20"/>
              </w:rPr>
              <w:t>9</w:t>
            </w:r>
          </w:p>
        </w:tc>
        <w:tc>
          <w:tcPr>
            <w:tcW w:w="1170" w:type="dxa"/>
            <w:vAlign w:val="center"/>
          </w:tcPr>
          <w:p w14:paraId="781CF286" w14:textId="77777777" w:rsidR="00F86B59" w:rsidRPr="00D75C35" w:rsidRDefault="00F86B59" w:rsidP="00F10F11">
            <w:pPr>
              <w:spacing w:after="0" w:line="240" w:lineRule="auto"/>
              <w:jc w:val="center"/>
              <w:rPr>
                <w:rFonts w:ascii="Arial Narrow" w:hAnsi="Arial Narrow" w:cs="Times New Roman"/>
                <w:b/>
                <w:color w:val="000000"/>
                <w:sz w:val="20"/>
                <w:szCs w:val="20"/>
              </w:rPr>
            </w:pPr>
            <w:r w:rsidRPr="00D75C35">
              <w:rPr>
                <w:rFonts w:ascii="Arial Narrow" w:hAnsi="Arial Narrow" w:cs="Times New Roman"/>
                <w:b/>
                <w:color w:val="000000"/>
                <w:sz w:val="20"/>
                <w:szCs w:val="20"/>
              </w:rPr>
              <w:t>-</w:t>
            </w:r>
          </w:p>
        </w:tc>
        <w:tc>
          <w:tcPr>
            <w:tcW w:w="1170" w:type="dxa"/>
            <w:vAlign w:val="center"/>
          </w:tcPr>
          <w:p w14:paraId="09910555" w14:textId="175031DB" w:rsidR="00F86B59" w:rsidRPr="00D75C35" w:rsidRDefault="00E40BE2" w:rsidP="0062218A">
            <w:pPr>
              <w:spacing w:after="0" w:line="240" w:lineRule="auto"/>
              <w:jc w:val="center"/>
              <w:rPr>
                <w:rFonts w:ascii="Arial Narrow" w:hAnsi="Arial Narrow" w:cs="Times New Roman"/>
                <w:b/>
                <w:color w:val="000000"/>
                <w:sz w:val="20"/>
                <w:szCs w:val="20"/>
              </w:rPr>
            </w:pPr>
            <w:r>
              <w:rPr>
                <w:rFonts w:ascii="Arial Narrow" w:hAnsi="Arial Narrow" w:cs="Times New Roman"/>
                <w:b/>
                <w:color w:val="000000"/>
                <w:sz w:val="20"/>
                <w:szCs w:val="20"/>
              </w:rPr>
              <w:t>35</w:t>
            </w:r>
            <w:r w:rsidR="0062218A">
              <w:rPr>
                <w:rFonts w:ascii="Arial Narrow" w:hAnsi="Arial Narrow" w:cs="Times New Roman"/>
                <w:b/>
                <w:color w:val="000000"/>
                <w:sz w:val="20"/>
                <w:szCs w:val="20"/>
              </w:rPr>
              <w:t>5</w:t>
            </w:r>
          </w:p>
        </w:tc>
        <w:tc>
          <w:tcPr>
            <w:tcW w:w="990" w:type="dxa"/>
            <w:shd w:val="clear" w:color="auto" w:fill="auto"/>
            <w:vAlign w:val="center"/>
          </w:tcPr>
          <w:p w14:paraId="1B863645" w14:textId="77777777" w:rsidR="00F86B59" w:rsidRPr="00D75C35" w:rsidRDefault="00F86B59" w:rsidP="00F10F11">
            <w:pPr>
              <w:spacing w:after="0" w:line="240" w:lineRule="auto"/>
              <w:jc w:val="center"/>
              <w:rPr>
                <w:rFonts w:ascii="Arial Narrow" w:hAnsi="Arial Narrow" w:cs="Times New Roman"/>
                <w:b/>
                <w:color w:val="000000"/>
                <w:sz w:val="20"/>
                <w:szCs w:val="20"/>
              </w:rPr>
            </w:pPr>
            <w:r w:rsidRPr="00D75C35">
              <w:rPr>
                <w:rFonts w:ascii="Arial Narrow" w:hAnsi="Arial Narrow" w:cs="Times New Roman"/>
                <w:b/>
                <w:color w:val="000000"/>
                <w:sz w:val="20"/>
                <w:szCs w:val="20"/>
              </w:rPr>
              <w:t>-</w:t>
            </w:r>
          </w:p>
        </w:tc>
        <w:tc>
          <w:tcPr>
            <w:tcW w:w="1080" w:type="dxa"/>
            <w:vAlign w:val="center"/>
          </w:tcPr>
          <w:p w14:paraId="06DCA4E0" w14:textId="4EE60484" w:rsidR="00F86B59" w:rsidRPr="00D75C35" w:rsidRDefault="00F86B59" w:rsidP="0062218A">
            <w:pPr>
              <w:spacing w:after="0" w:line="240" w:lineRule="auto"/>
              <w:jc w:val="center"/>
              <w:rPr>
                <w:rFonts w:ascii="Arial Narrow" w:hAnsi="Arial Narrow" w:cs="Times New Roman"/>
                <w:b/>
                <w:color w:val="000000"/>
                <w:sz w:val="20"/>
                <w:szCs w:val="20"/>
              </w:rPr>
            </w:pPr>
            <w:r w:rsidRPr="00D75C35">
              <w:rPr>
                <w:rFonts w:ascii="Arial Narrow" w:hAnsi="Arial Narrow" w:cs="Times New Roman"/>
                <w:b/>
                <w:color w:val="000000"/>
                <w:sz w:val="20"/>
                <w:szCs w:val="20"/>
              </w:rPr>
              <w:t>$</w:t>
            </w:r>
            <w:r w:rsidR="00E40BE2">
              <w:rPr>
                <w:rFonts w:ascii="Arial Narrow" w:hAnsi="Arial Narrow" w:cs="Times New Roman"/>
                <w:b/>
                <w:color w:val="000000"/>
                <w:sz w:val="20"/>
                <w:szCs w:val="20"/>
              </w:rPr>
              <w:t>9,4</w:t>
            </w:r>
            <w:r w:rsidR="0062218A">
              <w:rPr>
                <w:rFonts w:ascii="Arial Narrow" w:hAnsi="Arial Narrow" w:cs="Times New Roman"/>
                <w:b/>
                <w:color w:val="000000"/>
                <w:sz w:val="20"/>
                <w:szCs w:val="20"/>
              </w:rPr>
              <w:t>77</w:t>
            </w:r>
          </w:p>
        </w:tc>
      </w:tr>
    </w:tbl>
    <w:p w14:paraId="7CBE3C5D" w14:textId="53E6678D" w:rsidR="00F86B59" w:rsidRPr="0031387E" w:rsidRDefault="00F86B59" w:rsidP="00F86B59">
      <w:pPr>
        <w:spacing w:after="0" w:line="240" w:lineRule="auto"/>
        <w:rPr>
          <w:rFonts w:ascii="Times New Roman" w:eastAsia="Times New Roman" w:hAnsi="Times New Roman" w:cs="Times New Roman"/>
        </w:rPr>
      </w:pPr>
      <w:r w:rsidRPr="0045217E">
        <w:rPr>
          <w:rFonts w:ascii="Times New Roman" w:eastAsia="Times New Roman" w:hAnsi="Times New Roman" w:cs="Times New Roman"/>
          <w:vertAlign w:val="superscript"/>
        </w:rPr>
        <w:t>a</w:t>
      </w:r>
      <w:r w:rsidR="00427D76">
        <w:rPr>
          <w:rFonts w:ascii="Times New Roman" w:eastAsia="Times New Roman" w:hAnsi="Times New Roman" w:cs="Times New Roman"/>
          <w:vertAlign w:val="superscript"/>
        </w:rPr>
        <w:t xml:space="preserve"> </w:t>
      </w:r>
      <w:r w:rsidR="0045217E">
        <w:rPr>
          <w:rFonts w:ascii="Times New Roman" w:eastAsia="Times New Roman" w:hAnsi="Times New Roman" w:cs="Times New Roman"/>
        </w:rPr>
        <w:t xml:space="preserve">DOL </w:t>
      </w:r>
      <w:r w:rsidRPr="0031387E">
        <w:rPr>
          <w:rFonts w:ascii="Times New Roman" w:eastAsia="Times New Roman" w:hAnsi="Times New Roman" w:cs="Times New Roman"/>
        </w:rPr>
        <w:t>seek</w:t>
      </w:r>
      <w:r w:rsidR="0045217E">
        <w:rPr>
          <w:rFonts w:ascii="Times New Roman" w:eastAsia="Times New Roman" w:hAnsi="Times New Roman" w:cs="Times New Roman"/>
        </w:rPr>
        <w:t>s</w:t>
      </w:r>
      <w:r w:rsidRPr="0031387E">
        <w:rPr>
          <w:rFonts w:ascii="Times New Roman" w:eastAsia="Times New Roman" w:hAnsi="Times New Roman" w:cs="Times New Roman"/>
        </w:rPr>
        <w:t xml:space="preserve"> a clearance period of three years </w:t>
      </w:r>
    </w:p>
    <w:p w14:paraId="6DA46223" w14:textId="0F788767" w:rsidR="001A26CB" w:rsidRDefault="00F86B59" w:rsidP="00F86B59">
      <w:pPr>
        <w:spacing w:after="0" w:line="240" w:lineRule="auto"/>
        <w:rPr>
          <w:rFonts w:ascii="Times New Roman" w:eastAsia="Times New Roman" w:hAnsi="Times New Roman" w:cs="Times New Roman"/>
        </w:rPr>
      </w:pPr>
      <w:r w:rsidRPr="0045217E">
        <w:rPr>
          <w:rFonts w:ascii="Times New Roman" w:eastAsia="Times New Roman" w:hAnsi="Times New Roman" w:cs="Times New Roman"/>
          <w:vertAlign w:val="superscript"/>
        </w:rPr>
        <w:t>b</w:t>
      </w:r>
      <w:r w:rsidR="001A26CB" w:rsidRPr="001A26CB">
        <w:rPr>
          <w:rFonts w:ascii="Times New Roman" w:eastAsia="Times New Roman" w:hAnsi="Times New Roman" w:cs="Times New Roman"/>
        </w:rPr>
        <w:t xml:space="preserve"> </w:t>
      </w:r>
      <w:r w:rsidR="001A26CB">
        <w:rPr>
          <w:rFonts w:ascii="Times New Roman" w:eastAsia="Times New Roman" w:hAnsi="Times New Roman" w:cs="Times New Roman"/>
        </w:rPr>
        <w:t xml:space="preserve">Includes both employer and grantee respondents. </w:t>
      </w:r>
      <w:r>
        <w:rPr>
          <w:rFonts w:ascii="Times New Roman" w:eastAsia="Times New Roman" w:hAnsi="Times New Roman" w:cs="Times New Roman"/>
        </w:rPr>
        <w:t xml:space="preserve">Assumes a sample of </w:t>
      </w:r>
      <w:r w:rsidR="0062218A">
        <w:rPr>
          <w:rFonts w:ascii="Times New Roman" w:eastAsia="Times New Roman" w:hAnsi="Times New Roman" w:cs="Times New Roman"/>
        </w:rPr>
        <w:t>100</w:t>
      </w:r>
      <w:r w:rsidRPr="0031387E">
        <w:rPr>
          <w:rFonts w:ascii="Times New Roman" w:eastAsia="Times New Roman" w:hAnsi="Times New Roman" w:cs="Times New Roman"/>
        </w:rPr>
        <w:t xml:space="preserve"> employers </w:t>
      </w:r>
      <w:r>
        <w:rPr>
          <w:rFonts w:ascii="Times New Roman" w:eastAsia="Times New Roman" w:hAnsi="Times New Roman" w:cs="Times New Roman"/>
        </w:rPr>
        <w:t>with a</w:t>
      </w:r>
      <w:r w:rsidR="005B1058">
        <w:rPr>
          <w:rFonts w:ascii="Times New Roman" w:eastAsia="Times New Roman" w:hAnsi="Times New Roman" w:cs="Times New Roman"/>
        </w:rPr>
        <w:t>n</w:t>
      </w:r>
      <w:r>
        <w:rPr>
          <w:rFonts w:ascii="Times New Roman" w:eastAsia="Times New Roman" w:hAnsi="Times New Roman" w:cs="Times New Roman"/>
        </w:rPr>
        <w:t xml:space="preserve"> </w:t>
      </w:r>
      <w:r w:rsidR="005B1058">
        <w:rPr>
          <w:rFonts w:ascii="Times New Roman" w:eastAsia="Times New Roman" w:hAnsi="Times New Roman" w:cs="Times New Roman"/>
        </w:rPr>
        <w:t>8</w:t>
      </w:r>
      <w:r>
        <w:rPr>
          <w:rFonts w:ascii="Times New Roman" w:eastAsia="Times New Roman" w:hAnsi="Times New Roman" w:cs="Times New Roman"/>
        </w:rPr>
        <w:t>0 percent response rate</w:t>
      </w:r>
      <w:r w:rsidR="005B1058">
        <w:rPr>
          <w:rFonts w:ascii="Times New Roman" w:eastAsia="Times New Roman" w:hAnsi="Times New Roman" w:cs="Times New Roman"/>
        </w:rPr>
        <w:t xml:space="preserve"> and 46 grantees with a 100 percent response rate</w:t>
      </w:r>
      <w:r w:rsidRPr="0031387E">
        <w:rPr>
          <w:rFonts w:ascii="Times New Roman" w:eastAsia="Times New Roman" w:hAnsi="Times New Roman" w:cs="Times New Roman"/>
        </w:rPr>
        <w:t xml:space="preserve">. </w:t>
      </w:r>
    </w:p>
    <w:p w14:paraId="291EC462" w14:textId="43865023" w:rsidR="00F86B59" w:rsidRPr="0031387E" w:rsidRDefault="001A26CB" w:rsidP="00F86B59">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c </w:t>
      </w:r>
      <w:r>
        <w:rPr>
          <w:rFonts w:ascii="Times New Roman" w:eastAsia="Times New Roman" w:hAnsi="Times New Roman" w:cs="Times New Roman"/>
        </w:rPr>
        <w:t>This is calculated by taking the average of the</w:t>
      </w:r>
      <w:r w:rsidR="00154283">
        <w:rPr>
          <w:rFonts w:ascii="Times New Roman" w:eastAsia="Times New Roman" w:hAnsi="Times New Roman" w:cs="Times New Roman"/>
        </w:rPr>
        <w:t xml:space="preserve"> combined</w:t>
      </w:r>
      <w:r>
        <w:rPr>
          <w:rFonts w:ascii="Times New Roman" w:eastAsia="Times New Roman" w:hAnsi="Times New Roman" w:cs="Times New Roman"/>
        </w:rPr>
        <w:t xml:space="preserve"> hourly wage</w:t>
      </w:r>
      <w:r w:rsidR="00154283">
        <w:rPr>
          <w:rFonts w:ascii="Times New Roman" w:eastAsia="Times New Roman" w:hAnsi="Times New Roman" w:cs="Times New Roman"/>
        </w:rPr>
        <w:t>s</w:t>
      </w:r>
      <w:r>
        <w:rPr>
          <w:rFonts w:ascii="Times New Roman" w:eastAsia="Times New Roman" w:hAnsi="Times New Roman" w:cs="Times New Roman"/>
        </w:rPr>
        <w:t xml:space="preserve"> for an employer respondent ($59.38) and grantee respondent ($30.82).</w:t>
      </w:r>
    </w:p>
    <w:p w14:paraId="1C609C2D" w14:textId="491F751F" w:rsidR="00F86B59" w:rsidRPr="0031387E" w:rsidRDefault="001A26CB" w:rsidP="00F86B59">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d</w:t>
      </w:r>
      <w:r w:rsidR="00427D76">
        <w:rPr>
          <w:rFonts w:ascii="Times New Roman" w:eastAsia="Times New Roman" w:hAnsi="Times New Roman" w:cs="Times New Roman"/>
          <w:vertAlign w:val="superscript"/>
        </w:rPr>
        <w:t xml:space="preserve"> </w:t>
      </w:r>
      <w:r w:rsidR="00F86B59">
        <w:rPr>
          <w:rFonts w:ascii="Times New Roman" w:eastAsia="Times New Roman" w:hAnsi="Times New Roman" w:cs="Times New Roman"/>
        </w:rPr>
        <w:t xml:space="preserve">Assumes a sample of </w:t>
      </w:r>
      <w:r w:rsidR="00F86B59" w:rsidRPr="0031387E">
        <w:rPr>
          <w:rFonts w:ascii="Times New Roman" w:eastAsia="Times New Roman" w:hAnsi="Times New Roman" w:cs="Times New Roman"/>
        </w:rPr>
        <w:t xml:space="preserve">2,500 participants with </w:t>
      </w:r>
      <w:r w:rsidR="00F86B59">
        <w:rPr>
          <w:rFonts w:ascii="Times New Roman" w:eastAsia="Times New Roman" w:hAnsi="Times New Roman" w:cs="Times New Roman"/>
        </w:rPr>
        <w:t xml:space="preserve">an </w:t>
      </w:r>
      <w:r w:rsidR="00F86B59" w:rsidRPr="0031387E">
        <w:rPr>
          <w:rFonts w:ascii="Times New Roman" w:eastAsia="Times New Roman" w:hAnsi="Times New Roman" w:cs="Times New Roman"/>
        </w:rPr>
        <w:t>80 percent</w:t>
      </w:r>
      <w:r w:rsidR="00F86B59">
        <w:rPr>
          <w:rFonts w:ascii="Times New Roman" w:eastAsia="Times New Roman" w:hAnsi="Times New Roman" w:cs="Times New Roman"/>
        </w:rPr>
        <w:t xml:space="preserve"> response rate</w:t>
      </w:r>
      <w:r w:rsidR="00F86B59" w:rsidRPr="0031387E">
        <w:rPr>
          <w:rFonts w:ascii="Times New Roman" w:eastAsia="Times New Roman" w:hAnsi="Times New Roman" w:cs="Times New Roman"/>
        </w:rPr>
        <w:t>.</w:t>
      </w:r>
    </w:p>
    <w:p w14:paraId="41542325" w14:textId="77777777" w:rsidR="001E6D9B" w:rsidRPr="00446CE5" w:rsidRDefault="001E6D9B" w:rsidP="003006AA">
      <w:pPr>
        <w:pStyle w:val="ListParagraph"/>
        <w:ind w:left="0"/>
        <w:rPr>
          <w:rFonts w:ascii="Times New Roman" w:hAnsi="Times New Roman" w:cs="Times New Roman"/>
        </w:rPr>
      </w:pPr>
    </w:p>
    <w:p w14:paraId="53D51024" w14:textId="77777777" w:rsidR="001E6D9B"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1E6D9B" w:rsidRPr="00446CE5">
        <w:rPr>
          <w:rFonts w:ascii="Times New Roman" w:hAnsi="Times New Roman" w:cs="Times New Roman"/>
          <w:b/>
        </w:rPr>
        <w:t xml:space="preserve">13. </w:t>
      </w:r>
      <w:r w:rsidR="00396A5A" w:rsidRPr="00396A5A">
        <w:rPr>
          <w:rFonts w:ascii="Times New Roman" w:hAnsi="Times New Roman" w:cs="Times New Roman"/>
          <w:b/>
        </w:rPr>
        <w:t>Cost to Respondents</w:t>
      </w:r>
    </w:p>
    <w:p w14:paraId="3731E71E" w14:textId="77777777" w:rsidR="007B409B" w:rsidRDefault="007B409B" w:rsidP="00220CD6">
      <w:pPr>
        <w:pStyle w:val="BodyText"/>
        <w:spacing w:after="200"/>
        <w:rPr>
          <w:rFonts w:ascii="Times New Roman" w:hAnsi="Times New Roman" w:cs="Times New Roman"/>
        </w:rPr>
      </w:pPr>
      <w:r w:rsidRPr="007B409B">
        <w:rPr>
          <w:rFonts w:ascii="Times New Roman" w:hAnsi="Times New Roman" w:cs="Times New Roman"/>
        </w:rPr>
        <w:t xml:space="preserve">There are no additional costs to respondents other than their time. </w:t>
      </w:r>
    </w:p>
    <w:p w14:paraId="0AE913B5" w14:textId="77777777" w:rsidR="001E6D9B" w:rsidRPr="00446CE5" w:rsidRDefault="00087751" w:rsidP="003006AA">
      <w:pPr>
        <w:pStyle w:val="ListParagraph"/>
        <w:ind w:left="0"/>
        <w:rPr>
          <w:rFonts w:ascii="Times New Roman" w:hAnsi="Times New Roman" w:cs="Times New Roman"/>
          <w:b/>
        </w:rPr>
      </w:pPr>
      <w:r>
        <w:rPr>
          <w:rFonts w:ascii="Times New Roman" w:hAnsi="Times New Roman" w:cs="Times New Roman"/>
          <w:b/>
        </w:rPr>
        <w:t>A.</w:t>
      </w:r>
      <w:r w:rsidR="001E6D9B" w:rsidRPr="00446CE5">
        <w:rPr>
          <w:rFonts w:ascii="Times New Roman" w:hAnsi="Times New Roman" w:cs="Times New Roman"/>
          <w:b/>
        </w:rPr>
        <w:t xml:space="preserve">14. </w:t>
      </w:r>
      <w:r w:rsidR="00396A5A" w:rsidRPr="00396A5A">
        <w:rPr>
          <w:rFonts w:ascii="Times New Roman" w:hAnsi="Times New Roman" w:cs="Times New Roman"/>
          <w:b/>
        </w:rPr>
        <w:t>Cost to the Federal Government</w:t>
      </w:r>
    </w:p>
    <w:p w14:paraId="1ECC78B8" w14:textId="41CA4878" w:rsidR="006A0657" w:rsidRPr="006A0657" w:rsidRDefault="006A0657" w:rsidP="006A0657">
      <w:pPr>
        <w:rPr>
          <w:rFonts w:ascii="Times New Roman" w:hAnsi="Times New Roman" w:cs="Times New Roman"/>
        </w:rPr>
      </w:pPr>
      <w:r w:rsidRPr="006A0657">
        <w:rPr>
          <w:rFonts w:ascii="Times New Roman" w:hAnsi="Times New Roman" w:cs="Times New Roman"/>
        </w:rPr>
        <w:t xml:space="preserve">The total annualized cost to the federal government is </w:t>
      </w:r>
      <w:r w:rsidRPr="00E7505C">
        <w:rPr>
          <w:rFonts w:ascii="Times New Roman" w:hAnsi="Times New Roman" w:cs="Times New Roman"/>
        </w:rPr>
        <w:t>$</w:t>
      </w:r>
      <w:r w:rsidR="0013135A" w:rsidRPr="00E7505C">
        <w:rPr>
          <w:rFonts w:ascii="Times New Roman" w:hAnsi="Times New Roman" w:cs="Times New Roman"/>
        </w:rPr>
        <w:t>627,995</w:t>
      </w:r>
      <w:r w:rsidRPr="006A0657">
        <w:rPr>
          <w:rFonts w:ascii="Times New Roman" w:hAnsi="Times New Roman" w:cs="Times New Roman"/>
        </w:rPr>
        <w:t>. Costs result from the following two categories:</w:t>
      </w:r>
    </w:p>
    <w:p w14:paraId="253FEF7B" w14:textId="1DEF28CD" w:rsidR="006A0657" w:rsidRDefault="0013135A" w:rsidP="00A81E7F">
      <w:pPr>
        <w:pStyle w:val="ListParagraph"/>
        <w:numPr>
          <w:ilvl w:val="0"/>
          <w:numId w:val="14"/>
        </w:numPr>
        <w:rPr>
          <w:rFonts w:ascii="Times New Roman" w:hAnsi="Times New Roman" w:cs="Times New Roman"/>
          <w:bCs/>
        </w:rPr>
      </w:pPr>
      <w:r w:rsidRPr="006D7F36">
        <w:rPr>
          <w:rFonts w:ascii="Times New Roman" w:hAnsi="Times New Roman" w:cs="Times New Roman"/>
          <w:bCs/>
        </w:rPr>
        <w:t xml:space="preserve">The </w:t>
      </w:r>
      <w:r>
        <w:rPr>
          <w:rFonts w:ascii="Times New Roman" w:hAnsi="Times New Roman" w:cs="Times New Roman"/>
          <w:bCs/>
        </w:rPr>
        <w:t xml:space="preserve">annualized </w:t>
      </w:r>
      <w:r w:rsidRPr="006D7F36">
        <w:rPr>
          <w:rFonts w:ascii="Times New Roman" w:hAnsi="Times New Roman" w:cs="Times New Roman"/>
          <w:bCs/>
        </w:rPr>
        <w:t>cost to the federal government for the contractor to carry out this study</w:t>
      </w:r>
      <w:r w:rsidRPr="00E7505C">
        <w:rPr>
          <w:rFonts w:ascii="Times New Roman" w:hAnsi="Times New Roman" w:cs="Times New Roman"/>
          <w:bCs/>
        </w:rPr>
        <w:t xml:space="preserve"> is $615,915.  This is calculated by the following:  </w:t>
      </w:r>
      <w:r w:rsidRPr="003546B7">
        <w:rPr>
          <w:rFonts w:ascii="Times New Roman" w:hAnsi="Times New Roman" w:cs="Times New Roman"/>
          <w:bCs/>
        </w:rPr>
        <w:t>the e</w:t>
      </w:r>
      <w:r w:rsidR="006A0657" w:rsidRPr="006403E5">
        <w:rPr>
          <w:rFonts w:ascii="Times New Roman" w:hAnsi="Times New Roman" w:cs="Times New Roman"/>
          <w:bCs/>
        </w:rPr>
        <w:t xml:space="preserve">stimated cost to the federal government for the contractor to carry out </w:t>
      </w:r>
      <w:r w:rsidR="006A0657" w:rsidRPr="004650E5">
        <w:rPr>
          <w:rFonts w:ascii="Times New Roman" w:hAnsi="Times New Roman" w:cs="Times New Roman"/>
          <w:bCs/>
        </w:rPr>
        <w:t>data collection for the Employer Survey is $725,910 and for the Participant Survey is $1,121,835</w:t>
      </w:r>
      <w:r w:rsidRPr="004650E5">
        <w:rPr>
          <w:rFonts w:ascii="Times New Roman" w:hAnsi="Times New Roman" w:cs="Times New Roman"/>
          <w:bCs/>
        </w:rPr>
        <w:t>, for a total of $1,847,745</w:t>
      </w:r>
      <w:r w:rsidRPr="00F75E95">
        <w:rPr>
          <w:rFonts w:ascii="Times New Roman" w:hAnsi="Times New Roman" w:cs="Times New Roman"/>
          <w:bCs/>
        </w:rPr>
        <w:t xml:space="preserve"> for three years</w:t>
      </w:r>
      <w:r w:rsidR="006A0657" w:rsidRPr="00F75E95">
        <w:rPr>
          <w:rFonts w:ascii="Times New Roman" w:hAnsi="Times New Roman" w:cs="Times New Roman"/>
          <w:bCs/>
        </w:rPr>
        <w:t xml:space="preserve">. </w:t>
      </w:r>
      <w:r>
        <w:rPr>
          <w:rFonts w:ascii="Times New Roman" w:hAnsi="Times New Roman" w:cs="Times New Roman"/>
          <w:bCs/>
        </w:rPr>
        <w:t xml:space="preserve">Therefore, the annualized cost is $1,847,745 / 3 years = </w:t>
      </w:r>
      <w:r w:rsidR="006A0657" w:rsidRPr="003546B7">
        <w:rPr>
          <w:rFonts w:ascii="Times New Roman" w:hAnsi="Times New Roman" w:cs="Times New Roman"/>
          <w:bCs/>
        </w:rPr>
        <w:t>$615,915.</w:t>
      </w:r>
    </w:p>
    <w:p w14:paraId="26B9AAC5" w14:textId="77777777" w:rsidR="0013135A" w:rsidRPr="003546B7" w:rsidRDefault="0013135A" w:rsidP="00E7505C">
      <w:pPr>
        <w:pStyle w:val="ListParagraph"/>
        <w:rPr>
          <w:rFonts w:ascii="Times New Roman" w:hAnsi="Times New Roman" w:cs="Times New Roman"/>
          <w:bCs/>
        </w:rPr>
      </w:pPr>
    </w:p>
    <w:p w14:paraId="01D63856" w14:textId="77777777" w:rsidR="0013135A" w:rsidRPr="00E7505C" w:rsidRDefault="0013135A" w:rsidP="0013135A">
      <w:pPr>
        <w:pStyle w:val="ListParagraph"/>
        <w:numPr>
          <w:ilvl w:val="0"/>
          <w:numId w:val="14"/>
        </w:numPr>
        <w:rPr>
          <w:rFonts w:ascii="Times New Roman" w:hAnsi="Times New Roman" w:cs="Times New Roman"/>
        </w:rPr>
      </w:pPr>
      <w:r w:rsidRPr="009C1531">
        <w:rPr>
          <w:rFonts w:ascii="Times New Roman" w:hAnsi="Times New Roman" w:cs="Times New Roman"/>
          <w:bCs/>
          <w:spacing w:val="-2"/>
        </w:rPr>
        <w:t xml:space="preserve">The annualized cost for federal technical staff to oversee the study is $12,080.  This is calculated by the following:  an annual level of effort of 200 hours for one Washington, DC–based Federal GS-14 step 4 employee earning $60.40 per hour. (See Office of Personnel Management 2018 Hourly Salary Table at </w:t>
      </w:r>
      <w:hyperlink r:id="rId10" w:history="1">
        <w:r w:rsidRPr="009C1531">
          <w:rPr>
            <w:rStyle w:val="Hyperlink"/>
            <w:rFonts w:ascii="Times New Roman" w:hAnsi="Times New Roman" w:cs="Times New Roman"/>
            <w:spacing w:val="-2"/>
          </w:rPr>
          <w:t>https://www.opm.gov/policy-data-oversight/pay-leave/salaries-wages/salary-tables/pdf/2018/DCB_h.pdf</w:t>
        </w:r>
      </w:hyperlink>
      <w:r w:rsidRPr="009C1531">
        <w:rPr>
          <w:spacing w:val="-2"/>
        </w:rPr>
        <w:t xml:space="preserve">).   </w:t>
      </w:r>
      <w:r w:rsidRPr="009C1531">
        <w:rPr>
          <w:rFonts w:ascii="Times New Roman" w:hAnsi="Times New Roman" w:cs="Times New Roman"/>
          <w:spacing w:val="-2"/>
        </w:rPr>
        <w:t>Therefore, the annualized cost is 200 hours x $60.40 = $12,080.</w:t>
      </w:r>
    </w:p>
    <w:p w14:paraId="6AF28219" w14:textId="21693147" w:rsidR="006A0657" w:rsidRDefault="006A0657" w:rsidP="001E6D9B">
      <w:pPr>
        <w:rPr>
          <w:rFonts w:ascii="Times New Roman" w:hAnsi="Times New Roman" w:cs="Times New Roman"/>
        </w:rPr>
      </w:pPr>
      <w:r w:rsidRPr="006A0657">
        <w:rPr>
          <w:rFonts w:ascii="Times New Roman" w:hAnsi="Times New Roman" w:cs="Times New Roman"/>
        </w:rPr>
        <w:t xml:space="preserve">The total annualized cost to the federal government is </w:t>
      </w:r>
      <w:r w:rsidRPr="00E7505C">
        <w:rPr>
          <w:rFonts w:ascii="Times New Roman" w:hAnsi="Times New Roman" w:cs="Times New Roman"/>
        </w:rPr>
        <w:t>$</w:t>
      </w:r>
      <w:r w:rsidR="0013135A" w:rsidRPr="00E7505C">
        <w:rPr>
          <w:rFonts w:ascii="Times New Roman" w:hAnsi="Times New Roman" w:cs="Times New Roman"/>
        </w:rPr>
        <w:t>627,995</w:t>
      </w:r>
      <w:r w:rsidRPr="006A0657">
        <w:rPr>
          <w:rFonts w:ascii="Times New Roman" w:hAnsi="Times New Roman" w:cs="Times New Roman"/>
        </w:rPr>
        <w:t xml:space="preserve"> ($</w:t>
      </w:r>
      <w:r>
        <w:rPr>
          <w:rFonts w:ascii="Times New Roman" w:hAnsi="Times New Roman" w:cs="Times New Roman"/>
        </w:rPr>
        <w:t>615,915</w:t>
      </w:r>
      <w:r w:rsidRPr="006A0657">
        <w:rPr>
          <w:rFonts w:ascii="Times New Roman" w:hAnsi="Times New Roman" w:cs="Times New Roman"/>
        </w:rPr>
        <w:t xml:space="preserve"> + </w:t>
      </w:r>
      <w:r w:rsidRPr="00E7505C">
        <w:rPr>
          <w:rFonts w:ascii="Times New Roman" w:hAnsi="Times New Roman" w:cs="Times New Roman"/>
        </w:rPr>
        <w:t>$</w:t>
      </w:r>
      <w:r w:rsidR="0013135A" w:rsidRPr="00E7505C">
        <w:rPr>
          <w:rFonts w:ascii="Times New Roman" w:hAnsi="Times New Roman" w:cs="Times New Roman"/>
        </w:rPr>
        <w:t>12,080</w:t>
      </w:r>
      <w:r w:rsidRPr="006A0657">
        <w:rPr>
          <w:rFonts w:ascii="Times New Roman" w:hAnsi="Times New Roman" w:cs="Times New Roman"/>
        </w:rPr>
        <w:t xml:space="preserve">= </w:t>
      </w:r>
      <w:r w:rsidR="0013135A" w:rsidRPr="00E7505C">
        <w:rPr>
          <w:rFonts w:ascii="Times New Roman" w:hAnsi="Times New Roman" w:cs="Times New Roman"/>
        </w:rPr>
        <w:t>627,995</w:t>
      </w:r>
      <w:r w:rsidRPr="006A0657">
        <w:rPr>
          <w:rFonts w:ascii="Times New Roman" w:hAnsi="Times New Roman" w:cs="Times New Roman"/>
        </w:rPr>
        <w:t>).</w:t>
      </w:r>
    </w:p>
    <w:p w14:paraId="69F87ED0" w14:textId="77777777" w:rsidR="001E6D9B" w:rsidRPr="00446CE5" w:rsidRDefault="00087751" w:rsidP="001E6D9B">
      <w:pPr>
        <w:rPr>
          <w:rFonts w:ascii="Times New Roman" w:hAnsi="Times New Roman" w:cs="Times New Roman"/>
          <w:b/>
          <w:lang w:eastAsia="ko-KR"/>
        </w:rPr>
      </w:pPr>
      <w:r>
        <w:rPr>
          <w:rFonts w:ascii="Times New Roman" w:hAnsi="Times New Roman" w:cs="Times New Roman"/>
          <w:b/>
          <w:lang w:eastAsia="ko-KR"/>
        </w:rPr>
        <w:t>A.</w:t>
      </w:r>
      <w:r w:rsidR="001E6D9B" w:rsidRPr="00446CE5">
        <w:rPr>
          <w:rFonts w:ascii="Times New Roman" w:hAnsi="Times New Roman" w:cs="Times New Roman"/>
          <w:b/>
          <w:lang w:eastAsia="ko-KR"/>
        </w:rPr>
        <w:t xml:space="preserve">15. </w:t>
      </w:r>
      <w:r w:rsidR="00396A5A" w:rsidRPr="00396A5A">
        <w:rPr>
          <w:rFonts w:ascii="Times New Roman" w:hAnsi="Times New Roman" w:cs="Times New Roman"/>
          <w:b/>
          <w:lang w:eastAsia="ko-KR"/>
        </w:rPr>
        <w:t>Reasons for Program Changes</w:t>
      </w:r>
    </w:p>
    <w:p w14:paraId="7D25E95F" w14:textId="4EEA79FC" w:rsidR="001E6D9B" w:rsidRPr="00446CE5" w:rsidRDefault="007B409B" w:rsidP="001E6D9B">
      <w:pPr>
        <w:rPr>
          <w:rFonts w:ascii="Times New Roman" w:hAnsi="Times New Roman" w:cs="Times New Roman"/>
          <w:lang w:eastAsia="ko-KR"/>
        </w:rPr>
      </w:pPr>
      <w:r w:rsidRPr="007B409B">
        <w:rPr>
          <w:rFonts w:ascii="Times New Roman" w:hAnsi="Times New Roman" w:cs="Times New Roman"/>
          <w:lang w:eastAsia="ko-KR"/>
        </w:rPr>
        <w:t>This is a new data collection</w:t>
      </w:r>
      <w:r w:rsidR="00151C81">
        <w:rPr>
          <w:rFonts w:ascii="Times New Roman" w:hAnsi="Times New Roman" w:cs="Times New Roman"/>
          <w:lang w:eastAsia="ko-KR"/>
        </w:rPr>
        <w:t>.</w:t>
      </w:r>
      <w:r w:rsidRPr="007B409B">
        <w:rPr>
          <w:rFonts w:ascii="Times New Roman" w:hAnsi="Times New Roman" w:cs="Times New Roman"/>
          <w:lang w:eastAsia="ko-KR"/>
        </w:rPr>
        <w:t xml:space="preserve"> </w:t>
      </w:r>
    </w:p>
    <w:p w14:paraId="128AC02A" w14:textId="77777777" w:rsidR="00096A23" w:rsidRPr="00446CE5" w:rsidRDefault="00087751" w:rsidP="001E6D9B">
      <w:pPr>
        <w:rPr>
          <w:rFonts w:ascii="Times New Roman" w:hAnsi="Times New Roman" w:cs="Times New Roman"/>
          <w:b/>
          <w:lang w:eastAsia="ko-KR"/>
        </w:rPr>
      </w:pPr>
      <w:r>
        <w:rPr>
          <w:rFonts w:ascii="Times New Roman" w:hAnsi="Times New Roman" w:cs="Times New Roman"/>
          <w:b/>
          <w:lang w:eastAsia="ko-KR"/>
        </w:rPr>
        <w:t>A.</w:t>
      </w:r>
      <w:r w:rsidR="00096A23" w:rsidRPr="00446CE5">
        <w:rPr>
          <w:rFonts w:ascii="Times New Roman" w:hAnsi="Times New Roman" w:cs="Times New Roman"/>
          <w:b/>
          <w:lang w:eastAsia="ko-KR"/>
        </w:rPr>
        <w:t>16. Publication Plans and Project Schedule</w:t>
      </w:r>
    </w:p>
    <w:p w14:paraId="6FFABD75" w14:textId="4F8E5C22" w:rsidR="00096A23" w:rsidRPr="00446CE5" w:rsidRDefault="00096A23" w:rsidP="00096A23">
      <w:pPr>
        <w:pStyle w:val="BodyText"/>
        <w:rPr>
          <w:rFonts w:ascii="Times New Roman" w:hAnsi="Times New Roman" w:cs="Times New Roman"/>
        </w:rPr>
      </w:pPr>
      <w:r w:rsidRPr="00446CE5">
        <w:rPr>
          <w:rFonts w:ascii="Times New Roman" w:hAnsi="Times New Roman" w:cs="Times New Roman"/>
        </w:rPr>
        <w:t xml:space="preserve">For the </w:t>
      </w:r>
      <w:r w:rsidR="0045217E">
        <w:rPr>
          <w:rFonts w:ascii="Times New Roman" w:hAnsi="Times New Roman" w:cs="Times New Roman"/>
        </w:rPr>
        <w:t>AAI e</w:t>
      </w:r>
      <w:r w:rsidRPr="00446CE5">
        <w:rPr>
          <w:rFonts w:ascii="Times New Roman" w:hAnsi="Times New Roman" w:cs="Times New Roman"/>
        </w:rPr>
        <w:t xml:space="preserve">valuation, </w:t>
      </w:r>
      <w:r w:rsidR="0045217E">
        <w:rPr>
          <w:rFonts w:ascii="Times New Roman" w:hAnsi="Times New Roman" w:cs="Times New Roman"/>
        </w:rPr>
        <w:t>DOL</w:t>
      </w:r>
      <w:r w:rsidRPr="00446CE5">
        <w:rPr>
          <w:rFonts w:ascii="Times New Roman" w:hAnsi="Times New Roman" w:cs="Times New Roman"/>
        </w:rPr>
        <w:t xml:space="preserve"> is seeking OMB approval beginning in </w:t>
      </w:r>
      <w:r w:rsidR="0045217E">
        <w:rPr>
          <w:rFonts w:ascii="Times New Roman" w:hAnsi="Times New Roman" w:cs="Times New Roman"/>
        </w:rPr>
        <w:t>2019</w:t>
      </w:r>
      <w:r w:rsidR="00A06964">
        <w:rPr>
          <w:rFonts w:ascii="Times New Roman" w:hAnsi="Times New Roman" w:cs="Times New Roman"/>
        </w:rPr>
        <w:t xml:space="preserve"> and</w:t>
      </w:r>
      <w:r w:rsidRPr="00446CE5">
        <w:rPr>
          <w:rFonts w:ascii="Times New Roman" w:hAnsi="Times New Roman" w:cs="Times New Roman"/>
        </w:rPr>
        <w:t xml:space="preserve"> ending in 2020. </w:t>
      </w:r>
      <w:r w:rsidR="007B409B">
        <w:rPr>
          <w:rFonts w:ascii="Times New Roman" w:hAnsi="Times New Roman" w:cs="Times New Roman"/>
        </w:rPr>
        <w:t xml:space="preserve"> The Employer Survey and </w:t>
      </w:r>
      <w:r w:rsidR="00301B16">
        <w:rPr>
          <w:rFonts w:ascii="Times New Roman" w:hAnsi="Times New Roman" w:cs="Times New Roman"/>
        </w:rPr>
        <w:t>Participant</w:t>
      </w:r>
      <w:r w:rsidR="0045217E">
        <w:rPr>
          <w:rFonts w:ascii="Times New Roman" w:hAnsi="Times New Roman" w:cs="Times New Roman"/>
        </w:rPr>
        <w:t xml:space="preserve"> Survey will be administered late </w:t>
      </w:r>
      <w:r w:rsidR="007B409B">
        <w:rPr>
          <w:rFonts w:ascii="Times New Roman" w:hAnsi="Times New Roman" w:cs="Times New Roman"/>
        </w:rPr>
        <w:t>2019</w:t>
      </w:r>
      <w:r w:rsidR="0045217E">
        <w:rPr>
          <w:rFonts w:ascii="Times New Roman" w:hAnsi="Times New Roman" w:cs="Times New Roman"/>
        </w:rPr>
        <w:t xml:space="preserve"> through early 2020</w:t>
      </w:r>
      <w:r w:rsidR="007B409B">
        <w:rPr>
          <w:rFonts w:ascii="Times New Roman" w:hAnsi="Times New Roman" w:cs="Times New Roman"/>
        </w:rPr>
        <w:t xml:space="preserve">. </w:t>
      </w:r>
    </w:p>
    <w:p w14:paraId="0143262C" w14:textId="65CC33EB" w:rsidR="007B409B" w:rsidRPr="007E4D7B" w:rsidRDefault="00161879" w:rsidP="007B409B">
      <w:pPr>
        <w:pStyle w:val="Bullets"/>
        <w:spacing w:after="0"/>
        <w:rPr>
          <w:rFonts w:eastAsiaTheme="minorHAnsi"/>
          <w:spacing w:val="-4"/>
        </w:rPr>
      </w:pPr>
      <w:r>
        <w:rPr>
          <w:rFonts w:eastAsiaTheme="minorHAnsi"/>
          <w:spacing w:val="-4"/>
        </w:rPr>
        <w:t>P</w:t>
      </w:r>
      <w:r w:rsidRPr="00161879">
        <w:rPr>
          <w:rFonts w:eastAsiaTheme="minorHAnsi"/>
          <w:spacing w:val="-4"/>
        </w:rPr>
        <w:t>ublications resulti</w:t>
      </w:r>
      <w:r>
        <w:rPr>
          <w:rFonts w:eastAsiaTheme="minorHAnsi"/>
          <w:spacing w:val="-4"/>
        </w:rPr>
        <w:t xml:space="preserve">ng from data collection instruments outlined in this PRA request </w:t>
      </w:r>
      <w:r w:rsidRPr="007E4D7B">
        <w:rPr>
          <w:rFonts w:eastAsiaTheme="minorHAnsi"/>
          <w:spacing w:val="-4"/>
        </w:rPr>
        <w:t>will</w:t>
      </w:r>
      <w:r w:rsidR="007B409B" w:rsidRPr="007E4D7B">
        <w:rPr>
          <w:rFonts w:eastAsiaTheme="minorHAnsi"/>
          <w:spacing w:val="-4"/>
        </w:rPr>
        <w:t xml:space="preserve"> be completed on the following schedule:</w:t>
      </w:r>
    </w:p>
    <w:p w14:paraId="41DFD24D" w14:textId="6EE071AC" w:rsidR="007B409B" w:rsidRPr="007E4D7B" w:rsidRDefault="007B409B" w:rsidP="007B409B">
      <w:pPr>
        <w:pStyle w:val="Bullets"/>
        <w:numPr>
          <w:ilvl w:val="0"/>
          <w:numId w:val="13"/>
        </w:numPr>
        <w:spacing w:after="0"/>
        <w:rPr>
          <w:rFonts w:eastAsiaTheme="minorHAnsi"/>
          <w:spacing w:val="-4"/>
        </w:rPr>
      </w:pPr>
      <w:r w:rsidRPr="007E4D7B">
        <w:rPr>
          <w:rFonts w:eastAsiaTheme="minorHAnsi"/>
          <w:b/>
          <w:spacing w:val="-4"/>
        </w:rPr>
        <w:t>Final report,</w:t>
      </w:r>
      <w:r w:rsidRPr="007E4D7B">
        <w:rPr>
          <w:rFonts w:eastAsiaTheme="minorHAnsi"/>
          <w:spacing w:val="-4"/>
        </w:rPr>
        <w:t xml:space="preserve"> including findings from the </w:t>
      </w:r>
      <w:r w:rsidR="00301B16">
        <w:rPr>
          <w:rFonts w:eastAsiaTheme="minorHAnsi"/>
          <w:spacing w:val="-4"/>
        </w:rPr>
        <w:t>Participant S</w:t>
      </w:r>
      <w:r w:rsidRPr="007E4D7B">
        <w:rPr>
          <w:rFonts w:eastAsiaTheme="minorHAnsi"/>
          <w:spacing w:val="-4"/>
        </w:rPr>
        <w:t>urvey</w:t>
      </w:r>
      <w:r w:rsidR="000A1C75">
        <w:rPr>
          <w:rFonts w:eastAsiaTheme="minorHAnsi"/>
          <w:spacing w:val="-4"/>
        </w:rPr>
        <w:t xml:space="preserve"> and Employer Survey </w:t>
      </w:r>
      <w:r>
        <w:rPr>
          <w:rFonts w:eastAsiaTheme="minorHAnsi"/>
          <w:spacing w:val="-4"/>
        </w:rPr>
        <w:t>will be submitted in 2021</w:t>
      </w:r>
      <w:r w:rsidR="000A1C75">
        <w:rPr>
          <w:rFonts w:eastAsiaTheme="minorHAnsi"/>
          <w:spacing w:val="-4"/>
        </w:rPr>
        <w:t>.</w:t>
      </w:r>
    </w:p>
    <w:p w14:paraId="4293B408" w14:textId="3375C3E1" w:rsidR="007B409B" w:rsidRPr="000623C6" w:rsidRDefault="007B409B" w:rsidP="0045217E">
      <w:pPr>
        <w:pStyle w:val="Bullets"/>
        <w:numPr>
          <w:ilvl w:val="0"/>
          <w:numId w:val="13"/>
        </w:numPr>
        <w:spacing w:after="200"/>
      </w:pPr>
      <w:r w:rsidRPr="003C0C79">
        <w:rPr>
          <w:rFonts w:eastAsiaTheme="minorHAnsi"/>
          <w:b/>
          <w:spacing w:val="-4"/>
        </w:rPr>
        <w:t xml:space="preserve">Public use or restricted use data file </w:t>
      </w:r>
      <w:r w:rsidRPr="003C0C79">
        <w:rPr>
          <w:rFonts w:eastAsiaTheme="minorHAnsi"/>
          <w:spacing w:val="-4"/>
        </w:rPr>
        <w:t xml:space="preserve">containing </w:t>
      </w:r>
      <w:r w:rsidR="000A1C75">
        <w:rPr>
          <w:rFonts w:eastAsiaTheme="minorHAnsi"/>
          <w:spacing w:val="-4"/>
        </w:rPr>
        <w:t xml:space="preserve">survey and QPR </w:t>
      </w:r>
      <w:r w:rsidRPr="003C0C79">
        <w:rPr>
          <w:rFonts w:eastAsiaTheme="minorHAnsi"/>
          <w:spacing w:val="-4"/>
        </w:rPr>
        <w:t>data collected for the study with personal identifiers removed</w:t>
      </w:r>
      <w:r>
        <w:rPr>
          <w:rFonts w:eastAsiaTheme="minorHAnsi"/>
          <w:spacing w:val="-4"/>
        </w:rPr>
        <w:t xml:space="preserve"> will be submitted in</w:t>
      </w:r>
      <w:r w:rsidRPr="003C0C79">
        <w:rPr>
          <w:rFonts w:eastAsiaTheme="minorHAnsi"/>
          <w:spacing w:val="-4"/>
        </w:rPr>
        <w:t xml:space="preserve"> 2021.</w:t>
      </w:r>
    </w:p>
    <w:p w14:paraId="1708217F" w14:textId="77777777" w:rsidR="00096A23" w:rsidRPr="00742042" w:rsidRDefault="00087751" w:rsidP="00096A23">
      <w:pPr>
        <w:pStyle w:val="Bullets"/>
        <w:rPr>
          <w:rFonts w:eastAsiaTheme="minorHAnsi"/>
          <w:b/>
          <w:spacing w:val="-4"/>
          <w:szCs w:val="22"/>
        </w:rPr>
      </w:pPr>
      <w:r>
        <w:rPr>
          <w:rFonts w:eastAsiaTheme="minorHAnsi"/>
          <w:b/>
          <w:spacing w:val="-4"/>
          <w:szCs w:val="22"/>
        </w:rPr>
        <w:t>A.</w:t>
      </w:r>
      <w:r w:rsidR="00096A23" w:rsidRPr="00446CE5">
        <w:rPr>
          <w:rFonts w:eastAsiaTheme="minorHAnsi"/>
          <w:b/>
          <w:spacing w:val="-4"/>
          <w:szCs w:val="22"/>
        </w:rPr>
        <w:t xml:space="preserve">17. </w:t>
      </w:r>
      <w:r w:rsidR="00396A5A" w:rsidRPr="00396A5A">
        <w:rPr>
          <w:rFonts w:eastAsiaTheme="minorHAnsi"/>
          <w:b/>
          <w:spacing w:val="-4"/>
          <w:szCs w:val="22"/>
        </w:rPr>
        <w:t>Approval to Not Display the Expiration Date for OMB Approval</w:t>
      </w:r>
    </w:p>
    <w:p w14:paraId="2DF9B923" w14:textId="3F461C26" w:rsidR="00096A23" w:rsidRPr="00446CE5" w:rsidRDefault="00096A23" w:rsidP="0045217E">
      <w:pPr>
        <w:pStyle w:val="Bullets"/>
        <w:spacing w:after="200"/>
        <w:rPr>
          <w:rFonts w:eastAsiaTheme="minorHAnsi"/>
          <w:spacing w:val="-4"/>
          <w:szCs w:val="22"/>
        </w:rPr>
      </w:pPr>
      <w:r w:rsidRPr="00446CE5">
        <w:rPr>
          <w:rFonts w:eastAsiaTheme="minorHAnsi"/>
          <w:spacing w:val="-4"/>
          <w:szCs w:val="22"/>
        </w:rPr>
        <w:t xml:space="preserve">All </w:t>
      </w:r>
      <w:r w:rsidR="009E2D4B" w:rsidRPr="00446CE5">
        <w:rPr>
          <w:rFonts w:eastAsiaTheme="minorHAnsi"/>
          <w:spacing w:val="-4"/>
          <w:szCs w:val="22"/>
        </w:rPr>
        <w:t>instruments</w:t>
      </w:r>
      <w:r w:rsidRPr="00446CE5">
        <w:rPr>
          <w:rFonts w:eastAsiaTheme="minorHAnsi"/>
          <w:spacing w:val="-4"/>
          <w:szCs w:val="22"/>
        </w:rPr>
        <w:t xml:space="preserve"> created for the AAI evaluation will display the OMB approval numb</w:t>
      </w:r>
      <w:r w:rsidR="009E2D4B" w:rsidRPr="00446CE5">
        <w:rPr>
          <w:rFonts w:eastAsiaTheme="minorHAnsi"/>
          <w:spacing w:val="-4"/>
          <w:szCs w:val="22"/>
        </w:rPr>
        <w:t>er and the expiration date for O</w:t>
      </w:r>
      <w:r w:rsidRPr="00446CE5">
        <w:rPr>
          <w:rFonts w:eastAsiaTheme="minorHAnsi"/>
          <w:spacing w:val="-4"/>
          <w:szCs w:val="22"/>
        </w:rPr>
        <w:t>MB approval.</w:t>
      </w:r>
    </w:p>
    <w:p w14:paraId="1E424E61" w14:textId="77777777" w:rsidR="00096A23" w:rsidRPr="00446CE5" w:rsidRDefault="00087751" w:rsidP="00096A23">
      <w:pPr>
        <w:pStyle w:val="Bullets"/>
        <w:rPr>
          <w:rFonts w:eastAsiaTheme="minorHAnsi"/>
          <w:b/>
          <w:spacing w:val="-4"/>
          <w:szCs w:val="22"/>
        </w:rPr>
      </w:pPr>
      <w:r>
        <w:rPr>
          <w:rFonts w:eastAsiaTheme="minorHAnsi"/>
          <w:b/>
          <w:spacing w:val="-4"/>
          <w:szCs w:val="22"/>
        </w:rPr>
        <w:t>A.</w:t>
      </w:r>
      <w:r w:rsidR="00096A23" w:rsidRPr="00446CE5">
        <w:rPr>
          <w:rFonts w:eastAsiaTheme="minorHAnsi"/>
          <w:b/>
          <w:spacing w:val="-4"/>
          <w:szCs w:val="22"/>
        </w:rPr>
        <w:t xml:space="preserve">18. </w:t>
      </w:r>
      <w:r w:rsidR="00396A5A" w:rsidRPr="00396A5A">
        <w:rPr>
          <w:rFonts w:eastAsiaTheme="minorHAnsi"/>
          <w:b/>
          <w:spacing w:val="-4"/>
          <w:szCs w:val="22"/>
        </w:rPr>
        <w:t>Exceptions to the Certification Statement</w:t>
      </w:r>
    </w:p>
    <w:p w14:paraId="0CE23367" w14:textId="2D73EEA4" w:rsidR="001E6D9B" w:rsidRPr="00446CE5" w:rsidRDefault="00096A23" w:rsidP="00CA1838">
      <w:pPr>
        <w:pStyle w:val="Bullets"/>
      </w:pPr>
      <w:r w:rsidRPr="00446CE5">
        <w:rPr>
          <w:rFonts w:eastAsiaTheme="minorHAnsi"/>
          <w:spacing w:val="-4"/>
          <w:szCs w:val="22"/>
        </w:rPr>
        <w:t xml:space="preserve">No </w:t>
      </w:r>
      <w:r w:rsidR="00925176" w:rsidRPr="00446CE5">
        <w:rPr>
          <w:rFonts w:eastAsiaTheme="minorHAnsi"/>
          <w:spacing w:val="-4"/>
          <w:szCs w:val="22"/>
        </w:rPr>
        <w:t>exceptions</w:t>
      </w:r>
      <w:r w:rsidRPr="00446CE5">
        <w:rPr>
          <w:rFonts w:eastAsiaTheme="minorHAnsi"/>
          <w:spacing w:val="-4"/>
          <w:szCs w:val="22"/>
        </w:rPr>
        <w:t xml:space="preserve"> are necessary</w:t>
      </w:r>
      <w:r w:rsidR="004650E5">
        <w:rPr>
          <w:rFonts w:eastAsiaTheme="minorHAnsi"/>
          <w:spacing w:val="-4"/>
          <w:szCs w:val="22"/>
        </w:rPr>
        <w:t xml:space="preserve"> for this information collection</w:t>
      </w:r>
      <w:r w:rsidR="00742042">
        <w:rPr>
          <w:rFonts w:eastAsiaTheme="minorHAnsi"/>
          <w:spacing w:val="-4"/>
          <w:szCs w:val="22"/>
        </w:rPr>
        <w:t>.</w:t>
      </w:r>
    </w:p>
    <w:sectPr w:rsidR="001E6D9B" w:rsidRPr="00446CE5" w:rsidSect="006B33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D8064" w14:textId="77777777" w:rsidR="00163EF7" w:rsidRDefault="00163EF7" w:rsidP="00351372">
      <w:pPr>
        <w:spacing w:after="0" w:line="240" w:lineRule="auto"/>
      </w:pPr>
      <w:r>
        <w:separator/>
      </w:r>
    </w:p>
  </w:endnote>
  <w:endnote w:type="continuationSeparator" w:id="0">
    <w:p w14:paraId="26FD34AD" w14:textId="77777777" w:rsidR="00163EF7" w:rsidRDefault="00163EF7" w:rsidP="0035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B3088" w14:textId="77777777" w:rsidR="008B20B0" w:rsidRDefault="008B2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98536"/>
      <w:docPartObj>
        <w:docPartGallery w:val="Page Numbers (Bottom of Page)"/>
        <w:docPartUnique/>
      </w:docPartObj>
    </w:sdtPr>
    <w:sdtEndPr>
      <w:rPr>
        <w:noProof/>
      </w:rPr>
    </w:sdtEndPr>
    <w:sdtContent>
      <w:p w14:paraId="2CB3011A" w14:textId="50F9AEC9" w:rsidR="00CA1838" w:rsidRDefault="00CA1838">
        <w:pPr>
          <w:pStyle w:val="Footer"/>
          <w:jc w:val="right"/>
        </w:pPr>
        <w:r>
          <w:fldChar w:fldCharType="begin"/>
        </w:r>
        <w:r>
          <w:instrText xml:space="preserve"> PAGE   \* MERGEFORMAT </w:instrText>
        </w:r>
        <w:r>
          <w:fldChar w:fldCharType="separate"/>
        </w:r>
        <w:r w:rsidR="00142EEE">
          <w:rPr>
            <w:noProof/>
          </w:rPr>
          <w:t>2</w:t>
        </w:r>
        <w:r>
          <w:rPr>
            <w:noProof/>
          </w:rPr>
          <w:fldChar w:fldCharType="end"/>
        </w:r>
      </w:p>
    </w:sdtContent>
  </w:sdt>
  <w:p w14:paraId="53223D11" w14:textId="77777777" w:rsidR="00CA1838" w:rsidRDefault="00CA1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851558"/>
      <w:docPartObj>
        <w:docPartGallery w:val="Page Numbers (Bottom of Page)"/>
        <w:docPartUnique/>
      </w:docPartObj>
    </w:sdtPr>
    <w:sdtEndPr>
      <w:rPr>
        <w:noProof/>
      </w:rPr>
    </w:sdtEndPr>
    <w:sdtContent>
      <w:p w14:paraId="4B0FD1FE" w14:textId="003F3C14" w:rsidR="0062218A" w:rsidRDefault="0062218A">
        <w:pPr>
          <w:pStyle w:val="Footer"/>
          <w:jc w:val="right"/>
        </w:pPr>
        <w:r>
          <w:fldChar w:fldCharType="begin"/>
        </w:r>
        <w:r>
          <w:instrText xml:space="preserve"> PAGE   \* MERGEFORMAT </w:instrText>
        </w:r>
        <w:r>
          <w:fldChar w:fldCharType="separate"/>
        </w:r>
        <w:r w:rsidR="00142EEE">
          <w:rPr>
            <w:noProof/>
          </w:rPr>
          <w:t>1</w:t>
        </w:r>
        <w:r>
          <w:rPr>
            <w:noProof/>
          </w:rPr>
          <w:fldChar w:fldCharType="end"/>
        </w:r>
      </w:p>
    </w:sdtContent>
  </w:sdt>
  <w:p w14:paraId="52CCAFBF" w14:textId="77777777" w:rsidR="0062218A" w:rsidRDefault="00622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AF2EC" w14:textId="77777777" w:rsidR="00163EF7" w:rsidRDefault="00163EF7" w:rsidP="00351372">
      <w:pPr>
        <w:spacing w:after="0" w:line="240" w:lineRule="auto"/>
      </w:pPr>
      <w:r>
        <w:separator/>
      </w:r>
    </w:p>
  </w:footnote>
  <w:footnote w:type="continuationSeparator" w:id="0">
    <w:p w14:paraId="1D511453" w14:textId="77777777" w:rsidR="00163EF7" w:rsidRDefault="00163EF7" w:rsidP="00351372">
      <w:pPr>
        <w:spacing w:after="0" w:line="240" w:lineRule="auto"/>
      </w:pPr>
      <w:r>
        <w:continuationSeparator/>
      </w:r>
    </w:p>
  </w:footnote>
  <w:footnote w:id="1">
    <w:p w14:paraId="6D1CAA38" w14:textId="77777777" w:rsidR="00446CE5" w:rsidRPr="00446CE5" w:rsidRDefault="00446CE5">
      <w:pPr>
        <w:pStyle w:val="FootnoteText"/>
        <w:rPr>
          <w:rFonts w:ascii="Times New Roman" w:hAnsi="Times New Roman" w:cs="Times New Roman"/>
        </w:rPr>
      </w:pPr>
      <w:r w:rsidRPr="00446CE5">
        <w:rPr>
          <w:rStyle w:val="FootnoteReference"/>
          <w:rFonts w:ascii="Times New Roman" w:hAnsi="Times New Roman" w:cs="Times New Roman"/>
        </w:rPr>
        <w:footnoteRef/>
      </w:r>
      <w:r w:rsidRPr="00446CE5">
        <w:rPr>
          <w:rFonts w:ascii="Times New Roman" w:hAnsi="Times New Roman" w:cs="Times New Roman"/>
        </w:rPr>
        <w:t xml:space="preserve"> Department of Labor Funding Opportunity Announcement for the American Apprenticeship Initiative Grants (FOA-ETA-15-02), https://doleta.gov/grants/pdf/FOA-ETA-15-02.pdf</w:t>
      </w:r>
    </w:p>
  </w:footnote>
  <w:footnote w:id="2">
    <w:p w14:paraId="7FBB0B91" w14:textId="77777777" w:rsidR="00446CE5" w:rsidRPr="00446CE5" w:rsidRDefault="00446CE5">
      <w:pPr>
        <w:pStyle w:val="FootnoteText"/>
        <w:rPr>
          <w:rFonts w:ascii="Times New Roman" w:hAnsi="Times New Roman" w:cs="Times New Roman"/>
        </w:rPr>
      </w:pPr>
      <w:r w:rsidRPr="00446CE5">
        <w:rPr>
          <w:rStyle w:val="FootnoteReference"/>
          <w:rFonts w:ascii="Times New Roman" w:hAnsi="Times New Roman" w:cs="Times New Roman"/>
        </w:rPr>
        <w:footnoteRef/>
      </w:r>
      <w:r w:rsidRPr="00446CE5">
        <w:rPr>
          <w:rFonts w:ascii="Times New Roman" w:hAnsi="Times New Roman" w:cs="Times New Roman"/>
        </w:rPr>
        <w:t xml:space="preserve"> Ibid</w:t>
      </w:r>
    </w:p>
  </w:footnote>
  <w:footnote w:id="3">
    <w:p w14:paraId="45B7C92A" w14:textId="77777777" w:rsidR="00446CE5" w:rsidRPr="00446CE5" w:rsidRDefault="00446CE5">
      <w:pPr>
        <w:pStyle w:val="FootnoteText"/>
        <w:rPr>
          <w:rFonts w:ascii="Times New Roman" w:hAnsi="Times New Roman" w:cs="Times New Roman"/>
        </w:rPr>
      </w:pPr>
      <w:r w:rsidRPr="00446CE5">
        <w:rPr>
          <w:rStyle w:val="FootnoteReference"/>
          <w:rFonts w:ascii="Times New Roman" w:hAnsi="Times New Roman" w:cs="Times New Roman"/>
        </w:rPr>
        <w:footnoteRef/>
      </w:r>
      <w:r w:rsidRPr="00446CE5">
        <w:rPr>
          <w:rFonts w:ascii="Times New Roman" w:hAnsi="Times New Roman" w:cs="Times New Roman"/>
        </w:rPr>
        <w:t xml:space="preserve"> Presidential Executive Order Expanding Apprenticeships in America, June 15, 2017, https://www.whitehouse.gov/the-press-office/2017/06/15/presidential-executive-order-expanding-apprenticeships-america</w:t>
      </w:r>
    </w:p>
  </w:footnote>
  <w:footnote w:id="4">
    <w:p w14:paraId="2AC3D5EB" w14:textId="7E59BCAD" w:rsidR="004F1480" w:rsidRDefault="00C41B1F">
      <w:pPr>
        <w:pStyle w:val="FootnoteText"/>
        <w:rPr>
          <w:rFonts w:ascii="Times New Roman" w:hAnsi="Times New Roman" w:cs="Times New Roman"/>
        </w:rPr>
      </w:pPr>
      <w:r w:rsidRPr="00627727">
        <w:rPr>
          <w:rStyle w:val="FootnoteReference"/>
          <w:rFonts w:ascii="Times New Roman" w:hAnsi="Times New Roman" w:cs="Times New Roman"/>
        </w:rPr>
        <w:footnoteRef/>
      </w:r>
      <w:r w:rsidRPr="00627727">
        <w:rPr>
          <w:rFonts w:ascii="Times New Roman" w:hAnsi="Times New Roman" w:cs="Times New Roman"/>
        </w:rPr>
        <w:t xml:space="preserve"> </w:t>
      </w:r>
      <w:r w:rsidR="004F1480">
        <w:rPr>
          <w:rFonts w:ascii="Times New Roman" w:hAnsi="Times New Roman" w:cs="Times New Roman"/>
        </w:rPr>
        <w:t xml:space="preserve">The evaluators will ask </w:t>
      </w:r>
      <w:r w:rsidRPr="00627727">
        <w:rPr>
          <w:rFonts w:ascii="Times New Roman" w:hAnsi="Times New Roman" w:cs="Times New Roman"/>
        </w:rPr>
        <w:t>AAI grantees to provide the names and contact information for the employers to be surveyed</w:t>
      </w:r>
      <w:r w:rsidR="004F1480">
        <w:rPr>
          <w:rFonts w:ascii="Times New Roman" w:hAnsi="Times New Roman" w:cs="Times New Roman"/>
        </w:rPr>
        <w:t xml:space="preserve">. </w:t>
      </w:r>
    </w:p>
    <w:p w14:paraId="3C0DB395" w14:textId="4AF5B38D" w:rsidR="00C41B1F" w:rsidRPr="00627727" w:rsidRDefault="00C41B1F">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AF6C4" w14:textId="77777777" w:rsidR="008B20B0" w:rsidRDefault="008B2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102C" w14:textId="77777777" w:rsidR="00151C81" w:rsidRPr="00695255" w:rsidRDefault="00151C81" w:rsidP="00151C81">
    <w:pPr>
      <w:autoSpaceDE w:val="0"/>
      <w:autoSpaceDN w:val="0"/>
      <w:adjustRightInd w:val="0"/>
      <w:spacing w:line="240" w:lineRule="auto"/>
      <w:contextualSpacing/>
      <w:rPr>
        <w:rFonts w:ascii="Times New Roman" w:hAnsi="Times New Roman"/>
        <w:sz w:val="20"/>
        <w:szCs w:val="20"/>
        <w:lang w:eastAsia="ko-KR"/>
      </w:rPr>
    </w:pPr>
    <w:r w:rsidRPr="00695255">
      <w:rPr>
        <w:rFonts w:ascii="Times New Roman" w:hAnsi="Times New Roman"/>
        <w:sz w:val="20"/>
        <w:szCs w:val="20"/>
        <w:lang w:eastAsia="ko-KR"/>
      </w:rPr>
      <w:t>Evaluation of the American Apprentice Initiative</w:t>
    </w:r>
  </w:p>
  <w:p w14:paraId="08796186" w14:textId="77777777" w:rsidR="00151C81" w:rsidRPr="00695255" w:rsidRDefault="00151C81" w:rsidP="00151C81">
    <w:pPr>
      <w:autoSpaceDE w:val="0"/>
      <w:autoSpaceDN w:val="0"/>
      <w:adjustRightInd w:val="0"/>
      <w:spacing w:line="240" w:lineRule="auto"/>
      <w:contextualSpacing/>
      <w:rPr>
        <w:rFonts w:ascii="Times New Roman" w:hAnsi="Times New Roman"/>
        <w:sz w:val="20"/>
        <w:szCs w:val="20"/>
        <w:lang w:eastAsia="ko-KR"/>
      </w:rPr>
    </w:pPr>
    <w:r>
      <w:rPr>
        <w:rFonts w:ascii="Times New Roman" w:hAnsi="Times New Roman"/>
        <w:sz w:val="20"/>
        <w:szCs w:val="20"/>
        <w:lang w:eastAsia="ko-KR"/>
      </w:rPr>
      <w:t xml:space="preserve">ICR Reference Number </w:t>
    </w:r>
    <w:hyperlink r:id="rId1" w:tooltip="Edit" w:history="1">
      <w:r w:rsidRPr="008B20B0">
        <w:rPr>
          <w:rFonts w:ascii="Times New Roman" w:hAnsi="Times New Roman"/>
          <w:sz w:val="20"/>
          <w:szCs w:val="20"/>
          <w:lang w:eastAsia="ko-KR"/>
        </w:rPr>
        <w:t>201903-1290-003</w:t>
      </w:r>
    </w:hyperlink>
    <w:r w:rsidRPr="00695255">
      <w:rPr>
        <w:rFonts w:ascii="Times New Roman" w:hAnsi="Times New Roman"/>
        <w:sz w:val="20"/>
        <w:szCs w:val="20"/>
        <w:lang w:eastAsia="ko-KR"/>
      </w:rPr>
      <w:t xml:space="preserve">   </w:t>
    </w:r>
  </w:p>
  <w:p w14:paraId="3C140DB8" w14:textId="3F9F15B8" w:rsidR="00CC2942" w:rsidRDefault="00151C81" w:rsidP="00695255">
    <w:pPr>
      <w:autoSpaceDE w:val="0"/>
      <w:autoSpaceDN w:val="0"/>
      <w:adjustRightInd w:val="0"/>
      <w:spacing w:line="240" w:lineRule="auto"/>
      <w:contextualSpacing/>
    </w:pPr>
    <w:r>
      <w:rPr>
        <w:rFonts w:ascii="Times New Roman" w:hAnsi="Times New Roman"/>
        <w:sz w:val="20"/>
        <w:szCs w:val="20"/>
        <w:lang w:eastAsia="ko-KR"/>
      </w:rPr>
      <w:t>May</w:t>
    </w:r>
    <w:r w:rsidRPr="00695255">
      <w:rPr>
        <w:rFonts w:ascii="Times New Roman" w:hAnsi="Times New Roman"/>
        <w:sz w:val="20"/>
        <w:szCs w:val="20"/>
        <w:lang w:eastAsia="ko-KR"/>
      </w:rPr>
      <w:t xml:space="preserve"> 2019</w:t>
    </w:r>
  </w:p>
  <w:p w14:paraId="5511171F" w14:textId="77777777" w:rsidR="00151C81" w:rsidRDefault="00151C81" w:rsidP="00695255">
    <w:pPr>
      <w:autoSpaceDE w:val="0"/>
      <w:autoSpaceDN w:val="0"/>
      <w:adjustRightInd w:val="0"/>
      <w:spacing w:line="240" w:lineRule="auto"/>
      <w:contextual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A22B" w14:textId="77777777" w:rsidR="006B333C" w:rsidRPr="00695255" w:rsidRDefault="006B333C" w:rsidP="006B333C">
    <w:pPr>
      <w:autoSpaceDE w:val="0"/>
      <w:autoSpaceDN w:val="0"/>
      <w:adjustRightInd w:val="0"/>
      <w:spacing w:line="240" w:lineRule="auto"/>
      <w:contextualSpacing/>
      <w:rPr>
        <w:rFonts w:ascii="Times New Roman" w:hAnsi="Times New Roman"/>
        <w:sz w:val="20"/>
        <w:szCs w:val="20"/>
        <w:lang w:eastAsia="ko-KR"/>
      </w:rPr>
    </w:pPr>
    <w:r w:rsidRPr="00695255">
      <w:rPr>
        <w:rFonts w:ascii="Times New Roman" w:hAnsi="Times New Roman"/>
        <w:sz w:val="20"/>
        <w:szCs w:val="20"/>
        <w:lang w:eastAsia="ko-KR"/>
      </w:rPr>
      <w:t>Evaluation of the American Apprentice Initiative</w:t>
    </w:r>
  </w:p>
  <w:p w14:paraId="2D231547" w14:textId="14569636" w:rsidR="006B333C" w:rsidRPr="00695255" w:rsidRDefault="00151C81" w:rsidP="006B333C">
    <w:pPr>
      <w:autoSpaceDE w:val="0"/>
      <w:autoSpaceDN w:val="0"/>
      <w:adjustRightInd w:val="0"/>
      <w:spacing w:line="240" w:lineRule="auto"/>
      <w:contextualSpacing/>
      <w:rPr>
        <w:rFonts w:ascii="Times New Roman" w:hAnsi="Times New Roman"/>
        <w:sz w:val="20"/>
        <w:szCs w:val="20"/>
        <w:lang w:eastAsia="ko-KR"/>
      </w:rPr>
    </w:pPr>
    <w:r>
      <w:rPr>
        <w:rFonts w:ascii="Times New Roman" w:hAnsi="Times New Roman"/>
        <w:sz w:val="20"/>
        <w:szCs w:val="20"/>
        <w:lang w:eastAsia="ko-KR"/>
      </w:rPr>
      <w:t xml:space="preserve">ICR Reference Number </w:t>
    </w:r>
    <w:hyperlink r:id="rId1" w:tooltip="Edit" w:history="1">
      <w:r w:rsidRPr="008B20B0">
        <w:rPr>
          <w:rFonts w:ascii="Times New Roman" w:hAnsi="Times New Roman"/>
          <w:sz w:val="20"/>
          <w:szCs w:val="20"/>
          <w:lang w:eastAsia="ko-KR"/>
        </w:rPr>
        <w:t>201903-1290-003</w:t>
      </w:r>
    </w:hyperlink>
    <w:r w:rsidR="006B333C" w:rsidRPr="00695255">
      <w:rPr>
        <w:rFonts w:ascii="Times New Roman" w:hAnsi="Times New Roman"/>
        <w:sz w:val="20"/>
        <w:szCs w:val="20"/>
        <w:lang w:eastAsia="ko-KR"/>
      </w:rPr>
      <w:t xml:space="preserve">   </w:t>
    </w:r>
  </w:p>
  <w:p w14:paraId="650F85D7" w14:textId="43404243" w:rsidR="006B333C" w:rsidRDefault="00E42711" w:rsidP="006B333C">
    <w:pPr>
      <w:autoSpaceDE w:val="0"/>
      <w:autoSpaceDN w:val="0"/>
      <w:adjustRightInd w:val="0"/>
      <w:spacing w:line="240" w:lineRule="auto"/>
      <w:contextualSpacing/>
    </w:pPr>
    <w:r>
      <w:rPr>
        <w:rFonts w:ascii="Times New Roman" w:hAnsi="Times New Roman"/>
        <w:sz w:val="20"/>
        <w:szCs w:val="20"/>
        <w:lang w:eastAsia="ko-KR"/>
      </w:rPr>
      <w:t>Ma</w:t>
    </w:r>
    <w:r w:rsidR="009957AA">
      <w:rPr>
        <w:rFonts w:ascii="Times New Roman" w:hAnsi="Times New Roman"/>
        <w:sz w:val="20"/>
        <w:szCs w:val="20"/>
        <w:lang w:eastAsia="ko-KR"/>
      </w:rPr>
      <w:t>y</w:t>
    </w:r>
    <w:r w:rsidR="006B333C" w:rsidRPr="00695255">
      <w:rPr>
        <w:rFonts w:ascii="Times New Roman" w:hAnsi="Times New Roman"/>
        <w:sz w:val="20"/>
        <w:szCs w:val="20"/>
        <w:lang w:eastAsia="ko-KR"/>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5DE9"/>
    <w:multiLevelType w:val="hybridMultilevel"/>
    <w:tmpl w:val="0D92F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72038"/>
    <w:multiLevelType w:val="hybridMultilevel"/>
    <w:tmpl w:val="9D04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355AC"/>
    <w:multiLevelType w:val="hybridMultilevel"/>
    <w:tmpl w:val="F5B26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101CF"/>
    <w:multiLevelType w:val="hybridMultilevel"/>
    <w:tmpl w:val="1F0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407843"/>
    <w:multiLevelType w:val="hybridMultilevel"/>
    <w:tmpl w:val="0A000708"/>
    <w:lvl w:ilvl="0" w:tplc="0BA4D55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23955"/>
    <w:multiLevelType w:val="hybridMultilevel"/>
    <w:tmpl w:val="7D10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CE7B31"/>
    <w:multiLevelType w:val="hybridMultilevel"/>
    <w:tmpl w:val="AF4ED6B8"/>
    <w:lvl w:ilvl="0" w:tplc="123CC53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347F9F"/>
    <w:multiLevelType w:val="hybridMultilevel"/>
    <w:tmpl w:val="7EBA0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C3372"/>
    <w:multiLevelType w:val="hybridMultilevel"/>
    <w:tmpl w:val="AEEA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246C0C"/>
    <w:multiLevelType w:val="hybridMultilevel"/>
    <w:tmpl w:val="BED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55511"/>
    <w:multiLevelType w:val="hybridMultilevel"/>
    <w:tmpl w:val="5EAC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C5FC8"/>
    <w:multiLevelType w:val="hybridMultilevel"/>
    <w:tmpl w:val="6ED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4A1F82"/>
    <w:multiLevelType w:val="hybridMultilevel"/>
    <w:tmpl w:val="0E22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520DF0"/>
    <w:multiLevelType w:val="hybridMultilevel"/>
    <w:tmpl w:val="C236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0C4477"/>
    <w:multiLevelType w:val="hybridMultilevel"/>
    <w:tmpl w:val="598A8E3A"/>
    <w:lvl w:ilvl="0" w:tplc="E382982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5"/>
  </w:num>
  <w:num w:numId="3">
    <w:abstractNumId w:val="7"/>
  </w:num>
  <w:num w:numId="4">
    <w:abstractNumId w:val="2"/>
  </w:num>
  <w:num w:numId="5">
    <w:abstractNumId w:val="13"/>
  </w:num>
  <w:num w:numId="6">
    <w:abstractNumId w:val="10"/>
  </w:num>
  <w:num w:numId="7">
    <w:abstractNumId w:val="4"/>
  </w:num>
  <w:num w:numId="8">
    <w:abstractNumId w:val="5"/>
  </w:num>
  <w:num w:numId="9">
    <w:abstractNumId w:val="3"/>
  </w:num>
  <w:num w:numId="10">
    <w:abstractNumId w:val="1"/>
  </w:num>
  <w:num w:numId="11">
    <w:abstractNumId w:val="6"/>
  </w:num>
  <w:num w:numId="12">
    <w:abstractNumId w:val="11"/>
  </w:num>
  <w:num w:numId="13">
    <w:abstractNumId w:val="12"/>
  </w:num>
  <w:num w:numId="14">
    <w:abstractNumId w:val="8"/>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2C"/>
    <w:rsid w:val="00004278"/>
    <w:rsid w:val="00047618"/>
    <w:rsid w:val="00054390"/>
    <w:rsid w:val="00060280"/>
    <w:rsid w:val="00087751"/>
    <w:rsid w:val="00096A23"/>
    <w:rsid w:val="000A0F9D"/>
    <w:rsid w:val="000A1C75"/>
    <w:rsid w:val="000A3D3B"/>
    <w:rsid w:val="000B6F5F"/>
    <w:rsid w:val="000C3F94"/>
    <w:rsid w:val="00101E64"/>
    <w:rsid w:val="00121DDB"/>
    <w:rsid w:val="001276E1"/>
    <w:rsid w:val="0013135A"/>
    <w:rsid w:val="00134A64"/>
    <w:rsid w:val="00142EEE"/>
    <w:rsid w:val="0014410E"/>
    <w:rsid w:val="00144798"/>
    <w:rsid w:val="0014660A"/>
    <w:rsid w:val="001516F0"/>
    <w:rsid w:val="00151C81"/>
    <w:rsid w:val="001524DE"/>
    <w:rsid w:val="00154283"/>
    <w:rsid w:val="00161879"/>
    <w:rsid w:val="00163EF7"/>
    <w:rsid w:val="00171FB3"/>
    <w:rsid w:val="001727CE"/>
    <w:rsid w:val="00186301"/>
    <w:rsid w:val="001A26CB"/>
    <w:rsid w:val="001B2519"/>
    <w:rsid w:val="001E6D9B"/>
    <w:rsid w:val="001E7E26"/>
    <w:rsid w:val="001F03BC"/>
    <w:rsid w:val="001F553B"/>
    <w:rsid w:val="00204FD0"/>
    <w:rsid w:val="0021518E"/>
    <w:rsid w:val="002174ED"/>
    <w:rsid w:val="00220CD6"/>
    <w:rsid w:val="00227534"/>
    <w:rsid w:val="00245898"/>
    <w:rsid w:val="00273FA1"/>
    <w:rsid w:val="00286EB8"/>
    <w:rsid w:val="002922C6"/>
    <w:rsid w:val="002A1C39"/>
    <w:rsid w:val="002B143F"/>
    <w:rsid w:val="002D1D2B"/>
    <w:rsid w:val="002D4E1F"/>
    <w:rsid w:val="002E3E9C"/>
    <w:rsid w:val="002E5243"/>
    <w:rsid w:val="002E6667"/>
    <w:rsid w:val="002E7B49"/>
    <w:rsid w:val="002F09AF"/>
    <w:rsid w:val="003006AA"/>
    <w:rsid w:val="00301B16"/>
    <w:rsid w:val="00301FAF"/>
    <w:rsid w:val="0030446A"/>
    <w:rsid w:val="0031028C"/>
    <w:rsid w:val="00324BB5"/>
    <w:rsid w:val="00336C04"/>
    <w:rsid w:val="0033796F"/>
    <w:rsid w:val="00351372"/>
    <w:rsid w:val="00352A29"/>
    <w:rsid w:val="003546B7"/>
    <w:rsid w:val="00367F74"/>
    <w:rsid w:val="00396A5A"/>
    <w:rsid w:val="003B03DF"/>
    <w:rsid w:val="003B1DA8"/>
    <w:rsid w:val="003B612A"/>
    <w:rsid w:val="003C56CB"/>
    <w:rsid w:val="00406766"/>
    <w:rsid w:val="00425AD9"/>
    <w:rsid w:val="00427D76"/>
    <w:rsid w:val="00444E5E"/>
    <w:rsid w:val="00446CE5"/>
    <w:rsid w:val="0045217E"/>
    <w:rsid w:val="004606FE"/>
    <w:rsid w:val="004650E5"/>
    <w:rsid w:val="00492D72"/>
    <w:rsid w:val="004A643B"/>
    <w:rsid w:val="004B6F1A"/>
    <w:rsid w:val="004C312A"/>
    <w:rsid w:val="004C483F"/>
    <w:rsid w:val="004D2C64"/>
    <w:rsid w:val="004F1480"/>
    <w:rsid w:val="00500560"/>
    <w:rsid w:val="005275DD"/>
    <w:rsid w:val="00553C1B"/>
    <w:rsid w:val="005554C1"/>
    <w:rsid w:val="0057459A"/>
    <w:rsid w:val="00585C9E"/>
    <w:rsid w:val="0058787B"/>
    <w:rsid w:val="00587CC7"/>
    <w:rsid w:val="005910FB"/>
    <w:rsid w:val="0059196A"/>
    <w:rsid w:val="005B1058"/>
    <w:rsid w:val="005D389B"/>
    <w:rsid w:val="005D6B56"/>
    <w:rsid w:val="0062218A"/>
    <w:rsid w:val="006275EA"/>
    <w:rsid w:val="00627727"/>
    <w:rsid w:val="00631026"/>
    <w:rsid w:val="00632DE9"/>
    <w:rsid w:val="00635BA3"/>
    <w:rsid w:val="006403E5"/>
    <w:rsid w:val="00654132"/>
    <w:rsid w:val="006742B0"/>
    <w:rsid w:val="00695255"/>
    <w:rsid w:val="006958A8"/>
    <w:rsid w:val="006A0657"/>
    <w:rsid w:val="006A498C"/>
    <w:rsid w:val="006B333C"/>
    <w:rsid w:val="006B6383"/>
    <w:rsid w:val="006C32BB"/>
    <w:rsid w:val="006D32B4"/>
    <w:rsid w:val="006F1566"/>
    <w:rsid w:val="00703503"/>
    <w:rsid w:val="00717D14"/>
    <w:rsid w:val="007244BE"/>
    <w:rsid w:val="007272A3"/>
    <w:rsid w:val="00742042"/>
    <w:rsid w:val="00744F50"/>
    <w:rsid w:val="00754462"/>
    <w:rsid w:val="007566C5"/>
    <w:rsid w:val="007707BA"/>
    <w:rsid w:val="007A1CF4"/>
    <w:rsid w:val="007B1B87"/>
    <w:rsid w:val="007B409B"/>
    <w:rsid w:val="007D2E42"/>
    <w:rsid w:val="007D50F1"/>
    <w:rsid w:val="007E0E26"/>
    <w:rsid w:val="007F4562"/>
    <w:rsid w:val="007F5DC8"/>
    <w:rsid w:val="00800725"/>
    <w:rsid w:val="0082356D"/>
    <w:rsid w:val="0082645A"/>
    <w:rsid w:val="00841FB4"/>
    <w:rsid w:val="00853E8C"/>
    <w:rsid w:val="0087156E"/>
    <w:rsid w:val="008807E2"/>
    <w:rsid w:val="008812F0"/>
    <w:rsid w:val="008A2A95"/>
    <w:rsid w:val="008A3766"/>
    <w:rsid w:val="008B20B0"/>
    <w:rsid w:val="008B2147"/>
    <w:rsid w:val="008B7828"/>
    <w:rsid w:val="008C4E03"/>
    <w:rsid w:val="008D27E7"/>
    <w:rsid w:val="008D600D"/>
    <w:rsid w:val="008E1A03"/>
    <w:rsid w:val="008E473F"/>
    <w:rsid w:val="008E7DCD"/>
    <w:rsid w:val="00906ADA"/>
    <w:rsid w:val="00914E9B"/>
    <w:rsid w:val="00925176"/>
    <w:rsid w:val="009262C3"/>
    <w:rsid w:val="00930DF3"/>
    <w:rsid w:val="009411F8"/>
    <w:rsid w:val="0095656D"/>
    <w:rsid w:val="00963783"/>
    <w:rsid w:val="009640A6"/>
    <w:rsid w:val="009718B8"/>
    <w:rsid w:val="009734DB"/>
    <w:rsid w:val="00976156"/>
    <w:rsid w:val="00976B4A"/>
    <w:rsid w:val="009872E0"/>
    <w:rsid w:val="009957AA"/>
    <w:rsid w:val="009A662C"/>
    <w:rsid w:val="009C3D5C"/>
    <w:rsid w:val="009E2D4B"/>
    <w:rsid w:val="009E4C88"/>
    <w:rsid w:val="009E732F"/>
    <w:rsid w:val="009F038F"/>
    <w:rsid w:val="009F6070"/>
    <w:rsid w:val="00A06964"/>
    <w:rsid w:val="00A2315D"/>
    <w:rsid w:val="00A2640E"/>
    <w:rsid w:val="00A723C1"/>
    <w:rsid w:val="00A81E7F"/>
    <w:rsid w:val="00AA37C0"/>
    <w:rsid w:val="00AB36EC"/>
    <w:rsid w:val="00AB73B4"/>
    <w:rsid w:val="00AC0FFA"/>
    <w:rsid w:val="00AC247C"/>
    <w:rsid w:val="00AD3380"/>
    <w:rsid w:val="00AD442A"/>
    <w:rsid w:val="00AF1F93"/>
    <w:rsid w:val="00B1006A"/>
    <w:rsid w:val="00B30DFA"/>
    <w:rsid w:val="00B367A7"/>
    <w:rsid w:val="00B44C8B"/>
    <w:rsid w:val="00B655A3"/>
    <w:rsid w:val="00BA0C9A"/>
    <w:rsid w:val="00BA12C9"/>
    <w:rsid w:val="00BA5814"/>
    <w:rsid w:val="00BC2DD9"/>
    <w:rsid w:val="00BD0029"/>
    <w:rsid w:val="00C042CB"/>
    <w:rsid w:val="00C064DC"/>
    <w:rsid w:val="00C077A2"/>
    <w:rsid w:val="00C120C8"/>
    <w:rsid w:val="00C22C3E"/>
    <w:rsid w:val="00C2545A"/>
    <w:rsid w:val="00C36FB4"/>
    <w:rsid w:val="00C41B1F"/>
    <w:rsid w:val="00C533C6"/>
    <w:rsid w:val="00C63C10"/>
    <w:rsid w:val="00C76294"/>
    <w:rsid w:val="00C7764E"/>
    <w:rsid w:val="00C87901"/>
    <w:rsid w:val="00CA1838"/>
    <w:rsid w:val="00CA35DB"/>
    <w:rsid w:val="00CA7205"/>
    <w:rsid w:val="00CA7A8C"/>
    <w:rsid w:val="00CB55D4"/>
    <w:rsid w:val="00CC0B0B"/>
    <w:rsid w:val="00CC2942"/>
    <w:rsid w:val="00CE6713"/>
    <w:rsid w:val="00D02C65"/>
    <w:rsid w:val="00D11472"/>
    <w:rsid w:val="00D14520"/>
    <w:rsid w:val="00D15A9E"/>
    <w:rsid w:val="00D224DB"/>
    <w:rsid w:val="00D25E60"/>
    <w:rsid w:val="00D36B59"/>
    <w:rsid w:val="00D43366"/>
    <w:rsid w:val="00D51A03"/>
    <w:rsid w:val="00D61665"/>
    <w:rsid w:val="00D92296"/>
    <w:rsid w:val="00DA2C1D"/>
    <w:rsid w:val="00DB5AF9"/>
    <w:rsid w:val="00DC2860"/>
    <w:rsid w:val="00DC350C"/>
    <w:rsid w:val="00DD6D2D"/>
    <w:rsid w:val="00DE2B54"/>
    <w:rsid w:val="00DF179B"/>
    <w:rsid w:val="00DF2181"/>
    <w:rsid w:val="00DF6E03"/>
    <w:rsid w:val="00DF7993"/>
    <w:rsid w:val="00E006EA"/>
    <w:rsid w:val="00E06CB5"/>
    <w:rsid w:val="00E15263"/>
    <w:rsid w:val="00E16B09"/>
    <w:rsid w:val="00E16D39"/>
    <w:rsid w:val="00E172FE"/>
    <w:rsid w:val="00E241AB"/>
    <w:rsid w:val="00E40BE2"/>
    <w:rsid w:val="00E42711"/>
    <w:rsid w:val="00E44531"/>
    <w:rsid w:val="00E502AD"/>
    <w:rsid w:val="00E603F8"/>
    <w:rsid w:val="00E74096"/>
    <w:rsid w:val="00E74791"/>
    <w:rsid w:val="00E7505C"/>
    <w:rsid w:val="00E81770"/>
    <w:rsid w:val="00E976A3"/>
    <w:rsid w:val="00EB078A"/>
    <w:rsid w:val="00EC0E71"/>
    <w:rsid w:val="00EC4E83"/>
    <w:rsid w:val="00EC5B16"/>
    <w:rsid w:val="00EE5683"/>
    <w:rsid w:val="00F1208E"/>
    <w:rsid w:val="00F35223"/>
    <w:rsid w:val="00F3746F"/>
    <w:rsid w:val="00F517E2"/>
    <w:rsid w:val="00F549E1"/>
    <w:rsid w:val="00F75E95"/>
    <w:rsid w:val="00F81CE4"/>
    <w:rsid w:val="00F85406"/>
    <w:rsid w:val="00F86B59"/>
    <w:rsid w:val="00F91E3F"/>
    <w:rsid w:val="00F96AB6"/>
    <w:rsid w:val="00FC1D95"/>
    <w:rsid w:val="00FD61C0"/>
    <w:rsid w:val="00FD6F39"/>
    <w:rsid w:val="00FE7F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14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H2-Sec. He"/>
    <w:basedOn w:val="Normal"/>
    <w:next w:val="Normal"/>
    <w:link w:val="Heading2Char"/>
    <w:uiPriority w:val="99"/>
    <w:qFormat/>
    <w:rsid w:val="00396A5A"/>
    <w:pPr>
      <w:keepNext/>
      <w:tabs>
        <w:tab w:val="left" w:pos="1152"/>
      </w:tabs>
      <w:spacing w:after="360" w:line="360" w:lineRule="atLeast"/>
      <w:ind w:left="1152" w:hanging="1152"/>
      <w:jc w:val="both"/>
      <w:outlineLvl w:val="1"/>
    </w:pPr>
    <w:rPr>
      <w:rFonts w:ascii="Times New Roman" w:eastAsia="Batang"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662C"/>
    <w:rPr>
      <w:sz w:val="16"/>
      <w:szCs w:val="16"/>
    </w:rPr>
  </w:style>
  <w:style w:type="paragraph" w:styleId="CommentText">
    <w:name w:val="annotation text"/>
    <w:basedOn w:val="Normal"/>
    <w:link w:val="CommentTextChar"/>
    <w:uiPriority w:val="99"/>
    <w:semiHidden/>
    <w:unhideWhenUsed/>
    <w:rsid w:val="009A662C"/>
    <w:pPr>
      <w:spacing w:line="240" w:lineRule="auto"/>
    </w:pPr>
    <w:rPr>
      <w:sz w:val="20"/>
      <w:szCs w:val="20"/>
    </w:rPr>
  </w:style>
  <w:style w:type="character" w:customStyle="1" w:styleId="CommentTextChar">
    <w:name w:val="Comment Text Char"/>
    <w:basedOn w:val="DefaultParagraphFont"/>
    <w:link w:val="CommentText"/>
    <w:uiPriority w:val="99"/>
    <w:semiHidden/>
    <w:rsid w:val="009A662C"/>
    <w:rPr>
      <w:sz w:val="20"/>
      <w:szCs w:val="20"/>
    </w:rPr>
  </w:style>
  <w:style w:type="paragraph" w:styleId="CommentSubject">
    <w:name w:val="annotation subject"/>
    <w:basedOn w:val="CommentText"/>
    <w:next w:val="CommentText"/>
    <w:link w:val="CommentSubjectChar"/>
    <w:uiPriority w:val="99"/>
    <w:semiHidden/>
    <w:unhideWhenUsed/>
    <w:rsid w:val="009A662C"/>
    <w:rPr>
      <w:b/>
      <w:bCs/>
    </w:rPr>
  </w:style>
  <w:style w:type="character" w:customStyle="1" w:styleId="CommentSubjectChar">
    <w:name w:val="Comment Subject Char"/>
    <w:basedOn w:val="CommentTextChar"/>
    <w:link w:val="CommentSubject"/>
    <w:uiPriority w:val="99"/>
    <w:semiHidden/>
    <w:rsid w:val="009A662C"/>
    <w:rPr>
      <w:b/>
      <w:bCs/>
      <w:sz w:val="20"/>
      <w:szCs w:val="20"/>
    </w:rPr>
  </w:style>
  <w:style w:type="paragraph" w:styleId="BalloonText">
    <w:name w:val="Balloon Text"/>
    <w:basedOn w:val="Normal"/>
    <w:link w:val="BalloonTextChar"/>
    <w:uiPriority w:val="99"/>
    <w:semiHidden/>
    <w:unhideWhenUsed/>
    <w:rsid w:val="009A6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2C"/>
    <w:rPr>
      <w:rFonts w:ascii="Tahoma" w:hAnsi="Tahoma" w:cs="Tahoma"/>
      <w:sz w:val="16"/>
      <w:szCs w:val="16"/>
    </w:rPr>
  </w:style>
  <w:style w:type="paragraph" w:styleId="ListParagraph">
    <w:name w:val="List Paragraph"/>
    <w:basedOn w:val="Normal"/>
    <w:uiPriority w:val="34"/>
    <w:qFormat/>
    <w:rsid w:val="002922C6"/>
    <w:pPr>
      <w:ind w:left="720"/>
      <w:contextualSpacing/>
    </w:pPr>
  </w:style>
  <w:style w:type="paragraph" w:styleId="Header">
    <w:name w:val="header"/>
    <w:basedOn w:val="Normal"/>
    <w:link w:val="HeaderChar"/>
    <w:uiPriority w:val="99"/>
    <w:unhideWhenUsed/>
    <w:rsid w:val="0035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72"/>
  </w:style>
  <w:style w:type="paragraph" w:styleId="Footer">
    <w:name w:val="footer"/>
    <w:basedOn w:val="Normal"/>
    <w:link w:val="FooterChar"/>
    <w:uiPriority w:val="99"/>
    <w:unhideWhenUsed/>
    <w:rsid w:val="0035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72"/>
  </w:style>
  <w:style w:type="paragraph" w:customStyle="1" w:styleId="Bullets">
    <w:name w:val="Bullets"/>
    <w:basedOn w:val="BodyText"/>
    <w:link w:val="BulletsChar"/>
    <w:rsid w:val="00703503"/>
    <w:pPr>
      <w:spacing w:line="264" w:lineRule="auto"/>
    </w:pPr>
    <w:rPr>
      <w:rFonts w:ascii="Times New Roman" w:eastAsia="Times New Roman" w:hAnsi="Times New Roman" w:cs="Times New Roman"/>
      <w:szCs w:val="20"/>
    </w:rPr>
  </w:style>
  <w:style w:type="character" w:customStyle="1" w:styleId="BulletsChar">
    <w:name w:val="Bullets Char"/>
    <w:basedOn w:val="DefaultParagraphFont"/>
    <w:link w:val="Bullets"/>
    <w:rsid w:val="0070350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703503"/>
    <w:pPr>
      <w:spacing w:after="120"/>
    </w:pPr>
  </w:style>
  <w:style w:type="character" w:customStyle="1" w:styleId="BodyTextChar">
    <w:name w:val="Body Text Char"/>
    <w:basedOn w:val="DefaultParagraphFont"/>
    <w:link w:val="BodyText"/>
    <w:uiPriority w:val="99"/>
    <w:semiHidden/>
    <w:rsid w:val="00703503"/>
  </w:style>
  <w:style w:type="table" w:styleId="TableGrid">
    <w:name w:val="Table Grid"/>
    <w:basedOn w:val="TableNormal"/>
    <w:uiPriority w:val="59"/>
    <w:rsid w:val="00D36B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E6D9B"/>
    <w:rPr>
      <w:color w:val="0000FF"/>
      <w:u w:val="single"/>
    </w:rPr>
  </w:style>
  <w:style w:type="paragraph" w:customStyle="1" w:styleId="BulletLastSS">
    <w:name w:val="Bullet (Last SS)"/>
    <w:basedOn w:val="Normal"/>
    <w:next w:val="Normal"/>
    <w:qFormat/>
    <w:rsid w:val="001E6D9B"/>
    <w:pPr>
      <w:numPr>
        <w:numId w:val="11"/>
      </w:numPr>
      <w:tabs>
        <w:tab w:val="left" w:pos="432"/>
      </w:tabs>
      <w:spacing w:after="240" w:line="240" w:lineRule="auto"/>
      <w:ind w:left="432" w:hanging="432"/>
    </w:pPr>
    <w:rPr>
      <w:rFonts w:eastAsiaTheme="minorEastAsia"/>
      <w:lang w:eastAsia="ko-KR"/>
    </w:rPr>
  </w:style>
  <w:style w:type="paragraph" w:styleId="FootnoteText">
    <w:name w:val="footnote text"/>
    <w:basedOn w:val="Normal"/>
    <w:link w:val="FootnoteTextChar"/>
    <w:uiPriority w:val="99"/>
    <w:semiHidden/>
    <w:unhideWhenUsed/>
    <w:rsid w:val="00446C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CE5"/>
    <w:rPr>
      <w:sz w:val="20"/>
      <w:szCs w:val="20"/>
    </w:rPr>
  </w:style>
  <w:style w:type="character" w:styleId="FootnoteReference">
    <w:name w:val="footnote reference"/>
    <w:basedOn w:val="DefaultParagraphFont"/>
    <w:uiPriority w:val="99"/>
    <w:semiHidden/>
    <w:unhideWhenUsed/>
    <w:rsid w:val="00446CE5"/>
    <w:rPr>
      <w:vertAlign w:val="superscript"/>
    </w:rPr>
  </w:style>
  <w:style w:type="paragraph" w:styleId="Revision">
    <w:name w:val="Revision"/>
    <w:hidden/>
    <w:uiPriority w:val="99"/>
    <w:semiHidden/>
    <w:rsid w:val="008B7828"/>
    <w:pPr>
      <w:spacing w:after="0" w:line="240" w:lineRule="auto"/>
    </w:pPr>
  </w:style>
  <w:style w:type="character" w:customStyle="1" w:styleId="Heading2Char">
    <w:name w:val="Heading 2 Char"/>
    <w:aliases w:val="H2-Sec. Head Char,H2-Sec. He Char"/>
    <w:basedOn w:val="DefaultParagraphFont"/>
    <w:link w:val="Heading2"/>
    <w:uiPriority w:val="99"/>
    <w:rsid w:val="00396A5A"/>
    <w:rPr>
      <w:rFonts w:ascii="Times New Roman" w:eastAsia="Batang" w:hAnsi="Times New Roman" w:cs="Times New Roman"/>
      <w:b/>
      <w:szCs w:val="24"/>
    </w:rPr>
  </w:style>
  <w:style w:type="paragraph" w:customStyle="1" w:styleId="Exhibit">
    <w:name w:val="Exhibit"/>
    <w:basedOn w:val="Normal"/>
    <w:rsid w:val="004650E5"/>
    <w:pPr>
      <w:spacing w:after="60" w:line="264" w:lineRule="auto"/>
    </w:pPr>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H2-Sec. He"/>
    <w:basedOn w:val="Normal"/>
    <w:next w:val="Normal"/>
    <w:link w:val="Heading2Char"/>
    <w:uiPriority w:val="99"/>
    <w:qFormat/>
    <w:rsid w:val="00396A5A"/>
    <w:pPr>
      <w:keepNext/>
      <w:tabs>
        <w:tab w:val="left" w:pos="1152"/>
      </w:tabs>
      <w:spacing w:after="360" w:line="360" w:lineRule="atLeast"/>
      <w:ind w:left="1152" w:hanging="1152"/>
      <w:jc w:val="both"/>
      <w:outlineLvl w:val="1"/>
    </w:pPr>
    <w:rPr>
      <w:rFonts w:ascii="Times New Roman" w:eastAsia="Batang"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662C"/>
    <w:rPr>
      <w:sz w:val="16"/>
      <w:szCs w:val="16"/>
    </w:rPr>
  </w:style>
  <w:style w:type="paragraph" w:styleId="CommentText">
    <w:name w:val="annotation text"/>
    <w:basedOn w:val="Normal"/>
    <w:link w:val="CommentTextChar"/>
    <w:uiPriority w:val="99"/>
    <w:semiHidden/>
    <w:unhideWhenUsed/>
    <w:rsid w:val="009A662C"/>
    <w:pPr>
      <w:spacing w:line="240" w:lineRule="auto"/>
    </w:pPr>
    <w:rPr>
      <w:sz w:val="20"/>
      <w:szCs w:val="20"/>
    </w:rPr>
  </w:style>
  <w:style w:type="character" w:customStyle="1" w:styleId="CommentTextChar">
    <w:name w:val="Comment Text Char"/>
    <w:basedOn w:val="DefaultParagraphFont"/>
    <w:link w:val="CommentText"/>
    <w:uiPriority w:val="99"/>
    <w:semiHidden/>
    <w:rsid w:val="009A662C"/>
    <w:rPr>
      <w:sz w:val="20"/>
      <w:szCs w:val="20"/>
    </w:rPr>
  </w:style>
  <w:style w:type="paragraph" w:styleId="CommentSubject">
    <w:name w:val="annotation subject"/>
    <w:basedOn w:val="CommentText"/>
    <w:next w:val="CommentText"/>
    <w:link w:val="CommentSubjectChar"/>
    <w:uiPriority w:val="99"/>
    <w:semiHidden/>
    <w:unhideWhenUsed/>
    <w:rsid w:val="009A662C"/>
    <w:rPr>
      <w:b/>
      <w:bCs/>
    </w:rPr>
  </w:style>
  <w:style w:type="character" w:customStyle="1" w:styleId="CommentSubjectChar">
    <w:name w:val="Comment Subject Char"/>
    <w:basedOn w:val="CommentTextChar"/>
    <w:link w:val="CommentSubject"/>
    <w:uiPriority w:val="99"/>
    <w:semiHidden/>
    <w:rsid w:val="009A662C"/>
    <w:rPr>
      <w:b/>
      <w:bCs/>
      <w:sz w:val="20"/>
      <w:szCs w:val="20"/>
    </w:rPr>
  </w:style>
  <w:style w:type="paragraph" w:styleId="BalloonText">
    <w:name w:val="Balloon Text"/>
    <w:basedOn w:val="Normal"/>
    <w:link w:val="BalloonTextChar"/>
    <w:uiPriority w:val="99"/>
    <w:semiHidden/>
    <w:unhideWhenUsed/>
    <w:rsid w:val="009A6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2C"/>
    <w:rPr>
      <w:rFonts w:ascii="Tahoma" w:hAnsi="Tahoma" w:cs="Tahoma"/>
      <w:sz w:val="16"/>
      <w:szCs w:val="16"/>
    </w:rPr>
  </w:style>
  <w:style w:type="paragraph" w:styleId="ListParagraph">
    <w:name w:val="List Paragraph"/>
    <w:basedOn w:val="Normal"/>
    <w:uiPriority w:val="34"/>
    <w:qFormat/>
    <w:rsid w:val="002922C6"/>
    <w:pPr>
      <w:ind w:left="720"/>
      <w:contextualSpacing/>
    </w:pPr>
  </w:style>
  <w:style w:type="paragraph" w:styleId="Header">
    <w:name w:val="header"/>
    <w:basedOn w:val="Normal"/>
    <w:link w:val="HeaderChar"/>
    <w:uiPriority w:val="99"/>
    <w:unhideWhenUsed/>
    <w:rsid w:val="0035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72"/>
  </w:style>
  <w:style w:type="paragraph" w:styleId="Footer">
    <w:name w:val="footer"/>
    <w:basedOn w:val="Normal"/>
    <w:link w:val="FooterChar"/>
    <w:uiPriority w:val="99"/>
    <w:unhideWhenUsed/>
    <w:rsid w:val="0035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72"/>
  </w:style>
  <w:style w:type="paragraph" w:customStyle="1" w:styleId="Bullets">
    <w:name w:val="Bullets"/>
    <w:basedOn w:val="BodyText"/>
    <w:link w:val="BulletsChar"/>
    <w:rsid w:val="00703503"/>
    <w:pPr>
      <w:spacing w:line="264" w:lineRule="auto"/>
    </w:pPr>
    <w:rPr>
      <w:rFonts w:ascii="Times New Roman" w:eastAsia="Times New Roman" w:hAnsi="Times New Roman" w:cs="Times New Roman"/>
      <w:szCs w:val="20"/>
    </w:rPr>
  </w:style>
  <w:style w:type="character" w:customStyle="1" w:styleId="BulletsChar">
    <w:name w:val="Bullets Char"/>
    <w:basedOn w:val="DefaultParagraphFont"/>
    <w:link w:val="Bullets"/>
    <w:rsid w:val="0070350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703503"/>
    <w:pPr>
      <w:spacing w:after="120"/>
    </w:pPr>
  </w:style>
  <w:style w:type="character" w:customStyle="1" w:styleId="BodyTextChar">
    <w:name w:val="Body Text Char"/>
    <w:basedOn w:val="DefaultParagraphFont"/>
    <w:link w:val="BodyText"/>
    <w:uiPriority w:val="99"/>
    <w:semiHidden/>
    <w:rsid w:val="00703503"/>
  </w:style>
  <w:style w:type="table" w:styleId="TableGrid">
    <w:name w:val="Table Grid"/>
    <w:basedOn w:val="TableNormal"/>
    <w:uiPriority w:val="59"/>
    <w:rsid w:val="00D36B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E6D9B"/>
    <w:rPr>
      <w:color w:val="0000FF"/>
      <w:u w:val="single"/>
    </w:rPr>
  </w:style>
  <w:style w:type="paragraph" w:customStyle="1" w:styleId="BulletLastSS">
    <w:name w:val="Bullet (Last SS)"/>
    <w:basedOn w:val="Normal"/>
    <w:next w:val="Normal"/>
    <w:qFormat/>
    <w:rsid w:val="001E6D9B"/>
    <w:pPr>
      <w:numPr>
        <w:numId w:val="11"/>
      </w:numPr>
      <w:tabs>
        <w:tab w:val="left" w:pos="432"/>
      </w:tabs>
      <w:spacing w:after="240" w:line="240" w:lineRule="auto"/>
      <w:ind w:left="432" w:hanging="432"/>
    </w:pPr>
    <w:rPr>
      <w:rFonts w:eastAsiaTheme="minorEastAsia"/>
      <w:lang w:eastAsia="ko-KR"/>
    </w:rPr>
  </w:style>
  <w:style w:type="paragraph" w:styleId="FootnoteText">
    <w:name w:val="footnote text"/>
    <w:basedOn w:val="Normal"/>
    <w:link w:val="FootnoteTextChar"/>
    <w:uiPriority w:val="99"/>
    <w:semiHidden/>
    <w:unhideWhenUsed/>
    <w:rsid w:val="00446C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CE5"/>
    <w:rPr>
      <w:sz w:val="20"/>
      <w:szCs w:val="20"/>
    </w:rPr>
  </w:style>
  <w:style w:type="character" w:styleId="FootnoteReference">
    <w:name w:val="footnote reference"/>
    <w:basedOn w:val="DefaultParagraphFont"/>
    <w:uiPriority w:val="99"/>
    <w:semiHidden/>
    <w:unhideWhenUsed/>
    <w:rsid w:val="00446CE5"/>
    <w:rPr>
      <w:vertAlign w:val="superscript"/>
    </w:rPr>
  </w:style>
  <w:style w:type="paragraph" w:styleId="Revision">
    <w:name w:val="Revision"/>
    <w:hidden/>
    <w:uiPriority w:val="99"/>
    <w:semiHidden/>
    <w:rsid w:val="008B7828"/>
    <w:pPr>
      <w:spacing w:after="0" w:line="240" w:lineRule="auto"/>
    </w:pPr>
  </w:style>
  <w:style w:type="character" w:customStyle="1" w:styleId="Heading2Char">
    <w:name w:val="Heading 2 Char"/>
    <w:aliases w:val="H2-Sec. Head Char,H2-Sec. He Char"/>
    <w:basedOn w:val="DefaultParagraphFont"/>
    <w:link w:val="Heading2"/>
    <w:uiPriority w:val="99"/>
    <w:rsid w:val="00396A5A"/>
    <w:rPr>
      <w:rFonts w:ascii="Times New Roman" w:eastAsia="Batang" w:hAnsi="Times New Roman" w:cs="Times New Roman"/>
      <w:b/>
      <w:szCs w:val="24"/>
    </w:rPr>
  </w:style>
  <w:style w:type="paragraph" w:customStyle="1" w:styleId="Exhibit">
    <w:name w:val="Exhibit"/>
    <w:basedOn w:val="Normal"/>
    <w:rsid w:val="004650E5"/>
    <w:pPr>
      <w:spacing w:after="60" w:line="264" w:lineRule="auto"/>
    </w:pPr>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pdf/2018/DCB_h.pdf" TargetMode="External"/><Relationship Id="rId4" Type="http://schemas.microsoft.com/office/2007/relationships/stylesWithEffects" Target="stylesWithEffects.xml"/><Relationship Id="rId9" Type="http://schemas.openxmlformats.org/officeDocument/2006/relationships/hyperlink" Target="https://www.reginfo.gov/public/do/DownloadNOA?requestID=2884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rocis.gov/rocis/LoadICRForUpdate.do?request_id=296902&amp;record_owner_flag=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rocis.gov/rocis/LoadICRForUpdate.do?request_id=296902&amp;record_owner_fl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2F3B-5930-4B73-B8D3-81D44B82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SYSTEM</cp:lastModifiedBy>
  <cp:revision>2</cp:revision>
  <cp:lastPrinted>2019-01-22T15:30:00Z</cp:lastPrinted>
  <dcterms:created xsi:type="dcterms:W3CDTF">2019-05-24T19:47:00Z</dcterms:created>
  <dcterms:modified xsi:type="dcterms:W3CDTF">2019-05-24T19:47:00Z</dcterms:modified>
</cp:coreProperties>
</file>