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63877" w14:textId="77777777" w:rsidR="00836B42" w:rsidRPr="009500CC" w:rsidRDefault="00836B42" w:rsidP="00836B42">
      <w:pPr>
        <w:spacing w:after="0" w:line="240" w:lineRule="auto"/>
        <w:jc w:val="center"/>
        <w:rPr>
          <w:rFonts w:ascii="Times New Roman" w:hAnsi="Times New Roman" w:cs="Times New Roman"/>
        </w:rPr>
      </w:pPr>
      <w:bookmarkStart w:id="0" w:name="_GoBack"/>
      <w:bookmarkEnd w:id="0"/>
    </w:p>
    <w:p w14:paraId="79F104D2" w14:textId="1F651045" w:rsidR="00836B42" w:rsidRPr="001F6B2F" w:rsidRDefault="00B87567" w:rsidP="00836B42">
      <w:pPr>
        <w:spacing w:after="0" w:line="240" w:lineRule="auto"/>
        <w:rPr>
          <w:rFonts w:ascii="Times New Roman" w:hAnsi="Times New Roman" w:cs="Times New Roman"/>
          <w:b/>
        </w:rPr>
      </w:pPr>
      <w:r>
        <w:rPr>
          <w:rFonts w:ascii="Times New Roman" w:hAnsi="Times New Roman" w:cs="Times New Roman"/>
          <w:b/>
        </w:rPr>
        <w:t xml:space="preserve">OMB </w:t>
      </w:r>
      <w:r w:rsidR="009D781C">
        <w:rPr>
          <w:rFonts w:ascii="Times New Roman" w:hAnsi="Times New Roman" w:cs="Times New Roman"/>
          <w:b/>
        </w:rPr>
        <w:t xml:space="preserve">Supporting Statement Part B:  </w:t>
      </w:r>
      <w:r w:rsidR="009D781C" w:rsidRPr="009D781C">
        <w:rPr>
          <w:rFonts w:ascii="Times New Roman" w:hAnsi="Times New Roman" w:cs="Times New Roman"/>
          <w:b/>
        </w:rPr>
        <w:t>Collection of Information Involving Statistical Methods</w:t>
      </w:r>
    </w:p>
    <w:p w14:paraId="2E52D318" w14:textId="77777777" w:rsidR="00B93E08" w:rsidRPr="009500CC" w:rsidRDefault="00B93E08" w:rsidP="0005690B">
      <w:pPr>
        <w:rPr>
          <w:rFonts w:ascii="Times New Roman" w:hAnsi="Times New Roman" w:cs="Times New Roman"/>
        </w:rPr>
      </w:pPr>
    </w:p>
    <w:p w14:paraId="3A78FB4A" w14:textId="77777777" w:rsidR="0005690B" w:rsidRPr="009500CC" w:rsidRDefault="006238D3" w:rsidP="0005690B">
      <w:pPr>
        <w:rPr>
          <w:rFonts w:ascii="Times New Roman" w:hAnsi="Times New Roman" w:cs="Times New Roman"/>
        </w:rPr>
      </w:pPr>
      <w:r w:rsidRPr="009500CC">
        <w:rPr>
          <w:rFonts w:ascii="Times New Roman" w:hAnsi="Times New Roman" w:cs="Times New Roman"/>
        </w:rPr>
        <w:t>The Employment and Training Administration (ETA) in collaboration with the Chief Evaluation Office (CEO) of the U.S. Department of Labor (DOL) is undertaking the Evaluation of the American</w:t>
      </w:r>
      <w:r w:rsidR="00D555C2" w:rsidRPr="009500CC">
        <w:rPr>
          <w:rFonts w:ascii="Times New Roman" w:hAnsi="Times New Roman" w:cs="Times New Roman"/>
        </w:rPr>
        <w:t xml:space="preserve"> Apprenticeship Initiative (hereafter, the AAI evaluation).</w:t>
      </w:r>
      <w:r w:rsidRPr="00DB3EBB">
        <w:rPr>
          <w:rFonts w:ascii="Times New Roman" w:hAnsi="Times New Roman" w:cs="Times New Roman"/>
        </w:rPr>
        <w:t xml:space="preserve"> </w:t>
      </w:r>
      <w:r w:rsidR="00D555C2" w:rsidRPr="00DB3EBB">
        <w:rPr>
          <w:rFonts w:ascii="Times New Roman" w:eastAsia="Times New Roman" w:hAnsi="Times New Roman" w:cs="Times New Roman"/>
        </w:rPr>
        <w:t xml:space="preserve"> </w:t>
      </w:r>
      <w:r w:rsidR="0005690B" w:rsidRPr="00DB3EBB">
        <w:rPr>
          <w:rFonts w:ascii="Times New Roman" w:hAnsi="Times New Roman" w:cs="Times New Roman"/>
        </w:rPr>
        <w:t>The AAI evaluation’s aim is to address the following six broad research questions:</w:t>
      </w:r>
    </w:p>
    <w:p w14:paraId="4E4D08DE" w14:textId="77777777" w:rsidR="0005690B" w:rsidRPr="009500CC" w:rsidRDefault="0005690B" w:rsidP="0005690B">
      <w:pPr>
        <w:pStyle w:val="ListParagraph"/>
        <w:numPr>
          <w:ilvl w:val="0"/>
          <w:numId w:val="2"/>
        </w:numPr>
        <w:rPr>
          <w:rFonts w:ascii="Times New Roman" w:hAnsi="Times New Roman" w:cs="Times New Roman"/>
        </w:rPr>
      </w:pPr>
      <w:r w:rsidRPr="009500CC">
        <w:rPr>
          <w:rFonts w:ascii="Times New Roman" w:hAnsi="Times New Roman" w:cs="Times New Roman"/>
        </w:rPr>
        <w:t xml:space="preserve">What are AAI grantees doing to generate apprenticeship slots? </w:t>
      </w:r>
    </w:p>
    <w:p w14:paraId="7C5A1552" w14:textId="77777777" w:rsidR="0005690B" w:rsidRPr="009500CC" w:rsidRDefault="0005690B" w:rsidP="0005690B">
      <w:pPr>
        <w:pStyle w:val="ListParagraph"/>
        <w:numPr>
          <w:ilvl w:val="0"/>
          <w:numId w:val="2"/>
        </w:numPr>
        <w:rPr>
          <w:rFonts w:ascii="Times New Roman" w:hAnsi="Times New Roman" w:cs="Times New Roman"/>
        </w:rPr>
      </w:pPr>
      <w:r w:rsidRPr="009500CC">
        <w:rPr>
          <w:rFonts w:ascii="Times New Roman" w:hAnsi="Times New Roman" w:cs="Times New Roman"/>
        </w:rPr>
        <w:t xml:space="preserve">What strategies do AAI grantees and employers use to identify strong candidates for apprenticeships? </w:t>
      </w:r>
    </w:p>
    <w:p w14:paraId="26F0E17A" w14:textId="77777777" w:rsidR="0005690B" w:rsidRPr="009500CC" w:rsidRDefault="0005690B" w:rsidP="0005690B">
      <w:pPr>
        <w:pStyle w:val="ListParagraph"/>
        <w:numPr>
          <w:ilvl w:val="0"/>
          <w:numId w:val="2"/>
        </w:numPr>
        <w:rPr>
          <w:rFonts w:ascii="Times New Roman" w:hAnsi="Times New Roman" w:cs="Times New Roman"/>
        </w:rPr>
      </w:pPr>
      <w:r w:rsidRPr="009500CC">
        <w:rPr>
          <w:rFonts w:ascii="Times New Roman" w:hAnsi="Times New Roman" w:cs="Times New Roman"/>
        </w:rPr>
        <w:t>What are the characteristics of AAI apprenticeships?</w:t>
      </w:r>
    </w:p>
    <w:p w14:paraId="0206D460" w14:textId="77777777" w:rsidR="0005690B" w:rsidRPr="009500CC" w:rsidRDefault="0005690B" w:rsidP="0005690B">
      <w:pPr>
        <w:pStyle w:val="ListParagraph"/>
        <w:numPr>
          <w:ilvl w:val="0"/>
          <w:numId w:val="2"/>
        </w:numPr>
        <w:rPr>
          <w:rFonts w:ascii="Times New Roman" w:hAnsi="Times New Roman" w:cs="Times New Roman"/>
        </w:rPr>
      </w:pPr>
      <w:r w:rsidRPr="009500CC">
        <w:rPr>
          <w:rFonts w:ascii="Times New Roman" w:hAnsi="Times New Roman" w:cs="Times New Roman"/>
        </w:rPr>
        <w:t xml:space="preserve">What are the in-program experiences and post-program outcomes for apprentices? </w:t>
      </w:r>
    </w:p>
    <w:p w14:paraId="5B0E0C30" w14:textId="77777777" w:rsidR="0005690B" w:rsidRPr="009500CC" w:rsidRDefault="0005690B" w:rsidP="0005690B">
      <w:pPr>
        <w:pStyle w:val="ListParagraph"/>
        <w:numPr>
          <w:ilvl w:val="0"/>
          <w:numId w:val="2"/>
        </w:numPr>
        <w:rPr>
          <w:rFonts w:ascii="Times New Roman" w:hAnsi="Times New Roman" w:cs="Times New Roman"/>
        </w:rPr>
      </w:pPr>
      <w:r w:rsidRPr="009500CC">
        <w:rPr>
          <w:rFonts w:ascii="Times New Roman" w:hAnsi="Times New Roman" w:cs="Times New Roman"/>
        </w:rPr>
        <w:t>What innovations and lessons form the basis for broader change and sustainability that encourages employers to adopt apprenticeships?</w:t>
      </w:r>
    </w:p>
    <w:p w14:paraId="44F678D0" w14:textId="77777777" w:rsidR="006238D3" w:rsidRPr="009500CC" w:rsidRDefault="0005690B" w:rsidP="0005690B">
      <w:pPr>
        <w:pStyle w:val="ListParagraph"/>
        <w:numPr>
          <w:ilvl w:val="0"/>
          <w:numId w:val="2"/>
        </w:numPr>
        <w:rPr>
          <w:rFonts w:ascii="Times New Roman" w:hAnsi="Times New Roman" w:cs="Times New Roman"/>
        </w:rPr>
      </w:pPr>
      <w:r w:rsidRPr="009500CC">
        <w:rPr>
          <w:rFonts w:ascii="Times New Roman" w:hAnsi="Times New Roman" w:cs="Times New Roman"/>
        </w:rPr>
        <w:t>Do benefits accrue to employers from apprenticeship?</w:t>
      </w:r>
    </w:p>
    <w:p w14:paraId="3E859935" w14:textId="77777777" w:rsidR="006238D3" w:rsidRPr="00046A3F" w:rsidRDefault="00B93E08" w:rsidP="00B217A8">
      <w:pPr>
        <w:spacing w:before="180" w:after="180" w:line="240" w:lineRule="auto"/>
        <w:rPr>
          <w:rFonts w:ascii="Times New Roman" w:hAnsi="Times New Roman" w:cs="Times New Roman"/>
        </w:rPr>
      </w:pPr>
      <w:r w:rsidRPr="009500CC">
        <w:rPr>
          <w:rFonts w:ascii="Times New Roman" w:eastAsia="Times New Roman" w:hAnsi="Times New Roman" w:cs="Times New Roman"/>
        </w:rPr>
        <w:t>To answer these questions, the evaluation is implementing four sub-studies</w:t>
      </w:r>
      <w:r w:rsidR="00D555C2" w:rsidRPr="009500CC">
        <w:rPr>
          <w:rFonts w:ascii="Times New Roman" w:eastAsia="Times New Roman" w:hAnsi="Times New Roman" w:cs="Times New Roman"/>
        </w:rPr>
        <w:t>:</w:t>
      </w:r>
      <w:r w:rsidRPr="009500CC">
        <w:rPr>
          <w:rFonts w:ascii="Times New Roman" w:eastAsia="Times New Roman" w:hAnsi="Times New Roman" w:cs="Times New Roman"/>
        </w:rPr>
        <w:t xml:space="preserve"> an implementation study</w:t>
      </w:r>
      <w:r w:rsidR="00D555C2" w:rsidRPr="009500CC">
        <w:rPr>
          <w:rFonts w:ascii="Times New Roman" w:eastAsia="Times New Roman" w:hAnsi="Times New Roman" w:cs="Times New Roman"/>
        </w:rPr>
        <w:t xml:space="preserve">, an outcomes study, </w:t>
      </w:r>
      <w:r w:rsidRPr="009500CC">
        <w:rPr>
          <w:rFonts w:ascii="Times New Roman" w:eastAsia="Times New Roman" w:hAnsi="Times New Roman" w:cs="Times New Roman"/>
        </w:rPr>
        <w:t xml:space="preserve">a return </w:t>
      </w:r>
      <w:r w:rsidRPr="00046A3F">
        <w:rPr>
          <w:rFonts w:ascii="Times New Roman" w:eastAsia="Times New Roman" w:hAnsi="Times New Roman" w:cs="Times New Roman"/>
        </w:rPr>
        <w:t>on investment study (ROI)</w:t>
      </w:r>
      <w:r w:rsidR="00605D53" w:rsidRPr="00046A3F">
        <w:rPr>
          <w:rFonts w:ascii="Times New Roman" w:eastAsia="Times New Roman" w:hAnsi="Times New Roman" w:cs="Times New Roman"/>
        </w:rPr>
        <w:t>,</w:t>
      </w:r>
      <w:r w:rsidRPr="00046A3F">
        <w:rPr>
          <w:rFonts w:ascii="Times New Roman" w:eastAsia="Times New Roman" w:hAnsi="Times New Roman" w:cs="Times New Roman"/>
        </w:rPr>
        <w:t xml:space="preserve"> and an impact</w:t>
      </w:r>
      <w:r w:rsidR="00D555C2" w:rsidRPr="00046A3F">
        <w:rPr>
          <w:rFonts w:ascii="Times New Roman" w:eastAsia="Times New Roman" w:hAnsi="Times New Roman" w:cs="Times New Roman"/>
        </w:rPr>
        <w:t xml:space="preserve"> study.</w:t>
      </w:r>
      <w:r w:rsidRPr="00046A3F">
        <w:rPr>
          <w:rFonts w:ascii="Times New Roman" w:eastAsia="Times New Roman" w:hAnsi="Times New Roman" w:cs="Times New Roman"/>
        </w:rPr>
        <w:t xml:space="preserve"> </w:t>
      </w:r>
      <w:r w:rsidR="00D555C2" w:rsidRPr="00046A3F">
        <w:rPr>
          <w:rFonts w:ascii="Times New Roman" w:eastAsia="Times New Roman" w:hAnsi="Times New Roman" w:cs="Times New Roman"/>
        </w:rPr>
        <w:t xml:space="preserve">The AAI </w:t>
      </w:r>
      <w:r w:rsidR="00B217A8" w:rsidRPr="00046A3F">
        <w:rPr>
          <w:rFonts w:ascii="Times New Roman" w:eastAsia="Times New Roman" w:hAnsi="Times New Roman" w:cs="Times New Roman"/>
        </w:rPr>
        <w:t>evaluation is</w:t>
      </w:r>
      <w:r w:rsidR="00D555C2" w:rsidRPr="00046A3F">
        <w:rPr>
          <w:rFonts w:ascii="Times New Roman" w:eastAsia="Times New Roman" w:hAnsi="Times New Roman" w:cs="Times New Roman"/>
        </w:rPr>
        <w:t xml:space="preserve"> seeking approval for two data collection instruments</w:t>
      </w:r>
      <w:r w:rsidR="00605D53" w:rsidRPr="00046A3F">
        <w:rPr>
          <w:rFonts w:ascii="Times New Roman" w:eastAsia="Times New Roman" w:hAnsi="Times New Roman" w:cs="Times New Roman"/>
        </w:rPr>
        <w:t xml:space="preserve">: an </w:t>
      </w:r>
      <w:r w:rsidR="00046A3F" w:rsidRPr="00046A3F">
        <w:rPr>
          <w:rFonts w:ascii="Times New Roman" w:hAnsi="Times New Roman" w:cs="Times New Roman"/>
        </w:rPr>
        <w:t xml:space="preserve">Employer Survey </w:t>
      </w:r>
      <w:r w:rsidR="00D555C2" w:rsidRPr="00046A3F">
        <w:rPr>
          <w:rFonts w:ascii="Times New Roman" w:eastAsia="Times New Roman" w:hAnsi="Times New Roman" w:cs="Times New Roman"/>
        </w:rPr>
        <w:t>that will support the ROI study</w:t>
      </w:r>
      <w:r w:rsidR="00605D53" w:rsidRPr="00046A3F">
        <w:rPr>
          <w:rFonts w:ascii="Times New Roman" w:eastAsia="Times New Roman" w:hAnsi="Times New Roman" w:cs="Times New Roman"/>
        </w:rPr>
        <w:t xml:space="preserve">, and a </w:t>
      </w:r>
      <w:r w:rsidR="00046A3F">
        <w:rPr>
          <w:rFonts w:ascii="Times New Roman" w:eastAsia="Times New Roman" w:hAnsi="Times New Roman" w:cs="Times New Roman"/>
        </w:rPr>
        <w:t>Participant</w:t>
      </w:r>
      <w:r w:rsidR="00A23BB1" w:rsidRPr="00046A3F">
        <w:rPr>
          <w:rFonts w:ascii="Times New Roman" w:eastAsia="Times New Roman" w:hAnsi="Times New Roman" w:cs="Times New Roman"/>
        </w:rPr>
        <w:t xml:space="preserve"> Survey </w:t>
      </w:r>
      <w:r w:rsidR="00605D53" w:rsidRPr="00046A3F">
        <w:rPr>
          <w:rFonts w:ascii="Times New Roman" w:eastAsia="Times New Roman" w:hAnsi="Times New Roman" w:cs="Times New Roman"/>
        </w:rPr>
        <w:t>that will support the</w:t>
      </w:r>
      <w:r w:rsidR="00D555C2" w:rsidRPr="00046A3F">
        <w:rPr>
          <w:rFonts w:ascii="Times New Roman" w:eastAsia="Times New Roman" w:hAnsi="Times New Roman" w:cs="Times New Roman"/>
        </w:rPr>
        <w:t xml:space="preserve"> outcomes study.</w:t>
      </w:r>
    </w:p>
    <w:p w14:paraId="26535155" w14:textId="77777777" w:rsidR="00D555C2" w:rsidRPr="00B217A8" w:rsidRDefault="00D555C2" w:rsidP="00896D01">
      <w:pPr>
        <w:pStyle w:val="BodyText"/>
        <w:rPr>
          <w:b/>
          <w:szCs w:val="22"/>
        </w:rPr>
      </w:pPr>
      <w:r w:rsidRPr="00B217A8">
        <w:rPr>
          <w:b/>
          <w:szCs w:val="22"/>
        </w:rPr>
        <w:t>B1. Respondent Universe and Samp</w:t>
      </w:r>
      <w:r w:rsidR="00787FDB">
        <w:rPr>
          <w:b/>
          <w:szCs w:val="22"/>
        </w:rPr>
        <w:t>ling Methods</w:t>
      </w:r>
    </w:p>
    <w:p w14:paraId="656403DE" w14:textId="77777777" w:rsidR="00987EF9" w:rsidRPr="00B217A8" w:rsidRDefault="00896D01" w:rsidP="00987EF9">
      <w:pPr>
        <w:pStyle w:val="BodyText"/>
        <w:rPr>
          <w:szCs w:val="22"/>
        </w:rPr>
      </w:pPr>
      <w:r w:rsidRPr="009500CC">
        <w:rPr>
          <w:szCs w:val="22"/>
        </w:rPr>
        <w:t xml:space="preserve">This section outlines </w:t>
      </w:r>
      <w:r w:rsidRPr="00DB3EBB">
        <w:rPr>
          <w:szCs w:val="22"/>
        </w:rPr>
        <w:t xml:space="preserve">the respondent universe and sampling methods for the </w:t>
      </w:r>
      <w:r w:rsidR="00987EF9">
        <w:rPr>
          <w:szCs w:val="22"/>
        </w:rPr>
        <w:t>two surveys.</w:t>
      </w:r>
    </w:p>
    <w:p w14:paraId="48F53B42" w14:textId="77777777" w:rsidR="00896D01" w:rsidRPr="00B217A8" w:rsidRDefault="00896D01" w:rsidP="00896D01">
      <w:pPr>
        <w:pStyle w:val="BodyText"/>
        <w:rPr>
          <w:b/>
          <w:i/>
          <w:szCs w:val="22"/>
        </w:rPr>
      </w:pPr>
      <w:r w:rsidRPr="00B217A8">
        <w:rPr>
          <w:b/>
          <w:i/>
          <w:szCs w:val="22"/>
        </w:rPr>
        <w:t>Employer Survey</w:t>
      </w:r>
    </w:p>
    <w:p w14:paraId="02EF2421" w14:textId="77777777" w:rsidR="006D1804" w:rsidRDefault="00D24406" w:rsidP="006D1804">
      <w:pPr>
        <w:pStyle w:val="BodyText"/>
        <w:rPr>
          <w:szCs w:val="22"/>
        </w:rPr>
      </w:pPr>
      <w:r w:rsidRPr="00B217A8">
        <w:rPr>
          <w:szCs w:val="22"/>
        </w:rPr>
        <w:t xml:space="preserve">The </w:t>
      </w:r>
      <w:r w:rsidR="004B575D">
        <w:rPr>
          <w:szCs w:val="22"/>
        </w:rPr>
        <w:t>E</w:t>
      </w:r>
      <w:r w:rsidR="004B575D" w:rsidRPr="00B217A8">
        <w:rPr>
          <w:szCs w:val="22"/>
        </w:rPr>
        <w:t xml:space="preserve">mployer </w:t>
      </w:r>
      <w:r w:rsidR="004B575D">
        <w:rPr>
          <w:szCs w:val="22"/>
        </w:rPr>
        <w:t>S</w:t>
      </w:r>
      <w:r w:rsidR="004B575D" w:rsidRPr="00B217A8">
        <w:rPr>
          <w:szCs w:val="22"/>
        </w:rPr>
        <w:t>urvey</w:t>
      </w:r>
      <w:r w:rsidRPr="00B217A8">
        <w:rPr>
          <w:szCs w:val="22"/>
        </w:rPr>
        <w:t xml:space="preserve"> will collect </w:t>
      </w:r>
      <w:r w:rsidR="003B37A4">
        <w:rPr>
          <w:szCs w:val="22"/>
        </w:rPr>
        <w:t xml:space="preserve">(1) </w:t>
      </w:r>
      <w:r w:rsidRPr="00B217A8">
        <w:rPr>
          <w:szCs w:val="22"/>
        </w:rPr>
        <w:t xml:space="preserve">information on employer-experienced costs and benefits related to </w:t>
      </w:r>
      <w:r w:rsidR="004B575D">
        <w:rPr>
          <w:szCs w:val="22"/>
        </w:rPr>
        <w:t>hiring apprentices through</w:t>
      </w:r>
      <w:r w:rsidR="004B575D" w:rsidRPr="00B217A8">
        <w:rPr>
          <w:szCs w:val="22"/>
        </w:rPr>
        <w:t xml:space="preserve"> </w:t>
      </w:r>
      <w:r w:rsidRPr="00B217A8">
        <w:rPr>
          <w:szCs w:val="22"/>
        </w:rPr>
        <w:t xml:space="preserve">AAI-sponsored </w:t>
      </w:r>
      <w:r w:rsidR="004B575D">
        <w:rPr>
          <w:szCs w:val="22"/>
        </w:rPr>
        <w:t>programs</w:t>
      </w:r>
      <w:r w:rsidRPr="00B217A8">
        <w:rPr>
          <w:szCs w:val="22"/>
        </w:rPr>
        <w:t xml:space="preserve">, </w:t>
      </w:r>
      <w:r w:rsidR="003B37A4">
        <w:rPr>
          <w:szCs w:val="22"/>
        </w:rPr>
        <w:t xml:space="preserve">and (2) </w:t>
      </w:r>
      <w:r w:rsidRPr="00B217A8">
        <w:rPr>
          <w:szCs w:val="22"/>
        </w:rPr>
        <w:t xml:space="preserve">descriptive details about </w:t>
      </w:r>
      <w:r w:rsidR="003B37A4">
        <w:rPr>
          <w:szCs w:val="22"/>
        </w:rPr>
        <w:t xml:space="preserve">each </w:t>
      </w:r>
      <w:r w:rsidRPr="00B217A8">
        <w:rPr>
          <w:szCs w:val="22"/>
        </w:rPr>
        <w:t xml:space="preserve">employer and </w:t>
      </w:r>
      <w:r w:rsidR="003B37A4">
        <w:rPr>
          <w:szCs w:val="22"/>
        </w:rPr>
        <w:t xml:space="preserve">its </w:t>
      </w:r>
      <w:r w:rsidRPr="00B217A8">
        <w:rPr>
          <w:szCs w:val="22"/>
        </w:rPr>
        <w:t xml:space="preserve">AAI apprenticeship program. </w:t>
      </w:r>
      <w:r w:rsidR="0089174D">
        <w:rPr>
          <w:szCs w:val="22"/>
        </w:rPr>
        <w:t>The population frame is the set of all employers participating in AAI-sponsored apprentices</w:t>
      </w:r>
      <w:r w:rsidR="009B4000">
        <w:rPr>
          <w:szCs w:val="22"/>
        </w:rPr>
        <w:t>hips</w:t>
      </w:r>
      <w:r w:rsidR="0089174D">
        <w:rPr>
          <w:szCs w:val="22"/>
        </w:rPr>
        <w:t xml:space="preserve"> (approximately 1,300 employers as of December 2018). </w:t>
      </w:r>
    </w:p>
    <w:p w14:paraId="2B49AE9A" w14:textId="15383DB1" w:rsidR="006D1804" w:rsidRDefault="006D1804" w:rsidP="006D1804">
      <w:pPr>
        <w:pStyle w:val="BodyText"/>
        <w:rPr>
          <w:szCs w:val="22"/>
        </w:rPr>
      </w:pPr>
      <w:r w:rsidRPr="006D1804">
        <w:rPr>
          <w:szCs w:val="22"/>
        </w:rPr>
        <w:t xml:space="preserve">The </w:t>
      </w:r>
      <w:r w:rsidR="00E96879">
        <w:rPr>
          <w:szCs w:val="22"/>
        </w:rPr>
        <w:t xml:space="preserve">evaluator </w:t>
      </w:r>
      <w:r w:rsidR="004A062D">
        <w:rPr>
          <w:szCs w:val="22"/>
        </w:rPr>
        <w:t xml:space="preserve">will </w:t>
      </w:r>
      <w:r w:rsidR="00E96879">
        <w:rPr>
          <w:szCs w:val="22"/>
        </w:rPr>
        <w:t xml:space="preserve">conduct the survey </w:t>
      </w:r>
      <w:r w:rsidR="004A062D">
        <w:rPr>
          <w:szCs w:val="22"/>
        </w:rPr>
        <w:t xml:space="preserve">by phone with </w:t>
      </w:r>
      <w:r w:rsidR="00406A2C">
        <w:rPr>
          <w:szCs w:val="22"/>
        </w:rPr>
        <w:t xml:space="preserve">a total of </w:t>
      </w:r>
      <w:r w:rsidR="00101B5E">
        <w:rPr>
          <w:szCs w:val="22"/>
        </w:rPr>
        <w:t xml:space="preserve">approximately </w:t>
      </w:r>
      <w:r w:rsidR="00406A2C">
        <w:rPr>
          <w:szCs w:val="22"/>
        </w:rPr>
        <w:t>100 employers</w:t>
      </w:r>
      <w:r w:rsidRPr="006D1804">
        <w:rPr>
          <w:szCs w:val="22"/>
        </w:rPr>
        <w:t xml:space="preserve">. </w:t>
      </w:r>
      <w:r w:rsidR="004A062D">
        <w:rPr>
          <w:szCs w:val="22"/>
        </w:rPr>
        <w:t xml:space="preserve">These employers will be selected across a range of employer attributes, including size, industry, and geographic location. </w:t>
      </w:r>
      <w:r w:rsidR="006E4A11">
        <w:rPr>
          <w:szCs w:val="22"/>
        </w:rPr>
        <w:t xml:space="preserve">For these  employer surveys, the evaluator will first </w:t>
      </w:r>
      <w:r w:rsidR="00E96879">
        <w:rPr>
          <w:szCs w:val="22"/>
        </w:rPr>
        <w:t xml:space="preserve">contact </w:t>
      </w:r>
      <w:r w:rsidR="006E4A11">
        <w:rPr>
          <w:szCs w:val="22"/>
        </w:rPr>
        <w:t xml:space="preserve">grantees to fill in sections of the survey for which they have information. The evaluator will then call the </w:t>
      </w:r>
      <w:r w:rsidR="00406A2C">
        <w:rPr>
          <w:szCs w:val="22"/>
        </w:rPr>
        <w:t>100</w:t>
      </w:r>
      <w:r w:rsidR="006E4A11">
        <w:rPr>
          <w:szCs w:val="22"/>
        </w:rPr>
        <w:t xml:space="preserve"> employers to complete the survey. </w:t>
      </w:r>
      <w:r w:rsidRPr="006D1804">
        <w:rPr>
          <w:szCs w:val="22"/>
        </w:rPr>
        <w:t xml:space="preserve">This will produce a sample that is not overly burdensome for grantees but </w:t>
      </w:r>
      <w:r w:rsidR="00662E1F">
        <w:rPr>
          <w:szCs w:val="22"/>
        </w:rPr>
        <w:t>still</w:t>
      </w:r>
      <w:r w:rsidRPr="006D1804">
        <w:rPr>
          <w:szCs w:val="22"/>
        </w:rPr>
        <w:t xml:space="preserve"> provides a </w:t>
      </w:r>
      <w:r w:rsidR="00662E1F">
        <w:rPr>
          <w:szCs w:val="22"/>
        </w:rPr>
        <w:t>sufficient</w:t>
      </w:r>
      <w:r w:rsidRPr="006D1804">
        <w:rPr>
          <w:szCs w:val="22"/>
        </w:rPr>
        <w:t xml:space="preserve"> sample of employers </w:t>
      </w:r>
      <w:r w:rsidR="00662E1F">
        <w:rPr>
          <w:szCs w:val="22"/>
        </w:rPr>
        <w:t xml:space="preserve">to conduct the ROI study. </w:t>
      </w:r>
    </w:p>
    <w:p w14:paraId="5DD0DDD2" w14:textId="0F6A5F55" w:rsidR="00D24406" w:rsidRPr="00B217A8" w:rsidRDefault="005F22D3" w:rsidP="00D24406">
      <w:pPr>
        <w:pStyle w:val="BodyText"/>
        <w:rPr>
          <w:szCs w:val="22"/>
        </w:rPr>
      </w:pPr>
      <w:r w:rsidRPr="00B217A8">
        <w:rPr>
          <w:szCs w:val="22"/>
        </w:rPr>
        <w:t xml:space="preserve">The list of </w:t>
      </w:r>
      <w:r w:rsidR="003B60B1" w:rsidRPr="00B217A8">
        <w:rPr>
          <w:szCs w:val="22"/>
        </w:rPr>
        <w:t xml:space="preserve">participating </w:t>
      </w:r>
      <w:r w:rsidRPr="00B217A8">
        <w:rPr>
          <w:szCs w:val="22"/>
        </w:rPr>
        <w:t xml:space="preserve">employers and </w:t>
      </w:r>
      <w:r w:rsidR="003B60B1" w:rsidRPr="00B217A8">
        <w:rPr>
          <w:szCs w:val="22"/>
        </w:rPr>
        <w:t xml:space="preserve">their contact </w:t>
      </w:r>
      <w:r w:rsidR="00D24406" w:rsidRPr="00B217A8">
        <w:rPr>
          <w:szCs w:val="22"/>
        </w:rPr>
        <w:t xml:space="preserve">information will be extracted from </w:t>
      </w:r>
      <w:r w:rsidR="00F20725">
        <w:rPr>
          <w:szCs w:val="22"/>
        </w:rPr>
        <w:t>two</w:t>
      </w:r>
      <w:r w:rsidR="00D24406" w:rsidRPr="00B217A8">
        <w:rPr>
          <w:szCs w:val="22"/>
        </w:rPr>
        <w:t xml:space="preserve"> sources: (</w:t>
      </w:r>
      <w:r w:rsidRPr="00B217A8">
        <w:rPr>
          <w:szCs w:val="22"/>
        </w:rPr>
        <w:t>1</w:t>
      </w:r>
      <w:r w:rsidR="00D24406" w:rsidRPr="00B217A8">
        <w:rPr>
          <w:szCs w:val="22"/>
        </w:rPr>
        <w:t>)</w:t>
      </w:r>
      <w:r w:rsidRPr="00B217A8">
        <w:rPr>
          <w:szCs w:val="22"/>
        </w:rPr>
        <w:t xml:space="preserve"> DOL’s Quarterly Performance Results (QPR) system</w:t>
      </w:r>
      <w:r w:rsidR="00DF7AEF">
        <w:rPr>
          <w:szCs w:val="22"/>
        </w:rPr>
        <w:t>,</w:t>
      </w:r>
      <w:r w:rsidR="00DF7AEF" w:rsidRPr="00B217A8">
        <w:rPr>
          <w:szCs w:val="22"/>
        </w:rPr>
        <w:t xml:space="preserve"> </w:t>
      </w:r>
      <w:r w:rsidR="00F20725">
        <w:rPr>
          <w:szCs w:val="22"/>
        </w:rPr>
        <w:t xml:space="preserve">and </w:t>
      </w:r>
      <w:r w:rsidR="00DF7AEF" w:rsidRPr="00B217A8">
        <w:rPr>
          <w:szCs w:val="22"/>
        </w:rPr>
        <w:t>(</w:t>
      </w:r>
      <w:r w:rsidR="00DF7AEF">
        <w:rPr>
          <w:szCs w:val="22"/>
        </w:rPr>
        <w:t>2</w:t>
      </w:r>
      <w:r w:rsidR="00DF7AEF" w:rsidRPr="00B217A8">
        <w:rPr>
          <w:szCs w:val="22"/>
        </w:rPr>
        <w:t xml:space="preserve">) </w:t>
      </w:r>
      <w:r w:rsidR="00D24406" w:rsidRPr="00B217A8">
        <w:rPr>
          <w:szCs w:val="22"/>
        </w:rPr>
        <w:t>grantee responses to a program office inquiry regardin</w:t>
      </w:r>
      <w:r w:rsidRPr="00B217A8">
        <w:rPr>
          <w:szCs w:val="22"/>
        </w:rPr>
        <w:t>g employer contact information</w:t>
      </w:r>
      <w:r w:rsidR="00D24406" w:rsidRPr="00B217A8">
        <w:rPr>
          <w:szCs w:val="22"/>
        </w:rPr>
        <w:t xml:space="preserve">. More information on each data source is </w:t>
      </w:r>
      <w:r w:rsidRPr="00B217A8">
        <w:rPr>
          <w:szCs w:val="22"/>
        </w:rPr>
        <w:t>provided</w:t>
      </w:r>
      <w:r w:rsidR="00D24406" w:rsidRPr="00B217A8">
        <w:rPr>
          <w:szCs w:val="22"/>
        </w:rPr>
        <w:t xml:space="preserve"> below</w:t>
      </w:r>
      <w:r w:rsidRPr="00B217A8">
        <w:rPr>
          <w:szCs w:val="22"/>
        </w:rPr>
        <w:t>.</w:t>
      </w:r>
    </w:p>
    <w:p w14:paraId="30DA99EE" w14:textId="2DB258FD" w:rsidR="00D24406" w:rsidRPr="00B217A8" w:rsidRDefault="00D24406" w:rsidP="00D24406">
      <w:pPr>
        <w:pStyle w:val="BodyText"/>
        <w:numPr>
          <w:ilvl w:val="0"/>
          <w:numId w:val="6"/>
        </w:numPr>
        <w:spacing w:after="120"/>
        <w:rPr>
          <w:szCs w:val="22"/>
        </w:rPr>
      </w:pPr>
      <w:r w:rsidRPr="00BF1DF7">
        <w:rPr>
          <w:b/>
          <w:szCs w:val="22"/>
        </w:rPr>
        <w:t>Quarterly Performance Results (QPR) system</w:t>
      </w:r>
      <w:r w:rsidR="005F22D3" w:rsidRPr="00B217A8">
        <w:rPr>
          <w:szCs w:val="22"/>
        </w:rPr>
        <w:t xml:space="preserve">. </w:t>
      </w:r>
      <w:r w:rsidR="003B60B1" w:rsidRPr="00B217A8">
        <w:rPr>
          <w:szCs w:val="22"/>
        </w:rPr>
        <w:t>The QPR is DOL’s performance reporting system for the AAI grant</w:t>
      </w:r>
      <w:r w:rsidR="00E96879">
        <w:rPr>
          <w:szCs w:val="22"/>
        </w:rPr>
        <w:t xml:space="preserve"> initiative</w:t>
      </w:r>
      <w:r w:rsidR="003B60B1" w:rsidRPr="00B217A8">
        <w:rPr>
          <w:szCs w:val="22"/>
        </w:rPr>
        <w:t xml:space="preserve">. </w:t>
      </w:r>
      <w:r w:rsidR="005F22D3" w:rsidRPr="00B217A8">
        <w:rPr>
          <w:szCs w:val="22"/>
        </w:rPr>
        <w:t>Th</w:t>
      </w:r>
      <w:r w:rsidRPr="00B217A8">
        <w:rPr>
          <w:szCs w:val="22"/>
        </w:rPr>
        <w:t>rough the Q</w:t>
      </w:r>
      <w:r w:rsidR="003B60B1" w:rsidRPr="00B217A8">
        <w:rPr>
          <w:szCs w:val="22"/>
        </w:rPr>
        <w:t xml:space="preserve">PR, AAI grantees record </w:t>
      </w:r>
      <w:r w:rsidRPr="00B217A8">
        <w:rPr>
          <w:szCs w:val="22"/>
        </w:rPr>
        <w:t xml:space="preserve">information on all registered apprentices and pre-apprentices. </w:t>
      </w:r>
      <w:r w:rsidR="003B60B1" w:rsidRPr="00B217A8">
        <w:rPr>
          <w:szCs w:val="22"/>
        </w:rPr>
        <w:t>In addition, grantees report</w:t>
      </w:r>
      <w:r w:rsidRPr="00B217A8">
        <w:rPr>
          <w:szCs w:val="22"/>
        </w:rPr>
        <w:t xml:space="preserve"> </w:t>
      </w:r>
      <w:r w:rsidR="005F22D3" w:rsidRPr="00B217A8">
        <w:rPr>
          <w:szCs w:val="22"/>
        </w:rPr>
        <w:t xml:space="preserve">the name and </w:t>
      </w:r>
      <w:r w:rsidR="003B60B1" w:rsidRPr="00B217A8">
        <w:rPr>
          <w:szCs w:val="22"/>
        </w:rPr>
        <w:t xml:space="preserve">location of </w:t>
      </w:r>
      <w:r w:rsidR="005F22D3" w:rsidRPr="00B217A8">
        <w:rPr>
          <w:szCs w:val="22"/>
        </w:rPr>
        <w:t xml:space="preserve">employers </w:t>
      </w:r>
      <w:r w:rsidRPr="00B217A8">
        <w:rPr>
          <w:szCs w:val="22"/>
        </w:rPr>
        <w:t xml:space="preserve">who hire apprentices in AAI-sponsored programs. </w:t>
      </w:r>
      <w:r w:rsidR="003B60B1" w:rsidRPr="00B217A8">
        <w:rPr>
          <w:szCs w:val="22"/>
        </w:rPr>
        <w:t xml:space="preserve">The </w:t>
      </w:r>
      <w:r w:rsidR="00E96879">
        <w:rPr>
          <w:szCs w:val="22"/>
        </w:rPr>
        <w:t>evaluator</w:t>
      </w:r>
      <w:r w:rsidR="003B60B1" w:rsidRPr="00B217A8">
        <w:rPr>
          <w:szCs w:val="22"/>
        </w:rPr>
        <w:t xml:space="preserve"> will use the list of </w:t>
      </w:r>
      <w:r w:rsidR="003B60B1" w:rsidRPr="00B217A8">
        <w:rPr>
          <w:szCs w:val="22"/>
        </w:rPr>
        <w:lastRenderedPageBreak/>
        <w:t xml:space="preserve">AAI employers as the </w:t>
      </w:r>
      <w:r w:rsidR="008A70BB" w:rsidRPr="00B217A8">
        <w:rPr>
          <w:szCs w:val="22"/>
        </w:rPr>
        <w:t>population</w:t>
      </w:r>
      <w:r w:rsidR="003B60B1" w:rsidRPr="00B217A8">
        <w:rPr>
          <w:szCs w:val="22"/>
        </w:rPr>
        <w:t xml:space="preserve"> universe for the </w:t>
      </w:r>
      <w:r w:rsidR="00A23BB1">
        <w:rPr>
          <w:szCs w:val="22"/>
        </w:rPr>
        <w:t>E</w:t>
      </w:r>
      <w:r w:rsidR="00A23BB1" w:rsidRPr="00B217A8">
        <w:rPr>
          <w:szCs w:val="22"/>
        </w:rPr>
        <w:t xml:space="preserve">mployer </w:t>
      </w:r>
      <w:r w:rsidR="00A23BB1">
        <w:rPr>
          <w:szCs w:val="22"/>
        </w:rPr>
        <w:t>S</w:t>
      </w:r>
      <w:r w:rsidR="00A23BB1" w:rsidRPr="00B217A8">
        <w:rPr>
          <w:szCs w:val="22"/>
        </w:rPr>
        <w:t>urvey</w:t>
      </w:r>
      <w:r w:rsidR="003B60B1" w:rsidRPr="00B217A8">
        <w:rPr>
          <w:szCs w:val="22"/>
        </w:rPr>
        <w:t>. However, while the QPR does contain the name and location of AAI employer</w:t>
      </w:r>
      <w:r w:rsidR="006037BB">
        <w:rPr>
          <w:szCs w:val="22"/>
        </w:rPr>
        <w:t>s</w:t>
      </w:r>
      <w:r w:rsidR="003B60B1" w:rsidRPr="00B217A8">
        <w:rPr>
          <w:szCs w:val="22"/>
        </w:rPr>
        <w:t xml:space="preserve">, it does not include a contact person name or </w:t>
      </w:r>
      <w:r w:rsidR="00E96879">
        <w:rPr>
          <w:szCs w:val="22"/>
        </w:rPr>
        <w:t>phone number</w:t>
      </w:r>
      <w:r w:rsidRPr="00B217A8">
        <w:rPr>
          <w:szCs w:val="22"/>
        </w:rPr>
        <w:t>.</w:t>
      </w:r>
      <w:r w:rsidR="003B60B1" w:rsidRPr="00B217A8">
        <w:rPr>
          <w:szCs w:val="22"/>
        </w:rPr>
        <w:t xml:space="preserve"> Therefore, the </w:t>
      </w:r>
      <w:r w:rsidR="00E96879">
        <w:rPr>
          <w:szCs w:val="22"/>
        </w:rPr>
        <w:t xml:space="preserve">evaluator </w:t>
      </w:r>
      <w:r w:rsidR="003B60B1" w:rsidRPr="00B217A8">
        <w:rPr>
          <w:szCs w:val="22"/>
        </w:rPr>
        <w:t>will use alternate sources for obtaining the contact information necessary to field the survey.</w:t>
      </w:r>
    </w:p>
    <w:p w14:paraId="14381889" w14:textId="5D94ADE1" w:rsidR="00D24406" w:rsidRPr="00B217A8" w:rsidRDefault="00D24406" w:rsidP="00BF1DF7">
      <w:pPr>
        <w:pStyle w:val="BodyText"/>
        <w:numPr>
          <w:ilvl w:val="0"/>
          <w:numId w:val="6"/>
        </w:numPr>
        <w:spacing w:after="200"/>
        <w:rPr>
          <w:szCs w:val="22"/>
        </w:rPr>
      </w:pPr>
      <w:r w:rsidRPr="00BF1DF7">
        <w:rPr>
          <w:b/>
          <w:szCs w:val="22"/>
        </w:rPr>
        <w:t>Program Office Inquiry</w:t>
      </w:r>
      <w:r w:rsidR="00BF1DF7">
        <w:rPr>
          <w:szCs w:val="22"/>
        </w:rPr>
        <w:t>.</w:t>
      </w:r>
      <w:r w:rsidR="00BF2B0D">
        <w:rPr>
          <w:szCs w:val="22"/>
        </w:rPr>
        <w:t xml:space="preserve"> T</w:t>
      </w:r>
      <w:r w:rsidRPr="00B217A8">
        <w:rPr>
          <w:szCs w:val="22"/>
        </w:rPr>
        <w:t xml:space="preserve">he </w:t>
      </w:r>
      <w:r w:rsidR="00E96879">
        <w:rPr>
          <w:szCs w:val="22"/>
        </w:rPr>
        <w:t xml:space="preserve">evaluator </w:t>
      </w:r>
      <w:r w:rsidRPr="00B217A8">
        <w:rPr>
          <w:szCs w:val="22"/>
        </w:rPr>
        <w:t xml:space="preserve">will work </w:t>
      </w:r>
      <w:r w:rsidR="003B60B1" w:rsidRPr="00B217A8">
        <w:rPr>
          <w:szCs w:val="22"/>
        </w:rPr>
        <w:t xml:space="preserve">directly with the DOL </w:t>
      </w:r>
      <w:r w:rsidRPr="00B217A8">
        <w:rPr>
          <w:szCs w:val="22"/>
        </w:rPr>
        <w:t>Office of Apprenticeship to obtain a point of contact at each AAI-affiliated employer</w:t>
      </w:r>
      <w:r w:rsidR="0035099B">
        <w:rPr>
          <w:szCs w:val="22"/>
        </w:rPr>
        <w:t xml:space="preserve"> as well as </w:t>
      </w:r>
      <w:r w:rsidRPr="00B217A8">
        <w:rPr>
          <w:szCs w:val="22"/>
        </w:rPr>
        <w:t>this person’s email address</w:t>
      </w:r>
      <w:r w:rsidR="0035099B">
        <w:rPr>
          <w:szCs w:val="22"/>
        </w:rPr>
        <w:t xml:space="preserve"> and </w:t>
      </w:r>
      <w:r w:rsidRPr="00B217A8">
        <w:rPr>
          <w:szCs w:val="22"/>
        </w:rPr>
        <w:t xml:space="preserve">phone number. </w:t>
      </w:r>
      <w:r w:rsidR="0035099B">
        <w:rPr>
          <w:szCs w:val="22"/>
        </w:rPr>
        <w:t xml:space="preserve">To facilitate this process, the </w:t>
      </w:r>
      <w:r w:rsidR="00E96879">
        <w:rPr>
          <w:szCs w:val="22"/>
        </w:rPr>
        <w:t>evaluator</w:t>
      </w:r>
      <w:r w:rsidRPr="00B217A8">
        <w:rPr>
          <w:szCs w:val="22"/>
        </w:rPr>
        <w:t xml:space="preserve"> will create templates that list the names of all employers associated with each AAI grantee </w:t>
      </w:r>
      <w:r w:rsidR="0035099B">
        <w:rPr>
          <w:szCs w:val="22"/>
        </w:rPr>
        <w:t xml:space="preserve">for </w:t>
      </w:r>
      <w:r w:rsidRPr="00B217A8">
        <w:rPr>
          <w:szCs w:val="22"/>
        </w:rPr>
        <w:t xml:space="preserve">grantees to fill </w:t>
      </w:r>
      <w:r w:rsidR="0035099B">
        <w:rPr>
          <w:szCs w:val="22"/>
        </w:rPr>
        <w:t>out</w:t>
      </w:r>
      <w:r w:rsidRPr="00B217A8">
        <w:rPr>
          <w:szCs w:val="22"/>
        </w:rPr>
        <w:t xml:space="preserve">. The Office of Apprenticeship will send these customized templates to each grantee as a part of a regular program inquiry and will share the completed templates with the </w:t>
      </w:r>
      <w:r w:rsidR="00E96879">
        <w:rPr>
          <w:szCs w:val="22"/>
        </w:rPr>
        <w:t>evaluator</w:t>
      </w:r>
      <w:r w:rsidRPr="00B217A8">
        <w:rPr>
          <w:szCs w:val="22"/>
        </w:rPr>
        <w:t xml:space="preserve"> using a secure transfer website.</w:t>
      </w:r>
    </w:p>
    <w:p w14:paraId="19C9C5BD" w14:textId="1D4F7539" w:rsidR="001E6451" w:rsidRPr="00B217A8" w:rsidRDefault="00A16139" w:rsidP="00AA1FC4">
      <w:pPr>
        <w:pStyle w:val="BodyText"/>
        <w:rPr>
          <w:szCs w:val="22"/>
        </w:rPr>
      </w:pPr>
      <w:r>
        <w:t xml:space="preserve">The </w:t>
      </w:r>
      <w:r w:rsidR="003B37A4">
        <w:t xml:space="preserve">evaluator </w:t>
      </w:r>
      <w:r>
        <w:t xml:space="preserve">will </w:t>
      </w:r>
      <w:r w:rsidR="003B37A4">
        <w:t xml:space="preserve">aim for </w:t>
      </w:r>
      <w:r>
        <w:t>as high of a response rate as possible</w:t>
      </w:r>
      <w:r w:rsidR="003B37A4">
        <w:t xml:space="preserve">, </w:t>
      </w:r>
      <w:r>
        <w:t>recogniz</w:t>
      </w:r>
      <w:r w:rsidR="003B37A4">
        <w:t>ing</w:t>
      </w:r>
      <w:r>
        <w:t xml:space="preserve"> </w:t>
      </w:r>
      <w:r w:rsidR="003B37A4">
        <w:t>that employers are not required to participate in data collection activities for the AAI evaluation</w:t>
      </w:r>
      <w:r>
        <w:t>.</w:t>
      </w:r>
      <w:r w:rsidR="009C03CF">
        <w:t xml:space="preserve"> </w:t>
      </w:r>
      <w:r w:rsidR="000D0943">
        <w:t>Based on feedback from other research teams, t</w:t>
      </w:r>
      <w:r w:rsidR="009C03CF">
        <w:t xml:space="preserve">he estimated response rate </w:t>
      </w:r>
      <w:r w:rsidR="00662E1F">
        <w:t>from employers</w:t>
      </w:r>
      <w:r w:rsidR="00051073">
        <w:t xml:space="preserve"> to the phone survey mode</w:t>
      </w:r>
      <w:r w:rsidR="00662E1F">
        <w:t xml:space="preserve"> </w:t>
      </w:r>
      <w:r w:rsidR="009C03CF">
        <w:t xml:space="preserve">is 80 percent. </w:t>
      </w:r>
      <w:r w:rsidR="000D0943">
        <w:t xml:space="preserve">Other </w:t>
      </w:r>
      <w:r w:rsidR="0015651E">
        <w:t xml:space="preserve">evaluators </w:t>
      </w:r>
      <w:r w:rsidR="000D0943">
        <w:t xml:space="preserve">who have </w:t>
      </w:r>
      <w:r w:rsidR="0015651E">
        <w:t xml:space="preserve">conducted phone </w:t>
      </w:r>
      <w:r w:rsidR="000D0943">
        <w:t>survey</w:t>
      </w:r>
      <w:r w:rsidR="0015651E">
        <w:t>s of</w:t>
      </w:r>
      <w:r w:rsidR="000D0943">
        <w:t xml:space="preserve"> employers using grantee contacts have suggested that employers are much more likely to respond to survey efforts when grantees, with whom they have a prior relationship, request their participation in survey efforts.</w:t>
      </w:r>
      <w:r w:rsidR="000D0943">
        <w:rPr>
          <w:rStyle w:val="FootnoteReference"/>
        </w:rPr>
        <w:footnoteReference w:id="1"/>
      </w:r>
      <w:r w:rsidR="000D0943">
        <w:t xml:space="preserve"> The </w:t>
      </w:r>
      <w:r w:rsidR="00E96879">
        <w:t>evaluator</w:t>
      </w:r>
      <w:r w:rsidR="000D0943">
        <w:t xml:space="preserve"> will work with grantees to effectively market the employer survey to employers, which may also improve the response rate to the phone survey. </w:t>
      </w:r>
    </w:p>
    <w:p w14:paraId="6CB3A00D" w14:textId="77777777" w:rsidR="00AA1FC4" w:rsidRPr="00B217A8" w:rsidRDefault="00046A3F" w:rsidP="00AA1FC4">
      <w:pPr>
        <w:pStyle w:val="BodyText"/>
        <w:rPr>
          <w:b/>
          <w:i/>
          <w:szCs w:val="22"/>
        </w:rPr>
      </w:pPr>
      <w:r>
        <w:rPr>
          <w:b/>
          <w:i/>
          <w:szCs w:val="22"/>
        </w:rPr>
        <w:t>Participant</w:t>
      </w:r>
      <w:r w:rsidR="00AA1FC4" w:rsidRPr="00B217A8">
        <w:rPr>
          <w:b/>
          <w:i/>
          <w:szCs w:val="22"/>
        </w:rPr>
        <w:t xml:space="preserve"> Survey</w:t>
      </w:r>
    </w:p>
    <w:p w14:paraId="420FFBFF" w14:textId="77777777" w:rsidR="00AA1FC4" w:rsidRPr="00B217A8" w:rsidRDefault="00AA1FC4" w:rsidP="00AA1FC4">
      <w:pPr>
        <w:pStyle w:val="BodyText"/>
        <w:rPr>
          <w:szCs w:val="22"/>
        </w:rPr>
      </w:pPr>
      <w:r w:rsidRPr="00B217A8">
        <w:rPr>
          <w:szCs w:val="22"/>
        </w:rPr>
        <w:t xml:space="preserve">The </w:t>
      </w:r>
      <w:r w:rsidR="00046A3F">
        <w:rPr>
          <w:szCs w:val="22"/>
        </w:rPr>
        <w:t>Participant</w:t>
      </w:r>
      <w:r w:rsidR="00794C9C" w:rsidRPr="00B217A8">
        <w:rPr>
          <w:szCs w:val="22"/>
        </w:rPr>
        <w:t xml:space="preserve"> </w:t>
      </w:r>
      <w:r w:rsidR="00794C9C">
        <w:rPr>
          <w:szCs w:val="22"/>
        </w:rPr>
        <w:t>S</w:t>
      </w:r>
      <w:r w:rsidR="00794C9C" w:rsidRPr="00B217A8">
        <w:rPr>
          <w:szCs w:val="22"/>
        </w:rPr>
        <w:t xml:space="preserve">urvey </w:t>
      </w:r>
      <w:r w:rsidRPr="00B217A8">
        <w:rPr>
          <w:szCs w:val="22"/>
        </w:rPr>
        <w:t xml:space="preserve">will gather information on the </w:t>
      </w:r>
      <w:r w:rsidR="00DF7AEF">
        <w:rPr>
          <w:szCs w:val="22"/>
        </w:rPr>
        <w:t xml:space="preserve">apprenticeship </w:t>
      </w:r>
      <w:r w:rsidRPr="00B217A8">
        <w:rPr>
          <w:szCs w:val="22"/>
        </w:rPr>
        <w:t xml:space="preserve">experiences directly from AAI </w:t>
      </w:r>
      <w:r w:rsidR="00DF7AEF">
        <w:rPr>
          <w:szCs w:val="22"/>
        </w:rPr>
        <w:t>apprentices</w:t>
      </w:r>
      <w:r w:rsidRPr="00B217A8">
        <w:rPr>
          <w:szCs w:val="22"/>
        </w:rPr>
        <w:t xml:space="preserve">. The </w:t>
      </w:r>
      <w:r w:rsidR="00C114FA">
        <w:rPr>
          <w:szCs w:val="22"/>
        </w:rPr>
        <w:t xml:space="preserve">survey </w:t>
      </w:r>
      <w:r w:rsidRPr="00B217A8">
        <w:rPr>
          <w:szCs w:val="22"/>
        </w:rPr>
        <w:t xml:space="preserve">is critical for </w:t>
      </w:r>
      <w:r w:rsidR="00046A3F">
        <w:rPr>
          <w:szCs w:val="22"/>
        </w:rPr>
        <w:t xml:space="preserve">obtaining information </w:t>
      </w:r>
      <w:r w:rsidR="00C114FA">
        <w:rPr>
          <w:szCs w:val="22"/>
        </w:rPr>
        <w:t xml:space="preserve">about apprentices </w:t>
      </w:r>
      <w:r w:rsidR="00046A3F">
        <w:rPr>
          <w:szCs w:val="22"/>
        </w:rPr>
        <w:t xml:space="preserve">that is </w:t>
      </w:r>
      <w:r w:rsidR="00DF7AEF">
        <w:rPr>
          <w:szCs w:val="22"/>
        </w:rPr>
        <w:t xml:space="preserve">not </w:t>
      </w:r>
      <w:r w:rsidR="00046A3F">
        <w:rPr>
          <w:szCs w:val="22"/>
        </w:rPr>
        <w:t xml:space="preserve">available </w:t>
      </w:r>
      <w:r w:rsidR="00D130BC">
        <w:rPr>
          <w:szCs w:val="22"/>
        </w:rPr>
        <w:t>elsewhere, including</w:t>
      </w:r>
      <w:r w:rsidR="00C114FA">
        <w:rPr>
          <w:szCs w:val="22"/>
        </w:rPr>
        <w:t>:</w:t>
      </w:r>
      <w:r w:rsidR="00D130BC">
        <w:rPr>
          <w:szCs w:val="22"/>
        </w:rPr>
        <w:t xml:space="preserve"> (1) </w:t>
      </w:r>
      <w:r w:rsidR="00C114FA">
        <w:rPr>
          <w:szCs w:val="22"/>
        </w:rPr>
        <w:t xml:space="preserve">their </w:t>
      </w:r>
      <w:r w:rsidR="00D130BC">
        <w:rPr>
          <w:szCs w:val="22"/>
        </w:rPr>
        <w:t xml:space="preserve">backgrounds prior to beginning their apprenticeships, (2) specific types of training </w:t>
      </w:r>
      <w:r w:rsidR="00C114FA">
        <w:rPr>
          <w:szCs w:val="22"/>
        </w:rPr>
        <w:t xml:space="preserve">received </w:t>
      </w:r>
      <w:r w:rsidR="00D130BC">
        <w:rPr>
          <w:szCs w:val="22"/>
        </w:rPr>
        <w:t xml:space="preserve">and </w:t>
      </w:r>
      <w:r w:rsidR="00C114FA">
        <w:rPr>
          <w:szCs w:val="22"/>
        </w:rPr>
        <w:t xml:space="preserve">other in-program </w:t>
      </w:r>
      <w:r w:rsidR="00D130BC">
        <w:rPr>
          <w:szCs w:val="22"/>
        </w:rPr>
        <w:t>experience</w:t>
      </w:r>
      <w:r w:rsidR="00C114FA">
        <w:rPr>
          <w:szCs w:val="22"/>
        </w:rPr>
        <w:t>s</w:t>
      </w:r>
      <w:r w:rsidR="00D130BC">
        <w:rPr>
          <w:szCs w:val="22"/>
        </w:rPr>
        <w:t xml:space="preserve">, (3) </w:t>
      </w:r>
      <w:r w:rsidRPr="00B217A8">
        <w:rPr>
          <w:szCs w:val="22"/>
        </w:rPr>
        <w:t>subjective assessments of the</w:t>
      </w:r>
      <w:r w:rsidR="00C114FA">
        <w:rPr>
          <w:szCs w:val="22"/>
        </w:rPr>
        <w:t xml:space="preserve">ir experiences such as </w:t>
      </w:r>
      <w:r w:rsidRPr="00B217A8">
        <w:rPr>
          <w:szCs w:val="22"/>
        </w:rPr>
        <w:t>the value of particular aspects of training or satisfaction with mentors</w:t>
      </w:r>
      <w:r w:rsidR="00D130BC">
        <w:rPr>
          <w:szCs w:val="22"/>
        </w:rPr>
        <w:t>, and (4)</w:t>
      </w:r>
      <w:r w:rsidRPr="00B217A8">
        <w:rPr>
          <w:szCs w:val="22"/>
        </w:rPr>
        <w:t xml:space="preserve"> </w:t>
      </w:r>
      <w:r w:rsidR="00C114FA">
        <w:rPr>
          <w:szCs w:val="22"/>
        </w:rPr>
        <w:t xml:space="preserve">their </w:t>
      </w:r>
      <w:r w:rsidRPr="00B217A8">
        <w:rPr>
          <w:szCs w:val="22"/>
        </w:rPr>
        <w:t>personal circumstances</w:t>
      </w:r>
      <w:r w:rsidR="00D130BC">
        <w:rPr>
          <w:szCs w:val="22"/>
        </w:rPr>
        <w:t xml:space="preserve"> and motivations</w:t>
      </w:r>
      <w:r w:rsidR="00C114FA">
        <w:rPr>
          <w:szCs w:val="22"/>
        </w:rPr>
        <w:t xml:space="preserve">, including </w:t>
      </w:r>
      <w:r w:rsidR="0035099B">
        <w:rPr>
          <w:szCs w:val="22"/>
        </w:rPr>
        <w:t xml:space="preserve">their </w:t>
      </w:r>
      <w:r w:rsidRPr="00B217A8">
        <w:rPr>
          <w:szCs w:val="22"/>
        </w:rPr>
        <w:t>reasons for not completing the apprenticeship program</w:t>
      </w:r>
      <w:r w:rsidR="0035099B">
        <w:rPr>
          <w:szCs w:val="22"/>
        </w:rPr>
        <w:t xml:space="preserve"> (if applicable)</w:t>
      </w:r>
      <w:r w:rsidRPr="00B217A8">
        <w:rPr>
          <w:szCs w:val="22"/>
        </w:rPr>
        <w:t>.</w:t>
      </w:r>
      <w:r w:rsidR="0006515E" w:rsidRPr="00B217A8">
        <w:rPr>
          <w:szCs w:val="22"/>
        </w:rPr>
        <w:t xml:space="preserve"> The </w:t>
      </w:r>
      <w:r w:rsidR="00C6279C">
        <w:rPr>
          <w:szCs w:val="22"/>
        </w:rPr>
        <w:t>Participant</w:t>
      </w:r>
      <w:r w:rsidR="00794C9C" w:rsidRPr="00B217A8">
        <w:rPr>
          <w:szCs w:val="22"/>
        </w:rPr>
        <w:t xml:space="preserve"> </w:t>
      </w:r>
      <w:r w:rsidR="00794C9C">
        <w:rPr>
          <w:szCs w:val="22"/>
        </w:rPr>
        <w:t>S</w:t>
      </w:r>
      <w:r w:rsidR="00794C9C" w:rsidRPr="00B217A8">
        <w:rPr>
          <w:szCs w:val="22"/>
        </w:rPr>
        <w:t xml:space="preserve">urvey </w:t>
      </w:r>
      <w:r w:rsidR="0006515E" w:rsidRPr="00B217A8">
        <w:rPr>
          <w:szCs w:val="22"/>
        </w:rPr>
        <w:t>will be conducted online and by phone</w:t>
      </w:r>
      <w:r w:rsidR="00A45143" w:rsidRPr="00B217A8">
        <w:rPr>
          <w:szCs w:val="22"/>
        </w:rPr>
        <w:t xml:space="preserve">, from </w:t>
      </w:r>
      <w:r w:rsidR="0035099B">
        <w:rPr>
          <w:szCs w:val="22"/>
        </w:rPr>
        <w:t>January 2020</w:t>
      </w:r>
      <w:r w:rsidR="00A45143" w:rsidRPr="00B217A8">
        <w:rPr>
          <w:szCs w:val="22"/>
        </w:rPr>
        <w:t xml:space="preserve"> through </w:t>
      </w:r>
      <w:r w:rsidR="000E1003">
        <w:rPr>
          <w:szCs w:val="22"/>
        </w:rPr>
        <w:t>June</w:t>
      </w:r>
      <w:r w:rsidR="000E1003" w:rsidRPr="00B217A8">
        <w:rPr>
          <w:szCs w:val="22"/>
        </w:rPr>
        <w:t xml:space="preserve"> </w:t>
      </w:r>
      <w:r w:rsidR="00A45143" w:rsidRPr="00B217A8">
        <w:rPr>
          <w:szCs w:val="22"/>
        </w:rPr>
        <w:t>2020</w:t>
      </w:r>
      <w:r w:rsidR="0006515E" w:rsidRPr="00B217A8">
        <w:rPr>
          <w:szCs w:val="22"/>
        </w:rPr>
        <w:t xml:space="preserve">. </w:t>
      </w:r>
    </w:p>
    <w:p w14:paraId="7A43476A" w14:textId="77777777" w:rsidR="008A70BB" w:rsidRPr="00B217A8" w:rsidRDefault="0089174D" w:rsidP="008A70BB">
      <w:pPr>
        <w:pStyle w:val="BodyText"/>
        <w:rPr>
          <w:szCs w:val="22"/>
        </w:rPr>
      </w:pPr>
      <w:r>
        <w:rPr>
          <w:szCs w:val="22"/>
        </w:rPr>
        <w:t>The population frame is the set of all AAI apprentices (approximately 14,000 as of</w:t>
      </w:r>
      <w:r w:rsidR="00FE20DD">
        <w:rPr>
          <w:szCs w:val="22"/>
        </w:rPr>
        <w:t xml:space="preserve"> early</w:t>
      </w:r>
      <w:r>
        <w:rPr>
          <w:szCs w:val="22"/>
        </w:rPr>
        <w:t xml:space="preserve"> December 2018). </w:t>
      </w:r>
      <w:r w:rsidR="00AA1FC4" w:rsidRPr="00B217A8">
        <w:rPr>
          <w:szCs w:val="22"/>
        </w:rPr>
        <w:t xml:space="preserve">The </w:t>
      </w:r>
      <w:r w:rsidR="00B13DF8">
        <w:rPr>
          <w:szCs w:val="22"/>
        </w:rPr>
        <w:t>Participant</w:t>
      </w:r>
      <w:r w:rsidR="00A23BB1" w:rsidRPr="00B217A8">
        <w:rPr>
          <w:szCs w:val="22"/>
        </w:rPr>
        <w:t xml:space="preserve"> </w:t>
      </w:r>
      <w:r w:rsidR="00A23BB1">
        <w:rPr>
          <w:szCs w:val="22"/>
        </w:rPr>
        <w:t>S</w:t>
      </w:r>
      <w:r w:rsidR="00A23BB1" w:rsidRPr="00B217A8">
        <w:rPr>
          <w:szCs w:val="22"/>
        </w:rPr>
        <w:t xml:space="preserve">urvey </w:t>
      </w:r>
      <w:r w:rsidR="00B13DF8">
        <w:rPr>
          <w:szCs w:val="22"/>
        </w:rPr>
        <w:t xml:space="preserve">sample </w:t>
      </w:r>
      <w:r w:rsidR="00C114FA">
        <w:rPr>
          <w:szCs w:val="22"/>
        </w:rPr>
        <w:t>will be</w:t>
      </w:r>
      <w:r w:rsidR="00B13DF8">
        <w:rPr>
          <w:szCs w:val="22"/>
        </w:rPr>
        <w:t xml:space="preserve"> 2,500 apprentices. </w:t>
      </w:r>
      <w:r w:rsidR="008A70BB" w:rsidRPr="00B217A8">
        <w:rPr>
          <w:szCs w:val="22"/>
        </w:rPr>
        <w:t xml:space="preserve">To be </w:t>
      </w:r>
      <w:r w:rsidR="00C114FA">
        <w:rPr>
          <w:szCs w:val="22"/>
        </w:rPr>
        <w:t>included in the sample</w:t>
      </w:r>
      <w:r w:rsidR="008A70BB" w:rsidRPr="00B217A8">
        <w:rPr>
          <w:szCs w:val="22"/>
        </w:rPr>
        <w:t>, apprentices must meet the following criteria:</w:t>
      </w:r>
    </w:p>
    <w:p w14:paraId="0217AF4A" w14:textId="77777777" w:rsidR="008A70BB" w:rsidRPr="00B217A8" w:rsidRDefault="008A70BB" w:rsidP="00A45143">
      <w:pPr>
        <w:pStyle w:val="BodyText"/>
        <w:numPr>
          <w:ilvl w:val="0"/>
          <w:numId w:val="7"/>
        </w:numPr>
        <w:rPr>
          <w:szCs w:val="22"/>
        </w:rPr>
      </w:pPr>
      <w:r w:rsidRPr="00B217A8">
        <w:rPr>
          <w:szCs w:val="22"/>
        </w:rPr>
        <w:t xml:space="preserve">Started their apprenticeship by December 2018. The survey focuses heavily on experiences </w:t>
      </w:r>
      <w:r w:rsidR="00DF7AEF">
        <w:rPr>
          <w:szCs w:val="22"/>
        </w:rPr>
        <w:t>throughout different points of</w:t>
      </w:r>
      <w:r w:rsidR="00DF7AEF" w:rsidRPr="00B217A8">
        <w:rPr>
          <w:szCs w:val="22"/>
        </w:rPr>
        <w:t xml:space="preserve"> </w:t>
      </w:r>
      <w:r w:rsidRPr="00B217A8">
        <w:rPr>
          <w:szCs w:val="22"/>
        </w:rPr>
        <w:t xml:space="preserve">the apprenticeship, so it is important that apprentices have participated for long enough to be able to provide meaningful answers to most or all of the questions.   </w:t>
      </w:r>
    </w:p>
    <w:p w14:paraId="61AC4E12" w14:textId="77777777" w:rsidR="008A70BB" w:rsidRPr="00B217A8" w:rsidRDefault="003731D0" w:rsidP="00A45143">
      <w:pPr>
        <w:pStyle w:val="BodyText"/>
        <w:numPr>
          <w:ilvl w:val="0"/>
          <w:numId w:val="7"/>
        </w:numPr>
        <w:rPr>
          <w:szCs w:val="22"/>
        </w:rPr>
      </w:pPr>
      <w:r>
        <w:rPr>
          <w:szCs w:val="22"/>
        </w:rPr>
        <w:t>Have</w:t>
      </w:r>
      <w:r w:rsidR="008A70BB" w:rsidRPr="00B217A8">
        <w:rPr>
          <w:szCs w:val="22"/>
        </w:rPr>
        <w:t xml:space="preserve"> a </w:t>
      </w:r>
      <w:r w:rsidR="00D130BC">
        <w:rPr>
          <w:szCs w:val="22"/>
        </w:rPr>
        <w:t>Social Security Number (</w:t>
      </w:r>
      <w:r w:rsidR="008A70BB" w:rsidRPr="00B217A8">
        <w:rPr>
          <w:szCs w:val="22"/>
        </w:rPr>
        <w:t>SSN</w:t>
      </w:r>
      <w:r w:rsidR="00D130BC">
        <w:rPr>
          <w:szCs w:val="22"/>
        </w:rPr>
        <w:t>)</w:t>
      </w:r>
      <w:r w:rsidR="008A70BB" w:rsidRPr="00B217A8">
        <w:rPr>
          <w:szCs w:val="22"/>
        </w:rPr>
        <w:t xml:space="preserve"> in the QPR. It is important to be able to analyze relationships between information gathered in the survey and employment and earnings </w:t>
      </w:r>
      <w:r w:rsidR="00D130BC">
        <w:rPr>
          <w:szCs w:val="22"/>
        </w:rPr>
        <w:t xml:space="preserve">outcomes </w:t>
      </w:r>
      <w:r w:rsidR="008A70BB" w:rsidRPr="00B217A8">
        <w:rPr>
          <w:szCs w:val="22"/>
        </w:rPr>
        <w:lastRenderedPageBreak/>
        <w:t xml:space="preserve">reported in </w:t>
      </w:r>
      <w:r w:rsidR="00C114FA">
        <w:rPr>
          <w:szCs w:val="22"/>
        </w:rPr>
        <w:t>National Directory of New Hires</w:t>
      </w:r>
      <w:r w:rsidR="001E485D">
        <w:rPr>
          <w:rStyle w:val="FootnoteReference"/>
          <w:szCs w:val="22"/>
        </w:rPr>
        <w:footnoteReference w:id="2"/>
      </w:r>
      <w:r w:rsidR="008A70BB" w:rsidRPr="00B217A8">
        <w:rPr>
          <w:szCs w:val="22"/>
        </w:rPr>
        <w:t xml:space="preserve">, which is only possible for individuals for which the study has </w:t>
      </w:r>
      <w:r w:rsidR="00DF7AEF">
        <w:rPr>
          <w:szCs w:val="22"/>
        </w:rPr>
        <w:t xml:space="preserve">an </w:t>
      </w:r>
      <w:r w:rsidR="008A70BB" w:rsidRPr="00B217A8">
        <w:rPr>
          <w:szCs w:val="22"/>
        </w:rPr>
        <w:t>SSN.</w:t>
      </w:r>
    </w:p>
    <w:p w14:paraId="2A3BFE7B" w14:textId="77777777" w:rsidR="00A9517F" w:rsidRDefault="003731D0" w:rsidP="00DA4EC4">
      <w:pPr>
        <w:pStyle w:val="BodyText"/>
        <w:numPr>
          <w:ilvl w:val="0"/>
          <w:numId w:val="7"/>
        </w:numPr>
        <w:rPr>
          <w:szCs w:val="22"/>
        </w:rPr>
      </w:pPr>
      <w:r>
        <w:rPr>
          <w:szCs w:val="22"/>
        </w:rPr>
        <w:t>Have</w:t>
      </w:r>
      <w:r w:rsidR="008A70BB" w:rsidRPr="00B217A8">
        <w:rPr>
          <w:szCs w:val="22"/>
        </w:rPr>
        <w:t xml:space="preserve"> a </w:t>
      </w:r>
      <w:r w:rsidR="00C114FA">
        <w:rPr>
          <w:szCs w:val="22"/>
        </w:rPr>
        <w:t xml:space="preserve">mailing </w:t>
      </w:r>
      <w:r w:rsidR="008A70BB" w:rsidRPr="00B217A8">
        <w:rPr>
          <w:szCs w:val="22"/>
        </w:rPr>
        <w:t>address, email address, and phone number</w:t>
      </w:r>
      <w:r w:rsidR="00A9517F">
        <w:rPr>
          <w:szCs w:val="22"/>
        </w:rPr>
        <w:t>, obtained either from the</w:t>
      </w:r>
      <w:r w:rsidR="00C114FA">
        <w:rPr>
          <w:szCs w:val="22"/>
        </w:rPr>
        <w:t xml:space="preserve"> QPR </w:t>
      </w:r>
      <w:r w:rsidR="00A9517F">
        <w:rPr>
          <w:szCs w:val="22"/>
        </w:rPr>
        <w:t xml:space="preserve">or through matching name and SSN with a commercial </w:t>
      </w:r>
      <w:r w:rsidR="001E485D">
        <w:rPr>
          <w:szCs w:val="22"/>
        </w:rPr>
        <w:t xml:space="preserve">locating service such as </w:t>
      </w:r>
      <w:r w:rsidR="00DA4EC4" w:rsidRPr="00DA4EC4">
        <w:rPr>
          <w:szCs w:val="22"/>
        </w:rPr>
        <w:t>v12data</w:t>
      </w:r>
      <w:r w:rsidR="008A70BB" w:rsidRPr="00B217A8">
        <w:rPr>
          <w:szCs w:val="22"/>
        </w:rPr>
        <w:t xml:space="preserve">. </w:t>
      </w:r>
    </w:p>
    <w:p w14:paraId="5A9E7B6A" w14:textId="77777777" w:rsidR="00A45143" w:rsidRPr="00B217A8" w:rsidRDefault="00C114FA" w:rsidP="00A9517F">
      <w:pPr>
        <w:pStyle w:val="BodyText"/>
        <w:rPr>
          <w:szCs w:val="22"/>
        </w:rPr>
      </w:pPr>
      <w:r>
        <w:rPr>
          <w:szCs w:val="22"/>
        </w:rPr>
        <w:t>T</w:t>
      </w:r>
      <w:r w:rsidR="008A70BB" w:rsidRPr="00B217A8">
        <w:rPr>
          <w:szCs w:val="22"/>
        </w:rPr>
        <w:t xml:space="preserve">he </w:t>
      </w:r>
      <w:r>
        <w:rPr>
          <w:szCs w:val="22"/>
        </w:rPr>
        <w:t xml:space="preserve">evaluator </w:t>
      </w:r>
      <w:r w:rsidR="008A70BB" w:rsidRPr="00B217A8">
        <w:rPr>
          <w:szCs w:val="22"/>
        </w:rPr>
        <w:t xml:space="preserve">will first send an advance letter notifying participants that they </w:t>
      </w:r>
      <w:r>
        <w:rPr>
          <w:szCs w:val="22"/>
        </w:rPr>
        <w:t>were</w:t>
      </w:r>
      <w:r w:rsidR="008A70BB" w:rsidRPr="00B217A8">
        <w:rPr>
          <w:szCs w:val="22"/>
        </w:rPr>
        <w:t xml:space="preserve"> selected for the survey</w:t>
      </w:r>
      <w:r>
        <w:rPr>
          <w:szCs w:val="22"/>
        </w:rPr>
        <w:t xml:space="preserve"> and will </w:t>
      </w:r>
      <w:r w:rsidR="008A70BB" w:rsidRPr="00B217A8">
        <w:rPr>
          <w:szCs w:val="22"/>
        </w:rPr>
        <w:t xml:space="preserve">then attempt </w:t>
      </w:r>
      <w:r w:rsidR="00A95C3D">
        <w:rPr>
          <w:szCs w:val="22"/>
        </w:rPr>
        <w:t xml:space="preserve">to administer the survey </w:t>
      </w:r>
      <w:r>
        <w:rPr>
          <w:szCs w:val="22"/>
        </w:rPr>
        <w:t xml:space="preserve">via </w:t>
      </w:r>
      <w:r w:rsidR="00A95C3D">
        <w:rPr>
          <w:szCs w:val="22"/>
        </w:rPr>
        <w:t>web</w:t>
      </w:r>
      <w:r>
        <w:rPr>
          <w:szCs w:val="22"/>
        </w:rPr>
        <w:t>. The evaluator will follow-up by phone with participants who do not respond to the web survey</w:t>
      </w:r>
      <w:r w:rsidR="008A70BB" w:rsidRPr="00B217A8">
        <w:rPr>
          <w:szCs w:val="22"/>
        </w:rPr>
        <w:t xml:space="preserve">. If that locating attempt is successful, the apprentice will be included in the sampling frame.   </w:t>
      </w:r>
    </w:p>
    <w:p w14:paraId="0CF17D55" w14:textId="77777777" w:rsidR="00A45143" w:rsidRPr="00B217A8" w:rsidRDefault="00A45143" w:rsidP="00A45143">
      <w:pPr>
        <w:pStyle w:val="BodyText"/>
        <w:rPr>
          <w:szCs w:val="22"/>
        </w:rPr>
      </w:pPr>
      <w:r w:rsidRPr="00B217A8">
        <w:rPr>
          <w:szCs w:val="22"/>
        </w:rPr>
        <w:t xml:space="preserve">As of </w:t>
      </w:r>
      <w:r w:rsidR="00FE20DD">
        <w:rPr>
          <w:szCs w:val="22"/>
        </w:rPr>
        <w:t>early December</w:t>
      </w:r>
      <w:r w:rsidR="00FE20DD" w:rsidRPr="00B217A8">
        <w:rPr>
          <w:szCs w:val="22"/>
        </w:rPr>
        <w:t xml:space="preserve"> </w:t>
      </w:r>
      <w:r w:rsidRPr="00B217A8">
        <w:rPr>
          <w:szCs w:val="22"/>
        </w:rPr>
        <w:t xml:space="preserve">2018, there were approximately </w:t>
      </w:r>
      <w:r w:rsidR="00FE20DD">
        <w:rPr>
          <w:szCs w:val="22"/>
        </w:rPr>
        <w:t>6,700</w:t>
      </w:r>
      <w:r w:rsidRPr="00B217A8">
        <w:rPr>
          <w:szCs w:val="22"/>
        </w:rPr>
        <w:t xml:space="preserve"> apprentices who met these three criteria, comprising the universe of eligible respondents. This universe will increase by </w:t>
      </w:r>
      <w:r w:rsidR="00FE20DD">
        <w:rPr>
          <w:szCs w:val="22"/>
        </w:rPr>
        <w:t xml:space="preserve">the end of </w:t>
      </w:r>
      <w:r w:rsidRPr="00B217A8">
        <w:rPr>
          <w:szCs w:val="22"/>
        </w:rPr>
        <w:t xml:space="preserve">2018 as </w:t>
      </w:r>
      <w:r w:rsidR="00D130BC">
        <w:rPr>
          <w:szCs w:val="22"/>
        </w:rPr>
        <w:t xml:space="preserve">(1) </w:t>
      </w:r>
      <w:r w:rsidRPr="00B217A8">
        <w:rPr>
          <w:szCs w:val="22"/>
        </w:rPr>
        <w:t>more apprentices are enrolled by the grant</w:t>
      </w:r>
      <w:r w:rsidR="0035099B">
        <w:rPr>
          <w:szCs w:val="22"/>
        </w:rPr>
        <w:t>ees</w:t>
      </w:r>
      <w:r w:rsidR="00D130BC">
        <w:rPr>
          <w:szCs w:val="22"/>
        </w:rPr>
        <w:t xml:space="preserve"> and (2) missing contact information is obtained for some apprentices through commercial locating</w:t>
      </w:r>
      <w:r w:rsidRPr="00B217A8">
        <w:rPr>
          <w:szCs w:val="22"/>
        </w:rPr>
        <w:t xml:space="preserve">. </w:t>
      </w:r>
    </w:p>
    <w:p w14:paraId="2761E7F8" w14:textId="77777777" w:rsidR="00A45143" w:rsidRPr="00B217A8" w:rsidRDefault="00A45143" w:rsidP="00A45143">
      <w:pPr>
        <w:pStyle w:val="BodyText"/>
        <w:rPr>
          <w:szCs w:val="22"/>
        </w:rPr>
      </w:pPr>
      <w:r w:rsidRPr="00B217A8">
        <w:rPr>
          <w:szCs w:val="22"/>
        </w:rPr>
        <w:t>The sample will be drawn with a design involving three-dimensional stratification with a disproportionate allocation crafted to provide useful sample sizes for several policy-relevant subgroups, in addition to the AAI participant population as a whole. Specifically, sample selection will stratify in order to produce the following representation in the (unweighted) survey sample:</w:t>
      </w:r>
    </w:p>
    <w:p w14:paraId="720CD082" w14:textId="77777777" w:rsidR="00A45143" w:rsidRPr="00B217A8" w:rsidRDefault="00A45143" w:rsidP="009A400A">
      <w:pPr>
        <w:pStyle w:val="BodyText"/>
        <w:numPr>
          <w:ilvl w:val="0"/>
          <w:numId w:val="8"/>
        </w:numPr>
        <w:spacing w:after="120"/>
        <w:rPr>
          <w:szCs w:val="22"/>
        </w:rPr>
      </w:pPr>
      <w:r w:rsidRPr="00B217A8">
        <w:rPr>
          <w:b/>
          <w:szCs w:val="22"/>
        </w:rPr>
        <w:t>Occupation Type</w:t>
      </w:r>
      <w:r w:rsidR="00BF1DF7">
        <w:rPr>
          <w:b/>
          <w:szCs w:val="22"/>
        </w:rPr>
        <w:t>.</w:t>
      </w:r>
      <w:r w:rsidRPr="00B217A8">
        <w:rPr>
          <w:szCs w:val="22"/>
        </w:rPr>
        <w:t xml:space="preserve"> </w:t>
      </w:r>
      <w:r w:rsidR="009A400A">
        <w:t xml:space="preserve">15 percent from construction (the most typical apprenticing occupation), 35 percent from other </w:t>
      </w:r>
      <w:r w:rsidR="001E485D">
        <w:t>production and maintenance</w:t>
      </w:r>
      <w:r w:rsidR="00732B56">
        <w:t xml:space="preserve"> </w:t>
      </w:r>
      <w:r w:rsidR="009A400A">
        <w:t>occupations (production/manufacturing, installation, repair, and maintenance), and 50 percent from occupations</w:t>
      </w:r>
      <w:r w:rsidR="00C114FA">
        <w:t xml:space="preserve"> that AAI targeted for expansion, </w:t>
      </w:r>
      <w:r w:rsidR="009A400A">
        <w:t xml:space="preserve">such as information technology and healthcare. </w:t>
      </w:r>
      <w:r w:rsidR="009A400A" w:rsidRPr="009A400A">
        <w:t xml:space="preserve">As of </w:t>
      </w:r>
      <w:r w:rsidR="00FE20DD">
        <w:t>December</w:t>
      </w:r>
      <w:r w:rsidR="00FE20DD" w:rsidRPr="009A400A">
        <w:t xml:space="preserve"> </w:t>
      </w:r>
      <w:r w:rsidR="009A400A" w:rsidRPr="009A400A">
        <w:t>2018, 3</w:t>
      </w:r>
      <w:r w:rsidR="00FE20DD">
        <w:t>2</w:t>
      </w:r>
      <w:r w:rsidR="009A400A" w:rsidRPr="009A400A">
        <w:t xml:space="preserve"> percent of AAI apprentices were in construction </w:t>
      </w:r>
      <w:r w:rsidR="00A95C3D">
        <w:t>occupations (SOC code 47),</w:t>
      </w:r>
      <w:r w:rsidR="009A400A" w:rsidRPr="009A400A">
        <w:t xml:space="preserve"> </w:t>
      </w:r>
      <w:r w:rsidR="00FE20DD" w:rsidRPr="009A400A">
        <w:t>3</w:t>
      </w:r>
      <w:r w:rsidR="00FE20DD">
        <w:t>3</w:t>
      </w:r>
      <w:r w:rsidR="00FE20DD" w:rsidRPr="009A400A">
        <w:t xml:space="preserve"> </w:t>
      </w:r>
      <w:r w:rsidR="009A400A" w:rsidRPr="009A400A">
        <w:t xml:space="preserve">percent were in those other </w:t>
      </w:r>
      <w:r w:rsidR="001E485D">
        <w:t>production and maintenance</w:t>
      </w:r>
      <w:r w:rsidR="001E485D" w:rsidRPr="009A400A">
        <w:t xml:space="preserve"> </w:t>
      </w:r>
      <w:r w:rsidR="009A400A" w:rsidRPr="009A400A">
        <w:t>occup</w:t>
      </w:r>
      <w:r w:rsidR="00A95C3D">
        <w:t xml:space="preserve">ations (SOC codes of 49 or 51), and </w:t>
      </w:r>
      <w:r w:rsidR="00A95C3D" w:rsidRPr="009A400A">
        <w:t>35</w:t>
      </w:r>
      <w:r w:rsidR="009A400A" w:rsidRPr="009A400A">
        <w:t xml:space="preserve"> percent of apprentices </w:t>
      </w:r>
      <w:r w:rsidR="00A95C3D">
        <w:t xml:space="preserve">were </w:t>
      </w:r>
      <w:r w:rsidR="009A400A" w:rsidRPr="009A400A">
        <w:t>in other occupations</w:t>
      </w:r>
      <w:r w:rsidR="009A400A">
        <w:t xml:space="preserve">. </w:t>
      </w:r>
      <w:r w:rsidRPr="00B217A8">
        <w:rPr>
          <w:szCs w:val="22"/>
        </w:rPr>
        <w:t xml:space="preserve">    </w:t>
      </w:r>
    </w:p>
    <w:p w14:paraId="70A80D00" w14:textId="77777777" w:rsidR="00A45143" w:rsidRPr="00B217A8" w:rsidRDefault="00A45143" w:rsidP="00A45143">
      <w:pPr>
        <w:pStyle w:val="BodyText"/>
        <w:numPr>
          <w:ilvl w:val="0"/>
          <w:numId w:val="8"/>
        </w:numPr>
        <w:spacing w:after="120"/>
        <w:rPr>
          <w:szCs w:val="22"/>
        </w:rPr>
      </w:pPr>
      <w:r w:rsidRPr="00B217A8">
        <w:rPr>
          <w:b/>
          <w:szCs w:val="22"/>
        </w:rPr>
        <w:t>Sex.</w:t>
      </w:r>
      <w:r w:rsidRPr="00B217A8">
        <w:rPr>
          <w:szCs w:val="22"/>
        </w:rPr>
        <w:t xml:space="preserve"> 35 percent women and 65 percent men. As of </w:t>
      </w:r>
      <w:r w:rsidR="00FE20DD">
        <w:rPr>
          <w:szCs w:val="22"/>
        </w:rPr>
        <w:t>December</w:t>
      </w:r>
      <w:r w:rsidR="00FE20DD" w:rsidRPr="00B217A8">
        <w:rPr>
          <w:szCs w:val="22"/>
        </w:rPr>
        <w:t xml:space="preserve"> </w:t>
      </w:r>
      <w:r w:rsidRPr="00B217A8">
        <w:rPr>
          <w:szCs w:val="22"/>
        </w:rPr>
        <w:t xml:space="preserve">2018, </w:t>
      </w:r>
      <w:r w:rsidR="00FE20DD" w:rsidRPr="00B217A8">
        <w:rPr>
          <w:szCs w:val="22"/>
        </w:rPr>
        <w:t>1</w:t>
      </w:r>
      <w:r w:rsidR="00FE20DD">
        <w:rPr>
          <w:szCs w:val="22"/>
        </w:rPr>
        <w:t>9</w:t>
      </w:r>
      <w:r w:rsidR="00FE20DD" w:rsidRPr="00B217A8">
        <w:rPr>
          <w:szCs w:val="22"/>
        </w:rPr>
        <w:t xml:space="preserve"> </w:t>
      </w:r>
      <w:r w:rsidRPr="00B217A8">
        <w:rPr>
          <w:szCs w:val="22"/>
        </w:rPr>
        <w:t>percent of AAI apprentices were women.</w:t>
      </w:r>
    </w:p>
    <w:p w14:paraId="7A07A9EA" w14:textId="77777777" w:rsidR="00A45143" w:rsidRPr="00B217A8" w:rsidRDefault="00A45143" w:rsidP="00A45143">
      <w:pPr>
        <w:pStyle w:val="BodyText"/>
        <w:numPr>
          <w:ilvl w:val="0"/>
          <w:numId w:val="8"/>
        </w:numPr>
        <w:spacing w:after="120"/>
        <w:rPr>
          <w:szCs w:val="22"/>
        </w:rPr>
      </w:pPr>
      <w:r w:rsidRPr="00B217A8">
        <w:rPr>
          <w:b/>
          <w:szCs w:val="22"/>
        </w:rPr>
        <w:t>Race/ethnicity.</w:t>
      </w:r>
      <w:r w:rsidRPr="00B217A8">
        <w:rPr>
          <w:szCs w:val="22"/>
        </w:rPr>
        <w:t xml:space="preserve"> 30 percent Hispanic, 30 percent white non-Hispanic, 30 percent black non-Hispanic, and 10 percent </w:t>
      </w:r>
      <w:r w:rsidR="009A400A">
        <w:rPr>
          <w:szCs w:val="22"/>
        </w:rPr>
        <w:t>“</w:t>
      </w:r>
      <w:r w:rsidRPr="00B217A8">
        <w:rPr>
          <w:szCs w:val="22"/>
        </w:rPr>
        <w:t>other.</w:t>
      </w:r>
      <w:r w:rsidR="009A400A">
        <w:rPr>
          <w:szCs w:val="22"/>
        </w:rPr>
        <w:t>”</w:t>
      </w:r>
      <w:r w:rsidRPr="00B217A8">
        <w:rPr>
          <w:szCs w:val="22"/>
        </w:rPr>
        <w:t xml:space="preserve"> As of </w:t>
      </w:r>
      <w:r w:rsidR="00FE20DD">
        <w:rPr>
          <w:szCs w:val="22"/>
        </w:rPr>
        <w:t>December</w:t>
      </w:r>
      <w:r w:rsidR="00FE20DD" w:rsidRPr="00B217A8">
        <w:rPr>
          <w:szCs w:val="22"/>
        </w:rPr>
        <w:t xml:space="preserve"> </w:t>
      </w:r>
      <w:r w:rsidRPr="00B217A8">
        <w:rPr>
          <w:szCs w:val="22"/>
        </w:rPr>
        <w:t xml:space="preserve">2018, </w:t>
      </w:r>
      <w:r w:rsidR="00FE20DD" w:rsidRPr="00B217A8">
        <w:rPr>
          <w:szCs w:val="22"/>
        </w:rPr>
        <w:t>1</w:t>
      </w:r>
      <w:r w:rsidR="00FE20DD">
        <w:rPr>
          <w:szCs w:val="22"/>
        </w:rPr>
        <w:t>4</w:t>
      </w:r>
      <w:r w:rsidR="00FE20DD" w:rsidRPr="00B217A8">
        <w:rPr>
          <w:szCs w:val="22"/>
        </w:rPr>
        <w:t xml:space="preserve"> </w:t>
      </w:r>
      <w:r w:rsidRPr="00B217A8">
        <w:rPr>
          <w:szCs w:val="22"/>
        </w:rPr>
        <w:t xml:space="preserve">percent of AAI apprentices were Hispanic, </w:t>
      </w:r>
      <w:r w:rsidR="00FE20DD" w:rsidRPr="00B217A8">
        <w:rPr>
          <w:szCs w:val="22"/>
        </w:rPr>
        <w:t>5</w:t>
      </w:r>
      <w:r w:rsidR="00FE20DD">
        <w:rPr>
          <w:szCs w:val="22"/>
        </w:rPr>
        <w:t>6</w:t>
      </w:r>
      <w:r w:rsidR="00FE20DD" w:rsidRPr="00B217A8">
        <w:rPr>
          <w:szCs w:val="22"/>
        </w:rPr>
        <w:t xml:space="preserve"> </w:t>
      </w:r>
      <w:r w:rsidRPr="00B217A8">
        <w:rPr>
          <w:szCs w:val="22"/>
        </w:rPr>
        <w:t xml:space="preserve">percent white non-Hispanic, </w:t>
      </w:r>
      <w:r w:rsidR="00FE20DD" w:rsidRPr="00B217A8">
        <w:rPr>
          <w:szCs w:val="22"/>
        </w:rPr>
        <w:t>1</w:t>
      </w:r>
      <w:r w:rsidR="00FE20DD">
        <w:rPr>
          <w:szCs w:val="22"/>
        </w:rPr>
        <w:t>7</w:t>
      </w:r>
      <w:r w:rsidR="00FE20DD" w:rsidRPr="00B217A8">
        <w:rPr>
          <w:szCs w:val="22"/>
        </w:rPr>
        <w:t xml:space="preserve"> </w:t>
      </w:r>
      <w:r w:rsidRPr="00B217A8">
        <w:rPr>
          <w:szCs w:val="22"/>
        </w:rPr>
        <w:t>percent black non-Hispanic, and 13 percent other. The “</w:t>
      </w:r>
      <w:r w:rsidR="009A400A">
        <w:rPr>
          <w:szCs w:val="22"/>
        </w:rPr>
        <w:t>o</w:t>
      </w:r>
      <w:r w:rsidR="009A400A" w:rsidRPr="00B217A8">
        <w:rPr>
          <w:szCs w:val="22"/>
        </w:rPr>
        <w:t>ther</w:t>
      </w:r>
      <w:r w:rsidRPr="00B217A8">
        <w:rPr>
          <w:szCs w:val="22"/>
        </w:rPr>
        <w:t xml:space="preserve">” category includes individuals identifying as Asian, Native American, Pacific Islander, </w:t>
      </w:r>
      <w:r w:rsidR="009A400A">
        <w:rPr>
          <w:szCs w:val="22"/>
        </w:rPr>
        <w:t xml:space="preserve">or </w:t>
      </w:r>
      <w:r w:rsidRPr="00B217A8">
        <w:rPr>
          <w:szCs w:val="22"/>
        </w:rPr>
        <w:t xml:space="preserve">more than one race, </w:t>
      </w:r>
      <w:r w:rsidR="009A400A">
        <w:rPr>
          <w:szCs w:val="22"/>
        </w:rPr>
        <w:t xml:space="preserve">as well as those </w:t>
      </w:r>
      <w:r w:rsidRPr="00B217A8">
        <w:rPr>
          <w:szCs w:val="22"/>
        </w:rPr>
        <w:t>who declined to answer.</w:t>
      </w:r>
    </w:p>
    <w:p w14:paraId="130E6C06" w14:textId="77777777" w:rsidR="00A45143" w:rsidRDefault="00D83A12" w:rsidP="00A45143">
      <w:pPr>
        <w:pStyle w:val="BodyText"/>
        <w:rPr>
          <w:szCs w:val="22"/>
        </w:rPr>
      </w:pPr>
      <w:r>
        <w:rPr>
          <w:szCs w:val="22"/>
        </w:rPr>
        <w:t>The evaluator</w:t>
      </w:r>
      <w:r w:rsidRPr="00B217A8">
        <w:rPr>
          <w:szCs w:val="22"/>
        </w:rPr>
        <w:t xml:space="preserve"> </w:t>
      </w:r>
      <w:r w:rsidR="00A45143" w:rsidRPr="00B217A8">
        <w:rPr>
          <w:szCs w:val="22"/>
        </w:rPr>
        <w:t>anticipate</w:t>
      </w:r>
      <w:r>
        <w:rPr>
          <w:szCs w:val="22"/>
        </w:rPr>
        <w:t>s</w:t>
      </w:r>
      <w:r w:rsidR="00A45143" w:rsidRPr="00B217A8">
        <w:rPr>
          <w:szCs w:val="22"/>
        </w:rPr>
        <w:t xml:space="preserve"> an 80 percent response rate to the survey</w:t>
      </w:r>
      <w:r w:rsidR="009A400A">
        <w:rPr>
          <w:szCs w:val="22"/>
        </w:rPr>
        <w:t>, resulting in 2,000 completed surveys</w:t>
      </w:r>
      <w:r w:rsidR="00A45143" w:rsidRPr="00B217A8">
        <w:rPr>
          <w:szCs w:val="22"/>
        </w:rPr>
        <w:t>.</w:t>
      </w:r>
      <w:r w:rsidR="00FB590D">
        <w:rPr>
          <w:rStyle w:val="FootnoteReference"/>
          <w:szCs w:val="22"/>
        </w:rPr>
        <w:footnoteReference w:id="3"/>
      </w:r>
      <w:r w:rsidR="00A45143" w:rsidRPr="00B217A8">
        <w:rPr>
          <w:szCs w:val="22"/>
        </w:rPr>
        <w:t xml:space="preserve"> </w:t>
      </w:r>
    </w:p>
    <w:p w14:paraId="2B52D8F4" w14:textId="77777777" w:rsidR="00787FDB" w:rsidRDefault="00787FDB" w:rsidP="00A45143">
      <w:pPr>
        <w:pStyle w:val="BodyText"/>
        <w:rPr>
          <w:szCs w:val="22"/>
        </w:rPr>
      </w:pPr>
      <w:r>
        <w:rPr>
          <w:szCs w:val="22"/>
        </w:rPr>
        <w:t>Exhibit B1 summarizes the estimated sample size and target response rates for each data collection instrument.</w:t>
      </w:r>
    </w:p>
    <w:p w14:paraId="2459DA04" w14:textId="77777777" w:rsidR="00787FDB" w:rsidRPr="00D83A12" w:rsidRDefault="00787FDB" w:rsidP="00A45143">
      <w:pPr>
        <w:pStyle w:val="BodyText"/>
        <w:rPr>
          <w:b/>
          <w:szCs w:val="22"/>
        </w:rPr>
      </w:pPr>
      <w:r w:rsidRPr="00D83A12">
        <w:rPr>
          <w:b/>
          <w:szCs w:val="22"/>
        </w:rPr>
        <w:t>Exhibit B1.  Sample Size and Response Rate Assumptions</w:t>
      </w:r>
    </w:p>
    <w:tbl>
      <w:tblPr>
        <w:tblStyle w:val="TableGrid"/>
        <w:tblW w:w="959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firstRow="1" w:lastRow="0" w:firstColumn="1" w:lastColumn="0" w:noHBand="0" w:noVBand="1"/>
      </w:tblPr>
      <w:tblGrid>
        <w:gridCol w:w="1728"/>
        <w:gridCol w:w="2070"/>
        <w:gridCol w:w="1872"/>
        <w:gridCol w:w="1350"/>
        <w:gridCol w:w="990"/>
        <w:gridCol w:w="1584"/>
      </w:tblGrid>
      <w:tr w:rsidR="0041178C" w:rsidRPr="00111D13" w14:paraId="6414B263" w14:textId="77777777" w:rsidTr="00111D13">
        <w:tc>
          <w:tcPr>
            <w:tcW w:w="1728" w:type="dxa"/>
            <w:shd w:val="clear" w:color="auto" w:fill="C3C6A8"/>
          </w:tcPr>
          <w:p w14:paraId="260D88F9" w14:textId="77777777" w:rsidR="0089174D" w:rsidRPr="00111D13" w:rsidRDefault="0089174D" w:rsidP="00631483">
            <w:pPr>
              <w:spacing w:before="60" w:after="60"/>
              <w:jc w:val="center"/>
              <w:rPr>
                <w:b/>
              </w:rPr>
            </w:pPr>
            <w:r w:rsidRPr="00111D13">
              <w:rPr>
                <w:b/>
              </w:rPr>
              <w:t>Respondent Universe</w:t>
            </w:r>
          </w:p>
        </w:tc>
        <w:tc>
          <w:tcPr>
            <w:tcW w:w="2070" w:type="dxa"/>
            <w:shd w:val="clear" w:color="auto" w:fill="C3C6A8"/>
          </w:tcPr>
          <w:p w14:paraId="704C70CD" w14:textId="77777777" w:rsidR="0089174D" w:rsidRPr="00111D13" w:rsidRDefault="0089174D" w:rsidP="00631483">
            <w:pPr>
              <w:spacing w:before="60" w:after="60"/>
              <w:jc w:val="center"/>
              <w:rPr>
                <w:b/>
              </w:rPr>
            </w:pPr>
            <w:r w:rsidRPr="00111D13">
              <w:rPr>
                <w:b/>
              </w:rPr>
              <w:t>Sampling Methods</w:t>
            </w:r>
          </w:p>
        </w:tc>
        <w:tc>
          <w:tcPr>
            <w:tcW w:w="1872" w:type="dxa"/>
            <w:shd w:val="clear" w:color="auto" w:fill="C3C6A8"/>
          </w:tcPr>
          <w:p w14:paraId="3F905917" w14:textId="77777777" w:rsidR="0089174D" w:rsidRPr="00111D13" w:rsidRDefault="0089174D" w:rsidP="00631483">
            <w:pPr>
              <w:spacing w:before="60" w:after="60"/>
              <w:jc w:val="center"/>
              <w:rPr>
                <w:b/>
              </w:rPr>
            </w:pPr>
            <w:r w:rsidRPr="00111D13">
              <w:rPr>
                <w:b/>
              </w:rPr>
              <w:t>Population Size</w:t>
            </w:r>
          </w:p>
        </w:tc>
        <w:tc>
          <w:tcPr>
            <w:tcW w:w="1350" w:type="dxa"/>
            <w:shd w:val="clear" w:color="auto" w:fill="C3C6A8"/>
          </w:tcPr>
          <w:p w14:paraId="1FB6A17F" w14:textId="77777777" w:rsidR="0089174D" w:rsidRPr="00111D13" w:rsidRDefault="0089174D" w:rsidP="00631483">
            <w:pPr>
              <w:spacing w:before="60" w:after="60"/>
              <w:jc w:val="center"/>
              <w:rPr>
                <w:b/>
              </w:rPr>
            </w:pPr>
            <w:r w:rsidRPr="00111D13">
              <w:rPr>
                <w:b/>
              </w:rPr>
              <w:t>Sample Size</w:t>
            </w:r>
          </w:p>
        </w:tc>
        <w:tc>
          <w:tcPr>
            <w:tcW w:w="990" w:type="dxa"/>
            <w:shd w:val="clear" w:color="auto" w:fill="C3C6A8"/>
          </w:tcPr>
          <w:p w14:paraId="3C5E4C52" w14:textId="77777777" w:rsidR="0089174D" w:rsidRPr="00111D13" w:rsidRDefault="0089174D" w:rsidP="00631483">
            <w:pPr>
              <w:spacing w:before="60" w:after="60"/>
              <w:jc w:val="center"/>
              <w:rPr>
                <w:b/>
              </w:rPr>
            </w:pPr>
            <w:r w:rsidRPr="00111D13">
              <w:rPr>
                <w:b/>
              </w:rPr>
              <w:t>Target Response Rate</w:t>
            </w:r>
          </w:p>
        </w:tc>
        <w:tc>
          <w:tcPr>
            <w:tcW w:w="1584" w:type="dxa"/>
            <w:shd w:val="clear" w:color="auto" w:fill="C3C6A8"/>
          </w:tcPr>
          <w:p w14:paraId="08A2AEB3" w14:textId="77777777" w:rsidR="0089174D" w:rsidRPr="00111D13" w:rsidRDefault="0089174D" w:rsidP="00631483">
            <w:pPr>
              <w:spacing w:before="60" w:after="60"/>
              <w:jc w:val="center"/>
              <w:rPr>
                <w:b/>
              </w:rPr>
            </w:pPr>
            <w:r w:rsidRPr="00111D13">
              <w:rPr>
                <w:b/>
              </w:rPr>
              <w:t>Data Collection Instrument</w:t>
            </w:r>
          </w:p>
        </w:tc>
      </w:tr>
      <w:tr w:rsidR="0041178C" w:rsidRPr="00111D13" w14:paraId="4A0B4285" w14:textId="77777777" w:rsidTr="00111D13">
        <w:tc>
          <w:tcPr>
            <w:tcW w:w="1728" w:type="dxa"/>
          </w:tcPr>
          <w:p w14:paraId="090C63FF" w14:textId="77777777" w:rsidR="0089174D" w:rsidRPr="00111D13" w:rsidRDefault="0089174D" w:rsidP="006D65D5">
            <w:pPr>
              <w:spacing w:before="60" w:after="60"/>
            </w:pPr>
            <w:r w:rsidRPr="00111D13">
              <w:t>Employers participating in AAI-sponsored apprenticeships</w:t>
            </w:r>
          </w:p>
        </w:tc>
        <w:tc>
          <w:tcPr>
            <w:tcW w:w="2070" w:type="dxa"/>
          </w:tcPr>
          <w:p w14:paraId="3B64F3EC" w14:textId="6D58143B" w:rsidR="0089174D" w:rsidRPr="00111D13" w:rsidRDefault="00172996" w:rsidP="00172996">
            <w:pPr>
              <w:spacing w:before="60" w:after="60"/>
            </w:pPr>
            <w:r>
              <w:t>E</w:t>
            </w:r>
            <w:r w:rsidR="0089174D" w:rsidRPr="00111D13">
              <w:t xml:space="preserve">mployers selected from </w:t>
            </w:r>
            <w:r>
              <w:t xml:space="preserve">each grantee </w:t>
            </w:r>
            <w:r w:rsidR="0089174D" w:rsidRPr="00111D13">
              <w:t>to represent a range of employer attributes</w:t>
            </w:r>
          </w:p>
        </w:tc>
        <w:tc>
          <w:tcPr>
            <w:tcW w:w="1872" w:type="dxa"/>
          </w:tcPr>
          <w:p w14:paraId="2AEE66BF" w14:textId="77777777" w:rsidR="0041178C" w:rsidRPr="00111D13" w:rsidRDefault="0041178C" w:rsidP="00631483">
            <w:pPr>
              <w:spacing w:before="60" w:after="60"/>
            </w:pPr>
            <w:r w:rsidRPr="00111D13">
              <w:t>All AAI employers (approximately 1,300 as of December 2018)</w:t>
            </w:r>
          </w:p>
        </w:tc>
        <w:tc>
          <w:tcPr>
            <w:tcW w:w="1350" w:type="dxa"/>
          </w:tcPr>
          <w:p w14:paraId="16E88834" w14:textId="670D2034" w:rsidR="0089174D" w:rsidRPr="00111D13" w:rsidRDefault="00406A2C" w:rsidP="00406A2C">
            <w:pPr>
              <w:spacing w:before="60" w:after="60"/>
            </w:pPr>
            <w:r>
              <w:t>100</w:t>
            </w:r>
            <w:r w:rsidR="0089174D" w:rsidRPr="00111D13">
              <w:t xml:space="preserve"> employers</w:t>
            </w:r>
          </w:p>
        </w:tc>
        <w:tc>
          <w:tcPr>
            <w:tcW w:w="990" w:type="dxa"/>
          </w:tcPr>
          <w:p w14:paraId="71BDEC0F" w14:textId="77777777" w:rsidR="0089174D" w:rsidRPr="00111D13" w:rsidRDefault="0089174D" w:rsidP="00631483">
            <w:pPr>
              <w:spacing w:before="60" w:after="60"/>
            </w:pPr>
            <w:r w:rsidRPr="00111D13">
              <w:t>80 percent</w:t>
            </w:r>
          </w:p>
        </w:tc>
        <w:tc>
          <w:tcPr>
            <w:tcW w:w="1584" w:type="dxa"/>
          </w:tcPr>
          <w:p w14:paraId="1E15EBFE" w14:textId="77777777" w:rsidR="0089174D" w:rsidRPr="00111D13" w:rsidRDefault="0089174D" w:rsidP="00631483">
            <w:pPr>
              <w:spacing w:before="60" w:after="60"/>
            </w:pPr>
            <w:r w:rsidRPr="00111D13">
              <w:t>Employer Survey conducted by phone</w:t>
            </w:r>
          </w:p>
        </w:tc>
      </w:tr>
      <w:tr w:rsidR="0041178C" w:rsidRPr="00111D13" w14:paraId="0CFAAAFD" w14:textId="77777777" w:rsidTr="00111D13">
        <w:tc>
          <w:tcPr>
            <w:tcW w:w="1728" w:type="dxa"/>
          </w:tcPr>
          <w:p w14:paraId="2D03BA97" w14:textId="77777777" w:rsidR="0089174D" w:rsidRPr="00111D13" w:rsidRDefault="0089174D" w:rsidP="009C03CF">
            <w:pPr>
              <w:spacing w:before="60" w:after="60"/>
            </w:pPr>
            <w:r w:rsidRPr="00111D13">
              <w:t xml:space="preserve">AAI Grantees </w:t>
            </w:r>
          </w:p>
        </w:tc>
        <w:tc>
          <w:tcPr>
            <w:tcW w:w="2070" w:type="dxa"/>
          </w:tcPr>
          <w:p w14:paraId="0319F745" w14:textId="77777777" w:rsidR="0089174D" w:rsidRPr="00111D13" w:rsidRDefault="0089174D" w:rsidP="00662E1F">
            <w:pPr>
              <w:spacing w:before="60" w:after="60"/>
            </w:pPr>
            <w:r w:rsidRPr="00111D13">
              <w:t>N/A: All grantees will be contacted</w:t>
            </w:r>
            <w:r w:rsidR="00662E1F">
              <w:t xml:space="preserve"> to provide information on the two selected employers. </w:t>
            </w:r>
          </w:p>
        </w:tc>
        <w:tc>
          <w:tcPr>
            <w:tcW w:w="1872" w:type="dxa"/>
          </w:tcPr>
          <w:p w14:paraId="162FBF53" w14:textId="77777777" w:rsidR="0089174D" w:rsidRPr="00111D13" w:rsidRDefault="0041178C" w:rsidP="009C03CF">
            <w:pPr>
              <w:spacing w:before="60" w:after="60"/>
            </w:pPr>
            <w:r w:rsidRPr="00111D13">
              <w:t>All AAI employers (approximately 1,300 as of December 2018)</w:t>
            </w:r>
          </w:p>
        </w:tc>
        <w:tc>
          <w:tcPr>
            <w:tcW w:w="1350" w:type="dxa"/>
          </w:tcPr>
          <w:p w14:paraId="40CBA1E8" w14:textId="77777777" w:rsidR="0089174D" w:rsidRPr="00111D13" w:rsidRDefault="0089174D" w:rsidP="009C03CF">
            <w:pPr>
              <w:spacing w:before="60" w:after="60"/>
            </w:pPr>
            <w:r w:rsidRPr="00111D13">
              <w:t>46 grantees</w:t>
            </w:r>
          </w:p>
        </w:tc>
        <w:tc>
          <w:tcPr>
            <w:tcW w:w="990" w:type="dxa"/>
          </w:tcPr>
          <w:p w14:paraId="5F0F0816" w14:textId="77777777" w:rsidR="0089174D" w:rsidRPr="00114F77" w:rsidRDefault="0089174D" w:rsidP="009C03CF">
            <w:pPr>
              <w:spacing w:before="60" w:after="60"/>
              <w:rPr>
                <w:vertAlign w:val="superscript"/>
              </w:rPr>
            </w:pPr>
            <w:r w:rsidRPr="00111D13">
              <w:t>100 percent</w:t>
            </w:r>
            <w:r w:rsidR="00114F77">
              <w:rPr>
                <w:vertAlign w:val="superscript"/>
              </w:rPr>
              <w:t>1</w:t>
            </w:r>
          </w:p>
        </w:tc>
        <w:tc>
          <w:tcPr>
            <w:tcW w:w="1584" w:type="dxa"/>
          </w:tcPr>
          <w:p w14:paraId="5EB626C8" w14:textId="77777777" w:rsidR="0089174D" w:rsidRPr="00111D13" w:rsidRDefault="0089174D" w:rsidP="009C03CF">
            <w:pPr>
              <w:spacing w:before="60" w:after="60"/>
            </w:pPr>
            <w:r w:rsidRPr="00111D13">
              <w:t>Employer Survey, conducted by phone</w:t>
            </w:r>
          </w:p>
        </w:tc>
      </w:tr>
      <w:tr w:rsidR="0041178C" w:rsidRPr="00111D13" w14:paraId="1243E278" w14:textId="77777777" w:rsidTr="00111D13">
        <w:tc>
          <w:tcPr>
            <w:tcW w:w="1728" w:type="dxa"/>
          </w:tcPr>
          <w:p w14:paraId="1255D846" w14:textId="77777777" w:rsidR="0089174D" w:rsidRPr="00111D13" w:rsidRDefault="0089174D" w:rsidP="009C03CF">
            <w:pPr>
              <w:spacing w:before="60" w:after="60"/>
            </w:pPr>
            <w:r w:rsidRPr="00111D13">
              <w:t>AAI apprentices that:</w:t>
            </w:r>
          </w:p>
          <w:p w14:paraId="0256A47D" w14:textId="77777777" w:rsidR="0089174D" w:rsidRPr="00111D13" w:rsidRDefault="0089174D" w:rsidP="009C03CF">
            <w:pPr>
              <w:pStyle w:val="ListParagraph"/>
              <w:numPr>
                <w:ilvl w:val="0"/>
                <w:numId w:val="12"/>
              </w:numPr>
              <w:spacing w:before="60" w:after="60"/>
              <w:ind w:left="360" w:hanging="270"/>
            </w:pPr>
            <w:r w:rsidRPr="00111D13">
              <w:t>Started their apprenticeship by December 2018</w:t>
            </w:r>
          </w:p>
          <w:p w14:paraId="50F10595" w14:textId="77777777" w:rsidR="0089174D" w:rsidRPr="00111D13" w:rsidRDefault="0089174D" w:rsidP="009C03CF">
            <w:pPr>
              <w:pStyle w:val="ListParagraph"/>
              <w:numPr>
                <w:ilvl w:val="0"/>
                <w:numId w:val="12"/>
              </w:numPr>
              <w:spacing w:before="60" w:after="60"/>
              <w:ind w:left="360" w:hanging="270"/>
            </w:pPr>
            <w:r w:rsidRPr="00111D13">
              <w:t>Have an SSN in the QPR</w:t>
            </w:r>
          </w:p>
          <w:p w14:paraId="49700B7C" w14:textId="77777777" w:rsidR="0089174D" w:rsidRPr="00111D13" w:rsidRDefault="0089174D" w:rsidP="009C03CF">
            <w:pPr>
              <w:pStyle w:val="ListParagraph"/>
              <w:numPr>
                <w:ilvl w:val="0"/>
                <w:numId w:val="12"/>
              </w:numPr>
              <w:spacing w:before="60" w:after="60"/>
              <w:ind w:left="360" w:hanging="270"/>
            </w:pPr>
            <w:r w:rsidRPr="00111D13">
              <w:t>Have a valid mailing address, phone number, and email address</w:t>
            </w:r>
          </w:p>
        </w:tc>
        <w:tc>
          <w:tcPr>
            <w:tcW w:w="2070" w:type="dxa"/>
          </w:tcPr>
          <w:p w14:paraId="6A75632B" w14:textId="77777777" w:rsidR="0089174D" w:rsidRPr="00111D13" w:rsidRDefault="0089174D" w:rsidP="009C03CF">
            <w:pPr>
              <w:spacing w:before="60" w:after="60"/>
            </w:pPr>
            <w:r w:rsidRPr="00111D13">
              <w:t>Select a sample of 2,500 through explicit stratification. Strata include:</w:t>
            </w:r>
          </w:p>
          <w:p w14:paraId="346A61A2" w14:textId="77777777" w:rsidR="0089174D" w:rsidRPr="00111D13" w:rsidRDefault="0089174D" w:rsidP="009C03CF">
            <w:pPr>
              <w:pStyle w:val="ListParagraph"/>
              <w:numPr>
                <w:ilvl w:val="0"/>
                <w:numId w:val="12"/>
              </w:numPr>
              <w:spacing w:before="60" w:after="60"/>
              <w:ind w:left="360" w:hanging="270"/>
            </w:pPr>
            <w:r w:rsidRPr="00111D13">
              <w:rPr>
                <w:rFonts w:eastAsiaTheme="minorHAnsi"/>
                <w:b/>
              </w:rPr>
              <w:t>Occupation Type:</w:t>
            </w:r>
            <w:r w:rsidRPr="00111D13">
              <w:rPr>
                <w:rFonts w:eastAsiaTheme="minorHAnsi"/>
              </w:rPr>
              <w:t xml:space="preserve"> 15 percent from construction occupations; 35 percent from other production and maintenance occupations; and 50 percent from other occupations</w:t>
            </w:r>
          </w:p>
          <w:p w14:paraId="703044BD" w14:textId="77777777" w:rsidR="0089174D" w:rsidRPr="00111D13" w:rsidRDefault="0089174D" w:rsidP="009C03CF">
            <w:pPr>
              <w:pStyle w:val="ListParagraph"/>
              <w:numPr>
                <w:ilvl w:val="0"/>
                <w:numId w:val="12"/>
              </w:numPr>
              <w:spacing w:before="60" w:after="60"/>
              <w:ind w:left="360" w:hanging="270"/>
            </w:pPr>
            <w:r w:rsidRPr="00111D13">
              <w:rPr>
                <w:rFonts w:eastAsiaTheme="minorHAnsi"/>
                <w:b/>
              </w:rPr>
              <w:t>Race/ethnicity.</w:t>
            </w:r>
            <w:r w:rsidRPr="00111D13">
              <w:rPr>
                <w:rFonts w:eastAsiaTheme="minorHAnsi"/>
              </w:rPr>
              <w:t xml:space="preserve"> 30 percent Hispanic; 30 percent white non-Hispanic; 30 percent black non-Hispanic; and 10 percent “other.” </w:t>
            </w:r>
          </w:p>
          <w:p w14:paraId="06C9EC0B" w14:textId="77777777" w:rsidR="0089174D" w:rsidRPr="00111D13" w:rsidRDefault="0089174D" w:rsidP="009C03CF">
            <w:pPr>
              <w:pStyle w:val="ListParagraph"/>
              <w:numPr>
                <w:ilvl w:val="0"/>
                <w:numId w:val="12"/>
              </w:numPr>
              <w:spacing w:before="60" w:after="60"/>
              <w:ind w:left="360" w:hanging="270"/>
            </w:pPr>
            <w:r w:rsidRPr="00111D13">
              <w:rPr>
                <w:b/>
              </w:rPr>
              <w:t>Sex.</w:t>
            </w:r>
            <w:r w:rsidRPr="00111D13">
              <w:t xml:space="preserve"> 35 percent women and 65 percent men. </w:t>
            </w:r>
          </w:p>
        </w:tc>
        <w:tc>
          <w:tcPr>
            <w:tcW w:w="1872" w:type="dxa"/>
          </w:tcPr>
          <w:p w14:paraId="0B710C56" w14:textId="77777777" w:rsidR="0089174D" w:rsidRPr="00111D13" w:rsidRDefault="0041178C" w:rsidP="009C03CF">
            <w:pPr>
              <w:spacing w:before="60" w:after="60"/>
            </w:pPr>
            <w:r w:rsidRPr="00111D13">
              <w:t>All AAI apprentices (approximately 14,000 as of December 2018)</w:t>
            </w:r>
          </w:p>
        </w:tc>
        <w:tc>
          <w:tcPr>
            <w:tcW w:w="1350" w:type="dxa"/>
          </w:tcPr>
          <w:p w14:paraId="0AF2E469" w14:textId="77777777" w:rsidR="0089174D" w:rsidRPr="00111D13" w:rsidRDefault="0089174D" w:rsidP="009C03CF">
            <w:pPr>
              <w:spacing w:before="60" w:after="60"/>
            </w:pPr>
            <w:r w:rsidRPr="00111D13">
              <w:t>2,500  apprentices</w:t>
            </w:r>
          </w:p>
        </w:tc>
        <w:tc>
          <w:tcPr>
            <w:tcW w:w="990" w:type="dxa"/>
          </w:tcPr>
          <w:p w14:paraId="23314738" w14:textId="77777777" w:rsidR="0089174D" w:rsidRPr="00111D13" w:rsidRDefault="0089174D" w:rsidP="009C03CF">
            <w:pPr>
              <w:spacing w:before="60" w:after="60"/>
            </w:pPr>
            <w:r w:rsidRPr="00111D13">
              <w:t>80 percent</w:t>
            </w:r>
          </w:p>
        </w:tc>
        <w:tc>
          <w:tcPr>
            <w:tcW w:w="1584" w:type="dxa"/>
          </w:tcPr>
          <w:p w14:paraId="3485F63A" w14:textId="77777777" w:rsidR="0089174D" w:rsidRPr="00111D13" w:rsidRDefault="0089174D" w:rsidP="009C03CF">
            <w:pPr>
              <w:spacing w:before="60" w:after="60"/>
            </w:pPr>
            <w:r w:rsidRPr="00111D13">
              <w:t xml:space="preserve">Participant Survey, conducted online and by phone </w:t>
            </w:r>
          </w:p>
        </w:tc>
      </w:tr>
    </w:tbl>
    <w:p w14:paraId="5153CF70" w14:textId="7D9965FF" w:rsidR="00787FDB" w:rsidRPr="00114F77" w:rsidRDefault="00787FDB" w:rsidP="00A45143">
      <w:pPr>
        <w:pStyle w:val="BodyText"/>
        <w:rPr>
          <w:szCs w:val="22"/>
        </w:rPr>
      </w:pPr>
      <w:r>
        <w:rPr>
          <w:szCs w:val="22"/>
        </w:rPr>
        <w:t xml:space="preserve">   </w:t>
      </w:r>
      <w:r w:rsidR="00114F77">
        <w:rPr>
          <w:szCs w:val="22"/>
          <w:vertAlign w:val="superscript"/>
        </w:rPr>
        <w:t>1</w:t>
      </w:r>
      <w:r w:rsidR="00114F77">
        <w:rPr>
          <w:szCs w:val="22"/>
        </w:rPr>
        <w:t xml:space="preserve">The </w:t>
      </w:r>
      <w:r w:rsidR="006E4A11">
        <w:rPr>
          <w:szCs w:val="22"/>
        </w:rPr>
        <w:t xml:space="preserve">evaluator </w:t>
      </w:r>
      <w:r w:rsidR="00114F77">
        <w:rPr>
          <w:szCs w:val="22"/>
        </w:rPr>
        <w:t xml:space="preserve">anticipates that all grantees will provide background information on employers, as grantees are required to participate in the evaluation by the terms of their grant agreement. </w:t>
      </w:r>
    </w:p>
    <w:p w14:paraId="2FD581C1" w14:textId="77777777" w:rsidR="00B53DFE" w:rsidRDefault="00B53DFE" w:rsidP="006238D3">
      <w:pPr>
        <w:rPr>
          <w:rFonts w:ascii="Times New Roman" w:hAnsi="Times New Roman" w:cs="Times New Roman"/>
          <w:b/>
        </w:rPr>
      </w:pPr>
    </w:p>
    <w:p w14:paraId="5B54AC08" w14:textId="77777777" w:rsidR="00B53DFE" w:rsidRDefault="00B53DFE" w:rsidP="006238D3">
      <w:pPr>
        <w:rPr>
          <w:rFonts w:ascii="Times New Roman" w:hAnsi="Times New Roman" w:cs="Times New Roman"/>
          <w:b/>
        </w:rPr>
      </w:pPr>
    </w:p>
    <w:p w14:paraId="1749DE39" w14:textId="28F50885" w:rsidR="00F05FE7" w:rsidRPr="00B217A8" w:rsidRDefault="009500CC" w:rsidP="006238D3">
      <w:pPr>
        <w:rPr>
          <w:rFonts w:ascii="Times New Roman" w:hAnsi="Times New Roman" w:cs="Times New Roman"/>
          <w:b/>
        </w:rPr>
      </w:pPr>
      <w:r w:rsidRPr="00B217A8">
        <w:rPr>
          <w:rFonts w:ascii="Times New Roman" w:hAnsi="Times New Roman" w:cs="Times New Roman"/>
          <w:b/>
        </w:rPr>
        <w:t>B</w:t>
      </w:r>
      <w:r w:rsidR="00F05FE7" w:rsidRPr="00B217A8">
        <w:rPr>
          <w:rFonts w:ascii="Times New Roman" w:hAnsi="Times New Roman" w:cs="Times New Roman"/>
          <w:b/>
        </w:rPr>
        <w:t xml:space="preserve">2. </w:t>
      </w:r>
      <w:r w:rsidR="00787FDB">
        <w:rPr>
          <w:rFonts w:ascii="Times New Roman" w:hAnsi="Times New Roman" w:cs="Times New Roman"/>
          <w:b/>
        </w:rPr>
        <w:t>Procedures for Collection of Information</w:t>
      </w:r>
    </w:p>
    <w:p w14:paraId="07DEDEB7" w14:textId="4B8E3A4D" w:rsidR="001734DD" w:rsidRPr="00DB3EBB" w:rsidRDefault="001734DD" w:rsidP="006238D3">
      <w:pPr>
        <w:rPr>
          <w:rFonts w:ascii="Times New Roman" w:hAnsi="Times New Roman" w:cs="Times New Roman"/>
        </w:rPr>
      </w:pPr>
      <w:r w:rsidRPr="009500CC">
        <w:rPr>
          <w:rFonts w:ascii="Times New Roman" w:hAnsi="Times New Roman" w:cs="Times New Roman"/>
        </w:rPr>
        <w:t xml:space="preserve">For each survey, the </w:t>
      </w:r>
      <w:r w:rsidR="00E96879">
        <w:rPr>
          <w:rFonts w:ascii="Times New Roman" w:hAnsi="Times New Roman" w:cs="Times New Roman"/>
        </w:rPr>
        <w:t>evaluator</w:t>
      </w:r>
      <w:r w:rsidRPr="009500CC">
        <w:rPr>
          <w:rFonts w:ascii="Times New Roman" w:hAnsi="Times New Roman" w:cs="Times New Roman"/>
        </w:rPr>
        <w:t xml:space="preserve"> will employ appropriate methods to select the sample</w:t>
      </w:r>
      <w:r w:rsidR="00D83A12">
        <w:rPr>
          <w:rFonts w:ascii="Times New Roman" w:hAnsi="Times New Roman" w:cs="Times New Roman"/>
        </w:rPr>
        <w:t>, and will</w:t>
      </w:r>
      <w:r w:rsidRPr="009500CC">
        <w:rPr>
          <w:rFonts w:ascii="Times New Roman" w:hAnsi="Times New Roman" w:cs="Times New Roman"/>
        </w:rPr>
        <w:t xml:space="preserve"> ensure that </w:t>
      </w:r>
      <w:r w:rsidR="00D83A12">
        <w:rPr>
          <w:rFonts w:ascii="Times New Roman" w:hAnsi="Times New Roman" w:cs="Times New Roman"/>
        </w:rPr>
        <w:t>the</w:t>
      </w:r>
      <w:r w:rsidR="00D83A12" w:rsidRPr="009500CC">
        <w:rPr>
          <w:rFonts w:ascii="Times New Roman" w:hAnsi="Times New Roman" w:cs="Times New Roman"/>
        </w:rPr>
        <w:t xml:space="preserve"> </w:t>
      </w:r>
      <w:r w:rsidRPr="009500CC">
        <w:rPr>
          <w:rFonts w:ascii="Times New Roman" w:hAnsi="Times New Roman" w:cs="Times New Roman"/>
        </w:rPr>
        <w:t>plan for analys</w:t>
      </w:r>
      <w:r w:rsidR="006F4FE1" w:rsidRPr="00DB3EBB">
        <w:rPr>
          <w:rFonts w:ascii="Times New Roman" w:hAnsi="Times New Roman" w:cs="Times New Roman"/>
        </w:rPr>
        <w:t>is is</w:t>
      </w:r>
      <w:r w:rsidRPr="00DB3EBB">
        <w:rPr>
          <w:rFonts w:ascii="Times New Roman" w:hAnsi="Times New Roman" w:cs="Times New Roman"/>
        </w:rPr>
        <w:t xml:space="preserve"> appropriate given the samples.</w:t>
      </w:r>
    </w:p>
    <w:p w14:paraId="0C12DA31" w14:textId="2C1DCF8E" w:rsidR="001734DD" w:rsidRPr="00DB3EBB" w:rsidRDefault="001734DD" w:rsidP="001734DD">
      <w:pPr>
        <w:pStyle w:val="BodyText"/>
        <w:rPr>
          <w:b/>
          <w:i/>
          <w:szCs w:val="22"/>
        </w:rPr>
      </w:pPr>
      <w:r w:rsidRPr="00DB3EBB">
        <w:rPr>
          <w:b/>
          <w:i/>
          <w:szCs w:val="22"/>
        </w:rPr>
        <w:t>Employer Survey</w:t>
      </w:r>
    </w:p>
    <w:p w14:paraId="4A4936C2" w14:textId="4CBC0266" w:rsidR="009E6643" w:rsidRPr="009500CC" w:rsidRDefault="00C114FA" w:rsidP="006238D3">
      <w:pPr>
        <w:rPr>
          <w:rFonts w:ascii="Times New Roman" w:hAnsi="Times New Roman" w:cs="Times New Roman"/>
        </w:rPr>
      </w:pPr>
      <w:r>
        <w:rPr>
          <w:rFonts w:ascii="Times New Roman" w:hAnsi="Times New Roman" w:cs="Times New Roman"/>
        </w:rPr>
        <w:t xml:space="preserve">The </w:t>
      </w:r>
      <w:r w:rsidR="00A23BB1">
        <w:rPr>
          <w:rFonts w:ascii="Times New Roman" w:hAnsi="Times New Roman" w:cs="Times New Roman"/>
        </w:rPr>
        <w:t>E</w:t>
      </w:r>
      <w:r w:rsidR="00A23BB1" w:rsidRPr="009500CC">
        <w:rPr>
          <w:rFonts w:ascii="Times New Roman" w:hAnsi="Times New Roman" w:cs="Times New Roman"/>
        </w:rPr>
        <w:t xml:space="preserve">mployer </w:t>
      </w:r>
      <w:r w:rsidR="00A23BB1">
        <w:rPr>
          <w:rFonts w:ascii="Times New Roman" w:hAnsi="Times New Roman" w:cs="Times New Roman"/>
        </w:rPr>
        <w:t>S</w:t>
      </w:r>
      <w:r w:rsidR="00A23BB1" w:rsidRPr="009500CC">
        <w:rPr>
          <w:rFonts w:ascii="Times New Roman" w:hAnsi="Times New Roman" w:cs="Times New Roman"/>
        </w:rPr>
        <w:t xml:space="preserve">urvey </w:t>
      </w:r>
      <w:r>
        <w:rPr>
          <w:rFonts w:ascii="Times New Roman" w:hAnsi="Times New Roman" w:cs="Times New Roman"/>
        </w:rPr>
        <w:t>will be fielded</w:t>
      </w:r>
      <w:r w:rsidR="00BF2B0D">
        <w:rPr>
          <w:rFonts w:ascii="Times New Roman" w:hAnsi="Times New Roman" w:cs="Times New Roman"/>
        </w:rPr>
        <w:t xml:space="preserve"> by phone</w:t>
      </w:r>
      <w:r>
        <w:rPr>
          <w:rFonts w:ascii="Times New Roman" w:hAnsi="Times New Roman" w:cs="Times New Roman"/>
        </w:rPr>
        <w:t xml:space="preserve"> to </w:t>
      </w:r>
      <w:r w:rsidR="00101B5E">
        <w:rPr>
          <w:rFonts w:ascii="Times New Roman" w:hAnsi="Times New Roman" w:cs="Times New Roman"/>
        </w:rPr>
        <w:t xml:space="preserve">approximately </w:t>
      </w:r>
      <w:r w:rsidR="00406A2C">
        <w:rPr>
          <w:rFonts w:ascii="Times New Roman" w:hAnsi="Times New Roman" w:cs="Times New Roman"/>
        </w:rPr>
        <w:t>100</w:t>
      </w:r>
      <w:r w:rsidR="00BF2B0D">
        <w:rPr>
          <w:rFonts w:ascii="Times New Roman" w:hAnsi="Times New Roman" w:cs="Times New Roman"/>
        </w:rPr>
        <w:t xml:space="preserve"> </w:t>
      </w:r>
      <w:r w:rsidR="001734DD" w:rsidRPr="009500CC">
        <w:rPr>
          <w:rFonts w:ascii="Times New Roman" w:hAnsi="Times New Roman" w:cs="Times New Roman"/>
        </w:rPr>
        <w:t>employers</w:t>
      </w:r>
      <w:r w:rsidR="00A23BB1">
        <w:rPr>
          <w:rFonts w:ascii="Times New Roman" w:hAnsi="Times New Roman" w:cs="Times New Roman"/>
        </w:rPr>
        <w:t xml:space="preserve"> </w:t>
      </w:r>
      <w:r>
        <w:rPr>
          <w:rFonts w:ascii="Times New Roman" w:hAnsi="Times New Roman" w:cs="Times New Roman"/>
        </w:rPr>
        <w:t xml:space="preserve">identified as </w:t>
      </w:r>
      <w:r w:rsidR="00A23BB1">
        <w:rPr>
          <w:rFonts w:ascii="Times New Roman" w:hAnsi="Times New Roman" w:cs="Times New Roman"/>
        </w:rPr>
        <w:t xml:space="preserve">participating in </w:t>
      </w:r>
      <w:r>
        <w:rPr>
          <w:rFonts w:ascii="Times New Roman" w:hAnsi="Times New Roman" w:cs="Times New Roman"/>
        </w:rPr>
        <w:t xml:space="preserve">an AAI-sponsored </w:t>
      </w:r>
      <w:r w:rsidR="00A23BB1">
        <w:rPr>
          <w:rFonts w:ascii="Times New Roman" w:hAnsi="Times New Roman" w:cs="Times New Roman"/>
        </w:rPr>
        <w:t>apprenticeship program</w:t>
      </w:r>
      <w:r w:rsidR="003B27CF">
        <w:rPr>
          <w:rFonts w:ascii="Times New Roman" w:hAnsi="Times New Roman" w:cs="Times New Roman"/>
        </w:rPr>
        <w:t xml:space="preserve"> and for whom contact information is available. </w:t>
      </w:r>
      <w:r w:rsidR="008B1634">
        <w:rPr>
          <w:rFonts w:ascii="Times New Roman" w:hAnsi="Times New Roman" w:cs="Times New Roman"/>
        </w:rPr>
        <w:t xml:space="preserve">All grantees will be interviewed, too, regarding employers who are part of the phone survey sample. </w:t>
      </w:r>
      <w:r w:rsidR="003B27CF">
        <w:rPr>
          <w:rFonts w:ascii="Times New Roman" w:hAnsi="Times New Roman" w:cs="Times New Roman"/>
        </w:rPr>
        <w:t xml:space="preserve">Thus, </w:t>
      </w:r>
      <w:r w:rsidR="001734DD" w:rsidRPr="009500CC">
        <w:rPr>
          <w:rFonts w:ascii="Times New Roman" w:hAnsi="Times New Roman" w:cs="Times New Roman"/>
        </w:rPr>
        <w:t xml:space="preserve">no sampling </w:t>
      </w:r>
      <w:r w:rsidR="00A23BB1">
        <w:rPr>
          <w:rFonts w:ascii="Times New Roman" w:hAnsi="Times New Roman" w:cs="Times New Roman"/>
        </w:rPr>
        <w:t>is</w:t>
      </w:r>
      <w:r w:rsidR="001734DD" w:rsidRPr="009500CC">
        <w:rPr>
          <w:rFonts w:ascii="Times New Roman" w:hAnsi="Times New Roman" w:cs="Times New Roman"/>
        </w:rPr>
        <w:t xml:space="preserve"> </w:t>
      </w:r>
      <w:r w:rsidR="003B27CF">
        <w:rPr>
          <w:rFonts w:ascii="Times New Roman" w:hAnsi="Times New Roman" w:cs="Times New Roman"/>
        </w:rPr>
        <w:t>planned</w:t>
      </w:r>
      <w:r w:rsidR="001734DD" w:rsidRPr="009500CC">
        <w:rPr>
          <w:rFonts w:ascii="Times New Roman" w:hAnsi="Times New Roman" w:cs="Times New Roman"/>
        </w:rPr>
        <w:t xml:space="preserve">. </w:t>
      </w:r>
    </w:p>
    <w:p w14:paraId="75C689B7" w14:textId="77777777" w:rsidR="006F4FE1" w:rsidRPr="009500CC" w:rsidRDefault="009E6E55" w:rsidP="006238D3">
      <w:pPr>
        <w:rPr>
          <w:rFonts w:ascii="Times New Roman" w:hAnsi="Times New Roman" w:cs="Times New Roman"/>
        </w:rPr>
      </w:pPr>
      <w:r>
        <w:rPr>
          <w:rFonts w:ascii="Times New Roman" w:hAnsi="Times New Roman" w:cs="Times New Roman"/>
        </w:rPr>
        <w:t>R</w:t>
      </w:r>
      <w:r w:rsidR="006F4FE1" w:rsidRPr="009500CC">
        <w:rPr>
          <w:rFonts w:ascii="Times New Roman" w:hAnsi="Times New Roman" w:cs="Times New Roman"/>
        </w:rPr>
        <w:t xml:space="preserve">esponses to the </w:t>
      </w:r>
      <w:r w:rsidR="00A23BB1">
        <w:rPr>
          <w:rFonts w:ascii="Times New Roman" w:hAnsi="Times New Roman" w:cs="Times New Roman"/>
        </w:rPr>
        <w:t>E</w:t>
      </w:r>
      <w:r w:rsidR="00A23BB1" w:rsidRPr="009500CC">
        <w:rPr>
          <w:rFonts w:ascii="Times New Roman" w:hAnsi="Times New Roman" w:cs="Times New Roman"/>
        </w:rPr>
        <w:t xml:space="preserve">mployer </w:t>
      </w:r>
      <w:r w:rsidR="00A23BB1">
        <w:rPr>
          <w:rFonts w:ascii="Times New Roman" w:hAnsi="Times New Roman" w:cs="Times New Roman"/>
        </w:rPr>
        <w:t>S</w:t>
      </w:r>
      <w:r w:rsidR="00A23BB1" w:rsidRPr="009500CC">
        <w:rPr>
          <w:rFonts w:ascii="Times New Roman" w:hAnsi="Times New Roman" w:cs="Times New Roman"/>
        </w:rPr>
        <w:t xml:space="preserve">urvey </w:t>
      </w:r>
      <w:r w:rsidR="006F4FE1" w:rsidRPr="009500CC">
        <w:rPr>
          <w:rFonts w:ascii="Times New Roman" w:hAnsi="Times New Roman" w:cs="Times New Roman"/>
        </w:rPr>
        <w:t xml:space="preserve">will be used to measure the return on investment to employers </w:t>
      </w:r>
      <w:r w:rsidR="003B27CF">
        <w:rPr>
          <w:rFonts w:ascii="Times New Roman" w:hAnsi="Times New Roman" w:cs="Times New Roman"/>
        </w:rPr>
        <w:t xml:space="preserve">hiring </w:t>
      </w:r>
      <w:r w:rsidR="006F4FE1" w:rsidRPr="009500CC">
        <w:rPr>
          <w:rFonts w:ascii="Times New Roman" w:hAnsi="Times New Roman" w:cs="Times New Roman"/>
        </w:rPr>
        <w:t>AAI</w:t>
      </w:r>
      <w:r w:rsidR="003B27CF">
        <w:rPr>
          <w:rFonts w:ascii="Times New Roman" w:hAnsi="Times New Roman" w:cs="Times New Roman"/>
        </w:rPr>
        <w:t>-linked apprentices</w:t>
      </w:r>
      <w:r w:rsidR="006F4FE1" w:rsidRPr="009500CC">
        <w:rPr>
          <w:rFonts w:ascii="Times New Roman" w:hAnsi="Times New Roman" w:cs="Times New Roman"/>
        </w:rPr>
        <w:t>. Key measures that will be derived from the survey include:</w:t>
      </w:r>
    </w:p>
    <w:p w14:paraId="5C9E1821" w14:textId="77777777" w:rsidR="006F4FE1" w:rsidRPr="009500CC" w:rsidRDefault="006F4FE1" w:rsidP="006F4FE1">
      <w:pPr>
        <w:pStyle w:val="ListParagraph"/>
        <w:numPr>
          <w:ilvl w:val="0"/>
          <w:numId w:val="9"/>
        </w:numPr>
        <w:rPr>
          <w:rFonts w:ascii="Times New Roman" w:hAnsi="Times New Roman" w:cs="Times New Roman"/>
        </w:rPr>
      </w:pPr>
      <w:r w:rsidRPr="009500CC">
        <w:rPr>
          <w:rFonts w:ascii="Times New Roman" w:hAnsi="Times New Roman" w:cs="Times New Roman"/>
        </w:rPr>
        <w:t>Costs:</w:t>
      </w:r>
    </w:p>
    <w:p w14:paraId="3810A47F" w14:textId="77777777" w:rsidR="006F4FE1" w:rsidRPr="009500CC" w:rsidRDefault="006F4FE1" w:rsidP="006F4FE1">
      <w:pPr>
        <w:pStyle w:val="ListParagraph"/>
        <w:numPr>
          <w:ilvl w:val="1"/>
          <w:numId w:val="9"/>
        </w:numPr>
        <w:rPr>
          <w:rFonts w:ascii="Times New Roman" w:hAnsi="Times New Roman" w:cs="Times New Roman"/>
        </w:rPr>
      </w:pPr>
      <w:r w:rsidRPr="009500CC">
        <w:rPr>
          <w:rFonts w:ascii="Times New Roman" w:hAnsi="Times New Roman" w:cs="Times New Roman"/>
        </w:rPr>
        <w:t>Cost of setting up and administering the apprenticeship program</w:t>
      </w:r>
    </w:p>
    <w:p w14:paraId="7183754C" w14:textId="77777777" w:rsidR="006F4FE1" w:rsidRPr="009500CC" w:rsidRDefault="006F4FE1" w:rsidP="006F4FE1">
      <w:pPr>
        <w:pStyle w:val="ListParagraph"/>
        <w:numPr>
          <w:ilvl w:val="1"/>
          <w:numId w:val="9"/>
        </w:numPr>
        <w:rPr>
          <w:rFonts w:ascii="Times New Roman" w:hAnsi="Times New Roman" w:cs="Times New Roman"/>
        </w:rPr>
      </w:pPr>
      <w:r w:rsidRPr="009500CC">
        <w:rPr>
          <w:rFonts w:ascii="Times New Roman" w:hAnsi="Times New Roman" w:cs="Times New Roman"/>
        </w:rPr>
        <w:t>Total compensation paid to apprentices</w:t>
      </w:r>
    </w:p>
    <w:p w14:paraId="5B37EAA8" w14:textId="77777777" w:rsidR="006F4FE1" w:rsidRPr="009500CC" w:rsidRDefault="006F4FE1" w:rsidP="006F4FE1">
      <w:pPr>
        <w:pStyle w:val="ListParagraph"/>
        <w:numPr>
          <w:ilvl w:val="1"/>
          <w:numId w:val="9"/>
        </w:numPr>
        <w:rPr>
          <w:rFonts w:ascii="Times New Roman" w:hAnsi="Times New Roman" w:cs="Times New Roman"/>
        </w:rPr>
      </w:pPr>
      <w:r w:rsidRPr="009500CC">
        <w:rPr>
          <w:rFonts w:ascii="Times New Roman" w:hAnsi="Times New Roman" w:cs="Times New Roman"/>
        </w:rPr>
        <w:t>Total training cost, including instruction, space and materials</w:t>
      </w:r>
    </w:p>
    <w:p w14:paraId="0B32073A" w14:textId="77777777" w:rsidR="006F4FE1" w:rsidRPr="009500CC" w:rsidRDefault="006F4FE1" w:rsidP="006F4FE1">
      <w:pPr>
        <w:pStyle w:val="ListParagraph"/>
        <w:numPr>
          <w:ilvl w:val="0"/>
          <w:numId w:val="9"/>
        </w:numPr>
        <w:rPr>
          <w:rFonts w:ascii="Times New Roman" w:hAnsi="Times New Roman" w:cs="Times New Roman"/>
        </w:rPr>
      </w:pPr>
      <w:r w:rsidRPr="009500CC">
        <w:rPr>
          <w:rFonts w:ascii="Times New Roman" w:hAnsi="Times New Roman" w:cs="Times New Roman"/>
        </w:rPr>
        <w:t>Benefits:</w:t>
      </w:r>
    </w:p>
    <w:p w14:paraId="194BE788" w14:textId="77777777" w:rsidR="006F4FE1" w:rsidRPr="009500CC" w:rsidRDefault="006F4FE1" w:rsidP="006F4FE1">
      <w:pPr>
        <w:pStyle w:val="ListParagraph"/>
        <w:numPr>
          <w:ilvl w:val="1"/>
          <w:numId w:val="9"/>
        </w:numPr>
        <w:rPr>
          <w:rFonts w:ascii="Times New Roman" w:hAnsi="Times New Roman" w:cs="Times New Roman"/>
        </w:rPr>
      </w:pPr>
      <w:r w:rsidRPr="009500CC">
        <w:rPr>
          <w:rFonts w:ascii="Times New Roman" w:hAnsi="Times New Roman" w:cs="Times New Roman"/>
        </w:rPr>
        <w:t>Value of apprentice production</w:t>
      </w:r>
    </w:p>
    <w:p w14:paraId="0FFE0D5F" w14:textId="77777777" w:rsidR="006F4FE1" w:rsidRPr="009500CC" w:rsidRDefault="006F4FE1" w:rsidP="006F4FE1">
      <w:pPr>
        <w:pStyle w:val="ListParagraph"/>
        <w:numPr>
          <w:ilvl w:val="1"/>
          <w:numId w:val="9"/>
        </w:numPr>
        <w:rPr>
          <w:rFonts w:ascii="Times New Roman" w:hAnsi="Times New Roman" w:cs="Times New Roman"/>
        </w:rPr>
      </w:pPr>
      <w:r w:rsidRPr="009500CC">
        <w:rPr>
          <w:rFonts w:ascii="Times New Roman" w:hAnsi="Times New Roman" w:cs="Times New Roman"/>
        </w:rPr>
        <w:t>Post-program benefits from reduced cost of hiring trained workers</w:t>
      </w:r>
    </w:p>
    <w:p w14:paraId="2053BB7F" w14:textId="77777777" w:rsidR="006F4FE1" w:rsidRPr="009500CC" w:rsidRDefault="00C9606F" w:rsidP="006F4FE1">
      <w:pPr>
        <w:pStyle w:val="ListParagraph"/>
        <w:numPr>
          <w:ilvl w:val="1"/>
          <w:numId w:val="9"/>
        </w:numPr>
        <w:rPr>
          <w:rFonts w:ascii="Times New Roman" w:hAnsi="Times New Roman" w:cs="Times New Roman"/>
        </w:rPr>
      </w:pPr>
      <w:r w:rsidRPr="009500CC">
        <w:rPr>
          <w:rFonts w:ascii="Times New Roman" w:hAnsi="Times New Roman" w:cs="Times New Roman"/>
        </w:rPr>
        <w:t>Reduced turnover</w:t>
      </w:r>
    </w:p>
    <w:p w14:paraId="474CC3A3" w14:textId="0C64F31C" w:rsidR="00C9606F" w:rsidRPr="009500CC" w:rsidRDefault="00C9606F" w:rsidP="00C9606F">
      <w:pPr>
        <w:rPr>
          <w:rFonts w:ascii="Times New Roman" w:hAnsi="Times New Roman" w:cs="Times New Roman"/>
        </w:rPr>
      </w:pPr>
      <w:r w:rsidRPr="009500CC">
        <w:rPr>
          <w:rFonts w:ascii="Times New Roman" w:hAnsi="Times New Roman" w:cs="Times New Roman"/>
        </w:rPr>
        <w:t xml:space="preserve">These measures are descriptive in nature, and will describe the costs and benefits of registered apprentices to employers. </w:t>
      </w:r>
      <w:r w:rsidR="004274B1">
        <w:rPr>
          <w:rFonts w:ascii="Times New Roman" w:hAnsi="Times New Roman" w:cs="Times New Roman"/>
        </w:rPr>
        <w:t xml:space="preserve">No statistical tests for differences in measures across </w:t>
      </w:r>
      <w:r w:rsidR="00E50A66">
        <w:rPr>
          <w:rFonts w:ascii="Times New Roman" w:hAnsi="Times New Roman" w:cs="Times New Roman"/>
        </w:rPr>
        <w:t>groups of employers are planned for measures based on the</w:t>
      </w:r>
      <w:r w:rsidR="004274B1">
        <w:rPr>
          <w:rFonts w:ascii="Times New Roman" w:hAnsi="Times New Roman" w:cs="Times New Roman"/>
        </w:rPr>
        <w:t xml:space="preserve"> </w:t>
      </w:r>
      <w:r w:rsidR="00E50A66">
        <w:rPr>
          <w:rFonts w:ascii="Times New Roman" w:hAnsi="Times New Roman" w:cs="Times New Roman"/>
        </w:rPr>
        <w:t>Employer S</w:t>
      </w:r>
      <w:r w:rsidR="004274B1">
        <w:rPr>
          <w:rFonts w:ascii="Times New Roman" w:hAnsi="Times New Roman" w:cs="Times New Roman"/>
        </w:rPr>
        <w:t xml:space="preserve">urvey. </w:t>
      </w:r>
      <w:r w:rsidR="000E5450">
        <w:rPr>
          <w:rFonts w:ascii="Times New Roman" w:hAnsi="Times New Roman" w:cs="Times New Roman"/>
        </w:rPr>
        <w:t xml:space="preserve">Because the Employer Survey is a one-time data collection, there will be no use of periodic data collection to reduce respondent burden. </w:t>
      </w:r>
      <w:r w:rsidR="000E5450" w:rsidRPr="000E5450">
        <w:rPr>
          <w:rFonts w:ascii="Times New Roman" w:hAnsi="Times New Roman" w:cs="Times New Roman"/>
        </w:rPr>
        <w:t xml:space="preserve"> </w:t>
      </w:r>
    </w:p>
    <w:p w14:paraId="66FA2F83" w14:textId="77777777" w:rsidR="00C9606F" w:rsidRPr="00B217A8" w:rsidRDefault="009635B7" w:rsidP="00C9606F">
      <w:pPr>
        <w:pStyle w:val="BodyText"/>
        <w:rPr>
          <w:b/>
          <w:i/>
          <w:szCs w:val="22"/>
        </w:rPr>
      </w:pPr>
      <w:r>
        <w:rPr>
          <w:b/>
          <w:i/>
          <w:szCs w:val="22"/>
        </w:rPr>
        <w:t>Participant</w:t>
      </w:r>
      <w:r w:rsidR="00C9606F" w:rsidRPr="00B217A8">
        <w:rPr>
          <w:b/>
          <w:i/>
          <w:szCs w:val="22"/>
        </w:rPr>
        <w:t xml:space="preserve"> Survey</w:t>
      </w:r>
    </w:p>
    <w:p w14:paraId="26FD92A0" w14:textId="77777777" w:rsidR="00C9606F" w:rsidRDefault="00F02590" w:rsidP="00C9606F">
      <w:pPr>
        <w:rPr>
          <w:rFonts w:ascii="Times New Roman" w:hAnsi="Times New Roman" w:cs="Times New Roman"/>
        </w:rPr>
      </w:pPr>
      <w:r>
        <w:rPr>
          <w:rFonts w:ascii="Times New Roman" w:hAnsi="Times New Roman" w:cs="Times New Roman"/>
        </w:rPr>
        <w:t>Respondents for the</w:t>
      </w:r>
      <w:r w:rsidRPr="009500CC">
        <w:rPr>
          <w:rFonts w:ascii="Times New Roman" w:hAnsi="Times New Roman" w:cs="Times New Roman"/>
        </w:rPr>
        <w:t xml:space="preserve"> </w:t>
      </w:r>
      <w:r w:rsidR="009635B7">
        <w:rPr>
          <w:rFonts w:ascii="Times New Roman" w:hAnsi="Times New Roman" w:cs="Times New Roman"/>
        </w:rPr>
        <w:t xml:space="preserve">Participant </w:t>
      </w:r>
      <w:r>
        <w:rPr>
          <w:rFonts w:ascii="Times New Roman" w:hAnsi="Times New Roman" w:cs="Times New Roman"/>
        </w:rPr>
        <w:t>S</w:t>
      </w:r>
      <w:r w:rsidRPr="009500CC">
        <w:rPr>
          <w:rFonts w:ascii="Times New Roman" w:hAnsi="Times New Roman" w:cs="Times New Roman"/>
        </w:rPr>
        <w:t xml:space="preserve">urvey </w:t>
      </w:r>
      <w:r w:rsidR="00C9606F" w:rsidRPr="009500CC">
        <w:rPr>
          <w:rFonts w:ascii="Times New Roman" w:hAnsi="Times New Roman" w:cs="Times New Roman"/>
        </w:rPr>
        <w:t xml:space="preserve">will </w:t>
      </w:r>
      <w:r>
        <w:rPr>
          <w:rFonts w:ascii="Times New Roman" w:hAnsi="Times New Roman" w:cs="Times New Roman"/>
        </w:rPr>
        <w:t xml:space="preserve">be selected through explicit stratification. </w:t>
      </w:r>
      <w:r w:rsidR="00C9606F" w:rsidRPr="009500CC">
        <w:rPr>
          <w:rFonts w:ascii="Times New Roman" w:hAnsi="Times New Roman" w:cs="Times New Roman"/>
        </w:rPr>
        <w:t xml:space="preserve">As described above, </w:t>
      </w:r>
      <w:r w:rsidR="006F2F47" w:rsidRPr="009500CC">
        <w:rPr>
          <w:rFonts w:ascii="Times New Roman" w:hAnsi="Times New Roman" w:cs="Times New Roman"/>
        </w:rPr>
        <w:t xml:space="preserve">the </w:t>
      </w:r>
      <w:r w:rsidR="009E6E55">
        <w:rPr>
          <w:rFonts w:ascii="Times New Roman" w:hAnsi="Times New Roman" w:cs="Times New Roman"/>
        </w:rPr>
        <w:t>set of eligible participants will be stratified across three dimensions: occupation (</w:t>
      </w:r>
      <w:r w:rsidR="001E485D">
        <w:rPr>
          <w:rFonts w:ascii="Times New Roman" w:hAnsi="Times New Roman" w:cs="Times New Roman"/>
        </w:rPr>
        <w:t xml:space="preserve">construction, </w:t>
      </w:r>
      <w:r w:rsidR="009F31A6">
        <w:rPr>
          <w:rFonts w:ascii="Times New Roman" w:hAnsi="Times New Roman" w:cs="Times New Roman"/>
        </w:rPr>
        <w:t>production and maintenance</w:t>
      </w:r>
      <w:r w:rsidR="001E485D">
        <w:rPr>
          <w:rFonts w:ascii="Times New Roman" w:hAnsi="Times New Roman" w:cs="Times New Roman"/>
        </w:rPr>
        <w:t>, or other)</w:t>
      </w:r>
      <w:r w:rsidR="009E6E55">
        <w:rPr>
          <w:rFonts w:ascii="Times New Roman" w:hAnsi="Times New Roman" w:cs="Times New Roman"/>
        </w:rPr>
        <w:t xml:space="preserve">, sex (male or female), and race/ethnicity (Hispanic, white non-Hispanic, black non-Hispanic, and other). This produces </w:t>
      </w:r>
      <w:r w:rsidR="00732B56">
        <w:rPr>
          <w:rFonts w:ascii="Times New Roman" w:hAnsi="Times New Roman" w:cs="Times New Roman"/>
        </w:rPr>
        <w:t xml:space="preserve">24 </w:t>
      </w:r>
      <w:r w:rsidR="009E6E55">
        <w:rPr>
          <w:rFonts w:ascii="Times New Roman" w:hAnsi="Times New Roman" w:cs="Times New Roman"/>
        </w:rPr>
        <w:t>total stratification cells (</w:t>
      </w:r>
      <w:r w:rsidR="003B27CF">
        <w:rPr>
          <w:rFonts w:ascii="Times New Roman" w:hAnsi="Times New Roman" w:cs="Times New Roman"/>
        </w:rPr>
        <w:t>three</w:t>
      </w:r>
      <w:r w:rsidR="00732B56">
        <w:rPr>
          <w:rFonts w:ascii="Times New Roman" w:hAnsi="Times New Roman" w:cs="Times New Roman"/>
        </w:rPr>
        <w:t xml:space="preserve"> </w:t>
      </w:r>
      <w:r w:rsidR="009E6E55">
        <w:rPr>
          <w:rFonts w:ascii="Times New Roman" w:hAnsi="Times New Roman" w:cs="Times New Roman"/>
        </w:rPr>
        <w:t xml:space="preserve">occupation x </w:t>
      </w:r>
      <w:r w:rsidR="003B27CF">
        <w:rPr>
          <w:rFonts w:ascii="Times New Roman" w:hAnsi="Times New Roman" w:cs="Times New Roman"/>
        </w:rPr>
        <w:t>two</w:t>
      </w:r>
      <w:r w:rsidR="009E6E55">
        <w:rPr>
          <w:rFonts w:ascii="Times New Roman" w:hAnsi="Times New Roman" w:cs="Times New Roman"/>
        </w:rPr>
        <w:t xml:space="preserve"> sex x </w:t>
      </w:r>
      <w:r w:rsidR="003B27CF">
        <w:rPr>
          <w:rFonts w:ascii="Times New Roman" w:hAnsi="Times New Roman" w:cs="Times New Roman"/>
        </w:rPr>
        <w:t>four</w:t>
      </w:r>
      <w:r w:rsidR="009E6E55">
        <w:rPr>
          <w:rFonts w:ascii="Times New Roman" w:hAnsi="Times New Roman" w:cs="Times New Roman"/>
        </w:rPr>
        <w:t xml:space="preserve"> race/ethnicity). The sample probability for participants will vary by cell, and will </w:t>
      </w:r>
      <w:r w:rsidR="00A95C3D">
        <w:rPr>
          <w:rFonts w:ascii="Times New Roman" w:hAnsi="Times New Roman" w:cs="Times New Roman"/>
        </w:rPr>
        <w:t xml:space="preserve">be </w:t>
      </w:r>
      <w:r w:rsidR="009E6E55">
        <w:rPr>
          <w:rFonts w:ascii="Times New Roman" w:hAnsi="Times New Roman" w:cs="Times New Roman"/>
        </w:rPr>
        <w:t xml:space="preserve">calculated such that random sampling from each cell produces the intended </w:t>
      </w:r>
      <w:r w:rsidR="009E6E55" w:rsidRPr="009E6E55">
        <w:rPr>
          <w:rFonts w:ascii="Times New Roman" w:hAnsi="Times New Roman" w:cs="Times New Roman"/>
        </w:rPr>
        <w:t xml:space="preserve">distribution </w:t>
      </w:r>
      <w:r w:rsidR="009E6E55">
        <w:rPr>
          <w:rFonts w:ascii="Times New Roman" w:hAnsi="Times New Roman" w:cs="Times New Roman"/>
        </w:rPr>
        <w:t>across occupation, sex, and race/ethnicity described in section B1 above</w:t>
      </w:r>
      <w:r w:rsidR="009E6E55" w:rsidRPr="009E6E55">
        <w:rPr>
          <w:rFonts w:ascii="Times New Roman" w:hAnsi="Times New Roman" w:cs="Times New Roman"/>
        </w:rPr>
        <w:t xml:space="preserve">. </w:t>
      </w:r>
    </w:p>
    <w:p w14:paraId="68EEDC63" w14:textId="77777777" w:rsidR="006F2F47" w:rsidRPr="00DB3EBB" w:rsidRDefault="009E6E55" w:rsidP="00C9606F">
      <w:pPr>
        <w:rPr>
          <w:rFonts w:ascii="Times New Roman" w:hAnsi="Times New Roman" w:cs="Times New Roman"/>
        </w:rPr>
      </w:pPr>
      <w:r>
        <w:rPr>
          <w:rFonts w:ascii="Times New Roman" w:hAnsi="Times New Roman" w:cs="Times New Roman"/>
        </w:rPr>
        <w:t xml:space="preserve">The </w:t>
      </w:r>
      <w:r w:rsidR="00C6279C">
        <w:rPr>
          <w:rFonts w:ascii="Times New Roman" w:hAnsi="Times New Roman" w:cs="Times New Roman"/>
        </w:rPr>
        <w:t>Participant</w:t>
      </w:r>
      <w:r w:rsidR="00A23BB1">
        <w:rPr>
          <w:rFonts w:ascii="Times New Roman" w:hAnsi="Times New Roman" w:cs="Times New Roman"/>
        </w:rPr>
        <w:t xml:space="preserve"> Survey </w:t>
      </w:r>
      <w:r>
        <w:rPr>
          <w:rFonts w:ascii="Times New Roman" w:hAnsi="Times New Roman" w:cs="Times New Roman"/>
        </w:rPr>
        <w:t xml:space="preserve">will be used to </w:t>
      </w:r>
      <w:r w:rsidR="009F31A6">
        <w:rPr>
          <w:rFonts w:ascii="Times New Roman" w:hAnsi="Times New Roman" w:cs="Times New Roman"/>
        </w:rPr>
        <w:t xml:space="preserve">calculate </w:t>
      </w:r>
      <w:r>
        <w:rPr>
          <w:rFonts w:ascii="Times New Roman" w:hAnsi="Times New Roman" w:cs="Times New Roman"/>
        </w:rPr>
        <w:t>key outcome</w:t>
      </w:r>
      <w:r w:rsidR="003B27CF">
        <w:rPr>
          <w:rFonts w:ascii="Times New Roman" w:hAnsi="Times New Roman" w:cs="Times New Roman"/>
        </w:rPr>
        <w:t xml:space="preserve"> measures</w:t>
      </w:r>
      <w:r>
        <w:rPr>
          <w:rFonts w:ascii="Times New Roman" w:hAnsi="Times New Roman" w:cs="Times New Roman"/>
        </w:rPr>
        <w:t>. These include:</w:t>
      </w:r>
    </w:p>
    <w:p w14:paraId="2E89C11F" w14:textId="77777777" w:rsidR="006F2F47" w:rsidRPr="009500CC" w:rsidRDefault="006F2F47" w:rsidP="006F2F47">
      <w:pPr>
        <w:pStyle w:val="ListParagraph"/>
        <w:numPr>
          <w:ilvl w:val="0"/>
          <w:numId w:val="10"/>
        </w:numPr>
        <w:rPr>
          <w:rFonts w:ascii="Times New Roman" w:hAnsi="Times New Roman" w:cs="Times New Roman"/>
        </w:rPr>
      </w:pPr>
      <w:r w:rsidRPr="00DB3EBB">
        <w:rPr>
          <w:rFonts w:ascii="Times New Roman" w:hAnsi="Times New Roman" w:cs="Times New Roman"/>
        </w:rPr>
        <w:t xml:space="preserve">Program </w:t>
      </w:r>
      <w:r w:rsidR="00AA75A3" w:rsidRPr="00DB3EBB">
        <w:rPr>
          <w:rFonts w:ascii="Times New Roman" w:hAnsi="Times New Roman" w:cs="Times New Roman"/>
        </w:rPr>
        <w:t xml:space="preserve">retention, </w:t>
      </w:r>
      <w:r w:rsidRPr="009500CC">
        <w:rPr>
          <w:rFonts w:ascii="Times New Roman" w:hAnsi="Times New Roman" w:cs="Times New Roman"/>
        </w:rPr>
        <w:t>completion, placement, and duration</w:t>
      </w:r>
    </w:p>
    <w:p w14:paraId="75C27F1A" w14:textId="77777777" w:rsidR="00AA75A3" w:rsidRPr="009500CC" w:rsidRDefault="00AA75A3" w:rsidP="006F2F47">
      <w:pPr>
        <w:pStyle w:val="ListParagraph"/>
        <w:numPr>
          <w:ilvl w:val="0"/>
          <w:numId w:val="10"/>
        </w:numPr>
        <w:rPr>
          <w:rFonts w:ascii="Times New Roman" w:hAnsi="Times New Roman" w:cs="Times New Roman"/>
        </w:rPr>
      </w:pPr>
      <w:r w:rsidRPr="009500CC">
        <w:rPr>
          <w:rFonts w:ascii="Times New Roman" w:hAnsi="Times New Roman" w:cs="Times New Roman"/>
        </w:rPr>
        <w:t>S</w:t>
      </w:r>
      <w:r w:rsidR="009E6E55">
        <w:rPr>
          <w:rFonts w:ascii="Times New Roman" w:hAnsi="Times New Roman" w:cs="Times New Roman"/>
        </w:rPr>
        <w:t>k</w:t>
      </w:r>
      <w:r w:rsidRPr="009500CC">
        <w:rPr>
          <w:rFonts w:ascii="Times New Roman" w:hAnsi="Times New Roman" w:cs="Times New Roman"/>
        </w:rPr>
        <w:t>ills and credentials acquired during apprenticeship, including</w:t>
      </w:r>
    </w:p>
    <w:p w14:paraId="4192F52B" w14:textId="77777777" w:rsidR="00AA75A3" w:rsidRPr="009500CC" w:rsidRDefault="00AA75A3" w:rsidP="00AA75A3">
      <w:pPr>
        <w:pStyle w:val="ListParagraph"/>
        <w:numPr>
          <w:ilvl w:val="1"/>
          <w:numId w:val="10"/>
        </w:numPr>
        <w:rPr>
          <w:rFonts w:ascii="Times New Roman" w:hAnsi="Times New Roman" w:cs="Times New Roman"/>
        </w:rPr>
      </w:pPr>
      <w:r w:rsidRPr="009500CC">
        <w:rPr>
          <w:rFonts w:ascii="Times New Roman" w:hAnsi="Times New Roman" w:cs="Times New Roman"/>
        </w:rPr>
        <w:t>Receipt of related technical instruction</w:t>
      </w:r>
    </w:p>
    <w:p w14:paraId="3DD43BAD" w14:textId="77777777" w:rsidR="00AA75A3" w:rsidRPr="009500CC" w:rsidRDefault="00AA75A3" w:rsidP="00AA75A3">
      <w:pPr>
        <w:pStyle w:val="ListParagraph"/>
        <w:numPr>
          <w:ilvl w:val="1"/>
          <w:numId w:val="10"/>
        </w:numPr>
        <w:rPr>
          <w:rFonts w:ascii="Times New Roman" w:hAnsi="Times New Roman" w:cs="Times New Roman"/>
        </w:rPr>
      </w:pPr>
      <w:r w:rsidRPr="009500CC">
        <w:rPr>
          <w:rFonts w:ascii="Times New Roman" w:hAnsi="Times New Roman" w:cs="Times New Roman"/>
        </w:rPr>
        <w:t>Receipt of on-the-job training</w:t>
      </w:r>
    </w:p>
    <w:p w14:paraId="12023983" w14:textId="77777777" w:rsidR="00AA75A3" w:rsidRPr="009500CC" w:rsidRDefault="00AA75A3" w:rsidP="00AA75A3">
      <w:pPr>
        <w:pStyle w:val="ListParagraph"/>
        <w:numPr>
          <w:ilvl w:val="1"/>
          <w:numId w:val="10"/>
        </w:numPr>
        <w:rPr>
          <w:rFonts w:ascii="Times New Roman" w:hAnsi="Times New Roman" w:cs="Times New Roman"/>
        </w:rPr>
      </w:pPr>
      <w:r w:rsidRPr="009500CC">
        <w:rPr>
          <w:rFonts w:ascii="Times New Roman" w:hAnsi="Times New Roman" w:cs="Times New Roman"/>
        </w:rPr>
        <w:t xml:space="preserve">Perceived quality </w:t>
      </w:r>
      <w:r w:rsidR="00F02590">
        <w:rPr>
          <w:rFonts w:ascii="Times New Roman" w:hAnsi="Times New Roman" w:cs="Times New Roman"/>
        </w:rPr>
        <w:t xml:space="preserve">and value </w:t>
      </w:r>
      <w:r w:rsidRPr="009500CC">
        <w:rPr>
          <w:rFonts w:ascii="Times New Roman" w:hAnsi="Times New Roman" w:cs="Times New Roman"/>
        </w:rPr>
        <w:t>of instruction and on-the-job training</w:t>
      </w:r>
    </w:p>
    <w:p w14:paraId="7A650C03" w14:textId="77777777" w:rsidR="00AA75A3" w:rsidRPr="009500CC" w:rsidRDefault="00AA75A3" w:rsidP="00AA75A3">
      <w:pPr>
        <w:pStyle w:val="ListParagraph"/>
        <w:numPr>
          <w:ilvl w:val="1"/>
          <w:numId w:val="10"/>
        </w:numPr>
        <w:rPr>
          <w:rFonts w:ascii="Times New Roman" w:hAnsi="Times New Roman" w:cs="Times New Roman"/>
        </w:rPr>
      </w:pPr>
      <w:r w:rsidRPr="009500CC">
        <w:rPr>
          <w:rFonts w:ascii="Times New Roman" w:hAnsi="Times New Roman" w:cs="Times New Roman"/>
        </w:rPr>
        <w:t>Receipt of certificates or license</w:t>
      </w:r>
    </w:p>
    <w:p w14:paraId="118ABC7D" w14:textId="77777777" w:rsidR="006F2F47" w:rsidRPr="009500CC" w:rsidRDefault="006F2F47" w:rsidP="006F2F47">
      <w:pPr>
        <w:pStyle w:val="ListParagraph"/>
        <w:numPr>
          <w:ilvl w:val="0"/>
          <w:numId w:val="10"/>
        </w:numPr>
        <w:rPr>
          <w:rFonts w:ascii="Times New Roman" w:hAnsi="Times New Roman" w:cs="Times New Roman"/>
        </w:rPr>
      </w:pPr>
      <w:r w:rsidRPr="009500CC">
        <w:rPr>
          <w:rFonts w:ascii="Times New Roman" w:hAnsi="Times New Roman" w:cs="Times New Roman"/>
        </w:rPr>
        <w:t xml:space="preserve"> </w:t>
      </w:r>
      <w:r w:rsidR="00AA75A3" w:rsidRPr="009500CC">
        <w:rPr>
          <w:rFonts w:ascii="Times New Roman" w:hAnsi="Times New Roman" w:cs="Times New Roman"/>
        </w:rPr>
        <w:t>Employment outcomes</w:t>
      </w:r>
    </w:p>
    <w:p w14:paraId="126DC262" w14:textId="77777777" w:rsidR="00AA75A3" w:rsidRPr="009500CC" w:rsidRDefault="003569CA" w:rsidP="00AA75A3">
      <w:pPr>
        <w:pStyle w:val="ListParagraph"/>
        <w:numPr>
          <w:ilvl w:val="1"/>
          <w:numId w:val="10"/>
        </w:numPr>
        <w:rPr>
          <w:rFonts w:ascii="Times New Roman" w:hAnsi="Times New Roman" w:cs="Times New Roman"/>
        </w:rPr>
      </w:pPr>
      <w:r>
        <w:rPr>
          <w:rFonts w:ascii="Times New Roman" w:hAnsi="Times New Roman" w:cs="Times New Roman"/>
        </w:rPr>
        <w:t xml:space="preserve">Hourly wage and hours worked </w:t>
      </w:r>
      <w:r w:rsidR="00AA75A3" w:rsidRPr="009500CC">
        <w:rPr>
          <w:rFonts w:ascii="Times New Roman" w:hAnsi="Times New Roman" w:cs="Times New Roman"/>
        </w:rPr>
        <w:t>during and after apprenticeship</w:t>
      </w:r>
    </w:p>
    <w:p w14:paraId="17C6DB35" w14:textId="77777777" w:rsidR="00AA75A3" w:rsidRPr="009500CC" w:rsidRDefault="00AA75A3" w:rsidP="00AA75A3">
      <w:pPr>
        <w:pStyle w:val="ListParagraph"/>
        <w:numPr>
          <w:ilvl w:val="1"/>
          <w:numId w:val="10"/>
        </w:numPr>
        <w:rPr>
          <w:rFonts w:ascii="Times New Roman" w:hAnsi="Times New Roman" w:cs="Times New Roman"/>
        </w:rPr>
      </w:pPr>
      <w:r w:rsidRPr="009500CC">
        <w:rPr>
          <w:rFonts w:ascii="Times New Roman" w:hAnsi="Times New Roman" w:cs="Times New Roman"/>
        </w:rPr>
        <w:t>Job occupation</w:t>
      </w:r>
    </w:p>
    <w:p w14:paraId="42D43D2C" w14:textId="77777777" w:rsidR="00E240CF" w:rsidRDefault="003B27CF" w:rsidP="00E240CF">
      <w:pPr>
        <w:pStyle w:val="BodyText"/>
      </w:pPr>
      <w:r>
        <w:t xml:space="preserve">The evaluator will conduct </w:t>
      </w:r>
      <w:r w:rsidR="00E240CF">
        <w:t xml:space="preserve">simple tabulation of means, </w:t>
      </w:r>
      <w:r>
        <w:t xml:space="preserve">as well as </w:t>
      </w:r>
      <w:r w:rsidR="00E240CF">
        <w:t xml:space="preserve">produce regression-adjusted means in order to make direct comparisons between some subgroups. For example, regression-adjusted means would be used </w:t>
      </w:r>
      <w:r w:rsidR="000C58A6">
        <w:t xml:space="preserve">to </w:t>
      </w:r>
      <w:r w:rsidR="00E240CF">
        <w:t>compar</w:t>
      </w:r>
      <w:r>
        <w:t>e</w:t>
      </w:r>
      <w:r w:rsidR="00E240CF">
        <w:t xml:space="preserve"> outcomes like completion rates or wage growth for participants apprenticing for different occupations, where the differences in outcomes may be strongly influenced by differences in the backgrounds of individuals entering different occupations. The regression-adjusted means will be estimated using logistic regression for binary outcomes and ordinary least squares (OLS) for continuous outcomes. </w:t>
      </w:r>
    </w:p>
    <w:p w14:paraId="633B8E4F" w14:textId="77777777" w:rsidR="00312F02" w:rsidRDefault="00E240CF" w:rsidP="00312F02">
      <w:pPr>
        <w:rPr>
          <w:rFonts w:ascii="Times New Roman" w:hAnsi="Times New Roman" w:cs="Times New Roman"/>
        </w:rPr>
      </w:pPr>
      <w:r>
        <w:rPr>
          <w:rFonts w:ascii="Times New Roman" w:hAnsi="Times New Roman" w:cs="Times New Roman"/>
        </w:rPr>
        <w:t xml:space="preserve">Because some of the subgroups of interest are small, </w:t>
      </w:r>
      <w:r w:rsidR="003B27CF">
        <w:rPr>
          <w:rFonts w:ascii="Times New Roman" w:hAnsi="Times New Roman" w:cs="Times New Roman"/>
        </w:rPr>
        <w:t xml:space="preserve">the evaluator </w:t>
      </w:r>
      <w:r>
        <w:rPr>
          <w:rFonts w:ascii="Times New Roman" w:hAnsi="Times New Roman" w:cs="Times New Roman"/>
        </w:rPr>
        <w:t>will disproportionately sample from these smaller subgroups in order to increase their sample size (as described in section B1)</w:t>
      </w:r>
      <w:r w:rsidR="000C58A6">
        <w:rPr>
          <w:rFonts w:ascii="Times New Roman" w:hAnsi="Times New Roman" w:cs="Times New Roman"/>
        </w:rPr>
        <w:t xml:space="preserve">, </w:t>
      </w:r>
      <w:r w:rsidR="006A3B2C">
        <w:rPr>
          <w:rFonts w:ascii="Times New Roman" w:hAnsi="Times New Roman" w:cs="Times New Roman"/>
        </w:rPr>
        <w:t>reduc</w:t>
      </w:r>
      <w:r w:rsidR="000C58A6">
        <w:rPr>
          <w:rFonts w:ascii="Times New Roman" w:hAnsi="Times New Roman" w:cs="Times New Roman"/>
        </w:rPr>
        <w:t>ing</w:t>
      </w:r>
      <w:r>
        <w:rPr>
          <w:rFonts w:ascii="Times New Roman" w:hAnsi="Times New Roman" w:cs="Times New Roman"/>
        </w:rPr>
        <w:t xml:space="preserve"> the variance of both simple and regression-adjusted means for these subgroups, and </w:t>
      </w:r>
      <w:r w:rsidR="00EE4BFF">
        <w:rPr>
          <w:rFonts w:ascii="Times New Roman" w:hAnsi="Times New Roman" w:cs="Times New Roman"/>
        </w:rPr>
        <w:t xml:space="preserve">enabling </w:t>
      </w:r>
      <w:r w:rsidR="003B27CF">
        <w:rPr>
          <w:rFonts w:ascii="Times New Roman" w:hAnsi="Times New Roman" w:cs="Times New Roman"/>
        </w:rPr>
        <w:t xml:space="preserve">the evaluator </w:t>
      </w:r>
      <w:r>
        <w:rPr>
          <w:rFonts w:ascii="Times New Roman" w:hAnsi="Times New Roman" w:cs="Times New Roman"/>
        </w:rPr>
        <w:t xml:space="preserve">to better detect differences in means between the subgroups. </w:t>
      </w:r>
      <w:r w:rsidR="000C58A6" w:rsidRPr="000C58A6">
        <w:rPr>
          <w:rFonts w:ascii="Times New Roman" w:hAnsi="Times New Roman" w:cs="Times New Roman"/>
        </w:rPr>
        <w:t xml:space="preserve"> </w:t>
      </w:r>
      <w:r w:rsidR="000C58A6">
        <w:rPr>
          <w:rFonts w:ascii="Times New Roman" w:hAnsi="Times New Roman" w:cs="Times New Roman"/>
        </w:rPr>
        <w:t xml:space="preserve">Where feasible </w:t>
      </w:r>
      <w:r w:rsidR="003B27CF">
        <w:rPr>
          <w:rFonts w:ascii="Times New Roman" w:hAnsi="Times New Roman" w:cs="Times New Roman"/>
        </w:rPr>
        <w:t xml:space="preserve">the evaluator will </w:t>
      </w:r>
      <w:r w:rsidR="000C58A6">
        <w:rPr>
          <w:rFonts w:ascii="Times New Roman" w:hAnsi="Times New Roman" w:cs="Times New Roman"/>
        </w:rPr>
        <w:t>set the sampling</w:t>
      </w:r>
      <w:r w:rsidR="00EE4BFF">
        <w:rPr>
          <w:rFonts w:ascii="Times New Roman" w:hAnsi="Times New Roman" w:cs="Times New Roman"/>
        </w:rPr>
        <w:t xml:space="preserve"> probabilities to produce equally-</w:t>
      </w:r>
      <w:r w:rsidR="000C58A6">
        <w:rPr>
          <w:rFonts w:ascii="Times New Roman" w:hAnsi="Times New Roman" w:cs="Times New Roman"/>
        </w:rPr>
        <w:t>sized samples of subgroups of interest (e.g., between the three largest race/ethnic groups)</w:t>
      </w:r>
      <w:r w:rsidR="003B27CF">
        <w:rPr>
          <w:rFonts w:ascii="Times New Roman" w:hAnsi="Times New Roman" w:cs="Times New Roman"/>
        </w:rPr>
        <w:t xml:space="preserve">, which will </w:t>
      </w:r>
      <w:r w:rsidR="000C58A6">
        <w:rPr>
          <w:rFonts w:ascii="Times New Roman" w:hAnsi="Times New Roman" w:cs="Times New Roman"/>
        </w:rPr>
        <w:t>minimize the standard errors on difference-in-means estimat</w:t>
      </w:r>
      <w:r w:rsidR="00EE4BFF">
        <w:rPr>
          <w:rFonts w:ascii="Times New Roman" w:hAnsi="Times New Roman" w:cs="Times New Roman"/>
        </w:rPr>
        <w:t>ors</w:t>
      </w:r>
      <w:r w:rsidR="000C58A6">
        <w:rPr>
          <w:rFonts w:ascii="Times New Roman" w:hAnsi="Times New Roman" w:cs="Times New Roman"/>
        </w:rPr>
        <w:t xml:space="preserve">. Women constitute too small of a fraction of AAI participants to permit creation of a survey sample that is split evenly split between women and men, but </w:t>
      </w:r>
      <w:r w:rsidR="003B27CF">
        <w:rPr>
          <w:rFonts w:ascii="Times New Roman" w:hAnsi="Times New Roman" w:cs="Times New Roman"/>
        </w:rPr>
        <w:t xml:space="preserve">the evaluator </w:t>
      </w:r>
      <w:r w:rsidR="000C58A6">
        <w:rPr>
          <w:rFonts w:ascii="Times New Roman" w:hAnsi="Times New Roman" w:cs="Times New Roman"/>
        </w:rPr>
        <w:t xml:space="preserve">doubled the sampling rate for women in order to </w:t>
      </w:r>
      <w:r w:rsidR="003F04F1">
        <w:rPr>
          <w:rFonts w:ascii="Times New Roman" w:hAnsi="Times New Roman" w:cs="Times New Roman"/>
        </w:rPr>
        <w:t>decrease</w:t>
      </w:r>
      <w:r w:rsidR="000C58A6">
        <w:rPr>
          <w:rFonts w:ascii="Times New Roman" w:hAnsi="Times New Roman" w:cs="Times New Roman"/>
        </w:rPr>
        <w:t xml:space="preserve"> the variance of subgroup estimates of their outcomes as much as possible.</w:t>
      </w:r>
    </w:p>
    <w:p w14:paraId="7ECF57EB" w14:textId="77777777" w:rsidR="000E5450" w:rsidRPr="009500CC" w:rsidRDefault="000E5450" w:rsidP="000E5450">
      <w:pPr>
        <w:rPr>
          <w:rFonts w:ascii="Times New Roman" w:hAnsi="Times New Roman" w:cs="Times New Roman"/>
        </w:rPr>
      </w:pPr>
      <w:r>
        <w:rPr>
          <w:rFonts w:ascii="Times New Roman" w:hAnsi="Times New Roman" w:cs="Times New Roman"/>
        </w:rPr>
        <w:t xml:space="preserve">Because the Participant Survey is a one-time data collection, there will be no use of periodic data collection to reduce respondent burden. </w:t>
      </w:r>
      <w:r w:rsidRPr="000E5450">
        <w:rPr>
          <w:rFonts w:ascii="Times New Roman" w:hAnsi="Times New Roman" w:cs="Times New Roman"/>
        </w:rPr>
        <w:t xml:space="preserve"> </w:t>
      </w:r>
    </w:p>
    <w:p w14:paraId="736CCFCC" w14:textId="77777777" w:rsidR="00F05FE7" w:rsidRPr="00B217A8" w:rsidRDefault="009500CC" w:rsidP="00630FBE">
      <w:pPr>
        <w:pStyle w:val="BodyText"/>
        <w:rPr>
          <w:b/>
          <w:szCs w:val="22"/>
        </w:rPr>
      </w:pPr>
      <w:r w:rsidRPr="00B217A8">
        <w:rPr>
          <w:b/>
          <w:szCs w:val="22"/>
        </w:rPr>
        <w:t>B</w:t>
      </w:r>
      <w:r w:rsidR="00F05FE7" w:rsidRPr="00B217A8">
        <w:rPr>
          <w:b/>
          <w:szCs w:val="22"/>
        </w:rPr>
        <w:t>3.</w:t>
      </w:r>
      <w:r w:rsidRPr="00B217A8">
        <w:rPr>
          <w:b/>
          <w:szCs w:val="22"/>
        </w:rPr>
        <w:t xml:space="preserve"> </w:t>
      </w:r>
      <w:r w:rsidR="00787FDB">
        <w:rPr>
          <w:b/>
          <w:szCs w:val="22"/>
        </w:rPr>
        <w:t xml:space="preserve">Methods to </w:t>
      </w:r>
      <w:r w:rsidRPr="00B217A8">
        <w:rPr>
          <w:b/>
          <w:szCs w:val="22"/>
        </w:rPr>
        <w:t>Maximiz</w:t>
      </w:r>
      <w:r w:rsidR="00787FDB">
        <w:rPr>
          <w:b/>
          <w:szCs w:val="22"/>
        </w:rPr>
        <w:t>e</w:t>
      </w:r>
      <w:r w:rsidRPr="00B217A8">
        <w:rPr>
          <w:b/>
          <w:szCs w:val="22"/>
        </w:rPr>
        <w:t xml:space="preserve"> Response Rates and </w:t>
      </w:r>
      <w:r w:rsidR="00787FDB">
        <w:rPr>
          <w:b/>
          <w:szCs w:val="22"/>
        </w:rPr>
        <w:t>Minimize</w:t>
      </w:r>
      <w:r w:rsidRPr="00B217A8">
        <w:rPr>
          <w:b/>
          <w:szCs w:val="22"/>
        </w:rPr>
        <w:t xml:space="preserve"> Nonresponse</w:t>
      </w:r>
    </w:p>
    <w:p w14:paraId="306CC803" w14:textId="77777777" w:rsidR="00630FBE" w:rsidRPr="009500CC" w:rsidRDefault="00630FBE" w:rsidP="00630FBE">
      <w:pPr>
        <w:pStyle w:val="BodyText"/>
        <w:rPr>
          <w:b/>
          <w:i/>
          <w:szCs w:val="22"/>
        </w:rPr>
      </w:pPr>
      <w:r w:rsidRPr="009500CC">
        <w:rPr>
          <w:b/>
          <w:i/>
          <w:szCs w:val="22"/>
        </w:rPr>
        <w:t>Employer Survey</w:t>
      </w:r>
    </w:p>
    <w:p w14:paraId="5841DB27" w14:textId="75FE3B5A" w:rsidR="008C32EC" w:rsidRDefault="008C32EC" w:rsidP="00630FBE">
      <w:pPr>
        <w:pStyle w:val="BodyText"/>
        <w:rPr>
          <w:szCs w:val="22"/>
        </w:rPr>
      </w:pPr>
      <w:r>
        <w:rPr>
          <w:szCs w:val="22"/>
        </w:rPr>
        <w:t xml:space="preserve">As noted in section B1, the </w:t>
      </w:r>
      <w:r w:rsidR="00E96879">
        <w:rPr>
          <w:szCs w:val="22"/>
        </w:rPr>
        <w:t>evaluator</w:t>
      </w:r>
      <w:r>
        <w:rPr>
          <w:szCs w:val="22"/>
        </w:rPr>
        <w:t xml:space="preserve"> will aim to achieve </w:t>
      </w:r>
      <w:r w:rsidR="00323324">
        <w:rPr>
          <w:szCs w:val="22"/>
        </w:rPr>
        <w:t>the highest response rate possible</w:t>
      </w:r>
      <w:r w:rsidR="00EE4BFF">
        <w:rPr>
          <w:szCs w:val="22"/>
        </w:rPr>
        <w:t xml:space="preserve">. </w:t>
      </w:r>
      <w:r w:rsidR="004B39FE">
        <w:rPr>
          <w:szCs w:val="22"/>
        </w:rPr>
        <w:t>The mode of a telephone survey was selected because of its potential to achieve a higher response rate than prior researchers’ attempts to survey employers online. The evaluators have a goal of an 80 percent response rate</w:t>
      </w:r>
      <w:r>
        <w:rPr>
          <w:szCs w:val="22"/>
        </w:rPr>
        <w:t xml:space="preserve">. </w:t>
      </w:r>
      <w:r w:rsidR="00D83A12">
        <w:rPr>
          <w:szCs w:val="22"/>
        </w:rPr>
        <w:t xml:space="preserve">The following steps will be taken to </w:t>
      </w:r>
      <w:r>
        <w:rPr>
          <w:szCs w:val="22"/>
        </w:rPr>
        <w:t>maximize the response rate:</w:t>
      </w:r>
    </w:p>
    <w:p w14:paraId="71814C9E" w14:textId="77777777" w:rsidR="00F56D01" w:rsidRDefault="00F56D01" w:rsidP="008C32EC">
      <w:pPr>
        <w:pStyle w:val="BodyText"/>
        <w:numPr>
          <w:ilvl w:val="0"/>
          <w:numId w:val="11"/>
        </w:numPr>
        <w:spacing w:after="120"/>
        <w:rPr>
          <w:szCs w:val="22"/>
        </w:rPr>
      </w:pPr>
      <w:r>
        <w:rPr>
          <w:szCs w:val="22"/>
        </w:rPr>
        <w:t xml:space="preserve">Host a </w:t>
      </w:r>
      <w:r w:rsidR="008B1634">
        <w:rPr>
          <w:szCs w:val="22"/>
        </w:rPr>
        <w:t xml:space="preserve">grantee </w:t>
      </w:r>
      <w:r>
        <w:rPr>
          <w:szCs w:val="22"/>
        </w:rPr>
        <w:t xml:space="preserve">webinar explaining the Employer Survey’s purpose and requesting their </w:t>
      </w:r>
      <w:r w:rsidR="008B1634">
        <w:rPr>
          <w:szCs w:val="22"/>
        </w:rPr>
        <w:t xml:space="preserve">assistance in messaging the survey to their employers and participating in </w:t>
      </w:r>
      <w:r>
        <w:rPr>
          <w:szCs w:val="22"/>
        </w:rPr>
        <w:t xml:space="preserve">data collection </w:t>
      </w:r>
      <w:r w:rsidR="008B1634">
        <w:rPr>
          <w:szCs w:val="22"/>
        </w:rPr>
        <w:t>for the subsample of phone-interview employers</w:t>
      </w:r>
    </w:p>
    <w:p w14:paraId="0865475B" w14:textId="25B4456D" w:rsidR="008C32EC" w:rsidRDefault="00EE4BFF" w:rsidP="008C32EC">
      <w:pPr>
        <w:pStyle w:val="BodyText"/>
        <w:numPr>
          <w:ilvl w:val="0"/>
          <w:numId w:val="11"/>
        </w:numPr>
        <w:spacing w:after="120"/>
        <w:rPr>
          <w:szCs w:val="22"/>
        </w:rPr>
      </w:pPr>
      <w:r>
        <w:rPr>
          <w:szCs w:val="22"/>
        </w:rPr>
        <w:t xml:space="preserve">Develop </w:t>
      </w:r>
      <w:r w:rsidR="008C32EC" w:rsidRPr="008C32EC">
        <w:rPr>
          <w:szCs w:val="22"/>
        </w:rPr>
        <w:t xml:space="preserve">an advance message </w:t>
      </w:r>
      <w:r w:rsidR="003B27CF">
        <w:rPr>
          <w:szCs w:val="22"/>
        </w:rPr>
        <w:t xml:space="preserve">for grantees to </w:t>
      </w:r>
      <w:r w:rsidRPr="008C32EC">
        <w:rPr>
          <w:szCs w:val="22"/>
        </w:rPr>
        <w:t>sen</w:t>
      </w:r>
      <w:r>
        <w:rPr>
          <w:szCs w:val="22"/>
        </w:rPr>
        <w:t>d</w:t>
      </w:r>
      <w:r w:rsidDel="00EE4BFF">
        <w:rPr>
          <w:szCs w:val="22"/>
        </w:rPr>
        <w:t xml:space="preserve"> </w:t>
      </w:r>
      <w:r>
        <w:rPr>
          <w:szCs w:val="22"/>
        </w:rPr>
        <w:t xml:space="preserve">to employers, </w:t>
      </w:r>
      <w:r w:rsidR="008C32EC" w:rsidRPr="008C32EC">
        <w:rPr>
          <w:szCs w:val="22"/>
        </w:rPr>
        <w:t>notifying them of the upcoming survey</w:t>
      </w:r>
    </w:p>
    <w:p w14:paraId="306F2E93" w14:textId="78CADD84" w:rsidR="00F56D01" w:rsidRDefault="004B39FE" w:rsidP="00F56D01">
      <w:pPr>
        <w:pStyle w:val="BodyText"/>
        <w:numPr>
          <w:ilvl w:val="0"/>
          <w:numId w:val="11"/>
        </w:numPr>
        <w:spacing w:after="120"/>
        <w:rPr>
          <w:szCs w:val="22"/>
        </w:rPr>
      </w:pPr>
      <w:r>
        <w:rPr>
          <w:szCs w:val="22"/>
        </w:rPr>
        <w:t>C</w:t>
      </w:r>
      <w:r w:rsidR="00F56D01">
        <w:rPr>
          <w:szCs w:val="22"/>
        </w:rPr>
        <w:t xml:space="preserve">ollect data </w:t>
      </w:r>
      <w:r w:rsidR="008B1634">
        <w:rPr>
          <w:szCs w:val="22"/>
        </w:rPr>
        <w:t xml:space="preserve">first from grantees </w:t>
      </w:r>
      <w:r w:rsidR="00F56D01">
        <w:rPr>
          <w:szCs w:val="22"/>
        </w:rPr>
        <w:t xml:space="preserve">to reduce </w:t>
      </w:r>
      <w:r w:rsidR="008D32A7">
        <w:rPr>
          <w:szCs w:val="22"/>
        </w:rPr>
        <w:t xml:space="preserve">employers’ response </w:t>
      </w:r>
      <w:r w:rsidR="00F56D01">
        <w:rPr>
          <w:szCs w:val="22"/>
        </w:rPr>
        <w:t xml:space="preserve">burden </w:t>
      </w:r>
    </w:p>
    <w:p w14:paraId="345A7FF1" w14:textId="19A0FC41" w:rsidR="00F56D01" w:rsidRPr="00F56D01" w:rsidRDefault="00977225" w:rsidP="00F56D01">
      <w:pPr>
        <w:pStyle w:val="BodyText"/>
        <w:numPr>
          <w:ilvl w:val="0"/>
          <w:numId w:val="11"/>
        </w:numPr>
        <w:spacing w:after="120"/>
        <w:rPr>
          <w:szCs w:val="22"/>
        </w:rPr>
      </w:pPr>
      <w:r>
        <w:rPr>
          <w:szCs w:val="22"/>
        </w:rPr>
        <w:t xml:space="preserve">Work with grantees to contact </w:t>
      </w:r>
      <w:r w:rsidR="00FF0FEF">
        <w:rPr>
          <w:szCs w:val="22"/>
        </w:rPr>
        <w:t>employers</w:t>
      </w:r>
      <w:r>
        <w:rPr>
          <w:szCs w:val="22"/>
        </w:rPr>
        <w:t>, through targeted joint emails</w:t>
      </w:r>
      <w:r w:rsidR="00FF0FEF">
        <w:rPr>
          <w:szCs w:val="22"/>
        </w:rPr>
        <w:t xml:space="preserve"> that describe the importance of the data collection and the benefit to the employer in the form of an individualized ROI estimate</w:t>
      </w:r>
      <w:r>
        <w:rPr>
          <w:szCs w:val="22"/>
        </w:rPr>
        <w:t xml:space="preserve"> </w:t>
      </w:r>
    </w:p>
    <w:p w14:paraId="307F30C1" w14:textId="27FFC1C8" w:rsidR="008C32EC" w:rsidRDefault="008C32EC" w:rsidP="008C32EC">
      <w:pPr>
        <w:pStyle w:val="BodyText"/>
        <w:numPr>
          <w:ilvl w:val="0"/>
          <w:numId w:val="11"/>
        </w:numPr>
        <w:spacing w:after="120"/>
        <w:rPr>
          <w:szCs w:val="22"/>
        </w:rPr>
      </w:pPr>
      <w:r w:rsidRPr="009E6E55">
        <w:rPr>
          <w:szCs w:val="22"/>
        </w:rPr>
        <w:t xml:space="preserve">Send weekly </w:t>
      </w:r>
      <w:r w:rsidR="00FF0FEF">
        <w:rPr>
          <w:szCs w:val="22"/>
        </w:rPr>
        <w:t xml:space="preserve">email reminders </w:t>
      </w:r>
      <w:r w:rsidRPr="009E6E55">
        <w:rPr>
          <w:szCs w:val="22"/>
        </w:rPr>
        <w:t>to non-responders</w:t>
      </w:r>
      <w:r w:rsidR="00FF0FEF">
        <w:rPr>
          <w:szCs w:val="22"/>
        </w:rPr>
        <w:t xml:space="preserve"> for four weeks</w:t>
      </w:r>
      <w:r w:rsidR="00323324">
        <w:rPr>
          <w:szCs w:val="22"/>
        </w:rPr>
        <w:t xml:space="preserve">, using different subject lines each </w:t>
      </w:r>
      <w:r w:rsidR="00FF0FEF">
        <w:rPr>
          <w:szCs w:val="22"/>
        </w:rPr>
        <w:t>week</w:t>
      </w:r>
      <w:r w:rsidR="00323324">
        <w:rPr>
          <w:szCs w:val="22"/>
        </w:rPr>
        <w:t>, focusing on different potential employer motivations for completing the survey</w:t>
      </w:r>
    </w:p>
    <w:p w14:paraId="0C98F904" w14:textId="370D4990" w:rsidR="00F56B14" w:rsidRPr="009E6E55" w:rsidRDefault="00F56B14" w:rsidP="008C32EC">
      <w:pPr>
        <w:pStyle w:val="BodyText"/>
        <w:numPr>
          <w:ilvl w:val="0"/>
          <w:numId w:val="11"/>
        </w:numPr>
        <w:spacing w:after="120"/>
        <w:rPr>
          <w:szCs w:val="22"/>
        </w:rPr>
      </w:pPr>
      <w:r>
        <w:rPr>
          <w:szCs w:val="22"/>
        </w:rPr>
        <w:t>Offer an individualized return-on-investment estimate to employers that complete the survey, which would present a range of minimum, median, and maximum values for what the employer’s average return on inve</w:t>
      </w:r>
      <w:r w:rsidR="003057A2">
        <w:rPr>
          <w:szCs w:val="22"/>
        </w:rPr>
        <w:t>stment across apprentices might be</w:t>
      </w:r>
    </w:p>
    <w:p w14:paraId="1A7E168F" w14:textId="0C5F55BC" w:rsidR="008C32EC" w:rsidRPr="009E6E55" w:rsidRDefault="008C32EC" w:rsidP="007B1051">
      <w:pPr>
        <w:pStyle w:val="BodyText"/>
        <w:spacing w:after="120"/>
        <w:ind w:left="720"/>
        <w:rPr>
          <w:szCs w:val="22"/>
        </w:rPr>
      </w:pPr>
    </w:p>
    <w:p w14:paraId="0C99CF6E" w14:textId="3E21E909" w:rsidR="007B1051" w:rsidRDefault="00630FBE" w:rsidP="00766100">
      <w:pPr>
        <w:pStyle w:val="BodyText"/>
        <w:rPr>
          <w:szCs w:val="22"/>
        </w:rPr>
      </w:pPr>
      <w:r w:rsidRPr="00DB3EBB">
        <w:rPr>
          <w:szCs w:val="22"/>
        </w:rPr>
        <w:t xml:space="preserve">Prior to analyses, </w:t>
      </w:r>
      <w:r w:rsidR="00D83A12">
        <w:rPr>
          <w:szCs w:val="22"/>
        </w:rPr>
        <w:t>the evaluation team</w:t>
      </w:r>
      <w:r w:rsidR="00D83A12" w:rsidRPr="00DB3EBB">
        <w:rPr>
          <w:szCs w:val="22"/>
        </w:rPr>
        <w:t xml:space="preserve"> </w:t>
      </w:r>
      <w:r w:rsidRPr="00DB3EBB">
        <w:rPr>
          <w:szCs w:val="22"/>
        </w:rPr>
        <w:t xml:space="preserve">will use QPR data to test for differences between employer respondents and </w:t>
      </w:r>
      <w:r w:rsidR="007B1051">
        <w:rPr>
          <w:szCs w:val="22"/>
        </w:rPr>
        <w:t>the full set of AAI employers. Those may differ because of survey non-response or because the sampling approach is not purely random, so sampled employers, though intentionally divers</w:t>
      </w:r>
      <w:r w:rsidR="00F56B14">
        <w:rPr>
          <w:szCs w:val="22"/>
        </w:rPr>
        <w:t>e</w:t>
      </w:r>
      <w:r w:rsidR="007B1051">
        <w:rPr>
          <w:szCs w:val="22"/>
        </w:rPr>
        <w:t>, are not representative of all AAI employers</w:t>
      </w:r>
      <w:r w:rsidR="0006716E">
        <w:rPr>
          <w:szCs w:val="22"/>
        </w:rPr>
        <w:t>. The characteristics that will be tested include</w:t>
      </w:r>
      <w:r w:rsidR="00323324">
        <w:rPr>
          <w:szCs w:val="22"/>
        </w:rPr>
        <w:t xml:space="preserve">: </w:t>
      </w:r>
      <w:r w:rsidRPr="00DB3EBB">
        <w:rPr>
          <w:szCs w:val="22"/>
        </w:rPr>
        <w:t>region</w:t>
      </w:r>
      <w:r w:rsidR="00323324">
        <w:rPr>
          <w:szCs w:val="22"/>
        </w:rPr>
        <w:t xml:space="preserve"> of the country</w:t>
      </w:r>
      <w:r w:rsidRPr="00DB3EBB">
        <w:rPr>
          <w:szCs w:val="22"/>
        </w:rPr>
        <w:t xml:space="preserve">, whether the employer is also a program sponsor, </w:t>
      </w:r>
      <w:r w:rsidR="007B1051">
        <w:rPr>
          <w:szCs w:val="22"/>
        </w:rPr>
        <w:t xml:space="preserve">the occupation(s) for which the employer hires apprentices, </w:t>
      </w:r>
      <w:r w:rsidRPr="00DB3EBB">
        <w:rPr>
          <w:szCs w:val="22"/>
        </w:rPr>
        <w:t xml:space="preserve">and the grantee </w:t>
      </w:r>
      <w:r w:rsidR="00323324">
        <w:rPr>
          <w:szCs w:val="22"/>
        </w:rPr>
        <w:t xml:space="preserve">with which </w:t>
      </w:r>
      <w:r w:rsidRPr="00DB3EBB">
        <w:rPr>
          <w:szCs w:val="22"/>
        </w:rPr>
        <w:t xml:space="preserve">they are affiliated. </w:t>
      </w:r>
    </w:p>
    <w:p w14:paraId="588EBD43" w14:textId="53CD1580" w:rsidR="00630FBE" w:rsidRPr="009E6E55" w:rsidRDefault="00630FBE" w:rsidP="00630FBE">
      <w:pPr>
        <w:pStyle w:val="BodyText"/>
        <w:rPr>
          <w:szCs w:val="22"/>
        </w:rPr>
      </w:pPr>
      <w:r w:rsidRPr="00DB3EBB">
        <w:rPr>
          <w:szCs w:val="22"/>
        </w:rPr>
        <w:t xml:space="preserve">To correct for nonresponse, </w:t>
      </w:r>
      <w:r w:rsidR="00D83A12">
        <w:rPr>
          <w:szCs w:val="22"/>
        </w:rPr>
        <w:t>the evaluator</w:t>
      </w:r>
      <w:r w:rsidR="00D83A12" w:rsidRPr="00DB3EBB">
        <w:rPr>
          <w:szCs w:val="22"/>
        </w:rPr>
        <w:t xml:space="preserve"> </w:t>
      </w:r>
      <w:r w:rsidRPr="00DB3EBB">
        <w:rPr>
          <w:szCs w:val="22"/>
        </w:rPr>
        <w:t xml:space="preserve">will estimate </w:t>
      </w:r>
      <w:r w:rsidR="00766100" w:rsidRPr="00DB3EBB">
        <w:rPr>
          <w:szCs w:val="22"/>
        </w:rPr>
        <w:t>and apply nonresponse weights</w:t>
      </w:r>
      <w:r w:rsidRPr="00DB3EBB">
        <w:rPr>
          <w:szCs w:val="22"/>
        </w:rPr>
        <w:t>.</w:t>
      </w:r>
      <w:r w:rsidR="00766100" w:rsidRPr="00B217A8">
        <w:rPr>
          <w:szCs w:val="22"/>
        </w:rPr>
        <w:t xml:space="preserve"> </w:t>
      </w:r>
      <w:r w:rsidR="00D83A12">
        <w:rPr>
          <w:szCs w:val="22"/>
        </w:rPr>
        <w:t xml:space="preserve">The evaluator </w:t>
      </w:r>
      <w:r w:rsidR="00323324">
        <w:rPr>
          <w:szCs w:val="22"/>
        </w:rPr>
        <w:t>will follow the</w:t>
      </w:r>
      <w:r w:rsidR="00323324" w:rsidRPr="00B217A8">
        <w:rPr>
          <w:szCs w:val="22"/>
        </w:rPr>
        <w:t xml:space="preserve"> </w:t>
      </w:r>
      <w:r w:rsidR="00766100" w:rsidRPr="00B217A8">
        <w:rPr>
          <w:szCs w:val="22"/>
        </w:rPr>
        <w:t xml:space="preserve">standard procedure </w:t>
      </w:r>
      <w:r w:rsidR="00323324">
        <w:rPr>
          <w:szCs w:val="22"/>
        </w:rPr>
        <w:t>of</w:t>
      </w:r>
      <w:r w:rsidR="00323324" w:rsidRPr="00B217A8">
        <w:rPr>
          <w:szCs w:val="22"/>
        </w:rPr>
        <w:t xml:space="preserve"> </w:t>
      </w:r>
      <w:r w:rsidR="00766100" w:rsidRPr="00B217A8">
        <w:rPr>
          <w:szCs w:val="22"/>
        </w:rPr>
        <w:t xml:space="preserve">first estimating predicted probabilities of response as a function of the characteristics observed for all employers. </w:t>
      </w:r>
      <w:r w:rsidR="00D83A12">
        <w:rPr>
          <w:szCs w:val="22"/>
        </w:rPr>
        <w:t>The</w:t>
      </w:r>
      <w:r w:rsidR="00766100" w:rsidRPr="00B217A8">
        <w:rPr>
          <w:szCs w:val="22"/>
        </w:rPr>
        <w:t xml:space="preserve"> </w:t>
      </w:r>
      <w:r w:rsidR="00323324">
        <w:rPr>
          <w:szCs w:val="22"/>
        </w:rPr>
        <w:t xml:space="preserve">weights </w:t>
      </w:r>
      <w:r w:rsidR="00D83A12">
        <w:rPr>
          <w:szCs w:val="22"/>
        </w:rPr>
        <w:t xml:space="preserve">will be calculated </w:t>
      </w:r>
      <w:r w:rsidR="00323324">
        <w:rPr>
          <w:szCs w:val="22"/>
        </w:rPr>
        <w:t xml:space="preserve">as the </w:t>
      </w:r>
      <w:r w:rsidR="00766100" w:rsidRPr="00B217A8">
        <w:rPr>
          <w:szCs w:val="22"/>
        </w:rPr>
        <w:t>inverse of these estimated probabilities</w:t>
      </w:r>
      <w:r w:rsidR="00323324">
        <w:rPr>
          <w:szCs w:val="22"/>
        </w:rPr>
        <w:t>. In analyses</w:t>
      </w:r>
      <w:r w:rsidR="00D83A12">
        <w:rPr>
          <w:szCs w:val="22"/>
        </w:rPr>
        <w:t>, the weights will be applied</w:t>
      </w:r>
      <w:r w:rsidR="00F75C7E">
        <w:rPr>
          <w:szCs w:val="22"/>
        </w:rPr>
        <w:t xml:space="preserve"> </w:t>
      </w:r>
      <w:r w:rsidR="00323324">
        <w:rPr>
          <w:szCs w:val="22"/>
        </w:rPr>
        <w:t xml:space="preserve">to </w:t>
      </w:r>
      <w:r w:rsidR="00766100" w:rsidRPr="00B217A8">
        <w:rPr>
          <w:szCs w:val="22"/>
        </w:rPr>
        <w:t xml:space="preserve">each observation using standard weighting routines in statistical software. Applying that weight in analyses makes the analysis sample more closely reflect the full sample of employers </w:t>
      </w:r>
      <w:r w:rsidR="00323324">
        <w:rPr>
          <w:szCs w:val="22"/>
        </w:rPr>
        <w:t>o</w:t>
      </w:r>
      <w:r w:rsidR="00323324" w:rsidRPr="00B217A8">
        <w:rPr>
          <w:szCs w:val="22"/>
        </w:rPr>
        <w:t xml:space="preserve">n </w:t>
      </w:r>
      <w:r w:rsidR="00766100" w:rsidRPr="00B217A8">
        <w:rPr>
          <w:szCs w:val="22"/>
        </w:rPr>
        <w:t xml:space="preserve">observed characteristics. </w:t>
      </w:r>
      <w:r w:rsidRPr="00B217A8">
        <w:rPr>
          <w:szCs w:val="22"/>
        </w:rPr>
        <w:t xml:space="preserve">Because the intent of the analyses of employer data is to reflect the experiences of the full set of participating employers, </w:t>
      </w:r>
      <w:r w:rsidR="00EE4BFF">
        <w:rPr>
          <w:szCs w:val="22"/>
        </w:rPr>
        <w:t xml:space="preserve">the weights will correct for both </w:t>
      </w:r>
      <w:r w:rsidR="007B1051">
        <w:rPr>
          <w:szCs w:val="22"/>
        </w:rPr>
        <w:t>non-response among employers in the survey sample and differences between surveyed employers and the full population of AAI employers</w:t>
      </w:r>
      <w:r w:rsidRPr="00B217A8">
        <w:rPr>
          <w:szCs w:val="22"/>
        </w:rPr>
        <w:t>.</w:t>
      </w:r>
    </w:p>
    <w:p w14:paraId="4858C708" w14:textId="182CF022" w:rsidR="00766100" w:rsidRPr="009E6E55" w:rsidRDefault="007B1051" w:rsidP="00766100">
      <w:pPr>
        <w:pStyle w:val="BodyText"/>
        <w:rPr>
          <w:szCs w:val="22"/>
        </w:rPr>
      </w:pPr>
      <w:r>
        <w:rPr>
          <w:szCs w:val="22"/>
        </w:rPr>
        <w:t xml:space="preserve">The analyses will include only descriptive results. It </w:t>
      </w:r>
      <w:r w:rsidR="00960FE3">
        <w:rPr>
          <w:szCs w:val="22"/>
        </w:rPr>
        <w:t>will not include formal statistical tests on measures derived from the Employer Survey.</w:t>
      </w:r>
    </w:p>
    <w:p w14:paraId="10D86A08" w14:textId="77777777" w:rsidR="00766100" w:rsidRPr="009E6E55" w:rsidRDefault="00C6279C" w:rsidP="00766100">
      <w:pPr>
        <w:pStyle w:val="BodyText"/>
        <w:rPr>
          <w:b/>
          <w:i/>
          <w:szCs w:val="22"/>
        </w:rPr>
      </w:pPr>
      <w:r>
        <w:rPr>
          <w:b/>
          <w:i/>
          <w:szCs w:val="22"/>
        </w:rPr>
        <w:t>Participant S</w:t>
      </w:r>
      <w:r w:rsidR="00766100" w:rsidRPr="009E6E55">
        <w:rPr>
          <w:b/>
          <w:i/>
          <w:szCs w:val="22"/>
        </w:rPr>
        <w:t>urvey</w:t>
      </w:r>
    </w:p>
    <w:p w14:paraId="59686C80" w14:textId="77777777" w:rsidR="00630FBE" w:rsidRPr="009E6E55" w:rsidRDefault="00766100" w:rsidP="00630FBE">
      <w:pPr>
        <w:pStyle w:val="BodyText"/>
        <w:rPr>
          <w:szCs w:val="22"/>
        </w:rPr>
      </w:pPr>
      <w:r w:rsidRPr="009E6E55">
        <w:rPr>
          <w:szCs w:val="22"/>
        </w:rPr>
        <w:t xml:space="preserve">As noted above, </w:t>
      </w:r>
      <w:r w:rsidR="00E7229A">
        <w:rPr>
          <w:szCs w:val="22"/>
        </w:rPr>
        <w:t xml:space="preserve">the evaluator estimates </w:t>
      </w:r>
      <w:r w:rsidR="00630FBE" w:rsidRPr="009E6E55">
        <w:rPr>
          <w:szCs w:val="22"/>
        </w:rPr>
        <w:t xml:space="preserve">an 80 percent response rate to the </w:t>
      </w:r>
      <w:r w:rsidR="009635B7">
        <w:rPr>
          <w:szCs w:val="22"/>
        </w:rPr>
        <w:t>Participant</w:t>
      </w:r>
      <w:r w:rsidR="00A23BB1" w:rsidRPr="009E6E55">
        <w:rPr>
          <w:szCs w:val="22"/>
        </w:rPr>
        <w:t xml:space="preserve"> </w:t>
      </w:r>
      <w:r w:rsidR="00A23BB1">
        <w:rPr>
          <w:szCs w:val="22"/>
        </w:rPr>
        <w:t>S</w:t>
      </w:r>
      <w:r w:rsidR="00A23BB1" w:rsidRPr="009E6E55">
        <w:rPr>
          <w:szCs w:val="22"/>
        </w:rPr>
        <w:t>urvey</w:t>
      </w:r>
      <w:r w:rsidR="00630FBE" w:rsidRPr="009E6E55">
        <w:rPr>
          <w:szCs w:val="22"/>
        </w:rPr>
        <w:t xml:space="preserve">. </w:t>
      </w:r>
      <w:r w:rsidR="00E7229A">
        <w:rPr>
          <w:szCs w:val="22"/>
        </w:rPr>
        <w:t xml:space="preserve">To </w:t>
      </w:r>
      <w:r w:rsidR="00630FBE" w:rsidRPr="009E6E55">
        <w:rPr>
          <w:szCs w:val="22"/>
        </w:rPr>
        <w:t>obtain that response rate</w:t>
      </w:r>
      <w:r w:rsidR="00E7229A">
        <w:rPr>
          <w:szCs w:val="22"/>
        </w:rPr>
        <w:t xml:space="preserve"> the evaluator will</w:t>
      </w:r>
      <w:r w:rsidR="00630FBE" w:rsidRPr="009E6E55">
        <w:rPr>
          <w:szCs w:val="22"/>
        </w:rPr>
        <w:t>:</w:t>
      </w:r>
    </w:p>
    <w:p w14:paraId="1617622A" w14:textId="77777777" w:rsidR="00630FBE" w:rsidRDefault="00630FBE" w:rsidP="00630FBE">
      <w:pPr>
        <w:pStyle w:val="BodyText"/>
        <w:numPr>
          <w:ilvl w:val="0"/>
          <w:numId w:val="11"/>
        </w:numPr>
        <w:spacing w:after="120"/>
        <w:rPr>
          <w:szCs w:val="22"/>
        </w:rPr>
      </w:pPr>
      <w:r w:rsidRPr="009E6E55">
        <w:rPr>
          <w:szCs w:val="22"/>
        </w:rPr>
        <w:t>Send an advance letter notifying participants of the upcoming survey</w:t>
      </w:r>
    </w:p>
    <w:p w14:paraId="1A1D9BCF" w14:textId="77777777" w:rsidR="000F4E14" w:rsidRPr="000F4E14" w:rsidRDefault="000F4E14" w:rsidP="000F4E14">
      <w:pPr>
        <w:pStyle w:val="BodyText"/>
        <w:numPr>
          <w:ilvl w:val="0"/>
          <w:numId w:val="11"/>
        </w:numPr>
        <w:spacing w:after="120"/>
        <w:rPr>
          <w:szCs w:val="22"/>
        </w:rPr>
      </w:pPr>
      <w:r>
        <w:rPr>
          <w:szCs w:val="22"/>
        </w:rPr>
        <w:t xml:space="preserve">Offer an incentive payment to complete the survey. </w:t>
      </w:r>
      <w:r w:rsidRPr="000F4E14">
        <w:rPr>
          <w:szCs w:val="22"/>
        </w:rPr>
        <w:t>The evaluator proposes an experiment to assess the effects of respondent payments on survey response rates. The evaluator proposes to randomly assign apprentices to one of three payment options:</w:t>
      </w:r>
    </w:p>
    <w:p w14:paraId="7CEF10AA" w14:textId="77777777" w:rsidR="000F4E14" w:rsidRPr="000F4E14" w:rsidRDefault="000F4E14" w:rsidP="000F4E14">
      <w:pPr>
        <w:pStyle w:val="BodyText"/>
        <w:numPr>
          <w:ilvl w:val="1"/>
          <w:numId w:val="11"/>
        </w:numPr>
        <w:spacing w:after="120"/>
        <w:rPr>
          <w:szCs w:val="22"/>
        </w:rPr>
      </w:pPr>
      <w:r w:rsidRPr="000F4E14">
        <w:rPr>
          <w:szCs w:val="22"/>
        </w:rPr>
        <w:t>Option 1: Constant $25 payment regardless of when the survey is completed and which mode used (online or phone)</w:t>
      </w:r>
    </w:p>
    <w:p w14:paraId="7A5F39FF" w14:textId="77777777" w:rsidR="000F4E14" w:rsidRPr="000F4E14" w:rsidRDefault="000F4E14" w:rsidP="000F4E14">
      <w:pPr>
        <w:pStyle w:val="BodyText"/>
        <w:numPr>
          <w:ilvl w:val="1"/>
          <w:numId w:val="11"/>
        </w:numPr>
        <w:spacing w:after="120"/>
        <w:rPr>
          <w:szCs w:val="22"/>
        </w:rPr>
      </w:pPr>
      <w:r w:rsidRPr="000F4E14">
        <w:rPr>
          <w:szCs w:val="22"/>
        </w:rPr>
        <w:t>Option 2: Constant $40 payment regardless of when the survey is completed and which mode used (online or phone)</w:t>
      </w:r>
    </w:p>
    <w:p w14:paraId="3240EFBD" w14:textId="77777777" w:rsidR="000F4E14" w:rsidRPr="000F4E14" w:rsidRDefault="000F4E14" w:rsidP="000F4E14">
      <w:pPr>
        <w:pStyle w:val="BodyText"/>
        <w:numPr>
          <w:ilvl w:val="1"/>
          <w:numId w:val="11"/>
        </w:numPr>
        <w:spacing w:after="120"/>
        <w:rPr>
          <w:szCs w:val="22"/>
        </w:rPr>
      </w:pPr>
      <w:r w:rsidRPr="000F4E14">
        <w:rPr>
          <w:szCs w:val="22"/>
        </w:rPr>
        <w:t>Option 3: Two-tier payment: $40 payment if the survey is completed during the first four weeks of administration (the online mode); $20 if the survey is completed after the first four weeks (phone mode)</w:t>
      </w:r>
    </w:p>
    <w:p w14:paraId="0039E222" w14:textId="77777777" w:rsidR="000F4E14" w:rsidRPr="009E6E55" w:rsidRDefault="000F4E14" w:rsidP="000F4E14">
      <w:pPr>
        <w:pStyle w:val="BodyText"/>
        <w:spacing w:after="120"/>
        <w:ind w:left="720"/>
        <w:rPr>
          <w:szCs w:val="22"/>
        </w:rPr>
      </w:pPr>
      <w:r w:rsidRPr="000F4E14">
        <w:rPr>
          <w:szCs w:val="22"/>
        </w:rPr>
        <w:t xml:space="preserve">The survey will be released </w:t>
      </w:r>
      <w:r>
        <w:rPr>
          <w:szCs w:val="22"/>
        </w:rPr>
        <w:t xml:space="preserve">across several </w:t>
      </w:r>
      <w:r w:rsidRPr="000F4E14">
        <w:rPr>
          <w:szCs w:val="22"/>
        </w:rPr>
        <w:t>waves. In early waves, sample members will be divided evenly across the three payment options. In later survey waves, more sample members will be offered the payment option that is producing the highest response rate.</w:t>
      </w:r>
    </w:p>
    <w:p w14:paraId="47A4D5DE" w14:textId="77777777" w:rsidR="00630FBE" w:rsidRPr="009E6E55" w:rsidRDefault="00630FBE" w:rsidP="00630FBE">
      <w:pPr>
        <w:pStyle w:val="BodyText"/>
        <w:numPr>
          <w:ilvl w:val="0"/>
          <w:numId w:val="11"/>
        </w:numPr>
        <w:spacing w:after="120"/>
        <w:rPr>
          <w:szCs w:val="22"/>
        </w:rPr>
      </w:pPr>
      <w:r w:rsidRPr="009E6E55">
        <w:rPr>
          <w:szCs w:val="22"/>
        </w:rPr>
        <w:t xml:space="preserve">Send the email </w:t>
      </w:r>
      <w:r w:rsidR="00EE4BFF" w:rsidRPr="009E6E55">
        <w:rPr>
          <w:szCs w:val="22"/>
        </w:rPr>
        <w:t>invit</w:t>
      </w:r>
      <w:r w:rsidR="00EE4BFF">
        <w:rPr>
          <w:szCs w:val="22"/>
        </w:rPr>
        <w:t>ation</w:t>
      </w:r>
      <w:r w:rsidR="00EE4BFF" w:rsidRPr="009E6E55">
        <w:rPr>
          <w:szCs w:val="22"/>
        </w:rPr>
        <w:t xml:space="preserve"> </w:t>
      </w:r>
      <w:r w:rsidRPr="009E6E55">
        <w:rPr>
          <w:szCs w:val="22"/>
        </w:rPr>
        <w:t xml:space="preserve">to all sample members inviting them to complete the web survey </w:t>
      </w:r>
    </w:p>
    <w:p w14:paraId="19AD833D" w14:textId="77777777" w:rsidR="00630FBE" w:rsidRPr="009E6E55" w:rsidRDefault="00630FBE" w:rsidP="00630FBE">
      <w:pPr>
        <w:pStyle w:val="BodyText"/>
        <w:numPr>
          <w:ilvl w:val="0"/>
          <w:numId w:val="11"/>
        </w:numPr>
        <w:spacing w:after="120"/>
        <w:rPr>
          <w:szCs w:val="22"/>
        </w:rPr>
      </w:pPr>
      <w:r w:rsidRPr="009E6E55">
        <w:rPr>
          <w:szCs w:val="22"/>
        </w:rPr>
        <w:t>Send four email reminders weekly to non-responders</w:t>
      </w:r>
      <w:r w:rsidR="00EF0062">
        <w:rPr>
          <w:szCs w:val="22"/>
        </w:rPr>
        <w:t>, varying the subject lines each time to appeal to different potential motivations to complete the survey</w:t>
      </w:r>
    </w:p>
    <w:p w14:paraId="30907801" w14:textId="77777777" w:rsidR="00630FBE" w:rsidRPr="009E6E55" w:rsidRDefault="00630FBE" w:rsidP="00630FBE">
      <w:pPr>
        <w:pStyle w:val="BodyText"/>
        <w:numPr>
          <w:ilvl w:val="0"/>
          <w:numId w:val="11"/>
        </w:numPr>
        <w:spacing w:after="120"/>
        <w:rPr>
          <w:szCs w:val="22"/>
        </w:rPr>
      </w:pPr>
      <w:r w:rsidRPr="009E6E55">
        <w:rPr>
          <w:szCs w:val="22"/>
        </w:rPr>
        <w:t xml:space="preserve">Attempt to administer the survey by phone </w:t>
      </w:r>
      <w:r w:rsidR="00EF0062">
        <w:rPr>
          <w:szCs w:val="22"/>
        </w:rPr>
        <w:t>to those who do not complete the web survey</w:t>
      </w:r>
    </w:p>
    <w:p w14:paraId="315884B9" w14:textId="77777777" w:rsidR="00630FBE" w:rsidRPr="009E6E55" w:rsidRDefault="00630FBE" w:rsidP="00630FBE">
      <w:pPr>
        <w:pStyle w:val="BodyText"/>
        <w:numPr>
          <w:ilvl w:val="0"/>
          <w:numId w:val="11"/>
        </w:numPr>
        <w:spacing w:after="120"/>
        <w:rPr>
          <w:szCs w:val="22"/>
        </w:rPr>
      </w:pPr>
      <w:r w:rsidRPr="009E6E55">
        <w:rPr>
          <w:szCs w:val="22"/>
        </w:rPr>
        <w:t>Periodically perform Accurint searches for new contact information, for non-responders</w:t>
      </w:r>
    </w:p>
    <w:p w14:paraId="2BE87630" w14:textId="77777777" w:rsidR="00CD4DC6" w:rsidRDefault="00E4065F" w:rsidP="00766100">
      <w:pPr>
        <w:pStyle w:val="BodyText"/>
        <w:rPr>
          <w:szCs w:val="22"/>
        </w:rPr>
      </w:pPr>
      <w:r>
        <w:rPr>
          <w:szCs w:val="22"/>
        </w:rPr>
        <w:t xml:space="preserve">In addition to those who decline to </w:t>
      </w:r>
      <w:r w:rsidR="00836B42">
        <w:rPr>
          <w:szCs w:val="22"/>
        </w:rPr>
        <w:t xml:space="preserve">participate </w:t>
      </w:r>
      <w:r>
        <w:rPr>
          <w:szCs w:val="22"/>
        </w:rPr>
        <w:t xml:space="preserve">in the survey and those in the survey sample who the evaluator was unable to contact, </w:t>
      </w:r>
      <w:r w:rsidR="00CD4DC6">
        <w:rPr>
          <w:szCs w:val="22"/>
        </w:rPr>
        <w:t>non-r</w:t>
      </w:r>
      <w:r w:rsidR="00CD4DC6" w:rsidRPr="00CD4DC6">
        <w:rPr>
          <w:szCs w:val="22"/>
        </w:rPr>
        <w:t>espon</w:t>
      </w:r>
      <w:r>
        <w:rPr>
          <w:szCs w:val="22"/>
        </w:rPr>
        <w:t>dents</w:t>
      </w:r>
      <w:r w:rsidR="00CD4DC6">
        <w:rPr>
          <w:szCs w:val="22"/>
        </w:rPr>
        <w:t xml:space="preserve"> include apprentices who were not eligible to be surveyed due to missing contact information. In order to evaluate the full set of AAI apprentices, the evaluator </w:t>
      </w:r>
      <w:r w:rsidR="00CD4DC6" w:rsidRPr="009E6E55">
        <w:rPr>
          <w:szCs w:val="22"/>
        </w:rPr>
        <w:t xml:space="preserve">will weight the analysis sample to reflect the composition of all apprentices who started their apprenticeship on or before December 2018, based on their observed characteristics. </w:t>
      </w:r>
    </w:p>
    <w:p w14:paraId="100AE622" w14:textId="77777777" w:rsidR="00766100" w:rsidRPr="009E6E55" w:rsidRDefault="00766100" w:rsidP="00766100">
      <w:pPr>
        <w:pStyle w:val="BodyText"/>
        <w:rPr>
          <w:szCs w:val="22"/>
        </w:rPr>
      </w:pPr>
      <w:r w:rsidRPr="009E6E55">
        <w:rPr>
          <w:szCs w:val="22"/>
        </w:rPr>
        <w:t xml:space="preserve">Prior to </w:t>
      </w:r>
      <w:r w:rsidR="00E7229A">
        <w:rPr>
          <w:szCs w:val="22"/>
        </w:rPr>
        <w:t xml:space="preserve">conducting </w:t>
      </w:r>
      <w:r w:rsidRPr="009E6E55">
        <w:rPr>
          <w:szCs w:val="22"/>
        </w:rPr>
        <w:t xml:space="preserve">analyses, </w:t>
      </w:r>
      <w:r w:rsidR="00E7229A">
        <w:rPr>
          <w:szCs w:val="22"/>
        </w:rPr>
        <w:t xml:space="preserve">the evaluator </w:t>
      </w:r>
      <w:r w:rsidRPr="009E6E55">
        <w:rPr>
          <w:szCs w:val="22"/>
        </w:rPr>
        <w:t xml:space="preserve">will use QPR data to test for differences between </w:t>
      </w:r>
      <w:r w:rsidR="00E7229A">
        <w:rPr>
          <w:szCs w:val="22"/>
        </w:rPr>
        <w:t xml:space="preserve">survey </w:t>
      </w:r>
      <w:r w:rsidRPr="009E6E55">
        <w:rPr>
          <w:szCs w:val="22"/>
        </w:rPr>
        <w:t>respondents and non-respondents in their demographic characteristics (sex, age, race/ethnicity), apprenticing occupation, region, months since their apprenticeship began, apprenticeship completion status, entry wage, and the grantee whose program they are affiliated with. To correct for nonresponse</w:t>
      </w:r>
      <w:r w:rsidR="00E7229A">
        <w:rPr>
          <w:szCs w:val="22"/>
        </w:rPr>
        <w:t xml:space="preserve"> bias</w:t>
      </w:r>
      <w:r w:rsidRPr="009E6E55">
        <w:rPr>
          <w:szCs w:val="22"/>
        </w:rPr>
        <w:t xml:space="preserve">, </w:t>
      </w:r>
      <w:r w:rsidR="00E7229A">
        <w:rPr>
          <w:szCs w:val="22"/>
        </w:rPr>
        <w:t xml:space="preserve">the evaluator </w:t>
      </w:r>
      <w:r w:rsidRPr="009E6E55">
        <w:rPr>
          <w:szCs w:val="22"/>
        </w:rPr>
        <w:t>will estimate and apply nonresponse weights</w:t>
      </w:r>
      <w:r w:rsidR="00E7229A">
        <w:rPr>
          <w:szCs w:val="22"/>
        </w:rPr>
        <w:t xml:space="preserve">, starting with </w:t>
      </w:r>
      <w:r w:rsidRPr="009E6E55">
        <w:rPr>
          <w:szCs w:val="22"/>
        </w:rPr>
        <w:t>predicted probabilities of response as a function of the characteristics observed for all apprentices</w:t>
      </w:r>
      <w:r w:rsidR="00E7229A">
        <w:rPr>
          <w:szCs w:val="22"/>
        </w:rPr>
        <w:t xml:space="preserve">, followed by </w:t>
      </w:r>
      <w:r w:rsidRPr="009E6E55">
        <w:rPr>
          <w:szCs w:val="22"/>
        </w:rPr>
        <w:t>calculat</w:t>
      </w:r>
      <w:r w:rsidR="00E7229A">
        <w:rPr>
          <w:szCs w:val="22"/>
        </w:rPr>
        <w:t>ing</w:t>
      </w:r>
      <w:r w:rsidRPr="009E6E55">
        <w:rPr>
          <w:szCs w:val="22"/>
        </w:rPr>
        <w:t xml:space="preserve"> the inverse of these estimated probabilities and </w:t>
      </w:r>
      <w:r w:rsidR="00C133B6">
        <w:rPr>
          <w:szCs w:val="22"/>
        </w:rPr>
        <w:t>weighting</w:t>
      </w:r>
      <w:r w:rsidRPr="009E6E55">
        <w:rPr>
          <w:szCs w:val="22"/>
        </w:rPr>
        <w:t xml:space="preserve"> each observation by this amount using standard weighting routines in statistical software. </w:t>
      </w:r>
      <w:r w:rsidR="00CD4DC6">
        <w:rPr>
          <w:szCs w:val="22"/>
        </w:rPr>
        <w:t xml:space="preserve">The weights will be calibrated to reflect the composition of all apprentices who started their apprenticeship by December 2018. In doing so, the </w:t>
      </w:r>
      <w:r w:rsidRPr="009E6E55">
        <w:rPr>
          <w:szCs w:val="22"/>
        </w:rPr>
        <w:t xml:space="preserve">weights </w:t>
      </w:r>
      <w:r w:rsidR="00CD4DC6">
        <w:rPr>
          <w:szCs w:val="22"/>
        </w:rPr>
        <w:t xml:space="preserve">will </w:t>
      </w:r>
      <w:r w:rsidRPr="009E6E55">
        <w:rPr>
          <w:szCs w:val="22"/>
        </w:rPr>
        <w:t xml:space="preserve">adjust not only for selective nonresponse among the survey sample, but also differences in characteristics between apprentices who did and did not have SSNs available in the QPR and thus were not eligible to be surveyed. </w:t>
      </w:r>
    </w:p>
    <w:p w14:paraId="0D2B5FE6" w14:textId="6AE56C41" w:rsidR="00766100" w:rsidRPr="00B217A8" w:rsidRDefault="007B1051" w:rsidP="005B10DE">
      <w:pPr>
        <w:pStyle w:val="BodyText"/>
        <w:rPr>
          <w:szCs w:val="22"/>
        </w:rPr>
      </w:pPr>
      <w:r>
        <w:rPr>
          <w:szCs w:val="22"/>
        </w:rPr>
        <w:t>T</w:t>
      </w:r>
      <w:r w:rsidR="00766100" w:rsidRPr="009E6E55">
        <w:rPr>
          <w:szCs w:val="22"/>
        </w:rPr>
        <w:t>o address any item nonresponse</w:t>
      </w:r>
      <w:r>
        <w:rPr>
          <w:szCs w:val="22"/>
        </w:rPr>
        <w:t xml:space="preserve">, we will first </w:t>
      </w:r>
      <w:r w:rsidRPr="007B1051">
        <w:rPr>
          <w:szCs w:val="22"/>
        </w:rPr>
        <w:t>using logical imputation or imputation based on existing knowledge wherever feasible</w:t>
      </w:r>
      <w:r w:rsidR="00766100" w:rsidRPr="009E6E55">
        <w:rPr>
          <w:szCs w:val="22"/>
        </w:rPr>
        <w:t xml:space="preserve">. </w:t>
      </w:r>
      <w:r>
        <w:t>Where that is not possible, we will fill</w:t>
      </w:r>
      <w:r w:rsidRPr="00F55A0C">
        <w:t xml:space="preserve"> in missing survey data elements using multiple imputation routines available in standard statistical software</w:t>
      </w:r>
      <w:r>
        <w:t xml:space="preserve">, such as Stata’s </w:t>
      </w:r>
      <w:r w:rsidRPr="00F55A0C">
        <w:rPr>
          <w:rFonts w:ascii="Courier New" w:hAnsi="Courier New" w:cs="Courier New"/>
        </w:rPr>
        <w:t>mi</w:t>
      </w:r>
      <w:r>
        <w:t xml:space="preserve"> command</w:t>
      </w:r>
      <w:r w:rsidRPr="00F55A0C">
        <w:t xml:space="preserve">. </w:t>
      </w:r>
      <w:r>
        <w:t>S</w:t>
      </w:r>
      <w:r w:rsidRPr="00F55A0C">
        <w:t>uch imputation uses statistical relationships between items estimated for sample members for whom the items are not missing to estimate values for sample members for whom data are missing on some but available for other items.</w:t>
      </w:r>
      <w:r w:rsidR="005B10DE" w:rsidRPr="009E6E55">
        <w:rPr>
          <w:szCs w:val="22"/>
        </w:rPr>
        <w:t xml:space="preserve"> </w:t>
      </w:r>
    </w:p>
    <w:p w14:paraId="540AC136" w14:textId="77777777" w:rsidR="00960FE3" w:rsidRPr="009E6E55" w:rsidRDefault="005B10DE" w:rsidP="00960FE3">
      <w:pPr>
        <w:pStyle w:val="BodyText"/>
        <w:rPr>
          <w:szCs w:val="22"/>
        </w:rPr>
      </w:pPr>
      <w:r w:rsidRPr="00B217A8">
        <w:rPr>
          <w:szCs w:val="22"/>
        </w:rPr>
        <w:t xml:space="preserve">The combination of nonresponse weighting and multiple imputation will </w:t>
      </w:r>
      <w:r w:rsidR="00960FE3">
        <w:rPr>
          <w:szCs w:val="22"/>
        </w:rPr>
        <w:t xml:space="preserve">aim to </w:t>
      </w:r>
      <w:r w:rsidR="0089174D">
        <w:rPr>
          <w:szCs w:val="22"/>
        </w:rPr>
        <w:t>enhance</w:t>
      </w:r>
      <w:r w:rsidR="0089174D" w:rsidRPr="00B217A8">
        <w:rPr>
          <w:szCs w:val="22"/>
        </w:rPr>
        <w:t xml:space="preserve"> </w:t>
      </w:r>
      <w:r w:rsidRPr="00B217A8">
        <w:rPr>
          <w:szCs w:val="22"/>
        </w:rPr>
        <w:t xml:space="preserve">the </w:t>
      </w:r>
      <w:r w:rsidR="00EF0062">
        <w:rPr>
          <w:szCs w:val="22"/>
        </w:rPr>
        <w:t>representativeness and accuracy</w:t>
      </w:r>
      <w:r w:rsidRPr="00B217A8">
        <w:rPr>
          <w:szCs w:val="22"/>
        </w:rPr>
        <w:t xml:space="preserve"> of outcomes derived from the </w:t>
      </w:r>
      <w:r w:rsidR="00C6279C">
        <w:rPr>
          <w:szCs w:val="22"/>
        </w:rPr>
        <w:t>Participant</w:t>
      </w:r>
      <w:r w:rsidR="00A23BB1" w:rsidRPr="00B217A8">
        <w:rPr>
          <w:szCs w:val="22"/>
        </w:rPr>
        <w:t xml:space="preserve"> </w:t>
      </w:r>
      <w:r w:rsidR="00A23BB1">
        <w:rPr>
          <w:szCs w:val="22"/>
        </w:rPr>
        <w:t>S</w:t>
      </w:r>
      <w:r w:rsidR="00A23BB1" w:rsidRPr="00B217A8">
        <w:rPr>
          <w:szCs w:val="22"/>
        </w:rPr>
        <w:t>urvey</w:t>
      </w:r>
      <w:r w:rsidRPr="00B217A8">
        <w:rPr>
          <w:szCs w:val="22"/>
        </w:rPr>
        <w:t>.</w:t>
      </w:r>
      <w:r w:rsidR="00960FE3">
        <w:rPr>
          <w:szCs w:val="22"/>
        </w:rPr>
        <w:t xml:space="preserve"> </w:t>
      </w:r>
      <w:r w:rsidR="00051073">
        <w:rPr>
          <w:szCs w:val="22"/>
        </w:rPr>
        <w:t xml:space="preserve">Because the Participant Survey will be used to measure outcomes, not impacts, there </w:t>
      </w:r>
      <w:r w:rsidR="006E4A11">
        <w:rPr>
          <w:szCs w:val="22"/>
        </w:rPr>
        <w:t>will be</w:t>
      </w:r>
      <w:r w:rsidR="00051073">
        <w:rPr>
          <w:szCs w:val="22"/>
        </w:rPr>
        <w:t xml:space="preserve"> no calculation of minimum detectable effects</w:t>
      </w:r>
      <w:r w:rsidR="00960FE3">
        <w:rPr>
          <w:szCs w:val="22"/>
        </w:rPr>
        <w:t>.</w:t>
      </w:r>
    </w:p>
    <w:p w14:paraId="3BA31979" w14:textId="77777777" w:rsidR="00DA634D" w:rsidRPr="008C32EC" w:rsidRDefault="000F7E5D" w:rsidP="00B217A8">
      <w:pPr>
        <w:rPr>
          <w:rFonts w:ascii="Times New Roman" w:hAnsi="Times New Roman" w:cs="Times New Roman"/>
          <w:b/>
        </w:rPr>
      </w:pPr>
      <w:r w:rsidRPr="008C32EC">
        <w:rPr>
          <w:rFonts w:ascii="Times New Roman" w:hAnsi="Times New Roman" w:cs="Times New Roman"/>
          <w:b/>
        </w:rPr>
        <w:t>B.</w:t>
      </w:r>
      <w:r w:rsidR="00DA634D" w:rsidRPr="008C32EC">
        <w:rPr>
          <w:rFonts w:ascii="Times New Roman" w:hAnsi="Times New Roman" w:cs="Times New Roman"/>
          <w:b/>
        </w:rPr>
        <w:t>4 Test</w:t>
      </w:r>
      <w:r w:rsidR="00787FDB">
        <w:rPr>
          <w:rFonts w:ascii="Times New Roman" w:hAnsi="Times New Roman" w:cs="Times New Roman"/>
          <w:b/>
        </w:rPr>
        <w:t>s of</w:t>
      </w:r>
      <w:r w:rsidR="00DA634D" w:rsidRPr="008C32EC">
        <w:rPr>
          <w:rFonts w:ascii="Times New Roman" w:hAnsi="Times New Roman" w:cs="Times New Roman"/>
          <w:b/>
        </w:rPr>
        <w:t xml:space="preserve"> Procedures</w:t>
      </w:r>
    </w:p>
    <w:p w14:paraId="7B14FD29" w14:textId="7E76F697" w:rsidR="006837DE" w:rsidRDefault="006837DE" w:rsidP="006837DE">
      <w:pPr>
        <w:pStyle w:val="BodyText"/>
      </w:pPr>
      <w:r>
        <w:rPr>
          <w:szCs w:val="22"/>
        </w:rPr>
        <w:t xml:space="preserve">The </w:t>
      </w:r>
      <w:r w:rsidR="00977225">
        <w:rPr>
          <w:szCs w:val="22"/>
        </w:rPr>
        <w:t xml:space="preserve">evaluator </w:t>
      </w:r>
      <w:r w:rsidR="00E874B8">
        <w:rPr>
          <w:szCs w:val="22"/>
        </w:rPr>
        <w:t>conducted</w:t>
      </w:r>
      <w:r>
        <w:rPr>
          <w:szCs w:val="22"/>
        </w:rPr>
        <w:t xml:space="preserve"> tests of both the Employer Survey and Participant Survey instruments. The results of these tests are described below. </w:t>
      </w:r>
      <w:r>
        <w:t>The revised instruments are included in this clearance request for review.</w:t>
      </w:r>
    </w:p>
    <w:p w14:paraId="6F4115A9" w14:textId="77777777" w:rsidR="00405E78" w:rsidRDefault="00405E78" w:rsidP="00405E78">
      <w:pPr>
        <w:pStyle w:val="BodyText"/>
        <w:rPr>
          <w:szCs w:val="22"/>
        </w:rPr>
      </w:pPr>
      <w:r>
        <w:rPr>
          <w:b/>
          <w:i/>
          <w:szCs w:val="22"/>
        </w:rPr>
        <w:t>Employer Survey</w:t>
      </w:r>
    </w:p>
    <w:p w14:paraId="2EE8F9B1" w14:textId="77777777" w:rsidR="00405E78" w:rsidRDefault="00B64831" w:rsidP="00405E78">
      <w:pPr>
        <w:rPr>
          <w:rFonts w:ascii="Times New Roman" w:hAnsi="Times New Roman" w:cs="Times New Roman"/>
        </w:rPr>
      </w:pPr>
      <w:r>
        <w:rPr>
          <w:rFonts w:ascii="Times New Roman" w:hAnsi="Times New Roman" w:cs="Times New Roman"/>
        </w:rPr>
        <w:t xml:space="preserve">The </w:t>
      </w:r>
      <w:r w:rsidR="00977225">
        <w:rPr>
          <w:rFonts w:ascii="Times New Roman" w:hAnsi="Times New Roman" w:cs="Times New Roman"/>
        </w:rPr>
        <w:t xml:space="preserve">evaluator planned </w:t>
      </w:r>
      <w:r>
        <w:rPr>
          <w:rFonts w:ascii="Times New Roman" w:hAnsi="Times New Roman" w:cs="Times New Roman"/>
        </w:rPr>
        <w:t xml:space="preserve">to pretest the survey with nine AAI-affiliated employers. </w:t>
      </w:r>
      <w:r w:rsidR="00977225">
        <w:rPr>
          <w:rFonts w:ascii="Times New Roman" w:hAnsi="Times New Roman" w:cs="Times New Roman"/>
        </w:rPr>
        <w:t xml:space="preserve">To do this the </w:t>
      </w:r>
      <w:r w:rsidR="0089174D">
        <w:rPr>
          <w:rFonts w:ascii="Times New Roman" w:hAnsi="Times New Roman" w:cs="Times New Roman"/>
        </w:rPr>
        <w:t xml:space="preserve">evaluator </w:t>
      </w:r>
      <w:r>
        <w:rPr>
          <w:rFonts w:ascii="Times New Roman" w:hAnsi="Times New Roman" w:cs="Times New Roman"/>
        </w:rPr>
        <w:t>first contacted</w:t>
      </w:r>
      <w:r w:rsidR="00977225">
        <w:rPr>
          <w:rFonts w:ascii="Times New Roman" w:hAnsi="Times New Roman" w:cs="Times New Roman"/>
        </w:rPr>
        <w:t xml:space="preserve"> five</w:t>
      </w:r>
      <w:r>
        <w:rPr>
          <w:rFonts w:ascii="Times New Roman" w:hAnsi="Times New Roman" w:cs="Times New Roman"/>
        </w:rPr>
        <w:t xml:space="preserve"> AAI grantees and requested that the</w:t>
      </w:r>
      <w:r w:rsidR="00977225">
        <w:rPr>
          <w:rFonts w:ascii="Times New Roman" w:hAnsi="Times New Roman" w:cs="Times New Roman"/>
        </w:rPr>
        <w:t>y</w:t>
      </w:r>
      <w:r>
        <w:rPr>
          <w:rFonts w:ascii="Times New Roman" w:hAnsi="Times New Roman" w:cs="Times New Roman"/>
        </w:rPr>
        <w:t xml:space="preserve"> connect </w:t>
      </w:r>
      <w:r w:rsidR="00977225">
        <w:rPr>
          <w:rFonts w:ascii="Times New Roman" w:hAnsi="Times New Roman" w:cs="Times New Roman"/>
        </w:rPr>
        <w:t xml:space="preserve">the evaluators with three to five </w:t>
      </w:r>
      <w:r>
        <w:rPr>
          <w:rFonts w:ascii="Times New Roman" w:hAnsi="Times New Roman" w:cs="Times New Roman"/>
        </w:rPr>
        <w:t xml:space="preserve">of their AAI employers. Grantees were selected based on </w:t>
      </w:r>
      <w:r w:rsidR="00977225">
        <w:rPr>
          <w:rFonts w:ascii="Times New Roman" w:hAnsi="Times New Roman" w:cs="Times New Roman"/>
        </w:rPr>
        <w:t>diversity of their employers (e.g., geography, size, industries of focus)</w:t>
      </w:r>
      <w:r>
        <w:rPr>
          <w:rFonts w:ascii="Times New Roman" w:hAnsi="Times New Roman" w:cs="Times New Roman"/>
        </w:rPr>
        <w:t xml:space="preserve">. </w:t>
      </w:r>
      <w:r w:rsidR="00977225">
        <w:rPr>
          <w:rFonts w:ascii="Times New Roman" w:hAnsi="Times New Roman" w:cs="Times New Roman"/>
        </w:rPr>
        <w:t xml:space="preserve">Only one grantee provided names and contact information for employers. The evaluator conducted pretests with two of these employers, both via phone. To learn more about challenges recruiting employers for the pretest, the evaluator interviewed one </w:t>
      </w:r>
      <w:r>
        <w:rPr>
          <w:rFonts w:ascii="Times New Roman" w:hAnsi="Times New Roman" w:cs="Times New Roman"/>
        </w:rPr>
        <w:t xml:space="preserve">grantee </w:t>
      </w:r>
      <w:r w:rsidR="00977225">
        <w:rPr>
          <w:rFonts w:ascii="Times New Roman" w:hAnsi="Times New Roman" w:cs="Times New Roman"/>
        </w:rPr>
        <w:t>director.</w:t>
      </w:r>
    </w:p>
    <w:p w14:paraId="3ABFDA89" w14:textId="77777777" w:rsidR="00B64831" w:rsidRDefault="00442F18" w:rsidP="00405E78">
      <w:pPr>
        <w:rPr>
          <w:rFonts w:ascii="Times New Roman" w:hAnsi="Times New Roman" w:cs="Times New Roman"/>
        </w:rPr>
      </w:pPr>
      <w:r>
        <w:rPr>
          <w:rFonts w:ascii="Times New Roman" w:hAnsi="Times New Roman" w:cs="Times New Roman"/>
        </w:rPr>
        <w:t xml:space="preserve">Each pretest took 30 minutes, in line with the OMB burden estimate. </w:t>
      </w:r>
      <w:r w:rsidR="00977225">
        <w:rPr>
          <w:rFonts w:ascii="Times New Roman" w:hAnsi="Times New Roman" w:cs="Times New Roman"/>
        </w:rPr>
        <w:t xml:space="preserve">Feedback from the pretest employers </w:t>
      </w:r>
      <w:r>
        <w:rPr>
          <w:rFonts w:ascii="Times New Roman" w:hAnsi="Times New Roman" w:cs="Times New Roman"/>
        </w:rPr>
        <w:t xml:space="preserve">included simplifying the wording of questions that were deemed too technical. These employers also had difficulty </w:t>
      </w:r>
      <w:r w:rsidR="00B86592">
        <w:rPr>
          <w:rFonts w:ascii="Times New Roman" w:hAnsi="Times New Roman" w:cs="Times New Roman"/>
        </w:rPr>
        <w:t xml:space="preserve">estimating the exact monetary value of </w:t>
      </w:r>
      <w:r>
        <w:rPr>
          <w:rFonts w:ascii="Times New Roman" w:hAnsi="Times New Roman" w:cs="Times New Roman"/>
        </w:rPr>
        <w:t>“</w:t>
      </w:r>
      <w:r w:rsidR="00B86592">
        <w:rPr>
          <w:rFonts w:ascii="Times New Roman" w:hAnsi="Times New Roman" w:cs="Times New Roman"/>
        </w:rPr>
        <w:t>spillover</w:t>
      </w:r>
      <w:r>
        <w:rPr>
          <w:rFonts w:ascii="Times New Roman" w:hAnsi="Times New Roman" w:cs="Times New Roman"/>
        </w:rPr>
        <w:t>”</w:t>
      </w:r>
      <w:r w:rsidR="00B86592">
        <w:rPr>
          <w:rFonts w:ascii="Times New Roman" w:hAnsi="Times New Roman" w:cs="Times New Roman"/>
        </w:rPr>
        <w:t xml:space="preserve"> benefits. The language of apprenticeship did not resonate with </w:t>
      </w:r>
      <w:r>
        <w:rPr>
          <w:rFonts w:ascii="Times New Roman" w:hAnsi="Times New Roman" w:cs="Times New Roman"/>
        </w:rPr>
        <w:t>one employer</w:t>
      </w:r>
      <w:r w:rsidR="00B86592">
        <w:rPr>
          <w:rFonts w:ascii="Times New Roman" w:hAnsi="Times New Roman" w:cs="Times New Roman"/>
        </w:rPr>
        <w:t xml:space="preserve"> representing</w:t>
      </w:r>
      <w:r>
        <w:rPr>
          <w:rFonts w:ascii="Times New Roman" w:hAnsi="Times New Roman" w:cs="Times New Roman"/>
        </w:rPr>
        <w:t xml:space="preserve"> an industry </w:t>
      </w:r>
      <w:r w:rsidR="00B86592">
        <w:rPr>
          <w:rFonts w:ascii="Times New Roman" w:hAnsi="Times New Roman" w:cs="Times New Roman"/>
        </w:rPr>
        <w:t>that ha</w:t>
      </w:r>
      <w:r>
        <w:rPr>
          <w:rFonts w:ascii="Times New Roman" w:hAnsi="Times New Roman" w:cs="Times New Roman"/>
        </w:rPr>
        <w:t>s</w:t>
      </w:r>
      <w:r w:rsidR="00B86592">
        <w:rPr>
          <w:rFonts w:ascii="Times New Roman" w:hAnsi="Times New Roman" w:cs="Times New Roman"/>
        </w:rPr>
        <w:t xml:space="preserve"> not traditionally had apprenticeship programs</w:t>
      </w:r>
      <w:r>
        <w:rPr>
          <w:rFonts w:ascii="Times New Roman" w:hAnsi="Times New Roman" w:cs="Times New Roman"/>
        </w:rPr>
        <w:t xml:space="preserve">. </w:t>
      </w:r>
    </w:p>
    <w:p w14:paraId="6D2F8E70" w14:textId="34DEFE29" w:rsidR="00B86592" w:rsidRDefault="00B86592" w:rsidP="00405E78">
      <w:pPr>
        <w:rPr>
          <w:rFonts w:ascii="Times New Roman" w:hAnsi="Times New Roman" w:cs="Times New Roman"/>
        </w:rPr>
      </w:pPr>
      <w:r>
        <w:rPr>
          <w:rFonts w:ascii="Times New Roman" w:hAnsi="Times New Roman" w:cs="Times New Roman"/>
        </w:rPr>
        <w:t xml:space="preserve">The </w:t>
      </w:r>
      <w:r w:rsidR="00E96879">
        <w:rPr>
          <w:rFonts w:ascii="Times New Roman" w:hAnsi="Times New Roman" w:cs="Times New Roman"/>
        </w:rPr>
        <w:t>evaluator</w:t>
      </w:r>
      <w:r>
        <w:rPr>
          <w:rFonts w:ascii="Times New Roman" w:hAnsi="Times New Roman" w:cs="Times New Roman"/>
        </w:rPr>
        <w:t xml:space="preserve"> made the following revisions to the </w:t>
      </w:r>
      <w:r w:rsidR="00442F18">
        <w:rPr>
          <w:rFonts w:ascii="Times New Roman" w:hAnsi="Times New Roman" w:cs="Times New Roman"/>
        </w:rPr>
        <w:t>E</w:t>
      </w:r>
      <w:r>
        <w:rPr>
          <w:rFonts w:ascii="Times New Roman" w:hAnsi="Times New Roman" w:cs="Times New Roman"/>
        </w:rPr>
        <w:t xml:space="preserve">mployer </w:t>
      </w:r>
      <w:r w:rsidR="00442F18">
        <w:rPr>
          <w:rFonts w:ascii="Times New Roman" w:hAnsi="Times New Roman" w:cs="Times New Roman"/>
        </w:rPr>
        <w:t>S</w:t>
      </w:r>
      <w:r>
        <w:rPr>
          <w:rFonts w:ascii="Times New Roman" w:hAnsi="Times New Roman" w:cs="Times New Roman"/>
        </w:rPr>
        <w:t>urvey in response to testers’ comments:</w:t>
      </w:r>
    </w:p>
    <w:p w14:paraId="54784244" w14:textId="77777777" w:rsidR="00085BFC" w:rsidRPr="00674C89" w:rsidRDefault="00085BFC" w:rsidP="00085BFC">
      <w:pPr>
        <w:pStyle w:val="ListParagraph"/>
        <w:numPr>
          <w:ilvl w:val="0"/>
          <w:numId w:val="14"/>
        </w:numPr>
        <w:rPr>
          <w:rFonts w:ascii="Times New Roman" w:hAnsi="Times New Roman" w:cs="Times New Roman"/>
        </w:rPr>
      </w:pPr>
      <w:r w:rsidRPr="00674C89">
        <w:rPr>
          <w:rFonts w:ascii="Times New Roman" w:hAnsi="Times New Roman" w:cs="Times New Roman"/>
        </w:rPr>
        <w:t>Rewrote technical questions in easier to understand language (i.e., layman’s terms)</w:t>
      </w:r>
    </w:p>
    <w:p w14:paraId="249313FB" w14:textId="77777777" w:rsidR="00085BFC" w:rsidRPr="00674C89" w:rsidRDefault="00085BFC" w:rsidP="00085BFC">
      <w:pPr>
        <w:pStyle w:val="ListParagraph"/>
        <w:numPr>
          <w:ilvl w:val="0"/>
          <w:numId w:val="14"/>
        </w:numPr>
        <w:rPr>
          <w:rFonts w:ascii="Times New Roman" w:hAnsi="Times New Roman" w:cs="Times New Roman"/>
        </w:rPr>
      </w:pPr>
      <w:r w:rsidRPr="00674C89">
        <w:rPr>
          <w:rFonts w:ascii="Times New Roman" w:hAnsi="Times New Roman" w:cs="Times New Roman"/>
        </w:rPr>
        <w:t>Changed response options around firm size</w:t>
      </w:r>
      <w:r w:rsidR="00674C89" w:rsidRPr="00674C89">
        <w:rPr>
          <w:rFonts w:ascii="Times New Roman" w:hAnsi="Times New Roman" w:cs="Times New Roman"/>
        </w:rPr>
        <w:t xml:space="preserve">, hiring costs, and promotion costs </w:t>
      </w:r>
      <w:r w:rsidRPr="00674C89">
        <w:rPr>
          <w:rFonts w:ascii="Times New Roman" w:hAnsi="Times New Roman" w:cs="Times New Roman"/>
        </w:rPr>
        <w:t>from open-text f</w:t>
      </w:r>
      <w:r w:rsidR="00674C89" w:rsidRPr="00674C89">
        <w:rPr>
          <w:rFonts w:ascii="Times New Roman" w:hAnsi="Times New Roman" w:cs="Times New Roman"/>
        </w:rPr>
        <w:t>ields requiring a specific nume</w:t>
      </w:r>
      <w:r w:rsidRPr="00674C89">
        <w:rPr>
          <w:rFonts w:ascii="Times New Roman" w:hAnsi="Times New Roman" w:cs="Times New Roman"/>
        </w:rPr>
        <w:t>r</w:t>
      </w:r>
      <w:r w:rsidR="00674C89" w:rsidRPr="00674C89">
        <w:rPr>
          <w:rFonts w:ascii="Times New Roman" w:hAnsi="Times New Roman" w:cs="Times New Roman"/>
        </w:rPr>
        <w:t>ic value</w:t>
      </w:r>
      <w:r w:rsidRPr="00674C89">
        <w:rPr>
          <w:rFonts w:ascii="Times New Roman" w:hAnsi="Times New Roman" w:cs="Times New Roman"/>
        </w:rPr>
        <w:t xml:space="preserve"> to category intervals</w:t>
      </w:r>
    </w:p>
    <w:p w14:paraId="39723F87" w14:textId="77777777" w:rsidR="00674C89" w:rsidRPr="00674C89" w:rsidRDefault="00674C89" w:rsidP="00085BFC">
      <w:pPr>
        <w:pStyle w:val="ListParagraph"/>
        <w:numPr>
          <w:ilvl w:val="0"/>
          <w:numId w:val="14"/>
        </w:numPr>
        <w:rPr>
          <w:rFonts w:ascii="Times New Roman" w:hAnsi="Times New Roman" w:cs="Times New Roman"/>
        </w:rPr>
      </w:pPr>
      <w:r w:rsidRPr="00674C89">
        <w:rPr>
          <w:rFonts w:ascii="Times New Roman" w:hAnsi="Times New Roman" w:cs="Times New Roman"/>
        </w:rPr>
        <w:t>Removed questions asking employers to estimate the monetary value of specific spillover benefits</w:t>
      </w:r>
    </w:p>
    <w:p w14:paraId="6EFBF27C" w14:textId="77777777" w:rsidR="00405E78" w:rsidRPr="006837DE" w:rsidRDefault="00442F18" w:rsidP="006837DE">
      <w:pPr>
        <w:pStyle w:val="BodyText"/>
        <w:rPr>
          <w:szCs w:val="22"/>
        </w:rPr>
      </w:pPr>
      <w:r>
        <w:rPr>
          <w:szCs w:val="22"/>
        </w:rPr>
        <w:t>Feedback from a grantee indicated that</w:t>
      </w:r>
      <w:r w:rsidR="00674C89">
        <w:rPr>
          <w:szCs w:val="22"/>
        </w:rPr>
        <w:t xml:space="preserve"> AAI grantees </w:t>
      </w:r>
      <w:r>
        <w:rPr>
          <w:szCs w:val="22"/>
        </w:rPr>
        <w:t xml:space="preserve">can </w:t>
      </w:r>
      <w:r w:rsidR="00674C89">
        <w:rPr>
          <w:szCs w:val="22"/>
        </w:rPr>
        <w:t xml:space="preserve">enter much </w:t>
      </w:r>
      <w:r w:rsidR="00836B42">
        <w:rPr>
          <w:szCs w:val="22"/>
        </w:rPr>
        <w:t xml:space="preserve">of the </w:t>
      </w:r>
      <w:r w:rsidR="00674C89">
        <w:rPr>
          <w:szCs w:val="22"/>
        </w:rPr>
        <w:t xml:space="preserve">information from </w:t>
      </w:r>
      <w:r>
        <w:rPr>
          <w:szCs w:val="22"/>
        </w:rPr>
        <w:t xml:space="preserve">early </w:t>
      </w:r>
      <w:r w:rsidR="00674C89">
        <w:rPr>
          <w:szCs w:val="22"/>
        </w:rPr>
        <w:t xml:space="preserve">sections </w:t>
      </w:r>
      <w:r>
        <w:rPr>
          <w:szCs w:val="22"/>
        </w:rPr>
        <w:t xml:space="preserve">of </w:t>
      </w:r>
      <w:r w:rsidR="00836B42">
        <w:rPr>
          <w:szCs w:val="22"/>
        </w:rPr>
        <w:t xml:space="preserve">the </w:t>
      </w:r>
      <w:r w:rsidR="00674C89">
        <w:rPr>
          <w:szCs w:val="22"/>
        </w:rPr>
        <w:t xml:space="preserve">survey </w:t>
      </w:r>
      <w:r>
        <w:rPr>
          <w:szCs w:val="22"/>
        </w:rPr>
        <w:t xml:space="preserve">for </w:t>
      </w:r>
      <w:r w:rsidR="00674C89">
        <w:rPr>
          <w:szCs w:val="22"/>
        </w:rPr>
        <w:t>their employers. This will substantially reduce burden for these employers and perhaps improve those employers’ response rate to the employer survey.</w:t>
      </w:r>
    </w:p>
    <w:p w14:paraId="52927416" w14:textId="77777777" w:rsidR="006837DE" w:rsidRDefault="006837DE" w:rsidP="006837DE">
      <w:pPr>
        <w:pStyle w:val="BodyText"/>
        <w:rPr>
          <w:szCs w:val="22"/>
        </w:rPr>
      </w:pPr>
      <w:r>
        <w:rPr>
          <w:b/>
          <w:i/>
          <w:szCs w:val="22"/>
        </w:rPr>
        <w:t>Participant S</w:t>
      </w:r>
      <w:r w:rsidRPr="009E6E55">
        <w:rPr>
          <w:b/>
          <w:i/>
          <w:szCs w:val="22"/>
        </w:rPr>
        <w:t>urvey</w:t>
      </w:r>
    </w:p>
    <w:p w14:paraId="577C3F57" w14:textId="77777777" w:rsidR="00745A8A" w:rsidRDefault="00745A8A" w:rsidP="00745A8A">
      <w:pPr>
        <w:pStyle w:val="BodyText"/>
        <w:rPr>
          <w:szCs w:val="22"/>
        </w:rPr>
      </w:pPr>
      <w:r>
        <w:rPr>
          <w:szCs w:val="22"/>
        </w:rPr>
        <w:t xml:space="preserve">The </w:t>
      </w:r>
      <w:r w:rsidR="009335BB">
        <w:rPr>
          <w:szCs w:val="22"/>
        </w:rPr>
        <w:t>evaluator pre</w:t>
      </w:r>
      <w:r w:rsidR="00405E78">
        <w:rPr>
          <w:szCs w:val="22"/>
        </w:rPr>
        <w:t>test</w:t>
      </w:r>
      <w:r w:rsidR="00E874B8">
        <w:rPr>
          <w:szCs w:val="22"/>
        </w:rPr>
        <w:t>ed</w:t>
      </w:r>
      <w:r w:rsidRPr="00745A8A">
        <w:rPr>
          <w:szCs w:val="22"/>
        </w:rPr>
        <w:t xml:space="preserve"> the survey wit</w:t>
      </w:r>
      <w:r>
        <w:rPr>
          <w:szCs w:val="22"/>
        </w:rPr>
        <w:t xml:space="preserve">h nine apprentices drawn from one non-AAI employer </w:t>
      </w:r>
      <w:r w:rsidRPr="00745A8A">
        <w:rPr>
          <w:szCs w:val="22"/>
        </w:rPr>
        <w:t xml:space="preserve">and </w:t>
      </w:r>
      <w:r>
        <w:rPr>
          <w:szCs w:val="22"/>
        </w:rPr>
        <w:t>two AAI grantees</w:t>
      </w:r>
      <w:r w:rsidRPr="00745A8A">
        <w:rPr>
          <w:szCs w:val="22"/>
        </w:rPr>
        <w:t xml:space="preserve">. These apprentices </w:t>
      </w:r>
      <w:r>
        <w:rPr>
          <w:szCs w:val="22"/>
        </w:rPr>
        <w:t xml:space="preserve">were selected to reflect a range of occupations and </w:t>
      </w:r>
      <w:r w:rsidR="00E874B8">
        <w:rPr>
          <w:szCs w:val="22"/>
        </w:rPr>
        <w:t xml:space="preserve">program </w:t>
      </w:r>
      <w:r>
        <w:rPr>
          <w:szCs w:val="22"/>
        </w:rPr>
        <w:t xml:space="preserve">experiences. The </w:t>
      </w:r>
      <w:r w:rsidR="009335BB">
        <w:rPr>
          <w:szCs w:val="22"/>
        </w:rPr>
        <w:t>pre</w:t>
      </w:r>
      <w:r w:rsidR="00405E78">
        <w:rPr>
          <w:szCs w:val="22"/>
        </w:rPr>
        <w:t>test</w:t>
      </w:r>
      <w:r>
        <w:rPr>
          <w:szCs w:val="22"/>
        </w:rPr>
        <w:t xml:space="preserve"> was conducted via phone.</w:t>
      </w:r>
    </w:p>
    <w:p w14:paraId="5496D428" w14:textId="77777777" w:rsidR="00745A8A" w:rsidRDefault="00745A8A" w:rsidP="00745A8A">
      <w:pPr>
        <w:pStyle w:val="BodyText"/>
        <w:rPr>
          <w:szCs w:val="22"/>
        </w:rPr>
      </w:pPr>
      <w:r w:rsidRPr="00745A8A">
        <w:rPr>
          <w:szCs w:val="22"/>
        </w:rPr>
        <w:t>Overall, the respondents reported the survey was clear and t</w:t>
      </w:r>
      <w:r w:rsidR="00E874B8">
        <w:rPr>
          <w:szCs w:val="22"/>
        </w:rPr>
        <w:t>hat t</w:t>
      </w:r>
      <w:r w:rsidRPr="00745A8A">
        <w:rPr>
          <w:szCs w:val="22"/>
        </w:rPr>
        <w:t xml:space="preserve">hey </w:t>
      </w:r>
      <w:r w:rsidR="00E874B8">
        <w:rPr>
          <w:szCs w:val="22"/>
        </w:rPr>
        <w:t xml:space="preserve">mostly </w:t>
      </w:r>
      <w:r w:rsidRPr="00745A8A">
        <w:rPr>
          <w:szCs w:val="22"/>
        </w:rPr>
        <w:t xml:space="preserve">understood the questions. </w:t>
      </w:r>
      <w:r>
        <w:rPr>
          <w:szCs w:val="22"/>
        </w:rPr>
        <w:t xml:space="preserve">Respondents did report some difficulty in responding to </w:t>
      </w:r>
      <w:r w:rsidR="009335BB">
        <w:rPr>
          <w:szCs w:val="22"/>
        </w:rPr>
        <w:t xml:space="preserve">some </w:t>
      </w:r>
      <w:r w:rsidRPr="00745A8A">
        <w:rPr>
          <w:szCs w:val="22"/>
        </w:rPr>
        <w:t xml:space="preserve">items—either </w:t>
      </w:r>
      <w:r>
        <w:rPr>
          <w:szCs w:val="22"/>
        </w:rPr>
        <w:t>due to uncertainty in the</w:t>
      </w:r>
      <w:r w:rsidRPr="00745A8A">
        <w:rPr>
          <w:szCs w:val="22"/>
        </w:rPr>
        <w:t xml:space="preserve"> question wording or response options. </w:t>
      </w:r>
      <w:r>
        <w:rPr>
          <w:szCs w:val="22"/>
        </w:rPr>
        <w:t>In addition, the</w:t>
      </w:r>
      <w:r w:rsidRPr="00745A8A">
        <w:rPr>
          <w:szCs w:val="22"/>
        </w:rPr>
        <w:t xml:space="preserve"> length of the survey exceeded the burden estimate of 30 minutes. Consequently, </w:t>
      </w:r>
      <w:r>
        <w:rPr>
          <w:szCs w:val="22"/>
        </w:rPr>
        <w:t xml:space="preserve">the </w:t>
      </w:r>
      <w:r w:rsidR="009335BB">
        <w:rPr>
          <w:szCs w:val="22"/>
        </w:rPr>
        <w:t xml:space="preserve">evaluator </w:t>
      </w:r>
      <w:r w:rsidRPr="00745A8A">
        <w:rPr>
          <w:szCs w:val="22"/>
        </w:rPr>
        <w:t xml:space="preserve">revised the survey to </w:t>
      </w:r>
      <w:r>
        <w:rPr>
          <w:szCs w:val="22"/>
        </w:rPr>
        <w:t>clarify questions that were unclear to respondents and reduce</w:t>
      </w:r>
      <w:r w:rsidRPr="00745A8A">
        <w:rPr>
          <w:szCs w:val="22"/>
        </w:rPr>
        <w:t xml:space="preserve"> the length </w:t>
      </w:r>
      <w:r>
        <w:rPr>
          <w:szCs w:val="22"/>
        </w:rPr>
        <w:t xml:space="preserve">to conform </w:t>
      </w:r>
      <w:r w:rsidR="00836B42">
        <w:rPr>
          <w:szCs w:val="22"/>
        </w:rPr>
        <w:t>to</w:t>
      </w:r>
      <w:r w:rsidR="00707181">
        <w:rPr>
          <w:szCs w:val="22"/>
        </w:rPr>
        <w:t xml:space="preserve"> </w:t>
      </w:r>
      <w:r>
        <w:rPr>
          <w:szCs w:val="22"/>
        </w:rPr>
        <w:t>the burden estimate.</w:t>
      </w:r>
    </w:p>
    <w:p w14:paraId="3955DD6C" w14:textId="69C935BF" w:rsidR="00745A8A" w:rsidRPr="00745A8A" w:rsidRDefault="00745A8A" w:rsidP="00745A8A">
      <w:pPr>
        <w:pStyle w:val="BodyText"/>
        <w:rPr>
          <w:szCs w:val="22"/>
        </w:rPr>
      </w:pPr>
      <w:r>
        <w:rPr>
          <w:szCs w:val="22"/>
        </w:rPr>
        <w:t xml:space="preserve">The </w:t>
      </w:r>
      <w:r w:rsidR="00E96879">
        <w:rPr>
          <w:szCs w:val="22"/>
        </w:rPr>
        <w:t>evaluator</w:t>
      </w:r>
      <w:r w:rsidR="00E874B8">
        <w:rPr>
          <w:szCs w:val="22"/>
        </w:rPr>
        <w:t xml:space="preserve"> made the following revisions</w:t>
      </w:r>
      <w:r>
        <w:rPr>
          <w:szCs w:val="22"/>
        </w:rPr>
        <w:t>:</w:t>
      </w:r>
    </w:p>
    <w:p w14:paraId="2E1C3860" w14:textId="77777777" w:rsidR="00745A8A" w:rsidRDefault="0034174D" w:rsidP="0034174D">
      <w:pPr>
        <w:pStyle w:val="BodyText"/>
        <w:numPr>
          <w:ilvl w:val="0"/>
          <w:numId w:val="13"/>
        </w:numPr>
        <w:rPr>
          <w:szCs w:val="22"/>
        </w:rPr>
      </w:pPr>
      <w:r>
        <w:rPr>
          <w:szCs w:val="22"/>
        </w:rPr>
        <w:t>Eliminated</w:t>
      </w:r>
      <w:r w:rsidR="00745A8A" w:rsidRPr="00745A8A">
        <w:rPr>
          <w:szCs w:val="22"/>
        </w:rPr>
        <w:t xml:space="preserve"> questions that </w:t>
      </w:r>
      <w:r w:rsidR="00745A8A">
        <w:rPr>
          <w:szCs w:val="22"/>
        </w:rPr>
        <w:t xml:space="preserve">are not essential to the study or that </w:t>
      </w:r>
      <w:r w:rsidR="00745A8A" w:rsidRPr="00745A8A">
        <w:rPr>
          <w:szCs w:val="22"/>
        </w:rPr>
        <w:t>collect informat</w:t>
      </w:r>
      <w:r w:rsidR="00745A8A">
        <w:rPr>
          <w:szCs w:val="22"/>
        </w:rPr>
        <w:t xml:space="preserve">ion available elsewhere (such as </w:t>
      </w:r>
      <w:r w:rsidR="00405E78">
        <w:rPr>
          <w:szCs w:val="22"/>
        </w:rPr>
        <w:t>demographic information, which is available in the</w:t>
      </w:r>
      <w:r w:rsidR="00745A8A">
        <w:rPr>
          <w:szCs w:val="22"/>
        </w:rPr>
        <w:t xml:space="preserve"> QPR)</w:t>
      </w:r>
      <w:r w:rsidR="00745A8A" w:rsidRPr="00745A8A">
        <w:rPr>
          <w:szCs w:val="22"/>
        </w:rPr>
        <w:t xml:space="preserve"> </w:t>
      </w:r>
    </w:p>
    <w:p w14:paraId="0BAB80F0" w14:textId="77777777" w:rsidR="0034174D" w:rsidRPr="00745A8A" w:rsidRDefault="0034174D" w:rsidP="0034174D">
      <w:pPr>
        <w:pStyle w:val="BodyText"/>
        <w:numPr>
          <w:ilvl w:val="0"/>
          <w:numId w:val="13"/>
        </w:numPr>
        <w:rPr>
          <w:szCs w:val="22"/>
        </w:rPr>
      </w:pPr>
      <w:r>
        <w:rPr>
          <w:szCs w:val="22"/>
        </w:rPr>
        <w:t>Eliminated questions that were too long for the interviewer to read or not feasible to manually code (such as detailed occupation</w:t>
      </w:r>
      <w:r w:rsidR="00405E78">
        <w:rPr>
          <w:szCs w:val="22"/>
        </w:rPr>
        <w:t xml:space="preserve"> name</w:t>
      </w:r>
      <w:r>
        <w:rPr>
          <w:szCs w:val="22"/>
        </w:rPr>
        <w:t>)</w:t>
      </w:r>
    </w:p>
    <w:p w14:paraId="4D7E244B" w14:textId="77777777" w:rsidR="00745A8A" w:rsidRPr="00745A8A" w:rsidRDefault="0034174D" w:rsidP="0034174D">
      <w:pPr>
        <w:pStyle w:val="BodyText"/>
        <w:numPr>
          <w:ilvl w:val="0"/>
          <w:numId w:val="13"/>
        </w:numPr>
        <w:rPr>
          <w:szCs w:val="22"/>
        </w:rPr>
      </w:pPr>
      <w:r>
        <w:rPr>
          <w:szCs w:val="22"/>
        </w:rPr>
        <w:t>Clarified</w:t>
      </w:r>
      <w:r w:rsidR="00745A8A">
        <w:rPr>
          <w:szCs w:val="22"/>
        </w:rPr>
        <w:t xml:space="preserve"> and consolidat</w:t>
      </w:r>
      <w:r w:rsidR="009335BB">
        <w:rPr>
          <w:szCs w:val="22"/>
        </w:rPr>
        <w:t>ed</w:t>
      </w:r>
      <w:r w:rsidR="00745A8A">
        <w:rPr>
          <w:szCs w:val="22"/>
        </w:rPr>
        <w:t xml:space="preserve"> response options to several questions</w:t>
      </w:r>
      <w:r w:rsidR="00745A8A" w:rsidRPr="00745A8A">
        <w:rPr>
          <w:szCs w:val="22"/>
        </w:rPr>
        <w:t xml:space="preserve"> </w:t>
      </w:r>
      <w:r w:rsidR="00405E78">
        <w:rPr>
          <w:szCs w:val="22"/>
        </w:rPr>
        <w:t xml:space="preserve">(such as reducing the list of skills gained during the apprenticeship and subjects covered in training classes) </w:t>
      </w:r>
    </w:p>
    <w:p w14:paraId="7B43386B" w14:textId="77777777" w:rsidR="00745A8A" w:rsidRPr="00745A8A" w:rsidRDefault="00745A8A" w:rsidP="00745A8A">
      <w:pPr>
        <w:pStyle w:val="BodyText"/>
        <w:rPr>
          <w:szCs w:val="22"/>
        </w:rPr>
      </w:pPr>
    </w:p>
    <w:p w14:paraId="5CD865A5" w14:textId="77777777" w:rsidR="009500CC" w:rsidRPr="00B217A8" w:rsidRDefault="003731D0" w:rsidP="00DA634D">
      <w:pPr>
        <w:pStyle w:val="BodyText"/>
        <w:keepNext/>
        <w:rPr>
          <w:b/>
          <w:szCs w:val="22"/>
        </w:rPr>
      </w:pPr>
      <w:r>
        <w:rPr>
          <w:b/>
          <w:szCs w:val="22"/>
        </w:rPr>
        <w:t xml:space="preserve">B5. Individuals Consulted on Statistical </w:t>
      </w:r>
      <w:r w:rsidR="00787FDB">
        <w:rPr>
          <w:b/>
          <w:szCs w:val="22"/>
        </w:rPr>
        <w:t xml:space="preserve">Aspects of the </w:t>
      </w:r>
      <w:r>
        <w:rPr>
          <w:b/>
          <w:szCs w:val="22"/>
        </w:rPr>
        <w:t>Design</w:t>
      </w:r>
    </w:p>
    <w:p w14:paraId="74C03FAF" w14:textId="77777777" w:rsidR="00DA634D" w:rsidRPr="0022745B" w:rsidRDefault="00DA634D" w:rsidP="00DA634D">
      <w:pPr>
        <w:pStyle w:val="BodyText"/>
        <w:keepNext/>
        <w:rPr>
          <w:color w:val="000000" w:themeColor="text1"/>
          <w:szCs w:val="22"/>
        </w:rPr>
      </w:pPr>
      <w:r w:rsidRPr="009500CC">
        <w:rPr>
          <w:color w:val="000000" w:themeColor="text1"/>
          <w:szCs w:val="22"/>
        </w:rPr>
        <w:t>With DOL oversight, Abt</w:t>
      </w:r>
      <w:r w:rsidR="008068C4" w:rsidRPr="009500CC">
        <w:rPr>
          <w:color w:val="000000" w:themeColor="text1"/>
          <w:szCs w:val="22"/>
        </w:rPr>
        <w:t xml:space="preserve"> Associates</w:t>
      </w:r>
      <w:r w:rsidRPr="009500CC">
        <w:rPr>
          <w:color w:val="000000" w:themeColor="text1"/>
          <w:szCs w:val="22"/>
        </w:rPr>
        <w:t xml:space="preserve"> and its partners </w:t>
      </w:r>
      <w:r w:rsidRPr="009500CC">
        <w:rPr>
          <w:szCs w:val="22"/>
        </w:rPr>
        <w:t xml:space="preserve">are responsible for conducting the AAI </w:t>
      </w:r>
      <w:r w:rsidR="00605D53">
        <w:rPr>
          <w:szCs w:val="22"/>
        </w:rPr>
        <w:t>e</w:t>
      </w:r>
      <w:r w:rsidRPr="009500CC">
        <w:rPr>
          <w:szCs w:val="22"/>
        </w:rPr>
        <w:t xml:space="preserve">valuation. </w:t>
      </w:r>
      <w:r w:rsidRPr="009500CC">
        <w:rPr>
          <w:color w:val="000000" w:themeColor="text1"/>
          <w:szCs w:val="22"/>
        </w:rPr>
        <w:t xml:space="preserve">The individuals listed in Exhibit </w:t>
      </w:r>
      <w:r w:rsidR="00787FDB" w:rsidRPr="009500CC">
        <w:rPr>
          <w:color w:val="000000" w:themeColor="text1"/>
          <w:szCs w:val="22"/>
        </w:rPr>
        <w:t>B</w:t>
      </w:r>
      <w:r w:rsidR="00787FDB">
        <w:rPr>
          <w:color w:val="000000" w:themeColor="text1"/>
          <w:szCs w:val="22"/>
        </w:rPr>
        <w:t>2</w:t>
      </w:r>
      <w:r w:rsidR="00787FDB" w:rsidRPr="009500CC">
        <w:rPr>
          <w:color w:val="000000" w:themeColor="text1"/>
          <w:szCs w:val="22"/>
        </w:rPr>
        <w:t xml:space="preserve"> </w:t>
      </w:r>
      <w:r w:rsidRPr="009500CC">
        <w:rPr>
          <w:color w:val="000000" w:themeColor="text1"/>
          <w:szCs w:val="22"/>
        </w:rPr>
        <w:t xml:space="preserve">below made a contribution to the design of </w:t>
      </w:r>
      <w:r w:rsidR="008068C4" w:rsidRPr="009500CC">
        <w:rPr>
          <w:color w:val="000000" w:themeColor="text1"/>
          <w:szCs w:val="22"/>
        </w:rPr>
        <w:t>ROI</w:t>
      </w:r>
      <w:r w:rsidRPr="009500CC">
        <w:rPr>
          <w:color w:val="000000" w:themeColor="text1"/>
          <w:szCs w:val="22"/>
        </w:rPr>
        <w:t xml:space="preserve"> study and </w:t>
      </w:r>
      <w:r w:rsidR="008068C4" w:rsidRPr="009500CC">
        <w:rPr>
          <w:color w:val="000000" w:themeColor="text1"/>
          <w:szCs w:val="22"/>
        </w:rPr>
        <w:t>outcomes study</w:t>
      </w:r>
      <w:r w:rsidRPr="009500CC">
        <w:rPr>
          <w:color w:val="000000" w:themeColor="text1"/>
          <w:szCs w:val="22"/>
        </w:rPr>
        <w:t xml:space="preserve">. </w:t>
      </w:r>
      <w:r w:rsidR="008C32EC">
        <w:rPr>
          <w:color w:val="000000" w:themeColor="text1"/>
          <w:szCs w:val="22"/>
        </w:rPr>
        <w:t xml:space="preserve">Andrew Clarkwest at Abt Associates is the director of analysis for the AAI </w:t>
      </w:r>
      <w:r w:rsidR="00EF0062">
        <w:rPr>
          <w:color w:val="000000" w:themeColor="text1"/>
          <w:szCs w:val="22"/>
        </w:rPr>
        <w:t>evaluation</w:t>
      </w:r>
      <w:r w:rsidR="008C32EC">
        <w:rPr>
          <w:color w:val="000000" w:themeColor="text1"/>
          <w:szCs w:val="22"/>
        </w:rPr>
        <w:t xml:space="preserve">, and provides overall management and direction for analysis activities. </w:t>
      </w:r>
      <w:r w:rsidR="00DF76EC">
        <w:rPr>
          <w:color w:val="000000" w:themeColor="text1"/>
          <w:szCs w:val="22"/>
        </w:rPr>
        <w:t xml:space="preserve">Each of the sub-studies will also have a dedicated director. </w:t>
      </w:r>
      <w:r w:rsidRPr="009500CC">
        <w:rPr>
          <w:color w:val="000000" w:themeColor="text1"/>
          <w:szCs w:val="22"/>
        </w:rPr>
        <w:t>The data collected for the</w:t>
      </w:r>
      <w:r w:rsidR="008068C4" w:rsidRPr="009500CC">
        <w:rPr>
          <w:color w:val="000000" w:themeColor="text1"/>
          <w:szCs w:val="22"/>
        </w:rPr>
        <w:t xml:space="preserve"> ROI</w:t>
      </w:r>
      <w:r w:rsidRPr="009500CC">
        <w:rPr>
          <w:color w:val="000000" w:themeColor="text1"/>
          <w:szCs w:val="22"/>
        </w:rPr>
        <w:t xml:space="preserve"> study will be analyzed under the direction of </w:t>
      </w:r>
      <w:r w:rsidR="008068C4" w:rsidRPr="009500CC">
        <w:rPr>
          <w:color w:val="000000" w:themeColor="text1"/>
          <w:szCs w:val="22"/>
        </w:rPr>
        <w:t>Kevin Hollenbeck at the Upjohn Institute</w:t>
      </w:r>
      <w:r w:rsidRPr="009500CC">
        <w:rPr>
          <w:color w:val="000000" w:themeColor="text1"/>
          <w:szCs w:val="22"/>
        </w:rPr>
        <w:t xml:space="preserve">.  </w:t>
      </w:r>
      <w:r w:rsidR="00DF76EC">
        <w:rPr>
          <w:color w:val="000000" w:themeColor="text1"/>
          <w:szCs w:val="22"/>
        </w:rPr>
        <w:t xml:space="preserve">For the outcomes study, data collection and analysis will be directed by </w:t>
      </w:r>
      <w:r w:rsidR="008C32EC">
        <w:rPr>
          <w:color w:val="000000" w:themeColor="text1"/>
          <w:szCs w:val="22"/>
        </w:rPr>
        <w:t>Burt Barnow</w:t>
      </w:r>
      <w:r w:rsidR="00DF76EC">
        <w:rPr>
          <w:color w:val="000000" w:themeColor="text1"/>
          <w:szCs w:val="22"/>
        </w:rPr>
        <w:t xml:space="preserve"> of</w:t>
      </w:r>
      <w:r w:rsidR="008C32EC">
        <w:rPr>
          <w:color w:val="000000" w:themeColor="text1"/>
          <w:szCs w:val="22"/>
        </w:rPr>
        <w:t xml:space="preserve"> George Washington University</w:t>
      </w:r>
      <w:r w:rsidRPr="009500CC">
        <w:rPr>
          <w:color w:val="000000" w:themeColor="text1"/>
          <w:szCs w:val="22"/>
        </w:rPr>
        <w:t xml:space="preserve">. </w:t>
      </w:r>
      <w:r w:rsidR="008068C4" w:rsidRPr="009500CC">
        <w:rPr>
          <w:color w:val="000000" w:themeColor="text1"/>
          <w:szCs w:val="22"/>
        </w:rPr>
        <w:t xml:space="preserve">Both have been consulted on the statistical methods used in this evaluation. </w:t>
      </w:r>
      <w:r w:rsidRPr="0022745B">
        <w:rPr>
          <w:color w:val="000000" w:themeColor="text1"/>
          <w:szCs w:val="22"/>
        </w:rPr>
        <w:t xml:space="preserve">Karen Gardiner, the project director for the AAI evaluation, will have oversight of all sub-studies and data collection efforts.  </w:t>
      </w:r>
    </w:p>
    <w:p w14:paraId="0E580720" w14:textId="77777777" w:rsidR="00DA634D" w:rsidRPr="0022745B" w:rsidRDefault="00DA634D" w:rsidP="00DA634D">
      <w:pPr>
        <w:pStyle w:val="Exhibit"/>
        <w:keepNext/>
        <w:rPr>
          <w:rFonts w:ascii="Times New Roman" w:hAnsi="Times New Roman"/>
          <w:color w:val="000000" w:themeColor="text1"/>
          <w:sz w:val="22"/>
          <w:szCs w:val="22"/>
        </w:rPr>
      </w:pPr>
      <w:r w:rsidRPr="0022745B">
        <w:rPr>
          <w:rFonts w:ascii="Times New Roman" w:hAnsi="Times New Roman"/>
          <w:color w:val="000000" w:themeColor="text1"/>
          <w:sz w:val="22"/>
          <w:szCs w:val="22"/>
        </w:rPr>
        <w:t xml:space="preserve">Exhibit </w:t>
      </w:r>
      <w:r w:rsidR="00787FDB" w:rsidRPr="0022745B">
        <w:rPr>
          <w:rFonts w:ascii="Times New Roman" w:hAnsi="Times New Roman"/>
          <w:color w:val="000000" w:themeColor="text1"/>
          <w:sz w:val="22"/>
          <w:szCs w:val="22"/>
        </w:rPr>
        <w:t>B</w:t>
      </w:r>
      <w:r w:rsidR="00787FDB">
        <w:rPr>
          <w:rFonts w:ascii="Times New Roman" w:hAnsi="Times New Roman"/>
          <w:color w:val="000000" w:themeColor="text1"/>
          <w:sz w:val="22"/>
          <w:szCs w:val="22"/>
        </w:rPr>
        <w:t>2</w:t>
      </w:r>
      <w:r w:rsidRPr="0022745B">
        <w:rPr>
          <w:rFonts w:ascii="Times New Roman" w:hAnsi="Times New Roman"/>
          <w:color w:val="000000" w:themeColor="text1"/>
          <w:sz w:val="22"/>
          <w:szCs w:val="22"/>
        </w:rPr>
        <w:t>: Individuals Consulted on Data Collection</w:t>
      </w:r>
    </w:p>
    <w:tbl>
      <w:tblPr>
        <w:tblStyle w:val="TableGrid"/>
        <w:tblW w:w="913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firstRow="1" w:lastRow="0" w:firstColumn="1" w:lastColumn="0" w:noHBand="0" w:noVBand="1"/>
      </w:tblPr>
      <w:tblGrid>
        <w:gridCol w:w="2766"/>
        <w:gridCol w:w="2587"/>
        <w:gridCol w:w="3780"/>
      </w:tblGrid>
      <w:tr w:rsidR="00DA634D" w:rsidRPr="00B13DF8" w14:paraId="793D5CED" w14:textId="77777777" w:rsidTr="00BF1DF7">
        <w:trPr>
          <w:tblHeader/>
        </w:trPr>
        <w:tc>
          <w:tcPr>
            <w:tcW w:w="2766" w:type="dxa"/>
            <w:shd w:val="clear" w:color="auto" w:fill="C3C6A8"/>
          </w:tcPr>
          <w:p w14:paraId="6216157D" w14:textId="77777777" w:rsidR="00DA634D" w:rsidRPr="00B13DF8" w:rsidRDefault="00DA634D" w:rsidP="00D55120">
            <w:pPr>
              <w:spacing w:before="60" w:after="60"/>
              <w:jc w:val="center"/>
              <w:rPr>
                <w:b/>
                <w:sz w:val="22"/>
                <w:szCs w:val="22"/>
              </w:rPr>
            </w:pPr>
            <w:r w:rsidRPr="00B13DF8">
              <w:rPr>
                <w:b/>
                <w:sz w:val="22"/>
                <w:szCs w:val="22"/>
              </w:rPr>
              <w:t>Name</w:t>
            </w:r>
          </w:p>
        </w:tc>
        <w:tc>
          <w:tcPr>
            <w:tcW w:w="2587" w:type="dxa"/>
            <w:shd w:val="clear" w:color="auto" w:fill="C3C6A8"/>
          </w:tcPr>
          <w:p w14:paraId="04434577" w14:textId="77777777" w:rsidR="00DA634D" w:rsidRPr="00B13DF8" w:rsidRDefault="00DA634D" w:rsidP="00D55120">
            <w:pPr>
              <w:spacing w:before="60" w:after="60"/>
              <w:jc w:val="center"/>
              <w:rPr>
                <w:b/>
                <w:sz w:val="22"/>
                <w:szCs w:val="22"/>
              </w:rPr>
            </w:pPr>
            <w:r w:rsidRPr="00B13DF8">
              <w:rPr>
                <w:b/>
                <w:sz w:val="22"/>
                <w:szCs w:val="22"/>
              </w:rPr>
              <w:t>Telephone Number</w:t>
            </w:r>
          </w:p>
        </w:tc>
        <w:tc>
          <w:tcPr>
            <w:tcW w:w="3780" w:type="dxa"/>
            <w:shd w:val="clear" w:color="auto" w:fill="C3C6A8"/>
          </w:tcPr>
          <w:p w14:paraId="23CC8CAC" w14:textId="77777777" w:rsidR="00DA634D" w:rsidRPr="00B13DF8" w:rsidRDefault="00DA634D" w:rsidP="00D55120">
            <w:pPr>
              <w:spacing w:before="60" w:after="60"/>
              <w:jc w:val="center"/>
              <w:rPr>
                <w:b/>
                <w:sz w:val="22"/>
                <w:szCs w:val="22"/>
              </w:rPr>
            </w:pPr>
            <w:r w:rsidRPr="00B13DF8">
              <w:rPr>
                <w:b/>
                <w:sz w:val="22"/>
                <w:szCs w:val="22"/>
              </w:rPr>
              <w:t>Role in Study</w:t>
            </w:r>
          </w:p>
        </w:tc>
      </w:tr>
      <w:tr w:rsidR="00DA634D" w:rsidRPr="00B13DF8" w14:paraId="69721DBD" w14:textId="77777777" w:rsidTr="00D55120">
        <w:tc>
          <w:tcPr>
            <w:tcW w:w="2766" w:type="dxa"/>
          </w:tcPr>
          <w:p w14:paraId="4222E403" w14:textId="77777777" w:rsidR="00DA634D" w:rsidRPr="00B13DF8" w:rsidRDefault="00DA634D" w:rsidP="00D55120">
            <w:pPr>
              <w:spacing w:before="60" w:after="60"/>
              <w:rPr>
                <w:sz w:val="22"/>
                <w:szCs w:val="22"/>
              </w:rPr>
            </w:pPr>
            <w:r w:rsidRPr="00B13DF8">
              <w:rPr>
                <w:sz w:val="22"/>
                <w:szCs w:val="22"/>
              </w:rPr>
              <w:t>Karen Gardiner</w:t>
            </w:r>
          </w:p>
        </w:tc>
        <w:tc>
          <w:tcPr>
            <w:tcW w:w="2587" w:type="dxa"/>
          </w:tcPr>
          <w:p w14:paraId="4F9220EE" w14:textId="77777777" w:rsidR="00DA634D" w:rsidRPr="00B13DF8" w:rsidRDefault="00DA634D" w:rsidP="00D55120">
            <w:pPr>
              <w:spacing w:before="60" w:after="60"/>
              <w:rPr>
                <w:sz w:val="22"/>
                <w:szCs w:val="22"/>
              </w:rPr>
            </w:pPr>
            <w:r w:rsidRPr="00B13DF8">
              <w:rPr>
                <w:sz w:val="22"/>
                <w:szCs w:val="22"/>
              </w:rPr>
              <w:t>(301) 347-5547</w:t>
            </w:r>
          </w:p>
        </w:tc>
        <w:tc>
          <w:tcPr>
            <w:tcW w:w="3780" w:type="dxa"/>
          </w:tcPr>
          <w:p w14:paraId="34061C22" w14:textId="77777777" w:rsidR="00DA634D" w:rsidRPr="00B13DF8" w:rsidRDefault="00DA634D" w:rsidP="00D55120">
            <w:pPr>
              <w:spacing w:before="60" w:after="60"/>
              <w:rPr>
                <w:sz w:val="22"/>
                <w:szCs w:val="22"/>
              </w:rPr>
            </w:pPr>
            <w:r w:rsidRPr="00B13DF8">
              <w:rPr>
                <w:sz w:val="22"/>
                <w:szCs w:val="22"/>
              </w:rPr>
              <w:t>Project Director</w:t>
            </w:r>
          </w:p>
        </w:tc>
      </w:tr>
      <w:tr w:rsidR="00DF76EC" w:rsidRPr="00B13DF8" w14:paraId="6F7F9F7C" w14:textId="77777777" w:rsidTr="008E5FFB">
        <w:tc>
          <w:tcPr>
            <w:tcW w:w="2766" w:type="dxa"/>
          </w:tcPr>
          <w:p w14:paraId="59EBD03F" w14:textId="77777777" w:rsidR="00DF76EC" w:rsidRPr="00B13DF8" w:rsidRDefault="00DF76EC" w:rsidP="008E5FFB">
            <w:pPr>
              <w:spacing w:before="60" w:after="60"/>
              <w:rPr>
                <w:sz w:val="22"/>
                <w:szCs w:val="22"/>
              </w:rPr>
            </w:pPr>
            <w:r w:rsidRPr="00B13DF8">
              <w:rPr>
                <w:sz w:val="22"/>
                <w:szCs w:val="22"/>
              </w:rPr>
              <w:t>Andrew Clarkwest</w:t>
            </w:r>
          </w:p>
        </w:tc>
        <w:tc>
          <w:tcPr>
            <w:tcW w:w="2587" w:type="dxa"/>
          </w:tcPr>
          <w:p w14:paraId="46A0F301" w14:textId="77777777" w:rsidR="00DF76EC" w:rsidRPr="00B13DF8" w:rsidRDefault="00DF76EC" w:rsidP="008E5FFB">
            <w:pPr>
              <w:spacing w:before="60" w:after="60"/>
              <w:rPr>
                <w:sz w:val="22"/>
                <w:szCs w:val="22"/>
              </w:rPr>
            </w:pPr>
            <w:r w:rsidRPr="00B13DF8">
              <w:rPr>
                <w:sz w:val="22"/>
                <w:szCs w:val="22"/>
              </w:rPr>
              <w:t>(301) 347-5065</w:t>
            </w:r>
          </w:p>
        </w:tc>
        <w:tc>
          <w:tcPr>
            <w:tcW w:w="3780" w:type="dxa"/>
          </w:tcPr>
          <w:p w14:paraId="27973958" w14:textId="77777777" w:rsidR="00DF76EC" w:rsidRPr="00B13DF8" w:rsidRDefault="00605D53" w:rsidP="008E5FFB">
            <w:pPr>
              <w:spacing w:before="60" w:after="60"/>
              <w:rPr>
                <w:sz w:val="22"/>
                <w:szCs w:val="22"/>
              </w:rPr>
            </w:pPr>
            <w:r w:rsidRPr="00B13DF8">
              <w:rPr>
                <w:sz w:val="22"/>
                <w:szCs w:val="22"/>
              </w:rPr>
              <w:t>Director of Analysis</w:t>
            </w:r>
          </w:p>
        </w:tc>
      </w:tr>
      <w:tr w:rsidR="00DA634D" w:rsidRPr="00B13DF8" w14:paraId="6424B674" w14:textId="77777777" w:rsidTr="00D55120">
        <w:tc>
          <w:tcPr>
            <w:tcW w:w="2766" w:type="dxa"/>
          </w:tcPr>
          <w:p w14:paraId="0E1652EF" w14:textId="77777777" w:rsidR="00DA634D" w:rsidRPr="00B13DF8" w:rsidRDefault="00DA634D" w:rsidP="00D55120">
            <w:pPr>
              <w:spacing w:before="60" w:after="60"/>
              <w:rPr>
                <w:sz w:val="22"/>
                <w:szCs w:val="22"/>
              </w:rPr>
            </w:pPr>
            <w:r w:rsidRPr="00B13DF8">
              <w:rPr>
                <w:sz w:val="22"/>
                <w:szCs w:val="22"/>
              </w:rPr>
              <w:t>Robert Lerman</w:t>
            </w:r>
          </w:p>
        </w:tc>
        <w:tc>
          <w:tcPr>
            <w:tcW w:w="2587" w:type="dxa"/>
          </w:tcPr>
          <w:p w14:paraId="09784A1C" w14:textId="77777777" w:rsidR="00DA634D" w:rsidRPr="00B13DF8" w:rsidRDefault="00DA634D" w:rsidP="00D55120">
            <w:pPr>
              <w:spacing w:before="60" w:after="60"/>
              <w:rPr>
                <w:sz w:val="22"/>
                <w:szCs w:val="22"/>
              </w:rPr>
            </w:pPr>
            <w:r w:rsidRPr="00B13DF8">
              <w:rPr>
                <w:sz w:val="22"/>
                <w:szCs w:val="22"/>
              </w:rPr>
              <w:t>(202) 261-5676</w:t>
            </w:r>
          </w:p>
        </w:tc>
        <w:tc>
          <w:tcPr>
            <w:tcW w:w="3780" w:type="dxa"/>
          </w:tcPr>
          <w:p w14:paraId="66BFB8E2" w14:textId="77777777" w:rsidR="00DA634D" w:rsidRPr="00B13DF8" w:rsidRDefault="00DF76EC" w:rsidP="00D55120">
            <w:pPr>
              <w:spacing w:before="60" w:after="60"/>
              <w:rPr>
                <w:sz w:val="22"/>
                <w:szCs w:val="22"/>
              </w:rPr>
            </w:pPr>
            <w:r w:rsidRPr="00B13DF8">
              <w:rPr>
                <w:sz w:val="22"/>
                <w:szCs w:val="22"/>
              </w:rPr>
              <w:t>Co-</w:t>
            </w:r>
            <w:r w:rsidR="00DA634D" w:rsidRPr="00B13DF8">
              <w:rPr>
                <w:sz w:val="22"/>
                <w:szCs w:val="22"/>
              </w:rPr>
              <w:t>Principal Investigator</w:t>
            </w:r>
          </w:p>
        </w:tc>
      </w:tr>
      <w:tr w:rsidR="00DA634D" w:rsidRPr="00B13DF8" w14:paraId="75AB150F" w14:textId="77777777" w:rsidTr="00D55120">
        <w:tc>
          <w:tcPr>
            <w:tcW w:w="2766" w:type="dxa"/>
          </w:tcPr>
          <w:p w14:paraId="6F785FBF" w14:textId="77777777" w:rsidR="00DA634D" w:rsidRPr="00B13DF8" w:rsidRDefault="00DA634D" w:rsidP="00D55120">
            <w:pPr>
              <w:spacing w:before="60" w:after="60"/>
              <w:rPr>
                <w:sz w:val="22"/>
                <w:szCs w:val="22"/>
              </w:rPr>
            </w:pPr>
            <w:r w:rsidRPr="00B13DF8">
              <w:rPr>
                <w:sz w:val="22"/>
                <w:szCs w:val="22"/>
              </w:rPr>
              <w:t>Karin Martinson</w:t>
            </w:r>
          </w:p>
        </w:tc>
        <w:tc>
          <w:tcPr>
            <w:tcW w:w="2587" w:type="dxa"/>
          </w:tcPr>
          <w:p w14:paraId="77FE19E5" w14:textId="77777777" w:rsidR="00DA634D" w:rsidRPr="00B13DF8" w:rsidRDefault="00DA634D" w:rsidP="00D55120">
            <w:pPr>
              <w:spacing w:before="60" w:after="60"/>
              <w:rPr>
                <w:sz w:val="22"/>
                <w:szCs w:val="22"/>
              </w:rPr>
            </w:pPr>
            <w:r w:rsidRPr="00B13DF8">
              <w:rPr>
                <w:sz w:val="22"/>
                <w:szCs w:val="22"/>
              </w:rPr>
              <w:t>(301) 347-5726</w:t>
            </w:r>
          </w:p>
        </w:tc>
        <w:tc>
          <w:tcPr>
            <w:tcW w:w="3780" w:type="dxa"/>
          </w:tcPr>
          <w:p w14:paraId="6A345B9A" w14:textId="77777777" w:rsidR="00DA634D" w:rsidRPr="00B13DF8" w:rsidRDefault="00DA634D" w:rsidP="00D55120">
            <w:pPr>
              <w:spacing w:before="60" w:after="60"/>
              <w:rPr>
                <w:sz w:val="22"/>
                <w:szCs w:val="22"/>
              </w:rPr>
            </w:pPr>
            <w:r w:rsidRPr="00B13DF8">
              <w:rPr>
                <w:sz w:val="22"/>
                <w:szCs w:val="22"/>
              </w:rPr>
              <w:t xml:space="preserve">Co-Principal Investigator </w:t>
            </w:r>
          </w:p>
        </w:tc>
      </w:tr>
      <w:tr w:rsidR="009635B7" w:rsidRPr="00B13DF8" w14:paraId="125EF522" w14:textId="77777777" w:rsidTr="00D55120">
        <w:tc>
          <w:tcPr>
            <w:tcW w:w="2766" w:type="dxa"/>
          </w:tcPr>
          <w:p w14:paraId="3F53D2CA" w14:textId="77777777" w:rsidR="009635B7" w:rsidRPr="00B13DF8" w:rsidRDefault="009635B7" w:rsidP="00D55120">
            <w:pPr>
              <w:tabs>
                <w:tab w:val="right" w:pos="2680"/>
              </w:tabs>
              <w:spacing w:before="60" w:after="60"/>
              <w:rPr>
                <w:sz w:val="22"/>
                <w:szCs w:val="22"/>
              </w:rPr>
            </w:pPr>
            <w:r w:rsidRPr="00B13DF8">
              <w:rPr>
                <w:sz w:val="22"/>
                <w:szCs w:val="22"/>
              </w:rPr>
              <w:t>Austin Nichols</w:t>
            </w:r>
          </w:p>
        </w:tc>
        <w:tc>
          <w:tcPr>
            <w:tcW w:w="2587" w:type="dxa"/>
          </w:tcPr>
          <w:p w14:paraId="0DCA706B" w14:textId="77777777" w:rsidR="009635B7" w:rsidRPr="00B13DF8" w:rsidRDefault="00B13DF8" w:rsidP="00B13DF8">
            <w:pPr>
              <w:spacing w:before="60" w:after="60"/>
              <w:rPr>
                <w:sz w:val="22"/>
                <w:szCs w:val="22"/>
              </w:rPr>
            </w:pPr>
            <w:r w:rsidRPr="00B13DF8">
              <w:rPr>
                <w:sz w:val="22"/>
                <w:szCs w:val="22"/>
              </w:rPr>
              <w:t>(301) 347-5679</w:t>
            </w:r>
          </w:p>
        </w:tc>
        <w:tc>
          <w:tcPr>
            <w:tcW w:w="3780" w:type="dxa"/>
          </w:tcPr>
          <w:p w14:paraId="2A4774F7" w14:textId="77777777" w:rsidR="009635B7" w:rsidRPr="00B13DF8" w:rsidRDefault="009635B7" w:rsidP="00D55120">
            <w:pPr>
              <w:spacing w:before="60" w:after="60"/>
              <w:rPr>
                <w:sz w:val="22"/>
                <w:szCs w:val="22"/>
              </w:rPr>
            </w:pPr>
            <w:r w:rsidRPr="00B13DF8">
              <w:rPr>
                <w:sz w:val="22"/>
                <w:szCs w:val="22"/>
              </w:rPr>
              <w:t>Senior Advisor</w:t>
            </w:r>
          </w:p>
        </w:tc>
      </w:tr>
      <w:tr w:rsidR="00DA634D" w:rsidRPr="00B13DF8" w14:paraId="387AADCA" w14:textId="77777777" w:rsidTr="00D55120">
        <w:tc>
          <w:tcPr>
            <w:tcW w:w="2766" w:type="dxa"/>
          </w:tcPr>
          <w:p w14:paraId="5FEEE52D" w14:textId="77777777" w:rsidR="00DA634D" w:rsidRPr="00B13DF8" w:rsidRDefault="00DA634D" w:rsidP="00D55120">
            <w:pPr>
              <w:tabs>
                <w:tab w:val="right" w:pos="2680"/>
              </w:tabs>
              <w:spacing w:before="60" w:after="60"/>
              <w:rPr>
                <w:sz w:val="22"/>
                <w:szCs w:val="22"/>
              </w:rPr>
            </w:pPr>
            <w:r w:rsidRPr="00B13DF8">
              <w:rPr>
                <w:sz w:val="22"/>
                <w:szCs w:val="22"/>
              </w:rPr>
              <w:t xml:space="preserve">Jacob Klerman </w:t>
            </w:r>
          </w:p>
        </w:tc>
        <w:tc>
          <w:tcPr>
            <w:tcW w:w="2587" w:type="dxa"/>
          </w:tcPr>
          <w:p w14:paraId="6ADAE8A7" w14:textId="77777777" w:rsidR="00DA634D" w:rsidRPr="00B13DF8" w:rsidRDefault="00DA634D" w:rsidP="00D55120">
            <w:pPr>
              <w:spacing w:before="60" w:after="60"/>
              <w:rPr>
                <w:sz w:val="22"/>
                <w:szCs w:val="22"/>
              </w:rPr>
            </w:pPr>
            <w:r w:rsidRPr="00B13DF8">
              <w:rPr>
                <w:sz w:val="22"/>
                <w:szCs w:val="22"/>
              </w:rPr>
              <w:t>(617) 520-2613</w:t>
            </w:r>
          </w:p>
        </w:tc>
        <w:tc>
          <w:tcPr>
            <w:tcW w:w="3780" w:type="dxa"/>
          </w:tcPr>
          <w:p w14:paraId="6B1C51CA" w14:textId="77777777" w:rsidR="00DA634D" w:rsidRPr="00B13DF8" w:rsidRDefault="009635B7" w:rsidP="00D55120">
            <w:pPr>
              <w:spacing w:before="60" w:after="60"/>
              <w:rPr>
                <w:sz w:val="22"/>
                <w:szCs w:val="22"/>
              </w:rPr>
            </w:pPr>
            <w:r w:rsidRPr="00B13DF8">
              <w:rPr>
                <w:sz w:val="22"/>
                <w:szCs w:val="22"/>
              </w:rPr>
              <w:t>Senior Advisor</w:t>
            </w:r>
          </w:p>
        </w:tc>
      </w:tr>
      <w:tr w:rsidR="00BA7DD5" w:rsidRPr="00B13DF8" w14:paraId="2330EDBF" w14:textId="77777777" w:rsidTr="00D55120">
        <w:tc>
          <w:tcPr>
            <w:tcW w:w="2766" w:type="dxa"/>
          </w:tcPr>
          <w:p w14:paraId="5569FE84" w14:textId="77777777" w:rsidR="00BA7DD5" w:rsidRPr="00B13DF8" w:rsidRDefault="00BA7DD5" w:rsidP="00D55120">
            <w:pPr>
              <w:spacing w:before="60" w:after="60"/>
              <w:rPr>
                <w:sz w:val="22"/>
                <w:szCs w:val="22"/>
              </w:rPr>
            </w:pPr>
            <w:r w:rsidRPr="00B13DF8">
              <w:rPr>
                <w:sz w:val="22"/>
                <w:szCs w:val="22"/>
              </w:rPr>
              <w:t>Julie Pacer</w:t>
            </w:r>
          </w:p>
        </w:tc>
        <w:tc>
          <w:tcPr>
            <w:tcW w:w="2587" w:type="dxa"/>
          </w:tcPr>
          <w:p w14:paraId="5E55E984" w14:textId="77777777" w:rsidR="00BA7DD5" w:rsidRPr="00B13DF8" w:rsidRDefault="00C6279C" w:rsidP="00D55120">
            <w:pPr>
              <w:spacing w:before="60" w:after="60"/>
              <w:rPr>
                <w:sz w:val="22"/>
                <w:szCs w:val="22"/>
              </w:rPr>
            </w:pPr>
            <w:r>
              <w:rPr>
                <w:sz w:val="22"/>
                <w:szCs w:val="22"/>
              </w:rPr>
              <w:t>(312) 529-9708</w:t>
            </w:r>
          </w:p>
        </w:tc>
        <w:tc>
          <w:tcPr>
            <w:tcW w:w="3780" w:type="dxa"/>
          </w:tcPr>
          <w:p w14:paraId="20EC4572" w14:textId="77777777" w:rsidR="00BA7DD5" w:rsidRPr="00B13DF8" w:rsidRDefault="00B13DF8" w:rsidP="00E7229A">
            <w:pPr>
              <w:spacing w:before="60" w:after="60"/>
              <w:rPr>
                <w:sz w:val="22"/>
                <w:szCs w:val="22"/>
              </w:rPr>
            </w:pPr>
            <w:r w:rsidRPr="00B13DF8">
              <w:rPr>
                <w:sz w:val="22"/>
                <w:szCs w:val="22"/>
              </w:rPr>
              <w:t>Survey</w:t>
            </w:r>
            <w:r w:rsidR="00BA7DD5" w:rsidRPr="00B13DF8">
              <w:rPr>
                <w:sz w:val="22"/>
                <w:szCs w:val="22"/>
              </w:rPr>
              <w:t xml:space="preserve"> </w:t>
            </w:r>
            <w:r w:rsidR="00E7229A">
              <w:rPr>
                <w:sz w:val="22"/>
                <w:szCs w:val="22"/>
              </w:rPr>
              <w:t xml:space="preserve">Director </w:t>
            </w:r>
          </w:p>
        </w:tc>
      </w:tr>
      <w:tr w:rsidR="009635B7" w:rsidRPr="00B13DF8" w14:paraId="6DDFDE9F" w14:textId="77777777" w:rsidTr="00D55120">
        <w:tc>
          <w:tcPr>
            <w:tcW w:w="2766" w:type="dxa"/>
          </w:tcPr>
          <w:p w14:paraId="271D8F3B" w14:textId="77777777" w:rsidR="009635B7" w:rsidRPr="00B13DF8" w:rsidRDefault="009635B7" w:rsidP="00D55120">
            <w:pPr>
              <w:spacing w:before="60" w:after="60"/>
              <w:rPr>
                <w:sz w:val="22"/>
                <w:szCs w:val="22"/>
              </w:rPr>
            </w:pPr>
            <w:r w:rsidRPr="00B13DF8">
              <w:rPr>
                <w:sz w:val="22"/>
                <w:szCs w:val="22"/>
              </w:rPr>
              <w:t>David Judkins</w:t>
            </w:r>
          </w:p>
        </w:tc>
        <w:tc>
          <w:tcPr>
            <w:tcW w:w="2587" w:type="dxa"/>
          </w:tcPr>
          <w:p w14:paraId="340C91EB" w14:textId="77777777" w:rsidR="009635B7" w:rsidRPr="00B13DF8" w:rsidRDefault="00B13DF8" w:rsidP="00D55120">
            <w:pPr>
              <w:spacing w:before="60" w:after="60"/>
              <w:rPr>
                <w:sz w:val="22"/>
                <w:szCs w:val="22"/>
              </w:rPr>
            </w:pPr>
            <w:r w:rsidRPr="00B13DF8">
              <w:rPr>
                <w:sz w:val="22"/>
                <w:szCs w:val="22"/>
              </w:rPr>
              <w:t>(301) 347-5952</w:t>
            </w:r>
          </w:p>
        </w:tc>
        <w:tc>
          <w:tcPr>
            <w:tcW w:w="3780" w:type="dxa"/>
          </w:tcPr>
          <w:p w14:paraId="6146A2C9" w14:textId="77777777" w:rsidR="009635B7" w:rsidRPr="00B13DF8" w:rsidRDefault="009635B7" w:rsidP="00D55120">
            <w:pPr>
              <w:spacing w:before="60" w:after="60"/>
              <w:rPr>
                <w:sz w:val="22"/>
                <w:szCs w:val="22"/>
              </w:rPr>
            </w:pPr>
            <w:r w:rsidRPr="00B13DF8">
              <w:rPr>
                <w:sz w:val="22"/>
                <w:szCs w:val="22"/>
              </w:rPr>
              <w:t>Project Quality Advisor</w:t>
            </w:r>
          </w:p>
        </w:tc>
      </w:tr>
      <w:tr w:rsidR="00DA634D" w:rsidRPr="00B13DF8" w14:paraId="4A507721" w14:textId="77777777" w:rsidTr="00D55120">
        <w:tc>
          <w:tcPr>
            <w:tcW w:w="2766" w:type="dxa"/>
          </w:tcPr>
          <w:p w14:paraId="406C5F4A" w14:textId="77777777" w:rsidR="00DA634D" w:rsidRPr="00B13DF8" w:rsidRDefault="008068C4" w:rsidP="00D55120">
            <w:pPr>
              <w:spacing w:before="60" w:after="60"/>
              <w:rPr>
                <w:sz w:val="22"/>
                <w:szCs w:val="22"/>
              </w:rPr>
            </w:pPr>
            <w:r w:rsidRPr="00B13DF8">
              <w:rPr>
                <w:sz w:val="22"/>
                <w:szCs w:val="22"/>
              </w:rPr>
              <w:t>Kevin Hollenbeck</w:t>
            </w:r>
          </w:p>
        </w:tc>
        <w:tc>
          <w:tcPr>
            <w:tcW w:w="2587" w:type="dxa"/>
          </w:tcPr>
          <w:p w14:paraId="18907885" w14:textId="77777777" w:rsidR="00DA634D" w:rsidRPr="00B13DF8" w:rsidRDefault="008068C4" w:rsidP="00D55120">
            <w:pPr>
              <w:spacing w:before="60" w:after="60"/>
              <w:rPr>
                <w:sz w:val="22"/>
                <w:szCs w:val="22"/>
              </w:rPr>
            </w:pPr>
            <w:r w:rsidRPr="00B13DF8">
              <w:rPr>
                <w:sz w:val="22"/>
                <w:szCs w:val="22"/>
              </w:rPr>
              <w:t>(269) 343-5541</w:t>
            </w:r>
          </w:p>
        </w:tc>
        <w:tc>
          <w:tcPr>
            <w:tcW w:w="3780" w:type="dxa"/>
          </w:tcPr>
          <w:p w14:paraId="796C4999" w14:textId="77777777" w:rsidR="00DA634D" w:rsidRPr="00B13DF8" w:rsidRDefault="008068C4" w:rsidP="00D55120">
            <w:pPr>
              <w:spacing w:before="60" w:after="60"/>
              <w:rPr>
                <w:sz w:val="22"/>
                <w:szCs w:val="22"/>
              </w:rPr>
            </w:pPr>
            <w:r w:rsidRPr="00B13DF8">
              <w:rPr>
                <w:sz w:val="22"/>
                <w:szCs w:val="22"/>
              </w:rPr>
              <w:t>ROI Study Lead</w:t>
            </w:r>
          </w:p>
        </w:tc>
      </w:tr>
      <w:tr w:rsidR="00DA634D" w:rsidRPr="00B13DF8" w14:paraId="438DFF66" w14:textId="77777777" w:rsidTr="00D55120">
        <w:tc>
          <w:tcPr>
            <w:tcW w:w="2766" w:type="dxa"/>
          </w:tcPr>
          <w:p w14:paraId="0BF71345" w14:textId="77777777" w:rsidR="00DA634D" w:rsidRPr="00B13DF8" w:rsidRDefault="00DF76EC" w:rsidP="00D55120">
            <w:pPr>
              <w:spacing w:before="60" w:after="60"/>
              <w:rPr>
                <w:sz w:val="22"/>
                <w:szCs w:val="22"/>
              </w:rPr>
            </w:pPr>
            <w:r w:rsidRPr="00B13DF8">
              <w:rPr>
                <w:sz w:val="22"/>
                <w:szCs w:val="22"/>
              </w:rPr>
              <w:t>Burt Barnow</w:t>
            </w:r>
          </w:p>
        </w:tc>
        <w:tc>
          <w:tcPr>
            <w:tcW w:w="2587" w:type="dxa"/>
          </w:tcPr>
          <w:p w14:paraId="20AAEF39" w14:textId="77777777" w:rsidR="00DA634D" w:rsidRPr="00B13DF8" w:rsidRDefault="008068C4" w:rsidP="00605D53">
            <w:pPr>
              <w:spacing w:before="60" w:after="60"/>
              <w:rPr>
                <w:sz w:val="22"/>
                <w:szCs w:val="22"/>
              </w:rPr>
            </w:pPr>
            <w:r w:rsidRPr="00B13DF8">
              <w:rPr>
                <w:sz w:val="22"/>
                <w:szCs w:val="22"/>
              </w:rPr>
              <w:t>(</w:t>
            </w:r>
            <w:r w:rsidR="00605D53" w:rsidRPr="00B13DF8">
              <w:rPr>
                <w:sz w:val="22"/>
                <w:szCs w:val="22"/>
              </w:rPr>
              <w:t>202</w:t>
            </w:r>
            <w:r w:rsidRPr="00B13DF8">
              <w:rPr>
                <w:sz w:val="22"/>
                <w:szCs w:val="22"/>
              </w:rPr>
              <w:t xml:space="preserve">) </w:t>
            </w:r>
            <w:r w:rsidR="00605D53" w:rsidRPr="00B13DF8">
              <w:rPr>
                <w:sz w:val="22"/>
                <w:szCs w:val="22"/>
              </w:rPr>
              <w:t>994-6379</w:t>
            </w:r>
          </w:p>
        </w:tc>
        <w:tc>
          <w:tcPr>
            <w:tcW w:w="3780" w:type="dxa"/>
          </w:tcPr>
          <w:p w14:paraId="58A8172D" w14:textId="77777777" w:rsidR="00DA634D" w:rsidRPr="00B13DF8" w:rsidRDefault="008068C4" w:rsidP="00D55120">
            <w:pPr>
              <w:spacing w:before="60" w:after="60"/>
              <w:rPr>
                <w:sz w:val="22"/>
                <w:szCs w:val="22"/>
              </w:rPr>
            </w:pPr>
            <w:r w:rsidRPr="00B13DF8">
              <w:rPr>
                <w:sz w:val="22"/>
                <w:szCs w:val="22"/>
              </w:rPr>
              <w:t>Outcomes Study Lead</w:t>
            </w:r>
          </w:p>
        </w:tc>
      </w:tr>
    </w:tbl>
    <w:p w14:paraId="398BD508" w14:textId="77777777" w:rsidR="00DA634D" w:rsidRPr="009500CC" w:rsidRDefault="00DA634D" w:rsidP="00DA634D">
      <w:pPr>
        <w:rPr>
          <w:rFonts w:ascii="Times New Roman" w:hAnsi="Times New Roman" w:cs="Times New Roman"/>
        </w:rPr>
      </w:pPr>
    </w:p>
    <w:p w14:paraId="447859BD" w14:textId="77777777" w:rsidR="00DA634D" w:rsidRPr="009500CC" w:rsidRDefault="00DA634D" w:rsidP="00DA634D">
      <w:pPr>
        <w:keepNext/>
        <w:rPr>
          <w:rFonts w:ascii="Times New Roman" w:hAnsi="Times New Roman" w:cs="Times New Roman"/>
        </w:rPr>
      </w:pPr>
      <w:r w:rsidRPr="009500CC">
        <w:rPr>
          <w:rFonts w:ascii="Times New Roman" w:hAnsi="Times New Roman" w:cs="Times New Roman"/>
        </w:rPr>
        <w:t>Inquiries regarding the statistical aspects of the study’s planned analysis should be directed to:</w:t>
      </w: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500"/>
        <w:gridCol w:w="3072"/>
      </w:tblGrid>
      <w:tr w:rsidR="00DA634D" w:rsidRPr="009500CC" w14:paraId="106D211D" w14:textId="77777777" w:rsidTr="00D55120">
        <w:tc>
          <w:tcPr>
            <w:tcW w:w="1728" w:type="dxa"/>
          </w:tcPr>
          <w:p w14:paraId="58178C96" w14:textId="77777777" w:rsidR="00DA634D" w:rsidRPr="0022745B" w:rsidRDefault="00DA634D" w:rsidP="00D55120">
            <w:pPr>
              <w:keepNext/>
              <w:rPr>
                <w:sz w:val="22"/>
                <w:szCs w:val="22"/>
              </w:rPr>
            </w:pPr>
            <w:r w:rsidRPr="0022745B">
              <w:rPr>
                <w:sz w:val="22"/>
                <w:szCs w:val="22"/>
              </w:rPr>
              <w:t>Karen Gardiner</w:t>
            </w:r>
          </w:p>
        </w:tc>
        <w:tc>
          <w:tcPr>
            <w:tcW w:w="4500" w:type="dxa"/>
          </w:tcPr>
          <w:p w14:paraId="1A794A09" w14:textId="77777777" w:rsidR="00DA634D" w:rsidRPr="00DB3EBB" w:rsidRDefault="00DA634D" w:rsidP="00D55120">
            <w:pPr>
              <w:keepNext/>
              <w:rPr>
                <w:sz w:val="22"/>
                <w:szCs w:val="22"/>
              </w:rPr>
            </w:pPr>
            <w:r w:rsidRPr="00DB3EBB">
              <w:rPr>
                <w:sz w:val="22"/>
                <w:szCs w:val="22"/>
              </w:rPr>
              <w:t xml:space="preserve">Project Director </w:t>
            </w:r>
          </w:p>
        </w:tc>
        <w:tc>
          <w:tcPr>
            <w:tcW w:w="3072" w:type="dxa"/>
          </w:tcPr>
          <w:p w14:paraId="3A19F231" w14:textId="77777777" w:rsidR="00DA634D" w:rsidRPr="009500CC" w:rsidRDefault="00C6279C" w:rsidP="00C6279C">
            <w:pPr>
              <w:keepNext/>
              <w:rPr>
                <w:sz w:val="22"/>
                <w:szCs w:val="22"/>
              </w:rPr>
            </w:pPr>
            <w:r>
              <w:rPr>
                <w:sz w:val="22"/>
                <w:szCs w:val="22"/>
              </w:rPr>
              <w:t>(</w:t>
            </w:r>
            <w:r w:rsidR="00DA634D" w:rsidRPr="00B02178">
              <w:rPr>
                <w:sz w:val="22"/>
                <w:szCs w:val="22"/>
              </w:rPr>
              <w:t>301</w:t>
            </w:r>
            <w:r>
              <w:rPr>
                <w:sz w:val="22"/>
                <w:szCs w:val="22"/>
              </w:rPr>
              <w:t xml:space="preserve">) </w:t>
            </w:r>
            <w:r w:rsidR="00DA634D" w:rsidRPr="00B02178">
              <w:rPr>
                <w:sz w:val="22"/>
                <w:szCs w:val="22"/>
              </w:rPr>
              <w:t>347-5116</w:t>
            </w:r>
          </w:p>
        </w:tc>
      </w:tr>
      <w:tr w:rsidR="00DA634D" w:rsidRPr="009500CC" w14:paraId="79E44586" w14:textId="77777777" w:rsidTr="00D55120">
        <w:tc>
          <w:tcPr>
            <w:tcW w:w="1728" w:type="dxa"/>
          </w:tcPr>
          <w:p w14:paraId="459C0ACF" w14:textId="77777777" w:rsidR="00DA634D" w:rsidRPr="009500CC" w:rsidRDefault="00DA634D" w:rsidP="00D55120">
            <w:pPr>
              <w:keepNext/>
              <w:rPr>
                <w:sz w:val="22"/>
                <w:szCs w:val="22"/>
              </w:rPr>
            </w:pPr>
            <w:r w:rsidRPr="009500CC">
              <w:rPr>
                <w:sz w:val="22"/>
                <w:szCs w:val="22"/>
              </w:rPr>
              <w:t>Michelle Ennis</w:t>
            </w:r>
          </w:p>
        </w:tc>
        <w:tc>
          <w:tcPr>
            <w:tcW w:w="4500" w:type="dxa"/>
          </w:tcPr>
          <w:p w14:paraId="0E5786A9" w14:textId="77777777" w:rsidR="00DA634D" w:rsidRPr="009500CC" w:rsidRDefault="00DA634D" w:rsidP="00D55120">
            <w:pPr>
              <w:keepNext/>
              <w:rPr>
                <w:sz w:val="22"/>
                <w:szCs w:val="22"/>
              </w:rPr>
            </w:pPr>
            <w:r w:rsidRPr="009500CC">
              <w:rPr>
                <w:sz w:val="22"/>
                <w:szCs w:val="22"/>
              </w:rPr>
              <w:t>Contracting Officer’s Representative, Employment and Training Administration</w:t>
            </w:r>
          </w:p>
        </w:tc>
        <w:tc>
          <w:tcPr>
            <w:tcW w:w="3072" w:type="dxa"/>
          </w:tcPr>
          <w:p w14:paraId="4ED5C49B" w14:textId="77777777" w:rsidR="00DA634D" w:rsidRPr="009500CC" w:rsidRDefault="00C6279C" w:rsidP="00C6279C">
            <w:pPr>
              <w:keepNext/>
              <w:rPr>
                <w:sz w:val="22"/>
                <w:szCs w:val="22"/>
              </w:rPr>
            </w:pPr>
            <w:r>
              <w:rPr>
                <w:sz w:val="22"/>
                <w:szCs w:val="22"/>
              </w:rPr>
              <w:t>(</w:t>
            </w:r>
            <w:r w:rsidR="00DA634D" w:rsidRPr="009500CC">
              <w:rPr>
                <w:sz w:val="22"/>
                <w:szCs w:val="22"/>
              </w:rPr>
              <w:t>202</w:t>
            </w:r>
            <w:r>
              <w:rPr>
                <w:sz w:val="22"/>
                <w:szCs w:val="22"/>
              </w:rPr>
              <w:t xml:space="preserve">) </w:t>
            </w:r>
            <w:r w:rsidR="00DA634D" w:rsidRPr="009500CC">
              <w:rPr>
                <w:sz w:val="22"/>
                <w:szCs w:val="22"/>
              </w:rPr>
              <w:t>693-3636</w:t>
            </w:r>
          </w:p>
        </w:tc>
      </w:tr>
    </w:tbl>
    <w:p w14:paraId="454C1001" w14:textId="77777777" w:rsidR="00DA634D" w:rsidRPr="009500CC" w:rsidRDefault="00DA634D" w:rsidP="006238D3">
      <w:pPr>
        <w:rPr>
          <w:rFonts w:ascii="Times New Roman" w:hAnsi="Times New Roman" w:cs="Times New Roman"/>
        </w:rPr>
      </w:pPr>
    </w:p>
    <w:sectPr w:rsidR="00DA634D" w:rsidRPr="009500CC" w:rsidSect="008374D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6A426" w14:textId="77777777" w:rsidR="00576FE0" w:rsidRDefault="00576FE0" w:rsidP="00411E62">
      <w:pPr>
        <w:spacing w:after="0" w:line="240" w:lineRule="auto"/>
      </w:pPr>
      <w:r>
        <w:separator/>
      </w:r>
    </w:p>
  </w:endnote>
  <w:endnote w:type="continuationSeparator" w:id="0">
    <w:p w14:paraId="7F38419F" w14:textId="77777777" w:rsidR="00576FE0" w:rsidRDefault="00576FE0" w:rsidP="0041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552941"/>
      <w:docPartObj>
        <w:docPartGallery w:val="Page Numbers (Bottom of Page)"/>
        <w:docPartUnique/>
      </w:docPartObj>
    </w:sdtPr>
    <w:sdtEndPr>
      <w:rPr>
        <w:noProof/>
      </w:rPr>
    </w:sdtEndPr>
    <w:sdtContent>
      <w:p w14:paraId="7FC2F1A6" w14:textId="7ED3653E" w:rsidR="00731A8E" w:rsidRDefault="00731A8E">
        <w:pPr>
          <w:pStyle w:val="Footer"/>
          <w:jc w:val="center"/>
        </w:pPr>
        <w:r>
          <w:fldChar w:fldCharType="begin"/>
        </w:r>
        <w:r>
          <w:instrText xml:space="preserve"> PAGE   \* MERGEFORMAT </w:instrText>
        </w:r>
        <w:r>
          <w:fldChar w:fldCharType="separate"/>
        </w:r>
        <w:r w:rsidR="0037595E">
          <w:rPr>
            <w:noProof/>
          </w:rPr>
          <w:t>2</w:t>
        </w:r>
        <w:r>
          <w:rPr>
            <w:noProof/>
          </w:rPr>
          <w:fldChar w:fldCharType="end"/>
        </w:r>
      </w:p>
    </w:sdtContent>
  </w:sdt>
  <w:p w14:paraId="74BD6124" w14:textId="77777777" w:rsidR="00731A8E" w:rsidRDefault="00731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421261"/>
      <w:docPartObj>
        <w:docPartGallery w:val="Page Numbers (Bottom of Page)"/>
        <w:docPartUnique/>
      </w:docPartObj>
    </w:sdtPr>
    <w:sdtEndPr>
      <w:rPr>
        <w:noProof/>
      </w:rPr>
    </w:sdtEndPr>
    <w:sdtContent>
      <w:p w14:paraId="350BFB90" w14:textId="251426C9" w:rsidR="00406A2C" w:rsidRDefault="00406A2C">
        <w:pPr>
          <w:pStyle w:val="Footer"/>
          <w:jc w:val="right"/>
        </w:pPr>
        <w:r>
          <w:fldChar w:fldCharType="begin"/>
        </w:r>
        <w:r>
          <w:instrText xml:space="preserve"> PAGE   \* MERGEFORMAT </w:instrText>
        </w:r>
        <w:r>
          <w:fldChar w:fldCharType="separate"/>
        </w:r>
        <w:r w:rsidR="0037595E">
          <w:rPr>
            <w:noProof/>
          </w:rPr>
          <w:t>1</w:t>
        </w:r>
        <w:r>
          <w:rPr>
            <w:noProof/>
          </w:rPr>
          <w:fldChar w:fldCharType="end"/>
        </w:r>
      </w:p>
    </w:sdtContent>
  </w:sdt>
  <w:p w14:paraId="54ED6FC1" w14:textId="77777777" w:rsidR="00406A2C" w:rsidRDefault="00406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9DC27" w14:textId="77777777" w:rsidR="00576FE0" w:rsidRDefault="00576FE0" w:rsidP="00411E62">
      <w:pPr>
        <w:spacing w:after="0" w:line="240" w:lineRule="auto"/>
      </w:pPr>
      <w:r>
        <w:separator/>
      </w:r>
    </w:p>
  </w:footnote>
  <w:footnote w:type="continuationSeparator" w:id="0">
    <w:p w14:paraId="704002D8" w14:textId="77777777" w:rsidR="00576FE0" w:rsidRDefault="00576FE0" w:rsidP="00411E62">
      <w:pPr>
        <w:spacing w:after="0" w:line="240" w:lineRule="auto"/>
      </w:pPr>
      <w:r>
        <w:continuationSeparator/>
      </w:r>
    </w:p>
  </w:footnote>
  <w:footnote w:id="1">
    <w:p w14:paraId="112E7248" w14:textId="6868F6F6" w:rsidR="000D0943" w:rsidRDefault="000D0943">
      <w:pPr>
        <w:pStyle w:val="FootnoteText"/>
      </w:pPr>
      <w:r>
        <w:rPr>
          <w:rStyle w:val="FootnoteReference"/>
        </w:rPr>
        <w:footnoteRef/>
      </w:r>
      <w:r>
        <w:t xml:space="preserve"> The </w:t>
      </w:r>
      <w:r w:rsidR="00E42EC7">
        <w:t xml:space="preserve">current employer survey </w:t>
      </w:r>
      <w:r w:rsidR="0015651E">
        <w:t xml:space="preserve">results </w:t>
      </w:r>
      <w:r w:rsidR="00E42EC7">
        <w:t>are not yet publicly available and, therefore, cannot be formally cited.</w:t>
      </w:r>
    </w:p>
  </w:footnote>
  <w:footnote w:id="2">
    <w:p w14:paraId="450541B6" w14:textId="77777777" w:rsidR="001E485D" w:rsidRDefault="001E485D">
      <w:pPr>
        <w:pStyle w:val="FootnoteText"/>
      </w:pPr>
      <w:r>
        <w:rPr>
          <w:rStyle w:val="FootnoteReference"/>
        </w:rPr>
        <w:footnoteRef/>
      </w:r>
      <w:r>
        <w:t xml:space="preserve"> The National Directory of New Hires (NDNH) is a database of earnings and new hires information, maintained by the Office of Child Support Enforcement (OCSE) in the Administration for Children and Families (ACF). The AAI evaluation will use data from the NDNH to measure earnings and employment outcomes for AAI apprentices.</w:t>
      </w:r>
    </w:p>
  </w:footnote>
  <w:footnote w:id="3">
    <w:p w14:paraId="75B6CF89" w14:textId="77777777" w:rsidR="00FB590D" w:rsidRDefault="00FB590D">
      <w:pPr>
        <w:pStyle w:val="FootnoteText"/>
      </w:pPr>
      <w:r>
        <w:rPr>
          <w:rStyle w:val="FootnoteReference"/>
        </w:rPr>
        <w:footnoteRef/>
      </w:r>
      <w:r>
        <w:t xml:space="preserve"> Several prior evaluations of workforce training programs achieved participant survey response rates </w:t>
      </w:r>
      <w:r w:rsidR="00111D13">
        <w:t>close to</w:t>
      </w:r>
      <w:r>
        <w:t xml:space="preserve"> 80 percent. For example, the Green Jobs and Health Care evaluation conducted an 18-month follow-up survey, </w:t>
      </w:r>
      <w:r w:rsidR="00111D13">
        <w:t>which</w:t>
      </w:r>
      <w:r>
        <w:t xml:space="preserve"> achieved response rates between 69 percent to 79 across grantees</w:t>
      </w:r>
      <w:r w:rsidR="00111D13">
        <w:t>.</w:t>
      </w:r>
      <w:r>
        <w:t xml:space="preserve"> The Pathways for Advancing Careers and Education evaluation achieved a response rate of 77 percent for the 18-month survey</w:t>
      </w:r>
      <w:r w:rsidR="00111D13">
        <w:t xml:space="preserve">. See </w:t>
      </w:r>
      <w:hyperlink r:id="rId1" w:history="1">
        <w:r w:rsidR="00111D13" w:rsidRPr="00B642A0">
          <w:rPr>
            <w:rStyle w:val="Hyperlink"/>
          </w:rPr>
          <w:t>https://wdr.doleta.gov/research/FullText_Documents/ETAOP-2017-7%20Findings%20from%20the%20Impact%20Study.pdf</w:t>
        </w:r>
      </w:hyperlink>
      <w:r w:rsidR="00111D13">
        <w:t xml:space="preserve">  and </w:t>
      </w:r>
      <w:hyperlink r:id="rId2" w:history="1">
        <w:r w:rsidR="00111D13" w:rsidRPr="00B642A0">
          <w:rPr>
            <w:rStyle w:val="Hyperlink"/>
          </w:rPr>
          <w:t>https://www.acf.hhs.gov/sites/default/files/opre/pace_three_yearanalysisplan_mainreport_508.pdf</w:t>
        </w:r>
      </w:hyperlink>
      <w:r w:rsidR="00111D13">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BF9A9" w14:textId="77777777" w:rsidR="00CA1914" w:rsidRDefault="00CA1914" w:rsidP="00CA1914">
    <w:pPr>
      <w:autoSpaceDE w:val="0"/>
      <w:autoSpaceDN w:val="0"/>
      <w:adjustRightInd w:val="0"/>
      <w:spacing w:after="0" w:line="240" w:lineRule="auto"/>
      <w:rPr>
        <w:rFonts w:ascii="Times New Roman" w:hAnsi="Times New Roman"/>
        <w:sz w:val="20"/>
        <w:szCs w:val="20"/>
        <w:lang w:eastAsia="ko-KR"/>
      </w:rPr>
    </w:pPr>
    <w:r>
      <w:rPr>
        <w:rFonts w:ascii="Times New Roman" w:hAnsi="Times New Roman"/>
        <w:sz w:val="20"/>
        <w:szCs w:val="20"/>
        <w:lang w:eastAsia="ko-KR"/>
      </w:rPr>
      <w:t>Evaluation of the American Apprentice Initiative</w:t>
    </w:r>
  </w:p>
  <w:p w14:paraId="08F58B29" w14:textId="77777777" w:rsidR="00CA1914" w:rsidRDefault="00CA1914" w:rsidP="00CA1914">
    <w:pPr>
      <w:autoSpaceDE w:val="0"/>
      <w:autoSpaceDN w:val="0"/>
      <w:adjustRightInd w:val="0"/>
      <w:spacing w:after="0" w:line="240" w:lineRule="auto"/>
      <w:rPr>
        <w:rFonts w:ascii="Times New Roman" w:hAnsi="Times New Roman"/>
        <w:sz w:val="20"/>
        <w:szCs w:val="20"/>
        <w:lang w:eastAsia="ko-KR"/>
      </w:rPr>
    </w:pPr>
    <w:r>
      <w:rPr>
        <w:rFonts w:ascii="Times New Roman" w:hAnsi="Times New Roman"/>
        <w:sz w:val="20"/>
        <w:szCs w:val="20"/>
        <w:lang w:eastAsia="ko-KR"/>
      </w:rPr>
      <w:t xml:space="preserve">ICR Reference Number </w:t>
    </w:r>
    <w:hyperlink r:id="rId1" w:tooltip="Edit" w:history="1">
      <w:r w:rsidRPr="00B87567">
        <w:rPr>
          <w:rFonts w:ascii="Times New Roman" w:hAnsi="Times New Roman"/>
          <w:sz w:val="20"/>
          <w:szCs w:val="20"/>
          <w:lang w:eastAsia="ko-KR"/>
        </w:rPr>
        <w:t>201903-1290-003</w:t>
      </w:r>
    </w:hyperlink>
    <w:r>
      <w:rPr>
        <w:rFonts w:ascii="Times New Roman" w:hAnsi="Times New Roman"/>
        <w:sz w:val="20"/>
        <w:szCs w:val="20"/>
        <w:lang w:eastAsia="ko-KR"/>
      </w:rPr>
      <w:t xml:space="preserve">   </w:t>
    </w:r>
  </w:p>
  <w:p w14:paraId="4EE8514D" w14:textId="5432E416" w:rsidR="00CA1914" w:rsidRDefault="00CA1914" w:rsidP="00CA1914">
    <w:pPr>
      <w:autoSpaceDE w:val="0"/>
      <w:autoSpaceDN w:val="0"/>
      <w:adjustRightInd w:val="0"/>
      <w:spacing w:after="0" w:line="240" w:lineRule="auto"/>
      <w:rPr>
        <w:rFonts w:ascii="Times New Roman" w:hAnsi="Times New Roman"/>
        <w:sz w:val="20"/>
        <w:szCs w:val="20"/>
        <w:lang w:eastAsia="ko-KR"/>
      </w:rPr>
    </w:pPr>
    <w:r>
      <w:rPr>
        <w:rFonts w:ascii="Times New Roman" w:hAnsi="Times New Roman"/>
        <w:sz w:val="20"/>
        <w:szCs w:val="20"/>
        <w:lang w:eastAsia="ko-KR"/>
      </w:rPr>
      <w:t>May 2019</w:t>
    </w:r>
  </w:p>
  <w:p w14:paraId="3F650658" w14:textId="77777777" w:rsidR="00B53DFE" w:rsidRDefault="00B53DFE" w:rsidP="00CA1914">
    <w:pPr>
      <w:autoSpaceDE w:val="0"/>
      <w:autoSpaceDN w:val="0"/>
      <w:adjustRightInd w:val="0"/>
      <w:spacing w:after="0" w:line="240" w:lineRule="auto"/>
    </w:pPr>
  </w:p>
  <w:p w14:paraId="6D7D8B21" w14:textId="77777777" w:rsidR="00B87567" w:rsidRDefault="00B87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BF7A4" w14:textId="77777777" w:rsidR="00B87567" w:rsidRDefault="00B87567" w:rsidP="00B87567">
    <w:pPr>
      <w:autoSpaceDE w:val="0"/>
      <w:autoSpaceDN w:val="0"/>
      <w:adjustRightInd w:val="0"/>
      <w:spacing w:after="0" w:line="240" w:lineRule="auto"/>
      <w:rPr>
        <w:rFonts w:ascii="Times New Roman" w:hAnsi="Times New Roman"/>
        <w:sz w:val="20"/>
        <w:szCs w:val="20"/>
        <w:lang w:eastAsia="ko-KR"/>
      </w:rPr>
    </w:pPr>
    <w:r>
      <w:rPr>
        <w:rFonts w:ascii="Times New Roman" w:hAnsi="Times New Roman"/>
        <w:sz w:val="20"/>
        <w:szCs w:val="20"/>
        <w:lang w:eastAsia="ko-KR"/>
      </w:rPr>
      <w:t>Evaluation of the American Apprentice Initiative</w:t>
    </w:r>
  </w:p>
  <w:p w14:paraId="62482E7C" w14:textId="77777777" w:rsidR="00B87567" w:rsidRDefault="00B87567" w:rsidP="00B87567">
    <w:pPr>
      <w:autoSpaceDE w:val="0"/>
      <w:autoSpaceDN w:val="0"/>
      <w:adjustRightInd w:val="0"/>
      <w:spacing w:after="0" w:line="240" w:lineRule="auto"/>
      <w:rPr>
        <w:rFonts w:ascii="Times New Roman" w:hAnsi="Times New Roman"/>
        <w:sz w:val="20"/>
        <w:szCs w:val="20"/>
        <w:lang w:eastAsia="ko-KR"/>
      </w:rPr>
    </w:pPr>
    <w:r>
      <w:rPr>
        <w:rFonts w:ascii="Times New Roman" w:hAnsi="Times New Roman"/>
        <w:sz w:val="20"/>
        <w:szCs w:val="20"/>
        <w:lang w:eastAsia="ko-KR"/>
      </w:rPr>
      <w:t xml:space="preserve">ICR Reference Number </w:t>
    </w:r>
    <w:hyperlink r:id="rId1" w:tooltip="Edit" w:history="1">
      <w:r w:rsidRPr="00B87567">
        <w:rPr>
          <w:rFonts w:ascii="Times New Roman" w:hAnsi="Times New Roman"/>
          <w:sz w:val="20"/>
          <w:szCs w:val="20"/>
          <w:lang w:eastAsia="ko-KR"/>
        </w:rPr>
        <w:t>201903-1290-003</w:t>
      </w:r>
    </w:hyperlink>
    <w:r>
      <w:rPr>
        <w:rFonts w:ascii="Times New Roman" w:hAnsi="Times New Roman"/>
        <w:sz w:val="20"/>
        <w:szCs w:val="20"/>
        <w:lang w:eastAsia="ko-KR"/>
      </w:rPr>
      <w:t xml:space="preserve">   </w:t>
    </w:r>
  </w:p>
  <w:p w14:paraId="062C3812" w14:textId="77777777" w:rsidR="00B87567" w:rsidRDefault="00B87567" w:rsidP="00B87567">
    <w:pPr>
      <w:autoSpaceDE w:val="0"/>
      <w:autoSpaceDN w:val="0"/>
      <w:adjustRightInd w:val="0"/>
      <w:spacing w:after="0" w:line="240" w:lineRule="auto"/>
    </w:pPr>
    <w:r>
      <w:rPr>
        <w:rFonts w:ascii="Times New Roman" w:hAnsi="Times New Roman"/>
        <w:sz w:val="20"/>
        <w:szCs w:val="20"/>
        <w:lang w:eastAsia="ko-KR"/>
      </w:rPr>
      <w:t>May 2019</w:t>
    </w:r>
  </w:p>
  <w:p w14:paraId="767E3E3E" w14:textId="514F4F8F" w:rsidR="008374D7" w:rsidRPr="00B87567" w:rsidRDefault="008374D7" w:rsidP="00B87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62D"/>
    <w:multiLevelType w:val="hybridMultilevel"/>
    <w:tmpl w:val="A8E04976"/>
    <w:lvl w:ilvl="0" w:tplc="84BA522A">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E7311"/>
    <w:multiLevelType w:val="hybridMultilevel"/>
    <w:tmpl w:val="2A8E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94414"/>
    <w:multiLevelType w:val="hybridMultilevel"/>
    <w:tmpl w:val="E00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81FD2"/>
    <w:multiLevelType w:val="hybridMultilevel"/>
    <w:tmpl w:val="D9AC4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E2F5D"/>
    <w:multiLevelType w:val="hybridMultilevel"/>
    <w:tmpl w:val="969A27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9C64F3"/>
    <w:multiLevelType w:val="hybridMultilevel"/>
    <w:tmpl w:val="FAFEA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A1A43"/>
    <w:multiLevelType w:val="hybridMultilevel"/>
    <w:tmpl w:val="43C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4591D"/>
    <w:multiLevelType w:val="hybridMultilevel"/>
    <w:tmpl w:val="F6F6D6A4"/>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6D2017E"/>
    <w:multiLevelType w:val="hybridMultilevel"/>
    <w:tmpl w:val="BB4C0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B07519"/>
    <w:multiLevelType w:val="hybridMultilevel"/>
    <w:tmpl w:val="2FECBE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82250A"/>
    <w:multiLevelType w:val="hybridMultilevel"/>
    <w:tmpl w:val="700CF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6240AC"/>
    <w:multiLevelType w:val="hybridMultilevel"/>
    <w:tmpl w:val="4C48E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31AE9"/>
    <w:multiLevelType w:val="hybridMultilevel"/>
    <w:tmpl w:val="1B0AB47A"/>
    <w:lvl w:ilvl="0" w:tplc="B02657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FEE26E4"/>
    <w:multiLevelType w:val="hybridMultilevel"/>
    <w:tmpl w:val="7892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7"/>
  </w:num>
  <w:num w:numId="5">
    <w:abstractNumId w:val="10"/>
  </w:num>
  <w:num w:numId="6">
    <w:abstractNumId w:val="0"/>
  </w:num>
  <w:num w:numId="7">
    <w:abstractNumId w:val="11"/>
  </w:num>
  <w:num w:numId="8">
    <w:abstractNumId w:val="2"/>
  </w:num>
  <w:num w:numId="9">
    <w:abstractNumId w:val="5"/>
  </w:num>
  <w:num w:numId="10">
    <w:abstractNumId w:val="13"/>
  </w:num>
  <w:num w:numId="11">
    <w:abstractNumId w:val="8"/>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D3"/>
    <w:rsid w:val="000001FF"/>
    <w:rsid w:val="000044FA"/>
    <w:rsid w:val="00046A3F"/>
    <w:rsid w:val="00051073"/>
    <w:rsid w:val="0005690B"/>
    <w:rsid w:val="0006515E"/>
    <w:rsid w:val="0006716E"/>
    <w:rsid w:val="00085BFC"/>
    <w:rsid w:val="000A2AAA"/>
    <w:rsid w:val="000A7ADF"/>
    <w:rsid w:val="000C58A6"/>
    <w:rsid w:val="000D0943"/>
    <w:rsid w:val="000E1003"/>
    <w:rsid w:val="000E5450"/>
    <w:rsid w:val="000F4E14"/>
    <w:rsid w:val="000F7E5D"/>
    <w:rsid w:val="00101B5E"/>
    <w:rsid w:val="00107C41"/>
    <w:rsid w:val="00111D13"/>
    <w:rsid w:val="00113360"/>
    <w:rsid w:val="00114F77"/>
    <w:rsid w:val="00116573"/>
    <w:rsid w:val="00141109"/>
    <w:rsid w:val="001445B3"/>
    <w:rsid w:val="0015651E"/>
    <w:rsid w:val="00172996"/>
    <w:rsid w:val="001734DD"/>
    <w:rsid w:val="001925B2"/>
    <w:rsid w:val="001C52A2"/>
    <w:rsid w:val="001E485D"/>
    <w:rsid w:val="001E6451"/>
    <w:rsid w:val="002042B5"/>
    <w:rsid w:val="00206F4F"/>
    <w:rsid w:val="00212FBC"/>
    <w:rsid w:val="0021695C"/>
    <w:rsid w:val="0022361D"/>
    <w:rsid w:val="0022745B"/>
    <w:rsid w:val="0024254D"/>
    <w:rsid w:val="00273519"/>
    <w:rsid w:val="002801D7"/>
    <w:rsid w:val="002A07E9"/>
    <w:rsid w:val="002C3D72"/>
    <w:rsid w:val="002E0418"/>
    <w:rsid w:val="003057A2"/>
    <w:rsid w:val="00312F02"/>
    <w:rsid w:val="00323324"/>
    <w:rsid w:val="0034174D"/>
    <w:rsid w:val="0035099B"/>
    <w:rsid w:val="00353D31"/>
    <w:rsid w:val="003569CA"/>
    <w:rsid w:val="003731D0"/>
    <w:rsid w:val="0037595E"/>
    <w:rsid w:val="00377678"/>
    <w:rsid w:val="0038369E"/>
    <w:rsid w:val="00393B16"/>
    <w:rsid w:val="003A4A1F"/>
    <w:rsid w:val="003B27CF"/>
    <w:rsid w:val="003B37A4"/>
    <w:rsid w:val="003B4E6A"/>
    <w:rsid w:val="003B60B1"/>
    <w:rsid w:val="003C1543"/>
    <w:rsid w:val="003C6E4C"/>
    <w:rsid w:val="003D20D6"/>
    <w:rsid w:val="003E4CD8"/>
    <w:rsid w:val="003F04F1"/>
    <w:rsid w:val="003F332C"/>
    <w:rsid w:val="00405E78"/>
    <w:rsid w:val="00406A2C"/>
    <w:rsid w:val="0041178C"/>
    <w:rsid w:val="00411E62"/>
    <w:rsid w:val="004274B1"/>
    <w:rsid w:val="0044045A"/>
    <w:rsid w:val="00440F0C"/>
    <w:rsid w:val="00442F18"/>
    <w:rsid w:val="0045661A"/>
    <w:rsid w:val="00463499"/>
    <w:rsid w:val="00477A11"/>
    <w:rsid w:val="004A062D"/>
    <w:rsid w:val="004B3819"/>
    <w:rsid w:val="004B39FE"/>
    <w:rsid w:val="004B575D"/>
    <w:rsid w:val="004C52A6"/>
    <w:rsid w:val="004F4AAC"/>
    <w:rsid w:val="00507032"/>
    <w:rsid w:val="00516CE6"/>
    <w:rsid w:val="0053455C"/>
    <w:rsid w:val="00571679"/>
    <w:rsid w:val="00576FE0"/>
    <w:rsid w:val="00596229"/>
    <w:rsid w:val="005B10DE"/>
    <w:rsid w:val="005F22D3"/>
    <w:rsid w:val="006037BB"/>
    <w:rsid w:val="00605D53"/>
    <w:rsid w:val="006139F6"/>
    <w:rsid w:val="006238D3"/>
    <w:rsid w:val="00630FBE"/>
    <w:rsid w:val="00662E1F"/>
    <w:rsid w:val="00674C89"/>
    <w:rsid w:val="00677A38"/>
    <w:rsid w:val="006837DE"/>
    <w:rsid w:val="006A3B2C"/>
    <w:rsid w:val="006B0C2F"/>
    <w:rsid w:val="006B741E"/>
    <w:rsid w:val="006D1804"/>
    <w:rsid w:val="006D65D5"/>
    <w:rsid w:val="006E4A11"/>
    <w:rsid w:val="006F2F47"/>
    <w:rsid w:val="006F4869"/>
    <w:rsid w:val="006F4FE1"/>
    <w:rsid w:val="00707181"/>
    <w:rsid w:val="00722877"/>
    <w:rsid w:val="00725907"/>
    <w:rsid w:val="00731A8E"/>
    <w:rsid w:val="00732B56"/>
    <w:rsid w:val="00745A8A"/>
    <w:rsid w:val="007562A0"/>
    <w:rsid w:val="00760010"/>
    <w:rsid w:val="00766100"/>
    <w:rsid w:val="00786A5A"/>
    <w:rsid w:val="00787FDB"/>
    <w:rsid w:val="00794C9C"/>
    <w:rsid w:val="007A4A16"/>
    <w:rsid w:val="007B1051"/>
    <w:rsid w:val="007C5B6B"/>
    <w:rsid w:val="007D361F"/>
    <w:rsid w:val="008068C4"/>
    <w:rsid w:val="008323D7"/>
    <w:rsid w:val="0083502E"/>
    <w:rsid w:val="00836B42"/>
    <w:rsid w:val="008374D7"/>
    <w:rsid w:val="00855F3C"/>
    <w:rsid w:val="0089174D"/>
    <w:rsid w:val="00895807"/>
    <w:rsid w:val="00896D01"/>
    <w:rsid w:val="008A1483"/>
    <w:rsid w:val="008A70BB"/>
    <w:rsid w:val="008B1634"/>
    <w:rsid w:val="008C32EC"/>
    <w:rsid w:val="008C78C0"/>
    <w:rsid w:val="008D32A7"/>
    <w:rsid w:val="00920B9E"/>
    <w:rsid w:val="009335BB"/>
    <w:rsid w:val="009500CC"/>
    <w:rsid w:val="00950D13"/>
    <w:rsid w:val="00960FE3"/>
    <w:rsid w:val="009635B7"/>
    <w:rsid w:val="00977225"/>
    <w:rsid w:val="00987EF9"/>
    <w:rsid w:val="009A400A"/>
    <w:rsid w:val="009B4000"/>
    <w:rsid w:val="009B6B9B"/>
    <w:rsid w:val="009C03CF"/>
    <w:rsid w:val="009D781C"/>
    <w:rsid w:val="009E6643"/>
    <w:rsid w:val="009E6E55"/>
    <w:rsid w:val="009F31A6"/>
    <w:rsid w:val="00A065C4"/>
    <w:rsid w:val="00A16139"/>
    <w:rsid w:val="00A23BB1"/>
    <w:rsid w:val="00A24A8A"/>
    <w:rsid w:val="00A348C6"/>
    <w:rsid w:val="00A37246"/>
    <w:rsid w:val="00A45143"/>
    <w:rsid w:val="00A46C59"/>
    <w:rsid w:val="00A543E0"/>
    <w:rsid w:val="00A7047C"/>
    <w:rsid w:val="00A9517F"/>
    <w:rsid w:val="00A95C3D"/>
    <w:rsid w:val="00AA139C"/>
    <w:rsid w:val="00AA1FC4"/>
    <w:rsid w:val="00AA75A3"/>
    <w:rsid w:val="00AB5979"/>
    <w:rsid w:val="00AE0092"/>
    <w:rsid w:val="00AE2410"/>
    <w:rsid w:val="00AE3DEE"/>
    <w:rsid w:val="00AE5AD0"/>
    <w:rsid w:val="00B02178"/>
    <w:rsid w:val="00B047A7"/>
    <w:rsid w:val="00B139A2"/>
    <w:rsid w:val="00B13DF8"/>
    <w:rsid w:val="00B217A8"/>
    <w:rsid w:val="00B34E2E"/>
    <w:rsid w:val="00B53DFE"/>
    <w:rsid w:val="00B64831"/>
    <w:rsid w:val="00B86592"/>
    <w:rsid w:val="00B87567"/>
    <w:rsid w:val="00B93E08"/>
    <w:rsid w:val="00BA7DD5"/>
    <w:rsid w:val="00BD06CC"/>
    <w:rsid w:val="00BE4B51"/>
    <w:rsid w:val="00BF1DF7"/>
    <w:rsid w:val="00BF2B0D"/>
    <w:rsid w:val="00C03E64"/>
    <w:rsid w:val="00C114FA"/>
    <w:rsid w:val="00C133B6"/>
    <w:rsid w:val="00C30746"/>
    <w:rsid w:val="00C4115E"/>
    <w:rsid w:val="00C566A2"/>
    <w:rsid w:val="00C6279C"/>
    <w:rsid w:val="00C706A7"/>
    <w:rsid w:val="00C70DA6"/>
    <w:rsid w:val="00C725B1"/>
    <w:rsid w:val="00C76094"/>
    <w:rsid w:val="00C85481"/>
    <w:rsid w:val="00C9606F"/>
    <w:rsid w:val="00CA1914"/>
    <w:rsid w:val="00CD100D"/>
    <w:rsid w:val="00CD4DC6"/>
    <w:rsid w:val="00CE36CF"/>
    <w:rsid w:val="00D01560"/>
    <w:rsid w:val="00D130BC"/>
    <w:rsid w:val="00D24406"/>
    <w:rsid w:val="00D555C2"/>
    <w:rsid w:val="00D62930"/>
    <w:rsid w:val="00D83A12"/>
    <w:rsid w:val="00DA4EC4"/>
    <w:rsid w:val="00DA634D"/>
    <w:rsid w:val="00DB3EBB"/>
    <w:rsid w:val="00DC3912"/>
    <w:rsid w:val="00DC5F93"/>
    <w:rsid w:val="00DF76EC"/>
    <w:rsid w:val="00DF7AEF"/>
    <w:rsid w:val="00E240CF"/>
    <w:rsid w:val="00E4065F"/>
    <w:rsid w:val="00E42EC7"/>
    <w:rsid w:val="00E50A66"/>
    <w:rsid w:val="00E7229A"/>
    <w:rsid w:val="00E874B8"/>
    <w:rsid w:val="00E96879"/>
    <w:rsid w:val="00EB3A0D"/>
    <w:rsid w:val="00ED7486"/>
    <w:rsid w:val="00EE0A10"/>
    <w:rsid w:val="00EE4BFF"/>
    <w:rsid w:val="00EF0062"/>
    <w:rsid w:val="00F02590"/>
    <w:rsid w:val="00F05FE7"/>
    <w:rsid w:val="00F20725"/>
    <w:rsid w:val="00F26281"/>
    <w:rsid w:val="00F56B14"/>
    <w:rsid w:val="00F56D01"/>
    <w:rsid w:val="00F75C7E"/>
    <w:rsid w:val="00F95838"/>
    <w:rsid w:val="00FB590D"/>
    <w:rsid w:val="00FC67FC"/>
    <w:rsid w:val="00FD1BDF"/>
    <w:rsid w:val="00FE20DD"/>
    <w:rsid w:val="00FF0F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896D01"/>
    <w:pPr>
      <w:keepNext/>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238D3"/>
    <w:rPr>
      <w:sz w:val="16"/>
      <w:szCs w:val="16"/>
    </w:rPr>
  </w:style>
  <w:style w:type="paragraph" w:styleId="CommentText">
    <w:name w:val="annotation text"/>
    <w:basedOn w:val="Normal"/>
    <w:link w:val="CommentTextChar"/>
    <w:uiPriority w:val="99"/>
    <w:unhideWhenUsed/>
    <w:rsid w:val="006238D3"/>
    <w:pPr>
      <w:spacing w:line="240" w:lineRule="auto"/>
    </w:pPr>
    <w:rPr>
      <w:sz w:val="20"/>
      <w:szCs w:val="20"/>
    </w:rPr>
  </w:style>
  <w:style w:type="character" w:customStyle="1" w:styleId="CommentTextChar">
    <w:name w:val="Comment Text Char"/>
    <w:basedOn w:val="DefaultParagraphFont"/>
    <w:link w:val="CommentText"/>
    <w:uiPriority w:val="99"/>
    <w:rsid w:val="006238D3"/>
    <w:rPr>
      <w:sz w:val="20"/>
      <w:szCs w:val="20"/>
    </w:rPr>
  </w:style>
  <w:style w:type="paragraph" w:styleId="CommentSubject">
    <w:name w:val="annotation subject"/>
    <w:basedOn w:val="CommentText"/>
    <w:next w:val="CommentText"/>
    <w:link w:val="CommentSubjectChar"/>
    <w:uiPriority w:val="99"/>
    <w:semiHidden/>
    <w:unhideWhenUsed/>
    <w:rsid w:val="006238D3"/>
    <w:rPr>
      <w:b/>
      <w:bCs/>
    </w:rPr>
  </w:style>
  <w:style w:type="character" w:customStyle="1" w:styleId="CommentSubjectChar">
    <w:name w:val="Comment Subject Char"/>
    <w:basedOn w:val="CommentTextChar"/>
    <w:link w:val="CommentSubject"/>
    <w:uiPriority w:val="99"/>
    <w:semiHidden/>
    <w:rsid w:val="006238D3"/>
    <w:rPr>
      <w:b/>
      <w:bCs/>
      <w:sz w:val="20"/>
      <w:szCs w:val="20"/>
    </w:rPr>
  </w:style>
  <w:style w:type="paragraph" w:styleId="BalloonText">
    <w:name w:val="Balloon Text"/>
    <w:basedOn w:val="Normal"/>
    <w:link w:val="BalloonTextChar"/>
    <w:uiPriority w:val="99"/>
    <w:semiHidden/>
    <w:unhideWhenUsed/>
    <w:rsid w:val="00623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8D3"/>
    <w:rPr>
      <w:rFonts w:ascii="Tahoma" w:hAnsi="Tahoma" w:cs="Tahoma"/>
      <w:sz w:val="16"/>
      <w:szCs w:val="16"/>
    </w:rPr>
  </w:style>
  <w:style w:type="paragraph" w:styleId="ListParagraph">
    <w:name w:val="List Paragraph"/>
    <w:basedOn w:val="Normal"/>
    <w:uiPriority w:val="34"/>
    <w:qFormat/>
    <w:rsid w:val="0005690B"/>
    <w:pPr>
      <w:ind w:left="720"/>
      <w:contextualSpacing/>
    </w:pPr>
  </w:style>
  <w:style w:type="paragraph" w:styleId="BodyText">
    <w:name w:val="Body Text"/>
    <w:basedOn w:val="Normal"/>
    <w:link w:val="BodyTextChar"/>
    <w:rsid w:val="00DA634D"/>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A634D"/>
    <w:rPr>
      <w:rFonts w:ascii="Times New Roman" w:eastAsia="Times New Roman" w:hAnsi="Times New Roman" w:cs="Times New Roman"/>
      <w:szCs w:val="20"/>
    </w:rPr>
  </w:style>
  <w:style w:type="paragraph" w:customStyle="1" w:styleId="Exhibit">
    <w:name w:val="Exhibit"/>
    <w:basedOn w:val="Normal"/>
    <w:rsid w:val="00DA634D"/>
    <w:pPr>
      <w:spacing w:after="60" w:line="264" w:lineRule="auto"/>
    </w:pPr>
    <w:rPr>
      <w:rFonts w:ascii="Arial" w:eastAsia="Times New Roman" w:hAnsi="Arial" w:cs="Times New Roman"/>
      <w:b/>
      <w:sz w:val="20"/>
      <w:szCs w:val="20"/>
    </w:rPr>
  </w:style>
  <w:style w:type="table" w:styleId="TableGrid">
    <w:name w:val="Table Grid"/>
    <w:basedOn w:val="TableNormal"/>
    <w:uiPriority w:val="59"/>
    <w:rsid w:val="00DA6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62"/>
  </w:style>
  <w:style w:type="paragraph" w:styleId="Footer">
    <w:name w:val="footer"/>
    <w:basedOn w:val="Normal"/>
    <w:link w:val="FooterChar"/>
    <w:uiPriority w:val="99"/>
    <w:unhideWhenUsed/>
    <w:rsid w:val="00411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62"/>
  </w:style>
  <w:style w:type="character" w:customStyle="1" w:styleId="Heading2Char">
    <w:name w:val="Heading 2 Char"/>
    <w:basedOn w:val="DefaultParagraphFont"/>
    <w:link w:val="Heading2"/>
    <w:rsid w:val="00896D01"/>
    <w:rPr>
      <w:rFonts w:ascii="Arial" w:eastAsia="Times New Roman" w:hAnsi="Arial" w:cs="Arial"/>
      <w:b/>
      <w:bCs/>
      <w:iCs/>
      <w:color w:val="000000" w:themeColor="text1"/>
      <w:sz w:val="24"/>
      <w:szCs w:val="28"/>
      <w:shd w:val="clear" w:color="auto" w:fill="D0D3D4"/>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A451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A45143"/>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iPriority w:val="99"/>
    <w:unhideWhenUsed/>
    <w:qFormat/>
    <w:rsid w:val="00A45143"/>
    <w:rPr>
      <w:vertAlign w:val="superscript"/>
    </w:rPr>
  </w:style>
  <w:style w:type="character" w:customStyle="1" w:styleId="Heading1Char">
    <w:name w:val="Heading 1 Char"/>
    <w:basedOn w:val="DefaultParagraphFont"/>
    <w:link w:val="Heading1"/>
    <w:uiPriority w:val="9"/>
    <w:rsid w:val="00FD1BD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1BDF"/>
    <w:rPr>
      <w:color w:val="0000FF" w:themeColor="hyperlink"/>
      <w:u w:val="single"/>
    </w:rPr>
  </w:style>
  <w:style w:type="paragraph" w:styleId="Revision">
    <w:name w:val="Revision"/>
    <w:hidden/>
    <w:uiPriority w:val="99"/>
    <w:semiHidden/>
    <w:rsid w:val="00AE0092"/>
    <w:pPr>
      <w:spacing w:after="0" w:line="240" w:lineRule="auto"/>
    </w:pPr>
  </w:style>
  <w:style w:type="character" w:styleId="FollowedHyperlink">
    <w:name w:val="FollowedHyperlink"/>
    <w:basedOn w:val="DefaultParagraphFont"/>
    <w:uiPriority w:val="99"/>
    <w:semiHidden/>
    <w:unhideWhenUsed/>
    <w:rsid w:val="00662E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qFormat/>
    <w:rsid w:val="00896D01"/>
    <w:pPr>
      <w:keepNext/>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238D3"/>
    <w:rPr>
      <w:sz w:val="16"/>
      <w:szCs w:val="16"/>
    </w:rPr>
  </w:style>
  <w:style w:type="paragraph" w:styleId="CommentText">
    <w:name w:val="annotation text"/>
    <w:basedOn w:val="Normal"/>
    <w:link w:val="CommentTextChar"/>
    <w:uiPriority w:val="99"/>
    <w:unhideWhenUsed/>
    <w:rsid w:val="006238D3"/>
    <w:pPr>
      <w:spacing w:line="240" w:lineRule="auto"/>
    </w:pPr>
    <w:rPr>
      <w:sz w:val="20"/>
      <w:szCs w:val="20"/>
    </w:rPr>
  </w:style>
  <w:style w:type="character" w:customStyle="1" w:styleId="CommentTextChar">
    <w:name w:val="Comment Text Char"/>
    <w:basedOn w:val="DefaultParagraphFont"/>
    <w:link w:val="CommentText"/>
    <w:uiPriority w:val="99"/>
    <w:rsid w:val="006238D3"/>
    <w:rPr>
      <w:sz w:val="20"/>
      <w:szCs w:val="20"/>
    </w:rPr>
  </w:style>
  <w:style w:type="paragraph" w:styleId="CommentSubject">
    <w:name w:val="annotation subject"/>
    <w:basedOn w:val="CommentText"/>
    <w:next w:val="CommentText"/>
    <w:link w:val="CommentSubjectChar"/>
    <w:uiPriority w:val="99"/>
    <w:semiHidden/>
    <w:unhideWhenUsed/>
    <w:rsid w:val="006238D3"/>
    <w:rPr>
      <w:b/>
      <w:bCs/>
    </w:rPr>
  </w:style>
  <w:style w:type="character" w:customStyle="1" w:styleId="CommentSubjectChar">
    <w:name w:val="Comment Subject Char"/>
    <w:basedOn w:val="CommentTextChar"/>
    <w:link w:val="CommentSubject"/>
    <w:uiPriority w:val="99"/>
    <w:semiHidden/>
    <w:rsid w:val="006238D3"/>
    <w:rPr>
      <w:b/>
      <w:bCs/>
      <w:sz w:val="20"/>
      <w:szCs w:val="20"/>
    </w:rPr>
  </w:style>
  <w:style w:type="paragraph" w:styleId="BalloonText">
    <w:name w:val="Balloon Text"/>
    <w:basedOn w:val="Normal"/>
    <w:link w:val="BalloonTextChar"/>
    <w:uiPriority w:val="99"/>
    <w:semiHidden/>
    <w:unhideWhenUsed/>
    <w:rsid w:val="00623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8D3"/>
    <w:rPr>
      <w:rFonts w:ascii="Tahoma" w:hAnsi="Tahoma" w:cs="Tahoma"/>
      <w:sz w:val="16"/>
      <w:szCs w:val="16"/>
    </w:rPr>
  </w:style>
  <w:style w:type="paragraph" w:styleId="ListParagraph">
    <w:name w:val="List Paragraph"/>
    <w:basedOn w:val="Normal"/>
    <w:uiPriority w:val="34"/>
    <w:qFormat/>
    <w:rsid w:val="0005690B"/>
    <w:pPr>
      <w:ind w:left="720"/>
      <w:contextualSpacing/>
    </w:pPr>
  </w:style>
  <w:style w:type="paragraph" w:styleId="BodyText">
    <w:name w:val="Body Text"/>
    <w:basedOn w:val="Normal"/>
    <w:link w:val="BodyTextChar"/>
    <w:rsid w:val="00DA634D"/>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A634D"/>
    <w:rPr>
      <w:rFonts w:ascii="Times New Roman" w:eastAsia="Times New Roman" w:hAnsi="Times New Roman" w:cs="Times New Roman"/>
      <w:szCs w:val="20"/>
    </w:rPr>
  </w:style>
  <w:style w:type="paragraph" w:customStyle="1" w:styleId="Exhibit">
    <w:name w:val="Exhibit"/>
    <w:basedOn w:val="Normal"/>
    <w:rsid w:val="00DA634D"/>
    <w:pPr>
      <w:spacing w:after="60" w:line="264" w:lineRule="auto"/>
    </w:pPr>
    <w:rPr>
      <w:rFonts w:ascii="Arial" w:eastAsia="Times New Roman" w:hAnsi="Arial" w:cs="Times New Roman"/>
      <w:b/>
      <w:sz w:val="20"/>
      <w:szCs w:val="20"/>
    </w:rPr>
  </w:style>
  <w:style w:type="table" w:styleId="TableGrid">
    <w:name w:val="Table Grid"/>
    <w:basedOn w:val="TableNormal"/>
    <w:uiPriority w:val="59"/>
    <w:rsid w:val="00DA6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62"/>
  </w:style>
  <w:style w:type="paragraph" w:styleId="Footer">
    <w:name w:val="footer"/>
    <w:basedOn w:val="Normal"/>
    <w:link w:val="FooterChar"/>
    <w:uiPriority w:val="99"/>
    <w:unhideWhenUsed/>
    <w:rsid w:val="00411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62"/>
  </w:style>
  <w:style w:type="character" w:customStyle="1" w:styleId="Heading2Char">
    <w:name w:val="Heading 2 Char"/>
    <w:basedOn w:val="DefaultParagraphFont"/>
    <w:link w:val="Heading2"/>
    <w:rsid w:val="00896D01"/>
    <w:rPr>
      <w:rFonts w:ascii="Arial" w:eastAsia="Times New Roman" w:hAnsi="Arial" w:cs="Arial"/>
      <w:b/>
      <w:bCs/>
      <w:iCs/>
      <w:color w:val="000000" w:themeColor="text1"/>
      <w:sz w:val="24"/>
      <w:szCs w:val="28"/>
      <w:shd w:val="clear" w:color="auto" w:fill="D0D3D4"/>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A451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A45143"/>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iPriority w:val="99"/>
    <w:unhideWhenUsed/>
    <w:qFormat/>
    <w:rsid w:val="00A45143"/>
    <w:rPr>
      <w:vertAlign w:val="superscript"/>
    </w:rPr>
  </w:style>
  <w:style w:type="character" w:customStyle="1" w:styleId="Heading1Char">
    <w:name w:val="Heading 1 Char"/>
    <w:basedOn w:val="DefaultParagraphFont"/>
    <w:link w:val="Heading1"/>
    <w:uiPriority w:val="9"/>
    <w:rsid w:val="00FD1BD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1BDF"/>
    <w:rPr>
      <w:color w:val="0000FF" w:themeColor="hyperlink"/>
      <w:u w:val="single"/>
    </w:rPr>
  </w:style>
  <w:style w:type="paragraph" w:styleId="Revision">
    <w:name w:val="Revision"/>
    <w:hidden/>
    <w:uiPriority w:val="99"/>
    <w:semiHidden/>
    <w:rsid w:val="00AE0092"/>
    <w:pPr>
      <w:spacing w:after="0" w:line="240" w:lineRule="auto"/>
    </w:pPr>
  </w:style>
  <w:style w:type="character" w:styleId="FollowedHyperlink">
    <w:name w:val="FollowedHyperlink"/>
    <w:basedOn w:val="DefaultParagraphFont"/>
    <w:uiPriority w:val="99"/>
    <w:semiHidden/>
    <w:unhideWhenUsed/>
    <w:rsid w:val="00662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2436">
      <w:bodyDiv w:val="1"/>
      <w:marLeft w:val="0"/>
      <w:marRight w:val="0"/>
      <w:marTop w:val="0"/>
      <w:marBottom w:val="0"/>
      <w:divBdr>
        <w:top w:val="none" w:sz="0" w:space="0" w:color="auto"/>
        <w:left w:val="none" w:sz="0" w:space="0" w:color="auto"/>
        <w:bottom w:val="none" w:sz="0" w:space="0" w:color="auto"/>
        <w:right w:val="none" w:sz="0" w:space="0" w:color="auto"/>
      </w:divBdr>
    </w:div>
    <w:div w:id="1333341086">
      <w:bodyDiv w:val="1"/>
      <w:marLeft w:val="0"/>
      <w:marRight w:val="0"/>
      <w:marTop w:val="0"/>
      <w:marBottom w:val="0"/>
      <w:divBdr>
        <w:top w:val="none" w:sz="0" w:space="0" w:color="auto"/>
        <w:left w:val="none" w:sz="0" w:space="0" w:color="auto"/>
        <w:bottom w:val="none" w:sz="0" w:space="0" w:color="auto"/>
        <w:right w:val="none" w:sz="0" w:space="0" w:color="auto"/>
      </w:divBdr>
    </w:div>
    <w:div w:id="151834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cf.hhs.gov/sites/default/files/opre/pace_three_yearanalysisplan_mainreport_508.pdf" TargetMode="External"/><Relationship Id="rId1" Type="http://schemas.openxmlformats.org/officeDocument/2006/relationships/hyperlink" Target="https://wdr.doleta.gov/research/FullText_Documents/ETAOP-2017-07%20Findings%20from%20the%20Impact%20Study.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ocis.gov/rocis/LoadICRForUpdate.do?request_id=296902&amp;record_owner_flag=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rocis.gov/rocis/LoadICRForUpdate.do?request_id=296902&amp;record_owner_fl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48F5-046B-4D15-89CB-F03E51FA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4020</Words>
  <Characters>22916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Tresa Kappil</dc:creator>
  <cp:lastModifiedBy>SYSTEM</cp:lastModifiedBy>
  <cp:revision>2</cp:revision>
  <cp:lastPrinted>2019-03-08T19:12:00Z</cp:lastPrinted>
  <dcterms:created xsi:type="dcterms:W3CDTF">2019-05-24T19:47:00Z</dcterms:created>
  <dcterms:modified xsi:type="dcterms:W3CDTF">2019-05-24T19:47:00Z</dcterms:modified>
</cp:coreProperties>
</file>