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1FA" w:rsidRPr="00AA21FA" w:rsidRDefault="00AA21FA" w:rsidP="00AA21FA">
      <w:pPr>
        <w:autoSpaceDE w:val="0"/>
        <w:autoSpaceDN w:val="0"/>
        <w:adjustRightInd w:val="0"/>
        <w:jc w:val="center"/>
        <w:rPr>
          <w:b/>
        </w:rPr>
      </w:pPr>
      <w:bookmarkStart w:id="0" w:name="_GoBack"/>
      <w:bookmarkEnd w:id="0"/>
      <w:r w:rsidRPr="00AA21FA">
        <w:rPr>
          <w:b/>
        </w:rPr>
        <w:t>Justification of Non-Material Change</w:t>
      </w:r>
    </w:p>
    <w:p w:rsidR="00AA21FA" w:rsidRDefault="00AA21FA" w:rsidP="00AA21FA">
      <w:pPr>
        <w:autoSpaceDE w:val="0"/>
        <w:autoSpaceDN w:val="0"/>
        <w:adjustRightInd w:val="0"/>
        <w:jc w:val="center"/>
        <w:rPr>
          <w:b/>
        </w:rPr>
      </w:pPr>
      <w:r>
        <w:rPr>
          <w:b/>
        </w:rPr>
        <w:t>Internal Revenue Service</w:t>
      </w:r>
    </w:p>
    <w:p w:rsidR="00AA21FA" w:rsidRDefault="00AA21FA" w:rsidP="00AA21FA">
      <w:pPr>
        <w:autoSpaceDE w:val="0"/>
        <w:autoSpaceDN w:val="0"/>
        <w:adjustRightInd w:val="0"/>
        <w:jc w:val="center"/>
        <w:rPr>
          <w:b/>
        </w:rPr>
      </w:pPr>
      <w:r>
        <w:rPr>
          <w:b/>
        </w:rPr>
        <w:t xml:space="preserve">OMB Control number </w:t>
      </w:r>
      <w:r w:rsidRPr="00AA21FA">
        <w:rPr>
          <w:b/>
        </w:rPr>
        <w:t xml:space="preserve">1545-1610 </w:t>
      </w:r>
    </w:p>
    <w:p w:rsidR="00AA21FA" w:rsidRPr="00AA21FA" w:rsidRDefault="00AA21FA" w:rsidP="00AA21FA">
      <w:pPr>
        <w:autoSpaceDE w:val="0"/>
        <w:autoSpaceDN w:val="0"/>
        <w:adjustRightInd w:val="0"/>
        <w:jc w:val="center"/>
        <w:rPr>
          <w:b/>
        </w:rPr>
      </w:pPr>
      <w:r w:rsidRPr="00AA21FA">
        <w:rPr>
          <w:b/>
        </w:rPr>
        <w:t>Form 5500</w:t>
      </w:r>
      <w:r>
        <w:rPr>
          <w:b/>
        </w:rPr>
        <w:t xml:space="preserve"> </w:t>
      </w:r>
      <w:r w:rsidRPr="00AA21FA">
        <w:rPr>
          <w:b/>
        </w:rPr>
        <w:t>Annual Return/Report of Employee Benefit Plan</w:t>
      </w:r>
    </w:p>
    <w:p w:rsidR="00AA21FA" w:rsidRDefault="00AA21FA" w:rsidP="00AA21FA">
      <w:pPr>
        <w:autoSpaceDE w:val="0"/>
        <w:autoSpaceDN w:val="0"/>
        <w:adjustRightInd w:val="0"/>
        <w:jc w:val="center"/>
        <w:rPr>
          <w:b/>
        </w:rPr>
      </w:pPr>
    </w:p>
    <w:p w:rsidR="00323A29" w:rsidRPr="00AA21FA" w:rsidRDefault="00323A29" w:rsidP="00AA21FA">
      <w:pPr>
        <w:autoSpaceDE w:val="0"/>
        <w:autoSpaceDN w:val="0"/>
        <w:adjustRightInd w:val="0"/>
        <w:jc w:val="center"/>
        <w:rPr>
          <w:b/>
        </w:rPr>
      </w:pPr>
      <w:r>
        <w:rPr>
          <w:b/>
        </w:rPr>
        <w:t>Change to Form 5500 Schedule SB</w:t>
      </w:r>
    </w:p>
    <w:p w:rsidR="00AA21FA" w:rsidRDefault="00AA21FA" w:rsidP="005F4CD2">
      <w:pPr>
        <w:autoSpaceDE w:val="0"/>
        <w:autoSpaceDN w:val="0"/>
        <w:adjustRightInd w:val="0"/>
      </w:pPr>
    </w:p>
    <w:p w:rsidR="005F4CD2" w:rsidRDefault="001A0BBB" w:rsidP="005F4CD2">
      <w:pPr>
        <w:autoSpaceDE w:val="0"/>
        <w:autoSpaceDN w:val="0"/>
        <w:adjustRightInd w:val="0"/>
      </w:pPr>
      <w:r>
        <w:t xml:space="preserve">The </w:t>
      </w:r>
      <w:r w:rsidR="00192AFE">
        <w:t xml:space="preserve">Pension Relief Act of 2010 </w:t>
      </w:r>
      <w:r>
        <w:t xml:space="preserve">provided pension </w:t>
      </w:r>
      <w:r w:rsidR="005F4CD2">
        <w:t xml:space="preserve">funding </w:t>
      </w:r>
      <w:r>
        <w:t>relief</w:t>
      </w:r>
      <w:r w:rsidR="005F4CD2">
        <w:t xml:space="preserve"> for single-employer plans by providing an ex</w:t>
      </w:r>
      <w:r w:rsidR="00BC0A6E">
        <w:t>tended period for single-employ</w:t>
      </w:r>
      <w:r w:rsidR="005F4CD2">
        <w:t xml:space="preserve">er defined benefit plans to amortize certain shortfall amortization bases. </w:t>
      </w:r>
      <w:r>
        <w:t xml:space="preserve"> </w:t>
      </w:r>
    </w:p>
    <w:p w:rsidR="005F4CD2" w:rsidRDefault="005F4CD2" w:rsidP="005F4CD2">
      <w:pPr>
        <w:autoSpaceDE w:val="0"/>
        <w:autoSpaceDN w:val="0"/>
        <w:adjustRightInd w:val="0"/>
      </w:pPr>
    </w:p>
    <w:p w:rsidR="00F33968" w:rsidRDefault="00F33968" w:rsidP="005F4CD2">
      <w:pPr>
        <w:autoSpaceDE w:val="0"/>
        <w:autoSpaceDN w:val="0"/>
        <w:adjustRightInd w:val="0"/>
      </w:pPr>
      <w:r>
        <w:t xml:space="preserve">Form 5500 is a Tri-Agency form shared between Department of Labor OMB Control Number 1210-0110, </w:t>
      </w:r>
    </w:p>
    <w:p w:rsidR="00F33968" w:rsidRDefault="00F33968" w:rsidP="005F4CD2">
      <w:pPr>
        <w:autoSpaceDE w:val="0"/>
        <w:autoSpaceDN w:val="0"/>
        <w:adjustRightInd w:val="0"/>
      </w:pPr>
      <w:r>
        <w:t>Pension Benefit Guaranty Corporation (PBGC) OMB Control Number 1212-0057 and Internal Revenue Service OMB Control Number 1545-1610.  Since this is a Tri-Agency form, the three agencies coordinate the information collection submissions by March 30,</w:t>
      </w:r>
      <w:r w:rsidR="00C950C4">
        <w:t xml:space="preserve"> </w:t>
      </w:r>
      <w:r>
        <w:t>2018 to OMB in order to maximize the information available to OMB.</w:t>
      </w:r>
    </w:p>
    <w:p w:rsidR="00C950C4" w:rsidRDefault="00C950C4" w:rsidP="00C950C4"/>
    <w:p w:rsidR="00C950C4" w:rsidRDefault="00C950C4" w:rsidP="00C950C4">
      <w:pPr>
        <w:rPr>
          <w:rFonts w:ascii="Times New Roman" w:hAnsi="Times New Roman"/>
        </w:rPr>
      </w:pPr>
      <w:r>
        <w:t xml:space="preserve">The Internal Revenue Service (IRS) is submitting the current, 2018 version, of the Form 5500, Annual Return/Report of Employee Benefit Plan, and instructions as a non-material/non-substantive change request. (OMB Control Number 1545-1610, which currently is scheduled to expire on October 31, 2019).  The IRS is not making any program changes to the forms and instructions for 2018.  </w:t>
      </w:r>
    </w:p>
    <w:p w:rsidR="00F33968" w:rsidRDefault="00F33968" w:rsidP="005F4CD2">
      <w:pPr>
        <w:autoSpaceDE w:val="0"/>
        <w:autoSpaceDN w:val="0"/>
        <w:adjustRightInd w:val="0"/>
      </w:pPr>
    </w:p>
    <w:p w:rsidR="00192AFE" w:rsidRDefault="00192AFE" w:rsidP="0035552C">
      <w:pPr>
        <w:autoSpaceDE w:val="0"/>
        <w:autoSpaceDN w:val="0"/>
        <w:adjustRightInd w:val="0"/>
        <w:rPr>
          <w:b/>
          <w:bCs/>
        </w:rPr>
      </w:pPr>
      <w:r>
        <w:t xml:space="preserve">Lines 42 and 43 of the Schedule SB will not be used for plan years beginning on or after January 1, 2018, because there are no installment acceleration amounts or installment acceleration </w:t>
      </w:r>
      <w:r w:rsidR="000B3736">
        <w:t xml:space="preserve">amount carryovers after 2017.  </w:t>
      </w:r>
      <w:r>
        <w:t xml:space="preserve">Therefore, IRS </w:t>
      </w:r>
      <w:r w:rsidR="00424FBF">
        <w:t>is</w:t>
      </w:r>
      <w:r>
        <w:t xml:space="preserve"> </w:t>
      </w:r>
      <w:r w:rsidR="0035552C">
        <w:t>r</w:t>
      </w:r>
      <w:r>
        <w:t>emov</w:t>
      </w:r>
      <w:r w:rsidR="0035552C">
        <w:t>ing</w:t>
      </w:r>
      <w:r>
        <w:t xml:space="preserve"> </w:t>
      </w:r>
      <w:r w:rsidR="0035552C">
        <w:t>Lines 42 and 43 from the Form 5500 Series Schedule SB.</w:t>
      </w:r>
    </w:p>
    <w:p w:rsidR="0070317A" w:rsidRDefault="0070317A"/>
    <w:p w:rsidR="007C1E1F" w:rsidRDefault="00C950C4" w:rsidP="007C1E1F">
      <w:pPr>
        <w:numPr>
          <w:ilvl w:val="0"/>
          <w:numId w:val="1"/>
        </w:numPr>
      </w:pPr>
      <w:r>
        <w:t>IRS</w:t>
      </w:r>
      <w:r w:rsidR="007C1E1F">
        <w:t xml:space="preserve"> uploaded a new version of the Schedule SB</w:t>
      </w:r>
    </w:p>
    <w:p w:rsidR="007C1E1F" w:rsidRDefault="00C950C4" w:rsidP="00CA48FE">
      <w:pPr>
        <w:numPr>
          <w:ilvl w:val="0"/>
          <w:numId w:val="1"/>
        </w:numPr>
      </w:pPr>
      <w:r>
        <w:t>IRS</w:t>
      </w:r>
      <w:r w:rsidR="007C1E1F">
        <w:t xml:space="preserve"> </w:t>
      </w:r>
      <w:r>
        <w:t xml:space="preserve">is </w:t>
      </w:r>
      <w:r w:rsidR="007C1E1F">
        <w:t>revising the estimates such that for the “Annual Return/Report” IC</w:t>
      </w:r>
      <w:r w:rsidR="00CA48FE">
        <w:t xml:space="preserve"> </w:t>
      </w:r>
      <w:r w:rsidR="00CA48FE" w:rsidRPr="00CA48FE">
        <w:t xml:space="preserve">(See </w:t>
      </w:r>
      <w:r w:rsidR="00CA48FE">
        <w:t>below</w:t>
      </w:r>
      <w:r w:rsidR="00CA48FE" w:rsidRPr="00CA48FE">
        <w:t xml:space="preserve"> for greater detail)</w:t>
      </w:r>
      <w:r w:rsidR="007C1E1F">
        <w:t>:</w:t>
      </w:r>
    </w:p>
    <w:p w:rsidR="007C1E1F" w:rsidRDefault="007C1E1F" w:rsidP="007C1E1F">
      <w:pPr>
        <w:numPr>
          <w:ilvl w:val="1"/>
          <w:numId w:val="1"/>
        </w:numPr>
      </w:pPr>
      <w:r>
        <w:t xml:space="preserve">Responses </w:t>
      </w:r>
      <w:r w:rsidR="00C950C4">
        <w:t>increased</w:t>
      </w:r>
      <w:r>
        <w:t xml:space="preserve"> from 828,000 to 833,000 (+5,000)</w:t>
      </w:r>
      <w:r w:rsidR="00F33968" w:rsidRPr="00F33968">
        <w:t xml:space="preserve"> </w:t>
      </w:r>
      <w:r w:rsidR="00C950C4">
        <w:t xml:space="preserve">due to </w:t>
      </w:r>
      <w:r w:rsidR="00F33968">
        <w:t>additional filings</w:t>
      </w:r>
    </w:p>
    <w:p w:rsidR="007C1E1F" w:rsidRDefault="007C1E1F" w:rsidP="007C1E1F">
      <w:pPr>
        <w:numPr>
          <w:ilvl w:val="1"/>
          <w:numId w:val="1"/>
        </w:numPr>
      </w:pPr>
      <w:r>
        <w:t xml:space="preserve">Burden hours </w:t>
      </w:r>
      <w:r w:rsidR="00C950C4">
        <w:t>increased</w:t>
      </w:r>
      <w:r>
        <w:t xml:space="preserve"> from 338,000 to 339,000 (+1,000)</w:t>
      </w:r>
      <w:r w:rsidR="00F33968" w:rsidRPr="00F33968">
        <w:t xml:space="preserve"> </w:t>
      </w:r>
      <w:r w:rsidR="00F33968">
        <w:t xml:space="preserve">led </w:t>
      </w:r>
      <w:r w:rsidR="00C950C4">
        <w:t>by the filing</w:t>
      </w:r>
      <w:r w:rsidR="00F33968">
        <w:t xml:space="preserve"> increase</w:t>
      </w:r>
    </w:p>
    <w:p w:rsidR="007C1E1F" w:rsidRDefault="007C1E1F" w:rsidP="007C1E1F">
      <w:pPr>
        <w:numPr>
          <w:ilvl w:val="1"/>
          <w:numId w:val="1"/>
        </w:numPr>
      </w:pPr>
      <w:r>
        <w:t>Labor costs decrease</w:t>
      </w:r>
      <w:r w:rsidR="00C950C4">
        <w:t>d</w:t>
      </w:r>
      <w:r>
        <w:t xml:space="preserve"> from $137.129 million to $132.661 million (-$4.468 million)</w:t>
      </w:r>
      <w:r w:rsidR="00F33968" w:rsidRPr="00F33968">
        <w:t xml:space="preserve"> </w:t>
      </w:r>
      <w:r w:rsidR="00F33968">
        <w:t xml:space="preserve">Decreased wage rates (due to an adjustment in how the Department </w:t>
      </w:r>
      <w:r w:rsidR="00C950C4">
        <w:t xml:space="preserve">of Labor </w:t>
      </w:r>
      <w:r w:rsidR="00F33968">
        <w:t>calculates the overhead cost input for wage rates) led the cost burden to decrease.</w:t>
      </w:r>
    </w:p>
    <w:p w:rsidR="00192AFE" w:rsidRDefault="00192AFE"/>
    <w:p w:rsidR="00323A29" w:rsidRDefault="00323A29" w:rsidP="00323A29"/>
    <w:p w:rsidR="00323A29" w:rsidRDefault="00323A29"/>
    <w:tbl>
      <w:tblPr>
        <w:tblW w:w="5096" w:type="pct"/>
        <w:tblLayout w:type="fixed"/>
        <w:tblLook w:val="04A0" w:firstRow="1" w:lastRow="0" w:firstColumn="1" w:lastColumn="0" w:noHBand="0" w:noVBand="1"/>
      </w:tblPr>
      <w:tblGrid>
        <w:gridCol w:w="2394"/>
        <w:gridCol w:w="1556"/>
        <w:gridCol w:w="1134"/>
        <w:gridCol w:w="1175"/>
        <w:gridCol w:w="1120"/>
        <w:gridCol w:w="1218"/>
        <w:gridCol w:w="1163"/>
      </w:tblGrid>
      <w:tr w:rsidR="00234969" w:rsidRPr="00AA21FA" w:rsidTr="00234969">
        <w:trPr>
          <w:trHeight w:val="264"/>
        </w:trPr>
        <w:tc>
          <w:tcPr>
            <w:tcW w:w="122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color w:val="FF0000"/>
                <w:sz w:val="20"/>
                <w:szCs w:val="20"/>
              </w:rPr>
            </w:pPr>
            <w:r w:rsidRPr="00AA21FA">
              <w:rPr>
                <w:rFonts w:ascii="Arial Narrow" w:eastAsia="Times New Roman" w:hAnsi="Arial Narrow" w:cs="Arial"/>
                <w:color w:val="FF0000"/>
                <w:sz w:val="20"/>
                <w:szCs w:val="20"/>
              </w:rPr>
              <w:lastRenderedPageBreak/>
              <w:t>2018</w:t>
            </w:r>
          </w:p>
        </w:tc>
        <w:tc>
          <w:tcPr>
            <w:tcW w:w="797"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color w:val="FF0000"/>
                <w:sz w:val="20"/>
                <w:szCs w:val="20"/>
              </w:rPr>
            </w:pPr>
          </w:p>
        </w:tc>
        <w:tc>
          <w:tcPr>
            <w:tcW w:w="581"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602"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7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62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9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r>
      <w:tr w:rsidR="00234969" w:rsidRPr="00AA21FA" w:rsidTr="00234969">
        <w:trPr>
          <w:trHeight w:val="264"/>
        </w:trPr>
        <w:tc>
          <w:tcPr>
            <w:tcW w:w="122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sz w:val="20"/>
                <w:szCs w:val="20"/>
              </w:rPr>
            </w:pPr>
            <w:r w:rsidRPr="00AA21FA">
              <w:rPr>
                <w:rFonts w:ascii="Arial Narrow" w:eastAsia="Times New Roman" w:hAnsi="Arial Narrow" w:cs="Arial"/>
                <w:sz w:val="20"/>
                <w:szCs w:val="20"/>
              </w:rPr>
              <w:t>Form 5500 Package</w:t>
            </w:r>
          </w:p>
        </w:tc>
        <w:tc>
          <w:tcPr>
            <w:tcW w:w="797"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sz w:val="20"/>
                <w:szCs w:val="20"/>
              </w:rPr>
            </w:pPr>
            <w:r w:rsidRPr="00AA21FA">
              <w:rPr>
                <w:rFonts w:ascii="Arial Narrow" w:eastAsia="Times New Roman" w:hAnsi="Arial Narrow" w:cs="Arial"/>
                <w:sz w:val="20"/>
                <w:szCs w:val="20"/>
              </w:rPr>
              <w:t>PRA-numbers</w:t>
            </w:r>
          </w:p>
        </w:tc>
        <w:tc>
          <w:tcPr>
            <w:tcW w:w="581"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sz w:val="20"/>
                <w:szCs w:val="20"/>
              </w:rPr>
            </w:pPr>
          </w:p>
        </w:tc>
        <w:tc>
          <w:tcPr>
            <w:tcW w:w="602"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r w:rsidRPr="00AA21FA">
              <w:rPr>
                <w:rFonts w:ascii="Arial Narrow" w:eastAsia="Times New Roman" w:hAnsi="Arial Narrow" w:cs="Arial"/>
                <w:sz w:val="20"/>
                <w:szCs w:val="20"/>
              </w:rPr>
              <w:t>8/30/2017</w:t>
            </w:r>
          </w:p>
        </w:tc>
        <w:tc>
          <w:tcPr>
            <w:tcW w:w="57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p>
        </w:tc>
        <w:tc>
          <w:tcPr>
            <w:tcW w:w="62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9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r>
      <w:tr w:rsidR="00234969" w:rsidRPr="00AA21FA" w:rsidTr="00234969">
        <w:trPr>
          <w:trHeight w:val="264"/>
        </w:trPr>
        <w:tc>
          <w:tcPr>
            <w:tcW w:w="122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b/>
                <w:bCs/>
                <w:sz w:val="20"/>
                <w:szCs w:val="20"/>
              </w:rPr>
            </w:pPr>
            <w:r w:rsidRPr="00AA21FA">
              <w:rPr>
                <w:rFonts w:ascii="Arial Narrow" w:eastAsia="Times New Roman" w:hAnsi="Arial Narrow" w:cs="Arial"/>
                <w:b/>
                <w:bCs/>
                <w:sz w:val="20"/>
                <w:szCs w:val="20"/>
              </w:rPr>
              <w:t>IRS + SSA</w:t>
            </w:r>
          </w:p>
        </w:tc>
        <w:tc>
          <w:tcPr>
            <w:tcW w:w="797"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b/>
                <w:bCs/>
                <w:sz w:val="20"/>
                <w:szCs w:val="20"/>
              </w:rPr>
            </w:pPr>
          </w:p>
        </w:tc>
        <w:tc>
          <w:tcPr>
            <w:tcW w:w="581"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602"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7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62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9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r>
      <w:tr w:rsidR="00234969" w:rsidRPr="00AA21FA" w:rsidTr="00234969">
        <w:trPr>
          <w:trHeight w:val="264"/>
        </w:trPr>
        <w:tc>
          <w:tcPr>
            <w:tcW w:w="122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sz w:val="20"/>
                <w:szCs w:val="20"/>
              </w:rPr>
            </w:pPr>
            <w:r w:rsidRPr="00AA21FA">
              <w:rPr>
                <w:rFonts w:ascii="Arial Narrow" w:eastAsia="Times New Roman" w:hAnsi="Arial Narrow" w:cs="Arial"/>
                <w:sz w:val="20"/>
                <w:szCs w:val="20"/>
              </w:rPr>
              <w:t>Number of Respondents (total)</w:t>
            </w:r>
          </w:p>
        </w:tc>
        <w:tc>
          <w:tcPr>
            <w:tcW w:w="797"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r w:rsidRPr="00AA21FA">
              <w:rPr>
                <w:rFonts w:ascii="Arial Narrow" w:eastAsia="Times New Roman" w:hAnsi="Arial Narrow" w:cs="Arial"/>
                <w:sz w:val="20"/>
                <w:szCs w:val="20"/>
              </w:rPr>
              <w:t>833,000</w:t>
            </w:r>
          </w:p>
        </w:tc>
        <w:tc>
          <w:tcPr>
            <w:tcW w:w="581"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p>
        </w:tc>
        <w:tc>
          <w:tcPr>
            <w:tcW w:w="602"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7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62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9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r>
      <w:tr w:rsidR="00234969" w:rsidRPr="00AA21FA" w:rsidTr="00234969">
        <w:trPr>
          <w:trHeight w:val="264"/>
        </w:trPr>
        <w:tc>
          <w:tcPr>
            <w:tcW w:w="122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sz w:val="20"/>
                <w:szCs w:val="20"/>
              </w:rPr>
            </w:pPr>
            <w:r w:rsidRPr="00AA21FA">
              <w:rPr>
                <w:rFonts w:ascii="Arial Narrow" w:eastAsia="Times New Roman" w:hAnsi="Arial Narrow" w:cs="Arial"/>
                <w:sz w:val="20"/>
                <w:szCs w:val="20"/>
              </w:rPr>
              <w:t>Number of Respondents for Small Entity</w:t>
            </w:r>
          </w:p>
        </w:tc>
        <w:tc>
          <w:tcPr>
            <w:tcW w:w="797"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r w:rsidRPr="00AA21FA">
              <w:rPr>
                <w:rFonts w:ascii="Arial Narrow" w:eastAsia="Times New Roman" w:hAnsi="Arial Narrow" w:cs="Arial"/>
                <w:sz w:val="20"/>
                <w:szCs w:val="20"/>
              </w:rPr>
              <w:t>676,000</w:t>
            </w:r>
          </w:p>
        </w:tc>
        <w:tc>
          <w:tcPr>
            <w:tcW w:w="581"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p>
        </w:tc>
        <w:tc>
          <w:tcPr>
            <w:tcW w:w="602"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7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62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9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r>
      <w:tr w:rsidR="00234969" w:rsidRPr="00AA21FA" w:rsidTr="00234969">
        <w:trPr>
          <w:trHeight w:val="264"/>
        </w:trPr>
        <w:tc>
          <w:tcPr>
            <w:tcW w:w="122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797"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81"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602"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7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62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9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r>
      <w:tr w:rsidR="00234969" w:rsidRPr="00AA21FA" w:rsidTr="00234969">
        <w:trPr>
          <w:trHeight w:val="264"/>
        </w:trPr>
        <w:tc>
          <w:tcPr>
            <w:tcW w:w="122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sz w:val="20"/>
                <w:szCs w:val="20"/>
              </w:rPr>
            </w:pPr>
            <w:r w:rsidRPr="00AA21FA">
              <w:rPr>
                <w:rFonts w:ascii="Arial Narrow" w:eastAsia="Times New Roman" w:hAnsi="Arial Narrow" w:cs="Arial"/>
                <w:sz w:val="20"/>
                <w:szCs w:val="20"/>
              </w:rPr>
              <w:t>ICR</w:t>
            </w:r>
          </w:p>
        </w:tc>
        <w:tc>
          <w:tcPr>
            <w:tcW w:w="797"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sz w:val="20"/>
                <w:szCs w:val="20"/>
              </w:rPr>
            </w:pPr>
          </w:p>
        </w:tc>
        <w:tc>
          <w:tcPr>
            <w:tcW w:w="581"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602"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7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62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9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r>
      <w:tr w:rsidR="00234969" w:rsidRPr="00AA21FA" w:rsidTr="00234969">
        <w:trPr>
          <w:trHeight w:val="1020"/>
        </w:trPr>
        <w:tc>
          <w:tcPr>
            <w:tcW w:w="122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797" w:type="pct"/>
            <w:tcBorders>
              <w:top w:val="single" w:sz="4" w:space="0" w:color="auto"/>
              <w:left w:val="single" w:sz="4" w:space="0" w:color="auto"/>
              <w:bottom w:val="single" w:sz="4" w:space="0" w:color="auto"/>
              <w:right w:val="nil"/>
            </w:tcBorders>
            <w:shd w:val="clear" w:color="auto" w:fill="auto"/>
            <w:hideMark/>
          </w:tcPr>
          <w:p w:rsidR="00AA21FA" w:rsidRPr="00AA21FA" w:rsidRDefault="00AA21FA" w:rsidP="00AA21FA">
            <w:pPr>
              <w:keepNext/>
              <w:keepLines/>
              <w:widowControl w:val="0"/>
              <w:jc w:val="center"/>
              <w:rPr>
                <w:rFonts w:ascii="Arial Narrow" w:eastAsia="Times New Roman" w:hAnsi="Arial Narrow" w:cs="Arial"/>
                <w:color w:val="FF0000"/>
                <w:sz w:val="20"/>
                <w:szCs w:val="20"/>
              </w:rPr>
            </w:pPr>
            <w:r w:rsidRPr="00AA21FA">
              <w:rPr>
                <w:rFonts w:ascii="Arial Narrow" w:eastAsia="Times New Roman" w:hAnsi="Arial Narrow" w:cs="Arial"/>
                <w:color w:val="FF0000"/>
                <w:sz w:val="20"/>
                <w:szCs w:val="20"/>
              </w:rPr>
              <w:t>2018</w:t>
            </w:r>
            <w:r w:rsidRPr="00AA21FA">
              <w:rPr>
                <w:rFonts w:ascii="Arial Narrow" w:eastAsia="Times New Roman" w:hAnsi="Arial Narrow" w:cs="Arial"/>
                <w:sz w:val="20"/>
                <w:szCs w:val="20"/>
              </w:rPr>
              <w:t xml:space="preserve"> - Requested</w:t>
            </w:r>
          </w:p>
        </w:tc>
        <w:tc>
          <w:tcPr>
            <w:tcW w:w="581" w:type="pct"/>
            <w:tcBorders>
              <w:top w:val="single" w:sz="4" w:space="0" w:color="auto"/>
              <w:left w:val="nil"/>
              <w:bottom w:val="single" w:sz="4" w:space="0" w:color="auto"/>
              <w:right w:val="nil"/>
            </w:tcBorders>
            <w:shd w:val="clear" w:color="auto" w:fill="auto"/>
            <w:hideMark/>
          </w:tcPr>
          <w:p w:rsidR="00AA21FA" w:rsidRPr="00AA21FA" w:rsidRDefault="00AA21FA" w:rsidP="00AA21FA">
            <w:pPr>
              <w:keepNext/>
              <w:keepLines/>
              <w:widowControl w:val="0"/>
              <w:jc w:val="center"/>
              <w:rPr>
                <w:rFonts w:ascii="Arial Narrow" w:eastAsia="Times New Roman" w:hAnsi="Arial Narrow" w:cs="Arial"/>
                <w:sz w:val="20"/>
                <w:szCs w:val="20"/>
              </w:rPr>
            </w:pPr>
            <w:r w:rsidRPr="00AA21FA">
              <w:rPr>
                <w:rFonts w:ascii="Arial Narrow" w:eastAsia="Times New Roman" w:hAnsi="Arial Narrow" w:cs="Arial"/>
                <w:sz w:val="20"/>
                <w:szCs w:val="20"/>
              </w:rPr>
              <w:t>Program Change Due to New Statute</w:t>
            </w:r>
          </w:p>
        </w:tc>
        <w:tc>
          <w:tcPr>
            <w:tcW w:w="602" w:type="pct"/>
            <w:tcBorders>
              <w:top w:val="single" w:sz="4" w:space="0" w:color="auto"/>
              <w:left w:val="nil"/>
              <w:bottom w:val="single" w:sz="4" w:space="0" w:color="auto"/>
              <w:right w:val="nil"/>
            </w:tcBorders>
            <w:shd w:val="clear" w:color="auto" w:fill="auto"/>
            <w:hideMark/>
          </w:tcPr>
          <w:p w:rsidR="00AA21FA" w:rsidRPr="00AA21FA" w:rsidRDefault="00AA21FA" w:rsidP="00AA21FA">
            <w:pPr>
              <w:keepNext/>
              <w:keepLines/>
              <w:widowControl w:val="0"/>
              <w:jc w:val="center"/>
              <w:rPr>
                <w:rFonts w:ascii="Arial Narrow" w:eastAsia="Times New Roman" w:hAnsi="Arial Narrow" w:cs="Arial"/>
                <w:sz w:val="20"/>
                <w:szCs w:val="20"/>
              </w:rPr>
            </w:pPr>
            <w:r w:rsidRPr="00AA21FA">
              <w:rPr>
                <w:rFonts w:ascii="Arial Narrow" w:eastAsia="Times New Roman" w:hAnsi="Arial Narrow" w:cs="Arial"/>
                <w:sz w:val="20"/>
                <w:szCs w:val="20"/>
              </w:rPr>
              <w:t>Program Change Due to Agency Discretion</w:t>
            </w:r>
          </w:p>
        </w:tc>
        <w:tc>
          <w:tcPr>
            <w:tcW w:w="574" w:type="pct"/>
            <w:tcBorders>
              <w:top w:val="single" w:sz="4" w:space="0" w:color="auto"/>
              <w:left w:val="nil"/>
              <w:bottom w:val="single" w:sz="4" w:space="0" w:color="auto"/>
              <w:right w:val="nil"/>
            </w:tcBorders>
            <w:shd w:val="clear" w:color="auto" w:fill="auto"/>
            <w:hideMark/>
          </w:tcPr>
          <w:p w:rsidR="00AA21FA" w:rsidRPr="00AA21FA" w:rsidRDefault="00AA21FA" w:rsidP="00AA21FA">
            <w:pPr>
              <w:keepNext/>
              <w:keepLines/>
              <w:widowControl w:val="0"/>
              <w:jc w:val="center"/>
              <w:rPr>
                <w:rFonts w:ascii="Arial Narrow" w:eastAsia="Times New Roman" w:hAnsi="Arial Narrow" w:cs="Arial"/>
                <w:sz w:val="20"/>
                <w:szCs w:val="20"/>
              </w:rPr>
            </w:pPr>
            <w:r w:rsidRPr="00AA21FA">
              <w:rPr>
                <w:rFonts w:ascii="Arial Narrow" w:eastAsia="Times New Roman" w:hAnsi="Arial Narrow" w:cs="Arial"/>
                <w:sz w:val="20"/>
                <w:szCs w:val="20"/>
              </w:rPr>
              <w:t>Change Due to Adjustment in Agency Estimate</w:t>
            </w:r>
          </w:p>
        </w:tc>
        <w:tc>
          <w:tcPr>
            <w:tcW w:w="624" w:type="pct"/>
            <w:tcBorders>
              <w:top w:val="single" w:sz="4" w:space="0" w:color="auto"/>
              <w:left w:val="nil"/>
              <w:bottom w:val="single" w:sz="4" w:space="0" w:color="auto"/>
              <w:right w:val="nil"/>
            </w:tcBorders>
            <w:shd w:val="clear" w:color="auto" w:fill="auto"/>
            <w:hideMark/>
          </w:tcPr>
          <w:p w:rsidR="00AA21FA" w:rsidRPr="00AA21FA" w:rsidRDefault="00AA21FA" w:rsidP="00AA21FA">
            <w:pPr>
              <w:keepNext/>
              <w:keepLines/>
              <w:widowControl w:val="0"/>
              <w:jc w:val="center"/>
              <w:rPr>
                <w:rFonts w:ascii="Arial Narrow" w:eastAsia="Times New Roman" w:hAnsi="Arial Narrow" w:cs="Arial"/>
                <w:sz w:val="20"/>
                <w:szCs w:val="20"/>
              </w:rPr>
            </w:pPr>
            <w:r w:rsidRPr="00AA21FA">
              <w:rPr>
                <w:rFonts w:ascii="Arial Narrow" w:eastAsia="Times New Roman" w:hAnsi="Arial Narrow" w:cs="Arial"/>
                <w:sz w:val="20"/>
                <w:szCs w:val="20"/>
              </w:rPr>
              <w:t>Change Due to Potential Violation of the PRA</w:t>
            </w:r>
          </w:p>
        </w:tc>
        <w:tc>
          <w:tcPr>
            <w:tcW w:w="596" w:type="pct"/>
            <w:tcBorders>
              <w:top w:val="single" w:sz="4" w:space="0" w:color="auto"/>
              <w:left w:val="nil"/>
              <w:bottom w:val="single" w:sz="4" w:space="0" w:color="auto"/>
              <w:right w:val="single" w:sz="4" w:space="0" w:color="auto"/>
            </w:tcBorders>
            <w:shd w:val="clear" w:color="auto" w:fill="auto"/>
            <w:hideMark/>
          </w:tcPr>
          <w:p w:rsidR="00AA21FA" w:rsidRPr="00AA21FA" w:rsidRDefault="00AA21FA" w:rsidP="00AA21FA">
            <w:pPr>
              <w:keepNext/>
              <w:keepLines/>
              <w:widowControl w:val="0"/>
              <w:jc w:val="center"/>
              <w:rPr>
                <w:rFonts w:ascii="Arial Narrow" w:eastAsia="Times New Roman" w:hAnsi="Arial Narrow" w:cs="Arial"/>
                <w:sz w:val="20"/>
                <w:szCs w:val="20"/>
              </w:rPr>
            </w:pPr>
            <w:r w:rsidRPr="00AA21FA">
              <w:rPr>
                <w:rFonts w:ascii="Arial Narrow" w:eastAsia="Times New Roman" w:hAnsi="Arial Narrow" w:cs="Arial"/>
                <w:sz w:val="20"/>
                <w:szCs w:val="20"/>
              </w:rPr>
              <w:t>Previously Approved</w:t>
            </w:r>
          </w:p>
        </w:tc>
      </w:tr>
      <w:tr w:rsidR="00234969" w:rsidRPr="00AA21FA" w:rsidTr="00234969">
        <w:trPr>
          <w:trHeight w:val="264"/>
        </w:trPr>
        <w:tc>
          <w:tcPr>
            <w:tcW w:w="122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sz w:val="20"/>
                <w:szCs w:val="20"/>
              </w:rPr>
            </w:pPr>
            <w:r w:rsidRPr="00AA21FA">
              <w:rPr>
                <w:rFonts w:ascii="Arial Narrow" w:eastAsia="Times New Roman" w:hAnsi="Arial Narrow" w:cs="Arial"/>
                <w:sz w:val="20"/>
                <w:szCs w:val="20"/>
              </w:rPr>
              <w:t>Annual Number of Responses for this IC</w:t>
            </w:r>
          </w:p>
        </w:tc>
        <w:tc>
          <w:tcPr>
            <w:tcW w:w="797" w:type="pct"/>
            <w:tcBorders>
              <w:top w:val="nil"/>
              <w:left w:val="single" w:sz="4" w:space="0" w:color="auto"/>
              <w:bottom w:val="nil"/>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r w:rsidRPr="00AA21FA">
              <w:rPr>
                <w:rFonts w:ascii="Arial Narrow" w:eastAsia="Times New Roman" w:hAnsi="Arial Narrow" w:cs="Arial"/>
                <w:sz w:val="20"/>
                <w:szCs w:val="20"/>
              </w:rPr>
              <w:t>833,000</w:t>
            </w:r>
          </w:p>
        </w:tc>
        <w:tc>
          <w:tcPr>
            <w:tcW w:w="581"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r w:rsidRPr="00AA21FA">
              <w:rPr>
                <w:rFonts w:ascii="Arial Narrow" w:eastAsia="Times New Roman" w:hAnsi="Arial Narrow" w:cs="Arial"/>
                <w:sz w:val="20"/>
                <w:szCs w:val="20"/>
              </w:rPr>
              <w:t>0</w:t>
            </w:r>
          </w:p>
        </w:tc>
        <w:tc>
          <w:tcPr>
            <w:tcW w:w="602"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sz w:val="20"/>
                <w:szCs w:val="20"/>
              </w:rPr>
            </w:pPr>
            <w:r w:rsidRPr="00AA21FA">
              <w:rPr>
                <w:rFonts w:ascii="Arial Narrow" w:eastAsia="Times New Roman" w:hAnsi="Arial Narrow" w:cs="Arial"/>
                <w:sz w:val="20"/>
                <w:szCs w:val="20"/>
              </w:rPr>
              <w:t> </w:t>
            </w:r>
          </w:p>
        </w:tc>
        <w:tc>
          <w:tcPr>
            <w:tcW w:w="57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r w:rsidRPr="00AA21FA">
              <w:rPr>
                <w:rFonts w:ascii="Arial Narrow" w:eastAsia="Times New Roman" w:hAnsi="Arial Narrow" w:cs="Arial"/>
                <w:sz w:val="20"/>
                <w:szCs w:val="20"/>
              </w:rPr>
              <w:t>5,000</w:t>
            </w:r>
          </w:p>
        </w:tc>
        <w:tc>
          <w:tcPr>
            <w:tcW w:w="62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r w:rsidRPr="00AA21FA">
              <w:rPr>
                <w:rFonts w:ascii="Arial Narrow" w:eastAsia="Times New Roman" w:hAnsi="Arial Narrow" w:cs="Arial"/>
                <w:sz w:val="20"/>
                <w:szCs w:val="20"/>
              </w:rPr>
              <w:t>0</w:t>
            </w:r>
          </w:p>
        </w:tc>
        <w:tc>
          <w:tcPr>
            <w:tcW w:w="596" w:type="pct"/>
            <w:tcBorders>
              <w:top w:val="nil"/>
              <w:left w:val="single" w:sz="4" w:space="0" w:color="auto"/>
              <w:bottom w:val="nil"/>
              <w:right w:val="single" w:sz="4" w:space="0" w:color="auto"/>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r w:rsidRPr="00AA21FA">
              <w:rPr>
                <w:rFonts w:ascii="Arial Narrow" w:eastAsia="Times New Roman" w:hAnsi="Arial Narrow" w:cs="Arial"/>
                <w:sz w:val="20"/>
                <w:szCs w:val="20"/>
              </w:rPr>
              <w:t>828,000</w:t>
            </w:r>
          </w:p>
        </w:tc>
      </w:tr>
      <w:tr w:rsidR="00234969" w:rsidRPr="00AA21FA" w:rsidTr="00234969">
        <w:trPr>
          <w:trHeight w:val="264"/>
        </w:trPr>
        <w:tc>
          <w:tcPr>
            <w:tcW w:w="122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sz w:val="20"/>
                <w:szCs w:val="20"/>
              </w:rPr>
            </w:pPr>
            <w:r w:rsidRPr="00AA21FA">
              <w:rPr>
                <w:rFonts w:ascii="Arial Narrow" w:eastAsia="Times New Roman" w:hAnsi="Arial Narrow" w:cs="Arial"/>
                <w:sz w:val="20"/>
                <w:szCs w:val="20"/>
              </w:rPr>
              <w:t>Annual IC Time Burden (Hours)</w:t>
            </w:r>
          </w:p>
        </w:tc>
        <w:tc>
          <w:tcPr>
            <w:tcW w:w="797" w:type="pct"/>
            <w:tcBorders>
              <w:top w:val="nil"/>
              <w:left w:val="single" w:sz="4" w:space="0" w:color="auto"/>
              <w:bottom w:val="nil"/>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r w:rsidRPr="00AA21FA">
              <w:rPr>
                <w:rFonts w:ascii="Arial Narrow" w:eastAsia="Times New Roman" w:hAnsi="Arial Narrow" w:cs="Arial"/>
                <w:sz w:val="20"/>
                <w:szCs w:val="20"/>
              </w:rPr>
              <w:t>339,000</w:t>
            </w:r>
          </w:p>
        </w:tc>
        <w:tc>
          <w:tcPr>
            <w:tcW w:w="581"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r w:rsidRPr="00AA21FA">
              <w:rPr>
                <w:rFonts w:ascii="Arial Narrow" w:eastAsia="Times New Roman" w:hAnsi="Arial Narrow" w:cs="Arial"/>
                <w:sz w:val="20"/>
                <w:szCs w:val="20"/>
              </w:rPr>
              <w:t>0</w:t>
            </w:r>
          </w:p>
        </w:tc>
        <w:tc>
          <w:tcPr>
            <w:tcW w:w="602"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p>
        </w:tc>
        <w:tc>
          <w:tcPr>
            <w:tcW w:w="57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r w:rsidRPr="00AA21FA">
              <w:rPr>
                <w:rFonts w:ascii="Arial Narrow" w:eastAsia="Times New Roman" w:hAnsi="Arial Narrow" w:cs="Arial"/>
                <w:sz w:val="20"/>
                <w:szCs w:val="20"/>
              </w:rPr>
              <w:t>1,000</w:t>
            </w:r>
          </w:p>
        </w:tc>
        <w:tc>
          <w:tcPr>
            <w:tcW w:w="62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r w:rsidRPr="00AA21FA">
              <w:rPr>
                <w:rFonts w:ascii="Arial Narrow" w:eastAsia="Times New Roman" w:hAnsi="Arial Narrow" w:cs="Arial"/>
                <w:sz w:val="20"/>
                <w:szCs w:val="20"/>
              </w:rPr>
              <w:t>0</w:t>
            </w:r>
          </w:p>
        </w:tc>
        <w:tc>
          <w:tcPr>
            <w:tcW w:w="596" w:type="pct"/>
            <w:tcBorders>
              <w:top w:val="nil"/>
              <w:left w:val="single" w:sz="4" w:space="0" w:color="auto"/>
              <w:bottom w:val="nil"/>
              <w:right w:val="single" w:sz="4" w:space="0" w:color="auto"/>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r w:rsidRPr="00AA21FA">
              <w:rPr>
                <w:rFonts w:ascii="Arial Narrow" w:eastAsia="Times New Roman" w:hAnsi="Arial Narrow" w:cs="Arial"/>
                <w:sz w:val="20"/>
                <w:szCs w:val="20"/>
              </w:rPr>
              <w:t>338,000</w:t>
            </w:r>
          </w:p>
        </w:tc>
      </w:tr>
      <w:tr w:rsidR="00234969" w:rsidRPr="00AA21FA" w:rsidTr="00234969">
        <w:trPr>
          <w:trHeight w:val="264"/>
        </w:trPr>
        <w:tc>
          <w:tcPr>
            <w:tcW w:w="122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sz w:val="20"/>
                <w:szCs w:val="20"/>
              </w:rPr>
            </w:pPr>
            <w:r w:rsidRPr="00AA21FA">
              <w:rPr>
                <w:rFonts w:ascii="Arial Narrow" w:eastAsia="Times New Roman" w:hAnsi="Arial Narrow" w:cs="Arial"/>
                <w:sz w:val="20"/>
                <w:szCs w:val="20"/>
              </w:rPr>
              <w:t>Annual IC Cost Burden (Dollars)</w:t>
            </w:r>
          </w:p>
        </w:tc>
        <w:tc>
          <w:tcPr>
            <w:tcW w:w="797" w:type="pct"/>
            <w:tcBorders>
              <w:top w:val="nil"/>
              <w:left w:val="single" w:sz="4" w:space="0" w:color="auto"/>
              <w:bottom w:val="single" w:sz="4" w:space="0" w:color="auto"/>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r w:rsidRPr="00AA21FA">
              <w:rPr>
                <w:rFonts w:ascii="Arial Narrow" w:eastAsia="Times New Roman" w:hAnsi="Arial Narrow" w:cs="Arial"/>
                <w:sz w:val="20"/>
                <w:szCs w:val="20"/>
              </w:rPr>
              <w:t>132,661,000</w:t>
            </w:r>
          </w:p>
        </w:tc>
        <w:tc>
          <w:tcPr>
            <w:tcW w:w="581" w:type="pct"/>
            <w:tcBorders>
              <w:top w:val="nil"/>
              <w:left w:val="nil"/>
              <w:bottom w:val="single" w:sz="4" w:space="0" w:color="auto"/>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r w:rsidRPr="00AA21FA">
              <w:rPr>
                <w:rFonts w:ascii="Arial Narrow" w:eastAsia="Times New Roman" w:hAnsi="Arial Narrow" w:cs="Arial"/>
                <w:sz w:val="20"/>
                <w:szCs w:val="20"/>
              </w:rPr>
              <w:t>0</w:t>
            </w:r>
          </w:p>
        </w:tc>
        <w:tc>
          <w:tcPr>
            <w:tcW w:w="602" w:type="pct"/>
            <w:tcBorders>
              <w:top w:val="nil"/>
              <w:left w:val="nil"/>
              <w:bottom w:val="single" w:sz="4" w:space="0" w:color="auto"/>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sz w:val="20"/>
                <w:szCs w:val="20"/>
              </w:rPr>
            </w:pPr>
            <w:r w:rsidRPr="00AA21FA">
              <w:rPr>
                <w:rFonts w:ascii="Arial Narrow" w:eastAsia="Times New Roman" w:hAnsi="Arial Narrow" w:cs="Arial"/>
                <w:sz w:val="20"/>
                <w:szCs w:val="20"/>
              </w:rPr>
              <w:t> </w:t>
            </w:r>
          </w:p>
        </w:tc>
        <w:tc>
          <w:tcPr>
            <w:tcW w:w="574" w:type="pct"/>
            <w:tcBorders>
              <w:top w:val="nil"/>
              <w:left w:val="nil"/>
              <w:bottom w:val="single" w:sz="4" w:space="0" w:color="auto"/>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r w:rsidRPr="00AA21FA">
              <w:rPr>
                <w:rFonts w:ascii="Arial Narrow" w:eastAsia="Times New Roman" w:hAnsi="Arial Narrow" w:cs="Arial"/>
                <w:sz w:val="20"/>
                <w:szCs w:val="20"/>
              </w:rPr>
              <w:t>-4,468,000</w:t>
            </w:r>
          </w:p>
        </w:tc>
        <w:tc>
          <w:tcPr>
            <w:tcW w:w="624" w:type="pct"/>
            <w:tcBorders>
              <w:top w:val="nil"/>
              <w:left w:val="nil"/>
              <w:bottom w:val="single" w:sz="4" w:space="0" w:color="auto"/>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r w:rsidRPr="00AA21FA">
              <w:rPr>
                <w:rFonts w:ascii="Arial Narrow" w:eastAsia="Times New Roman" w:hAnsi="Arial Narrow" w:cs="Arial"/>
                <w:sz w:val="20"/>
                <w:szCs w:val="20"/>
              </w:rPr>
              <w:t>0</w:t>
            </w:r>
          </w:p>
        </w:tc>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r w:rsidRPr="00AA21FA">
              <w:rPr>
                <w:rFonts w:ascii="Arial Narrow" w:eastAsia="Times New Roman" w:hAnsi="Arial Narrow" w:cs="Arial"/>
                <w:sz w:val="20"/>
                <w:szCs w:val="20"/>
              </w:rPr>
              <w:t>137,129,000</w:t>
            </w:r>
          </w:p>
        </w:tc>
      </w:tr>
      <w:tr w:rsidR="00234969" w:rsidRPr="00AA21FA" w:rsidTr="00234969">
        <w:trPr>
          <w:trHeight w:val="264"/>
        </w:trPr>
        <w:tc>
          <w:tcPr>
            <w:tcW w:w="122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jc w:val="right"/>
              <w:rPr>
                <w:rFonts w:ascii="Arial Narrow" w:eastAsia="Times New Roman" w:hAnsi="Arial Narrow" w:cs="Arial"/>
                <w:sz w:val="20"/>
                <w:szCs w:val="20"/>
              </w:rPr>
            </w:pPr>
          </w:p>
        </w:tc>
        <w:tc>
          <w:tcPr>
            <w:tcW w:w="797"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sz w:val="20"/>
                <w:szCs w:val="20"/>
              </w:rPr>
            </w:pPr>
            <w:r w:rsidRPr="00AA21FA">
              <w:rPr>
                <w:rFonts w:ascii="Arial Narrow" w:eastAsia="Times New Roman" w:hAnsi="Arial Narrow" w:cs="Arial"/>
                <w:sz w:val="20"/>
                <w:szCs w:val="20"/>
              </w:rPr>
              <w:t>.</w:t>
            </w:r>
          </w:p>
        </w:tc>
        <w:tc>
          <w:tcPr>
            <w:tcW w:w="581"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sz w:val="20"/>
                <w:szCs w:val="20"/>
              </w:rPr>
            </w:pPr>
          </w:p>
        </w:tc>
        <w:tc>
          <w:tcPr>
            <w:tcW w:w="602"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7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62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9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r>
      <w:tr w:rsidR="00AA21FA" w:rsidRPr="00AA21FA" w:rsidTr="00234969">
        <w:trPr>
          <w:trHeight w:val="1185"/>
        </w:trPr>
        <w:tc>
          <w:tcPr>
            <w:tcW w:w="122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sz w:val="20"/>
                <w:szCs w:val="20"/>
              </w:rPr>
            </w:pPr>
            <w:r w:rsidRPr="00AA21FA">
              <w:rPr>
                <w:rFonts w:ascii="Arial Narrow" w:eastAsia="Times New Roman" w:hAnsi="Arial Narrow" w:cs="Arial"/>
                <w:sz w:val="20"/>
                <w:szCs w:val="20"/>
              </w:rPr>
              <w:t>Short Statement</w:t>
            </w:r>
          </w:p>
        </w:tc>
        <w:tc>
          <w:tcPr>
            <w:tcW w:w="3774" w:type="pct"/>
            <w:gridSpan w:val="6"/>
            <w:tcBorders>
              <w:top w:val="nil"/>
              <w:left w:val="nil"/>
              <w:bottom w:val="nil"/>
              <w:right w:val="nil"/>
            </w:tcBorders>
            <w:shd w:val="clear" w:color="000000" w:fill="FFFF00"/>
            <w:vAlign w:val="bottom"/>
            <w:hideMark/>
          </w:tcPr>
          <w:p w:rsidR="00AA21FA" w:rsidRPr="00AA21FA" w:rsidRDefault="00AA21FA" w:rsidP="00AA21FA">
            <w:pPr>
              <w:keepNext/>
              <w:keepLines/>
              <w:widowControl w:val="0"/>
              <w:rPr>
                <w:rFonts w:ascii="Arial Narrow" w:eastAsia="Times New Roman" w:hAnsi="Arial Narrow" w:cs="Arial"/>
                <w:sz w:val="20"/>
                <w:szCs w:val="20"/>
              </w:rPr>
            </w:pPr>
            <w:r w:rsidRPr="00AA21FA">
              <w:rPr>
                <w:rFonts w:ascii="Arial Narrow" w:eastAsia="Times New Roman" w:hAnsi="Arial Narrow" w:cs="Arial"/>
                <w:sz w:val="20"/>
                <w:szCs w:val="20"/>
              </w:rPr>
              <w:t>The number of filings increased, while the wage rate decreased slightly.  The wage rate adjustment results from changes to the Department of Labor's methodology for calculating overhead.  The net effect of the increase in the number of filings and the decrease in wage rates is a slight increase in the hour burden and a slight decrease in the cost burden.</w:t>
            </w:r>
          </w:p>
        </w:tc>
      </w:tr>
      <w:tr w:rsidR="00AA21FA" w:rsidRPr="00AA21FA" w:rsidTr="00234969">
        <w:trPr>
          <w:trHeight w:val="285"/>
        </w:trPr>
        <w:tc>
          <w:tcPr>
            <w:tcW w:w="122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sz w:val="20"/>
                <w:szCs w:val="20"/>
              </w:rPr>
            </w:pPr>
          </w:p>
        </w:tc>
        <w:tc>
          <w:tcPr>
            <w:tcW w:w="3774" w:type="pct"/>
            <w:gridSpan w:val="6"/>
            <w:tcBorders>
              <w:top w:val="nil"/>
              <w:left w:val="nil"/>
              <w:bottom w:val="nil"/>
              <w:right w:val="nil"/>
            </w:tcBorders>
            <w:shd w:val="clear" w:color="auto" w:fill="auto"/>
            <w:vAlign w:val="bottom"/>
            <w:hideMark/>
          </w:tcPr>
          <w:p w:rsidR="00AA21FA" w:rsidRPr="00AA21FA" w:rsidRDefault="00AA21FA" w:rsidP="00AA21FA">
            <w:pPr>
              <w:keepNext/>
              <w:keepLines/>
              <w:widowControl w:val="0"/>
              <w:rPr>
                <w:rFonts w:ascii="Arial Narrow" w:eastAsia="Times New Roman" w:hAnsi="Arial Narrow"/>
                <w:sz w:val="20"/>
                <w:szCs w:val="20"/>
              </w:rPr>
            </w:pPr>
          </w:p>
        </w:tc>
      </w:tr>
      <w:tr w:rsidR="00234969" w:rsidRPr="00AA21FA" w:rsidTr="00234969">
        <w:trPr>
          <w:trHeight w:val="264"/>
        </w:trPr>
        <w:tc>
          <w:tcPr>
            <w:tcW w:w="122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797"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81"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602"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7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62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9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r>
      <w:tr w:rsidR="00234969" w:rsidRPr="00AA21FA" w:rsidTr="00234969">
        <w:trPr>
          <w:trHeight w:val="264"/>
        </w:trPr>
        <w:tc>
          <w:tcPr>
            <w:tcW w:w="122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sz w:val="20"/>
                <w:szCs w:val="20"/>
              </w:rPr>
            </w:pPr>
            <w:r w:rsidRPr="00AA21FA">
              <w:rPr>
                <w:rFonts w:ascii="Arial Narrow" w:eastAsia="Times New Roman" w:hAnsi="Arial Narrow" w:cs="Arial"/>
                <w:sz w:val="20"/>
                <w:szCs w:val="20"/>
              </w:rPr>
              <w:t>Annual Cost to Federal Government</w:t>
            </w:r>
          </w:p>
        </w:tc>
        <w:tc>
          <w:tcPr>
            <w:tcW w:w="797"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sz w:val="20"/>
                <w:szCs w:val="20"/>
              </w:rPr>
            </w:pPr>
          </w:p>
        </w:tc>
        <w:tc>
          <w:tcPr>
            <w:tcW w:w="581"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602"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7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624"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c>
          <w:tcPr>
            <w:tcW w:w="596" w:type="pct"/>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sz w:val="20"/>
                <w:szCs w:val="20"/>
              </w:rPr>
            </w:pPr>
          </w:p>
        </w:tc>
      </w:tr>
      <w:tr w:rsidR="00AA21FA" w:rsidRPr="00AA21FA" w:rsidTr="00234969">
        <w:trPr>
          <w:trHeight w:val="264"/>
        </w:trPr>
        <w:tc>
          <w:tcPr>
            <w:tcW w:w="3206" w:type="pct"/>
            <w:gridSpan w:val="4"/>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sz w:val="20"/>
                <w:szCs w:val="20"/>
              </w:rPr>
            </w:pPr>
            <w:r w:rsidRPr="00AA21FA">
              <w:rPr>
                <w:rFonts w:ascii="Arial Narrow" w:eastAsia="Times New Roman" w:hAnsi="Arial Narrow" w:cs="Arial"/>
                <w:sz w:val="20"/>
                <w:szCs w:val="20"/>
              </w:rPr>
              <w:t>THIS DOCUMENT IS RELATED TO THE FORM 5500 NOTICE AND NOTICE OF RULEMAKING</w:t>
            </w:r>
          </w:p>
        </w:tc>
        <w:tc>
          <w:tcPr>
            <w:tcW w:w="1794" w:type="pct"/>
            <w:gridSpan w:val="3"/>
            <w:tcBorders>
              <w:top w:val="nil"/>
              <w:left w:val="nil"/>
              <w:bottom w:val="nil"/>
              <w:right w:val="nil"/>
            </w:tcBorders>
            <w:shd w:val="clear" w:color="auto" w:fill="auto"/>
            <w:noWrap/>
            <w:vAlign w:val="bottom"/>
            <w:hideMark/>
          </w:tcPr>
          <w:p w:rsidR="00AA21FA" w:rsidRPr="00AA21FA" w:rsidRDefault="00AA21FA" w:rsidP="00AA21FA">
            <w:pPr>
              <w:keepNext/>
              <w:keepLines/>
              <w:widowControl w:val="0"/>
              <w:rPr>
                <w:rFonts w:ascii="Arial Narrow" w:eastAsia="Times New Roman" w:hAnsi="Arial Narrow" w:cs="Arial"/>
                <w:sz w:val="20"/>
                <w:szCs w:val="20"/>
              </w:rPr>
            </w:pPr>
            <w:r w:rsidRPr="00AA21FA">
              <w:rPr>
                <w:rFonts w:ascii="Arial Narrow" w:eastAsia="Times New Roman" w:hAnsi="Arial Narrow" w:cs="Arial"/>
                <w:sz w:val="20"/>
                <w:szCs w:val="20"/>
              </w:rPr>
              <w:t>(RULE: RIN: 1210-AB06, OMB Ref #: 1210-A135)</w:t>
            </w:r>
          </w:p>
        </w:tc>
      </w:tr>
    </w:tbl>
    <w:p w:rsidR="00192AFE" w:rsidRDefault="00192AFE"/>
    <w:sectPr w:rsidR="00192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742A"/>
    <w:multiLevelType w:val="hybridMultilevel"/>
    <w:tmpl w:val="929AC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AFE"/>
    <w:rsid w:val="000B3736"/>
    <w:rsid w:val="00192AFE"/>
    <w:rsid w:val="001A0BBB"/>
    <w:rsid w:val="00234969"/>
    <w:rsid w:val="002A1A94"/>
    <w:rsid w:val="00323A29"/>
    <w:rsid w:val="0035552C"/>
    <w:rsid w:val="00424FBF"/>
    <w:rsid w:val="004B7027"/>
    <w:rsid w:val="005F4CD2"/>
    <w:rsid w:val="0070317A"/>
    <w:rsid w:val="007C1E1F"/>
    <w:rsid w:val="00A57466"/>
    <w:rsid w:val="00AA21FA"/>
    <w:rsid w:val="00BC0A6E"/>
    <w:rsid w:val="00C56CEE"/>
    <w:rsid w:val="00C950C4"/>
    <w:rsid w:val="00CA48FE"/>
    <w:rsid w:val="00E85C09"/>
    <w:rsid w:val="00F33968"/>
    <w:rsid w:val="00FA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AFE"/>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AFE"/>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0950">
      <w:bodyDiv w:val="1"/>
      <w:marLeft w:val="0"/>
      <w:marRight w:val="0"/>
      <w:marTop w:val="0"/>
      <w:marBottom w:val="0"/>
      <w:divBdr>
        <w:top w:val="none" w:sz="0" w:space="0" w:color="auto"/>
        <w:left w:val="none" w:sz="0" w:space="0" w:color="auto"/>
        <w:bottom w:val="none" w:sz="0" w:space="0" w:color="auto"/>
        <w:right w:val="none" w:sz="0" w:space="0" w:color="auto"/>
      </w:divBdr>
    </w:div>
    <w:div w:id="274408579">
      <w:bodyDiv w:val="1"/>
      <w:marLeft w:val="0"/>
      <w:marRight w:val="0"/>
      <w:marTop w:val="0"/>
      <w:marBottom w:val="0"/>
      <w:divBdr>
        <w:top w:val="none" w:sz="0" w:space="0" w:color="auto"/>
        <w:left w:val="none" w:sz="0" w:space="0" w:color="auto"/>
        <w:bottom w:val="none" w:sz="0" w:space="0" w:color="auto"/>
        <w:right w:val="none" w:sz="0" w:space="0" w:color="auto"/>
      </w:divBdr>
    </w:div>
    <w:div w:id="606154317">
      <w:bodyDiv w:val="1"/>
      <w:marLeft w:val="0"/>
      <w:marRight w:val="0"/>
      <w:marTop w:val="0"/>
      <w:marBottom w:val="0"/>
      <w:divBdr>
        <w:top w:val="none" w:sz="0" w:space="0" w:color="auto"/>
        <w:left w:val="none" w:sz="0" w:space="0" w:color="auto"/>
        <w:bottom w:val="none" w:sz="0" w:space="0" w:color="auto"/>
        <w:right w:val="none" w:sz="0" w:space="0" w:color="auto"/>
      </w:divBdr>
    </w:div>
    <w:div w:id="112931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Larson</dc:creator>
  <cp:lastModifiedBy>SYSTEM</cp:lastModifiedBy>
  <cp:revision>2</cp:revision>
  <dcterms:created xsi:type="dcterms:W3CDTF">2018-03-29T20:05:00Z</dcterms:created>
  <dcterms:modified xsi:type="dcterms:W3CDTF">2018-03-29T20:05:00Z</dcterms:modified>
</cp:coreProperties>
</file>