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B8658" w14:textId="77777777" w:rsidR="0076518F" w:rsidRDefault="0076518F">
      <w:bookmarkStart w:id="0" w:name="_GoBack"/>
      <w:bookmarkEnd w:id="0"/>
    </w:p>
    <w:tbl>
      <w:tblPr>
        <w:tblStyle w:val="TableGrid"/>
        <w:tblW w:w="13186" w:type="dxa"/>
        <w:tblLayout w:type="fixed"/>
        <w:tblLook w:val="04A0" w:firstRow="1" w:lastRow="0" w:firstColumn="1" w:lastColumn="0" w:noHBand="0" w:noVBand="1"/>
      </w:tblPr>
      <w:tblGrid>
        <w:gridCol w:w="1368"/>
        <w:gridCol w:w="5958"/>
        <w:gridCol w:w="5860"/>
      </w:tblGrid>
      <w:tr w:rsidR="009D4264" w14:paraId="5DBB865C" w14:textId="77777777" w:rsidTr="009D4264">
        <w:trPr>
          <w:tblHeader/>
        </w:trPr>
        <w:tc>
          <w:tcPr>
            <w:tcW w:w="1368" w:type="dxa"/>
            <w:shd w:val="clear" w:color="auto" w:fill="B8CCE4" w:themeFill="accent1" w:themeFillTint="66"/>
          </w:tcPr>
          <w:p w14:paraId="5DBB8659" w14:textId="2714AD02" w:rsidR="00F12074" w:rsidRPr="00DE6572" w:rsidRDefault="00171E13" w:rsidP="00440720">
            <w:pPr>
              <w:jc w:val="center"/>
              <w:rPr>
                <w:b/>
              </w:rPr>
            </w:pPr>
            <w:r>
              <w:rPr>
                <w:b/>
              </w:rPr>
              <w:t>Comment #</w:t>
            </w:r>
          </w:p>
        </w:tc>
        <w:tc>
          <w:tcPr>
            <w:tcW w:w="5958" w:type="dxa"/>
            <w:shd w:val="clear" w:color="auto" w:fill="B8CCE4" w:themeFill="accent1" w:themeFillTint="66"/>
          </w:tcPr>
          <w:p w14:paraId="5DBB865A" w14:textId="07FFCC08" w:rsidR="00F12074" w:rsidRPr="00F12074" w:rsidRDefault="00171E13">
            <w:pPr>
              <w:rPr>
                <w:b/>
              </w:rPr>
            </w:pPr>
            <w:r>
              <w:rPr>
                <w:b/>
              </w:rPr>
              <w:t xml:space="preserve">Public </w:t>
            </w:r>
            <w:r w:rsidR="00F12074" w:rsidRPr="00F12074">
              <w:rPr>
                <w:b/>
              </w:rPr>
              <w:t>Comment</w:t>
            </w:r>
            <w:r>
              <w:rPr>
                <w:b/>
              </w:rPr>
              <w:t>s</w:t>
            </w:r>
          </w:p>
        </w:tc>
        <w:tc>
          <w:tcPr>
            <w:tcW w:w="5860" w:type="dxa"/>
            <w:shd w:val="clear" w:color="auto" w:fill="B8CCE4" w:themeFill="accent1" w:themeFillTint="66"/>
          </w:tcPr>
          <w:p w14:paraId="5DBB865B" w14:textId="77777777" w:rsidR="00F12074" w:rsidRPr="00F12074" w:rsidRDefault="00F12074">
            <w:pPr>
              <w:rPr>
                <w:b/>
              </w:rPr>
            </w:pPr>
            <w:r w:rsidRPr="00F12074">
              <w:rPr>
                <w:b/>
              </w:rPr>
              <w:t>USCIS Response</w:t>
            </w:r>
          </w:p>
        </w:tc>
      </w:tr>
      <w:tr w:rsidR="009D4264" w14:paraId="366F08DB" w14:textId="77777777" w:rsidTr="009D4264">
        <w:tc>
          <w:tcPr>
            <w:tcW w:w="1368" w:type="dxa"/>
            <w:shd w:val="clear" w:color="auto" w:fill="D9D9D9" w:themeFill="background1" w:themeFillShade="D9"/>
          </w:tcPr>
          <w:p w14:paraId="59A94E63" w14:textId="6E985711" w:rsidR="00171E13" w:rsidRPr="00DE6572" w:rsidRDefault="00171E13" w:rsidP="00440720">
            <w:pPr>
              <w:jc w:val="center"/>
              <w:rPr>
                <w:b/>
              </w:rPr>
            </w:pPr>
            <w:r>
              <w:rPr>
                <w:b/>
              </w:rPr>
              <w:t>Comment 1.</w:t>
            </w:r>
            <w:r w:rsidR="009D4264">
              <w:rPr>
                <w:b/>
              </w:rPr>
              <w:t xml:space="preserve"> With 14 Recommendations</w:t>
            </w:r>
          </w:p>
        </w:tc>
        <w:tc>
          <w:tcPr>
            <w:tcW w:w="5958" w:type="dxa"/>
            <w:shd w:val="clear" w:color="auto" w:fill="D9D9D9" w:themeFill="background1" w:themeFillShade="D9"/>
          </w:tcPr>
          <w:p w14:paraId="4F310FEB" w14:textId="7AE37528" w:rsidR="00171E13" w:rsidRPr="003328B7" w:rsidRDefault="00171E13" w:rsidP="00C2360B">
            <w:pPr>
              <w:tabs>
                <w:tab w:val="left" w:pos="1603"/>
              </w:tabs>
              <w:rPr>
                <w:b/>
              </w:rPr>
            </w:pPr>
            <w:r>
              <w:rPr>
                <w:b/>
              </w:rPr>
              <w:t xml:space="preserve">Commenter: </w:t>
            </w:r>
            <w:r w:rsidR="00C2360B" w:rsidRPr="00C2360B">
              <w:rPr>
                <w:b/>
              </w:rPr>
              <w:t>Paul Stern, The American Immigration Lawyers Association</w:t>
            </w:r>
          </w:p>
        </w:tc>
        <w:tc>
          <w:tcPr>
            <w:tcW w:w="5860" w:type="dxa"/>
            <w:shd w:val="clear" w:color="auto" w:fill="D9D9D9" w:themeFill="background1" w:themeFillShade="D9"/>
          </w:tcPr>
          <w:p w14:paraId="283C900D" w14:textId="77777777" w:rsidR="00171E13" w:rsidRPr="00F12074" w:rsidRDefault="00171E13" w:rsidP="00F12074">
            <w:pPr>
              <w:rPr>
                <w:b/>
              </w:rPr>
            </w:pPr>
          </w:p>
        </w:tc>
      </w:tr>
      <w:tr w:rsidR="009D4264" w14:paraId="5DBB8667" w14:textId="77777777" w:rsidTr="009D4264">
        <w:tc>
          <w:tcPr>
            <w:tcW w:w="1368" w:type="dxa"/>
          </w:tcPr>
          <w:p w14:paraId="5DBB865D" w14:textId="7F333C53" w:rsidR="00F12074" w:rsidRPr="00DE6572" w:rsidRDefault="00440720" w:rsidP="00440720">
            <w:pPr>
              <w:jc w:val="center"/>
              <w:rPr>
                <w:b/>
              </w:rPr>
            </w:pPr>
            <w:r>
              <w:rPr>
                <w:b/>
              </w:rPr>
              <w:t>1</w:t>
            </w:r>
          </w:p>
        </w:tc>
        <w:tc>
          <w:tcPr>
            <w:tcW w:w="5958" w:type="dxa"/>
          </w:tcPr>
          <w:p w14:paraId="5DBB8665" w14:textId="789529D4" w:rsidR="000E6909" w:rsidRPr="009D4264" w:rsidRDefault="009D4264" w:rsidP="009D4264">
            <w:pPr>
              <w:rPr>
                <w:rFonts w:ascii="Times New Roman" w:hAnsi="Times New Roman" w:cs="Times New Roman"/>
              </w:rPr>
            </w:pPr>
            <w:r w:rsidRPr="009D4264">
              <w:rPr>
                <w:rFonts w:ascii="Times New Roman" w:hAnsi="Times New Roman" w:cs="Times New Roman"/>
              </w:rPr>
              <w:t>AILA recommends that requests for an applicant’s I-94 information and the requirement that the applicant authorize a release of his or her status information should be stricken from the Form I-612 and its instructions as they deem it inappropriate and irrelevant to an adjudication of a §212(e) waiver.</w:t>
            </w:r>
          </w:p>
        </w:tc>
        <w:tc>
          <w:tcPr>
            <w:tcW w:w="5860" w:type="dxa"/>
          </w:tcPr>
          <w:p w14:paraId="5CBDBAC3" w14:textId="1BFF730C" w:rsidR="00F12074" w:rsidRPr="009D4264" w:rsidRDefault="00F12074" w:rsidP="009D4264">
            <w:pPr>
              <w:rPr>
                <w:rFonts w:ascii="Times New Roman" w:hAnsi="Times New Roman" w:cs="Times New Roman"/>
                <w:b/>
              </w:rPr>
            </w:pPr>
            <w:r w:rsidRPr="009D4264">
              <w:rPr>
                <w:rFonts w:ascii="Times New Roman" w:hAnsi="Times New Roman" w:cs="Times New Roman"/>
                <w:b/>
              </w:rPr>
              <w:t>Response:</w:t>
            </w:r>
            <w:r w:rsidR="00BE0FE7" w:rsidRPr="009D4264">
              <w:rPr>
                <w:rFonts w:ascii="Times New Roman" w:hAnsi="Times New Roman" w:cs="Times New Roman"/>
                <w:b/>
              </w:rPr>
              <w:t xml:space="preserve"> </w:t>
            </w:r>
            <w:r w:rsidR="007F7D85" w:rsidRPr="009D4264">
              <w:rPr>
                <w:rFonts w:ascii="Times New Roman" w:hAnsi="Times New Roman" w:cs="Times New Roman"/>
                <w:b/>
              </w:rPr>
              <w:t xml:space="preserve"> </w:t>
            </w:r>
          </w:p>
          <w:p w14:paraId="38584532" w14:textId="36097AAB" w:rsidR="00BE0FE7" w:rsidRPr="009D4264" w:rsidRDefault="009D4264" w:rsidP="009D4264">
            <w:pPr>
              <w:rPr>
                <w:rFonts w:ascii="Times New Roman" w:hAnsi="Times New Roman" w:cs="Times New Roman"/>
              </w:rPr>
            </w:pPr>
            <w:r w:rsidRPr="009D4264">
              <w:rPr>
                <w:rFonts w:ascii="Times New Roman" w:hAnsi="Times New Roman" w:cs="Times New Roman"/>
                <w:color w:val="000000" w:themeColor="text1"/>
              </w:rPr>
              <w:t xml:space="preserve">We believe there is justification for information collection </w:t>
            </w:r>
            <w:r w:rsidR="004453E4">
              <w:rPr>
                <w:rFonts w:ascii="Times New Roman" w:hAnsi="Times New Roman" w:cs="Times New Roman"/>
                <w:color w:val="000000" w:themeColor="text1"/>
              </w:rPr>
              <w:t>of the</w:t>
            </w:r>
            <w:r w:rsidR="004453E4" w:rsidRPr="009D4264">
              <w:rPr>
                <w:rFonts w:ascii="Times New Roman" w:hAnsi="Times New Roman" w:cs="Times New Roman"/>
                <w:color w:val="000000" w:themeColor="text1"/>
              </w:rPr>
              <w:t xml:space="preserve"> </w:t>
            </w:r>
            <w:r w:rsidRPr="009D4264">
              <w:rPr>
                <w:rFonts w:ascii="Times New Roman" w:hAnsi="Times New Roman" w:cs="Times New Roman"/>
                <w:color w:val="000000" w:themeColor="text1"/>
              </w:rPr>
              <w:t xml:space="preserve">I-94 information. We disagree with AILA that information about an applicant’s immigration status is unnecessary and irrelevant for a 212(e) waiver.  Although the waiver determination, itself, does not confer an immigration status, the entire purpose of the form is </w:t>
            </w:r>
            <w:r w:rsidR="004453E4">
              <w:rPr>
                <w:rFonts w:ascii="Times New Roman" w:hAnsi="Times New Roman" w:cs="Times New Roman"/>
                <w:color w:val="000000" w:themeColor="text1"/>
              </w:rPr>
              <w:t>to have it be</w:t>
            </w:r>
            <w:r w:rsidRPr="009D4264">
              <w:rPr>
                <w:rFonts w:ascii="Times New Roman" w:hAnsi="Times New Roman" w:cs="Times New Roman"/>
                <w:color w:val="000000" w:themeColor="text1"/>
              </w:rPr>
              <w:t xml:space="preserve"> </w:t>
            </w:r>
            <w:r w:rsidR="004453E4">
              <w:rPr>
                <w:rFonts w:ascii="Times New Roman" w:hAnsi="Times New Roman" w:cs="Times New Roman"/>
                <w:color w:val="000000" w:themeColor="text1"/>
              </w:rPr>
              <w:t>the</w:t>
            </w:r>
            <w:r w:rsidRPr="009D4264">
              <w:rPr>
                <w:rFonts w:ascii="Times New Roman" w:hAnsi="Times New Roman" w:cs="Times New Roman"/>
                <w:color w:val="000000" w:themeColor="text1"/>
              </w:rPr>
              <w:t xml:space="preserve"> baseline </w:t>
            </w:r>
            <w:r w:rsidR="004453E4">
              <w:rPr>
                <w:rFonts w:ascii="Times New Roman" w:hAnsi="Times New Roman" w:cs="Times New Roman"/>
                <w:color w:val="000000" w:themeColor="text1"/>
              </w:rPr>
              <w:t>as to whether</w:t>
            </w:r>
            <w:r w:rsidRPr="009D4264">
              <w:rPr>
                <w:rFonts w:ascii="Times New Roman" w:hAnsi="Times New Roman" w:cs="Times New Roman"/>
                <w:color w:val="000000" w:themeColor="text1"/>
              </w:rPr>
              <w:t xml:space="preserve"> an alien is able to </w:t>
            </w:r>
            <w:r w:rsidR="004453E4">
              <w:rPr>
                <w:rFonts w:ascii="Times New Roman" w:hAnsi="Times New Roman" w:cs="Times New Roman"/>
                <w:color w:val="000000" w:themeColor="text1"/>
              </w:rPr>
              <w:t>change</w:t>
            </w:r>
            <w:r w:rsidR="004453E4" w:rsidRPr="009D4264">
              <w:rPr>
                <w:rFonts w:ascii="Times New Roman" w:hAnsi="Times New Roman" w:cs="Times New Roman"/>
                <w:color w:val="000000" w:themeColor="text1"/>
              </w:rPr>
              <w:t xml:space="preserve"> </w:t>
            </w:r>
            <w:r w:rsidRPr="009D4264">
              <w:rPr>
                <w:rFonts w:ascii="Times New Roman" w:hAnsi="Times New Roman" w:cs="Times New Roman"/>
                <w:color w:val="000000" w:themeColor="text1"/>
              </w:rPr>
              <w:t xml:space="preserve">to </w:t>
            </w:r>
            <w:r w:rsidR="004B4CF2">
              <w:rPr>
                <w:rFonts w:ascii="Times New Roman" w:hAnsi="Times New Roman" w:cs="Times New Roman"/>
                <w:color w:val="000000" w:themeColor="text1"/>
              </w:rPr>
              <w:t xml:space="preserve">an </w:t>
            </w:r>
            <w:r w:rsidRPr="009D4264">
              <w:rPr>
                <w:rFonts w:ascii="Times New Roman" w:hAnsi="Times New Roman" w:cs="Times New Roman"/>
                <w:color w:val="000000" w:themeColor="text1"/>
              </w:rPr>
              <w:t xml:space="preserve">H or L </w:t>
            </w:r>
            <w:r w:rsidR="004453E4">
              <w:rPr>
                <w:rFonts w:ascii="Times New Roman" w:hAnsi="Times New Roman" w:cs="Times New Roman"/>
                <w:color w:val="000000" w:themeColor="text1"/>
              </w:rPr>
              <w:t xml:space="preserve">status </w:t>
            </w:r>
            <w:r w:rsidRPr="009D4264">
              <w:rPr>
                <w:rFonts w:ascii="Times New Roman" w:hAnsi="Times New Roman" w:cs="Times New Roman"/>
                <w:color w:val="000000" w:themeColor="text1"/>
              </w:rPr>
              <w:t>and stay in the US instead of leaving.  If there is information that the alien has somehow violated immigration laws, then it is germane to the whole adjudication</w:t>
            </w:r>
            <w:r w:rsidR="004B4CF2">
              <w:rPr>
                <w:rFonts w:ascii="Times New Roman" w:hAnsi="Times New Roman" w:cs="Times New Roman"/>
                <w:color w:val="000000" w:themeColor="text1"/>
              </w:rPr>
              <w:t xml:space="preserve"> of the waiver,</w:t>
            </w:r>
            <w:r w:rsidRPr="009D4264">
              <w:rPr>
                <w:rFonts w:ascii="Times New Roman" w:hAnsi="Times New Roman" w:cs="Times New Roman"/>
                <w:color w:val="000000" w:themeColor="text1"/>
              </w:rPr>
              <w:t xml:space="preserve"> and the applicant should tell us at this stage.  </w:t>
            </w:r>
          </w:p>
          <w:p w14:paraId="416A274C" w14:textId="51A2CD51" w:rsidR="00C26147" w:rsidRPr="009D4264" w:rsidRDefault="00C26147" w:rsidP="009D4264">
            <w:pPr>
              <w:rPr>
                <w:rFonts w:ascii="Times New Roman" w:hAnsi="Times New Roman" w:cs="Times New Roman"/>
              </w:rPr>
            </w:pPr>
          </w:p>
          <w:p w14:paraId="5DBB8666" w14:textId="207257AB" w:rsidR="00C26147" w:rsidRPr="009D4264" w:rsidRDefault="00C26147" w:rsidP="009D4264">
            <w:pPr>
              <w:rPr>
                <w:rFonts w:ascii="Times New Roman" w:hAnsi="Times New Roman" w:cs="Times New Roman"/>
                <w:b/>
              </w:rPr>
            </w:pPr>
          </w:p>
        </w:tc>
      </w:tr>
      <w:tr w:rsidR="009D4264" w14:paraId="74A32023" w14:textId="77777777" w:rsidTr="009D4264">
        <w:tc>
          <w:tcPr>
            <w:tcW w:w="1368" w:type="dxa"/>
          </w:tcPr>
          <w:p w14:paraId="3B16336C" w14:textId="2624ED86" w:rsidR="00665571" w:rsidRPr="00DE6572" w:rsidRDefault="00440720" w:rsidP="00440720">
            <w:pPr>
              <w:jc w:val="center"/>
              <w:rPr>
                <w:b/>
              </w:rPr>
            </w:pPr>
            <w:r>
              <w:rPr>
                <w:b/>
              </w:rPr>
              <w:t>2</w:t>
            </w:r>
          </w:p>
        </w:tc>
        <w:tc>
          <w:tcPr>
            <w:tcW w:w="5958" w:type="dxa"/>
          </w:tcPr>
          <w:p w14:paraId="3563EFAE" w14:textId="77777777" w:rsidR="009D4264" w:rsidRPr="009D4264" w:rsidRDefault="009D4264" w:rsidP="009D4264">
            <w:pPr>
              <w:rPr>
                <w:rFonts w:ascii="Times New Roman" w:hAnsi="Times New Roman"/>
              </w:rPr>
            </w:pPr>
            <w:r w:rsidRPr="009D4264">
              <w:rPr>
                <w:rFonts w:ascii="Times New Roman" w:hAnsi="Times New Roman"/>
              </w:rPr>
              <w:t>AILA recommends that the following language from the “Applicant’s Declaration and Certification” on page 5 of the Form I-612 be stricken— “I furthermore authorize release of information contained in this application, in supporting documents, and in my USCIS records, to other entities and persons where necessary for the administration and enforcement of immigration law” – since applicants are requesting an immigration benefit which does not confer a lawful status</w:t>
            </w:r>
          </w:p>
          <w:p w14:paraId="5DBF9A1D" w14:textId="77777777" w:rsidR="00665571" w:rsidRPr="009D4264" w:rsidRDefault="00665571" w:rsidP="009D4264">
            <w:pPr>
              <w:rPr>
                <w:rFonts w:ascii="Times New Roman" w:hAnsi="Times New Roman" w:cs="Times New Roman"/>
              </w:rPr>
            </w:pPr>
          </w:p>
        </w:tc>
        <w:tc>
          <w:tcPr>
            <w:tcW w:w="5860" w:type="dxa"/>
          </w:tcPr>
          <w:p w14:paraId="1A88293F" w14:textId="3767A7DD" w:rsidR="00665571" w:rsidRPr="009D4264" w:rsidRDefault="009D4264" w:rsidP="006E419D">
            <w:pPr>
              <w:rPr>
                <w:rFonts w:ascii="Times New Roman" w:hAnsi="Times New Roman" w:cs="Times New Roman"/>
                <w:b/>
              </w:rPr>
            </w:pPr>
            <w:r w:rsidRPr="009D4264">
              <w:rPr>
                <w:rFonts w:ascii="Times New Roman" w:hAnsi="Times New Roman" w:cs="Times New Roman"/>
              </w:rPr>
              <w:t>We expect J-1 exchange visitors to have been following our regulations; if they have</w:t>
            </w:r>
            <w:r w:rsidR="006E419D">
              <w:rPr>
                <w:rFonts w:ascii="Times New Roman" w:hAnsi="Times New Roman" w:cs="Times New Roman"/>
              </w:rPr>
              <w:t xml:space="preserve"> no</w:t>
            </w:r>
            <w:r w:rsidRPr="009D4264">
              <w:rPr>
                <w:rFonts w:ascii="Times New Roman" w:hAnsi="Times New Roman" w:cs="Times New Roman"/>
              </w:rPr>
              <w:t>t (</w:t>
            </w:r>
            <w:r w:rsidR="006E419D">
              <w:rPr>
                <w:rFonts w:ascii="Times New Roman" w:hAnsi="Times New Roman" w:cs="Times New Roman"/>
              </w:rPr>
              <w:t xml:space="preserve">e.g., </w:t>
            </w:r>
            <w:r w:rsidRPr="009D4264">
              <w:rPr>
                <w:rFonts w:ascii="Times New Roman" w:hAnsi="Times New Roman" w:cs="Times New Roman"/>
              </w:rPr>
              <w:t>if they</w:t>
            </w:r>
            <w:r w:rsidR="006E419D">
              <w:rPr>
                <w:rFonts w:ascii="Times New Roman" w:hAnsi="Times New Roman" w:cs="Times New Roman"/>
              </w:rPr>
              <w:t xml:space="preserve"> ha</w:t>
            </w:r>
            <w:r w:rsidRPr="009D4264">
              <w:rPr>
                <w:rFonts w:ascii="Times New Roman" w:hAnsi="Times New Roman" w:cs="Times New Roman"/>
              </w:rPr>
              <w:t>ve been working illegally and somehow this comes out during the 612 adjudication), then we can make a status violation and</w:t>
            </w:r>
            <w:r w:rsidR="006E419D">
              <w:rPr>
                <w:rFonts w:ascii="Times New Roman" w:hAnsi="Times New Roman" w:cs="Times New Roman"/>
              </w:rPr>
              <w:t xml:space="preserve"> accrual of</w:t>
            </w:r>
            <w:r w:rsidRPr="009D4264">
              <w:rPr>
                <w:rFonts w:ascii="Times New Roman" w:hAnsi="Times New Roman" w:cs="Times New Roman"/>
              </w:rPr>
              <w:t xml:space="preserve"> </w:t>
            </w:r>
            <w:r w:rsidR="00440720">
              <w:rPr>
                <w:rFonts w:ascii="Times New Roman" w:hAnsi="Times New Roman" w:cs="Times New Roman"/>
              </w:rPr>
              <w:t xml:space="preserve">unlawful </w:t>
            </w:r>
            <w:r w:rsidR="00440720" w:rsidRPr="009D4264">
              <w:rPr>
                <w:rFonts w:ascii="Times New Roman" w:hAnsi="Times New Roman" w:cs="Times New Roman"/>
              </w:rPr>
              <w:t>presence</w:t>
            </w:r>
            <w:r w:rsidR="006E419D">
              <w:rPr>
                <w:rFonts w:ascii="Times New Roman" w:hAnsi="Times New Roman" w:cs="Times New Roman"/>
              </w:rPr>
              <w:t xml:space="preserve"> </w:t>
            </w:r>
            <w:r w:rsidRPr="009D4264">
              <w:rPr>
                <w:rFonts w:ascii="Times New Roman" w:hAnsi="Times New Roman" w:cs="Times New Roman"/>
              </w:rPr>
              <w:t xml:space="preserve">determination.  </w:t>
            </w:r>
          </w:p>
        </w:tc>
      </w:tr>
      <w:tr w:rsidR="009D4264" w14:paraId="42CB20FA" w14:textId="77777777" w:rsidTr="009D4264">
        <w:tc>
          <w:tcPr>
            <w:tcW w:w="1368" w:type="dxa"/>
          </w:tcPr>
          <w:p w14:paraId="36943FE4" w14:textId="5179787E" w:rsidR="00665571" w:rsidRDefault="00440720" w:rsidP="00440720">
            <w:pPr>
              <w:jc w:val="center"/>
              <w:rPr>
                <w:b/>
              </w:rPr>
            </w:pPr>
            <w:r>
              <w:rPr>
                <w:b/>
              </w:rPr>
              <w:t>3</w:t>
            </w:r>
          </w:p>
        </w:tc>
        <w:tc>
          <w:tcPr>
            <w:tcW w:w="5958" w:type="dxa"/>
          </w:tcPr>
          <w:p w14:paraId="7063ED5C" w14:textId="22F769D9" w:rsidR="00665571" w:rsidRPr="009D4264" w:rsidRDefault="009D4264" w:rsidP="009D4264">
            <w:pPr>
              <w:rPr>
                <w:rFonts w:ascii="Times New Roman" w:hAnsi="Times New Roman" w:cs="Times New Roman"/>
              </w:rPr>
            </w:pPr>
            <w:r w:rsidRPr="009D4264">
              <w:rPr>
                <w:rFonts w:ascii="Times New Roman" w:hAnsi="Times New Roman" w:cs="Times New Roman"/>
              </w:rPr>
              <w:t>USCIS should further explain in the form instructions that USCIS will make the recommendation request of the DOS Waiver Review Division (WRD), receive the recommendation (if any) directly from WRD, and that the applicant will not be directly involved in this process</w:t>
            </w:r>
          </w:p>
        </w:tc>
        <w:tc>
          <w:tcPr>
            <w:tcW w:w="5860" w:type="dxa"/>
          </w:tcPr>
          <w:p w14:paraId="4306D387" w14:textId="77777777" w:rsidR="009D4264" w:rsidRPr="009D4264" w:rsidRDefault="009D4264" w:rsidP="009D4264">
            <w:pPr>
              <w:rPr>
                <w:rFonts w:ascii="Times New Roman" w:hAnsi="Times New Roman"/>
              </w:rPr>
            </w:pPr>
            <w:r w:rsidRPr="009D4264">
              <w:rPr>
                <w:rFonts w:ascii="Times New Roman" w:hAnsi="Times New Roman"/>
              </w:rPr>
              <w:t>The NOTE about the WRD is not new. We disagree that more specifics are needed in the form instructions.  There is a lot of info on our website and on DOS’s website.</w:t>
            </w:r>
          </w:p>
          <w:p w14:paraId="4495D2F7" w14:textId="77777777" w:rsidR="00665571" w:rsidRPr="009D4264" w:rsidRDefault="00665571" w:rsidP="009D4264">
            <w:pPr>
              <w:rPr>
                <w:rFonts w:ascii="Times New Roman" w:hAnsi="Times New Roman" w:cs="Times New Roman"/>
                <w:b/>
              </w:rPr>
            </w:pPr>
          </w:p>
        </w:tc>
      </w:tr>
      <w:tr w:rsidR="009D4264" w14:paraId="0911526D" w14:textId="77777777" w:rsidTr="009D4264">
        <w:tc>
          <w:tcPr>
            <w:tcW w:w="1368" w:type="dxa"/>
          </w:tcPr>
          <w:p w14:paraId="05BCE918" w14:textId="463B0172" w:rsidR="00665571" w:rsidRDefault="00440720" w:rsidP="00440720">
            <w:pPr>
              <w:jc w:val="center"/>
              <w:rPr>
                <w:b/>
              </w:rPr>
            </w:pPr>
            <w:r>
              <w:rPr>
                <w:b/>
              </w:rPr>
              <w:t>4</w:t>
            </w:r>
          </w:p>
        </w:tc>
        <w:tc>
          <w:tcPr>
            <w:tcW w:w="5958" w:type="dxa"/>
          </w:tcPr>
          <w:p w14:paraId="74603827" w14:textId="0E5B16E0" w:rsidR="009D4264" w:rsidRPr="009D4264" w:rsidRDefault="009D4264" w:rsidP="009D4264">
            <w:pPr>
              <w:rPr>
                <w:rFonts w:ascii="Times New Roman" w:hAnsi="Times New Roman"/>
              </w:rPr>
            </w:pPr>
            <w:r w:rsidRPr="009D4264">
              <w:rPr>
                <w:rFonts w:ascii="Times New Roman" w:hAnsi="Times New Roman"/>
              </w:rPr>
              <w:t xml:space="preserve">AILA recommends that USCIS should slightly change the language in ‘Note’ portion on page 2 of the instructions to read </w:t>
            </w:r>
            <w:r w:rsidRPr="009D4264">
              <w:rPr>
                <w:rFonts w:ascii="Times New Roman" w:hAnsi="Times New Roman"/>
              </w:rPr>
              <w:lastRenderedPageBreak/>
              <w:t>“NOTE: Foreign medical physicians who acquired J-1 exchange visitor status on or after January 10, 1977, for the purpose of receiving graduate medical education or training, cannot be granted a waiver based solely upon a No Objection letter.”</w:t>
            </w:r>
          </w:p>
          <w:p w14:paraId="3B470221" w14:textId="77777777" w:rsidR="00665571" w:rsidRPr="009D4264" w:rsidRDefault="00665571" w:rsidP="009D4264">
            <w:pPr>
              <w:rPr>
                <w:rFonts w:ascii="Times New Roman" w:hAnsi="Times New Roman" w:cs="Times New Roman"/>
              </w:rPr>
            </w:pPr>
          </w:p>
        </w:tc>
        <w:tc>
          <w:tcPr>
            <w:tcW w:w="5860" w:type="dxa"/>
          </w:tcPr>
          <w:p w14:paraId="2E297F9C" w14:textId="6A1AFE46" w:rsidR="00665571" w:rsidRPr="009D4264" w:rsidRDefault="009D4264" w:rsidP="009D4264">
            <w:pPr>
              <w:rPr>
                <w:rFonts w:ascii="Times New Roman" w:hAnsi="Times New Roman" w:cs="Times New Roman"/>
                <w:b/>
              </w:rPr>
            </w:pPr>
            <w:r w:rsidRPr="009D4264">
              <w:rPr>
                <w:rFonts w:ascii="Times New Roman" w:hAnsi="Times New Roman" w:cs="Times New Roman"/>
              </w:rPr>
              <w:lastRenderedPageBreak/>
              <w:t xml:space="preserve">While it is true that J-1 physicians cannot receive a waiver of §212(e) merely by obtaining a No Objection Letter from their </w:t>
            </w:r>
            <w:r w:rsidRPr="009D4264">
              <w:rPr>
                <w:rFonts w:ascii="Times New Roman" w:hAnsi="Times New Roman" w:cs="Times New Roman"/>
              </w:rPr>
              <w:lastRenderedPageBreak/>
              <w:t>home country government, if they received government funding from their home country in furtherance of their J-1 exchange visitor program, they are required to obtain a No Objection Letter in addition to a Conrad 30 or IGA waiver before a §212(e) waiver can be granted. By stating that they “cannot receive a No Objection Waiver,” they may erroneously conclude that they are not required to obtain a No Objection Letter, when they may, in fact, be required to do so.</w:t>
            </w:r>
          </w:p>
        </w:tc>
      </w:tr>
      <w:tr w:rsidR="009D4264" w14:paraId="25BD1368" w14:textId="77777777" w:rsidTr="009D4264">
        <w:tc>
          <w:tcPr>
            <w:tcW w:w="1368" w:type="dxa"/>
          </w:tcPr>
          <w:p w14:paraId="5B1984B6" w14:textId="4E611180" w:rsidR="00665571" w:rsidRDefault="00440720" w:rsidP="00440720">
            <w:pPr>
              <w:jc w:val="center"/>
              <w:rPr>
                <w:b/>
              </w:rPr>
            </w:pPr>
            <w:r>
              <w:rPr>
                <w:b/>
              </w:rPr>
              <w:lastRenderedPageBreak/>
              <w:t>5</w:t>
            </w:r>
          </w:p>
        </w:tc>
        <w:tc>
          <w:tcPr>
            <w:tcW w:w="5958" w:type="dxa"/>
          </w:tcPr>
          <w:p w14:paraId="7D052F4D" w14:textId="34F5CA05" w:rsidR="00665571" w:rsidRPr="009D4264" w:rsidRDefault="009D4264" w:rsidP="009D4264">
            <w:pPr>
              <w:rPr>
                <w:rFonts w:ascii="Times New Roman" w:hAnsi="Times New Roman" w:cs="Times New Roman"/>
              </w:rPr>
            </w:pPr>
            <w:r w:rsidRPr="009D4264">
              <w:rPr>
                <w:rFonts w:ascii="Times New Roman" w:hAnsi="Times New Roman" w:cs="Times New Roman"/>
              </w:rPr>
              <w:t>Under “Translations” on page 3 of the Instructions, AILA suggests changing the language to  “If you submit a document in a language other than English . . . DHS recommends the certification contain the date, the translator’s printed name and the translator’s contact information.”</w:t>
            </w:r>
          </w:p>
        </w:tc>
        <w:tc>
          <w:tcPr>
            <w:tcW w:w="5860" w:type="dxa"/>
          </w:tcPr>
          <w:p w14:paraId="4AF4A079" w14:textId="4723BC39" w:rsidR="00665571" w:rsidRPr="009D4264" w:rsidRDefault="009D4264" w:rsidP="009D4264">
            <w:pPr>
              <w:rPr>
                <w:rFonts w:ascii="Times New Roman" w:hAnsi="Times New Roman" w:cs="Times New Roman"/>
                <w:b/>
              </w:rPr>
            </w:pPr>
            <w:r w:rsidRPr="009D4264">
              <w:rPr>
                <w:rFonts w:ascii="Times New Roman" w:hAnsi="Times New Roman" w:cs="Times New Roman"/>
              </w:rPr>
              <w:t>USCIS does not see the need to modify this language.</w:t>
            </w:r>
          </w:p>
        </w:tc>
      </w:tr>
      <w:tr w:rsidR="009D4264" w14:paraId="1F08DAEB" w14:textId="77777777" w:rsidTr="009D4264">
        <w:tc>
          <w:tcPr>
            <w:tcW w:w="1368" w:type="dxa"/>
          </w:tcPr>
          <w:p w14:paraId="619E4144" w14:textId="0613D969" w:rsidR="00665571" w:rsidRDefault="00440720" w:rsidP="00440720">
            <w:pPr>
              <w:jc w:val="center"/>
              <w:rPr>
                <w:b/>
              </w:rPr>
            </w:pPr>
            <w:r>
              <w:rPr>
                <w:b/>
              </w:rPr>
              <w:t>6</w:t>
            </w:r>
          </w:p>
        </w:tc>
        <w:tc>
          <w:tcPr>
            <w:tcW w:w="5958" w:type="dxa"/>
          </w:tcPr>
          <w:p w14:paraId="52982E70" w14:textId="77777777" w:rsidR="009D4264" w:rsidRPr="009D4264" w:rsidRDefault="009D4264" w:rsidP="009D4264">
            <w:pPr>
              <w:rPr>
                <w:rFonts w:ascii="Times New Roman" w:hAnsi="Times New Roman"/>
              </w:rPr>
            </w:pPr>
            <w:r w:rsidRPr="009D4264">
              <w:rPr>
                <w:rFonts w:ascii="Times New Roman" w:hAnsi="Times New Roman"/>
              </w:rPr>
              <w:t>AILA recommends that USCIS strike “I-94 Arrival and Departure Record” from the “What Evidence You Must Submit”, section on page 4.</w:t>
            </w:r>
          </w:p>
          <w:p w14:paraId="0F3AA84B" w14:textId="77777777" w:rsidR="00665571" w:rsidRPr="009D4264" w:rsidRDefault="00665571" w:rsidP="009D4264">
            <w:pPr>
              <w:rPr>
                <w:rFonts w:ascii="Times New Roman" w:hAnsi="Times New Roman" w:cs="Times New Roman"/>
              </w:rPr>
            </w:pPr>
          </w:p>
        </w:tc>
        <w:tc>
          <w:tcPr>
            <w:tcW w:w="5860" w:type="dxa"/>
          </w:tcPr>
          <w:p w14:paraId="58570FE0" w14:textId="68D8592F" w:rsidR="00665571" w:rsidRPr="009D4264" w:rsidRDefault="009D4264" w:rsidP="009D4264">
            <w:pPr>
              <w:rPr>
                <w:rFonts w:ascii="Times New Roman" w:hAnsi="Times New Roman" w:cs="Times New Roman"/>
                <w:b/>
              </w:rPr>
            </w:pPr>
            <w:r w:rsidRPr="009D4264">
              <w:rPr>
                <w:rFonts w:ascii="Times New Roman" w:hAnsi="Times New Roman" w:cs="Times New Roman"/>
              </w:rPr>
              <w:t>USCIS does not concur with this suggestion; see response above regarding I-94s.  USCIS may request documentation that helps identify an applicant and/or determine whether an alien is complying with the terms of his/her admission.</w:t>
            </w:r>
          </w:p>
        </w:tc>
      </w:tr>
      <w:tr w:rsidR="009D4264" w14:paraId="6EB4D65D" w14:textId="77777777" w:rsidTr="009D4264">
        <w:tc>
          <w:tcPr>
            <w:tcW w:w="1368" w:type="dxa"/>
          </w:tcPr>
          <w:p w14:paraId="31C33B58" w14:textId="7EA2A47F" w:rsidR="00665571" w:rsidRDefault="00440720" w:rsidP="00440720">
            <w:pPr>
              <w:jc w:val="center"/>
              <w:rPr>
                <w:b/>
              </w:rPr>
            </w:pPr>
            <w:r>
              <w:rPr>
                <w:b/>
              </w:rPr>
              <w:t>7</w:t>
            </w:r>
          </w:p>
        </w:tc>
        <w:tc>
          <w:tcPr>
            <w:tcW w:w="5958" w:type="dxa"/>
          </w:tcPr>
          <w:p w14:paraId="23F5D269" w14:textId="538D3AC4" w:rsidR="009D4264" w:rsidRPr="009D4264" w:rsidRDefault="009D4264" w:rsidP="009D4264">
            <w:pPr>
              <w:rPr>
                <w:rFonts w:ascii="Times New Roman" w:hAnsi="Times New Roman"/>
              </w:rPr>
            </w:pPr>
            <w:r w:rsidRPr="009D4264">
              <w:rPr>
                <w:rFonts w:ascii="Times New Roman" w:hAnsi="Times New Roman"/>
              </w:rPr>
              <w:t>AILA recommends that USCIS include as required evidence, copies of all Forms IAP-66/DS-2019 that were issued, rather than requesting it on page 3, part 4 of the Form I-612 under “Additional Information About You.” This will reduce redundancy and shorten the form.</w:t>
            </w:r>
          </w:p>
          <w:p w14:paraId="29C86DDF" w14:textId="77777777" w:rsidR="00665571" w:rsidRPr="009D4264" w:rsidRDefault="00665571" w:rsidP="009D4264">
            <w:pPr>
              <w:rPr>
                <w:rFonts w:ascii="Times New Roman" w:hAnsi="Times New Roman" w:cs="Times New Roman"/>
              </w:rPr>
            </w:pPr>
          </w:p>
        </w:tc>
        <w:tc>
          <w:tcPr>
            <w:tcW w:w="5860" w:type="dxa"/>
          </w:tcPr>
          <w:p w14:paraId="511736A3" w14:textId="314B1AC9" w:rsidR="009D4264" w:rsidRPr="009D4264" w:rsidRDefault="00C73A5B" w:rsidP="009D4264">
            <w:pPr>
              <w:rPr>
                <w:rFonts w:ascii="Times New Roman" w:hAnsi="Times New Roman"/>
              </w:rPr>
            </w:pPr>
            <w:r>
              <w:rPr>
                <w:rFonts w:ascii="Times New Roman" w:hAnsi="Times New Roman"/>
              </w:rPr>
              <w:t>USCIS believes</w:t>
            </w:r>
            <w:r w:rsidR="009D4264" w:rsidRPr="009D4264">
              <w:rPr>
                <w:rFonts w:ascii="Times New Roman" w:hAnsi="Times New Roman"/>
              </w:rPr>
              <w:t xml:space="preserve"> that the information provided on page 3, part 4 of the form, while available from other sources, is best obtained from the form I-612. USCIS recommends leaving this section as is. Immigration Officers do not find that it is necessary to include the IAP-66/DS-2019 under </w:t>
            </w:r>
            <w:r>
              <w:rPr>
                <w:rFonts w:ascii="Times New Roman" w:hAnsi="Times New Roman"/>
              </w:rPr>
              <w:t>“</w:t>
            </w:r>
            <w:r w:rsidR="009D4264" w:rsidRPr="009D4264">
              <w:rPr>
                <w:rFonts w:ascii="Times New Roman" w:hAnsi="Times New Roman"/>
              </w:rPr>
              <w:t>required evidence</w:t>
            </w:r>
            <w:r>
              <w:rPr>
                <w:rFonts w:ascii="Times New Roman" w:hAnsi="Times New Roman"/>
              </w:rPr>
              <w:t>” as i</w:t>
            </w:r>
            <w:r w:rsidR="009D4264" w:rsidRPr="009D4264">
              <w:rPr>
                <w:rFonts w:ascii="Times New Roman" w:hAnsi="Times New Roman"/>
              </w:rPr>
              <w:t>t is not essential for adjudicating cases.</w:t>
            </w:r>
          </w:p>
          <w:p w14:paraId="092BC1C2" w14:textId="77777777" w:rsidR="00665571" w:rsidRPr="009D4264" w:rsidRDefault="00665571" w:rsidP="009D4264">
            <w:pPr>
              <w:rPr>
                <w:rFonts w:ascii="Times New Roman" w:hAnsi="Times New Roman" w:cs="Times New Roman"/>
                <w:b/>
              </w:rPr>
            </w:pPr>
          </w:p>
        </w:tc>
      </w:tr>
      <w:tr w:rsidR="009D4264" w14:paraId="04D141B2" w14:textId="77777777" w:rsidTr="009D4264">
        <w:tc>
          <w:tcPr>
            <w:tcW w:w="1368" w:type="dxa"/>
          </w:tcPr>
          <w:p w14:paraId="2A90920A" w14:textId="473F08A7" w:rsidR="00665571" w:rsidRDefault="00440720" w:rsidP="00440720">
            <w:pPr>
              <w:jc w:val="center"/>
              <w:rPr>
                <w:b/>
              </w:rPr>
            </w:pPr>
            <w:r>
              <w:rPr>
                <w:b/>
              </w:rPr>
              <w:t>8</w:t>
            </w:r>
          </w:p>
        </w:tc>
        <w:tc>
          <w:tcPr>
            <w:tcW w:w="5958" w:type="dxa"/>
          </w:tcPr>
          <w:p w14:paraId="073F64F9" w14:textId="150BD501" w:rsidR="00665571" w:rsidRPr="00F228D4" w:rsidRDefault="009D4264" w:rsidP="009D4264">
            <w:pPr>
              <w:rPr>
                <w:rFonts w:ascii="Times New Roman" w:hAnsi="Times New Roman" w:cs="Times New Roman"/>
              </w:rPr>
            </w:pPr>
            <w:r w:rsidRPr="00F228D4">
              <w:rPr>
                <w:rFonts w:ascii="Times New Roman" w:hAnsi="Times New Roman" w:cs="Times New Roman"/>
              </w:rPr>
              <w:t>AILA recommends that USCIS remove the “Important Advisory” on page 2 of the Form I-612 and instead include this information in the form instructions under “What Evidence You Must Submit.” As this advisory is actually a request for documentary evidence, it is better placed within the form’s instructions.</w:t>
            </w:r>
          </w:p>
        </w:tc>
        <w:tc>
          <w:tcPr>
            <w:tcW w:w="5860" w:type="dxa"/>
          </w:tcPr>
          <w:p w14:paraId="2B1C5FBC" w14:textId="119140F1" w:rsidR="009D4264" w:rsidRPr="00F228D4" w:rsidRDefault="00163B40" w:rsidP="009D4264">
            <w:pPr>
              <w:tabs>
                <w:tab w:val="left" w:pos="-1440"/>
              </w:tabs>
              <w:rPr>
                <w:rFonts w:ascii="Times New Roman" w:hAnsi="Times New Roman" w:cs="Times New Roman"/>
              </w:rPr>
            </w:pPr>
            <w:r w:rsidRPr="00F228D4">
              <w:rPr>
                <w:rFonts w:ascii="Times New Roman" w:hAnsi="Times New Roman" w:cs="Times New Roman"/>
              </w:rPr>
              <w:t>USC</w:t>
            </w:r>
            <w:r w:rsidR="009D4264" w:rsidRPr="00F228D4">
              <w:rPr>
                <w:rFonts w:ascii="Times New Roman" w:hAnsi="Times New Roman" w:cs="Times New Roman"/>
              </w:rPr>
              <w:t>IS Concurs with this change. Since this is an extension action of the Form I-612 information collection and the desired changes are not substantive, they will be considered during the next Form I-612 revision.</w:t>
            </w:r>
          </w:p>
          <w:p w14:paraId="2611680B" w14:textId="77777777" w:rsidR="00665571" w:rsidRPr="00F228D4" w:rsidRDefault="00665571" w:rsidP="009D4264">
            <w:pPr>
              <w:rPr>
                <w:rFonts w:ascii="Times New Roman" w:hAnsi="Times New Roman" w:cs="Times New Roman"/>
                <w:b/>
              </w:rPr>
            </w:pPr>
          </w:p>
        </w:tc>
      </w:tr>
      <w:tr w:rsidR="009D4264" w14:paraId="2C4BB02D" w14:textId="77777777" w:rsidTr="009D4264">
        <w:tc>
          <w:tcPr>
            <w:tcW w:w="1368" w:type="dxa"/>
          </w:tcPr>
          <w:p w14:paraId="7277EF8F" w14:textId="79078397" w:rsidR="00665571" w:rsidRDefault="00440720" w:rsidP="00440720">
            <w:pPr>
              <w:jc w:val="center"/>
              <w:rPr>
                <w:b/>
              </w:rPr>
            </w:pPr>
            <w:r>
              <w:rPr>
                <w:b/>
              </w:rPr>
              <w:t>9</w:t>
            </w:r>
          </w:p>
        </w:tc>
        <w:tc>
          <w:tcPr>
            <w:tcW w:w="5958" w:type="dxa"/>
          </w:tcPr>
          <w:p w14:paraId="7E2E44AB" w14:textId="7F57D8F3" w:rsidR="00665571" w:rsidRPr="009D4264" w:rsidRDefault="009D4264" w:rsidP="009D4264">
            <w:pPr>
              <w:rPr>
                <w:rFonts w:ascii="Times New Roman" w:hAnsi="Times New Roman" w:cs="Times New Roman"/>
              </w:rPr>
            </w:pPr>
            <w:r w:rsidRPr="009D4264">
              <w:rPr>
                <w:rFonts w:ascii="Times New Roman" w:hAnsi="Times New Roman" w:cs="Times New Roman"/>
              </w:rPr>
              <w:t>AILA disagrees with the assertion that J-2 dependents could be subject to the two-year home residency requirement and could be required to obtain a waiver of that requirement in order to access H or L nonimmigrant status or permanent residency and as such USCIS should strike items 7.a, 7.b, and 7.c from Part 4 “Additional Information About You” of the Form I-612.</w:t>
            </w:r>
          </w:p>
        </w:tc>
        <w:tc>
          <w:tcPr>
            <w:tcW w:w="5860" w:type="dxa"/>
          </w:tcPr>
          <w:p w14:paraId="500D60E9" w14:textId="5E00BF19" w:rsidR="00665571" w:rsidRPr="009D4264" w:rsidRDefault="009D4264" w:rsidP="00AD23CC">
            <w:pPr>
              <w:rPr>
                <w:rFonts w:ascii="Times New Roman" w:hAnsi="Times New Roman" w:cs="Times New Roman"/>
                <w:b/>
              </w:rPr>
            </w:pPr>
            <w:r w:rsidRPr="009D4264">
              <w:rPr>
                <w:rFonts w:ascii="Times New Roman" w:hAnsi="Times New Roman" w:cs="Times New Roman"/>
              </w:rPr>
              <w:t xml:space="preserve">USCIS does not agree with this recommendation; both USCIS and DOS have long interpreted the foreign residence requirement </w:t>
            </w:r>
            <w:r w:rsidR="00AD23CC">
              <w:rPr>
                <w:rFonts w:ascii="Times New Roman" w:hAnsi="Times New Roman" w:cs="Times New Roman"/>
              </w:rPr>
              <w:t>to</w:t>
            </w:r>
            <w:r w:rsidR="00AD23CC" w:rsidRPr="009D4264">
              <w:rPr>
                <w:rFonts w:ascii="Times New Roman" w:hAnsi="Times New Roman" w:cs="Times New Roman"/>
              </w:rPr>
              <w:t xml:space="preserve"> </w:t>
            </w:r>
            <w:r w:rsidRPr="009D4264">
              <w:rPr>
                <w:rFonts w:ascii="Times New Roman" w:hAnsi="Times New Roman" w:cs="Times New Roman"/>
              </w:rPr>
              <w:t>apply to dependents, and it</w:t>
            </w:r>
            <w:r w:rsidR="00AD23CC">
              <w:rPr>
                <w:rFonts w:ascii="Times New Roman" w:hAnsi="Times New Roman" w:cs="Times New Roman"/>
              </w:rPr>
              <w:t xml:space="preserve"> i</w:t>
            </w:r>
            <w:r w:rsidRPr="009D4264">
              <w:rPr>
                <w:rFonts w:ascii="Times New Roman" w:hAnsi="Times New Roman" w:cs="Times New Roman"/>
              </w:rPr>
              <w:t xml:space="preserve">s codified in our regulations under 8 CFR 212.7(c)(4) and (9).  </w:t>
            </w:r>
          </w:p>
        </w:tc>
      </w:tr>
      <w:tr w:rsidR="009D4264" w14:paraId="30C9995E" w14:textId="77777777" w:rsidTr="009D4264">
        <w:tc>
          <w:tcPr>
            <w:tcW w:w="1368" w:type="dxa"/>
          </w:tcPr>
          <w:p w14:paraId="6EB2668B" w14:textId="18E299CE" w:rsidR="00665571" w:rsidRDefault="00440720" w:rsidP="00440720">
            <w:pPr>
              <w:jc w:val="center"/>
              <w:rPr>
                <w:b/>
              </w:rPr>
            </w:pPr>
            <w:r>
              <w:rPr>
                <w:b/>
              </w:rPr>
              <w:t>10</w:t>
            </w:r>
          </w:p>
        </w:tc>
        <w:tc>
          <w:tcPr>
            <w:tcW w:w="5958" w:type="dxa"/>
          </w:tcPr>
          <w:p w14:paraId="23C0AC3E" w14:textId="77777777" w:rsidR="009D4264" w:rsidRPr="009D4264" w:rsidRDefault="009D4264" w:rsidP="009D4264">
            <w:pPr>
              <w:rPr>
                <w:rFonts w:ascii="Times New Roman" w:hAnsi="Times New Roman"/>
              </w:rPr>
            </w:pPr>
            <w:r w:rsidRPr="009D4264">
              <w:rPr>
                <w:rFonts w:ascii="Times New Roman" w:hAnsi="Times New Roman"/>
              </w:rPr>
              <w:t>AILA recommends that DHS strike the language from Part 3 of the form requesting the applicant “List all J-1 dependents that are included in this application.”</w:t>
            </w:r>
          </w:p>
          <w:p w14:paraId="4D14C52D" w14:textId="77777777" w:rsidR="00665571" w:rsidRPr="009D4264" w:rsidRDefault="00665571" w:rsidP="009D4264">
            <w:pPr>
              <w:rPr>
                <w:rFonts w:ascii="Times New Roman" w:hAnsi="Times New Roman" w:cs="Times New Roman"/>
              </w:rPr>
            </w:pPr>
          </w:p>
        </w:tc>
        <w:tc>
          <w:tcPr>
            <w:tcW w:w="5860" w:type="dxa"/>
          </w:tcPr>
          <w:p w14:paraId="75384AFB" w14:textId="78D82D9E" w:rsidR="009D4264" w:rsidRPr="009D4264" w:rsidRDefault="009D4264" w:rsidP="009D4264">
            <w:pPr>
              <w:rPr>
                <w:rFonts w:ascii="Times New Roman" w:hAnsi="Times New Roman"/>
              </w:rPr>
            </w:pPr>
            <w:r w:rsidRPr="009D4264">
              <w:rPr>
                <w:rFonts w:ascii="Times New Roman" w:hAnsi="Times New Roman"/>
              </w:rPr>
              <w:t xml:space="preserve">USCIS does not agree with this recommendation; both USCIS and DOS have long interpreted the foreign residence requirement </w:t>
            </w:r>
            <w:r w:rsidR="00AD23CC">
              <w:rPr>
                <w:rFonts w:ascii="Times New Roman" w:hAnsi="Times New Roman"/>
              </w:rPr>
              <w:t>to</w:t>
            </w:r>
            <w:r w:rsidR="00AD23CC" w:rsidRPr="009D4264">
              <w:rPr>
                <w:rFonts w:ascii="Times New Roman" w:hAnsi="Times New Roman"/>
              </w:rPr>
              <w:t xml:space="preserve"> </w:t>
            </w:r>
            <w:r w:rsidRPr="009D4264">
              <w:rPr>
                <w:rFonts w:ascii="Times New Roman" w:hAnsi="Times New Roman"/>
              </w:rPr>
              <w:t>apply to dependents, and it</w:t>
            </w:r>
            <w:r w:rsidR="00AD23CC">
              <w:rPr>
                <w:rFonts w:ascii="Times New Roman" w:hAnsi="Times New Roman"/>
              </w:rPr>
              <w:t xml:space="preserve"> i</w:t>
            </w:r>
            <w:r w:rsidRPr="009D4264">
              <w:rPr>
                <w:rFonts w:ascii="Times New Roman" w:hAnsi="Times New Roman"/>
              </w:rPr>
              <w:t xml:space="preserve">s codified in our regulations under 8 CFR 212.7(c)(4) and (9).  </w:t>
            </w:r>
          </w:p>
          <w:p w14:paraId="30DD31BB" w14:textId="77777777" w:rsidR="00665571" w:rsidRPr="009D4264" w:rsidRDefault="00665571" w:rsidP="009D4264">
            <w:pPr>
              <w:rPr>
                <w:rFonts w:ascii="Times New Roman" w:hAnsi="Times New Roman" w:cs="Times New Roman"/>
                <w:b/>
              </w:rPr>
            </w:pPr>
          </w:p>
        </w:tc>
      </w:tr>
      <w:tr w:rsidR="009D4264" w14:paraId="708421C6" w14:textId="77777777" w:rsidTr="009D4264">
        <w:tc>
          <w:tcPr>
            <w:tcW w:w="1368" w:type="dxa"/>
          </w:tcPr>
          <w:p w14:paraId="410D7B19" w14:textId="71CDAFFB" w:rsidR="00665571" w:rsidRDefault="00440720" w:rsidP="00440720">
            <w:pPr>
              <w:jc w:val="center"/>
              <w:rPr>
                <w:b/>
              </w:rPr>
            </w:pPr>
            <w:r>
              <w:rPr>
                <w:b/>
              </w:rPr>
              <w:t>11</w:t>
            </w:r>
          </w:p>
        </w:tc>
        <w:tc>
          <w:tcPr>
            <w:tcW w:w="5958" w:type="dxa"/>
          </w:tcPr>
          <w:p w14:paraId="3D3840A7" w14:textId="38DC007B" w:rsidR="00665571" w:rsidRPr="009D4264" w:rsidRDefault="009D4264" w:rsidP="009D4264">
            <w:pPr>
              <w:rPr>
                <w:rFonts w:ascii="Times New Roman" w:hAnsi="Times New Roman" w:cs="Times New Roman"/>
              </w:rPr>
            </w:pPr>
            <w:r w:rsidRPr="009D4264">
              <w:rPr>
                <w:rFonts w:ascii="Times New Roman" w:hAnsi="Times New Roman" w:cs="Times New Roman"/>
              </w:rPr>
              <w:t>The fields in the Sections “Information About Spouse” on page 2 and “Information About Children” on page 3 should be merged with the family information requested on page 4 of the form for requesting information regarding U.S. citizen or U.S. permanent resident spouses or children to the extent that it is relevant to a hardship waiver request</w:t>
            </w:r>
          </w:p>
        </w:tc>
        <w:tc>
          <w:tcPr>
            <w:tcW w:w="5860" w:type="dxa"/>
          </w:tcPr>
          <w:p w14:paraId="5B0F0716" w14:textId="77777777" w:rsidR="009D4264" w:rsidRPr="009D4264" w:rsidRDefault="009D4264" w:rsidP="009D4264">
            <w:pPr>
              <w:rPr>
                <w:rFonts w:ascii="Times New Roman" w:hAnsi="Times New Roman"/>
              </w:rPr>
            </w:pPr>
            <w:r w:rsidRPr="009D4264">
              <w:rPr>
                <w:rFonts w:ascii="Times New Roman" w:hAnsi="Times New Roman"/>
              </w:rPr>
              <w:t>This is an extension of the Form I-612 information collection. It appears that the desired changes are not substantive and can be considered during the next Form I-612 revision.</w:t>
            </w:r>
          </w:p>
          <w:p w14:paraId="321526F4" w14:textId="77777777" w:rsidR="00665571" w:rsidRPr="009D4264" w:rsidRDefault="00665571" w:rsidP="009D4264">
            <w:pPr>
              <w:rPr>
                <w:rFonts w:ascii="Times New Roman" w:hAnsi="Times New Roman" w:cs="Times New Roman"/>
                <w:b/>
              </w:rPr>
            </w:pPr>
          </w:p>
        </w:tc>
      </w:tr>
      <w:tr w:rsidR="009D4264" w14:paraId="19C76934" w14:textId="77777777" w:rsidTr="009D4264">
        <w:tc>
          <w:tcPr>
            <w:tcW w:w="1368" w:type="dxa"/>
          </w:tcPr>
          <w:p w14:paraId="18109F8B" w14:textId="48B8E325" w:rsidR="00665571" w:rsidRDefault="00440720" w:rsidP="00440720">
            <w:pPr>
              <w:jc w:val="center"/>
              <w:rPr>
                <w:b/>
              </w:rPr>
            </w:pPr>
            <w:r>
              <w:rPr>
                <w:b/>
              </w:rPr>
              <w:t>12</w:t>
            </w:r>
          </w:p>
        </w:tc>
        <w:tc>
          <w:tcPr>
            <w:tcW w:w="5958" w:type="dxa"/>
          </w:tcPr>
          <w:p w14:paraId="50C55FA7" w14:textId="5C950E1A" w:rsidR="00665571" w:rsidRPr="009D4264" w:rsidRDefault="009D4264" w:rsidP="009D4264">
            <w:pPr>
              <w:rPr>
                <w:rFonts w:ascii="Times New Roman" w:hAnsi="Times New Roman" w:cs="Times New Roman"/>
              </w:rPr>
            </w:pPr>
            <w:r w:rsidRPr="009D4264">
              <w:rPr>
                <w:rFonts w:ascii="Times New Roman" w:hAnsi="Times New Roman" w:cs="Times New Roman"/>
              </w:rPr>
              <w:t>AILA recommends that USCIS completely strike the first “Note” that appears on page 1 of the Form I-612 instructions in the section entitled “What is the Purpose of This Application?”</w:t>
            </w:r>
          </w:p>
        </w:tc>
        <w:tc>
          <w:tcPr>
            <w:tcW w:w="5860" w:type="dxa"/>
          </w:tcPr>
          <w:p w14:paraId="3EF3606F" w14:textId="4D22F2E1" w:rsidR="00665571" w:rsidRPr="009D4264" w:rsidRDefault="009D4264" w:rsidP="006631CC">
            <w:pPr>
              <w:tabs>
                <w:tab w:val="left" w:pos="924"/>
              </w:tabs>
              <w:rPr>
                <w:rFonts w:ascii="Times New Roman" w:hAnsi="Times New Roman" w:cs="Times New Roman"/>
                <w:b/>
              </w:rPr>
            </w:pPr>
            <w:r w:rsidRPr="009D4264">
              <w:rPr>
                <w:rFonts w:ascii="Times New Roman" w:hAnsi="Times New Roman" w:cs="Times New Roman"/>
              </w:rPr>
              <w:t>USCIS does not agree with this recommendation; both USCIS and DOS have long interpreted the foreign residence requirement a</w:t>
            </w:r>
            <w:r w:rsidR="00AD23CC">
              <w:rPr>
                <w:rFonts w:ascii="Times New Roman" w:hAnsi="Times New Roman" w:cs="Times New Roman"/>
              </w:rPr>
              <w:t>to</w:t>
            </w:r>
            <w:r w:rsidRPr="009D4264">
              <w:rPr>
                <w:rFonts w:ascii="Times New Roman" w:hAnsi="Times New Roman" w:cs="Times New Roman"/>
              </w:rPr>
              <w:t xml:space="preserve"> apply to dependents, and it</w:t>
            </w:r>
            <w:r w:rsidR="00AD23CC">
              <w:rPr>
                <w:rFonts w:ascii="Times New Roman" w:hAnsi="Times New Roman" w:cs="Times New Roman"/>
              </w:rPr>
              <w:t xml:space="preserve"> i</w:t>
            </w:r>
            <w:r w:rsidRPr="009D4264">
              <w:rPr>
                <w:rFonts w:ascii="Times New Roman" w:hAnsi="Times New Roman" w:cs="Times New Roman"/>
              </w:rPr>
              <w:t xml:space="preserve">s codified in our regulations under 8 CFR 212.7(c)(4) and (9).  </w:t>
            </w:r>
          </w:p>
        </w:tc>
      </w:tr>
      <w:tr w:rsidR="009D4264" w14:paraId="6DBDD531" w14:textId="77777777" w:rsidTr="009D4264">
        <w:tc>
          <w:tcPr>
            <w:tcW w:w="1368" w:type="dxa"/>
          </w:tcPr>
          <w:p w14:paraId="121BB26E" w14:textId="53BC5270" w:rsidR="00665571" w:rsidRDefault="00440720" w:rsidP="00440720">
            <w:pPr>
              <w:jc w:val="center"/>
              <w:rPr>
                <w:b/>
              </w:rPr>
            </w:pPr>
            <w:r>
              <w:rPr>
                <w:b/>
              </w:rPr>
              <w:t>13</w:t>
            </w:r>
          </w:p>
        </w:tc>
        <w:tc>
          <w:tcPr>
            <w:tcW w:w="5958" w:type="dxa"/>
          </w:tcPr>
          <w:p w14:paraId="7B984F9C" w14:textId="77777777" w:rsidR="009D4264" w:rsidRPr="009D4264" w:rsidRDefault="009D4264" w:rsidP="009D4264">
            <w:pPr>
              <w:rPr>
                <w:rFonts w:ascii="Times New Roman" w:hAnsi="Times New Roman"/>
              </w:rPr>
            </w:pPr>
            <w:r w:rsidRPr="009D4264">
              <w:rPr>
                <w:rFonts w:ascii="Times New Roman" w:hAnsi="Times New Roman"/>
              </w:rPr>
              <w:t>AILA recommends that USCIS also strike the following verbiage from the first sentence under the section “Who May File Form I-612” (i.e., “spouses (J-2) who are no longer married to the exchange visitors; or sons and daughters of the J-1 and/or J-2, who married and who are 21 years of age or older . . . .”)</w:t>
            </w:r>
          </w:p>
          <w:p w14:paraId="4B98E4D3" w14:textId="77777777" w:rsidR="00665571" w:rsidRPr="009D4264" w:rsidRDefault="00665571" w:rsidP="009D4264">
            <w:pPr>
              <w:rPr>
                <w:rFonts w:ascii="Times New Roman" w:hAnsi="Times New Roman" w:cs="Times New Roman"/>
              </w:rPr>
            </w:pPr>
          </w:p>
        </w:tc>
        <w:tc>
          <w:tcPr>
            <w:tcW w:w="5860" w:type="dxa"/>
          </w:tcPr>
          <w:p w14:paraId="1659BAE3" w14:textId="3F8299C5" w:rsidR="009D4264" w:rsidRPr="009D4264" w:rsidRDefault="009D4264" w:rsidP="009D4264">
            <w:pPr>
              <w:rPr>
                <w:rFonts w:ascii="Times New Roman" w:hAnsi="Times New Roman"/>
              </w:rPr>
            </w:pPr>
            <w:r w:rsidRPr="009D4264">
              <w:rPr>
                <w:rFonts w:ascii="Times New Roman" w:hAnsi="Times New Roman"/>
              </w:rPr>
              <w:t>USCIS does not agree with this recommendation; both USCIS and DOS have long interpreted the foreign residence requirement</w:t>
            </w:r>
            <w:r w:rsidR="00AD23CC">
              <w:rPr>
                <w:rFonts w:ascii="Times New Roman" w:hAnsi="Times New Roman"/>
              </w:rPr>
              <w:t xml:space="preserve"> to</w:t>
            </w:r>
            <w:r w:rsidRPr="009D4264">
              <w:rPr>
                <w:rFonts w:ascii="Times New Roman" w:hAnsi="Times New Roman"/>
              </w:rPr>
              <w:t xml:space="preserve"> apply to dependents, and it</w:t>
            </w:r>
            <w:r w:rsidR="00AD23CC">
              <w:rPr>
                <w:rFonts w:ascii="Times New Roman" w:hAnsi="Times New Roman"/>
              </w:rPr>
              <w:t xml:space="preserve"> i</w:t>
            </w:r>
            <w:r w:rsidRPr="009D4264">
              <w:rPr>
                <w:rFonts w:ascii="Times New Roman" w:hAnsi="Times New Roman"/>
              </w:rPr>
              <w:t xml:space="preserve">s codified in our regulations under 8 CFR 212.7(c)(4) and (9).  </w:t>
            </w:r>
          </w:p>
          <w:p w14:paraId="438F5BB4" w14:textId="77777777" w:rsidR="00665571" w:rsidRPr="009D4264" w:rsidRDefault="00665571" w:rsidP="009D4264">
            <w:pPr>
              <w:rPr>
                <w:rFonts w:ascii="Times New Roman" w:hAnsi="Times New Roman" w:cs="Times New Roman"/>
                <w:b/>
              </w:rPr>
            </w:pPr>
          </w:p>
        </w:tc>
      </w:tr>
      <w:tr w:rsidR="009D4264" w14:paraId="09ED5BAA" w14:textId="77777777" w:rsidTr="009D4264">
        <w:tc>
          <w:tcPr>
            <w:tcW w:w="1368" w:type="dxa"/>
          </w:tcPr>
          <w:p w14:paraId="26A8999C" w14:textId="77F76A72" w:rsidR="00665571" w:rsidRDefault="00440720" w:rsidP="00440720">
            <w:pPr>
              <w:jc w:val="center"/>
              <w:rPr>
                <w:b/>
              </w:rPr>
            </w:pPr>
            <w:r>
              <w:rPr>
                <w:b/>
              </w:rPr>
              <w:t>14</w:t>
            </w:r>
          </w:p>
        </w:tc>
        <w:tc>
          <w:tcPr>
            <w:tcW w:w="5958" w:type="dxa"/>
          </w:tcPr>
          <w:p w14:paraId="45E38485" w14:textId="77777777" w:rsidR="009D4264" w:rsidRPr="009D4264" w:rsidRDefault="009D4264" w:rsidP="009D4264">
            <w:pPr>
              <w:rPr>
                <w:rFonts w:ascii="Times New Roman" w:hAnsi="Times New Roman"/>
              </w:rPr>
            </w:pPr>
            <w:r w:rsidRPr="009D4264">
              <w:rPr>
                <w:rFonts w:ascii="Times New Roman" w:hAnsi="Times New Roman"/>
              </w:rPr>
              <w:t>AILA recommends that USCIS strike the section on page 1 of the form instructions entitled “Dependent of Applicant (Spouse of Unmarried Minor Children)”, as these sections are based on the incorrect premise that J-2 dependents are subject to the two-year foreign residence requirement.</w:t>
            </w:r>
          </w:p>
          <w:p w14:paraId="2D19C339" w14:textId="77777777" w:rsidR="00665571" w:rsidRPr="009D4264" w:rsidRDefault="00665571" w:rsidP="009D4264">
            <w:pPr>
              <w:rPr>
                <w:rFonts w:ascii="Times New Roman" w:hAnsi="Times New Roman" w:cs="Times New Roman"/>
              </w:rPr>
            </w:pPr>
          </w:p>
        </w:tc>
        <w:tc>
          <w:tcPr>
            <w:tcW w:w="5860" w:type="dxa"/>
          </w:tcPr>
          <w:p w14:paraId="6B8E2922" w14:textId="6C326924" w:rsidR="009D4264" w:rsidRPr="009D4264" w:rsidRDefault="009D4264" w:rsidP="009D4264">
            <w:pPr>
              <w:rPr>
                <w:rFonts w:ascii="Times New Roman" w:hAnsi="Times New Roman"/>
              </w:rPr>
            </w:pPr>
            <w:r w:rsidRPr="009D4264">
              <w:rPr>
                <w:rFonts w:ascii="Times New Roman" w:hAnsi="Times New Roman"/>
              </w:rPr>
              <w:t xml:space="preserve">USCIS does not agree with this recommendation; both USCIS and DOS have long interpreted the foreign residence requirement </w:t>
            </w:r>
            <w:r w:rsidR="00AD23CC">
              <w:rPr>
                <w:rFonts w:ascii="Times New Roman" w:hAnsi="Times New Roman"/>
              </w:rPr>
              <w:t>to</w:t>
            </w:r>
            <w:r w:rsidR="00AD23CC" w:rsidRPr="009D4264">
              <w:rPr>
                <w:rFonts w:ascii="Times New Roman" w:hAnsi="Times New Roman"/>
              </w:rPr>
              <w:t xml:space="preserve"> </w:t>
            </w:r>
            <w:r w:rsidRPr="009D4264">
              <w:rPr>
                <w:rFonts w:ascii="Times New Roman" w:hAnsi="Times New Roman"/>
              </w:rPr>
              <w:t>apply to dependents, and it</w:t>
            </w:r>
            <w:r w:rsidR="00AD23CC">
              <w:rPr>
                <w:rFonts w:ascii="Times New Roman" w:hAnsi="Times New Roman"/>
              </w:rPr>
              <w:t xml:space="preserve"> i</w:t>
            </w:r>
            <w:r w:rsidRPr="009D4264">
              <w:rPr>
                <w:rFonts w:ascii="Times New Roman" w:hAnsi="Times New Roman"/>
              </w:rPr>
              <w:t xml:space="preserve">s codified in our regulations under 8 CFR 212.7(c)(4) and (9).  </w:t>
            </w:r>
          </w:p>
          <w:p w14:paraId="50633B78" w14:textId="77777777" w:rsidR="00665571" w:rsidRPr="009D4264" w:rsidRDefault="00665571" w:rsidP="009D4264">
            <w:pPr>
              <w:rPr>
                <w:rFonts w:ascii="Times New Roman" w:hAnsi="Times New Roman" w:cs="Times New Roman"/>
                <w:b/>
              </w:rPr>
            </w:pPr>
          </w:p>
        </w:tc>
      </w:tr>
    </w:tbl>
    <w:p w14:paraId="5DBB8772" w14:textId="28CF64BF" w:rsidR="00F12074" w:rsidRDefault="00F12074" w:rsidP="000E6909"/>
    <w:sectPr w:rsidR="00F12074" w:rsidSect="00F12074">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18002" w14:textId="77777777" w:rsidR="00663366" w:rsidRDefault="00663366" w:rsidP="00F12074">
      <w:pPr>
        <w:spacing w:line="240" w:lineRule="auto"/>
      </w:pPr>
      <w:r>
        <w:separator/>
      </w:r>
    </w:p>
  </w:endnote>
  <w:endnote w:type="continuationSeparator" w:id="0">
    <w:p w14:paraId="7E1D1EA1" w14:textId="77777777" w:rsidR="00663366" w:rsidRDefault="00663366" w:rsidP="00F12074">
      <w:pPr>
        <w:spacing w:line="240" w:lineRule="auto"/>
      </w:pPr>
      <w:r>
        <w:continuationSeparator/>
      </w:r>
    </w:p>
  </w:endnote>
  <w:endnote w:type="continuationNotice" w:id="1">
    <w:p w14:paraId="5EB75972" w14:textId="77777777" w:rsidR="00663366" w:rsidRDefault="006633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723656"/>
      <w:docPartObj>
        <w:docPartGallery w:val="Page Numbers (Bottom of Page)"/>
        <w:docPartUnique/>
      </w:docPartObj>
    </w:sdtPr>
    <w:sdtEndPr>
      <w:rPr>
        <w:noProof/>
      </w:rPr>
    </w:sdtEndPr>
    <w:sdtContent>
      <w:p w14:paraId="5DBB877A" w14:textId="0C246715" w:rsidR="00663366" w:rsidRDefault="00663366">
        <w:pPr>
          <w:pStyle w:val="Footer"/>
          <w:jc w:val="right"/>
        </w:pPr>
        <w:r>
          <w:fldChar w:fldCharType="begin"/>
        </w:r>
        <w:r>
          <w:instrText xml:space="preserve"> PAGE   \* MERGEFORMAT </w:instrText>
        </w:r>
        <w:r>
          <w:fldChar w:fldCharType="separate"/>
        </w:r>
        <w:r w:rsidR="00BF55C4">
          <w:rPr>
            <w:noProof/>
          </w:rPr>
          <w:t>1</w:t>
        </w:r>
        <w:r>
          <w:rPr>
            <w:noProof/>
          </w:rPr>
          <w:fldChar w:fldCharType="end"/>
        </w:r>
      </w:p>
    </w:sdtContent>
  </w:sdt>
  <w:p w14:paraId="5DBB877B" w14:textId="77777777" w:rsidR="00663366" w:rsidRDefault="006633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69320" w14:textId="77777777" w:rsidR="00663366" w:rsidRDefault="00663366" w:rsidP="00F12074">
      <w:pPr>
        <w:spacing w:line="240" w:lineRule="auto"/>
      </w:pPr>
      <w:r>
        <w:separator/>
      </w:r>
    </w:p>
  </w:footnote>
  <w:footnote w:type="continuationSeparator" w:id="0">
    <w:p w14:paraId="24CFB63B" w14:textId="77777777" w:rsidR="00663366" w:rsidRDefault="00663366" w:rsidP="00F12074">
      <w:pPr>
        <w:spacing w:line="240" w:lineRule="auto"/>
      </w:pPr>
      <w:r>
        <w:continuationSeparator/>
      </w:r>
    </w:p>
  </w:footnote>
  <w:footnote w:type="continuationNotice" w:id="1">
    <w:p w14:paraId="319925CC" w14:textId="77777777" w:rsidR="00663366" w:rsidRDefault="00663366">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E043F" w14:textId="7B97303B" w:rsidR="00A4233B" w:rsidRPr="00A4233B" w:rsidRDefault="004C6E31" w:rsidP="00F12074">
    <w:pPr>
      <w:pStyle w:val="Header"/>
      <w:jc w:val="center"/>
      <w:rPr>
        <w:b/>
      </w:rPr>
    </w:pPr>
    <w:r>
      <w:rPr>
        <w:rFonts w:ascii="Times New Roman" w:hAnsi="Times New Roman"/>
        <w:b/>
        <w:i/>
      </w:rPr>
      <w:t xml:space="preserve">Responses to </w:t>
    </w:r>
    <w:r w:rsidR="00B45FAA">
      <w:rPr>
        <w:rFonts w:ascii="Times New Roman" w:hAnsi="Times New Roman"/>
        <w:b/>
        <w:i/>
      </w:rPr>
      <w:t>60</w:t>
    </w:r>
    <w:r w:rsidR="00440720">
      <w:rPr>
        <w:rFonts w:ascii="Times New Roman" w:hAnsi="Times New Roman"/>
        <w:b/>
        <w:i/>
      </w:rPr>
      <w:t>-</w:t>
    </w:r>
    <w:r w:rsidR="007F7D85">
      <w:rPr>
        <w:rFonts w:ascii="Times New Roman" w:hAnsi="Times New Roman"/>
        <w:b/>
        <w:i/>
      </w:rPr>
      <w:t xml:space="preserve">day FRN </w:t>
    </w:r>
    <w:r>
      <w:rPr>
        <w:rFonts w:ascii="Times New Roman" w:hAnsi="Times New Roman"/>
        <w:b/>
        <w:i/>
      </w:rPr>
      <w:t>Public Comments</w:t>
    </w:r>
  </w:p>
  <w:p w14:paraId="5DBB8777" w14:textId="722237F9" w:rsidR="00663366" w:rsidRPr="00F12074" w:rsidRDefault="00663366" w:rsidP="00F12074">
    <w:pPr>
      <w:pStyle w:val="Header"/>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7803c00c-56d1-48b4-a58d-9078606df776"/>
  </w:docVars>
  <w:rsids>
    <w:rsidRoot w:val="00F12074"/>
    <w:rsid w:val="00011D66"/>
    <w:rsid w:val="00014652"/>
    <w:rsid w:val="00041DB9"/>
    <w:rsid w:val="000465A0"/>
    <w:rsid w:val="0007491D"/>
    <w:rsid w:val="00081A2B"/>
    <w:rsid w:val="00082C97"/>
    <w:rsid w:val="00096D9F"/>
    <w:rsid w:val="00097360"/>
    <w:rsid w:val="000A6D3C"/>
    <w:rsid w:val="000B692C"/>
    <w:rsid w:val="000E6909"/>
    <w:rsid w:val="000F2ABE"/>
    <w:rsid w:val="000F5454"/>
    <w:rsid w:val="000F6AF1"/>
    <w:rsid w:val="00101938"/>
    <w:rsid w:val="0010602F"/>
    <w:rsid w:val="00133F54"/>
    <w:rsid w:val="00137F48"/>
    <w:rsid w:val="0014165B"/>
    <w:rsid w:val="00163B40"/>
    <w:rsid w:val="0016592F"/>
    <w:rsid w:val="00171E13"/>
    <w:rsid w:val="001A177B"/>
    <w:rsid w:val="001B65B0"/>
    <w:rsid w:val="001D707B"/>
    <w:rsid w:val="001E2EB6"/>
    <w:rsid w:val="001E6E2D"/>
    <w:rsid w:val="001F69EA"/>
    <w:rsid w:val="0020370E"/>
    <w:rsid w:val="002214A3"/>
    <w:rsid w:val="00231B22"/>
    <w:rsid w:val="00252332"/>
    <w:rsid w:val="002526C6"/>
    <w:rsid w:val="00262973"/>
    <w:rsid w:val="00287C59"/>
    <w:rsid w:val="00293420"/>
    <w:rsid w:val="00297E7A"/>
    <w:rsid w:val="002A28F1"/>
    <w:rsid w:val="002A791A"/>
    <w:rsid w:val="002D19F0"/>
    <w:rsid w:val="002E0A4B"/>
    <w:rsid w:val="002E7AFD"/>
    <w:rsid w:val="0030103E"/>
    <w:rsid w:val="00314155"/>
    <w:rsid w:val="00315F2B"/>
    <w:rsid w:val="003328B7"/>
    <w:rsid w:val="00343A48"/>
    <w:rsid w:val="003501A4"/>
    <w:rsid w:val="00356BCD"/>
    <w:rsid w:val="00396E15"/>
    <w:rsid w:val="003B39E9"/>
    <w:rsid w:val="003C468D"/>
    <w:rsid w:val="003E04FD"/>
    <w:rsid w:val="00402021"/>
    <w:rsid w:val="004068FC"/>
    <w:rsid w:val="004218B3"/>
    <w:rsid w:val="00440720"/>
    <w:rsid w:val="004453E4"/>
    <w:rsid w:val="00451C2E"/>
    <w:rsid w:val="00452879"/>
    <w:rsid w:val="004528EF"/>
    <w:rsid w:val="00463FC7"/>
    <w:rsid w:val="0048025F"/>
    <w:rsid w:val="0048222B"/>
    <w:rsid w:val="00487822"/>
    <w:rsid w:val="004A1305"/>
    <w:rsid w:val="004A2B5A"/>
    <w:rsid w:val="004B4CF2"/>
    <w:rsid w:val="004B7A13"/>
    <w:rsid w:val="004C6E31"/>
    <w:rsid w:val="004D3B75"/>
    <w:rsid w:val="00541543"/>
    <w:rsid w:val="0055028C"/>
    <w:rsid w:val="00555469"/>
    <w:rsid w:val="00562FF5"/>
    <w:rsid w:val="00573D63"/>
    <w:rsid w:val="00574B72"/>
    <w:rsid w:val="00576C40"/>
    <w:rsid w:val="005A239B"/>
    <w:rsid w:val="005A7FC7"/>
    <w:rsid w:val="005C42C3"/>
    <w:rsid w:val="005C52F6"/>
    <w:rsid w:val="005F094A"/>
    <w:rsid w:val="005F4C69"/>
    <w:rsid w:val="00620454"/>
    <w:rsid w:val="00627A11"/>
    <w:rsid w:val="00634FD3"/>
    <w:rsid w:val="006518D2"/>
    <w:rsid w:val="00652EF3"/>
    <w:rsid w:val="006536CF"/>
    <w:rsid w:val="006631CC"/>
    <w:rsid w:val="00663366"/>
    <w:rsid w:val="00665571"/>
    <w:rsid w:val="00671E8A"/>
    <w:rsid w:val="0067317D"/>
    <w:rsid w:val="006748A5"/>
    <w:rsid w:val="006A66E9"/>
    <w:rsid w:val="006C0C76"/>
    <w:rsid w:val="006E0D20"/>
    <w:rsid w:val="006E419D"/>
    <w:rsid w:val="006F2B82"/>
    <w:rsid w:val="007002D9"/>
    <w:rsid w:val="007039B1"/>
    <w:rsid w:val="0071057A"/>
    <w:rsid w:val="007118A4"/>
    <w:rsid w:val="00714198"/>
    <w:rsid w:val="0072122A"/>
    <w:rsid w:val="00721334"/>
    <w:rsid w:val="00742874"/>
    <w:rsid w:val="0076518F"/>
    <w:rsid w:val="00785636"/>
    <w:rsid w:val="00787CA2"/>
    <w:rsid w:val="007D04B8"/>
    <w:rsid w:val="007D10DB"/>
    <w:rsid w:val="007D1A71"/>
    <w:rsid w:val="007D1AFD"/>
    <w:rsid w:val="007D63C1"/>
    <w:rsid w:val="007D6CB5"/>
    <w:rsid w:val="007F7D85"/>
    <w:rsid w:val="00804263"/>
    <w:rsid w:val="0080631B"/>
    <w:rsid w:val="008661D4"/>
    <w:rsid w:val="00876EB1"/>
    <w:rsid w:val="00890292"/>
    <w:rsid w:val="00892CCA"/>
    <w:rsid w:val="008A3BEB"/>
    <w:rsid w:val="008C2F81"/>
    <w:rsid w:val="008D06F3"/>
    <w:rsid w:val="008D38CD"/>
    <w:rsid w:val="008D6199"/>
    <w:rsid w:val="008F7BB4"/>
    <w:rsid w:val="0090589A"/>
    <w:rsid w:val="00915666"/>
    <w:rsid w:val="00916548"/>
    <w:rsid w:val="00941D76"/>
    <w:rsid w:val="009470A9"/>
    <w:rsid w:val="009527D8"/>
    <w:rsid w:val="00973829"/>
    <w:rsid w:val="00974C35"/>
    <w:rsid w:val="009920D3"/>
    <w:rsid w:val="009B1F60"/>
    <w:rsid w:val="009C6050"/>
    <w:rsid w:val="009D4264"/>
    <w:rsid w:val="009D5B5A"/>
    <w:rsid w:val="009E0F8D"/>
    <w:rsid w:val="009E2CDE"/>
    <w:rsid w:val="009F770E"/>
    <w:rsid w:val="00A01A22"/>
    <w:rsid w:val="00A4233B"/>
    <w:rsid w:val="00A917BE"/>
    <w:rsid w:val="00AA6C81"/>
    <w:rsid w:val="00AD23CC"/>
    <w:rsid w:val="00AE7629"/>
    <w:rsid w:val="00B0267C"/>
    <w:rsid w:val="00B0772F"/>
    <w:rsid w:val="00B2398D"/>
    <w:rsid w:val="00B25F76"/>
    <w:rsid w:val="00B45FAA"/>
    <w:rsid w:val="00B50076"/>
    <w:rsid w:val="00B71C6E"/>
    <w:rsid w:val="00B74A35"/>
    <w:rsid w:val="00BA3372"/>
    <w:rsid w:val="00BC353B"/>
    <w:rsid w:val="00BD147E"/>
    <w:rsid w:val="00BE0FE7"/>
    <w:rsid w:val="00BF55C4"/>
    <w:rsid w:val="00C00D6C"/>
    <w:rsid w:val="00C12062"/>
    <w:rsid w:val="00C15935"/>
    <w:rsid w:val="00C200AD"/>
    <w:rsid w:val="00C2360B"/>
    <w:rsid w:val="00C26147"/>
    <w:rsid w:val="00C436F7"/>
    <w:rsid w:val="00C5460A"/>
    <w:rsid w:val="00C55D06"/>
    <w:rsid w:val="00C73A5B"/>
    <w:rsid w:val="00C84A4A"/>
    <w:rsid w:val="00C91D31"/>
    <w:rsid w:val="00CB0465"/>
    <w:rsid w:val="00CD2C06"/>
    <w:rsid w:val="00CD3171"/>
    <w:rsid w:val="00CF03CA"/>
    <w:rsid w:val="00CF32AC"/>
    <w:rsid w:val="00CF3DCE"/>
    <w:rsid w:val="00D14B75"/>
    <w:rsid w:val="00D21781"/>
    <w:rsid w:val="00D35050"/>
    <w:rsid w:val="00D41A26"/>
    <w:rsid w:val="00D56199"/>
    <w:rsid w:val="00D90C13"/>
    <w:rsid w:val="00D9203D"/>
    <w:rsid w:val="00D926D5"/>
    <w:rsid w:val="00DA6193"/>
    <w:rsid w:val="00DB64E8"/>
    <w:rsid w:val="00DC660A"/>
    <w:rsid w:val="00DC7A84"/>
    <w:rsid w:val="00DE6572"/>
    <w:rsid w:val="00DF1918"/>
    <w:rsid w:val="00E11FD2"/>
    <w:rsid w:val="00E12359"/>
    <w:rsid w:val="00E162C5"/>
    <w:rsid w:val="00E262E6"/>
    <w:rsid w:val="00E31C86"/>
    <w:rsid w:val="00E343E5"/>
    <w:rsid w:val="00E443AA"/>
    <w:rsid w:val="00E44A9A"/>
    <w:rsid w:val="00E52CBB"/>
    <w:rsid w:val="00E570A8"/>
    <w:rsid w:val="00E63D98"/>
    <w:rsid w:val="00E67B66"/>
    <w:rsid w:val="00E77E86"/>
    <w:rsid w:val="00EB4279"/>
    <w:rsid w:val="00EB4751"/>
    <w:rsid w:val="00EB758B"/>
    <w:rsid w:val="00ED315B"/>
    <w:rsid w:val="00EE337E"/>
    <w:rsid w:val="00EE6F79"/>
    <w:rsid w:val="00EF54D0"/>
    <w:rsid w:val="00F12074"/>
    <w:rsid w:val="00F13CAF"/>
    <w:rsid w:val="00F2167C"/>
    <w:rsid w:val="00F228D4"/>
    <w:rsid w:val="00F30F10"/>
    <w:rsid w:val="00F422B0"/>
    <w:rsid w:val="00F46914"/>
    <w:rsid w:val="00F64D3A"/>
    <w:rsid w:val="00FC24B8"/>
    <w:rsid w:val="00FC67A6"/>
    <w:rsid w:val="00FF5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DBB8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B692C"/>
    <w:pPr>
      <w:spacing w:before="100" w:beforeAutospacing="1" w:after="100" w:afterAutospacing="1"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074"/>
    <w:pPr>
      <w:tabs>
        <w:tab w:val="center" w:pos="4680"/>
        <w:tab w:val="right" w:pos="9360"/>
      </w:tabs>
      <w:spacing w:line="240" w:lineRule="auto"/>
    </w:pPr>
  </w:style>
  <w:style w:type="character" w:customStyle="1" w:styleId="HeaderChar">
    <w:name w:val="Header Char"/>
    <w:basedOn w:val="DefaultParagraphFont"/>
    <w:link w:val="Header"/>
    <w:uiPriority w:val="99"/>
    <w:rsid w:val="00F12074"/>
  </w:style>
  <w:style w:type="paragraph" w:styleId="Footer">
    <w:name w:val="footer"/>
    <w:basedOn w:val="Normal"/>
    <w:link w:val="FooterChar"/>
    <w:uiPriority w:val="99"/>
    <w:unhideWhenUsed/>
    <w:rsid w:val="00F12074"/>
    <w:pPr>
      <w:tabs>
        <w:tab w:val="center" w:pos="4680"/>
        <w:tab w:val="right" w:pos="9360"/>
      </w:tabs>
      <w:spacing w:line="240" w:lineRule="auto"/>
    </w:pPr>
  </w:style>
  <w:style w:type="character" w:customStyle="1" w:styleId="FooterChar">
    <w:name w:val="Footer Char"/>
    <w:basedOn w:val="DefaultParagraphFont"/>
    <w:link w:val="Footer"/>
    <w:uiPriority w:val="99"/>
    <w:rsid w:val="00F12074"/>
  </w:style>
  <w:style w:type="paragraph" w:styleId="BalloonText">
    <w:name w:val="Balloon Text"/>
    <w:basedOn w:val="Normal"/>
    <w:link w:val="BalloonTextChar"/>
    <w:uiPriority w:val="99"/>
    <w:semiHidden/>
    <w:unhideWhenUsed/>
    <w:rsid w:val="00F120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074"/>
    <w:rPr>
      <w:rFonts w:ascii="Tahoma" w:hAnsi="Tahoma" w:cs="Tahoma"/>
      <w:sz w:val="16"/>
      <w:szCs w:val="16"/>
    </w:rPr>
  </w:style>
  <w:style w:type="table" w:styleId="TableGrid">
    <w:name w:val="Table Grid"/>
    <w:basedOn w:val="TableNormal"/>
    <w:uiPriority w:val="59"/>
    <w:rsid w:val="00F120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2C06"/>
    <w:rPr>
      <w:sz w:val="16"/>
      <w:szCs w:val="16"/>
    </w:rPr>
  </w:style>
  <w:style w:type="paragraph" w:styleId="CommentText">
    <w:name w:val="annotation text"/>
    <w:basedOn w:val="Normal"/>
    <w:link w:val="CommentTextChar"/>
    <w:uiPriority w:val="99"/>
    <w:semiHidden/>
    <w:unhideWhenUsed/>
    <w:rsid w:val="00CD2C06"/>
    <w:pPr>
      <w:spacing w:line="240" w:lineRule="auto"/>
    </w:pPr>
    <w:rPr>
      <w:sz w:val="20"/>
      <w:szCs w:val="20"/>
    </w:rPr>
  </w:style>
  <w:style w:type="character" w:customStyle="1" w:styleId="CommentTextChar">
    <w:name w:val="Comment Text Char"/>
    <w:basedOn w:val="DefaultParagraphFont"/>
    <w:link w:val="CommentText"/>
    <w:uiPriority w:val="99"/>
    <w:semiHidden/>
    <w:rsid w:val="00CD2C06"/>
    <w:rPr>
      <w:sz w:val="20"/>
      <w:szCs w:val="20"/>
    </w:rPr>
  </w:style>
  <w:style w:type="paragraph" w:styleId="CommentSubject">
    <w:name w:val="annotation subject"/>
    <w:basedOn w:val="CommentText"/>
    <w:next w:val="CommentText"/>
    <w:link w:val="CommentSubjectChar"/>
    <w:uiPriority w:val="99"/>
    <w:semiHidden/>
    <w:unhideWhenUsed/>
    <w:rsid w:val="00CD2C06"/>
    <w:rPr>
      <w:b/>
      <w:bCs/>
    </w:rPr>
  </w:style>
  <w:style w:type="character" w:customStyle="1" w:styleId="CommentSubjectChar">
    <w:name w:val="Comment Subject Char"/>
    <w:basedOn w:val="CommentTextChar"/>
    <w:link w:val="CommentSubject"/>
    <w:uiPriority w:val="99"/>
    <w:semiHidden/>
    <w:rsid w:val="00CD2C06"/>
    <w:rPr>
      <w:b/>
      <w:bCs/>
      <w:sz w:val="20"/>
      <w:szCs w:val="20"/>
    </w:rPr>
  </w:style>
  <w:style w:type="paragraph" w:customStyle="1" w:styleId="Default">
    <w:name w:val="Default"/>
    <w:rsid w:val="007D63C1"/>
    <w:pPr>
      <w:autoSpaceDE w:val="0"/>
      <w:autoSpaceDN w:val="0"/>
      <w:adjustRightInd w:val="0"/>
      <w:spacing w:line="240" w:lineRule="auto"/>
    </w:pPr>
    <w:rPr>
      <w:rFonts w:ascii="Calibri" w:eastAsia="Times New Roman" w:hAnsi="Calibri" w:cs="Calibri"/>
      <w:color w:val="000000"/>
      <w:sz w:val="24"/>
      <w:szCs w:val="24"/>
    </w:rPr>
  </w:style>
  <w:style w:type="character" w:customStyle="1" w:styleId="Heading2Char">
    <w:name w:val="Heading 2 Char"/>
    <w:basedOn w:val="DefaultParagraphFont"/>
    <w:link w:val="Heading2"/>
    <w:uiPriority w:val="9"/>
    <w:rsid w:val="000B692C"/>
    <w:rPr>
      <w:rFonts w:ascii="Times New Roman" w:eastAsia="Times New Roman" w:hAnsi="Times New Roman" w:cs="Times New Roman"/>
      <w:b/>
      <w:bCs/>
      <w:sz w:val="24"/>
      <w:szCs w:val="24"/>
    </w:rPr>
  </w:style>
  <w:style w:type="character" w:customStyle="1" w:styleId="giy1lsjpvd">
    <w:name w:val="giy1lsjpvd"/>
    <w:basedOn w:val="DefaultParagraphFont"/>
    <w:rsid w:val="000B692C"/>
  </w:style>
  <w:style w:type="paragraph" w:styleId="ListParagraph">
    <w:name w:val="List Paragraph"/>
    <w:basedOn w:val="Normal"/>
    <w:uiPriority w:val="34"/>
    <w:qFormat/>
    <w:rsid w:val="009D4264"/>
    <w:pPr>
      <w:widowControl w:val="0"/>
      <w:autoSpaceDE w:val="0"/>
      <w:autoSpaceDN w:val="0"/>
      <w:adjustRightInd w:val="0"/>
      <w:spacing w:line="240" w:lineRule="auto"/>
      <w:ind w:left="720"/>
      <w:contextualSpacing/>
    </w:pPr>
    <w:rPr>
      <w:rFonts w:ascii="Courier" w:eastAsia="Times New Roman" w:hAnsi="Courier"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B692C"/>
    <w:pPr>
      <w:spacing w:before="100" w:beforeAutospacing="1" w:after="100" w:afterAutospacing="1" w:line="240" w:lineRule="auto"/>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074"/>
    <w:pPr>
      <w:tabs>
        <w:tab w:val="center" w:pos="4680"/>
        <w:tab w:val="right" w:pos="9360"/>
      </w:tabs>
      <w:spacing w:line="240" w:lineRule="auto"/>
    </w:pPr>
  </w:style>
  <w:style w:type="character" w:customStyle="1" w:styleId="HeaderChar">
    <w:name w:val="Header Char"/>
    <w:basedOn w:val="DefaultParagraphFont"/>
    <w:link w:val="Header"/>
    <w:uiPriority w:val="99"/>
    <w:rsid w:val="00F12074"/>
  </w:style>
  <w:style w:type="paragraph" w:styleId="Footer">
    <w:name w:val="footer"/>
    <w:basedOn w:val="Normal"/>
    <w:link w:val="FooterChar"/>
    <w:uiPriority w:val="99"/>
    <w:unhideWhenUsed/>
    <w:rsid w:val="00F12074"/>
    <w:pPr>
      <w:tabs>
        <w:tab w:val="center" w:pos="4680"/>
        <w:tab w:val="right" w:pos="9360"/>
      </w:tabs>
      <w:spacing w:line="240" w:lineRule="auto"/>
    </w:pPr>
  </w:style>
  <w:style w:type="character" w:customStyle="1" w:styleId="FooterChar">
    <w:name w:val="Footer Char"/>
    <w:basedOn w:val="DefaultParagraphFont"/>
    <w:link w:val="Footer"/>
    <w:uiPriority w:val="99"/>
    <w:rsid w:val="00F12074"/>
  </w:style>
  <w:style w:type="paragraph" w:styleId="BalloonText">
    <w:name w:val="Balloon Text"/>
    <w:basedOn w:val="Normal"/>
    <w:link w:val="BalloonTextChar"/>
    <w:uiPriority w:val="99"/>
    <w:semiHidden/>
    <w:unhideWhenUsed/>
    <w:rsid w:val="00F120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074"/>
    <w:rPr>
      <w:rFonts w:ascii="Tahoma" w:hAnsi="Tahoma" w:cs="Tahoma"/>
      <w:sz w:val="16"/>
      <w:szCs w:val="16"/>
    </w:rPr>
  </w:style>
  <w:style w:type="table" w:styleId="TableGrid">
    <w:name w:val="Table Grid"/>
    <w:basedOn w:val="TableNormal"/>
    <w:uiPriority w:val="59"/>
    <w:rsid w:val="00F1207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D2C06"/>
    <w:rPr>
      <w:sz w:val="16"/>
      <w:szCs w:val="16"/>
    </w:rPr>
  </w:style>
  <w:style w:type="paragraph" w:styleId="CommentText">
    <w:name w:val="annotation text"/>
    <w:basedOn w:val="Normal"/>
    <w:link w:val="CommentTextChar"/>
    <w:uiPriority w:val="99"/>
    <w:semiHidden/>
    <w:unhideWhenUsed/>
    <w:rsid w:val="00CD2C06"/>
    <w:pPr>
      <w:spacing w:line="240" w:lineRule="auto"/>
    </w:pPr>
    <w:rPr>
      <w:sz w:val="20"/>
      <w:szCs w:val="20"/>
    </w:rPr>
  </w:style>
  <w:style w:type="character" w:customStyle="1" w:styleId="CommentTextChar">
    <w:name w:val="Comment Text Char"/>
    <w:basedOn w:val="DefaultParagraphFont"/>
    <w:link w:val="CommentText"/>
    <w:uiPriority w:val="99"/>
    <w:semiHidden/>
    <w:rsid w:val="00CD2C06"/>
    <w:rPr>
      <w:sz w:val="20"/>
      <w:szCs w:val="20"/>
    </w:rPr>
  </w:style>
  <w:style w:type="paragraph" w:styleId="CommentSubject">
    <w:name w:val="annotation subject"/>
    <w:basedOn w:val="CommentText"/>
    <w:next w:val="CommentText"/>
    <w:link w:val="CommentSubjectChar"/>
    <w:uiPriority w:val="99"/>
    <w:semiHidden/>
    <w:unhideWhenUsed/>
    <w:rsid w:val="00CD2C06"/>
    <w:rPr>
      <w:b/>
      <w:bCs/>
    </w:rPr>
  </w:style>
  <w:style w:type="character" w:customStyle="1" w:styleId="CommentSubjectChar">
    <w:name w:val="Comment Subject Char"/>
    <w:basedOn w:val="CommentTextChar"/>
    <w:link w:val="CommentSubject"/>
    <w:uiPriority w:val="99"/>
    <w:semiHidden/>
    <w:rsid w:val="00CD2C06"/>
    <w:rPr>
      <w:b/>
      <w:bCs/>
      <w:sz w:val="20"/>
      <w:szCs w:val="20"/>
    </w:rPr>
  </w:style>
  <w:style w:type="paragraph" w:customStyle="1" w:styleId="Default">
    <w:name w:val="Default"/>
    <w:rsid w:val="007D63C1"/>
    <w:pPr>
      <w:autoSpaceDE w:val="0"/>
      <w:autoSpaceDN w:val="0"/>
      <w:adjustRightInd w:val="0"/>
      <w:spacing w:line="240" w:lineRule="auto"/>
    </w:pPr>
    <w:rPr>
      <w:rFonts w:ascii="Calibri" w:eastAsia="Times New Roman" w:hAnsi="Calibri" w:cs="Calibri"/>
      <w:color w:val="000000"/>
      <w:sz w:val="24"/>
      <w:szCs w:val="24"/>
    </w:rPr>
  </w:style>
  <w:style w:type="character" w:customStyle="1" w:styleId="Heading2Char">
    <w:name w:val="Heading 2 Char"/>
    <w:basedOn w:val="DefaultParagraphFont"/>
    <w:link w:val="Heading2"/>
    <w:uiPriority w:val="9"/>
    <w:rsid w:val="000B692C"/>
    <w:rPr>
      <w:rFonts w:ascii="Times New Roman" w:eastAsia="Times New Roman" w:hAnsi="Times New Roman" w:cs="Times New Roman"/>
      <w:b/>
      <w:bCs/>
      <w:sz w:val="24"/>
      <w:szCs w:val="24"/>
    </w:rPr>
  </w:style>
  <w:style w:type="character" w:customStyle="1" w:styleId="giy1lsjpvd">
    <w:name w:val="giy1lsjpvd"/>
    <w:basedOn w:val="DefaultParagraphFont"/>
    <w:rsid w:val="000B692C"/>
  </w:style>
  <w:style w:type="paragraph" w:styleId="ListParagraph">
    <w:name w:val="List Paragraph"/>
    <w:basedOn w:val="Normal"/>
    <w:uiPriority w:val="34"/>
    <w:qFormat/>
    <w:rsid w:val="009D4264"/>
    <w:pPr>
      <w:widowControl w:val="0"/>
      <w:autoSpaceDE w:val="0"/>
      <w:autoSpaceDN w:val="0"/>
      <w:adjustRightInd w:val="0"/>
      <w:spacing w:line="240" w:lineRule="auto"/>
      <w:ind w:left="720"/>
      <w:contextualSpacing/>
    </w:pPr>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0296">
      <w:bodyDiv w:val="1"/>
      <w:marLeft w:val="0"/>
      <w:marRight w:val="0"/>
      <w:marTop w:val="0"/>
      <w:marBottom w:val="0"/>
      <w:divBdr>
        <w:top w:val="none" w:sz="0" w:space="0" w:color="auto"/>
        <w:left w:val="none" w:sz="0" w:space="0" w:color="auto"/>
        <w:bottom w:val="none" w:sz="0" w:space="0" w:color="auto"/>
        <w:right w:val="none" w:sz="0" w:space="0" w:color="auto"/>
      </w:divBdr>
    </w:div>
    <w:div w:id="42826283">
      <w:bodyDiv w:val="1"/>
      <w:marLeft w:val="0"/>
      <w:marRight w:val="0"/>
      <w:marTop w:val="0"/>
      <w:marBottom w:val="0"/>
      <w:divBdr>
        <w:top w:val="none" w:sz="0" w:space="0" w:color="auto"/>
        <w:left w:val="none" w:sz="0" w:space="0" w:color="auto"/>
        <w:bottom w:val="none" w:sz="0" w:space="0" w:color="auto"/>
        <w:right w:val="none" w:sz="0" w:space="0" w:color="auto"/>
      </w:divBdr>
    </w:div>
    <w:div w:id="86116970">
      <w:bodyDiv w:val="1"/>
      <w:marLeft w:val="0"/>
      <w:marRight w:val="0"/>
      <w:marTop w:val="0"/>
      <w:marBottom w:val="0"/>
      <w:divBdr>
        <w:top w:val="none" w:sz="0" w:space="0" w:color="auto"/>
        <w:left w:val="none" w:sz="0" w:space="0" w:color="auto"/>
        <w:bottom w:val="none" w:sz="0" w:space="0" w:color="auto"/>
        <w:right w:val="none" w:sz="0" w:space="0" w:color="auto"/>
      </w:divBdr>
      <w:divsChild>
        <w:div w:id="1719628378">
          <w:marLeft w:val="0"/>
          <w:marRight w:val="0"/>
          <w:marTop w:val="0"/>
          <w:marBottom w:val="0"/>
          <w:divBdr>
            <w:top w:val="none" w:sz="0" w:space="0" w:color="auto"/>
            <w:left w:val="none" w:sz="0" w:space="0" w:color="auto"/>
            <w:bottom w:val="none" w:sz="0" w:space="0" w:color="auto"/>
            <w:right w:val="none" w:sz="0" w:space="0" w:color="auto"/>
          </w:divBdr>
          <w:divsChild>
            <w:div w:id="1658878754">
              <w:marLeft w:val="0"/>
              <w:marRight w:val="0"/>
              <w:marTop w:val="0"/>
              <w:marBottom w:val="0"/>
              <w:divBdr>
                <w:top w:val="none" w:sz="0" w:space="0" w:color="auto"/>
                <w:left w:val="none" w:sz="0" w:space="0" w:color="auto"/>
                <w:bottom w:val="none" w:sz="0" w:space="0" w:color="auto"/>
                <w:right w:val="none" w:sz="0" w:space="0" w:color="auto"/>
              </w:divBdr>
              <w:divsChild>
                <w:div w:id="509370647">
                  <w:marLeft w:val="0"/>
                  <w:marRight w:val="0"/>
                  <w:marTop w:val="0"/>
                  <w:marBottom w:val="0"/>
                  <w:divBdr>
                    <w:top w:val="none" w:sz="0" w:space="0" w:color="auto"/>
                    <w:left w:val="none" w:sz="0" w:space="0" w:color="auto"/>
                    <w:bottom w:val="none" w:sz="0" w:space="0" w:color="auto"/>
                    <w:right w:val="none" w:sz="0" w:space="0" w:color="auto"/>
                  </w:divBdr>
                  <w:divsChild>
                    <w:div w:id="418795443">
                      <w:marLeft w:val="0"/>
                      <w:marRight w:val="0"/>
                      <w:marTop w:val="0"/>
                      <w:marBottom w:val="0"/>
                      <w:divBdr>
                        <w:top w:val="none" w:sz="0" w:space="0" w:color="auto"/>
                        <w:left w:val="none" w:sz="0" w:space="0" w:color="auto"/>
                        <w:bottom w:val="none" w:sz="0" w:space="0" w:color="auto"/>
                        <w:right w:val="none" w:sz="0" w:space="0" w:color="auto"/>
                      </w:divBdr>
                      <w:divsChild>
                        <w:div w:id="230624007">
                          <w:marLeft w:val="0"/>
                          <w:marRight w:val="0"/>
                          <w:marTop w:val="0"/>
                          <w:marBottom w:val="0"/>
                          <w:divBdr>
                            <w:top w:val="none" w:sz="0" w:space="0" w:color="auto"/>
                            <w:left w:val="none" w:sz="0" w:space="0" w:color="auto"/>
                            <w:bottom w:val="none" w:sz="0" w:space="0" w:color="auto"/>
                            <w:right w:val="none" w:sz="0" w:space="0" w:color="auto"/>
                          </w:divBdr>
                          <w:divsChild>
                            <w:div w:id="534923785">
                              <w:marLeft w:val="0"/>
                              <w:marRight w:val="0"/>
                              <w:marTop w:val="0"/>
                              <w:marBottom w:val="0"/>
                              <w:divBdr>
                                <w:top w:val="none" w:sz="0" w:space="0" w:color="auto"/>
                                <w:left w:val="none" w:sz="0" w:space="0" w:color="auto"/>
                                <w:bottom w:val="none" w:sz="0" w:space="0" w:color="auto"/>
                                <w:right w:val="none" w:sz="0" w:space="0" w:color="auto"/>
                              </w:divBdr>
                              <w:divsChild>
                                <w:div w:id="852955441">
                                  <w:marLeft w:val="0"/>
                                  <w:marRight w:val="0"/>
                                  <w:marTop w:val="0"/>
                                  <w:marBottom w:val="0"/>
                                  <w:divBdr>
                                    <w:top w:val="none" w:sz="0" w:space="0" w:color="auto"/>
                                    <w:left w:val="none" w:sz="0" w:space="0" w:color="auto"/>
                                    <w:bottom w:val="none" w:sz="0" w:space="0" w:color="auto"/>
                                    <w:right w:val="none" w:sz="0" w:space="0" w:color="auto"/>
                                  </w:divBdr>
                                  <w:divsChild>
                                    <w:div w:id="811563596">
                                      <w:marLeft w:val="0"/>
                                      <w:marRight w:val="0"/>
                                      <w:marTop w:val="0"/>
                                      <w:marBottom w:val="0"/>
                                      <w:divBdr>
                                        <w:top w:val="none" w:sz="0" w:space="0" w:color="auto"/>
                                        <w:left w:val="none" w:sz="0" w:space="0" w:color="auto"/>
                                        <w:bottom w:val="none" w:sz="0" w:space="0" w:color="auto"/>
                                        <w:right w:val="none" w:sz="0" w:space="0" w:color="auto"/>
                                      </w:divBdr>
                                      <w:divsChild>
                                        <w:div w:id="785932833">
                                          <w:marLeft w:val="0"/>
                                          <w:marRight w:val="0"/>
                                          <w:marTop w:val="0"/>
                                          <w:marBottom w:val="0"/>
                                          <w:divBdr>
                                            <w:top w:val="none" w:sz="0" w:space="0" w:color="auto"/>
                                            <w:left w:val="none" w:sz="0" w:space="0" w:color="auto"/>
                                            <w:bottom w:val="none" w:sz="0" w:space="0" w:color="auto"/>
                                            <w:right w:val="none" w:sz="0" w:space="0" w:color="auto"/>
                                          </w:divBdr>
                                          <w:divsChild>
                                            <w:div w:id="176047993">
                                              <w:marLeft w:val="0"/>
                                              <w:marRight w:val="0"/>
                                              <w:marTop w:val="0"/>
                                              <w:marBottom w:val="0"/>
                                              <w:divBdr>
                                                <w:top w:val="none" w:sz="0" w:space="0" w:color="auto"/>
                                                <w:left w:val="none" w:sz="0" w:space="0" w:color="auto"/>
                                                <w:bottom w:val="none" w:sz="0" w:space="0" w:color="auto"/>
                                                <w:right w:val="none" w:sz="0" w:space="0" w:color="auto"/>
                                              </w:divBdr>
                                            </w:div>
                                            <w:div w:id="35554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2868">
                                      <w:marLeft w:val="0"/>
                                      <w:marRight w:val="0"/>
                                      <w:marTop w:val="0"/>
                                      <w:marBottom w:val="0"/>
                                      <w:divBdr>
                                        <w:top w:val="none" w:sz="0" w:space="0" w:color="auto"/>
                                        <w:left w:val="none" w:sz="0" w:space="0" w:color="auto"/>
                                        <w:bottom w:val="none" w:sz="0" w:space="0" w:color="auto"/>
                                        <w:right w:val="none" w:sz="0" w:space="0" w:color="auto"/>
                                      </w:divBdr>
                                      <w:divsChild>
                                        <w:div w:id="146742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21221">
      <w:bodyDiv w:val="1"/>
      <w:marLeft w:val="0"/>
      <w:marRight w:val="0"/>
      <w:marTop w:val="0"/>
      <w:marBottom w:val="0"/>
      <w:divBdr>
        <w:top w:val="none" w:sz="0" w:space="0" w:color="auto"/>
        <w:left w:val="none" w:sz="0" w:space="0" w:color="auto"/>
        <w:bottom w:val="none" w:sz="0" w:space="0" w:color="auto"/>
        <w:right w:val="none" w:sz="0" w:space="0" w:color="auto"/>
      </w:divBdr>
    </w:div>
    <w:div w:id="98990233">
      <w:bodyDiv w:val="1"/>
      <w:marLeft w:val="0"/>
      <w:marRight w:val="0"/>
      <w:marTop w:val="0"/>
      <w:marBottom w:val="0"/>
      <w:divBdr>
        <w:top w:val="none" w:sz="0" w:space="0" w:color="auto"/>
        <w:left w:val="none" w:sz="0" w:space="0" w:color="auto"/>
        <w:bottom w:val="none" w:sz="0" w:space="0" w:color="auto"/>
        <w:right w:val="none" w:sz="0" w:space="0" w:color="auto"/>
      </w:divBdr>
    </w:div>
    <w:div w:id="110320118">
      <w:bodyDiv w:val="1"/>
      <w:marLeft w:val="0"/>
      <w:marRight w:val="0"/>
      <w:marTop w:val="0"/>
      <w:marBottom w:val="0"/>
      <w:divBdr>
        <w:top w:val="none" w:sz="0" w:space="0" w:color="auto"/>
        <w:left w:val="none" w:sz="0" w:space="0" w:color="auto"/>
        <w:bottom w:val="none" w:sz="0" w:space="0" w:color="auto"/>
        <w:right w:val="none" w:sz="0" w:space="0" w:color="auto"/>
      </w:divBdr>
    </w:div>
    <w:div w:id="111019970">
      <w:bodyDiv w:val="1"/>
      <w:marLeft w:val="0"/>
      <w:marRight w:val="0"/>
      <w:marTop w:val="0"/>
      <w:marBottom w:val="0"/>
      <w:divBdr>
        <w:top w:val="none" w:sz="0" w:space="0" w:color="auto"/>
        <w:left w:val="none" w:sz="0" w:space="0" w:color="auto"/>
        <w:bottom w:val="none" w:sz="0" w:space="0" w:color="auto"/>
        <w:right w:val="none" w:sz="0" w:space="0" w:color="auto"/>
      </w:divBdr>
    </w:div>
    <w:div w:id="207882496">
      <w:bodyDiv w:val="1"/>
      <w:marLeft w:val="0"/>
      <w:marRight w:val="0"/>
      <w:marTop w:val="0"/>
      <w:marBottom w:val="0"/>
      <w:divBdr>
        <w:top w:val="none" w:sz="0" w:space="0" w:color="auto"/>
        <w:left w:val="none" w:sz="0" w:space="0" w:color="auto"/>
        <w:bottom w:val="none" w:sz="0" w:space="0" w:color="auto"/>
        <w:right w:val="none" w:sz="0" w:space="0" w:color="auto"/>
      </w:divBdr>
      <w:divsChild>
        <w:div w:id="1437556376">
          <w:marLeft w:val="0"/>
          <w:marRight w:val="0"/>
          <w:marTop w:val="0"/>
          <w:marBottom w:val="0"/>
          <w:divBdr>
            <w:top w:val="none" w:sz="0" w:space="0" w:color="auto"/>
            <w:left w:val="none" w:sz="0" w:space="0" w:color="auto"/>
            <w:bottom w:val="none" w:sz="0" w:space="0" w:color="auto"/>
            <w:right w:val="none" w:sz="0" w:space="0" w:color="auto"/>
          </w:divBdr>
          <w:divsChild>
            <w:div w:id="1976642608">
              <w:marLeft w:val="0"/>
              <w:marRight w:val="0"/>
              <w:marTop w:val="0"/>
              <w:marBottom w:val="0"/>
              <w:divBdr>
                <w:top w:val="none" w:sz="0" w:space="0" w:color="auto"/>
                <w:left w:val="none" w:sz="0" w:space="0" w:color="auto"/>
                <w:bottom w:val="none" w:sz="0" w:space="0" w:color="auto"/>
                <w:right w:val="none" w:sz="0" w:space="0" w:color="auto"/>
              </w:divBdr>
              <w:divsChild>
                <w:div w:id="1649437066">
                  <w:marLeft w:val="0"/>
                  <w:marRight w:val="0"/>
                  <w:marTop w:val="0"/>
                  <w:marBottom w:val="0"/>
                  <w:divBdr>
                    <w:top w:val="none" w:sz="0" w:space="0" w:color="auto"/>
                    <w:left w:val="none" w:sz="0" w:space="0" w:color="auto"/>
                    <w:bottom w:val="none" w:sz="0" w:space="0" w:color="auto"/>
                    <w:right w:val="none" w:sz="0" w:space="0" w:color="auto"/>
                  </w:divBdr>
                  <w:divsChild>
                    <w:div w:id="152568905">
                      <w:marLeft w:val="0"/>
                      <w:marRight w:val="0"/>
                      <w:marTop w:val="0"/>
                      <w:marBottom w:val="0"/>
                      <w:divBdr>
                        <w:top w:val="none" w:sz="0" w:space="0" w:color="auto"/>
                        <w:left w:val="none" w:sz="0" w:space="0" w:color="auto"/>
                        <w:bottom w:val="none" w:sz="0" w:space="0" w:color="auto"/>
                        <w:right w:val="none" w:sz="0" w:space="0" w:color="auto"/>
                      </w:divBdr>
                      <w:divsChild>
                        <w:div w:id="421877172">
                          <w:marLeft w:val="0"/>
                          <w:marRight w:val="0"/>
                          <w:marTop w:val="0"/>
                          <w:marBottom w:val="0"/>
                          <w:divBdr>
                            <w:top w:val="none" w:sz="0" w:space="0" w:color="auto"/>
                            <w:left w:val="none" w:sz="0" w:space="0" w:color="auto"/>
                            <w:bottom w:val="none" w:sz="0" w:space="0" w:color="auto"/>
                            <w:right w:val="none" w:sz="0" w:space="0" w:color="auto"/>
                          </w:divBdr>
                          <w:divsChild>
                            <w:div w:id="1070930490">
                              <w:marLeft w:val="0"/>
                              <w:marRight w:val="0"/>
                              <w:marTop w:val="0"/>
                              <w:marBottom w:val="0"/>
                              <w:divBdr>
                                <w:top w:val="none" w:sz="0" w:space="0" w:color="auto"/>
                                <w:left w:val="none" w:sz="0" w:space="0" w:color="auto"/>
                                <w:bottom w:val="none" w:sz="0" w:space="0" w:color="auto"/>
                                <w:right w:val="none" w:sz="0" w:space="0" w:color="auto"/>
                              </w:divBdr>
                              <w:divsChild>
                                <w:div w:id="1434856218">
                                  <w:marLeft w:val="0"/>
                                  <w:marRight w:val="0"/>
                                  <w:marTop w:val="0"/>
                                  <w:marBottom w:val="0"/>
                                  <w:divBdr>
                                    <w:top w:val="none" w:sz="0" w:space="0" w:color="auto"/>
                                    <w:left w:val="none" w:sz="0" w:space="0" w:color="auto"/>
                                    <w:bottom w:val="none" w:sz="0" w:space="0" w:color="auto"/>
                                    <w:right w:val="none" w:sz="0" w:space="0" w:color="auto"/>
                                  </w:divBdr>
                                  <w:divsChild>
                                    <w:div w:id="1017580037">
                                      <w:marLeft w:val="0"/>
                                      <w:marRight w:val="0"/>
                                      <w:marTop w:val="0"/>
                                      <w:marBottom w:val="0"/>
                                      <w:divBdr>
                                        <w:top w:val="none" w:sz="0" w:space="0" w:color="auto"/>
                                        <w:left w:val="none" w:sz="0" w:space="0" w:color="auto"/>
                                        <w:bottom w:val="none" w:sz="0" w:space="0" w:color="auto"/>
                                        <w:right w:val="none" w:sz="0" w:space="0" w:color="auto"/>
                                      </w:divBdr>
                                      <w:divsChild>
                                        <w:div w:id="870731483">
                                          <w:marLeft w:val="0"/>
                                          <w:marRight w:val="0"/>
                                          <w:marTop w:val="0"/>
                                          <w:marBottom w:val="0"/>
                                          <w:divBdr>
                                            <w:top w:val="none" w:sz="0" w:space="0" w:color="auto"/>
                                            <w:left w:val="none" w:sz="0" w:space="0" w:color="auto"/>
                                            <w:bottom w:val="none" w:sz="0" w:space="0" w:color="auto"/>
                                            <w:right w:val="none" w:sz="0" w:space="0" w:color="auto"/>
                                          </w:divBdr>
                                          <w:divsChild>
                                            <w:div w:id="1257977342">
                                              <w:marLeft w:val="0"/>
                                              <w:marRight w:val="0"/>
                                              <w:marTop w:val="0"/>
                                              <w:marBottom w:val="0"/>
                                              <w:divBdr>
                                                <w:top w:val="none" w:sz="0" w:space="0" w:color="auto"/>
                                                <w:left w:val="none" w:sz="0" w:space="0" w:color="auto"/>
                                                <w:bottom w:val="none" w:sz="0" w:space="0" w:color="auto"/>
                                                <w:right w:val="none" w:sz="0" w:space="0" w:color="auto"/>
                                              </w:divBdr>
                                            </w:div>
                                            <w:div w:id="20724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412240">
                                      <w:marLeft w:val="0"/>
                                      <w:marRight w:val="0"/>
                                      <w:marTop w:val="0"/>
                                      <w:marBottom w:val="0"/>
                                      <w:divBdr>
                                        <w:top w:val="none" w:sz="0" w:space="0" w:color="auto"/>
                                        <w:left w:val="none" w:sz="0" w:space="0" w:color="auto"/>
                                        <w:bottom w:val="none" w:sz="0" w:space="0" w:color="auto"/>
                                        <w:right w:val="none" w:sz="0" w:space="0" w:color="auto"/>
                                      </w:divBdr>
                                      <w:divsChild>
                                        <w:div w:id="16009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337124">
      <w:bodyDiv w:val="1"/>
      <w:marLeft w:val="0"/>
      <w:marRight w:val="0"/>
      <w:marTop w:val="0"/>
      <w:marBottom w:val="0"/>
      <w:divBdr>
        <w:top w:val="none" w:sz="0" w:space="0" w:color="auto"/>
        <w:left w:val="none" w:sz="0" w:space="0" w:color="auto"/>
        <w:bottom w:val="none" w:sz="0" w:space="0" w:color="auto"/>
        <w:right w:val="none" w:sz="0" w:space="0" w:color="auto"/>
      </w:divBdr>
    </w:div>
    <w:div w:id="402412582">
      <w:bodyDiv w:val="1"/>
      <w:marLeft w:val="0"/>
      <w:marRight w:val="0"/>
      <w:marTop w:val="0"/>
      <w:marBottom w:val="0"/>
      <w:divBdr>
        <w:top w:val="none" w:sz="0" w:space="0" w:color="auto"/>
        <w:left w:val="none" w:sz="0" w:space="0" w:color="auto"/>
        <w:bottom w:val="none" w:sz="0" w:space="0" w:color="auto"/>
        <w:right w:val="none" w:sz="0" w:space="0" w:color="auto"/>
      </w:divBdr>
      <w:divsChild>
        <w:div w:id="1828861760">
          <w:marLeft w:val="0"/>
          <w:marRight w:val="0"/>
          <w:marTop w:val="0"/>
          <w:marBottom w:val="0"/>
          <w:divBdr>
            <w:top w:val="none" w:sz="0" w:space="0" w:color="auto"/>
            <w:left w:val="none" w:sz="0" w:space="0" w:color="auto"/>
            <w:bottom w:val="none" w:sz="0" w:space="0" w:color="auto"/>
            <w:right w:val="none" w:sz="0" w:space="0" w:color="auto"/>
          </w:divBdr>
          <w:divsChild>
            <w:div w:id="1891766800">
              <w:marLeft w:val="0"/>
              <w:marRight w:val="0"/>
              <w:marTop w:val="525"/>
              <w:marBottom w:val="0"/>
              <w:divBdr>
                <w:top w:val="none" w:sz="0" w:space="0" w:color="auto"/>
                <w:left w:val="none" w:sz="0" w:space="0" w:color="auto"/>
                <w:bottom w:val="none" w:sz="0" w:space="0" w:color="auto"/>
                <w:right w:val="none" w:sz="0" w:space="0" w:color="auto"/>
              </w:divBdr>
              <w:divsChild>
                <w:div w:id="2132820479">
                  <w:marLeft w:val="0"/>
                  <w:marRight w:val="0"/>
                  <w:marTop w:val="150"/>
                  <w:marBottom w:val="0"/>
                  <w:divBdr>
                    <w:top w:val="none" w:sz="0" w:space="0" w:color="auto"/>
                    <w:left w:val="none" w:sz="0" w:space="0" w:color="auto"/>
                    <w:bottom w:val="none" w:sz="0" w:space="0" w:color="auto"/>
                    <w:right w:val="none" w:sz="0" w:space="0" w:color="auto"/>
                  </w:divBdr>
                  <w:divsChild>
                    <w:div w:id="149128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413632">
      <w:bodyDiv w:val="1"/>
      <w:marLeft w:val="0"/>
      <w:marRight w:val="0"/>
      <w:marTop w:val="0"/>
      <w:marBottom w:val="0"/>
      <w:divBdr>
        <w:top w:val="none" w:sz="0" w:space="0" w:color="auto"/>
        <w:left w:val="none" w:sz="0" w:space="0" w:color="auto"/>
        <w:bottom w:val="none" w:sz="0" w:space="0" w:color="auto"/>
        <w:right w:val="none" w:sz="0" w:space="0" w:color="auto"/>
      </w:divBdr>
    </w:div>
    <w:div w:id="589047259">
      <w:bodyDiv w:val="1"/>
      <w:marLeft w:val="0"/>
      <w:marRight w:val="0"/>
      <w:marTop w:val="0"/>
      <w:marBottom w:val="0"/>
      <w:divBdr>
        <w:top w:val="none" w:sz="0" w:space="0" w:color="auto"/>
        <w:left w:val="none" w:sz="0" w:space="0" w:color="auto"/>
        <w:bottom w:val="none" w:sz="0" w:space="0" w:color="auto"/>
        <w:right w:val="none" w:sz="0" w:space="0" w:color="auto"/>
      </w:divBdr>
    </w:div>
    <w:div w:id="692611587">
      <w:bodyDiv w:val="1"/>
      <w:marLeft w:val="0"/>
      <w:marRight w:val="0"/>
      <w:marTop w:val="0"/>
      <w:marBottom w:val="0"/>
      <w:divBdr>
        <w:top w:val="none" w:sz="0" w:space="0" w:color="auto"/>
        <w:left w:val="none" w:sz="0" w:space="0" w:color="auto"/>
        <w:bottom w:val="none" w:sz="0" w:space="0" w:color="auto"/>
        <w:right w:val="none" w:sz="0" w:space="0" w:color="auto"/>
      </w:divBdr>
    </w:div>
    <w:div w:id="707602848">
      <w:bodyDiv w:val="1"/>
      <w:marLeft w:val="0"/>
      <w:marRight w:val="0"/>
      <w:marTop w:val="0"/>
      <w:marBottom w:val="0"/>
      <w:divBdr>
        <w:top w:val="none" w:sz="0" w:space="0" w:color="auto"/>
        <w:left w:val="none" w:sz="0" w:space="0" w:color="auto"/>
        <w:bottom w:val="none" w:sz="0" w:space="0" w:color="auto"/>
        <w:right w:val="none" w:sz="0" w:space="0" w:color="auto"/>
      </w:divBdr>
    </w:div>
    <w:div w:id="709187009">
      <w:bodyDiv w:val="1"/>
      <w:marLeft w:val="0"/>
      <w:marRight w:val="0"/>
      <w:marTop w:val="0"/>
      <w:marBottom w:val="0"/>
      <w:divBdr>
        <w:top w:val="none" w:sz="0" w:space="0" w:color="auto"/>
        <w:left w:val="none" w:sz="0" w:space="0" w:color="auto"/>
        <w:bottom w:val="none" w:sz="0" w:space="0" w:color="auto"/>
        <w:right w:val="none" w:sz="0" w:space="0" w:color="auto"/>
      </w:divBdr>
    </w:div>
    <w:div w:id="776556508">
      <w:bodyDiv w:val="1"/>
      <w:marLeft w:val="0"/>
      <w:marRight w:val="0"/>
      <w:marTop w:val="0"/>
      <w:marBottom w:val="0"/>
      <w:divBdr>
        <w:top w:val="none" w:sz="0" w:space="0" w:color="auto"/>
        <w:left w:val="none" w:sz="0" w:space="0" w:color="auto"/>
        <w:bottom w:val="none" w:sz="0" w:space="0" w:color="auto"/>
        <w:right w:val="none" w:sz="0" w:space="0" w:color="auto"/>
      </w:divBdr>
    </w:div>
    <w:div w:id="831528250">
      <w:bodyDiv w:val="1"/>
      <w:marLeft w:val="0"/>
      <w:marRight w:val="0"/>
      <w:marTop w:val="0"/>
      <w:marBottom w:val="0"/>
      <w:divBdr>
        <w:top w:val="none" w:sz="0" w:space="0" w:color="auto"/>
        <w:left w:val="none" w:sz="0" w:space="0" w:color="auto"/>
        <w:bottom w:val="none" w:sz="0" w:space="0" w:color="auto"/>
        <w:right w:val="none" w:sz="0" w:space="0" w:color="auto"/>
      </w:divBdr>
    </w:div>
    <w:div w:id="940262715">
      <w:bodyDiv w:val="1"/>
      <w:marLeft w:val="0"/>
      <w:marRight w:val="0"/>
      <w:marTop w:val="0"/>
      <w:marBottom w:val="0"/>
      <w:divBdr>
        <w:top w:val="none" w:sz="0" w:space="0" w:color="auto"/>
        <w:left w:val="none" w:sz="0" w:space="0" w:color="auto"/>
        <w:bottom w:val="none" w:sz="0" w:space="0" w:color="auto"/>
        <w:right w:val="none" w:sz="0" w:space="0" w:color="auto"/>
      </w:divBdr>
    </w:div>
    <w:div w:id="950629698">
      <w:bodyDiv w:val="1"/>
      <w:marLeft w:val="0"/>
      <w:marRight w:val="0"/>
      <w:marTop w:val="0"/>
      <w:marBottom w:val="0"/>
      <w:divBdr>
        <w:top w:val="none" w:sz="0" w:space="0" w:color="auto"/>
        <w:left w:val="none" w:sz="0" w:space="0" w:color="auto"/>
        <w:bottom w:val="none" w:sz="0" w:space="0" w:color="auto"/>
        <w:right w:val="none" w:sz="0" w:space="0" w:color="auto"/>
      </w:divBdr>
    </w:div>
    <w:div w:id="1061975891">
      <w:bodyDiv w:val="1"/>
      <w:marLeft w:val="0"/>
      <w:marRight w:val="0"/>
      <w:marTop w:val="0"/>
      <w:marBottom w:val="0"/>
      <w:divBdr>
        <w:top w:val="none" w:sz="0" w:space="0" w:color="auto"/>
        <w:left w:val="none" w:sz="0" w:space="0" w:color="auto"/>
        <w:bottom w:val="none" w:sz="0" w:space="0" w:color="auto"/>
        <w:right w:val="none" w:sz="0" w:space="0" w:color="auto"/>
      </w:divBdr>
    </w:div>
    <w:div w:id="1132209430">
      <w:bodyDiv w:val="1"/>
      <w:marLeft w:val="0"/>
      <w:marRight w:val="0"/>
      <w:marTop w:val="0"/>
      <w:marBottom w:val="0"/>
      <w:divBdr>
        <w:top w:val="none" w:sz="0" w:space="0" w:color="auto"/>
        <w:left w:val="none" w:sz="0" w:space="0" w:color="auto"/>
        <w:bottom w:val="none" w:sz="0" w:space="0" w:color="auto"/>
        <w:right w:val="none" w:sz="0" w:space="0" w:color="auto"/>
      </w:divBdr>
    </w:div>
    <w:div w:id="1162283235">
      <w:bodyDiv w:val="1"/>
      <w:marLeft w:val="0"/>
      <w:marRight w:val="0"/>
      <w:marTop w:val="0"/>
      <w:marBottom w:val="0"/>
      <w:divBdr>
        <w:top w:val="none" w:sz="0" w:space="0" w:color="auto"/>
        <w:left w:val="none" w:sz="0" w:space="0" w:color="auto"/>
        <w:bottom w:val="none" w:sz="0" w:space="0" w:color="auto"/>
        <w:right w:val="none" w:sz="0" w:space="0" w:color="auto"/>
      </w:divBdr>
      <w:divsChild>
        <w:div w:id="1568570392">
          <w:marLeft w:val="0"/>
          <w:marRight w:val="0"/>
          <w:marTop w:val="0"/>
          <w:marBottom w:val="0"/>
          <w:divBdr>
            <w:top w:val="none" w:sz="0" w:space="0" w:color="auto"/>
            <w:left w:val="none" w:sz="0" w:space="0" w:color="auto"/>
            <w:bottom w:val="none" w:sz="0" w:space="0" w:color="auto"/>
            <w:right w:val="none" w:sz="0" w:space="0" w:color="auto"/>
          </w:divBdr>
          <w:divsChild>
            <w:div w:id="994794274">
              <w:marLeft w:val="0"/>
              <w:marRight w:val="0"/>
              <w:marTop w:val="525"/>
              <w:marBottom w:val="0"/>
              <w:divBdr>
                <w:top w:val="none" w:sz="0" w:space="0" w:color="auto"/>
                <w:left w:val="none" w:sz="0" w:space="0" w:color="auto"/>
                <w:bottom w:val="none" w:sz="0" w:space="0" w:color="auto"/>
                <w:right w:val="none" w:sz="0" w:space="0" w:color="auto"/>
              </w:divBdr>
              <w:divsChild>
                <w:div w:id="2118214988">
                  <w:marLeft w:val="0"/>
                  <w:marRight w:val="0"/>
                  <w:marTop w:val="150"/>
                  <w:marBottom w:val="0"/>
                  <w:divBdr>
                    <w:top w:val="none" w:sz="0" w:space="0" w:color="auto"/>
                    <w:left w:val="none" w:sz="0" w:space="0" w:color="auto"/>
                    <w:bottom w:val="none" w:sz="0" w:space="0" w:color="auto"/>
                    <w:right w:val="none" w:sz="0" w:space="0" w:color="auto"/>
                  </w:divBdr>
                  <w:divsChild>
                    <w:div w:id="136190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64074">
      <w:bodyDiv w:val="1"/>
      <w:marLeft w:val="0"/>
      <w:marRight w:val="0"/>
      <w:marTop w:val="0"/>
      <w:marBottom w:val="0"/>
      <w:divBdr>
        <w:top w:val="none" w:sz="0" w:space="0" w:color="auto"/>
        <w:left w:val="none" w:sz="0" w:space="0" w:color="auto"/>
        <w:bottom w:val="none" w:sz="0" w:space="0" w:color="auto"/>
        <w:right w:val="none" w:sz="0" w:space="0" w:color="auto"/>
      </w:divBdr>
      <w:divsChild>
        <w:div w:id="123472892">
          <w:marLeft w:val="0"/>
          <w:marRight w:val="0"/>
          <w:marTop w:val="0"/>
          <w:marBottom w:val="0"/>
          <w:divBdr>
            <w:top w:val="none" w:sz="0" w:space="0" w:color="auto"/>
            <w:left w:val="none" w:sz="0" w:space="0" w:color="auto"/>
            <w:bottom w:val="none" w:sz="0" w:space="0" w:color="auto"/>
            <w:right w:val="none" w:sz="0" w:space="0" w:color="auto"/>
          </w:divBdr>
          <w:divsChild>
            <w:div w:id="1355687715">
              <w:marLeft w:val="0"/>
              <w:marRight w:val="0"/>
              <w:marTop w:val="525"/>
              <w:marBottom w:val="0"/>
              <w:divBdr>
                <w:top w:val="none" w:sz="0" w:space="0" w:color="auto"/>
                <w:left w:val="none" w:sz="0" w:space="0" w:color="auto"/>
                <w:bottom w:val="none" w:sz="0" w:space="0" w:color="auto"/>
                <w:right w:val="none" w:sz="0" w:space="0" w:color="auto"/>
              </w:divBdr>
              <w:divsChild>
                <w:div w:id="384960254">
                  <w:marLeft w:val="0"/>
                  <w:marRight w:val="0"/>
                  <w:marTop w:val="150"/>
                  <w:marBottom w:val="0"/>
                  <w:divBdr>
                    <w:top w:val="none" w:sz="0" w:space="0" w:color="auto"/>
                    <w:left w:val="none" w:sz="0" w:space="0" w:color="auto"/>
                    <w:bottom w:val="none" w:sz="0" w:space="0" w:color="auto"/>
                    <w:right w:val="none" w:sz="0" w:space="0" w:color="auto"/>
                  </w:divBdr>
                  <w:divsChild>
                    <w:div w:id="155153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562464">
      <w:bodyDiv w:val="1"/>
      <w:marLeft w:val="0"/>
      <w:marRight w:val="0"/>
      <w:marTop w:val="0"/>
      <w:marBottom w:val="0"/>
      <w:divBdr>
        <w:top w:val="none" w:sz="0" w:space="0" w:color="auto"/>
        <w:left w:val="none" w:sz="0" w:space="0" w:color="auto"/>
        <w:bottom w:val="none" w:sz="0" w:space="0" w:color="auto"/>
        <w:right w:val="none" w:sz="0" w:space="0" w:color="auto"/>
      </w:divBdr>
    </w:div>
    <w:div w:id="1333870501">
      <w:bodyDiv w:val="1"/>
      <w:marLeft w:val="0"/>
      <w:marRight w:val="0"/>
      <w:marTop w:val="0"/>
      <w:marBottom w:val="0"/>
      <w:divBdr>
        <w:top w:val="none" w:sz="0" w:space="0" w:color="auto"/>
        <w:left w:val="none" w:sz="0" w:space="0" w:color="auto"/>
        <w:bottom w:val="none" w:sz="0" w:space="0" w:color="auto"/>
        <w:right w:val="none" w:sz="0" w:space="0" w:color="auto"/>
      </w:divBdr>
    </w:div>
    <w:div w:id="1346050766">
      <w:bodyDiv w:val="1"/>
      <w:marLeft w:val="0"/>
      <w:marRight w:val="0"/>
      <w:marTop w:val="0"/>
      <w:marBottom w:val="0"/>
      <w:divBdr>
        <w:top w:val="none" w:sz="0" w:space="0" w:color="auto"/>
        <w:left w:val="none" w:sz="0" w:space="0" w:color="auto"/>
        <w:bottom w:val="none" w:sz="0" w:space="0" w:color="auto"/>
        <w:right w:val="none" w:sz="0" w:space="0" w:color="auto"/>
      </w:divBdr>
      <w:divsChild>
        <w:div w:id="1319117421">
          <w:marLeft w:val="0"/>
          <w:marRight w:val="0"/>
          <w:marTop w:val="0"/>
          <w:marBottom w:val="0"/>
          <w:divBdr>
            <w:top w:val="none" w:sz="0" w:space="0" w:color="auto"/>
            <w:left w:val="none" w:sz="0" w:space="0" w:color="auto"/>
            <w:bottom w:val="none" w:sz="0" w:space="0" w:color="auto"/>
            <w:right w:val="none" w:sz="0" w:space="0" w:color="auto"/>
          </w:divBdr>
          <w:divsChild>
            <w:div w:id="514029805">
              <w:marLeft w:val="0"/>
              <w:marRight w:val="0"/>
              <w:marTop w:val="525"/>
              <w:marBottom w:val="0"/>
              <w:divBdr>
                <w:top w:val="none" w:sz="0" w:space="0" w:color="auto"/>
                <w:left w:val="none" w:sz="0" w:space="0" w:color="auto"/>
                <w:bottom w:val="none" w:sz="0" w:space="0" w:color="auto"/>
                <w:right w:val="none" w:sz="0" w:space="0" w:color="auto"/>
              </w:divBdr>
              <w:divsChild>
                <w:div w:id="711614925">
                  <w:marLeft w:val="0"/>
                  <w:marRight w:val="0"/>
                  <w:marTop w:val="150"/>
                  <w:marBottom w:val="0"/>
                  <w:divBdr>
                    <w:top w:val="none" w:sz="0" w:space="0" w:color="auto"/>
                    <w:left w:val="none" w:sz="0" w:space="0" w:color="auto"/>
                    <w:bottom w:val="none" w:sz="0" w:space="0" w:color="auto"/>
                    <w:right w:val="none" w:sz="0" w:space="0" w:color="auto"/>
                  </w:divBdr>
                  <w:divsChild>
                    <w:div w:id="94431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489734">
      <w:bodyDiv w:val="1"/>
      <w:marLeft w:val="0"/>
      <w:marRight w:val="0"/>
      <w:marTop w:val="0"/>
      <w:marBottom w:val="0"/>
      <w:divBdr>
        <w:top w:val="none" w:sz="0" w:space="0" w:color="auto"/>
        <w:left w:val="none" w:sz="0" w:space="0" w:color="auto"/>
        <w:bottom w:val="none" w:sz="0" w:space="0" w:color="auto"/>
        <w:right w:val="none" w:sz="0" w:space="0" w:color="auto"/>
      </w:divBdr>
    </w:div>
    <w:div w:id="1535145380">
      <w:bodyDiv w:val="1"/>
      <w:marLeft w:val="0"/>
      <w:marRight w:val="0"/>
      <w:marTop w:val="0"/>
      <w:marBottom w:val="0"/>
      <w:divBdr>
        <w:top w:val="none" w:sz="0" w:space="0" w:color="auto"/>
        <w:left w:val="none" w:sz="0" w:space="0" w:color="auto"/>
        <w:bottom w:val="none" w:sz="0" w:space="0" w:color="auto"/>
        <w:right w:val="none" w:sz="0" w:space="0" w:color="auto"/>
      </w:divBdr>
      <w:divsChild>
        <w:div w:id="1080640986">
          <w:marLeft w:val="0"/>
          <w:marRight w:val="0"/>
          <w:marTop w:val="0"/>
          <w:marBottom w:val="0"/>
          <w:divBdr>
            <w:top w:val="none" w:sz="0" w:space="0" w:color="auto"/>
            <w:left w:val="none" w:sz="0" w:space="0" w:color="auto"/>
            <w:bottom w:val="none" w:sz="0" w:space="0" w:color="auto"/>
            <w:right w:val="none" w:sz="0" w:space="0" w:color="auto"/>
          </w:divBdr>
          <w:divsChild>
            <w:div w:id="953752299">
              <w:marLeft w:val="0"/>
              <w:marRight w:val="0"/>
              <w:marTop w:val="0"/>
              <w:marBottom w:val="0"/>
              <w:divBdr>
                <w:top w:val="none" w:sz="0" w:space="0" w:color="auto"/>
                <w:left w:val="none" w:sz="0" w:space="0" w:color="auto"/>
                <w:bottom w:val="none" w:sz="0" w:space="0" w:color="auto"/>
                <w:right w:val="none" w:sz="0" w:space="0" w:color="auto"/>
              </w:divBdr>
              <w:divsChild>
                <w:div w:id="1555654067">
                  <w:marLeft w:val="0"/>
                  <w:marRight w:val="0"/>
                  <w:marTop w:val="0"/>
                  <w:marBottom w:val="0"/>
                  <w:divBdr>
                    <w:top w:val="none" w:sz="0" w:space="0" w:color="auto"/>
                    <w:left w:val="none" w:sz="0" w:space="0" w:color="auto"/>
                    <w:bottom w:val="none" w:sz="0" w:space="0" w:color="auto"/>
                    <w:right w:val="none" w:sz="0" w:space="0" w:color="auto"/>
                  </w:divBdr>
                  <w:divsChild>
                    <w:div w:id="841358827">
                      <w:marLeft w:val="0"/>
                      <w:marRight w:val="0"/>
                      <w:marTop w:val="0"/>
                      <w:marBottom w:val="0"/>
                      <w:divBdr>
                        <w:top w:val="none" w:sz="0" w:space="0" w:color="auto"/>
                        <w:left w:val="none" w:sz="0" w:space="0" w:color="auto"/>
                        <w:bottom w:val="none" w:sz="0" w:space="0" w:color="auto"/>
                        <w:right w:val="none" w:sz="0" w:space="0" w:color="auto"/>
                      </w:divBdr>
                      <w:divsChild>
                        <w:div w:id="1746998705">
                          <w:marLeft w:val="0"/>
                          <w:marRight w:val="0"/>
                          <w:marTop w:val="0"/>
                          <w:marBottom w:val="0"/>
                          <w:divBdr>
                            <w:top w:val="none" w:sz="0" w:space="0" w:color="auto"/>
                            <w:left w:val="none" w:sz="0" w:space="0" w:color="auto"/>
                            <w:bottom w:val="none" w:sz="0" w:space="0" w:color="auto"/>
                            <w:right w:val="none" w:sz="0" w:space="0" w:color="auto"/>
                          </w:divBdr>
                          <w:divsChild>
                            <w:div w:id="1726096956">
                              <w:marLeft w:val="0"/>
                              <w:marRight w:val="0"/>
                              <w:marTop w:val="225"/>
                              <w:marBottom w:val="0"/>
                              <w:divBdr>
                                <w:top w:val="none" w:sz="0" w:space="0" w:color="auto"/>
                                <w:left w:val="none" w:sz="0" w:space="0" w:color="auto"/>
                                <w:bottom w:val="none" w:sz="0" w:space="0" w:color="auto"/>
                                <w:right w:val="none" w:sz="0" w:space="0" w:color="auto"/>
                              </w:divBdr>
                              <w:divsChild>
                                <w:div w:id="2034305801">
                                  <w:marLeft w:val="4125"/>
                                  <w:marRight w:val="0"/>
                                  <w:marTop w:val="0"/>
                                  <w:marBottom w:val="0"/>
                                  <w:divBdr>
                                    <w:top w:val="none" w:sz="0" w:space="0" w:color="auto"/>
                                    <w:left w:val="none" w:sz="0" w:space="0" w:color="auto"/>
                                    <w:bottom w:val="none" w:sz="0" w:space="0" w:color="auto"/>
                                    <w:right w:val="none" w:sz="0" w:space="0" w:color="auto"/>
                                  </w:divBdr>
                                  <w:divsChild>
                                    <w:div w:id="289363800">
                                      <w:marLeft w:val="0"/>
                                      <w:marRight w:val="0"/>
                                      <w:marTop w:val="0"/>
                                      <w:marBottom w:val="0"/>
                                      <w:divBdr>
                                        <w:top w:val="none" w:sz="0" w:space="0" w:color="auto"/>
                                        <w:left w:val="none" w:sz="0" w:space="0" w:color="auto"/>
                                        <w:bottom w:val="none" w:sz="0" w:space="0" w:color="auto"/>
                                        <w:right w:val="none" w:sz="0" w:space="0" w:color="auto"/>
                                      </w:divBdr>
                                      <w:divsChild>
                                        <w:div w:id="1438063908">
                                          <w:marLeft w:val="0"/>
                                          <w:marRight w:val="0"/>
                                          <w:marTop w:val="0"/>
                                          <w:marBottom w:val="0"/>
                                          <w:divBdr>
                                            <w:top w:val="none" w:sz="0" w:space="0" w:color="auto"/>
                                            <w:left w:val="none" w:sz="0" w:space="0" w:color="auto"/>
                                            <w:bottom w:val="none" w:sz="0" w:space="0" w:color="auto"/>
                                            <w:right w:val="none" w:sz="0" w:space="0" w:color="auto"/>
                                          </w:divBdr>
                                          <w:divsChild>
                                            <w:div w:id="886795924">
                                              <w:marLeft w:val="0"/>
                                              <w:marRight w:val="0"/>
                                              <w:marTop w:val="0"/>
                                              <w:marBottom w:val="0"/>
                                              <w:divBdr>
                                                <w:top w:val="single" w:sz="12" w:space="0" w:color="CCCCCC"/>
                                                <w:left w:val="single" w:sz="12" w:space="0" w:color="CCCCCC"/>
                                                <w:bottom w:val="single" w:sz="12" w:space="0" w:color="CCCCCC"/>
                                                <w:right w:val="single" w:sz="12" w:space="0" w:color="CCCCCC"/>
                                              </w:divBdr>
                                              <w:divsChild>
                                                <w:div w:id="2043942868">
                                                  <w:marLeft w:val="0"/>
                                                  <w:marRight w:val="0"/>
                                                  <w:marTop w:val="0"/>
                                                  <w:marBottom w:val="0"/>
                                                  <w:divBdr>
                                                    <w:top w:val="none" w:sz="0" w:space="0" w:color="auto"/>
                                                    <w:left w:val="none" w:sz="0" w:space="0" w:color="auto"/>
                                                    <w:bottom w:val="none" w:sz="0" w:space="0" w:color="auto"/>
                                                    <w:right w:val="none" w:sz="0" w:space="0" w:color="auto"/>
                                                  </w:divBdr>
                                                  <w:divsChild>
                                                    <w:div w:id="187646620">
                                                      <w:marLeft w:val="0"/>
                                                      <w:marRight w:val="0"/>
                                                      <w:marTop w:val="0"/>
                                                      <w:marBottom w:val="0"/>
                                                      <w:divBdr>
                                                        <w:top w:val="none" w:sz="0" w:space="0" w:color="auto"/>
                                                        <w:left w:val="none" w:sz="0" w:space="0" w:color="auto"/>
                                                        <w:bottom w:val="none" w:sz="0" w:space="0" w:color="auto"/>
                                                        <w:right w:val="none" w:sz="0" w:space="0" w:color="auto"/>
                                                      </w:divBdr>
                                                      <w:divsChild>
                                                        <w:div w:id="1033186040">
                                                          <w:marLeft w:val="0"/>
                                                          <w:marRight w:val="0"/>
                                                          <w:marTop w:val="0"/>
                                                          <w:marBottom w:val="0"/>
                                                          <w:divBdr>
                                                            <w:top w:val="none" w:sz="0" w:space="0" w:color="auto"/>
                                                            <w:left w:val="none" w:sz="0" w:space="0" w:color="auto"/>
                                                            <w:bottom w:val="none" w:sz="0" w:space="0" w:color="auto"/>
                                                            <w:right w:val="none" w:sz="0" w:space="0" w:color="auto"/>
                                                          </w:divBdr>
                                                          <w:divsChild>
                                                            <w:div w:id="83500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8360168">
      <w:bodyDiv w:val="1"/>
      <w:marLeft w:val="0"/>
      <w:marRight w:val="0"/>
      <w:marTop w:val="0"/>
      <w:marBottom w:val="0"/>
      <w:divBdr>
        <w:top w:val="none" w:sz="0" w:space="0" w:color="auto"/>
        <w:left w:val="none" w:sz="0" w:space="0" w:color="auto"/>
        <w:bottom w:val="none" w:sz="0" w:space="0" w:color="auto"/>
        <w:right w:val="none" w:sz="0" w:space="0" w:color="auto"/>
      </w:divBdr>
    </w:div>
    <w:div w:id="1802184691">
      <w:bodyDiv w:val="1"/>
      <w:marLeft w:val="0"/>
      <w:marRight w:val="0"/>
      <w:marTop w:val="0"/>
      <w:marBottom w:val="0"/>
      <w:divBdr>
        <w:top w:val="none" w:sz="0" w:space="0" w:color="auto"/>
        <w:left w:val="none" w:sz="0" w:space="0" w:color="auto"/>
        <w:bottom w:val="none" w:sz="0" w:space="0" w:color="auto"/>
        <w:right w:val="none" w:sz="0" w:space="0" w:color="auto"/>
      </w:divBdr>
    </w:div>
    <w:div w:id="1864005746">
      <w:bodyDiv w:val="1"/>
      <w:marLeft w:val="0"/>
      <w:marRight w:val="0"/>
      <w:marTop w:val="0"/>
      <w:marBottom w:val="0"/>
      <w:divBdr>
        <w:top w:val="none" w:sz="0" w:space="0" w:color="auto"/>
        <w:left w:val="none" w:sz="0" w:space="0" w:color="auto"/>
        <w:bottom w:val="none" w:sz="0" w:space="0" w:color="auto"/>
        <w:right w:val="none" w:sz="0" w:space="0" w:color="auto"/>
      </w:divBdr>
    </w:div>
    <w:div w:id="2006667673">
      <w:bodyDiv w:val="1"/>
      <w:marLeft w:val="0"/>
      <w:marRight w:val="0"/>
      <w:marTop w:val="0"/>
      <w:marBottom w:val="0"/>
      <w:divBdr>
        <w:top w:val="none" w:sz="0" w:space="0" w:color="auto"/>
        <w:left w:val="none" w:sz="0" w:space="0" w:color="auto"/>
        <w:bottom w:val="none" w:sz="0" w:space="0" w:color="auto"/>
        <w:right w:val="none" w:sz="0" w:space="0" w:color="auto"/>
      </w:divBdr>
    </w:div>
    <w:div w:id="2037388293">
      <w:bodyDiv w:val="1"/>
      <w:marLeft w:val="0"/>
      <w:marRight w:val="0"/>
      <w:marTop w:val="0"/>
      <w:marBottom w:val="0"/>
      <w:divBdr>
        <w:top w:val="none" w:sz="0" w:space="0" w:color="auto"/>
        <w:left w:val="none" w:sz="0" w:space="0" w:color="auto"/>
        <w:bottom w:val="none" w:sz="0" w:space="0" w:color="auto"/>
        <w:right w:val="none" w:sz="0" w:space="0" w:color="auto"/>
      </w:divBdr>
    </w:div>
    <w:div w:id="207893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4a104a8cd4bed46f1cab2208b337101d">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e0a1b979cb0cb7d69665edc4c28c71e2"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NMI Workforce IFR"/>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1B Registration Fee Rule"/>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CE4A4-54F3-40BE-ACB8-5573B5E4980F}">
  <ds:schemaRefs>
    <ds:schemaRef ds:uri="http://purl.org/dc/terms/"/>
    <ds:schemaRef ds:uri="2589310c-5316-40b3-b68d-4735ac72f265"/>
    <ds:schemaRef ds:uri="http://schemas.microsoft.com/office/2006/documentManagement/types"/>
    <ds:schemaRef ds:uri="bf094c2b-8036-49e0-a2b2-a973ea273ca5"/>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703C77A4-F78E-4774-A101-6D47E9334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D0B263-A2E8-4470-818F-4C318AF03FCF}">
  <ds:schemaRefs>
    <ds:schemaRef ds:uri="http://schemas.microsoft.com/sharepoint/v3/contenttype/forms"/>
  </ds:schemaRefs>
</ds:datastoreItem>
</file>

<file path=customXml/itemProps4.xml><?xml version="1.0" encoding="utf-8"?>
<ds:datastoreItem xmlns:ds="http://schemas.openxmlformats.org/officeDocument/2006/customXml" ds:itemID="{9C20DBE3-46A6-4259-AF10-E310EBA2A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1201</Words>
  <Characters>6851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8036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Jager, Kerstin A</dc:creator>
  <cp:lastModifiedBy>SYSTEM</cp:lastModifiedBy>
  <cp:revision>2</cp:revision>
  <dcterms:created xsi:type="dcterms:W3CDTF">2019-04-19T19:27:00Z</dcterms:created>
  <dcterms:modified xsi:type="dcterms:W3CDTF">2019-04-19T19:27:00Z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