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7310B" w14:textId="08DA0861" w:rsidR="00AA1F87" w:rsidRDefault="008F1CBD" w:rsidP="003E32C7">
      <w:pPr>
        <w:pStyle w:val="Title"/>
      </w:pPr>
      <w:bookmarkStart w:id="0" w:name="_GoBack"/>
      <w:bookmarkEnd w:id="0"/>
      <w:r>
        <w:rPr>
          <w:noProof/>
        </w:rPr>
        <w:drawing>
          <wp:anchor distT="0" distB="0" distL="114300" distR="114300" simplePos="0" relativeHeight="251658240" behindDoc="1" locked="0" layoutInCell="1" allowOverlap="1" wp14:anchorId="7DB3BAAD" wp14:editId="70CD95AD">
            <wp:simplePos x="0" y="0"/>
            <wp:positionH relativeFrom="column">
              <wp:posOffset>95250</wp:posOffset>
            </wp:positionH>
            <wp:positionV relativeFrom="paragraph">
              <wp:posOffset>0</wp:posOffset>
            </wp:positionV>
            <wp:extent cx="1790700" cy="1209675"/>
            <wp:effectExtent l="0" t="0" r="0" b="9525"/>
            <wp:wrapTight wrapText="bothSides">
              <wp:wrapPolygon edited="0">
                <wp:start x="0" y="0"/>
                <wp:lineTo x="0" y="21430"/>
                <wp:lineTo x="21370" y="21430"/>
                <wp:lineTo x="213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0700" cy="1209675"/>
                    </a:xfrm>
                    <a:prstGeom prst="rect">
                      <a:avLst/>
                    </a:prstGeom>
                    <a:noFill/>
                    <a:ln>
                      <a:noFill/>
                    </a:ln>
                  </pic:spPr>
                </pic:pic>
              </a:graphicData>
            </a:graphic>
          </wp:anchor>
        </w:drawing>
      </w:r>
      <w:r w:rsidR="00AD6BC0" w:rsidRPr="00AD6BC0">
        <w:t xml:space="preserve">Advancing Innovation in Adult Education: </w:t>
      </w:r>
      <w:r w:rsidR="00AD6BC0">
        <w:t xml:space="preserve">An </w:t>
      </w:r>
      <w:r w:rsidR="00AD6BC0" w:rsidRPr="00AD6BC0">
        <w:t>Overview</w:t>
      </w:r>
    </w:p>
    <w:p w14:paraId="2F803580" w14:textId="77777777" w:rsidR="008F1CBD" w:rsidRPr="008F1CBD" w:rsidRDefault="008F1CBD" w:rsidP="008F1CBD"/>
    <w:tbl>
      <w:tblPr>
        <w:tblStyle w:val="TableGrid"/>
        <w:tblW w:w="0" w:type="auto"/>
        <w:tblLook w:val="04A0" w:firstRow="1" w:lastRow="0" w:firstColumn="1" w:lastColumn="0" w:noHBand="0" w:noVBand="1"/>
      </w:tblPr>
      <w:tblGrid>
        <w:gridCol w:w="9350"/>
      </w:tblGrid>
      <w:tr w:rsidR="008F1CBD" w14:paraId="7F2D531A" w14:textId="77777777" w:rsidTr="008F1CBD">
        <w:tc>
          <w:tcPr>
            <w:tcW w:w="9350" w:type="dxa"/>
            <w:shd w:val="clear" w:color="auto" w:fill="2F5496" w:themeFill="accent1" w:themeFillShade="BF"/>
          </w:tcPr>
          <w:p w14:paraId="19A24BFD" w14:textId="77777777" w:rsidR="00EA75AB" w:rsidRDefault="00EA75AB" w:rsidP="00EA75AB">
            <w:pPr>
              <w:rPr>
                <w:rFonts w:ascii="Source Sans Pro" w:hAnsi="Source Sans Pro"/>
                <w:b/>
                <w:bCs/>
                <w:color w:val="FFFFFF" w:themeColor="background1"/>
                <w:sz w:val="24"/>
                <w:szCs w:val="24"/>
              </w:rPr>
            </w:pPr>
          </w:p>
          <w:p w14:paraId="2936956D" w14:textId="2E0F3CF5" w:rsidR="008F1CBD" w:rsidRDefault="008F1CBD" w:rsidP="00EA75AB">
            <w:pPr>
              <w:rPr>
                <w:rFonts w:ascii="Source Sans Pro" w:hAnsi="Source Sans Pro"/>
                <w:b/>
                <w:bCs/>
                <w:color w:val="FFFFFF" w:themeColor="background1"/>
                <w:sz w:val="24"/>
                <w:szCs w:val="24"/>
              </w:rPr>
            </w:pPr>
            <w:r w:rsidRPr="008F1CBD">
              <w:rPr>
                <w:rFonts w:ascii="Source Sans Pro" w:hAnsi="Source Sans Pro"/>
                <w:b/>
                <w:bCs/>
                <w:color w:val="FFFFFF" w:themeColor="background1"/>
                <w:sz w:val="24"/>
                <w:szCs w:val="24"/>
              </w:rPr>
              <w:t>Adult education programs assist adult learners in developing their foundational knowledge and skills, earning secondary credentials, and transitioning to further education and employment. To enhance adult education programs’ capacity to support learners’ success, the U.S. Department of Education, Office of Career, Technical and Adult Education (OCTAE) is funding a five-year project to identify and disseminate innovative practices in adult education that lead to improved learner outcomes.</w:t>
            </w:r>
          </w:p>
          <w:p w14:paraId="210CB29F" w14:textId="57F9E798" w:rsidR="00EA75AB" w:rsidRPr="008F1CBD" w:rsidRDefault="00EA75AB" w:rsidP="00EA75AB">
            <w:pPr>
              <w:rPr>
                <w:rFonts w:ascii="Source Sans Pro" w:hAnsi="Source Sans Pro"/>
                <w:b/>
                <w:bCs/>
                <w:color w:val="FFFFFF" w:themeColor="background1"/>
                <w:sz w:val="24"/>
                <w:szCs w:val="24"/>
              </w:rPr>
            </w:pPr>
          </w:p>
        </w:tc>
      </w:tr>
    </w:tbl>
    <w:p w14:paraId="5064D7B0" w14:textId="37F36F54" w:rsidR="00482C4F" w:rsidRPr="008F1CBD" w:rsidRDefault="00AD6BC0" w:rsidP="008F1CBD">
      <w:pPr>
        <w:shd w:val="clear" w:color="auto" w:fill="FFFFFF"/>
        <w:spacing w:before="240" w:after="240" w:line="240" w:lineRule="auto"/>
        <w:rPr>
          <w:rFonts w:ascii="Source Sans Pro" w:eastAsia="Times New Roman" w:hAnsi="Source Sans Pro" w:cs="Times New Roman"/>
          <w:sz w:val="24"/>
          <w:szCs w:val="24"/>
        </w:rPr>
      </w:pPr>
      <w:r w:rsidRPr="008F1CBD">
        <w:rPr>
          <w:rFonts w:ascii="Source Sans Pro" w:eastAsia="Times New Roman" w:hAnsi="Source Sans Pro" w:cs="Times New Roman"/>
          <w:sz w:val="24"/>
          <w:szCs w:val="24"/>
        </w:rPr>
        <w:t>As adult education state offices and local adult education programs implement activities under the Workforce Innovation and Opportunity Act (WIOA), there is a need for information about products and processes for delivering services that can facilitate adult education learners’ development of knowledge and skills, attainment of a secondary credential or its equivalent, and transition to further education and employment. T</w:t>
      </w:r>
      <w:r w:rsidR="00EA75AB">
        <w:rPr>
          <w:rFonts w:ascii="Source Sans Pro" w:eastAsia="Times New Roman" w:hAnsi="Source Sans Pro" w:cs="Times New Roman"/>
          <w:sz w:val="24"/>
          <w:szCs w:val="24"/>
        </w:rPr>
        <w:t>he Advancing Innovation in Adult Education</w:t>
      </w:r>
      <w:r w:rsidRPr="008F1CBD">
        <w:rPr>
          <w:rFonts w:ascii="Source Sans Pro" w:eastAsia="Times New Roman" w:hAnsi="Source Sans Pro" w:cs="Times New Roman"/>
          <w:sz w:val="24"/>
          <w:szCs w:val="24"/>
        </w:rPr>
        <w:t xml:space="preserve"> project presents an opportunity to </w:t>
      </w:r>
      <w:r w:rsidR="00482C4F" w:rsidRPr="008F1CBD">
        <w:rPr>
          <w:rFonts w:ascii="Source Sans Pro" w:eastAsia="Times New Roman" w:hAnsi="Source Sans Pro" w:cs="Times New Roman"/>
          <w:sz w:val="24"/>
          <w:szCs w:val="24"/>
        </w:rPr>
        <w:t>highlight innovative practice</w:t>
      </w:r>
      <w:r w:rsidR="004C71C8" w:rsidRPr="008F1CBD">
        <w:rPr>
          <w:rFonts w:ascii="Source Sans Pro" w:eastAsia="Times New Roman" w:hAnsi="Source Sans Pro" w:cs="Times New Roman"/>
          <w:sz w:val="24"/>
          <w:szCs w:val="24"/>
        </w:rPr>
        <w:t xml:space="preserve"> that reflect statutory </w:t>
      </w:r>
      <w:r w:rsidR="00EA75AB">
        <w:rPr>
          <w:rFonts w:ascii="Source Sans Pro" w:eastAsia="Times New Roman" w:hAnsi="Source Sans Pro" w:cs="Times New Roman"/>
          <w:sz w:val="24"/>
          <w:szCs w:val="24"/>
        </w:rPr>
        <w:t>requirements and</w:t>
      </w:r>
      <w:r w:rsidR="004C71C8" w:rsidRPr="008F1CBD">
        <w:rPr>
          <w:rFonts w:ascii="Source Sans Pro" w:eastAsia="Times New Roman" w:hAnsi="Source Sans Pro" w:cs="Times New Roman"/>
          <w:sz w:val="24"/>
          <w:szCs w:val="24"/>
        </w:rPr>
        <w:t xml:space="preserve"> administration priorities and support</w:t>
      </w:r>
      <w:r w:rsidR="00482C4F" w:rsidRPr="008F1CBD">
        <w:rPr>
          <w:rFonts w:ascii="Source Sans Pro" w:eastAsia="Times New Roman" w:hAnsi="Source Sans Pro" w:cs="Times New Roman"/>
          <w:sz w:val="24"/>
          <w:szCs w:val="24"/>
        </w:rPr>
        <w:t xml:space="preserve"> </w:t>
      </w:r>
      <w:r w:rsidR="004C71C8" w:rsidRPr="008F1CBD">
        <w:rPr>
          <w:rFonts w:ascii="Source Sans Pro" w:eastAsia="Times New Roman" w:hAnsi="Source Sans Pro" w:cs="Times New Roman"/>
          <w:sz w:val="24"/>
          <w:szCs w:val="24"/>
        </w:rPr>
        <w:t xml:space="preserve">meaningful outcomes for participants. </w:t>
      </w:r>
    </w:p>
    <w:p w14:paraId="02B1F1DF" w14:textId="6A4B74B9" w:rsidR="00231449" w:rsidRPr="008F1CBD" w:rsidRDefault="00231449" w:rsidP="008F1CBD">
      <w:pPr>
        <w:shd w:val="clear" w:color="auto" w:fill="FFFFFF"/>
        <w:spacing w:before="240" w:after="240" w:line="240" w:lineRule="auto"/>
        <w:rPr>
          <w:rFonts w:ascii="Source Sans Pro" w:eastAsia="Times New Roman" w:hAnsi="Source Sans Pro" w:cs="Times New Roman"/>
          <w:sz w:val="24"/>
          <w:szCs w:val="24"/>
        </w:rPr>
      </w:pPr>
      <w:r w:rsidRPr="008F1CBD">
        <w:rPr>
          <w:rFonts w:ascii="Source Sans Pro" w:eastAsia="Times New Roman" w:hAnsi="Source Sans Pro" w:cs="Times New Roman"/>
          <w:sz w:val="24"/>
          <w:szCs w:val="24"/>
        </w:rPr>
        <w:t>Innovative adult education practices are new or significantly improved:</w:t>
      </w:r>
    </w:p>
    <w:p w14:paraId="77068506" w14:textId="77777777" w:rsidR="00231449" w:rsidRPr="008F1CBD" w:rsidRDefault="00231449" w:rsidP="008F1CBD">
      <w:pPr>
        <w:pStyle w:val="ListParagraph"/>
        <w:numPr>
          <w:ilvl w:val="0"/>
          <w:numId w:val="8"/>
        </w:numPr>
        <w:shd w:val="clear" w:color="auto" w:fill="FFFFFF"/>
        <w:spacing w:before="240" w:after="240" w:line="240" w:lineRule="auto"/>
        <w:rPr>
          <w:rFonts w:ascii="Source Sans Pro" w:eastAsia="Times New Roman" w:hAnsi="Source Sans Pro" w:cs="Times New Roman"/>
          <w:sz w:val="24"/>
          <w:szCs w:val="24"/>
        </w:rPr>
      </w:pPr>
      <w:r w:rsidRPr="008F1CBD">
        <w:rPr>
          <w:rFonts w:ascii="Source Sans Pro" w:eastAsia="Times New Roman" w:hAnsi="Source Sans Pro" w:cs="Times New Roman"/>
          <w:sz w:val="24"/>
          <w:szCs w:val="24"/>
        </w:rPr>
        <w:t>products or services, such as a curriculum (product) or inclusion of career and</w:t>
      </w:r>
    </w:p>
    <w:p w14:paraId="502A3835" w14:textId="77777777" w:rsidR="00231449" w:rsidRPr="008F1CBD" w:rsidRDefault="00231449" w:rsidP="008F1CBD">
      <w:pPr>
        <w:pStyle w:val="ListParagraph"/>
        <w:numPr>
          <w:ilvl w:val="0"/>
          <w:numId w:val="8"/>
        </w:numPr>
        <w:shd w:val="clear" w:color="auto" w:fill="FFFFFF"/>
        <w:spacing w:before="240" w:after="240" w:line="240" w:lineRule="auto"/>
        <w:rPr>
          <w:rFonts w:ascii="Source Sans Pro" w:eastAsia="Times New Roman" w:hAnsi="Source Sans Pro" w:cs="Times New Roman"/>
          <w:sz w:val="24"/>
          <w:szCs w:val="24"/>
        </w:rPr>
      </w:pPr>
      <w:r w:rsidRPr="008F1CBD">
        <w:rPr>
          <w:rFonts w:ascii="Source Sans Pro" w:eastAsia="Times New Roman" w:hAnsi="Source Sans Pro" w:cs="Times New Roman"/>
          <w:sz w:val="24"/>
          <w:szCs w:val="24"/>
        </w:rPr>
        <w:t>college advising (service);</w:t>
      </w:r>
    </w:p>
    <w:p w14:paraId="7EBB1AFF" w14:textId="56C2C34F" w:rsidR="00231449" w:rsidRPr="008F1CBD" w:rsidRDefault="00231449" w:rsidP="008F1CBD">
      <w:pPr>
        <w:pStyle w:val="ListParagraph"/>
        <w:numPr>
          <w:ilvl w:val="0"/>
          <w:numId w:val="8"/>
        </w:numPr>
        <w:shd w:val="clear" w:color="auto" w:fill="FFFFFF"/>
        <w:spacing w:before="240" w:after="240" w:line="240" w:lineRule="auto"/>
        <w:rPr>
          <w:rFonts w:ascii="Source Sans Pro" w:eastAsia="Times New Roman" w:hAnsi="Source Sans Pro" w:cs="Times New Roman"/>
          <w:sz w:val="24"/>
          <w:szCs w:val="24"/>
        </w:rPr>
      </w:pPr>
      <w:r w:rsidRPr="008F1CBD">
        <w:rPr>
          <w:rFonts w:ascii="Source Sans Pro" w:eastAsia="Times New Roman" w:hAnsi="Source Sans Pro" w:cs="Times New Roman"/>
          <w:sz w:val="24"/>
          <w:szCs w:val="24"/>
        </w:rPr>
        <w:t>processes for delivering adult education services, such as online learning; or</w:t>
      </w:r>
    </w:p>
    <w:p w14:paraId="5D08DC9A" w14:textId="5D0ADD36" w:rsidR="00231449" w:rsidRPr="008F1CBD" w:rsidRDefault="00231449" w:rsidP="008F1CBD">
      <w:pPr>
        <w:pStyle w:val="ListParagraph"/>
        <w:numPr>
          <w:ilvl w:val="0"/>
          <w:numId w:val="8"/>
        </w:numPr>
        <w:shd w:val="clear" w:color="auto" w:fill="FFFFFF"/>
        <w:spacing w:before="240" w:after="240" w:line="240" w:lineRule="auto"/>
        <w:rPr>
          <w:rFonts w:ascii="Source Sans Pro" w:eastAsia="Times New Roman" w:hAnsi="Source Sans Pro" w:cs="Times New Roman"/>
          <w:sz w:val="24"/>
          <w:szCs w:val="24"/>
        </w:rPr>
      </w:pPr>
      <w:r w:rsidRPr="008F1CBD">
        <w:rPr>
          <w:rFonts w:ascii="Source Sans Pro" w:eastAsia="Times New Roman" w:hAnsi="Source Sans Pro" w:cs="Times New Roman"/>
          <w:sz w:val="24"/>
          <w:szCs w:val="24"/>
        </w:rPr>
        <w:t>ways of organizing adult education services, such as integrated education and training.</w:t>
      </w:r>
    </w:p>
    <w:p w14:paraId="703644E0" w14:textId="62030FF5" w:rsidR="008C2B38" w:rsidRPr="008F1CBD" w:rsidRDefault="007E6430" w:rsidP="008F1CBD">
      <w:pPr>
        <w:shd w:val="clear" w:color="auto" w:fill="FFFFFF"/>
        <w:spacing w:before="240" w:after="240" w:line="240" w:lineRule="auto"/>
        <w:rPr>
          <w:rFonts w:ascii="Source Sans Pro" w:eastAsia="Times New Roman" w:hAnsi="Source Sans Pro" w:cs="Times New Roman"/>
          <w:sz w:val="24"/>
          <w:szCs w:val="24"/>
        </w:rPr>
      </w:pPr>
      <w:r w:rsidRPr="007E6430">
        <w:rPr>
          <w:rFonts w:ascii="Source Sans Pro" w:eastAsia="Times New Roman" w:hAnsi="Source Sans Pro" w:cs="Times New Roman"/>
          <w:sz w:val="24"/>
          <w:szCs w:val="24"/>
        </w:rPr>
        <w:t>Adult education practices are instructional or supportive activities that facilitate learners’ knowledge and skill development, secondary credential attainment, postsecondary credential attainment, and/or employment.</w:t>
      </w:r>
      <w:r>
        <w:rPr>
          <w:rFonts w:ascii="Source Sans Pro" w:eastAsia="Times New Roman" w:hAnsi="Source Sans Pro" w:cs="Times New Roman"/>
          <w:sz w:val="24"/>
          <w:szCs w:val="24"/>
        </w:rPr>
        <w:t xml:space="preserve"> </w:t>
      </w:r>
      <w:r w:rsidR="00482C4F" w:rsidRPr="008F1CBD">
        <w:rPr>
          <w:rFonts w:ascii="Source Sans Pro" w:eastAsia="Times New Roman" w:hAnsi="Source Sans Pro" w:cs="Times New Roman"/>
          <w:sz w:val="24"/>
          <w:szCs w:val="24"/>
        </w:rPr>
        <w:t xml:space="preserve">Examples of </w:t>
      </w:r>
      <w:r w:rsidR="00EA75AB">
        <w:rPr>
          <w:rFonts w:ascii="Source Sans Pro" w:eastAsia="Times New Roman" w:hAnsi="Source Sans Pro" w:cs="Times New Roman"/>
          <w:sz w:val="24"/>
          <w:szCs w:val="24"/>
        </w:rPr>
        <w:t>i</w:t>
      </w:r>
      <w:r w:rsidR="00482C4F" w:rsidRPr="008F1CBD">
        <w:rPr>
          <w:rFonts w:ascii="Source Sans Pro" w:eastAsia="Times New Roman" w:hAnsi="Source Sans Pro" w:cs="Times New Roman"/>
          <w:sz w:val="24"/>
          <w:szCs w:val="24"/>
        </w:rPr>
        <w:t xml:space="preserve">nnovative </w:t>
      </w:r>
      <w:r w:rsidR="00EA75AB">
        <w:rPr>
          <w:rFonts w:ascii="Source Sans Pro" w:eastAsia="Times New Roman" w:hAnsi="Source Sans Pro" w:cs="Times New Roman"/>
          <w:sz w:val="24"/>
          <w:szCs w:val="24"/>
        </w:rPr>
        <w:t>a</w:t>
      </w:r>
      <w:r w:rsidR="00482C4F" w:rsidRPr="008F1CBD">
        <w:rPr>
          <w:rFonts w:ascii="Source Sans Pro" w:eastAsia="Times New Roman" w:hAnsi="Source Sans Pro" w:cs="Times New Roman"/>
          <w:sz w:val="24"/>
          <w:szCs w:val="24"/>
        </w:rPr>
        <w:t xml:space="preserve">pproaches to </w:t>
      </w:r>
      <w:r w:rsidR="00EA75AB">
        <w:rPr>
          <w:rFonts w:ascii="Source Sans Pro" w:eastAsia="Times New Roman" w:hAnsi="Source Sans Pro" w:cs="Times New Roman"/>
          <w:sz w:val="24"/>
          <w:szCs w:val="24"/>
        </w:rPr>
        <w:t>d</w:t>
      </w:r>
      <w:r w:rsidR="00482C4F" w:rsidRPr="008F1CBD">
        <w:rPr>
          <w:rFonts w:ascii="Source Sans Pro" w:eastAsia="Times New Roman" w:hAnsi="Source Sans Pro" w:cs="Times New Roman"/>
          <w:sz w:val="24"/>
          <w:szCs w:val="24"/>
        </w:rPr>
        <w:t xml:space="preserve">elivering </w:t>
      </w:r>
      <w:r w:rsidR="00EA75AB">
        <w:rPr>
          <w:rFonts w:ascii="Source Sans Pro" w:eastAsia="Times New Roman" w:hAnsi="Source Sans Pro" w:cs="Times New Roman"/>
          <w:sz w:val="24"/>
          <w:szCs w:val="24"/>
        </w:rPr>
        <w:t>i</w:t>
      </w:r>
      <w:r w:rsidR="00482C4F" w:rsidRPr="008F1CBD">
        <w:rPr>
          <w:rFonts w:ascii="Source Sans Pro" w:eastAsia="Times New Roman" w:hAnsi="Source Sans Pro" w:cs="Times New Roman"/>
          <w:sz w:val="24"/>
          <w:szCs w:val="24"/>
        </w:rPr>
        <w:t>nstruction</w:t>
      </w:r>
      <w:r w:rsidR="008C2B38" w:rsidRPr="008F1CBD">
        <w:rPr>
          <w:rFonts w:ascii="Source Sans Pro" w:eastAsia="Times New Roman" w:hAnsi="Source Sans Pro" w:cs="Times New Roman"/>
          <w:sz w:val="24"/>
          <w:szCs w:val="24"/>
        </w:rPr>
        <w:t xml:space="preserve"> include:</w:t>
      </w:r>
    </w:p>
    <w:p w14:paraId="4C20C7FA" w14:textId="1F345806" w:rsidR="008C2B38" w:rsidRPr="008F1CBD" w:rsidRDefault="008C2B38" w:rsidP="008F1CBD">
      <w:pPr>
        <w:pStyle w:val="ListParagraph"/>
        <w:numPr>
          <w:ilvl w:val="0"/>
          <w:numId w:val="10"/>
        </w:numPr>
        <w:shd w:val="clear" w:color="auto" w:fill="FFFFFF"/>
        <w:spacing w:before="240" w:after="240" w:line="240" w:lineRule="auto"/>
        <w:rPr>
          <w:rFonts w:ascii="Source Sans Pro" w:eastAsia="Times New Roman" w:hAnsi="Source Sans Pro" w:cs="Times New Roman"/>
          <w:sz w:val="24"/>
          <w:szCs w:val="24"/>
        </w:rPr>
      </w:pPr>
      <w:r w:rsidRPr="008F1CBD">
        <w:rPr>
          <w:rFonts w:ascii="Source Sans Pro" w:eastAsia="Times New Roman" w:hAnsi="Source Sans Pro" w:cs="Times New Roman"/>
          <w:sz w:val="24"/>
          <w:szCs w:val="24"/>
        </w:rPr>
        <w:t>Competency-based instruction</w:t>
      </w:r>
    </w:p>
    <w:p w14:paraId="12F6B711" w14:textId="6CFD4A85" w:rsidR="00482C4F" w:rsidRPr="008F1CBD" w:rsidRDefault="00482C4F" w:rsidP="008F1CBD">
      <w:pPr>
        <w:pStyle w:val="ListParagraph"/>
        <w:numPr>
          <w:ilvl w:val="0"/>
          <w:numId w:val="10"/>
        </w:numPr>
        <w:shd w:val="clear" w:color="auto" w:fill="FFFFFF"/>
        <w:spacing w:before="240" w:after="240" w:line="240" w:lineRule="auto"/>
        <w:rPr>
          <w:rFonts w:ascii="Source Sans Pro" w:eastAsia="Times New Roman" w:hAnsi="Source Sans Pro" w:cs="Times New Roman"/>
          <w:sz w:val="24"/>
          <w:szCs w:val="24"/>
        </w:rPr>
      </w:pPr>
      <w:r w:rsidRPr="008F1CBD">
        <w:rPr>
          <w:rFonts w:ascii="Source Sans Pro" w:eastAsia="Times New Roman" w:hAnsi="Source Sans Pro" w:cs="Times New Roman"/>
          <w:sz w:val="24"/>
          <w:szCs w:val="24"/>
        </w:rPr>
        <w:t>Concurrent enrollment in adult education and credit-bearing postsecondary courses</w:t>
      </w:r>
    </w:p>
    <w:p w14:paraId="1DD9D4F4" w14:textId="77777777" w:rsidR="00482C4F" w:rsidRPr="008F1CBD" w:rsidRDefault="00482C4F" w:rsidP="008F1CBD">
      <w:pPr>
        <w:pStyle w:val="ListParagraph"/>
        <w:numPr>
          <w:ilvl w:val="0"/>
          <w:numId w:val="10"/>
        </w:numPr>
        <w:shd w:val="clear" w:color="auto" w:fill="FFFFFF"/>
        <w:spacing w:before="240" w:after="240" w:line="240" w:lineRule="auto"/>
        <w:rPr>
          <w:rFonts w:ascii="Source Sans Pro" w:eastAsia="Times New Roman" w:hAnsi="Source Sans Pro" w:cs="Times New Roman"/>
          <w:sz w:val="24"/>
          <w:szCs w:val="24"/>
        </w:rPr>
      </w:pPr>
      <w:r w:rsidRPr="008F1CBD">
        <w:rPr>
          <w:rFonts w:ascii="Source Sans Pro" w:eastAsia="Times New Roman" w:hAnsi="Source Sans Pro" w:cs="Times New Roman"/>
          <w:sz w:val="24"/>
          <w:szCs w:val="24"/>
        </w:rPr>
        <w:t>Integrated education and training (IET)</w:t>
      </w:r>
    </w:p>
    <w:p w14:paraId="48CB5CF2" w14:textId="77777777" w:rsidR="00482C4F" w:rsidRPr="008F1CBD" w:rsidRDefault="00482C4F" w:rsidP="008F1CBD">
      <w:pPr>
        <w:pStyle w:val="ListParagraph"/>
        <w:numPr>
          <w:ilvl w:val="0"/>
          <w:numId w:val="9"/>
        </w:numPr>
        <w:shd w:val="clear" w:color="auto" w:fill="FFFFFF"/>
        <w:spacing w:before="240" w:after="240" w:line="240" w:lineRule="auto"/>
        <w:rPr>
          <w:rFonts w:ascii="Source Sans Pro" w:eastAsia="Times New Roman" w:hAnsi="Source Sans Pro" w:cs="Times New Roman"/>
          <w:sz w:val="24"/>
          <w:szCs w:val="24"/>
        </w:rPr>
      </w:pPr>
      <w:r w:rsidRPr="008F1CBD">
        <w:rPr>
          <w:rFonts w:ascii="Source Sans Pro" w:eastAsia="Times New Roman" w:hAnsi="Source Sans Pro" w:cs="Times New Roman"/>
          <w:sz w:val="24"/>
          <w:szCs w:val="24"/>
        </w:rPr>
        <w:t>Integrated English literacy and civics education (IELCE) in combination with IET</w:t>
      </w:r>
    </w:p>
    <w:p w14:paraId="3CB9949E" w14:textId="77777777" w:rsidR="00482C4F" w:rsidRPr="008F1CBD" w:rsidRDefault="00482C4F" w:rsidP="008F1CBD">
      <w:pPr>
        <w:pStyle w:val="ListParagraph"/>
        <w:numPr>
          <w:ilvl w:val="0"/>
          <w:numId w:val="9"/>
        </w:numPr>
        <w:shd w:val="clear" w:color="auto" w:fill="FFFFFF"/>
        <w:spacing w:before="240" w:after="240" w:line="240" w:lineRule="auto"/>
        <w:rPr>
          <w:rFonts w:ascii="Source Sans Pro" w:eastAsia="Times New Roman" w:hAnsi="Source Sans Pro" w:cs="Times New Roman"/>
          <w:sz w:val="24"/>
          <w:szCs w:val="24"/>
        </w:rPr>
      </w:pPr>
      <w:r w:rsidRPr="008F1CBD">
        <w:rPr>
          <w:rFonts w:ascii="Source Sans Pro" w:eastAsia="Times New Roman" w:hAnsi="Source Sans Pro" w:cs="Times New Roman"/>
          <w:sz w:val="24"/>
          <w:szCs w:val="24"/>
        </w:rPr>
        <w:lastRenderedPageBreak/>
        <w:t>Strategies for working with adults with learning disabilities or difficulties</w:t>
      </w:r>
    </w:p>
    <w:p w14:paraId="36875009" w14:textId="77777777" w:rsidR="00482C4F" w:rsidRPr="008F1CBD" w:rsidRDefault="00482C4F" w:rsidP="008F1CBD">
      <w:pPr>
        <w:pStyle w:val="ListParagraph"/>
        <w:numPr>
          <w:ilvl w:val="0"/>
          <w:numId w:val="9"/>
        </w:numPr>
        <w:shd w:val="clear" w:color="auto" w:fill="FFFFFF"/>
        <w:spacing w:before="240" w:after="240" w:line="240" w:lineRule="auto"/>
        <w:rPr>
          <w:rFonts w:ascii="Source Sans Pro" w:eastAsia="Times New Roman" w:hAnsi="Source Sans Pro" w:cs="Times New Roman"/>
          <w:sz w:val="24"/>
          <w:szCs w:val="24"/>
        </w:rPr>
      </w:pPr>
      <w:r w:rsidRPr="008F1CBD">
        <w:rPr>
          <w:rFonts w:ascii="Source Sans Pro" w:eastAsia="Times New Roman" w:hAnsi="Source Sans Pro" w:cs="Times New Roman"/>
          <w:sz w:val="24"/>
          <w:szCs w:val="24"/>
        </w:rPr>
        <w:t>Use of learning in context</w:t>
      </w:r>
    </w:p>
    <w:p w14:paraId="00162C8F" w14:textId="77777777" w:rsidR="00482C4F" w:rsidRPr="008F1CBD" w:rsidRDefault="00482C4F" w:rsidP="008F1CBD">
      <w:pPr>
        <w:pStyle w:val="ListParagraph"/>
        <w:numPr>
          <w:ilvl w:val="0"/>
          <w:numId w:val="9"/>
        </w:numPr>
        <w:shd w:val="clear" w:color="auto" w:fill="FFFFFF"/>
        <w:spacing w:before="240" w:after="240" w:line="240" w:lineRule="auto"/>
        <w:rPr>
          <w:rFonts w:ascii="Source Sans Pro" w:eastAsia="Times New Roman" w:hAnsi="Source Sans Pro" w:cs="Times New Roman"/>
          <w:sz w:val="24"/>
          <w:szCs w:val="24"/>
        </w:rPr>
      </w:pPr>
      <w:r w:rsidRPr="008F1CBD">
        <w:rPr>
          <w:rFonts w:ascii="Source Sans Pro" w:eastAsia="Times New Roman" w:hAnsi="Source Sans Pro" w:cs="Times New Roman"/>
          <w:sz w:val="24"/>
          <w:szCs w:val="24"/>
        </w:rPr>
        <w:t>Use of technology to increase access to, quality of, and amount of instruction</w:t>
      </w:r>
    </w:p>
    <w:p w14:paraId="6DB821C5" w14:textId="77777777" w:rsidR="00482C4F" w:rsidRPr="008F1CBD" w:rsidRDefault="00482C4F" w:rsidP="008F1CBD">
      <w:pPr>
        <w:pStyle w:val="ListParagraph"/>
        <w:numPr>
          <w:ilvl w:val="0"/>
          <w:numId w:val="9"/>
        </w:numPr>
        <w:shd w:val="clear" w:color="auto" w:fill="FFFFFF"/>
        <w:spacing w:before="240" w:after="240" w:line="240" w:lineRule="auto"/>
        <w:rPr>
          <w:rFonts w:ascii="Source Sans Pro" w:eastAsia="Times New Roman" w:hAnsi="Source Sans Pro" w:cs="Times New Roman"/>
          <w:sz w:val="24"/>
          <w:szCs w:val="24"/>
        </w:rPr>
      </w:pPr>
      <w:r w:rsidRPr="008F1CBD">
        <w:rPr>
          <w:rFonts w:ascii="Source Sans Pro" w:eastAsia="Times New Roman" w:hAnsi="Source Sans Pro" w:cs="Times New Roman"/>
          <w:sz w:val="24"/>
          <w:szCs w:val="24"/>
        </w:rPr>
        <w:t>Work-based learning</w:t>
      </w:r>
    </w:p>
    <w:p w14:paraId="34AAC253" w14:textId="112AA660" w:rsidR="00EA75AB" w:rsidRDefault="00EA75AB" w:rsidP="008F1CBD">
      <w:pPr>
        <w:rPr>
          <w:rFonts w:ascii="Source Sans Pro" w:eastAsia="Times New Roman" w:hAnsi="Source Sans Pro" w:cs="Times New Roman"/>
          <w:b/>
          <w:bCs/>
          <w:sz w:val="24"/>
          <w:szCs w:val="24"/>
        </w:rPr>
      </w:pPr>
      <w:r>
        <w:rPr>
          <w:rFonts w:ascii="Source Sans Pro" w:eastAsia="Times New Roman" w:hAnsi="Source Sans Pro" w:cs="Times New Roman"/>
          <w:b/>
          <w:bCs/>
          <w:sz w:val="24"/>
          <w:szCs w:val="24"/>
        </w:rPr>
        <w:t>Application</w:t>
      </w:r>
    </w:p>
    <w:p w14:paraId="2C3D604E" w14:textId="73F71F5D" w:rsidR="00EA75AB" w:rsidRDefault="00EA75AB" w:rsidP="008F1CBD">
      <w:pPr>
        <w:rPr>
          <w:rFonts w:ascii="Source Sans Pro" w:eastAsia="Times New Roman" w:hAnsi="Source Sans Pro" w:cs="Times New Roman"/>
          <w:sz w:val="24"/>
          <w:szCs w:val="24"/>
        </w:rPr>
      </w:pPr>
      <w:r w:rsidRPr="008A7F67">
        <w:rPr>
          <w:rFonts w:ascii="Source Sans Pro" w:eastAsia="Times New Roman" w:hAnsi="Source Sans Pro" w:cs="Times New Roman"/>
          <w:sz w:val="24"/>
          <w:szCs w:val="24"/>
        </w:rPr>
        <w:t>Applicants should consider whether an adult education program may have an innovative practice. The Checklist</w:t>
      </w:r>
      <w:r w:rsidR="008A7F67" w:rsidRPr="008A7F67">
        <w:rPr>
          <w:rFonts w:ascii="Source Sans Pro" w:eastAsia="Times New Roman" w:hAnsi="Source Sans Pro" w:cs="Times New Roman"/>
          <w:sz w:val="24"/>
          <w:szCs w:val="24"/>
        </w:rPr>
        <w:t xml:space="preserve"> for Innovative Practices</w:t>
      </w:r>
      <w:r w:rsidRPr="008A7F67">
        <w:rPr>
          <w:rFonts w:ascii="Source Sans Pro" w:eastAsia="Times New Roman" w:hAnsi="Source Sans Pro" w:cs="Times New Roman"/>
          <w:sz w:val="24"/>
          <w:szCs w:val="24"/>
        </w:rPr>
        <w:t>, available on the Advancing Innova</w:t>
      </w:r>
      <w:r w:rsidR="008A7F67" w:rsidRPr="008A7F67">
        <w:rPr>
          <w:rFonts w:ascii="Source Sans Pro" w:eastAsia="Times New Roman" w:hAnsi="Source Sans Pro" w:cs="Times New Roman"/>
          <w:sz w:val="24"/>
          <w:szCs w:val="24"/>
        </w:rPr>
        <w:t xml:space="preserve">tion </w:t>
      </w:r>
      <w:hyperlink r:id="rId7" w:history="1">
        <w:r w:rsidR="008A7F67" w:rsidRPr="008A7F67">
          <w:rPr>
            <w:rStyle w:val="Hyperlink"/>
            <w:rFonts w:ascii="Source Sans Pro" w:eastAsia="Times New Roman" w:hAnsi="Source Sans Pro" w:cs="Times New Roman"/>
            <w:sz w:val="24"/>
            <w:szCs w:val="24"/>
          </w:rPr>
          <w:t>webpage</w:t>
        </w:r>
      </w:hyperlink>
      <w:r w:rsidR="008A7F67" w:rsidRPr="008A7F67">
        <w:rPr>
          <w:rFonts w:ascii="Source Sans Pro" w:eastAsia="Times New Roman" w:hAnsi="Source Sans Pro" w:cs="Times New Roman"/>
          <w:sz w:val="24"/>
          <w:szCs w:val="24"/>
        </w:rPr>
        <w:t xml:space="preserve">, has questions for consideration to help programs reflect on whether a practice meets the project’s definition of innovative practices. </w:t>
      </w:r>
    </w:p>
    <w:p w14:paraId="5B7E5663" w14:textId="6A7B19BC" w:rsidR="008A7F67" w:rsidRDefault="008A7F67" w:rsidP="008F1CBD">
      <w:pPr>
        <w:rPr>
          <w:rFonts w:ascii="Source Sans Pro" w:eastAsia="Times New Roman" w:hAnsi="Source Sans Pro" w:cs="Times New Roman"/>
          <w:sz w:val="24"/>
          <w:szCs w:val="24"/>
        </w:rPr>
      </w:pPr>
      <w:r>
        <w:rPr>
          <w:rFonts w:ascii="Source Sans Pro" w:eastAsia="Times New Roman" w:hAnsi="Source Sans Pro" w:cs="Times New Roman"/>
          <w:sz w:val="24"/>
          <w:szCs w:val="24"/>
        </w:rPr>
        <w:t xml:space="preserve">The application will be made available on the </w:t>
      </w:r>
      <w:hyperlink r:id="rId8" w:history="1">
        <w:r w:rsidRPr="008A7F67">
          <w:rPr>
            <w:rStyle w:val="Hyperlink"/>
            <w:rFonts w:ascii="Source Sans Pro" w:eastAsia="Times New Roman" w:hAnsi="Source Sans Pro" w:cs="Times New Roman"/>
            <w:sz w:val="24"/>
            <w:szCs w:val="24"/>
          </w:rPr>
          <w:t>project webpage</w:t>
        </w:r>
      </w:hyperlink>
      <w:r>
        <w:rPr>
          <w:rFonts w:ascii="Source Sans Pro" w:eastAsia="Times New Roman" w:hAnsi="Source Sans Pro" w:cs="Times New Roman"/>
          <w:sz w:val="24"/>
          <w:szCs w:val="24"/>
        </w:rPr>
        <w:t xml:space="preserve">. </w:t>
      </w:r>
    </w:p>
    <w:p w14:paraId="0F973151" w14:textId="104BD43A" w:rsidR="008A7F67" w:rsidRPr="008A7F67" w:rsidRDefault="008A7F67" w:rsidP="008F1CBD">
      <w:pPr>
        <w:rPr>
          <w:rFonts w:ascii="Source Sans Pro" w:eastAsia="Times New Roman" w:hAnsi="Source Sans Pro" w:cs="Times New Roman"/>
          <w:sz w:val="24"/>
          <w:szCs w:val="24"/>
        </w:rPr>
      </w:pPr>
      <w:r w:rsidRPr="008A7F67">
        <w:rPr>
          <w:rFonts w:ascii="Source Sans Pro" w:eastAsia="Times New Roman" w:hAnsi="Source Sans Pro" w:cs="Times New Roman"/>
          <w:sz w:val="24"/>
          <w:szCs w:val="24"/>
        </w:rPr>
        <w:t xml:space="preserve">The Advancing Innovation project team will work with applicants to learn more about how practices are carried out, including the key components of the practice and its outcomes for adult learners. The project team may conduct site visits to selected programs. </w:t>
      </w:r>
    </w:p>
    <w:p w14:paraId="2B6E476B" w14:textId="2DD08C7F" w:rsidR="008F1CBD" w:rsidRPr="008F1CBD" w:rsidRDefault="008F1CBD" w:rsidP="008F1CBD">
      <w:pPr>
        <w:rPr>
          <w:rFonts w:ascii="Source Sans Pro" w:eastAsia="Times New Roman" w:hAnsi="Source Sans Pro" w:cs="Times New Roman"/>
          <w:sz w:val="24"/>
          <w:szCs w:val="24"/>
        </w:rPr>
      </w:pPr>
      <w:r w:rsidRPr="008F1CBD">
        <w:rPr>
          <w:rFonts w:ascii="Source Sans Pro" w:eastAsia="Times New Roman" w:hAnsi="Source Sans Pro" w:cs="Times New Roman"/>
          <w:b/>
          <w:bCs/>
          <w:sz w:val="24"/>
          <w:szCs w:val="24"/>
        </w:rPr>
        <w:t>Contact Us</w:t>
      </w:r>
    </w:p>
    <w:p w14:paraId="37AF3945" w14:textId="6B58C7DE" w:rsidR="008F1CBD" w:rsidRPr="008F1CBD" w:rsidRDefault="008F1CBD" w:rsidP="008F1CBD">
      <w:pPr>
        <w:shd w:val="clear" w:color="auto" w:fill="FFFFFF"/>
        <w:spacing w:before="240" w:after="240" w:line="240" w:lineRule="auto"/>
        <w:rPr>
          <w:rFonts w:ascii="Source Sans Pro" w:eastAsia="Times New Roman" w:hAnsi="Source Sans Pro" w:cs="Times New Roman"/>
          <w:color w:val="323A45"/>
          <w:sz w:val="24"/>
          <w:szCs w:val="24"/>
        </w:rPr>
      </w:pPr>
      <w:r w:rsidRPr="008F1CBD">
        <w:rPr>
          <w:rFonts w:ascii="Source Sans Pro" w:eastAsia="Times New Roman" w:hAnsi="Source Sans Pro" w:cs="Times New Roman"/>
          <w:sz w:val="24"/>
          <w:szCs w:val="24"/>
        </w:rPr>
        <w:t xml:space="preserve">For more information, contact </w:t>
      </w:r>
      <w:r w:rsidR="00EA75AB">
        <w:rPr>
          <w:rFonts w:ascii="Source Sans Pro" w:eastAsia="Times New Roman" w:hAnsi="Source Sans Pro" w:cs="Times New Roman"/>
          <w:sz w:val="24"/>
          <w:szCs w:val="24"/>
        </w:rPr>
        <w:t>the project</w:t>
      </w:r>
      <w:r w:rsidRPr="008F1CBD">
        <w:rPr>
          <w:rFonts w:ascii="Source Sans Pro" w:eastAsia="Times New Roman" w:hAnsi="Source Sans Pro" w:cs="Times New Roman"/>
          <w:sz w:val="24"/>
          <w:szCs w:val="24"/>
        </w:rPr>
        <w:t xml:space="preserve"> at </w:t>
      </w:r>
      <w:hyperlink r:id="rId9" w:history="1">
        <w:r w:rsidRPr="008F1CBD">
          <w:rPr>
            <w:rFonts w:ascii="Source Sans Pro" w:eastAsia="Times New Roman" w:hAnsi="Source Sans Pro" w:cs="Times New Roman"/>
            <w:color w:val="0071BC"/>
            <w:sz w:val="24"/>
            <w:szCs w:val="24"/>
            <w:u w:val="single"/>
          </w:rPr>
          <w:t>innovation@lincs.ed.gov</w:t>
        </w:r>
      </w:hyperlink>
      <w:r w:rsidR="00EA75AB">
        <w:rPr>
          <w:rFonts w:ascii="Source Sans Pro" w:eastAsia="Times New Roman" w:hAnsi="Source Sans Pro" w:cs="Times New Roman"/>
          <w:color w:val="323A45"/>
          <w:sz w:val="24"/>
          <w:szCs w:val="24"/>
        </w:rPr>
        <w:t xml:space="preserve"> </w:t>
      </w:r>
      <w:r w:rsidR="00EA75AB" w:rsidRPr="009D3CCA">
        <w:rPr>
          <w:rFonts w:ascii="Source Sans Pro" w:eastAsia="Times New Roman" w:hAnsi="Source Sans Pro" w:cs="Times New Roman"/>
          <w:sz w:val="24"/>
          <w:szCs w:val="24"/>
        </w:rPr>
        <w:t xml:space="preserve">or visit the project </w:t>
      </w:r>
      <w:r w:rsidR="00EA75AB">
        <w:rPr>
          <w:rFonts w:ascii="Source Sans Pro" w:eastAsia="Times New Roman" w:hAnsi="Source Sans Pro" w:cs="Times New Roman"/>
          <w:color w:val="323A45"/>
          <w:sz w:val="24"/>
          <w:szCs w:val="24"/>
        </w:rPr>
        <w:t xml:space="preserve">webpage on LINCS at </w:t>
      </w:r>
      <w:hyperlink r:id="rId10" w:history="1">
        <w:r w:rsidR="00EA75AB" w:rsidRPr="00112209">
          <w:rPr>
            <w:rStyle w:val="Hyperlink"/>
            <w:rFonts w:ascii="Source Sans Pro" w:eastAsia="Times New Roman" w:hAnsi="Source Sans Pro" w:cs="Times New Roman"/>
            <w:sz w:val="24"/>
            <w:szCs w:val="24"/>
          </w:rPr>
          <w:t>https://lincs.ed.gov/state-resources/federal-initiatives/advancing-innovation</w:t>
        </w:r>
      </w:hyperlink>
      <w:r w:rsidR="00EA75AB">
        <w:rPr>
          <w:rFonts w:ascii="Source Sans Pro" w:eastAsia="Times New Roman" w:hAnsi="Source Sans Pro" w:cs="Times New Roman"/>
          <w:color w:val="323A45"/>
          <w:sz w:val="24"/>
          <w:szCs w:val="24"/>
        </w:rPr>
        <w:t xml:space="preserve">. </w:t>
      </w:r>
    </w:p>
    <w:p w14:paraId="538DA917" w14:textId="77777777" w:rsidR="008A7F67" w:rsidRPr="008F1CBD" w:rsidRDefault="008A7F67" w:rsidP="008A7F67">
      <w:pPr>
        <w:shd w:val="clear" w:color="auto" w:fill="FFFFFF"/>
        <w:spacing w:before="240" w:after="240" w:line="240" w:lineRule="auto"/>
        <w:rPr>
          <w:rFonts w:ascii="Source Sans Pro" w:eastAsia="Times New Roman" w:hAnsi="Source Sans Pro" w:cs="Times New Roman"/>
          <w:sz w:val="24"/>
          <w:szCs w:val="24"/>
        </w:rPr>
      </w:pPr>
      <w:r w:rsidRPr="008F1CBD">
        <w:rPr>
          <w:rFonts w:ascii="Source Sans Pro" w:eastAsia="Times New Roman" w:hAnsi="Source Sans Pro" w:cs="Times New Roman"/>
          <w:sz w:val="24"/>
          <w:szCs w:val="24"/>
        </w:rPr>
        <w:t>The Advancing Innovation in Adult Education project (Contract No. 91990018F0047) is executed by Manhattan Strategy Group and Abt Associates.</w:t>
      </w:r>
    </w:p>
    <w:p w14:paraId="6491352E" w14:textId="77777777" w:rsidR="008F1CBD" w:rsidRPr="004C71C8" w:rsidRDefault="008F1CBD"/>
    <w:sectPr w:rsidR="008F1CBD" w:rsidRPr="004C71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cumin Pro Condensed Light">
    <w:altName w:val="Acumin Pro Condensed Light"/>
    <w:panose1 w:val="00000000000000000000"/>
    <w:charset w:val="00"/>
    <w:family w:val="swiss"/>
    <w:notTrueType/>
    <w:pitch w:val="default"/>
    <w:sig w:usb0="00000003" w:usb1="00000000" w:usb2="00000000" w:usb3="00000000" w:csb0="00000001" w:csb1="00000000"/>
  </w:font>
  <w:font w:name="Acumin Pro Condensed Semibold">
    <w:altName w:val="Calibri"/>
    <w:panose1 w:val="00000000000000000000"/>
    <w:charset w:val="00"/>
    <w:family w:val="swiss"/>
    <w:notTrueType/>
    <w:pitch w:val="default"/>
    <w:sig w:usb0="00000003" w:usb1="00000000" w:usb2="00000000" w:usb3="00000000" w:csb0="00000001" w:csb1="00000000"/>
  </w:font>
  <w:font w:name="Source Sans Pro">
    <w:altName w:val="Arial"/>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B3491"/>
    <w:multiLevelType w:val="hybridMultilevel"/>
    <w:tmpl w:val="D5E0B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CA3C24"/>
    <w:multiLevelType w:val="multilevel"/>
    <w:tmpl w:val="C39CD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2B5AA7"/>
    <w:multiLevelType w:val="hybridMultilevel"/>
    <w:tmpl w:val="1D5A7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F33AF4"/>
    <w:multiLevelType w:val="hybridMultilevel"/>
    <w:tmpl w:val="AFB67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0875E2"/>
    <w:multiLevelType w:val="hybridMultilevel"/>
    <w:tmpl w:val="06065972"/>
    <w:lvl w:ilvl="0" w:tplc="DD5472A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413838"/>
    <w:multiLevelType w:val="hybridMultilevel"/>
    <w:tmpl w:val="DAAC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2B4EB3"/>
    <w:multiLevelType w:val="hybridMultilevel"/>
    <w:tmpl w:val="F2FA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633FBE"/>
    <w:multiLevelType w:val="hybridMultilevel"/>
    <w:tmpl w:val="2986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6A17E1"/>
    <w:multiLevelType w:val="hybridMultilevel"/>
    <w:tmpl w:val="9FDC3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7430B8"/>
    <w:multiLevelType w:val="hybridMultilevel"/>
    <w:tmpl w:val="6C043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8"/>
  </w:num>
  <w:num w:numId="5">
    <w:abstractNumId w:val="6"/>
  </w:num>
  <w:num w:numId="6">
    <w:abstractNumId w:val="1"/>
  </w:num>
  <w:num w:numId="7">
    <w:abstractNumId w:val="2"/>
  </w:num>
  <w:num w:numId="8">
    <w:abstractNumId w:val="9"/>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BC0"/>
    <w:rsid w:val="00231449"/>
    <w:rsid w:val="002F69E7"/>
    <w:rsid w:val="00320D85"/>
    <w:rsid w:val="003E32C7"/>
    <w:rsid w:val="00482C4F"/>
    <w:rsid w:val="004C71C8"/>
    <w:rsid w:val="007E6430"/>
    <w:rsid w:val="008A7F67"/>
    <w:rsid w:val="008C2B38"/>
    <w:rsid w:val="008F1CBD"/>
    <w:rsid w:val="009D3CCA"/>
    <w:rsid w:val="00A638B5"/>
    <w:rsid w:val="00AA1F87"/>
    <w:rsid w:val="00AD6BC0"/>
    <w:rsid w:val="00CA3CA8"/>
    <w:rsid w:val="00EA7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F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6BC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D6BC0"/>
    <w:pPr>
      <w:ind w:left="720"/>
      <w:contextualSpacing/>
    </w:pPr>
  </w:style>
  <w:style w:type="paragraph" w:styleId="NoSpacing">
    <w:name w:val="No Spacing"/>
    <w:uiPriority w:val="1"/>
    <w:qFormat/>
    <w:rsid w:val="00AD6BC0"/>
    <w:pPr>
      <w:keepNext/>
      <w:widowControl w:val="0"/>
      <w:pBdr>
        <w:top w:val="nil"/>
        <w:left w:val="nil"/>
        <w:bottom w:val="nil"/>
        <w:right w:val="nil"/>
      </w:pBdr>
      <w:suppressAutoHyphens/>
      <w:spacing w:after="0" w:line="240" w:lineRule="auto"/>
      <w:textAlignment w:val="baseline"/>
    </w:pPr>
    <w:rPr>
      <w:rFonts w:ascii="Times New Roman" w:eastAsia="SimSun" w:hAnsi="Times New Roman" w:cs="Mangal"/>
      <w:sz w:val="24"/>
      <w:szCs w:val="21"/>
      <w:lang w:eastAsia="zh-CN" w:bidi="hi-IN"/>
    </w:rPr>
  </w:style>
  <w:style w:type="paragraph" w:styleId="Title">
    <w:name w:val="Title"/>
    <w:basedOn w:val="Normal"/>
    <w:next w:val="Normal"/>
    <w:link w:val="TitleChar"/>
    <w:uiPriority w:val="10"/>
    <w:qFormat/>
    <w:rsid w:val="003E32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32C7"/>
    <w:rPr>
      <w:rFonts w:asciiTheme="majorHAnsi" w:eastAsiaTheme="majorEastAsia" w:hAnsiTheme="majorHAnsi" w:cstheme="majorBidi"/>
      <w:spacing w:val="-10"/>
      <w:kern w:val="28"/>
      <w:sz w:val="56"/>
      <w:szCs w:val="56"/>
    </w:rPr>
  </w:style>
  <w:style w:type="paragraph" w:customStyle="1" w:styleId="Default">
    <w:name w:val="Default"/>
    <w:rsid w:val="00231449"/>
    <w:pPr>
      <w:autoSpaceDE w:val="0"/>
      <w:autoSpaceDN w:val="0"/>
      <w:adjustRightInd w:val="0"/>
      <w:spacing w:after="0" w:line="240" w:lineRule="auto"/>
    </w:pPr>
    <w:rPr>
      <w:rFonts w:ascii="Acumin Pro Condensed Light" w:hAnsi="Acumin Pro Condensed Light" w:cs="Acumin Pro Condensed Light"/>
      <w:color w:val="000000"/>
      <w:sz w:val="24"/>
      <w:szCs w:val="24"/>
    </w:rPr>
  </w:style>
  <w:style w:type="character" w:customStyle="1" w:styleId="A1">
    <w:name w:val="A1"/>
    <w:uiPriority w:val="99"/>
    <w:rsid w:val="00231449"/>
    <w:rPr>
      <w:rFonts w:cs="Acumin Pro Condensed Light"/>
      <w:color w:val="000000"/>
      <w:sz w:val="28"/>
      <w:szCs w:val="28"/>
    </w:rPr>
  </w:style>
  <w:style w:type="character" w:customStyle="1" w:styleId="A3">
    <w:name w:val="A3"/>
    <w:uiPriority w:val="99"/>
    <w:rsid w:val="00231449"/>
    <w:rPr>
      <w:rFonts w:cs="Acumin Pro Condensed Semibold"/>
      <w:b/>
      <w:bCs/>
      <w:color w:val="000000"/>
    </w:rPr>
  </w:style>
  <w:style w:type="character" w:styleId="Strong">
    <w:name w:val="Strong"/>
    <w:basedOn w:val="DefaultParagraphFont"/>
    <w:uiPriority w:val="22"/>
    <w:qFormat/>
    <w:rsid w:val="00482C4F"/>
    <w:rPr>
      <w:b/>
      <w:bCs/>
    </w:rPr>
  </w:style>
  <w:style w:type="character" w:styleId="Hyperlink">
    <w:name w:val="Hyperlink"/>
    <w:basedOn w:val="DefaultParagraphFont"/>
    <w:uiPriority w:val="99"/>
    <w:unhideWhenUsed/>
    <w:rsid w:val="008F1CBD"/>
    <w:rPr>
      <w:color w:val="0000FF"/>
      <w:u w:val="single"/>
    </w:rPr>
  </w:style>
  <w:style w:type="table" w:styleId="TableGrid">
    <w:name w:val="Table Grid"/>
    <w:basedOn w:val="TableNormal"/>
    <w:uiPriority w:val="39"/>
    <w:rsid w:val="008F1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EA75A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6BC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D6BC0"/>
    <w:pPr>
      <w:ind w:left="720"/>
      <w:contextualSpacing/>
    </w:pPr>
  </w:style>
  <w:style w:type="paragraph" w:styleId="NoSpacing">
    <w:name w:val="No Spacing"/>
    <w:uiPriority w:val="1"/>
    <w:qFormat/>
    <w:rsid w:val="00AD6BC0"/>
    <w:pPr>
      <w:keepNext/>
      <w:widowControl w:val="0"/>
      <w:pBdr>
        <w:top w:val="nil"/>
        <w:left w:val="nil"/>
        <w:bottom w:val="nil"/>
        <w:right w:val="nil"/>
      </w:pBdr>
      <w:suppressAutoHyphens/>
      <w:spacing w:after="0" w:line="240" w:lineRule="auto"/>
      <w:textAlignment w:val="baseline"/>
    </w:pPr>
    <w:rPr>
      <w:rFonts w:ascii="Times New Roman" w:eastAsia="SimSun" w:hAnsi="Times New Roman" w:cs="Mangal"/>
      <w:sz w:val="24"/>
      <w:szCs w:val="21"/>
      <w:lang w:eastAsia="zh-CN" w:bidi="hi-IN"/>
    </w:rPr>
  </w:style>
  <w:style w:type="paragraph" w:styleId="Title">
    <w:name w:val="Title"/>
    <w:basedOn w:val="Normal"/>
    <w:next w:val="Normal"/>
    <w:link w:val="TitleChar"/>
    <w:uiPriority w:val="10"/>
    <w:qFormat/>
    <w:rsid w:val="003E32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32C7"/>
    <w:rPr>
      <w:rFonts w:asciiTheme="majorHAnsi" w:eastAsiaTheme="majorEastAsia" w:hAnsiTheme="majorHAnsi" w:cstheme="majorBidi"/>
      <w:spacing w:val="-10"/>
      <w:kern w:val="28"/>
      <w:sz w:val="56"/>
      <w:szCs w:val="56"/>
    </w:rPr>
  </w:style>
  <w:style w:type="paragraph" w:customStyle="1" w:styleId="Default">
    <w:name w:val="Default"/>
    <w:rsid w:val="00231449"/>
    <w:pPr>
      <w:autoSpaceDE w:val="0"/>
      <w:autoSpaceDN w:val="0"/>
      <w:adjustRightInd w:val="0"/>
      <w:spacing w:after="0" w:line="240" w:lineRule="auto"/>
    </w:pPr>
    <w:rPr>
      <w:rFonts w:ascii="Acumin Pro Condensed Light" w:hAnsi="Acumin Pro Condensed Light" w:cs="Acumin Pro Condensed Light"/>
      <w:color w:val="000000"/>
      <w:sz w:val="24"/>
      <w:szCs w:val="24"/>
    </w:rPr>
  </w:style>
  <w:style w:type="character" w:customStyle="1" w:styleId="A1">
    <w:name w:val="A1"/>
    <w:uiPriority w:val="99"/>
    <w:rsid w:val="00231449"/>
    <w:rPr>
      <w:rFonts w:cs="Acumin Pro Condensed Light"/>
      <w:color w:val="000000"/>
      <w:sz w:val="28"/>
      <w:szCs w:val="28"/>
    </w:rPr>
  </w:style>
  <w:style w:type="character" w:customStyle="1" w:styleId="A3">
    <w:name w:val="A3"/>
    <w:uiPriority w:val="99"/>
    <w:rsid w:val="00231449"/>
    <w:rPr>
      <w:rFonts w:cs="Acumin Pro Condensed Semibold"/>
      <w:b/>
      <w:bCs/>
      <w:color w:val="000000"/>
    </w:rPr>
  </w:style>
  <w:style w:type="character" w:styleId="Strong">
    <w:name w:val="Strong"/>
    <w:basedOn w:val="DefaultParagraphFont"/>
    <w:uiPriority w:val="22"/>
    <w:qFormat/>
    <w:rsid w:val="00482C4F"/>
    <w:rPr>
      <w:b/>
      <w:bCs/>
    </w:rPr>
  </w:style>
  <w:style w:type="character" w:styleId="Hyperlink">
    <w:name w:val="Hyperlink"/>
    <w:basedOn w:val="DefaultParagraphFont"/>
    <w:uiPriority w:val="99"/>
    <w:unhideWhenUsed/>
    <w:rsid w:val="008F1CBD"/>
    <w:rPr>
      <w:color w:val="0000FF"/>
      <w:u w:val="single"/>
    </w:rPr>
  </w:style>
  <w:style w:type="table" w:styleId="TableGrid">
    <w:name w:val="Table Grid"/>
    <w:basedOn w:val="TableNormal"/>
    <w:uiPriority w:val="39"/>
    <w:rsid w:val="008F1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EA7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3463">
      <w:bodyDiv w:val="1"/>
      <w:marLeft w:val="0"/>
      <w:marRight w:val="0"/>
      <w:marTop w:val="0"/>
      <w:marBottom w:val="0"/>
      <w:divBdr>
        <w:top w:val="none" w:sz="0" w:space="0" w:color="auto"/>
        <w:left w:val="none" w:sz="0" w:space="0" w:color="auto"/>
        <w:bottom w:val="none" w:sz="0" w:space="0" w:color="auto"/>
        <w:right w:val="none" w:sz="0" w:space="0" w:color="auto"/>
      </w:divBdr>
    </w:div>
    <w:div w:id="23139139">
      <w:bodyDiv w:val="1"/>
      <w:marLeft w:val="0"/>
      <w:marRight w:val="0"/>
      <w:marTop w:val="0"/>
      <w:marBottom w:val="0"/>
      <w:divBdr>
        <w:top w:val="none" w:sz="0" w:space="0" w:color="auto"/>
        <w:left w:val="none" w:sz="0" w:space="0" w:color="auto"/>
        <w:bottom w:val="none" w:sz="0" w:space="0" w:color="auto"/>
        <w:right w:val="none" w:sz="0" w:space="0" w:color="auto"/>
      </w:divBdr>
    </w:div>
    <w:div w:id="868952861">
      <w:bodyDiv w:val="1"/>
      <w:marLeft w:val="0"/>
      <w:marRight w:val="0"/>
      <w:marTop w:val="0"/>
      <w:marBottom w:val="0"/>
      <w:divBdr>
        <w:top w:val="none" w:sz="0" w:space="0" w:color="auto"/>
        <w:left w:val="none" w:sz="0" w:space="0" w:color="auto"/>
        <w:bottom w:val="none" w:sz="0" w:space="0" w:color="auto"/>
        <w:right w:val="none" w:sz="0" w:space="0" w:color="auto"/>
      </w:divBdr>
      <w:divsChild>
        <w:div w:id="785544148">
          <w:marLeft w:val="0"/>
          <w:marRight w:val="0"/>
          <w:marTop w:val="0"/>
          <w:marBottom w:val="0"/>
          <w:divBdr>
            <w:top w:val="none" w:sz="0" w:space="0" w:color="auto"/>
            <w:left w:val="none" w:sz="0" w:space="0" w:color="auto"/>
            <w:bottom w:val="none" w:sz="0" w:space="0" w:color="auto"/>
            <w:right w:val="none" w:sz="0" w:space="0" w:color="auto"/>
          </w:divBdr>
          <w:divsChild>
            <w:div w:id="829103671">
              <w:marLeft w:val="0"/>
              <w:marRight w:val="0"/>
              <w:marTop w:val="0"/>
              <w:marBottom w:val="0"/>
              <w:divBdr>
                <w:top w:val="single" w:sz="18" w:space="0" w:color="F1F1F1"/>
                <w:left w:val="single" w:sz="18" w:space="0" w:color="F1F1F1"/>
                <w:bottom w:val="single" w:sz="18" w:space="0" w:color="F1F1F1"/>
                <w:right w:val="single" w:sz="18" w:space="0" w:color="F1F1F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cs.ed.gov/state-resources/federal-initiatives/advancing-innovation" TargetMode="External"/><Relationship Id="rId3" Type="http://schemas.microsoft.com/office/2007/relationships/stylesWithEffects" Target="stylesWithEffects.xml"/><Relationship Id="rId7" Type="http://schemas.openxmlformats.org/officeDocument/2006/relationships/hyperlink" Target="https://lincs.ed.gov/state-resources/federal-initiatives/advancing-innov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ncs.ed.gov/state-resources/federal-initiatives/advancing-innovation" TargetMode="External"/><Relationship Id="rId4" Type="http://schemas.openxmlformats.org/officeDocument/2006/relationships/settings" Target="settings.xml"/><Relationship Id="rId9" Type="http://schemas.openxmlformats.org/officeDocument/2006/relationships/hyperlink" Target="mailto:innovation@lincs.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MSG</dc:creator>
  <cp:keywords/>
  <dc:description/>
  <cp:lastModifiedBy>SYSTEM</cp:lastModifiedBy>
  <cp:revision>2</cp:revision>
  <dcterms:created xsi:type="dcterms:W3CDTF">2019-07-10T18:00:00Z</dcterms:created>
  <dcterms:modified xsi:type="dcterms:W3CDTF">2019-07-10T18:00:00Z</dcterms:modified>
</cp:coreProperties>
</file>